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11C" w:rsidRPr="00CC70BA" w:rsidRDefault="0053511C" w:rsidP="0053511C">
      <w:pPr>
        <w:spacing w:line="360" w:lineRule="auto"/>
        <w:ind w:left="102"/>
        <w:jc w:val="center"/>
        <w:rPr>
          <w:rFonts w:ascii="Times New Roman" w:hAnsi="Times New Roman" w:cs="Times New Roman"/>
          <w:b/>
          <w:spacing w:val="8"/>
        </w:rPr>
      </w:pPr>
      <w:r w:rsidRPr="00CC70BA">
        <w:rPr>
          <w:rFonts w:ascii="Times New Roman" w:hAnsi="Times New Roman" w:cs="Times New Roman"/>
          <w:b/>
        </w:rPr>
        <w:t>AI dri</w:t>
      </w:r>
      <w:r w:rsidRPr="00CC70BA">
        <w:rPr>
          <w:rFonts w:ascii="Times New Roman" w:hAnsi="Times New Roman" w:cs="Times New Roman"/>
          <w:b/>
          <w:spacing w:val="1"/>
        </w:rPr>
        <w:t>v</w:t>
      </w:r>
      <w:r w:rsidRPr="00CC70BA">
        <w:rPr>
          <w:rFonts w:ascii="Times New Roman" w:hAnsi="Times New Roman" w:cs="Times New Roman"/>
          <w:b/>
        </w:rPr>
        <w:t>en</w:t>
      </w:r>
      <w:r w:rsidRPr="00CC70BA">
        <w:rPr>
          <w:rFonts w:ascii="Times New Roman" w:hAnsi="Times New Roman" w:cs="Times New Roman"/>
        </w:rPr>
        <w:t xml:space="preserve"> </w:t>
      </w:r>
      <w:r w:rsidRPr="00CC70BA">
        <w:rPr>
          <w:rFonts w:ascii="Times New Roman" w:hAnsi="Times New Roman" w:cs="Times New Roman"/>
          <w:b/>
          <w:spacing w:val="-1"/>
        </w:rPr>
        <w:t>M</w:t>
      </w:r>
      <w:r w:rsidRPr="00CC70BA">
        <w:rPr>
          <w:rFonts w:ascii="Times New Roman" w:hAnsi="Times New Roman" w:cs="Times New Roman"/>
          <w:b/>
        </w:rPr>
        <w:t>e</w:t>
      </w:r>
      <w:r w:rsidRPr="00CC70BA">
        <w:rPr>
          <w:rFonts w:ascii="Times New Roman" w:hAnsi="Times New Roman" w:cs="Times New Roman"/>
          <w:b/>
          <w:spacing w:val="1"/>
        </w:rPr>
        <w:t>ta</w:t>
      </w:r>
      <w:r w:rsidRPr="00CC70BA">
        <w:rPr>
          <w:rFonts w:ascii="Times New Roman" w:hAnsi="Times New Roman" w:cs="Times New Roman"/>
          <w:b/>
        </w:rPr>
        <w:t>b</w:t>
      </w:r>
      <w:r w:rsidRPr="00CC70BA">
        <w:rPr>
          <w:rFonts w:ascii="Times New Roman" w:hAnsi="Times New Roman" w:cs="Times New Roman"/>
          <w:b/>
          <w:spacing w:val="1"/>
        </w:rPr>
        <w:t>o</w:t>
      </w:r>
      <w:r w:rsidRPr="00CC70BA">
        <w:rPr>
          <w:rFonts w:ascii="Times New Roman" w:hAnsi="Times New Roman" w:cs="Times New Roman"/>
          <w:b/>
        </w:rPr>
        <w:t>l</w:t>
      </w:r>
      <w:r w:rsidRPr="00CC70BA">
        <w:rPr>
          <w:rFonts w:ascii="Times New Roman" w:hAnsi="Times New Roman" w:cs="Times New Roman"/>
          <w:b/>
          <w:spacing w:val="1"/>
        </w:rPr>
        <w:t>o</w:t>
      </w:r>
      <w:r w:rsidRPr="00CC70BA">
        <w:rPr>
          <w:rFonts w:ascii="Times New Roman" w:hAnsi="Times New Roman" w:cs="Times New Roman"/>
          <w:b/>
          <w:spacing w:val="2"/>
        </w:rPr>
        <w:t>m</w:t>
      </w:r>
      <w:r w:rsidRPr="00CC70BA">
        <w:rPr>
          <w:rFonts w:ascii="Times New Roman" w:hAnsi="Times New Roman" w:cs="Times New Roman"/>
          <w:b/>
        </w:rPr>
        <w:t xml:space="preserve">ics </w:t>
      </w:r>
      <w:r w:rsidRPr="00CC70BA">
        <w:rPr>
          <w:rFonts w:ascii="Times New Roman" w:hAnsi="Times New Roman" w:cs="Times New Roman"/>
          <w:b/>
          <w:spacing w:val="1"/>
        </w:rPr>
        <w:t>fo</w:t>
      </w:r>
      <w:r w:rsidRPr="00CC70BA">
        <w:rPr>
          <w:rFonts w:ascii="Times New Roman" w:hAnsi="Times New Roman" w:cs="Times New Roman"/>
          <w:b/>
        </w:rPr>
        <w:t>r Pr</w:t>
      </w:r>
      <w:r w:rsidRPr="00CC70BA">
        <w:rPr>
          <w:rFonts w:ascii="Times New Roman" w:hAnsi="Times New Roman" w:cs="Times New Roman"/>
          <w:b/>
          <w:spacing w:val="1"/>
        </w:rPr>
        <w:t>e</w:t>
      </w:r>
      <w:r w:rsidRPr="00CC70BA">
        <w:rPr>
          <w:rFonts w:ascii="Times New Roman" w:hAnsi="Times New Roman" w:cs="Times New Roman"/>
          <w:b/>
        </w:rPr>
        <w:t>cis</w:t>
      </w:r>
      <w:r w:rsidRPr="00CC70BA">
        <w:rPr>
          <w:rFonts w:ascii="Times New Roman" w:hAnsi="Times New Roman" w:cs="Times New Roman"/>
          <w:b/>
          <w:spacing w:val="-1"/>
        </w:rPr>
        <w:t>i</w:t>
      </w:r>
      <w:r w:rsidRPr="00CC70BA">
        <w:rPr>
          <w:rFonts w:ascii="Times New Roman" w:hAnsi="Times New Roman" w:cs="Times New Roman"/>
          <w:b/>
          <w:spacing w:val="1"/>
        </w:rPr>
        <w:t>o</w:t>
      </w:r>
      <w:r w:rsidRPr="00CC70BA">
        <w:rPr>
          <w:rFonts w:ascii="Times New Roman" w:hAnsi="Times New Roman" w:cs="Times New Roman"/>
          <w:b/>
        </w:rPr>
        <w:t>n Nutri</w:t>
      </w:r>
      <w:r w:rsidRPr="00CC70BA">
        <w:rPr>
          <w:rFonts w:ascii="Times New Roman" w:hAnsi="Times New Roman" w:cs="Times New Roman"/>
          <w:b/>
          <w:spacing w:val="1"/>
        </w:rPr>
        <w:t>t</w:t>
      </w:r>
      <w:r w:rsidRPr="00CC70BA">
        <w:rPr>
          <w:rFonts w:ascii="Times New Roman" w:hAnsi="Times New Roman" w:cs="Times New Roman"/>
          <w:b/>
        </w:rPr>
        <w:t>i</w:t>
      </w:r>
      <w:r w:rsidRPr="00CC70BA">
        <w:rPr>
          <w:rFonts w:ascii="Times New Roman" w:hAnsi="Times New Roman" w:cs="Times New Roman"/>
          <w:b/>
          <w:spacing w:val="1"/>
        </w:rPr>
        <w:t>o</w:t>
      </w:r>
      <w:r w:rsidRPr="00CC70BA">
        <w:rPr>
          <w:rFonts w:ascii="Times New Roman" w:hAnsi="Times New Roman" w:cs="Times New Roman"/>
          <w:b/>
        </w:rPr>
        <w:t>n: A F</w:t>
      </w:r>
      <w:r w:rsidRPr="00CC70BA">
        <w:rPr>
          <w:rFonts w:ascii="Times New Roman" w:hAnsi="Times New Roman" w:cs="Times New Roman"/>
          <w:b/>
          <w:spacing w:val="1"/>
        </w:rPr>
        <w:t>oo</w:t>
      </w:r>
      <w:r w:rsidRPr="00CC70BA">
        <w:rPr>
          <w:rFonts w:ascii="Times New Roman" w:hAnsi="Times New Roman" w:cs="Times New Roman"/>
          <w:b/>
        </w:rPr>
        <w:t xml:space="preserve">d Science </w:t>
      </w:r>
      <w:r w:rsidRPr="00CC70BA">
        <w:rPr>
          <w:rFonts w:ascii="Times New Roman" w:hAnsi="Times New Roman" w:cs="Times New Roman"/>
          <w:b/>
          <w:spacing w:val="1"/>
        </w:rPr>
        <w:t>a</w:t>
      </w:r>
      <w:r w:rsidRPr="00CC70BA">
        <w:rPr>
          <w:rFonts w:ascii="Times New Roman" w:hAnsi="Times New Roman" w:cs="Times New Roman"/>
          <w:b/>
        </w:rPr>
        <w:t xml:space="preserve">nd </w:t>
      </w:r>
      <w:r w:rsidRPr="00CC70BA">
        <w:rPr>
          <w:rFonts w:ascii="Times New Roman" w:hAnsi="Times New Roman" w:cs="Times New Roman"/>
          <w:b/>
          <w:spacing w:val="-1"/>
        </w:rPr>
        <w:t>T</w:t>
      </w:r>
      <w:r w:rsidRPr="00CC70BA">
        <w:rPr>
          <w:rFonts w:ascii="Times New Roman" w:hAnsi="Times New Roman" w:cs="Times New Roman"/>
          <w:b/>
        </w:rPr>
        <w:t>e</w:t>
      </w:r>
      <w:r w:rsidRPr="00CC70BA">
        <w:rPr>
          <w:rFonts w:ascii="Times New Roman" w:hAnsi="Times New Roman" w:cs="Times New Roman"/>
          <w:b/>
          <w:spacing w:val="1"/>
        </w:rPr>
        <w:t>c</w:t>
      </w:r>
      <w:r w:rsidRPr="00CC70BA">
        <w:rPr>
          <w:rFonts w:ascii="Times New Roman" w:hAnsi="Times New Roman" w:cs="Times New Roman"/>
          <w:b/>
          <w:spacing w:val="2"/>
        </w:rPr>
        <w:t>h</w:t>
      </w:r>
      <w:r w:rsidRPr="00CC70BA">
        <w:rPr>
          <w:rFonts w:ascii="Times New Roman" w:hAnsi="Times New Roman" w:cs="Times New Roman"/>
          <w:b/>
        </w:rPr>
        <w:t>n</w:t>
      </w:r>
      <w:r w:rsidRPr="00CC70BA">
        <w:rPr>
          <w:rFonts w:ascii="Times New Roman" w:hAnsi="Times New Roman" w:cs="Times New Roman"/>
          <w:b/>
          <w:spacing w:val="1"/>
        </w:rPr>
        <w:t>o</w:t>
      </w:r>
      <w:r w:rsidRPr="00CC70BA">
        <w:rPr>
          <w:rFonts w:ascii="Times New Roman" w:hAnsi="Times New Roman" w:cs="Times New Roman"/>
          <w:b/>
        </w:rPr>
        <w:t>l</w:t>
      </w:r>
      <w:r w:rsidRPr="00CC70BA">
        <w:rPr>
          <w:rFonts w:ascii="Times New Roman" w:hAnsi="Times New Roman" w:cs="Times New Roman"/>
          <w:b/>
          <w:spacing w:val="1"/>
        </w:rPr>
        <w:t>og</w:t>
      </w:r>
      <w:r w:rsidRPr="00CC70BA">
        <w:rPr>
          <w:rFonts w:ascii="Times New Roman" w:hAnsi="Times New Roman" w:cs="Times New Roman"/>
          <w:b/>
        </w:rPr>
        <w:t>y Pe</w:t>
      </w:r>
      <w:r w:rsidRPr="00CC70BA">
        <w:rPr>
          <w:rFonts w:ascii="Times New Roman" w:hAnsi="Times New Roman" w:cs="Times New Roman"/>
          <w:b/>
          <w:spacing w:val="1"/>
        </w:rPr>
        <w:t>r</w:t>
      </w:r>
      <w:r w:rsidRPr="00CC70BA">
        <w:rPr>
          <w:rFonts w:ascii="Times New Roman" w:hAnsi="Times New Roman" w:cs="Times New Roman"/>
          <w:b/>
          <w:spacing w:val="-1"/>
        </w:rPr>
        <w:t>s</w:t>
      </w:r>
      <w:r w:rsidRPr="00CC70BA">
        <w:rPr>
          <w:rFonts w:ascii="Times New Roman" w:hAnsi="Times New Roman" w:cs="Times New Roman"/>
          <w:b/>
        </w:rPr>
        <w:t>pec</w:t>
      </w:r>
      <w:r w:rsidRPr="00CC70BA">
        <w:rPr>
          <w:rFonts w:ascii="Times New Roman" w:hAnsi="Times New Roman" w:cs="Times New Roman"/>
          <w:b/>
          <w:spacing w:val="1"/>
        </w:rPr>
        <w:t>t</w:t>
      </w:r>
      <w:r w:rsidRPr="00CC70BA">
        <w:rPr>
          <w:rFonts w:ascii="Times New Roman" w:hAnsi="Times New Roman" w:cs="Times New Roman"/>
          <w:b/>
        </w:rPr>
        <w:t>i</w:t>
      </w:r>
      <w:r w:rsidRPr="00CC70BA">
        <w:rPr>
          <w:rFonts w:ascii="Times New Roman" w:hAnsi="Times New Roman" w:cs="Times New Roman"/>
          <w:b/>
          <w:spacing w:val="1"/>
        </w:rPr>
        <w:t>v</w:t>
      </w:r>
      <w:r w:rsidRPr="00CC70BA">
        <w:rPr>
          <w:rFonts w:ascii="Times New Roman" w:hAnsi="Times New Roman" w:cs="Times New Roman"/>
          <w:b/>
          <w:spacing w:val="8"/>
        </w:rPr>
        <w:t>e</w:t>
      </w:r>
    </w:p>
    <w:p w:rsidR="0053511C" w:rsidRPr="007C40F7" w:rsidRDefault="0053511C" w:rsidP="0053511C">
      <w:pPr>
        <w:pStyle w:val="BodyText"/>
        <w:jc w:val="both"/>
        <w:rPr>
          <w:rFonts w:ascii="Times New Roman" w:hAnsi="Times New Roman" w:cs="Times New Roman"/>
        </w:rPr>
      </w:pPr>
      <w:bookmarkStart w:id="0" w:name="_GoBack"/>
      <w:bookmarkEnd w:id="0"/>
    </w:p>
    <w:p w:rsidR="00CC1E49" w:rsidRPr="007C40F7" w:rsidRDefault="007F7E01" w:rsidP="007C40F7">
      <w:pPr>
        <w:jc w:val="both"/>
        <w:rPr>
          <w:rFonts w:ascii="Times New Roman" w:hAnsi="Times New Roman" w:cs="Times New Roman"/>
        </w:rPr>
      </w:pPr>
      <w:r>
        <w:rPr>
          <w:rFonts w:ascii="Times New Roman" w:hAnsi="Times New Roman" w:cs="Times New Roman"/>
        </w:rPr>
        <w:pict>
          <v:rect id="_x0000_i1025" style="width:0;height:1.5pt" o:hralign="center" o:hrstd="t" o:hr="t"/>
        </w:pict>
      </w:r>
    </w:p>
    <w:p w:rsidR="00BB1905" w:rsidRPr="007C40F7" w:rsidRDefault="00BB1905" w:rsidP="007C40F7">
      <w:pPr>
        <w:pStyle w:val="Compact"/>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b/>
        </w:rPr>
        <w:t>Abstract</w:t>
      </w:r>
    </w:p>
    <w:p w:rsidR="000F563A" w:rsidRDefault="000F563A" w:rsidP="000F563A">
      <w:pPr>
        <w:pStyle w:val="NormalWeb"/>
        <w:spacing w:line="360" w:lineRule="auto"/>
        <w:jc w:val="both"/>
      </w:pPr>
      <w:r>
        <w:t>The integration of artificial intelligence (AI) and metabolomics is transforming the fields of food science, technology, and nutrition by enabling data-driven, individualized dietary strategies. Personalized nutrition seeks to move beyond generalized dietary recommendations toward precision-based dietary planning informed by genetic, metabolic, microbiome, and lifestyle variabi</w:t>
      </w:r>
      <w:r w:rsidR="004B14F6">
        <w:t xml:space="preserve">lity. AI techniques </w:t>
      </w:r>
      <w:r>
        <w:t>including machine learning, deep lea</w:t>
      </w:r>
      <w:r w:rsidR="004B14F6">
        <w:t xml:space="preserve">rning, and predictive analytics </w:t>
      </w:r>
      <w:r>
        <w:t xml:space="preserve">enable the interpretation of high-dimensional biological and dietary datasets, while metabolomics provides comprehensive biochemical profiling that reflects nutrient metabolism, bioavailability, and host–microbiome interactions. From a food science perspective, these technologies facilitate intelligent food formulation, optimization of processing conditions, functional ingredient development, and personalized product design. From a nutrition standpoint, AI-integrated metabolomics enhances prediction of postprandial responses, metabolic risk stratification, and chronic disease prevention strategies. This review critically synthesizes current advances, technological frameworks, translational applications, and challenges associated with AI–metabolomics integration in personalized nutrition.  </w:t>
      </w:r>
      <w:r w:rsidRPr="000F563A">
        <w:rPr>
          <w:rStyle w:val="Strong"/>
          <w:b w:val="0"/>
        </w:rPr>
        <w:t>However, despite these advancements, several challenges remain, including high costs of metabolomic technologies, data privacy concerns, limited interpretability of complex AI models, and the need for large-scale validation across diverse populations. Addressing these limitations will be essential for the successful implementation of AI-driven precision nutrition within clinical and food system applications.</w:t>
      </w:r>
      <w:r>
        <w:t xml:space="preserve">  The implications for food engineering, functional food innovation, and regulatory governance are also discussed.</w:t>
      </w:r>
    </w:p>
    <w:p w:rsidR="00BB1905" w:rsidRPr="007C40F7" w:rsidRDefault="007C40F7" w:rsidP="007C40F7">
      <w:pPr>
        <w:pStyle w:val="Compact"/>
        <w:spacing w:line="360" w:lineRule="auto"/>
        <w:jc w:val="both"/>
        <w:rPr>
          <w:rFonts w:ascii="Times New Roman" w:hAnsi="Times New Roman" w:cs="Times New Roman"/>
        </w:rPr>
      </w:pPr>
      <w:r w:rsidRPr="007C40F7">
        <w:rPr>
          <w:rFonts w:ascii="Times New Roman" w:hAnsi="Times New Roman" w:cs="Times New Roman"/>
          <w:b/>
        </w:rPr>
        <w:t>Keywords</w:t>
      </w:r>
      <w:r w:rsidRPr="007C40F7">
        <w:rPr>
          <w:rFonts w:ascii="Times New Roman" w:hAnsi="Times New Roman" w:cs="Times New Roman"/>
        </w:rPr>
        <w:t>:</w:t>
      </w:r>
      <w:r w:rsidR="00BB1905" w:rsidRPr="007C40F7">
        <w:rPr>
          <w:rFonts w:ascii="Times New Roman" w:hAnsi="Times New Roman" w:cs="Times New Roman"/>
        </w:rPr>
        <w:t xml:space="preserve"> Artificial intelligence, metabolomics, food technology, precision nutrition, functional foods, diet optimization, nutrient bioavailability</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lastRenderedPageBreak/>
        <w:t xml:space="preserve">1. </w:t>
      </w:r>
      <w:r w:rsidRPr="007C40F7">
        <w:rPr>
          <w:rFonts w:ascii="Times New Roman" w:hAnsi="Times New Roman" w:cs="Times New Roman"/>
          <w:b/>
        </w:rPr>
        <w:t>Introduction</w:t>
      </w:r>
      <w:r w:rsidRPr="007C40F7">
        <w:rPr>
          <w:rFonts w:ascii="Times New Roman" w:hAnsi="Times New Roman" w:cs="Times New Roman"/>
        </w:rPr>
        <w:t xml:space="preserve">: </w:t>
      </w:r>
    </w:p>
    <w:p w:rsidR="00F93046" w:rsidRPr="007C40F7" w:rsidRDefault="00F93046" w:rsidP="007C40F7">
      <w:pPr>
        <w:pStyle w:val="NormalWeb"/>
        <w:spacing w:line="360" w:lineRule="auto"/>
        <w:jc w:val="both"/>
      </w:pPr>
      <w:r w:rsidRPr="007C40F7">
        <w:t>The global escalation of non-communicable diseases (NCDs), including obesity, type 2 diabetes mellitus (T2DM), cardiovascular diseases (CVDs), and metabolic syndrome, has intensified the need to re-examine the interface between diet, metabolic health, and food system design. Dietary risk factors are among the leading contributors to premature mortality worldwide, surpassing many traditional clinical risk determinants (Afshin et al., 2019). While conventional dietary guidelines have historically focused on meeting population-level nutrient requirements and preventing deficiencies, their generalized framework does not adequately address inter-individual variability in metabolic responses. As chronic metabolic disorders are increasingly recognized as multifactorial and heterogeneous in origin, the limitations of standardized dietary prescriptions have become more apparent</w:t>
      </w:r>
      <w:r w:rsidR="00F5670B">
        <w:t xml:space="preserve"> (Zeevi et al., 2015; Berry et al., 2020)</w:t>
      </w:r>
      <w:r w:rsidRPr="007C40F7">
        <w:t>.</w:t>
      </w:r>
    </w:p>
    <w:p w:rsidR="004D0342" w:rsidRDefault="004D0342" w:rsidP="007C40F7">
      <w:pPr>
        <w:pStyle w:val="NormalWeb"/>
        <w:spacing w:line="360" w:lineRule="auto"/>
        <w:jc w:val="both"/>
      </w:pPr>
      <w:r>
        <w:t>According to the Global Burden of Disease (GBD) Study, poor dietary patterns were responsible for approximately 11 million deaths and more than 255 million disability-adjusted life years (DALYs) globally in 2017, highlighting the substantial impact of diet-related health risks on global public health (Afshin et al., 2019). Diets high in sodium, low in whole grains, and insufficient in fruits have been identified as major contributors to diet-related mortality and morbidity. These findings underscore the urgent need for improved nutritional strategies that move beyond generalized recommendations toward individualized dietary interventions.</w:t>
      </w:r>
      <w:r w:rsidRPr="007C40F7">
        <w:t xml:space="preserve"> </w:t>
      </w:r>
    </w:p>
    <w:p w:rsidR="00F93046" w:rsidRPr="007C40F7" w:rsidRDefault="00F93046" w:rsidP="007C40F7">
      <w:pPr>
        <w:pStyle w:val="NormalWeb"/>
        <w:spacing w:line="360" w:lineRule="auto"/>
        <w:jc w:val="both"/>
      </w:pPr>
      <w:r w:rsidRPr="007C40F7">
        <w:t>Recent advances in nutritional science demonstrate that metabolic responses to identical foods vary considerably among individuals. Variability in postprandial glycemic and lipemic responses has been attributed to complex interactions among host genetics, gut microbiota composition, metabolic phenotype, circadian rhythm, and lifestyle behaviors (Zeevi et al., 2015; Berry et al., 2020). These findings challenge the long-standing macronutrient-centric model of dietary planning and suggest that metabolic health cannot be optimized through uniform dietary advice alone. Instead, individualized metabolic profiling is emerging as a cornerstone of next-generation nutrition science. However, translating this biological insight into practical dietary solutions requires active integration with food engineering and technology domains.</w:t>
      </w:r>
    </w:p>
    <w:p w:rsidR="00F93046" w:rsidRPr="007C40F7" w:rsidRDefault="00F93046" w:rsidP="007C40F7">
      <w:pPr>
        <w:pStyle w:val="NormalWeb"/>
        <w:spacing w:line="360" w:lineRule="auto"/>
        <w:jc w:val="both"/>
      </w:pPr>
      <w:r w:rsidRPr="007C40F7">
        <w:lastRenderedPageBreak/>
        <w:t>From a food engineering perspective, the physiological impact of a food is not solely determined by its nutrient composition but by its structural and physicochemical characteristics. The concept of the food matrix has gained prominence in recent years, emphasizing that nutrient bioaccessibility, digestion kinetics, and metabolic outcomes are strongly influenced by food structure and processing history (Capuano &amp; Pellegrini, 2019). Processing operations such as extrusion, homogenization, thermal treatment, milling, and fermentation modify particle size distribution, macromolecular interactions, and microstructural integrity, thereby altering enzymatic accessibility and nutrient release patterns. For example, intact plant cell walls in minimally processed cereals slow starch hydrolysis, reducing glycemic response, whereas refined flours with disrupted structures accelerate carbohydrate digestion. Similarly, protein denaturation during heat processing may enhance digestibility but can also influence amino acid bioavailability and satiety signaling.</w:t>
      </w:r>
    </w:p>
    <w:p w:rsidR="00F93046" w:rsidRPr="007C40F7" w:rsidRDefault="00F93046" w:rsidP="007C40F7">
      <w:pPr>
        <w:pStyle w:val="NormalWeb"/>
        <w:spacing w:line="360" w:lineRule="auto"/>
        <w:jc w:val="both"/>
      </w:pPr>
      <w:r w:rsidRPr="007C40F7">
        <w:t>Food technology is therefore evolving from a paradigm centered on shelf-life extension and sensory optimization toward one that integrates metabolic functionality as a design criterion. Structured lipids, encapsulated micronutrients, resistant starch incorporation, and fermentation-driven bioactive enhancement exemplify technological strategies aimed at modulating physiological responses. Engineering approaches such as microencapsulation and nanoemulsion systems enable targeted delivery of bioactive compounds, improving stability and controlled release within the gastrointestinal tract. These innovations underscore the necessity of designing foods not merely for nutrient provision but for predictable metabolic outcomes.</w:t>
      </w:r>
    </w:p>
    <w:p w:rsidR="004D0342" w:rsidRDefault="004D0342" w:rsidP="007C40F7">
      <w:pPr>
        <w:pStyle w:val="NormalWeb"/>
        <w:spacing w:line="360" w:lineRule="auto"/>
        <w:jc w:val="both"/>
      </w:pPr>
      <w:r>
        <w:t>In parallel with advances in food engineering, the rapid growth of digital health platforms has enabled continuous monitoring of dietary intake, metabolic biomarkers, and lifestyle behaviors. Mobile health applications, wearable biosensors, and continuous glucose monitoring (CGM) systems generate real-time physiological data that can be integrated with computational models to support personalized dietary guidance. These digital health ecosystems facilitate the collection of large-scale nutritional datasets, enabling researchers and clinicians to evaluate individual dietary responses and metabolic variability more accurately.</w:t>
      </w:r>
      <w:r w:rsidRPr="007C40F7">
        <w:t xml:space="preserve"> </w:t>
      </w:r>
    </w:p>
    <w:p w:rsidR="00F93046" w:rsidRPr="007C40F7" w:rsidRDefault="00F93046" w:rsidP="007C40F7">
      <w:pPr>
        <w:pStyle w:val="NormalWeb"/>
        <w:spacing w:line="360" w:lineRule="auto"/>
        <w:jc w:val="both"/>
      </w:pPr>
      <w:r w:rsidRPr="007C40F7">
        <w:t xml:space="preserve">The integration of metabolomics and artificial intelligence (AI) further strengthens this emerging precision-oriented framework. Metabolomics provides comprehensive profiling of endogenous </w:t>
      </w:r>
      <w:r w:rsidRPr="007C40F7">
        <w:lastRenderedPageBreak/>
        <w:t>metabolites and dietary biomarkers, offering real-time insights into metabolic pathways influenced by food intake (Scalbert et al., 2014</w:t>
      </w:r>
      <w:r w:rsidR="00C5108F">
        <w:t>; Zhang et al., 2023</w:t>
      </w:r>
      <w:r w:rsidRPr="007C40F7">
        <w:t>). Unlike traditional nutrient intake assessments, metabolomic analyses capture functional metabolic responses, thereby bridging the gap between food composition and physiological effect. Concurrently, AI and machine learning algorithms enable the analysis of high-dimensional datasets encompassing dietary patterns, metabolomic signatures, microbiome data, and clinical biomarkers. Predictive models developed through such approaches have demonstrated the ability to forecast individualized glycemic responses with high accuracy (Zeevi et al., 2015; Topol, 2019</w:t>
      </w:r>
      <w:r w:rsidR="00C5108F">
        <w:t>; Zhang et al., 2023</w:t>
      </w:r>
      <w:r w:rsidRPr="007C40F7">
        <w:t>).</w:t>
      </w:r>
    </w:p>
    <w:p w:rsidR="006D761F" w:rsidRDefault="006D761F" w:rsidP="007C40F7">
      <w:pPr>
        <w:pStyle w:val="NormalWeb"/>
        <w:spacing w:line="360" w:lineRule="auto"/>
        <w:jc w:val="both"/>
      </w:pPr>
      <w:r>
        <w:t>Recent developments in predictive nutrition algorithms have demonstrated the capacity to forecast individualized metabolic responses to specific foods. Machine learning models integrating microbiome composition, dietary intake, anthropometric parameters, and metabolomic biomarkers have shown high predictive accuracy in estimating postprandial glucose responses and metabolic risk profiles (Zeevi et al., 2015; Berry et al., 2020). These predictive nutrition algorithms represent a critical step toward data-driven dietary personalization, enabling the development of targeted nutritional interventions and metabolically optimized food products</w:t>
      </w:r>
      <w:r w:rsidRPr="007C40F7">
        <w:t xml:space="preserve"> </w:t>
      </w:r>
    </w:p>
    <w:p w:rsidR="00FA67C2" w:rsidRDefault="00FA67C2" w:rsidP="007C40F7">
      <w:pPr>
        <w:pStyle w:val="NormalWeb"/>
        <w:spacing w:line="360" w:lineRule="auto"/>
        <w:jc w:val="both"/>
      </w:pPr>
      <w:r>
        <w:t xml:space="preserve">Collectively, these advancements signal a paradigm shift in food science and nutrition. Precision nutrition is no longer confined to clinical dietetics but is increasingly embedded within food product development and engineering design. The convergence of nutritional biochemistry, process engineering, systems biology, and computational modeling is redefining how foods are conceptualized, formulated, and optimized </w:t>
      </w:r>
      <w:r w:rsidRPr="00FA67C2">
        <w:rPr>
          <w:rStyle w:val="Strong"/>
          <w:b w:val="0"/>
        </w:rPr>
        <w:t>(Topol, 2019; Liu et al., 2017)</w:t>
      </w:r>
      <w:r w:rsidRPr="00FA67C2">
        <w:rPr>
          <w:b/>
        </w:rPr>
        <w:t>.</w:t>
      </w:r>
      <w:r>
        <w:t xml:space="preserve"> Nevertheless, several challenges remain, including scalability of personalized food production, validation of predictive algorithms across diverse populations, regulatory considerations, and ethical management of health data </w:t>
      </w:r>
      <w:r>
        <w:rPr>
          <w:rStyle w:val="Strong"/>
        </w:rPr>
        <w:t>(</w:t>
      </w:r>
      <w:r w:rsidRPr="00FA67C2">
        <w:rPr>
          <w:rStyle w:val="Strong"/>
          <w:b w:val="0"/>
        </w:rPr>
        <w:t>Zeevi et al., 2015; Berry et al., 2020)</w:t>
      </w:r>
      <w:r w:rsidRPr="00FA67C2">
        <w:rPr>
          <w:b/>
        </w:rPr>
        <w:t>.</w:t>
      </w:r>
    </w:p>
    <w:p w:rsidR="00FA67C2" w:rsidRPr="00FA67C2" w:rsidRDefault="00FA67C2" w:rsidP="007C40F7">
      <w:pPr>
        <w:pStyle w:val="Compact"/>
        <w:spacing w:line="360" w:lineRule="auto"/>
        <w:jc w:val="both"/>
        <w:rPr>
          <w:rStyle w:val="Strong"/>
          <w:rFonts w:ascii="Times New Roman" w:hAnsi="Times New Roman" w:cs="Times New Roman"/>
          <w:b w:val="0"/>
        </w:rPr>
      </w:pPr>
      <w:r w:rsidRPr="00FA67C2">
        <w:rPr>
          <w:rFonts w:ascii="Times New Roman" w:hAnsi="Times New Roman" w:cs="Times New Roman"/>
        </w:rPr>
        <w:t xml:space="preserve">This review therefore examines the evolving intersection of food engineering, food technology, and nutritional science within the framework of precision nutrition. By critically analyzing current evidence on metabolic variability, food matrix effects, processing-induced functional modifications, and AI-driven predictive modeling, the review aims to elucidate how interdisciplinary integration can transform future food systems toward individualized metabolic </w:t>
      </w:r>
      <w:r w:rsidRPr="00FA67C2">
        <w:rPr>
          <w:rFonts w:ascii="Times New Roman" w:hAnsi="Times New Roman" w:cs="Times New Roman"/>
        </w:rPr>
        <w:lastRenderedPageBreak/>
        <w:t>health optimization</w:t>
      </w:r>
      <w:r w:rsidRPr="00C31513">
        <w:rPr>
          <w:rFonts w:ascii="Times New Roman" w:hAnsi="Times New Roman" w:cs="Times New Roman"/>
        </w:rPr>
        <w:t xml:space="preserve"> </w:t>
      </w:r>
      <w:r w:rsidRPr="00C31513">
        <w:rPr>
          <w:rStyle w:val="Strong"/>
          <w:rFonts w:ascii="Times New Roman" w:hAnsi="Times New Roman" w:cs="Times New Roman"/>
        </w:rPr>
        <w:t>(</w:t>
      </w:r>
      <w:r w:rsidRPr="00FA67C2">
        <w:rPr>
          <w:rStyle w:val="Strong"/>
          <w:rFonts w:ascii="Times New Roman" w:hAnsi="Times New Roman" w:cs="Times New Roman"/>
          <w:b w:val="0"/>
        </w:rPr>
        <w:t>Capuano &amp; Pellegrini, 2019; Zeevi et al., 2015; Berry et al., 2020; Topol, 2019).</w:t>
      </w:r>
    </w:p>
    <w:p w:rsidR="00FA67C2" w:rsidRDefault="00FA67C2" w:rsidP="007C40F7">
      <w:pPr>
        <w:pStyle w:val="Compact"/>
        <w:spacing w:line="360" w:lineRule="auto"/>
        <w:jc w:val="both"/>
        <w:rPr>
          <w:rStyle w:val="Strong"/>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 Artificial Intelligence in Food Science and Personalized Nutrition</w:t>
      </w:r>
    </w:p>
    <w:p w:rsidR="00BB1905" w:rsidRPr="007C40F7" w:rsidRDefault="00BB1905" w:rsidP="007C40F7">
      <w:pPr>
        <w:pStyle w:val="Compact"/>
        <w:spacing w:line="360" w:lineRule="auto"/>
        <w:jc w:val="both"/>
        <w:rPr>
          <w:rFonts w:ascii="Times New Roman" w:hAnsi="Times New Roman" w:cs="Times New Roman"/>
        </w:rPr>
      </w:pPr>
    </w:p>
    <w:p w:rsidR="00BB1905" w:rsidRPr="0054315D"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Artificial intelligence refers to computational systems capable of learning patterns from data and generating predictive or decision-making outputs without explicit rule-based programming (Topol, 2019</w:t>
      </w:r>
      <w:r w:rsidR="0054315D" w:rsidRPr="0054315D">
        <w:rPr>
          <w:rFonts w:ascii="Times New Roman" w:hAnsi="Times New Roman" w:cs="Times New Roman"/>
          <w:b/>
        </w:rPr>
        <w:t xml:space="preserve">; </w:t>
      </w:r>
      <w:r w:rsidR="0054315D" w:rsidRPr="0054315D">
        <w:rPr>
          <w:rStyle w:val="Strong"/>
          <w:rFonts w:ascii="Times New Roman" w:hAnsi="Times New Roman" w:cs="Times New Roman"/>
          <w:b w:val="0"/>
        </w:rPr>
        <w:t>Agrawal et al., 2025</w:t>
      </w:r>
      <w:r w:rsidR="0054315D">
        <w:rPr>
          <w:rFonts w:ascii="Times New Roman" w:hAnsi="Times New Roman" w:cs="Times New Roman"/>
        </w:rPr>
        <w:t>)</w:t>
      </w:r>
      <w:r w:rsidRPr="007C40F7">
        <w:rPr>
          <w:rFonts w:ascii="Times New Roman" w:hAnsi="Times New Roman" w:cs="Times New Roman"/>
        </w:rPr>
        <w:t>.</w:t>
      </w:r>
      <w:r w:rsidR="0054315D">
        <w:rPr>
          <w:rFonts w:ascii="Times New Roman" w:hAnsi="Times New Roman" w:cs="Times New Roman"/>
        </w:rPr>
        <w:t xml:space="preserve">  </w:t>
      </w:r>
      <w:r w:rsidR="0054315D" w:rsidRPr="0054315D">
        <w:rPr>
          <w:rFonts w:ascii="Times New Roman" w:hAnsi="Times New Roman" w:cs="Times New Roman"/>
        </w:rPr>
        <w:t>AI-driven analytical frameworks have increasingly been applied in food manufacturing, dietary monitoring, and personalized nutrition modeling, enabling data-driven decision-making across food systems (</w:t>
      </w:r>
      <w:r w:rsidR="0054315D" w:rsidRPr="0054315D">
        <w:rPr>
          <w:rStyle w:val="Strong"/>
          <w:rFonts w:ascii="Times New Roman" w:hAnsi="Times New Roman" w:cs="Times New Roman"/>
          <w:b w:val="0"/>
        </w:rPr>
        <w:t>Wang et al., 2025</w:t>
      </w:r>
      <w:r w:rsidR="0054315D" w:rsidRPr="0054315D">
        <w:rPr>
          <w:rFonts w:ascii="Times New Roman" w:hAnsi="Times New Roman" w:cs="Times New Roman"/>
        </w:rPr>
        <w:t>).</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2.1 AI in Food Composition Analysis and Nutrient Optimization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Food composition is influenced by raw material variability, processing techniques, and storage conditions. AI-driven predictive models can estimate nutrient degradation, phytochemical retention, and protein denaturation under various processing conditions such as extrusion, drying, and thermal treatment (Jagtap et al., 2021).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Machine learning algorithms enable: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Prediction of vitamin and antioxidant losses during processing</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Simulation of reformulation strategies (e.g., sugar and fat reduction)</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Optimization of functional ingredient incorporation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For example, predictive modeling has been used to optimize extrusion parameters for protein-rich products while maintaining amino acid integrity (Singh et al., 2022). AI-based reformulation tools also assist in reducing sodium or sugar without compromising sensory attributes (Aguilera, 2019).</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Thus, AI enhances intelligent product design aligned with personalized nutritional requirements.</w:t>
      </w:r>
    </w:p>
    <w:p w:rsidR="00BD1AAB" w:rsidRDefault="00BD1AAB" w:rsidP="007C40F7">
      <w:pPr>
        <w:pStyle w:val="Compact"/>
        <w:spacing w:line="360" w:lineRule="auto"/>
        <w:jc w:val="both"/>
        <w:rPr>
          <w:rFonts w:ascii="Times New Roman" w:hAnsi="Times New Roman" w:cs="Times New Roman"/>
          <w:b/>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2.2 AI-Based Dietary Assessment and Intake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Accurate dietary assessment remains a major limitation in nutrition research due to recall bias and underreporting (Subar et al., 2015). AI-driven image recognition and natural language processing tools improve precision in dietary tracking.</w:t>
      </w:r>
    </w:p>
    <w:p w:rsidR="00BB1905" w:rsidRPr="00B62EC9" w:rsidRDefault="00B62EC9" w:rsidP="00B62EC9">
      <w:pPr>
        <w:pStyle w:val="Compact"/>
        <w:spacing w:line="360" w:lineRule="auto"/>
        <w:jc w:val="both"/>
        <w:rPr>
          <w:rFonts w:ascii="Times New Roman" w:hAnsi="Times New Roman" w:cs="Times New Roman"/>
        </w:rPr>
      </w:pPr>
      <w:r w:rsidRPr="00B62EC9">
        <w:rPr>
          <w:rFonts w:ascii="Times New Roman" w:hAnsi="Times New Roman" w:cs="Times New Roman"/>
        </w:rPr>
        <w:t xml:space="preserve">Convolutional neural networks (CNNs) enable automated food recognition and portion size estimation through smartphone imaging (Min et al., 2019). Recent advances in machine learning and multimodal sensing technologies have further improved automated dietary assessment systems capable of estimating macronutrient intake and metabolic responses using wearable sensors and digital food imaging (Arefeen et al., 2025). Integration with nutrient databases allows real-time nutrient profiling. </w:t>
      </w:r>
      <w:r w:rsidRPr="00B62EC9">
        <w:rPr>
          <w:rStyle w:val="Strong"/>
          <w:rFonts w:ascii="Times New Roman" w:hAnsi="Times New Roman" w:cs="Times New Roman"/>
          <w:b w:val="0"/>
        </w:rPr>
        <w:t>Wearable sensors and continuous glucose monitoring (CGM) systems further enhance data collection accuracy by providing real-time physiological feedback on dietary responses (Zeevi et al., 2015; Berry et al., 2020).</w:t>
      </w:r>
      <w:r w:rsidRPr="00B62EC9">
        <w:rPr>
          <w:rFonts w:ascii="Times New Roman" w:hAnsi="Times New Roman" w:cs="Times New Roman"/>
        </w:rPr>
        <w:t xml:space="preserve"> From a food technology standpoint, these tools provide valuable consumer intake data, enabling targeted product development and reformulation strategies.</w:t>
      </w:r>
    </w:p>
    <w:p w:rsidR="00B62EC9" w:rsidRPr="007C40F7" w:rsidRDefault="00B62EC9"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2.3 Predictive Modeling of Postprandial Responses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564151" w:rsidP="007C40F7">
      <w:pPr>
        <w:pStyle w:val="Compact"/>
        <w:spacing w:line="360" w:lineRule="auto"/>
        <w:jc w:val="both"/>
        <w:rPr>
          <w:rFonts w:ascii="Times New Roman" w:hAnsi="Times New Roman" w:cs="Times New Roman"/>
        </w:rPr>
      </w:pPr>
      <w:r w:rsidRPr="00564151">
        <w:rPr>
          <w:rFonts w:ascii="Times New Roman" w:hAnsi="Times New Roman" w:cs="Times New Roman"/>
        </w:rPr>
        <w:t>Predictive models integrating microbiome composition, dietary intake, and metabolomic biomarkers are increasingly being developed using deep learning architectures to improve precision nutrition strategies</w:t>
      </w:r>
      <w:r w:rsidRPr="00564151">
        <w:rPr>
          <w:rFonts w:ascii="Times New Roman" w:hAnsi="Times New Roman" w:cs="Times New Roman"/>
          <w:b/>
        </w:rPr>
        <w:t xml:space="preserve"> (</w:t>
      </w:r>
      <w:r w:rsidRPr="00564151">
        <w:rPr>
          <w:rStyle w:val="Strong"/>
          <w:rFonts w:ascii="Times New Roman" w:hAnsi="Times New Roman" w:cs="Times New Roman"/>
          <w:b w:val="0"/>
        </w:rPr>
        <w:t>Liu, 2025</w:t>
      </w:r>
      <w:r w:rsidRPr="00564151">
        <w:rPr>
          <w:rFonts w:ascii="Times New Roman" w:hAnsi="Times New Roman" w:cs="Times New Roman"/>
          <w:b/>
        </w:rPr>
        <w:t>).</w:t>
      </w:r>
      <w:r w:rsidRPr="00564151">
        <w:rPr>
          <w:rFonts w:ascii="Times New Roman" w:hAnsi="Times New Roman" w:cs="Times New Roman"/>
        </w:rPr>
        <w:t xml:space="preserve"> </w:t>
      </w:r>
      <w:r w:rsidR="00277ACC">
        <w:rPr>
          <w:rFonts w:ascii="Times New Roman" w:hAnsi="Times New Roman" w:cs="Times New Roman"/>
        </w:rPr>
        <w:t xml:space="preserve">  </w:t>
      </w:r>
      <w:r w:rsidR="00BB1905" w:rsidRPr="00564151">
        <w:rPr>
          <w:rFonts w:ascii="Times New Roman" w:hAnsi="Times New Roman" w:cs="Times New Roman"/>
        </w:rPr>
        <w:t>One o</w:t>
      </w:r>
      <w:r w:rsidR="00BB1905" w:rsidRPr="007C40F7">
        <w:rPr>
          <w:rFonts w:ascii="Times New Roman" w:hAnsi="Times New Roman" w:cs="Times New Roman"/>
        </w:rPr>
        <w:t>f the most transformative applications of AI in nutrition is the prediction of individualized postprandial glucose responses (PPGR). Zeevi et al. (2015) demonstrated that machine learning models integrating microbiome composition, clinical parameters, and dietary intake accurately predicted PPGR variability among individuals.</w:t>
      </w:r>
      <w:r w:rsidR="00734B51">
        <w:rPr>
          <w:rFonts w:ascii="Times New Roman" w:hAnsi="Times New Roman" w:cs="Times New Roman"/>
        </w:rPr>
        <w:t xml:space="preserve">  </w:t>
      </w:r>
      <w:r w:rsidR="00BB1905" w:rsidRPr="007C40F7">
        <w:rPr>
          <w:rFonts w:ascii="Times New Roman" w:hAnsi="Times New Roman" w:cs="Times New Roman"/>
        </w:rPr>
        <w:t>Subsequent large-scale trials such as the PREDICT study confirmed significant inter-individual variability in postprandial lipemic and glycemic responses (Berry et al., 2020). AI algorithms incorporating macronutrient composition, fiber content, and microbiome-derived metabolites enhance prediction accuracy.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From a food science perspective, this enables the development of:</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lastRenderedPageBreak/>
        <w:t>Low glycemic index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Controlled carbohydrate-release systems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Fiber-enriched functional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Protein-optimized formulations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2.4 AI in Smart Food Manufacturing and Personalization</w:t>
      </w:r>
    </w:p>
    <w:p w:rsidR="00BB1905" w:rsidRPr="00331453" w:rsidRDefault="00BB1905" w:rsidP="00AA67EC">
      <w:pPr>
        <w:pStyle w:val="Compact"/>
        <w:spacing w:line="360" w:lineRule="auto"/>
        <w:jc w:val="both"/>
        <w:rPr>
          <w:rFonts w:ascii="Times New Roman" w:hAnsi="Times New Roman" w:cs="Times New Roman"/>
        </w:rPr>
      </w:pPr>
      <w:r w:rsidRPr="007C40F7">
        <w:rPr>
          <w:rFonts w:ascii="Times New Roman" w:hAnsi="Times New Roman" w:cs="Times New Roman"/>
        </w:rPr>
        <w:t>AI-driven automation supports adaptive manufacturing systems, including 3D food printing and on-demand nutrient blending (Liu et al., 2017). These technologies allow customization of macronutrient ratios and micronutrient fortification based on individual metabolic profiles.</w:t>
      </w:r>
      <w:r w:rsidR="00AA67EC">
        <w:rPr>
          <w:rFonts w:ascii="Times New Roman" w:hAnsi="Times New Roman" w:cs="Times New Roman"/>
        </w:rPr>
        <w:t xml:space="preserve"> </w:t>
      </w:r>
      <w:r w:rsidR="00486E81" w:rsidRPr="00331453">
        <w:rPr>
          <w:rFonts w:ascii="Times New Roman" w:hAnsi="Times New Roman" w:cs="Times New Roman"/>
        </w:rPr>
        <w:t xml:space="preserve">Food engineers can integrate AI into processing lines to modify ingredient ratios dynamically, facilitating personalized meal production </w:t>
      </w:r>
      <w:r w:rsidR="00486E81" w:rsidRPr="00331453">
        <w:rPr>
          <w:rStyle w:val="Strong"/>
          <w:rFonts w:ascii="Times New Roman" w:hAnsi="Times New Roman" w:cs="Times New Roman"/>
        </w:rPr>
        <w:t>(</w:t>
      </w:r>
      <w:r w:rsidR="00486E81" w:rsidRPr="00331453">
        <w:rPr>
          <w:rStyle w:val="Strong"/>
          <w:rFonts w:ascii="Times New Roman" w:hAnsi="Times New Roman" w:cs="Times New Roman"/>
          <w:b w:val="0"/>
        </w:rPr>
        <w:t>Liu et al., 2017; Jagtap et al., 2021)</w:t>
      </w:r>
      <w:r w:rsidR="00486E81" w:rsidRPr="00331453">
        <w:rPr>
          <w:rFonts w:ascii="Times New Roman" w:hAnsi="Times New Roman" w:cs="Times New Roman"/>
          <w:b/>
        </w:rPr>
        <w:t>.</w:t>
      </w:r>
      <w:r w:rsidR="00486E81" w:rsidRPr="00331453">
        <w:rPr>
          <w:rFonts w:ascii="Times New Roman" w:hAnsi="Times New Roman" w:cs="Times New Roman"/>
        </w:rPr>
        <w:t xml:space="preserve"> Such innovations represent a shift from mass production toward mass personalization in modern food manufacturing systems</w:t>
      </w:r>
      <w:r w:rsidR="00486E81" w:rsidRPr="00331453">
        <w:rPr>
          <w:rFonts w:ascii="Times New Roman" w:hAnsi="Times New Roman" w:cs="Times New Roman"/>
          <w:b/>
        </w:rPr>
        <w:t xml:space="preserve"> </w:t>
      </w:r>
      <w:r w:rsidR="00486E81" w:rsidRPr="00331453">
        <w:rPr>
          <w:rStyle w:val="Strong"/>
          <w:rFonts w:ascii="Times New Roman" w:hAnsi="Times New Roman" w:cs="Times New Roman"/>
          <w:b w:val="0"/>
        </w:rPr>
        <w:t>(Jagtap et al., 2021)</w:t>
      </w:r>
      <w:r w:rsidR="00486E81" w:rsidRPr="00331453">
        <w:rPr>
          <w:rFonts w:ascii="Times New Roman" w:hAnsi="Times New Roman" w:cs="Times New Roman"/>
          <w:b/>
        </w:rPr>
        <w:t>.</w:t>
      </w:r>
    </w:p>
    <w:p w:rsidR="00331453" w:rsidRPr="007C40F7" w:rsidRDefault="00331453"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 Metabolomics in Food Nutrition and Health Optimization</w:t>
      </w:r>
    </w:p>
    <w:p w:rsidR="00BB1905" w:rsidRDefault="006D761F" w:rsidP="007C40F7">
      <w:pPr>
        <w:pStyle w:val="Compact"/>
        <w:spacing w:line="360" w:lineRule="auto"/>
        <w:jc w:val="both"/>
        <w:rPr>
          <w:rFonts w:ascii="Times New Roman" w:hAnsi="Times New Roman" w:cs="Times New Roman"/>
        </w:rPr>
      </w:pPr>
      <w:r w:rsidRPr="006D761F">
        <w:rPr>
          <w:rFonts w:ascii="Times New Roman" w:hAnsi="Times New Roman" w:cs="Times New Roman"/>
        </w:rPr>
        <w:t xml:space="preserve">Metabolomics involves comprehensive analysis of small-molecule metabolites using techniques such as nuclear magnetic resonance (NMR) and liquid chromatography–mass spectrometry (LC-MS) (Scalbert et al., 2014; </w:t>
      </w:r>
      <w:r w:rsidRPr="006D761F">
        <w:rPr>
          <w:rStyle w:val="Strong"/>
          <w:rFonts w:ascii="Times New Roman" w:hAnsi="Times New Roman" w:cs="Times New Roman"/>
          <w:b w:val="0"/>
        </w:rPr>
        <w:t>Mamman et al., 2025</w:t>
      </w:r>
      <w:r w:rsidRPr="006D761F">
        <w:rPr>
          <w:rFonts w:ascii="Times New Roman" w:hAnsi="Times New Roman" w:cs="Times New Roman"/>
          <w:b/>
        </w:rPr>
        <w:t xml:space="preserve">). </w:t>
      </w:r>
      <w:r w:rsidRPr="006D761F">
        <w:rPr>
          <w:rStyle w:val="Strong"/>
          <w:rFonts w:ascii="Times New Roman" w:hAnsi="Times New Roman" w:cs="Times New Roman"/>
          <w:b w:val="0"/>
        </w:rPr>
        <w:t>Recent research has emphasized the critical role of metabolomic profiling in understanding metabolic pathways associated with diet, disease progression, and biomarker discovery, thereby supporting the development of precision nutrition strategies and targeted therapeutic interventions (Mamman et al., 2025)</w:t>
      </w:r>
      <w:r w:rsidR="00BB1905" w:rsidRPr="006D761F">
        <w:rPr>
          <w:rFonts w:ascii="Times New Roman" w:hAnsi="Times New Roman" w:cs="Times New Roman"/>
          <w:b/>
        </w:rPr>
        <w:t>.</w:t>
      </w:r>
      <w:r w:rsidR="00763BA6" w:rsidRPr="006D761F">
        <w:rPr>
          <w:rFonts w:ascii="Times New Roman" w:hAnsi="Times New Roman" w:cs="Times New Roman"/>
          <w:b/>
        </w:rPr>
        <w:t xml:space="preserve"> </w:t>
      </w:r>
      <w:r w:rsidR="00763BA6">
        <w:rPr>
          <w:rFonts w:ascii="Times New Roman" w:hAnsi="Times New Roman" w:cs="Times New Roman"/>
        </w:rPr>
        <w:t xml:space="preserve"> </w:t>
      </w:r>
      <w:r w:rsidR="00763BA6" w:rsidRPr="00763BA6">
        <w:rPr>
          <w:rFonts w:ascii="Times New Roman" w:hAnsi="Times New Roman" w:cs="Times New Roman"/>
        </w:rPr>
        <w:t xml:space="preserve">Recent advances in food metabolomics have expanded its applications in food quality evaluation, dietary biomarker discovery, and precision nutrition research </w:t>
      </w:r>
      <w:r w:rsidR="00763BA6" w:rsidRPr="00763BA6">
        <w:rPr>
          <w:rFonts w:ascii="Times New Roman" w:hAnsi="Times New Roman" w:cs="Times New Roman"/>
          <w:b/>
        </w:rPr>
        <w:t>(</w:t>
      </w:r>
      <w:r w:rsidR="00763BA6" w:rsidRPr="00763BA6">
        <w:rPr>
          <w:rStyle w:val="Strong"/>
          <w:rFonts w:ascii="Times New Roman" w:hAnsi="Times New Roman" w:cs="Times New Roman"/>
          <w:b w:val="0"/>
        </w:rPr>
        <w:t>Conte-Junior et al., 2024; Zhang et al., 2023</w:t>
      </w:r>
      <w:r w:rsidR="00763BA6" w:rsidRPr="00763BA6">
        <w:rPr>
          <w:rFonts w:ascii="Times New Roman" w:hAnsi="Times New Roman" w:cs="Times New Roman"/>
          <w:b/>
        </w:rPr>
        <w:t>).</w:t>
      </w:r>
      <w:r w:rsidR="00763BA6">
        <w:t xml:space="preserve">  </w:t>
      </w:r>
      <w:r w:rsidR="00BB1905" w:rsidRPr="007C40F7">
        <w:rPr>
          <w:rFonts w:ascii="Times New Roman" w:hAnsi="Times New Roman" w:cs="Times New Roman"/>
        </w:rPr>
        <w:t>Unlike genomics, which reflects potential biological function, metabolomics captures real-time physiological responses to diet, making it particularly valuable in nutrition science.</w:t>
      </w:r>
    </w:p>
    <w:p w:rsidR="00763BA6" w:rsidRDefault="00763BA6"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3.1 Nutrient Bioavailability and Food Matrix Effects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 food matrix significantly influences digestion kinetics and nutrient absorption (Capuano &amp; Pellegrini, 2019). Metabolomic profiling enables quantification of metabolites associated with lipid oxidation, amino acid metabolism, and polyphenol biotransformation.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lastRenderedPageBreak/>
        <w:t>For example: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Encapsulation enhances bioavailability of fat-soluble vitamins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Fermentation improves bioactive peptide release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Whole grains exhibit slower glucose release compared to refined grains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These findings guide food technologists in designing structures that optimize nutrient delivery.</w:t>
      </w: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3.2 Dietary Metabolic Signatures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Distinct dietary patterns generate characteristic metabolic fingerprints. For instance:</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High-protein diets increase branched-chain amino acids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High-fiber diets elevate short-chain fatty acids (SCFAs)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Mediterranean diets increase polyphenol-derived metabolites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Such metabolic signatures enable classification of individuals into metabotypes, improving dietary precision (O’Sullivan et al., 2011).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3.3 Microbiome–Metabolome Interactions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Gut microbiota-derived metabolites such as acetate, propionate, and butyrate influence insulin sensitivity and inflammation (Koh et al., 2016). Integration of microbiome sequencing with metabolomics enhances prediction of dietary response variability.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Fermented foods and prebiotic-rich diets significantly alter metabolomic profiles, highlighting opportunities for targeted functional food development.</w:t>
      </w:r>
    </w:p>
    <w:p w:rsidR="007C40F7" w:rsidRDefault="007C40F7" w:rsidP="007C40F7">
      <w:pPr>
        <w:pStyle w:val="Compact"/>
        <w:spacing w:line="360" w:lineRule="auto"/>
        <w:jc w:val="both"/>
        <w:rPr>
          <w:rFonts w:ascii="Times New Roman" w:hAnsi="Times New Roman" w:cs="Times New Roman"/>
        </w:rPr>
      </w:pPr>
    </w:p>
    <w:p w:rsidR="004B14F6" w:rsidRDefault="004B14F6" w:rsidP="007C40F7">
      <w:pPr>
        <w:pStyle w:val="Compact"/>
        <w:spacing w:line="360" w:lineRule="auto"/>
        <w:jc w:val="both"/>
        <w:rPr>
          <w:rFonts w:ascii="Times New Roman" w:hAnsi="Times New Roman" w:cs="Times New Roman"/>
        </w:rPr>
      </w:pPr>
    </w:p>
    <w:p w:rsidR="004B14F6" w:rsidRDefault="004B14F6" w:rsidP="007C40F7">
      <w:pPr>
        <w:pStyle w:val="Compact"/>
        <w:spacing w:line="360" w:lineRule="auto"/>
        <w:jc w:val="both"/>
        <w:rPr>
          <w:rFonts w:ascii="Times New Roman" w:hAnsi="Times New Roman" w:cs="Times New Roman"/>
        </w:rPr>
      </w:pP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3.4 Biomarkers for Dietary Adherence and Intervention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Metabolomics provides objective biomarkers of dietary intake, reducing reliance on self-reported data (Scalbert et al., 2014). For example:</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lastRenderedPageBreak/>
        <w:t>Alkylresorcinols indicate whole grain consumption</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Proline betaine reflects citrus intake</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TMAO levels correlate with red meat consumption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Such biomarkers strengthen clinical validation of personalized dietary interventions.</w:t>
      </w: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 xml:space="preserve"> 4. Integration of AI and Metabolomics in Precision Food Systems</w:t>
      </w:r>
    </w:p>
    <w:p w:rsidR="006D761F" w:rsidRDefault="006D761F" w:rsidP="005727D7">
      <w:pPr>
        <w:pStyle w:val="NormalWeb"/>
        <w:spacing w:line="360" w:lineRule="auto"/>
        <w:jc w:val="both"/>
      </w:pPr>
      <w:r>
        <w:t xml:space="preserve">The emergence of predictive nutrition algorithms and digital health platforms further strengthens the integration of AI and metabolomics in precision food systems. Digital nutrition platforms combine dietary tracking applications, wearable physiological sensors, and cloud-based health analytics to continuously collect individualized metabolic and behavioral data. AI algorithms can process these multidimensional datasets to identify metabolic patterns, predict dietary responses, and generate personalized nutritional recommendations. Predictive nutrition models developed using machine learning techniques integrate metabolomic biomarkers, microbiome profiles, dietary intake records, and clinical indicators to forecast metabolic responses such as glycemic excursions, lipid metabolism, and inflammatory markers. From a food engineering standpoint, these predictive insights enable the development of metabolically adaptive food formulations, allowing food manufacturers to design products that align with individualized metabolic requirements. </w:t>
      </w:r>
    </w:p>
    <w:p w:rsidR="00B1676F" w:rsidRDefault="00DD5C77" w:rsidP="005727D7">
      <w:pPr>
        <w:pStyle w:val="NormalWeb"/>
        <w:spacing w:line="360" w:lineRule="auto"/>
        <w:jc w:val="both"/>
      </w:pPr>
      <w:r>
        <w:t xml:space="preserve">AI-driven metabolomics platforms enable the identification of complex nonlinear relationships between dietary compounds, microbial metabolism, and metabolic health outcomes </w:t>
      </w:r>
      <w:r w:rsidRPr="00DD5C77">
        <w:rPr>
          <w:b/>
        </w:rPr>
        <w:t>(</w:t>
      </w:r>
      <w:r w:rsidRPr="00DD5C77">
        <w:rPr>
          <w:rStyle w:val="Strong"/>
          <w:b w:val="0"/>
        </w:rPr>
        <w:t>Kapoor, 2023</w:t>
      </w:r>
      <w:r w:rsidRPr="00DD5C77">
        <w:rPr>
          <w:b/>
        </w:rPr>
        <w:t>).</w:t>
      </w:r>
      <w:r>
        <w:t xml:space="preserve"> </w:t>
      </w:r>
      <w:r w:rsidR="00B1676F">
        <w:t xml:space="preserve">The integration of artificial intelligence (AI) with metabolomics represents a transformative advancement in the design and optimization of precision food systems. From a food engineering perspective, this convergence provides a scientific framework for translating complex biological data into structured, functional, and metabolically targeted food products. Traditional food formulation relies on compositional analysis and sensory optimization; however, precision food systems require multidimensional datasets that capture dynamic metabolic responses. Metabolomics generates high-throughput quantitative profiles of small-molecule metabolites reflecting nutrient utilization, metabolic flux, and physiological adaptation to dietary intake (Scalbert et al., 2014). When coupled with AI-driven computational modeling, </w:t>
      </w:r>
      <w:r w:rsidR="00B1676F">
        <w:lastRenderedPageBreak/>
        <w:t>these data enable identification of nonlinear and multivariate relationships between food structure, processing parameters, and metabolic outcomes.</w:t>
      </w:r>
    </w:p>
    <w:p w:rsidR="00362B13" w:rsidRPr="00362B13" w:rsidRDefault="00362B13" w:rsidP="005727D7">
      <w:pPr>
        <w:pStyle w:val="NormalWeb"/>
        <w:spacing w:line="360" w:lineRule="auto"/>
        <w:jc w:val="both"/>
        <w:rPr>
          <w:b/>
        </w:rPr>
      </w:pPr>
      <w:r>
        <w:t xml:space="preserve">Food systems are inherently complex, involving hierarchical structures ranging from molecular interactions to macrostructural organization </w:t>
      </w:r>
      <w:r w:rsidRPr="00362B13">
        <w:rPr>
          <w:rStyle w:val="Strong"/>
          <w:b w:val="0"/>
        </w:rPr>
        <w:t>(Aguilera, 2019)</w:t>
      </w:r>
      <w:r w:rsidRPr="00362B13">
        <w:rPr>
          <w:b/>
        </w:rPr>
        <w:t>.</w:t>
      </w:r>
      <w:r>
        <w:t xml:space="preserve"> Conventional statistical tools often fail to adequately model such complexity. AI techniques—particularly machine learning and deep learning algorithms—are capable of handling high-dimensional datasets and extracting predictive features from integrated omics platforms </w:t>
      </w:r>
      <w:r w:rsidRPr="00362B13">
        <w:rPr>
          <w:rStyle w:val="Strong"/>
          <w:b w:val="0"/>
        </w:rPr>
        <w:t>(Topol, 2019)</w:t>
      </w:r>
      <w:r w:rsidRPr="00362B13">
        <w:rPr>
          <w:b/>
        </w:rPr>
        <w:t>.</w:t>
      </w:r>
      <w:r>
        <w:t xml:space="preserve"> As highlighted by Topol (2019), deep learning models can synthesize genomic, metabolomic, microbiome, and clinical datasets to generate individualized predictive outputs. In the context of food engineering, this multi-omics integration enables rational design of food matrices tailored to specific metabolic phenotypes </w:t>
      </w:r>
      <w:r w:rsidRPr="00362B13">
        <w:rPr>
          <w:rStyle w:val="Strong"/>
          <w:b w:val="0"/>
        </w:rPr>
        <w:t>(Capuano &amp; Pellegrini, 2019)</w:t>
      </w:r>
      <w:r w:rsidRPr="00362B13">
        <w:rPr>
          <w:b/>
        </w:rPr>
        <w:t>.</w:t>
      </w:r>
      <w:r>
        <w:t xml:space="preserve"> For example, predictive models can guide the formulation of low-glycemic carbohydrate systems by optimizing starch structure, particle size distribution, and fiber interactions based on individual metabolic response patterns </w:t>
      </w:r>
      <w:r w:rsidRPr="00362B13">
        <w:rPr>
          <w:rStyle w:val="Strong"/>
          <w:b w:val="0"/>
        </w:rPr>
        <w:t>(Zeevi et al., 2015; Berry et al., 2020)</w:t>
      </w:r>
      <w:r w:rsidRPr="00362B13">
        <w:rPr>
          <w:b/>
        </w:rPr>
        <w:t>.</w:t>
      </w:r>
    </w:p>
    <w:p w:rsidR="00B1676F" w:rsidRDefault="00B1676F" w:rsidP="005727D7">
      <w:pPr>
        <w:pStyle w:val="NormalWeb"/>
        <w:spacing w:line="360" w:lineRule="auto"/>
        <w:jc w:val="both"/>
      </w:pPr>
      <w:r>
        <w:t>The incorporation of real-time data streams further strengthens this framework. Continuous glucose monitoring (CGM) devices, wearable biosensors measuring physical activity and physiological parameters, and periodic metabolomic biomarker assessments provide dynamic feedback on metabolic status. Integration of these inputs into AI-driven adaptive systems enables iterative refinement of dietary recommendations and product functionality. Unlike static food formulations, precision food systems can evolve based on real-time metabolic responses, supporting dynamic diet optimization (Zeevi et al., 2015; Berry et al., 2020). From an engineering standpoint, this introduces the concept of feedback-controlled food design, analogous to process control systems used in industrial manufacturing.</w:t>
      </w:r>
    </w:p>
    <w:p w:rsidR="008C08E4" w:rsidRDefault="008C08E4" w:rsidP="005727D7">
      <w:pPr>
        <w:pStyle w:val="NormalWeb"/>
        <w:spacing w:line="360" w:lineRule="auto"/>
        <w:jc w:val="both"/>
      </w:pPr>
      <w:r>
        <w:t xml:space="preserve">Such developments have profound implications for food product engineering. Customized functional foods can be developed by adjusting ingredient ratios, encapsulation strategies, and structural configurations to align with predicted metabolic </w:t>
      </w:r>
      <w:r w:rsidRPr="008C08E4">
        <w:t>requirements</w:t>
      </w:r>
      <w:r w:rsidRPr="008C08E4">
        <w:rPr>
          <w:b/>
        </w:rPr>
        <w:t xml:space="preserve"> </w:t>
      </w:r>
      <w:r w:rsidRPr="008C08E4">
        <w:rPr>
          <w:rStyle w:val="Strong"/>
          <w:b w:val="0"/>
        </w:rPr>
        <w:t>(Aguilera, 2019)</w:t>
      </w:r>
      <w:r w:rsidRPr="008C08E4">
        <w:rPr>
          <w:b/>
        </w:rPr>
        <w:t>.</w:t>
      </w:r>
      <w:r>
        <w:t xml:space="preserve"> Microencapsulation technologies may be used to modulate release kinetics of micronutrients or bioactive compounds, while structured emulsions can be engineered to control lipid digestion rates </w:t>
      </w:r>
      <w:r w:rsidRPr="008C08E4">
        <w:rPr>
          <w:rStyle w:val="Strong"/>
          <w:b w:val="0"/>
        </w:rPr>
        <w:t>(Capuano &amp; Pellegrini, 2019)</w:t>
      </w:r>
      <w:r w:rsidRPr="008C08E4">
        <w:rPr>
          <w:b/>
        </w:rPr>
        <w:t>.</w:t>
      </w:r>
      <w:r>
        <w:t xml:space="preserve"> Pre</w:t>
      </w:r>
      <w:r w:rsidR="00336924">
        <w:t xml:space="preserve">cision fortification strategies </w:t>
      </w:r>
      <w:r>
        <w:t xml:space="preserve">guided by metabolomic </w:t>
      </w:r>
      <w:r>
        <w:lastRenderedPageBreak/>
        <w:t xml:space="preserve">biomarkers—allow targeted enrichment of staples with specific micronutrients or phytochemicals for subpopulations exhibiting identifiable deficiencies or metabolic risks </w:t>
      </w:r>
      <w:r w:rsidRPr="008C08E4">
        <w:rPr>
          <w:rStyle w:val="Strong"/>
          <w:b w:val="0"/>
        </w:rPr>
        <w:t>(Scalbert et al., 2014)</w:t>
      </w:r>
      <w:r w:rsidRPr="008C08E4">
        <w:rPr>
          <w:b/>
        </w:rPr>
        <w:t>.</w:t>
      </w:r>
      <w:r>
        <w:t xml:space="preserve"> Additive manufacturing technologies, such as 3D food printing, further extend these capabilities by enabling personalized nutrient distribution within complex food architectures </w:t>
      </w:r>
      <w:r w:rsidRPr="008C08E4">
        <w:rPr>
          <w:rStyle w:val="Strong"/>
          <w:b w:val="0"/>
        </w:rPr>
        <w:t>(Liu et al., 2017)</w:t>
      </w:r>
      <w:r w:rsidRPr="008C08E4">
        <w:rPr>
          <w:b/>
        </w:rPr>
        <w:t>.</w:t>
      </w:r>
    </w:p>
    <w:p w:rsidR="00B1676F" w:rsidRPr="00336924" w:rsidRDefault="00336924" w:rsidP="005727D7">
      <w:pPr>
        <w:pStyle w:val="NormalWeb"/>
        <w:spacing w:line="360" w:lineRule="auto"/>
        <w:jc w:val="both"/>
        <w:rPr>
          <w:b/>
        </w:rPr>
      </w:pPr>
      <w:r>
        <w:t xml:space="preserve">Importantly, AI-driven metabolomic integration also enhances process optimization. Predictive algorithms can model how processing variables temperature, shear rate, moisture content, fermentation time, and extrusion parameters affect nutrient stability and bioaccessibility </w:t>
      </w:r>
      <w:r w:rsidRPr="00336924">
        <w:rPr>
          <w:rStyle w:val="Strong"/>
          <w:b w:val="0"/>
        </w:rPr>
        <w:t>(Jagtap et al., 2021; Capuano &amp; Pellegrini, 2019)</w:t>
      </w:r>
      <w:r w:rsidRPr="00336924">
        <w:rPr>
          <w:b/>
        </w:rPr>
        <w:t>.</w:t>
      </w:r>
      <w:r>
        <w:t xml:space="preserve"> This facilitates the development of processing protocols that preserve functional integrity while achieving desired sensory and safety attributes </w:t>
      </w:r>
      <w:r w:rsidRPr="00336924">
        <w:rPr>
          <w:rStyle w:val="Strong"/>
          <w:b w:val="0"/>
        </w:rPr>
        <w:t>(Aguilera, 2019</w:t>
      </w:r>
      <w:r>
        <w:rPr>
          <w:rStyle w:val="Strong"/>
        </w:rPr>
        <w:t>)</w:t>
      </w:r>
      <w:r>
        <w:t xml:space="preserve">. Such data-informed engineering strategies reduce trial-and-error formulation, improve efficiency, and support scalable production of precision-tailored foods </w:t>
      </w:r>
      <w:r>
        <w:rPr>
          <w:rStyle w:val="Strong"/>
        </w:rPr>
        <w:t>(</w:t>
      </w:r>
      <w:r w:rsidRPr="00336924">
        <w:rPr>
          <w:rStyle w:val="Strong"/>
          <w:b w:val="0"/>
        </w:rPr>
        <w:t>Jagtap et al., 2021)</w:t>
      </w:r>
      <w:r w:rsidRPr="00336924">
        <w:rPr>
          <w:b/>
        </w:rPr>
        <w:t>.</w:t>
      </w:r>
    </w:p>
    <w:p w:rsidR="0092626A" w:rsidRDefault="0092626A" w:rsidP="005727D7">
      <w:pPr>
        <w:pStyle w:val="NormalWeb"/>
        <w:spacing w:line="360" w:lineRule="auto"/>
        <w:jc w:val="both"/>
      </w:pPr>
      <w:r>
        <w:t xml:space="preserve">Despite its promise, implementation faces technical and operational challenges. Standardization of metabolomic platforms, validation of predictive models across diverse populations, data interoperability, and regulatory frameworks for AI-guided food formulation remain areas requiring further research </w:t>
      </w:r>
      <w:r>
        <w:rPr>
          <w:rStyle w:val="Strong"/>
        </w:rPr>
        <w:t>(Scalbert et al., 2014; Berry et al., 2020)</w:t>
      </w:r>
      <w:r>
        <w:t xml:space="preserve">. Moreover, ensuring data privacy and ethical use of personal metabolic information is critical for consumer acceptance </w:t>
      </w:r>
      <w:r>
        <w:rPr>
          <w:rStyle w:val="Strong"/>
        </w:rPr>
        <w:t>(Topol, 2019)</w:t>
      </w:r>
      <w:r>
        <w:t xml:space="preserve">. Nevertheless, the integration of AI and metabolomics marks a pivotal transition from generalized food manufacturing toward intelligent, responsive, and metabolically adaptive food systems </w:t>
      </w:r>
      <w:r>
        <w:rPr>
          <w:rStyle w:val="Strong"/>
        </w:rPr>
        <w:t>(Topol, 2019)</w:t>
      </w:r>
      <w:r>
        <w:t>.</w:t>
      </w:r>
    </w:p>
    <w:p w:rsidR="0092626A" w:rsidRDefault="0092626A" w:rsidP="005727D7">
      <w:pPr>
        <w:pStyle w:val="Compact"/>
        <w:spacing w:line="360" w:lineRule="auto"/>
        <w:jc w:val="both"/>
        <w:rPr>
          <w:rFonts w:ascii="Times New Roman" w:hAnsi="Times New Roman" w:cs="Times New Roman"/>
          <w:b/>
        </w:rPr>
      </w:pPr>
      <w:r w:rsidRPr="0092626A">
        <w:rPr>
          <w:rFonts w:ascii="Times New Roman" w:hAnsi="Times New Roman" w:cs="Times New Roman"/>
        </w:rPr>
        <w:t>From a</w:t>
      </w:r>
      <w:r>
        <w:rPr>
          <w:rFonts w:ascii="Times New Roman" w:hAnsi="Times New Roman" w:cs="Times New Roman"/>
        </w:rPr>
        <w:t xml:space="preserve"> food engineering viewpoint, AI </w:t>
      </w:r>
      <w:r w:rsidRPr="0092626A">
        <w:rPr>
          <w:rFonts w:ascii="Times New Roman" w:hAnsi="Times New Roman" w:cs="Times New Roman"/>
        </w:rPr>
        <w:t xml:space="preserve">metabolomics integration redefines the conceptualization of food products. It shifts product development from static nutrient composition toward dynamic, data-driven design informed by metabolic phenotyping </w:t>
      </w:r>
      <w:r w:rsidRPr="0092626A">
        <w:rPr>
          <w:rStyle w:val="Strong"/>
          <w:rFonts w:ascii="Times New Roman" w:hAnsi="Times New Roman" w:cs="Times New Roman"/>
          <w:b w:val="0"/>
        </w:rPr>
        <w:t>(Scalbert et al., 2014; Topol, 2019)</w:t>
      </w:r>
      <w:r w:rsidRPr="0092626A">
        <w:rPr>
          <w:rFonts w:ascii="Times New Roman" w:hAnsi="Times New Roman" w:cs="Times New Roman"/>
          <w:b/>
        </w:rPr>
        <w:t xml:space="preserve">. </w:t>
      </w:r>
      <w:r w:rsidRPr="0092626A">
        <w:rPr>
          <w:rFonts w:ascii="Times New Roman" w:hAnsi="Times New Roman" w:cs="Times New Roman"/>
        </w:rPr>
        <w:t xml:space="preserve">This interdisciplinary convergence holds significant potential to advance personalized nutrition, optimize functional food development, and reshape the future of precision food technology </w:t>
      </w:r>
      <w:r w:rsidRPr="0092626A">
        <w:rPr>
          <w:rStyle w:val="Strong"/>
          <w:rFonts w:ascii="Times New Roman" w:hAnsi="Times New Roman" w:cs="Times New Roman"/>
          <w:b w:val="0"/>
        </w:rPr>
        <w:t>(Capuano &amp; Pellegrini, 2019; Topol, 2019)</w:t>
      </w:r>
      <w:r w:rsidRPr="0092626A">
        <w:rPr>
          <w:rFonts w:ascii="Times New Roman" w:hAnsi="Times New Roman" w:cs="Times New Roman"/>
          <w:b/>
        </w:rPr>
        <w:t>.</w:t>
      </w:r>
    </w:p>
    <w:p w:rsidR="0092626A" w:rsidRPr="0092626A" w:rsidRDefault="0092626A" w:rsidP="005727D7">
      <w:pPr>
        <w:pStyle w:val="Compact"/>
        <w:spacing w:line="360" w:lineRule="auto"/>
        <w:jc w:val="both"/>
        <w:rPr>
          <w:rFonts w:ascii="Times New Roman" w:hAnsi="Times New Roman" w:cs="Times New Roman"/>
        </w:rPr>
      </w:pPr>
    </w:p>
    <w:p w:rsidR="00BB1905" w:rsidRPr="001E5944" w:rsidRDefault="00BB1905" w:rsidP="005727D7">
      <w:pPr>
        <w:pStyle w:val="Compact"/>
        <w:spacing w:line="360" w:lineRule="auto"/>
        <w:jc w:val="both"/>
        <w:rPr>
          <w:rFonts w:ascii="Times New Roman" w:hAnsi="Times New Roman" w:cs="Times New Roman"/>
          <w:b/>
        </w:rPr>
      </w:pPr>
      <w:r w:rsidRPr="001E5944">
        <w:rPr>
          <w:rFonts w:ascii="Times New Roman" w:hAnsi="Times New Roman" w:cs="Times New Roman"/>
          <w:b/>
        </w:rPr>
        <w:t>5. Challenges and Regulatory Considerations</w:t>
      </w:r>
    </w:p>
    <w:p w:rsidR="00552021" w:rsidRDefault="00552021" w:rsidP="00410953">
      <w:pPr>
        <w:pStyle w:val="NormalWeb"/>
        <w:spacing w:line="360" w:lineRule="auto"/>
        <w:jc w:val="both"/>
      </w:pPr>
      <w:r>
        <w:lastRenderedPageBreak/>
        <w:t xml:space="preserve">Although the integration of artificial intelligence (AI) and metabolomics into precision food systems presents transformative potential, several technical, economic, and regulatory barriers constrain large-scale implementation. From a food engineering and food technology perspective, these challenges extend beyond laboratory feasibility and directly influence industrial scalability, commercial viability, and regulatory compliance </w:t>
      </w:r>
      <w:r>
        <w:rPr>
          <w:rStyle w:val="Strong"/>
        </w:rPr>
        <w:t>(Topol, 2019; Berry et al., 2020)</w:t>
      </w:r>
      <w:r>
        <w:t>.</w:t>
      </w:r>
    </w:p>
    <w:p w:rsidR="00552021" w:rsidRDefault="00552021" w:rsidP="00410953">
      <w:pPr>
        <w:pStyle w:val="NormalWeb"/>
        <w:spacing w:line="360" w:lineRule="auto"/>
        <w:jc w:val="both"/>
      </w:pPr>
      <w:r>
        <w:t>One of the primary constraints is the high cost and operational complexity of metabolomic platforms. Advanced analytical tools such as liquid chromatography–mass spectrome</w:t>
      </w:r>
      <w:r w:rsidR="004B14F6">
        <w:t xml:space="preserve">try (LC–MS), gas chromatography </w:t>
      </w:r>
      <w:r>
        <w:t xml:space="preserve">mass spectrometry (GC–MS), and nuclear magnetic resonance (NMR) spectroscopy require substantial capital investment, specialized infrastructure, and highly trained personnel </w:t>
      </w:r>
      <w:r>
        <w:rPr>
          <w:rStyle w:val="Strong"/>
        </w:rPr>
        <w:t>(Scalbert et al., 2014; Mamman et al., 2025)</w:t>
      </w:r>
      <w:r>
        <w:t xml:space="preserve">. In industrial food production environments, where cost-efficiency and throughput are critical, routine metabolomic profiling for individualized product design remains economically demanding. Furthermore, sample preparation, instrument calibration, and data preprocessing introduce variability and require rigorous quality control protocols </w:t>
      </w:r>
      <w:r>
        <w:rPr>
          <w:rStyle w:val="Strong"/>
        </w:rPr>
        <w:t>(Scalbert et al., 2014)</w:t>
      </w:r>
      <w:r>
        <w:t>. For precision food systems to become commercially viable, cost-effective, high-throughput metabolomic technologies and simplified biomarker panels must be developed.</w:t>
      </w:r>
    </w:p>
    <w:p w:rsidR="00552021" w:rsidRDefault="00552021" w:rsidP="00410953">
      <w:pPr>
        <w:pStyle w:val="NormalWeb"/>
        <w:spacing w:line="360" w:lineRule="auto"/>
        <w:jc w:val="both"/>
      </w:pPr>
      <w:r>
        <w:t xml:space="preserve">Closely linked to this issue is the lack of standardized analytical protocols across laboratories and research platforms. Variability in sample extraction methods, instrument sensitivity, metabolite identification pipelines, and data normalization strategies often results in limited reproducibility and comparability of results </w:t>
      </w:r>
      <w:r>
        <w:rPr>
          <w:rStyle w:val="Strong"/>
        </w:rPr>
        <w:t>(Scalbert et al., 2014; Conte-Junior et al., 2024)</w:t>
      </w:r>
      <w:r>
        <w:t xml:space="preserve">. From a food technology standpoint, absence of harmonized standards complicates the translation of metabolomic findings into actionable formulation strategies. Industrial product development requires reproducible, validated biomarkers that reliably predict metabolic outcomes across diverse populations </w:t>
      </w:r>
      <w:r>
        <w:rPr>
          <w:rStyle w:val="Strong"/>
        </w:rPr>
        <w:t>(Berry et al., 2020)</w:t>
      </w:r>
      <w:r>
        <w:t>. Without standardized frameworks for metabolomic data acquisition and interpretation, integration into food engineering workflows remains constrained.</w:t>
      </w:r>
    </w:p>
    <w:p w:rsidR="00552021" w:rsidRDefault="00552021" w:rsidP="00410953">
      <w:pPr>
        <w:pStyle w:val="NormalWeb"/>
        <w:spacing w:line="360" w:lineRule="auto"/>
        <w:jc w:val="both"/>
      </w:pPr>
      <w:r>
        <w:t xml:space="preserve">Another major challenge lies in the interpretability of AI-driven predictive models, particularly deep learning systems. While deep neural networks demonstrate strong predictive accuracy in modeling complex, nonlinear relationships between dietary inputs and metabolic responses, they often function as “black-box” systems </w:t>
      </w:r>
      <w:r>
        <w:rPr>
          <w:rStyle w:val="Strong"/>
        </w:rPr>
        <w:t>(Topol, 2019)</w:t>
      </w:r>
      <w:r>
        <w:t xml:space="preserve">. For food engineers and regulatory </w:t>
      </w:r>
      <w:r>
        <w:lastRenderedPageBreak/>
        <w:t xml:space="preserve">authorities, limited model transparency raises concerns regarding reliability, validation, and accountability. In industrial settings, formulation decisions must be scientifically justified and reproducible. The inability to clearly interpret how specific input variables influence predicted outcomes may hinder regulatory approval and consumer trust. Consequently, there is growing emphasis on explainable AI (XAI) approaches that enhance transparency while maintaining predictive performance </w:t>
      </w:r>
      <w:r>
        <w:rPr>
          <w:rStyle w:val="Strong"/>
        </w:rPr>
        <w:t>(Topol, 2019)</w:t>
      </w:r>
      <w:r>
        <w:t>.</w:t>
      </w:r>
    </w:p>
    <w:p w:rsidR="00552021" w:rsidRDefault="00552021" w:rsidP="00410953">
      <w:pPr>
        <w:pStyle w:val="NormalWeb"/>
        <w:spacing w:line="360" w:lineRule="auto"/>
        <w:jc w:val="both"/>
      </w:pPr>
      <w:r>
        <w:t xml:space="preserve">Data privacy and governance concerns further complicate the implementation of AI-integrated precision food systems. Personalized nutrition relies on the collection and integration of sensitive data, including metabolic biomarkers, genomic information, dietary intake records, and wearable sensor outputs </w:t>
      </w:r>
      <w:r>
        <w:rPr>
          <w:rStyle w:val="Strong"/>
        </w:rPr>
        <w:t>(Berry et al., 2020; Topol, 2019)</w:t>
      </w:r>
      <w:r>
        <w:t xml:space="preserve">. From a regulatory and ethical standpoint, safeguarding such data is paramount. Unauthorized access or misuse of metabolic health information could have significant personal and societal implications. Therefore, robust data protection frameworks, secure cloud infrastructures, and clear consent mechanisms are essential prerequisites for industrial adoption. Regulatory bodies must establish guidelines for data ownership, storage, sharing, and cross-border transfer in the context of personalized food services </w:t>
      </w:r>
      <w:r>
        <w:rPr>
          <w:rStyle w:val="Strong"/>
        </w:rPr>
        <w:t>(Topol, 2019)</w:t>
      </w:r>
      <w:r>
        <w:t>.</w:t>
      </w:r>
    </w:p>
    <w:p w:rsidR="00552021" w:rsidRDefault="00552021" w:rsidP="00410953">
      <w:pPr>
        <w:pStyle w:val="NormalWeb"/>
        <w:spacing w:line="360" w:lineRule="auto"/>
        <w:jc w:val="both"/>
      </w:pPr>
      <w:r>
        <w:t xml:space="preserve">Beyond technical barriers, regulatory frameworks must evolve to address the unique characteristics of personalized and metabolically adaptive foods. Traditional food regulations are primarily structured around standardized product categories, ingredient safety, labeling requirements, and nutrient claims </w:t>
      </w:r>
      <w:r>
        <w:rPr>
          <w:rStyle w:val="Strong"/>
        </w:rPr>
        <w:t>(Berry et al., 2020)</w:t>
      </w:r>
      <w:r>
        <w:t>. However, precision-formulated foods—customized according t</w:t>
      </w:r>
      <w:r w:rsidR="004B14F6">
        <w:t xml:space="preserve">o individual metabolic profiles </w:t>
      </w:r>
      <w:r>
        <w:t xml:space="preserve">challenge conventional definitions of standardized labeling. Regulatory agencies will need to determine how to classify such products: whether as functional foods, medical foods, nutraceuticals, or conventional foods with enhanced claims. Clear guidelines will be required for substantiating health claims derived from AI-based predictions and metabolomic evidence </w:t>
      </w:r>
      <w:r>
        <w:rPr>
          <w:rStyle w:val="Strong"/>
        </w:rPr>
        <w:t>(Topol, 2019)</w:t>
      </w:r>
      <w:r>
        <w:t>.</w:t>
      </w:r>
    </w:p>
    <w:p w:rsidR="00552021" w:rsidRDefault="00552021" w:rsidP="00410953">
      <w:pPr>
        <w:pStyle w:val="NormalWeb"/>
        <w:spacing w:line="360" w:lineRule="auto"/>
        <w:jc w:val="both"/>
      </w:pPr>
      <w:r>
        <w:t xml:space="preserve">Labeling of personalized foods presents additional complexity. If nutrient composition varies between individuals or production batches, standardized nutritional labels may no longer fully represent the product consumed. Dynamic labeling systems, potentially integrated with digital platforms or QR-based traceability, may become necessary to provide individualized nutrient </w:t>
      </w:r>
      <w:r>
        <w:lastRenderedPageBreak/>
        <w:t xml:space="preserve">information </w:t>
      </w:r>
      <w:r>
        <w:rPr>
          <w:rStyle w:val="Strong"/>
        </w:rPr>
        <w:t>(Berry et al., 2020)</w:t>
      </w:r>
      <w:r>
        <w:t>. Moreover, regulatory oversight must ensure that AI-driven dietary recommendations are evidence-based and do not promote misleading or unverified health benefits.</w:t>
      </w:r>
    </w:p>
    <w:p w:rsidR="00DD5C77" w:rsidRDefault="00DD5C77" w:rsidP="00410953">
      <w:pPr>
        <w:pStyle w:val="Compact"/>
        <w:spacing w:line="360" w:lineRule="auto"/>
        <w:jc w:val="both"/>
        <w:rPr>
          <w:rFonts w:ascii="Times New Roman" w:hAnsi="Times New Roman" w:cs="Times New Roman"/>
          <w:b/>
        </w:rPr>
      </w:pPr>
    </w:p>
    <w:p w:rsidR="00BB1905"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6. Future Directions</w:t>
      </w:r>
    </w:p>
    <w:p w:rsidR="00DD5C77" w:rsidRDefault="00DD5C77" w:rsidP="00DD5C77">
      <w:pPr>
        <w:pStyle w:val="NormalWeb"/>
        <w:spacing w:line="360" w:lineRule="auto"/>
        <w:jc w:val="both"/>
      </w:pPr>
      <w:r>
        <w:t>The development of explainable AI models will be crucial for improving transparency and regulatory acceptance of AI-driven dietary recommendations (</w:t>
      </w:r>
      <w:r>
        <w:rPr>
          <w:rStyle w:val="Strong"/>
        </w:rPr>
        <w:t>Balamurugan &amp; Adeyeye, 2026</w:t>
      </w:r>
      <w:r>
        <w:t xml:space="preserve">). </w:t>
      </w:r>
    </w:p>
    <w:p w:rsidR="005727D7" w:rsidRPr="005727D7" w:rsidRDefault="005727D7" w:rsidP="005727D7">
      <w:pPr>
        <w:pStyle w:val="Heading3"/>
        <w:rPr>
          <w:rFonts w:ascii="Times New Roman" w:hAnsi="Times New Roman" w:cs="Times New Roman"/>
          <w:b/>
          <w:color w:val="auto"/>
          <w:sz w:val="24"/>
          <w:szCs w:val="24"/>
        </w:rPr>
      </w:pPr>
      <w:r w:rsidRPr="005727D7">
        <w:rPr>
          <w:rFonts w:ascii="Times New Roman" w:hAnsi="Times New Roman" w:cs="Times New Roman"/>
          <w:b/>
          <w:color w:val="auto"/>
          <w:sz w:val="24"/>
          <w:szCs w:val="24"/>
        </w:rPr>
        <w:t>1. Development of Portable and Cost-Effective Metabolomics Devices</w:t>
      </w:r>
    </w:p>
    <w:p w:rsidR="005727D7" w:rsidRPr="005727D7" w:rsidRDefault="005727D7" w:rsidP="005727D7">
      <w:pPr>
        <w:pStyle w:val="NormalWeb"/>
        <w:numPr>
          <w:ilvl w:val="0"/>
          <w:numId w:val="11"/>
        </w:numPr>
        <w:spacing w:line="360" w:lineRule="auto"/>
        <w:jc w:val="both"/>
        <w:rPr>
          <w:b/>
        </w:rPr>
      </w:pPr>
      <w:r w:rsidRPr="005727D7">
        <w:t xml:space="preserve">Miniaturization of metabolomic platforms using </w:t>
      </w:r>
      <w:r w:rsidRPr="005727D7">
        <w:rPr>
          <w:rStyle w:val="Strong"/>
          <w:b w:val="0"/>
        </w:rPr>
        <w:t>microfluidics,lab-on-chip systems, andbiosensor technologies</w:t>
      </w:r>
      <w:r w:rsidRPr="005727D7">
        <w:rPr>
          <w:b/>
        </w:rPr>
        <w:t>.</w:t>
      </w:r>
    </w:p>
    <w:p w:rsidR="005727D7" w:rsidRPr="005727D7" w:rsidRDefault="005727D7" w:rsidP="005727D7">
      <w:pPr>
        <w:pStyle w:val="NormalWeb"/>
        <w:numPr>
          <w:ilvl w:val="0"/>
          <w:numId w:val="11"/>
        </w:numPr>
        <w:spacing w:line="360" w:lineRule="auto"/>
        <w:jc w:val="both"/>
      </w:pPr>
      <w:r w:rsidRPr="005727D7">
        <w:t>Development of rapid, point-of-care metabolic biomarker detection tools suitable for industrial and clinical settings.</w:t>
      </w:r>
    </w:p>
    <w:p w:rsidR="005727D7" w:rsidRPr="005727D7" w:rsidRDefault="005727D7" w:rsidP="005727D7">
      <w:pPr>
        <w:pStyle w:val="NormalWeb"/>
        <w:numPr>
          <w:ilvl w:val="0"/>
          <w:numId w:val="11"/>
        </w:numPr>
        <w:spacing w:line="360" w:lineRule="auto"/>
        <w:jc w:val="both"/>
      </w:pPr>
      <w:r w:rsidRPr="005727D7">
        <w:t>Reduction in cost and analytical complexity compared to conventional LC–MS, GC–MS, and NMR systems (Scalbert et al., 2014).</w:t>
      </w:r>
    </w:p>
    <w:p w:rsidR="005727D7" w:rsidRPr="005727D7" w:rsidRDefault="005727D7" w:rsidP="005727D7">
      <w:pPr>
        <w:pStyle w:val="NormalWeb"/>
        <w:numPr>
          <w:ilvl w:val="0"/>
          <w:numId w:val="11"/>
        </w:numPr>
        <w:spacing w:line="360" w:lineRule="auto"/>
        <w:jc w:val="both"/>
      </w:pPr>
      <w:r w:rsidRPr="005727D7">
        <w:t>Integration of portable metabolite monitoring with food product trials to enable adaptive formulation.</w:t>
      </w:r>
    </w:p>
    <w:p w:rsidR="005727D7" w:rsidRPr="005727D7" w:rsidRDefault="005727D7" w:rsidP="005727D7">
      <w:pPr>
        <w:pStyle w:val="NormalWeb"/>
        <w:numPr>
          <w:ilvl w:val="0"/>
          <w:numId w:val="11"/>
        </w:numPr>
        <w:spacing w:line="360" w:lineRule="auto"/>
        <w:jc w:val="both"/>
      </w:pPr>
      <w:r w:rsidRPr="005727D7">
        <w:t>Application in precision fortification programs for population-specific micronutrient deficiencies.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2. Advancement of Explainable AI (XAI) Models</w:t>
      </w:r>
    </w:p>
    <w:p w:rsidR="005727D7" w:rsidRPr="005727D7" w:rsidRDefault="005727D7" w:rsidP="005727D7">
      <w:pPr>
        <w:pStyle w:val="NormalWeb"/>
        <w:numPr>
          <w:ilvl w:val="0"/>
          <w:numId w:val="12"/>
        </w:numPr>
        <w:spacing w:line="360" w:lineRule="auto"/>
        <w:jc w:val="both"/>
      </w:pPr>
      <w:r w:rsidRPr="005727D7">
        <w:t>Development of transparent and interpretable machine learning frameworks tailored to food and nutrition applications.</w:t>
      </w:r>
    </w:p>
    <w:p w:rsidR="005727D7" w:rsidRPr="005727D7" w:rsidRDefault="005727D7" w:rsidP="005727D7">
      <w:pPr>
        <w:pStyle w:val="NormalWeb"/>
        <w:numPr>
          <w:ilvl w:val="0"/>
          <w:numId w:val="12"/>
        </w:numPr>
        <w:spacing w:line="360" w:lineRule="auto"/>
        <w:jc w:val="both"/>
      </w:pPr>
      <w:r w:rsidRPr="005727D7">
        <w:t>Integration of mechanistic digestion models with AI to enhance scientific validity.</w:t>
      </w:r>
    </w:p>
    <w:p w:rsidR="005727D7" w:rsidRPr="005727D7" w:rsidRDefault="005727D7" w:rsidP="005727D7">
      <w:pPr>
        <w:pStyle w:val="NormalWeb"/>
        <w:numPr>
          <w:ilvl w:val="0"/>
          <w:numId w:val="12"/>
        </w:numPr>
        <w:spacing w:line="360" w:lineRule="auto"/>
        <w:jc w:val="both"/>
      </w:pPr>
      <w:r w:rsidRPr="005727D7">
        <w:t>Identification of key ingredients, structural parameters, and processing variables influencing metabolic predictions.</w:t>
      </w:r>
    </w:p>
    <w:p w:rsidR="005727D7" w:rsidRPr="005727D7" w:rsidRDefault="005727D7" w:rsidP="005727D7">
      <w:pPr>
        <w:pStyle w:val="NormalWeb"/>
        <w:numPr>
          <w:ilvl w:val="0"/>
          <w:numId w:val="12"/>
        </w:numPr>
        <w:spacing w:line="360" w:lineRule="auto"/>
        <w:jc w:val="both"/>
      </w:pPr>
      <w:r w:rsidRPr="005727D7">
        <w:t>Improvement in regulatory acceptance through model explainability.</w:t>
      </w:r>
    </w:p>
    <w:p w:rsidR="005727D7" w:rsidRPr="005727D7" w:rsidRDefault="005727D7" w:rsidP="005727D7">
      <w:pPr>
        <w:pStyle w:val="NormalWeb"/>
        <w:numPr>
          <w:ilvl w:val="0"/>
          <w:numId w:val="12"/>
        </w:numPr>
        <w:spacing w:line="360" w:lineRule="auto"/>
        <w:jc w:val="both"/>
      </w:pPr>
      <w:r w:rsidRPr="005727D7">
        <w:t>Enhancement of industrial trust in AI-guided formulation decisions (Topol,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lastRenderedPageBreak/>
        <w:t>3. Integration of Food Processing Parameters with Metabolic Prediction</w:t>
      </w:r>
    </w:p>
    <w:p w:rsidR="005727D7" w:rsidRPr="005727D7" w:rsidRDefault="005727D7" w:rsidP="005727D7">
      <w:pPr>
        <w:pStyle w:val="NormalWeb"/>
        <w:numPr>
          <w:ilvl w:val="0"/>
          <w:numId w:val="13"/>
        </w:numPr>
        <w:spacing w:line="360" w:lineRule="auto"/>
        <w:jc w:val="both"/>
      </w:pPr>
      <w:r w:rsidRPr="005727D7">
        <w:t>Incorporation of processing variables (temperature, shear rate, extrusion conditions, fermentation time, particle size) into AI-driven metabolic models.</w:t>
      </w:r>
    </w:p>
    <w:p w:rsidR="005727D7" w:rsidRPr="005727D7" w:rsidRDefault="005727D7" w:rsidP="005727D7">
      <w:pPr>
        <w:pStyle w:val="NormalWeb"/>
        <w:numPr>
          <w:ilvl w:val="0"/>
          <w:numId w:val="13"/>
        </w:numPr>
        <w:spacing w:line="360" w:lineRule="auto"/>
        <w:jc w:val="both"/>
      </w:pPr>
      <w:r w:rsidRPr="005727D7">
        <w:t>Creation of “digital twins” of food products linking structure, processing history, and physiological outcomes.</w:t>
      </w:r>
    </w:p>
    <w:p w:rsidR="005727D7" w:rsidRPr="005727D7" w:rsidRDefault="005727D7" w:rsidP="005727D7">
      <w:pPr>
        <w:pStyle w:val="NormalWeb"/>
        <w:numPr>
          <w:ilvl w:val="0"/>
          <w:numId w:val="13"/>
        </w:numPr>
        <w:spacing w:line="360" w:lineRule="auto"/>
        <w:jc w:val="both"/>
      </w:pPr>
      <w:r w:rsidRPr="005727D7">
        <w:t>Simulation-based optimization of glycemic load, lipid digestion kinetics, and micronutrient bioavailability.</w:t>
      </w:r>
    </w:p>
    <w:p w:rsidR="005727D7" w:rsidRPr="005727D7" w:rsidRDefault="005727D7" w:rsidP="005727D7">
      <w:pPr>
        <w:pStyle w:val="NormalWeb"/>
        <w:numPr>
          <w:ilvl w:val="0"/>
          <w:numId w:val="13"/>
        </w:numPr>
        <w:spacing w:line="360" w:lineRule="auto"/>
        <w:jc w:val="both"/>
      </w:pPr>
      <w:r w:rsidRPr="005727D7">
        <w:t>Use of predictive modeling to reduce trial-and-error product development cycles.</w:t>
      </w:r>
    </w:p>
    <w:p w:rsidR="005727D7" w:rsidRPr="005727D7" w:rsidRDefault="005727D7" w:rsidP="005727D7">
      <w:pPr>
        <w:pStyle w:val="NormalWeb"/>
        <w:numPr>
          <w:ilvl w:val="0"/>
          <w:numId w:val="13"/>
        </w:numPr>
        <w:spacing w:line="360" w:lineRule="auto"/>
        <w:jc w:val="both"/>
      </w:pPr>
      <w:r w:rsidRPr="005727D7">
        <w:t>Alignment of food engineering design principles with metabolic functionality (Capuano &amp; Pellegrini,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4. Large-Scale Clinical Validation and Population Diversity</w:t>
      </w:r>
    </w:p>
    <w:p w:rsidR="005727D7" w:rsidRPr="005727D7" w:rsidRDefault="005727D7" w:rsidP="005727D7">
      <w:pPr>
        <w:pStyle w:val="NormalWeb"/>
        <w:numPr>
          <w:ilvl w:val="0"/>
          <w:numId w:val="14"/>
        </w:numPr>
        <w:spacing w:line="360" w:lineRule="auto"/>
        <w:jc w:val="both"/>
      </w:pPr>
      <w:r w:rsidRPr="005727D7">
        <w:t>Multi-center, longitudinal intervention trials integrating metabolomics, wearable sensors, and engineered foods.</w:t>
      </w:r>
    </w:p>
    <w:p w:rsidR="005727D7" w:rsidRPr="005727D7" w:rsidRDefault="005727D7" w:rsidP="005727D7">
      <w:pPr>
        <w:pStyle w:val="NormalWeb"/>
        <w:numPr>
          <w:ilvl w:val="0"/>
          <w:numId w:val="14"/>
        </w:numPr>
        <w:spacing w:line="360" w:lineRule="auto"/>
        <w:jc w:val="both"/>
      </w:pPr>
      <w:r w:rsidRPr="005727D7">
        <w:t>Validation of predictive algorithms across diverse age groups, ethnicities, and metabolic phenotypes.</w:t>
      </w:r>
    </w:p>
    <w:p w:rsidR="005727D7" w:rsidRPr="005727D7" w:rsidRDefault="005727D7" w:rsidP="005727D7">
      <w:pPr>
        <w:pStyle w:val="NormalWeb"/>
        <w:numPr>
          <w:ilvl w:val="0"/>
          <w:numId w:val="14"/>
        </w:numPr>
        <w:spacing w:line="360" w:lineRule="auto"/>
        <w:jc w:val="both"/>
      </w:pPr>
      <w:r w:rsidRPr="005727D7">
        <w:t>Assessment of long-term metabolic outcomes rather than short-term postprandial markers.</w:t>
      </w:r>
    </w:p>
    <w:p w:rsidR="005727D7" w:rsidRPr="005727D7" w:rsidRDefault="005727D7" w:rsidP="005727D7">
      <w:pPr>
        <w:pStyle w:val="NormalWeb"/>
        <w:numPr>
          <w:ilvl w:val="0"/>
          <w:numId w:val="14"/>
        </w:numPr>
        <w:spacing w:line="360" w:lineRule="auto"/>
        <w:jc w:val="both"/>
      </w:pPr>
      <w:r w:rsidRPr="005727D7">
        <w:t>Establishment of standardized biomarker panels for reproducibility.</w:t>
      </w:r>
    </w:p>
    <w:p w:rsidR="005727D7" w:rsidRPr="005727D7" w:rsidRDefault="005727D7" w:rsidP="005727D7">
      <w:pPr>
        <w:pStyle w:val="NormalWeb"/>
        <w:numPr>
          <w:ilvl w:val="0"/>
          <w:numId w:val="14"/>
        </w:numPr>
        <w:spacing w:line="360" w:lineRule="auto"/>
        <w:jc w:val="both"/>
        <w:rPr>
          <w:b/>
        </w:rPr>
      </w:pPr>
      <w:r w:rsidRPr="005727D7">
        <w:t>Strengthening evidence base for regulatory approval and health claim substantiation (Berry et al., 2020; Zeevi et al., 2015).</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5. AI-Driven Nutraceutical and Functional Food Innovation</w:t>
      </w:r>
    </w:p>
    <w:p w:rsidR="005727D7" w:rsidRPr="005727D7" w:rsidRDefault="005727D7" w:rsidP="005727D7">
      <w:pPr>
        <w:pStyle w:val="NormalWeb"/>
        <w:numPr>
          <w:ilvl w:val="0"/>
          <w:numId w:val="15"/>
        </w:numPr>
        <w:spacing w:line="360" w:lineRule="auto"/>
        <w:jc w:val="both"/>
      </w:pPr>
      <w:r w:rsidRPr="005727D7">
        <w:t>AI-assisted screening of bioactive compounds targeting specific metabolic pathways.</w:t>
      </w:r>
    </w:p>
    <w:p w:rsidR="005727D7" w:rsidRPr="005727D7" w:rsidRDefault="005727D7" w:rsidP="005727D7">
      <w:pPr>
        <w:pStyle w:val="NormalWeb"/>
        <w:numPr>
          <w:ilvl w:val="0"/>
          <w:numId w:val="15"/>
        </w:numPr>
        <w:spacing w:line="360" w:lineRule="auto"/>
        <w:jc w:val="both"/>
      </w:pPr>
      <w:r w:rsidRPr="005727D7">
        <w:t>Prediction of synergistic ingredient combinations for anti-inflammatory, glucose-regulating, or cardioprotective effects.</w:t>
      </w:r>
    </w:p>
    <w:p w:rsidR="005727D7" w:rsidRPr="005727D7" w:rsidRDefault="005727D7" w:rsidP="005727D7">
      <w:pPr>
        <w:pStyle w:val="NormalWeb"/>
        <w:numPr>
          <w:ilvl w:val="0"/>
          <w:numId w:val="15"/>
        </w:numPr>
        <w:spacing w:line="360" w:lineRule="auto"/>
        <w:jc w:val="both"/>
      </w:pPr>
      <w:r w:rsidRPr="005727D7">
        <w:t>Optimization of encapsulation, stabilization, and targeted delivery systems.</w:t>
      </w:r>
    </w:p>
    <w:p w:rsidR="005727D7" w:rsidRPr="005727D7" w:rsidRDefault="005727D7" w:rsidP="005727D7">
      <w:pPr>
        <w:pStyle w:val="NormalWeb"/>
        <w:numPr>
          <w:ilvl w:val="0"/>
          <w:numId w:val="15"/>
        </w:numPr>
        <w:spacing w:line="360" w:lineRule="auto"/>
        <w:jc w:val="both"/>
      </w:pPr>
      <w:r w:rsidRPr="005727D7">
        <w:t>Acceleration of product development cycles using data-driven formulation strategies.</w:t>
      </w:r>
    </w:p>
    <w:p w:rsidR="005727D7" w:rsidRPr="005727D7" w:rsidRDefault="005727D7" w:rsidP="005727D7">
      <w:pPr>
        <w:pStyle w:val="NormalWeb"/>
        <w:numPr>
          <w:ilvl w:val="0"/>
          <w:numId w:val="15"/>
        </w:numPr>
        <w:spacing w:line="360" w:lineRule="auto"/>
        <w:jc w:val="both"/>
      </w:pPr>
      <w:r w:rsidRPr="005727D7">
        <w:t>Development of metabolically tailored nutraceutical portfolios.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lastRenderedPageBreak/>
        <w:t>6. Interdisciplinary Collaboration and Infrastructure Development</w:t>
      </w:r>
    </w:p>
    <w:p w:rsidR="005727D7" w:rsidRPr="005727D7" w:rsidRDefault="005727D7" w:rsidP="005727D7">
      <w:pPr>
        <w:pStyle w:val="NormalWeb"/>
        <w:numPr>
          <w:ilvl w:val="0"/>
          <w:numId w:val="16"/>
        </w:numPr>
        <w:spacing w:line="360" w:lineRule="auto"/>
        <w:jc w:val="both"/>
      </w:pPr>
      <w:r w:rsidRPr="005727D7">
        <w:t>Collaboration between food engineers, nutrition scientists, computational biologists, clinicians, and regulatory experts.</w:t>
      </w:r>
    </w:p>
    <w:p w:rsidR="005727D7" w:rsidRPr="005727D7" w:rsidRDefault="005727D7" w:rsidP="005727D7">
      <w:pPr>
        <w:pStyle w:val="NormalWeb"/>
        <w:numPr>
          <w:ilvl w:val="0"/>
          <w:numId w:val="16"/>
        </w:numPr>
        <w:spacing w:line="360" w:lineRule="auto"/>
        <w:jc w:val="both"/>
      </w:pPr>
      <w:r w:rsidRPr="005727D7">
        <w:t>Establishment of shared data platforms and standardized metabolomic protocols.</w:t>
      </w:r>
    </w:p>
    <w:p w:rsidR="005727D7" w:rsidRPr="005727D7" w:rsidRDefault="005727D7" w:rsidP="005727D7">
      <w:pPr>
        <w:pStyle w:val="NormalWeb"/>
        <w:numPr>
          <w:ilvl w:val="0"/>
          <w:numId w:val="16"/>
        </w:numPr>
        <w:spacing w:line="360" w:lineRule="auto"/>
        <w:jc w:val="both"/>
      </w:pPr>
      <w:r w:rsidRPr="005727D7">
        <w:t>Development of regulatory frameworks addressing personalized food labeling and metabolic data governance.</w:t>
      </w:r>
    </w:p>
    <w:p w:rsidR="005727D7" w:rsidRPr="005727D7" w:rsidRDefault="005727D7" w:rsidP="005727D7">
      <w:pPr>
        <w:pStyle w:val="NormalWeb"/>
        <w:numPr>
          <w:ilvl w:val="0"/>
          <w:numId w:val="16"/>
        </w:numPr>
        <w:spacing w:line="360" w:lineRule="auto"/>
        <w:jc w:val="both"/>
      </w:pPr>
      <w:r w:rsidRPr="005727D7">
        <w:t>Promotion of translational research bridging laboratory findings and industrial scalability.</w:t>
      </w: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7. Conclusion</w:t>
      </w:r>
    </w:p>
    <w:p w:rsidR="000E093D" w:rsidRDefault="000E093D" w:rsidP="000E093D">
      <w:pPr>
        <w:pStyle w:val="NormalWeb"/>
        <w:spacing w:line="360" w:lineRule="auto"/>
        <w:jc w:val="both"/>
      </w:pPr>
      <w:r>
        <w:t>The convergence of artificial intelligence (AI) and metabolomics represents a transformative shift in the landscape of food science, food engineering, and nutritional research. Traditionally, food systems have been designed based on population-level nutrient recommendations and generalized functional claims. However, emerging evidence highlighting inter-individual variability in metabolic responses has necessitated a transition toward predictive, adaptive, and individualized dietary strategies. In this evolving framework, AI serves as a powerful computational engine capable of integr</w:t>
      </w:r>
      <w:r w:rsidR="004B14F6">
        <w:t xml:space="preserve">ating high-dimensional datasets </w:t>
      </w:r>
      <w:r>
        <w:t>including dietary intake records, processing parameters, microbiome composition, clinical biomarkers, and metabolomic signatures—into predictive models of metabolic response. Concurrently, metabolomics provides detailed biochemical insights into nutrient metabolism, metabolic flux, and bioavailability, thereby bridging the gap between food composition and physiological function (Scalbert et al., 2014).</w:t>
      </w:r>
    </w:p>
    <w:p w:rsidR="000E093D" w:rsidRDefault="000E093D" w:rsidP="000E093D">
      <w:pPr>
        <w:pStyle w:val="NormalWeb"/>
        <w:spacing w:line="360" w:lineRule="auto"/>
        <w:jc w:val="both"/>
      </w:pPr>
      <w:r>
        <w:t>From a food engineering perspective, this integration facilitates a shift from static formulation to dynamic, data-driven product design. Predictive modeling enables optimization of food structure, ingredient interactions, and processing conditions to achieve targeted metabolic outcomes. Structured carbohydrates, controlled lipid delivery systems, encapsulated bioactives, and precision-fortified staples can be rationally engineered using AI-guided metabolomic insights. Such advancements move beyond conventional nutrient enrichment toward metabolically adaptive food systems capable of aligning dietary intake with individual physiological needs.</w:t>
      </w:r>
    </w:p>
    <w:p w:rsidR="000E093D" w:rsidRDefault="000E093D" w:rsidP="000E093D">
      <w:pPr>
        <w:pStyle w:val="NormalWeb"/>
        <w:spacing w:line="360" w:lineRule="auto"/>
        <w:jc w:val="both"/>
      </w:pPr>
      <w:r>
        <w:lastRenderedPageBreak/>
        <w:t>In the broader context of nutrition science, AI–metabolomics integration enhances the accuracy of diet optimization strategies. Rather than relying solely on generalized macronutrient distributions, precision models can forecast individualized glycemic, lipemic, and inflammatory responses (Zeevi et al., 2015; Berry et al., 2020). This capability supports the development of next-generation functional foods and nutraceuticals tailored to metabolic phenotypes, thereby strengthening the role of food as a proactive tool in chronic disease prevention and management.</w:t>
      </w:r>
    </w:p>
    <w:p w:rsidR="000E093D" w:rsidRDefault="000E093D" w:rsidP="000E093D">
      <w:pPr>
        <w:pStyle w:val="NormalWeb"/>
        <w:spacing w:line="360" w:lineRule="auto"/>
        <w:jc w:val="both"/>
      </w:pPr>
      <w:r>
        <w:t>Nevertheless, the scalability of personalized nutrition systems within industrial food manufacturing and public health frameworks will depend on addressing several critical challenges. Technical barrier</w:t>
      </w:r>
      <w:r w:rsidR="004B14F6">
        <w:t xml:space="preserve">s </w:t>
      </w:r>
      <w:r>
        <w:t>including high analytical costs, lack of standardization, and limita</w:t>
      </w:r>
      <w:r w:rsidR="004B14F6">
        <w:t xml:space="preserve">tions in model interpretability </w:t>
      </w:r>
      <w:r>
        <w:t>must be resolved to ensure reproducibility and industrial feasibility. Regulatory systems must adapt to oversee personalized food labeling, validate AI-driven health claims, and safeguard sensitive metabolic data. Ethical considerations surrounding data governance, privacy, and equitable access must also be prioritized to prevent widening health disparities.</w:t>
      </w:r>
    </w:p>
    <w:p w:rsidR="000E093D" w:rsidRDefault="000E093D" w:rsidP="000E093D">
      <w:pPr>
        <w:pStyle w:val="NormalWeb"/>
        <w:spacing w:line="360" w:lineRule="auto"/>
        <w:jc w:val="both"/>
      </w:pPr>
      <w:r>
        <w:t>In conclusion, the integration of AI and metabolomics is redefining the future trajectory of food science and technology. By aligning computational intelligence with biochemical precision, this interdisciplinary convergence has the potential to transform food systems from generalized nutrition delivery platforms into intelligent, metabolically responsive ecosystems. Continued innovation, validation, and regulatory evolution will ultimately determine the extent to which precision nutrition becomes embedded within mainstream food manufacturing and global public health strategies.</w:t>
      </w:r>
    </w:p>
    <w:p w:rsidR="007542C9" w:rsidRDefault="007542C9" w:rsidP="000E093D">
      <w:pPr>
        <w:pStyle w:val="NormalWeb"/>
        <w:spacing w:line="360" w:lineRule="auto"/>
        <w:jc w:val="both"/>
      </w:pPr>
    </w:p>
    <w:p w:rsidR="007542C9" w:rsidRPr="007542C9" w:rsidRDefault="007542C9" w:rsidP="007542C9">
      <w:pPr>
        <w:spacing w:after="0"/>
        <w:rPr>
          <w:rFonts w:ascii="Times New Roman" w:eastAsia="Calibri" w:hAnsi="Times New Roman" w:cs="Times New Roman"/>
          <w:kern w:val="2"/>
          <w:sz w:val="22"/>
          <w:szCs w:val="22"/>
          <w:highlight w:val="yellow"/>
        </w:rPr>
      </w:pPr>
      <w:bookmarkStart w:id="1" w:name="_Hlk198031404"/>
      <w:r w:rsidRPr="007542C9">
        <w:rPr>
          <w:rFonts w:ascii="Times New Roman" w:eastAsia="Calibri" w:hAnsi="Times New Roman" w:cs="Times New Roman"/>
          <w:kern w:val="2"/>
          <w:sz w:val="22"/>
          <w:szCs w:val="22"/>
          <w:highlight w:val="yellow"/>
        </w:rPr>
        <w:t>Disclaimer (Artificial intelligence)</w:t>
      </w:r>
    </w:p>
    <w:p w:rsidR="007542C9" w:rsidRPr="007542C9" w:rsidRDefault="007542C9" w:rsidP="007542C9">
      <w:pPr>
        <w:spacing w:after="0"/>
        <w:rPr>
          <w:rFonts w:ascii="Times New Roman" w:eastAsia="Calibri" w:hAnsi="Times New Roman" w:cs="Times New Roman"/>
          <w:kern w:val="2"/>
          <w:sz w:val="22"/>
          <w:szCs w:val="22"/>
          <w:highlight w:val="yellow"/>
        </w:rPr>
      </w:pPr>
    </w:p>
    <w:p w:rsidR="007542C9" w:rsidRPr="007542C9" w:rsidRDefault="007542C9" w:rsidP="007542C9">
      <w:pPr>
        <w:spacing w:after="0"/>
        <w:rPr>
          <w:rFonts w:ascii="Times New Roman" w:eastAsia="Calibri" w:hAnsi="Times New Roman" w:cs="Times New Roman"/>
          <w:kern w:val="2"/>
          <w:sz w:val="22"/>
          <w:szCs w:val="22"/>
          <w:highlight w:val="yellow"/>
        </w:rPr>
      </w:pPr>
      <w:r w:rsidRPr="007542C9">
        <w:rPr>
          <w:rFonts w:ascii="Times New Roman" w:eastAsia="Calibri" w:hAnsi="Times New Roman" w:cs="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757D0E" w:rsidRDefault="00757D0E" w:rsidP="007C40F7">
      <w:pPr>
        <w:pStyle w:val="Compact"/>
        <w:jc w:val="both"/>
        <w:rPr>
          <w:rFonts w:ascii="Times New Roman" w:hAnsi="Times New Roman" w:cs="Times New Roman"/>
          <w:b/>
        </w:rPr>
      </w:pPr>
    </w:p>
    <w:p w:rsidR="00BB1905" w:rsidRPr="007C40F7" w:rsidRDefault="00BB1905" w:rsidP="007C40F7">
      <w:pPr>
        <w:pStyle w:val="Compact"/>
        <w:jc w:val="both"/>
        <w:rPr>
          <w:rFonts w:ascii="Times New Roman" w:hAnsi="Times New Roman" w:cs="Times New Roman"/>
        </w:rPr>
      </w:pPr>
      <w:r w:rsidRPr="001E5944">
        <w:rPr>
          <w:rFonts w:ascii="Times New Roman" w:hAnsi="Times New Roman" w:cs="Times New Roman"/>
          <w:b/>
        </w:rPr>
        <w:t>References</w:t>
      </w:r>
    </w:p>
    <w:p w:rsidR="000E093D" w:rsidRPr="004D0342" w:rsidRDefault="000E093D" w:rsidP="00757D0E">
      <w:pPr>
        <w:pStyle w:val="NormalWeb"/>
        <w:numPr>
          <w:ilvl w:val="0"/>
          <w:numId w:val="17"/>
        </w:numPr>
        <w:jc w:val="both"/>
      </w:pPr>
      <w:r w:rsidRPr="004D0342">
        <w:t xml:space="preserve">Afshin, A., Sur, P. J., Fay, K. A., Cornaby, L., Ferrara, G., Salama, J. S., Mullany, E. C., Abate, K. H., Abbafati, C., Abebe, Z., Afarideh, M., Aggarwal, A., Agrawal, S., </w:t>
      </w:r>
      <w:r w:rsidRPr="004D0342">
        <w:lastRenderedPageBreak/>
        <w:t xml:space="preserve">Akinyemiju, T., Alahdab, F., Bacha, U., Bachman, </w:t>
      </w:r>
      <w:r w:rsidR="008C6830">
        <w:t>V. F., Badali, H., Badawi, A.,</w:t>
      </w:r>
      <w:r w:rsidRPr="004D0342">
        <w:t xml:space="preserve"> </w:t>
      </w:r>
      <w:r w:rsidR="008C6830">
        <w:t xml:space="preserve">and </w:t>
      </w:r>
      <w:r w:rsidRPr="004D0342">
        <w:t xml:space="preserve">Murray, C. J. L. (2019). Health effects of dietary risks in 195 countries, 1990–2017: A systematic analysis for the Global Burden of Disease Study 2017. </w:t>
      </w:r>
      <w:r w:rsidRPr="004D0342">
        <w:rPr>
          <w:rStyle w:val="Emphasis"/>
        </w:rPr>
        <w:t>The Lancet, 393</w:t>
      </w:r>
      <w:r w:rsidRPr="004D0342">
        <w:t xml:space="preserve">(10184), 1958–1972. </w:t>
      </w:r>
      <w:hyperlink r:id="rId7" w:history="1">
        <w:r w:rsidR="004D0342" w:rsidRPr="004D0342">
          <w:rPr>
            <w:rStyle w:val="Hyperlink"/>
            <w:color w:val="auto"/>
          </w:rPr>
          <w:t>https://doi.org/10.1016/S0140-6736(19)30041-8</w:t>
        </w:r>
      </w:hyperlink>
    </w:p>
    <w:p w:rsidR="004D0342" w:rsidRPr="004D0342" w:rsidRDefault="004D0342" w:rsidP="00757D0E">
      <w:pPr>
        <w:pStyle w:val="NormalWeb"/>
        <w:numPr>
          <w:ilvl w:val="0"/>
          <w:numId w:val="17"/>
        </w:numPr>
        <w:jc w:val="both"/>
      </w:pPr>
      <w:r w:rsidRPr="004D0342">
        <w:t>Agrawa</w:t>
      </w:r>
      <w:r w:rsidR="008C6830">
        <w:t xml:space="preserve">l, K., Goktas, P., Kumar, N., and </w:t>
      </w:r>
      <w:r w:rsidRPr="004D0342">
        <w:t xml:space="preserve">Leung, M.-F. (2025). Artificial intelligence in personalized nutrition and food manufacturing: A comprehensive review of methods, applications, and future directions. </w:t>
      </w:r>
      <w:r w:rsidRPr="004D0342">
        <w:rPr>
          <w:rStyle w:val="Emphasis"/>
        </w:rPr>
        <w:t>Frontiers in Nutrition</w:t>
      </w:r>
      <w:r w:rsidRPr="004D0342">
        <w:t xml:space="preserve">, 12, 1636980. https://doi.org/10.3389/fnut.2025.1636980. </w:t>
      </w:r>
    </w:p>
    <w:p w:rsidR="000E093D" w:rsidRPr="004D0342" w:rsidRDefault="000E093D" w:rsidP="00757D0E">
      <w:pPr>
        <w:pStyle w:val="NormalWeb"/>
        <w:numPr>
          <w:ilvl w:val="0"/>
          <w:numId w:val="17"/>
        </w:numPr>
        <w:jc w:val="both"/>
      </w:pPr>
      <w:r w:rsidRPr="004D0342">
        <w:t xml:space="preserve">Aguilera, J. M. (2019). The food matrix: Implications in processing, nutrition and health. </w:t>
      </w:r>
      <w:r w:rsidRPr="004D0342">
        <w:rPr>
          <w:rStyle w:val="Emphasis"/>
        </w:rPr>
        <w:t>Critical Reviews in Food Science and Nutrition, 59</w:t>
      </w:r>
      <w:r w:rsidRPr="004D0342">
        <w:t xml:space="preserve">(22), 3612–3629. </w:t>
      </w:r>
      <w:hyperlink r:id="rId8" w:tgtFrame="_new" w:history="1">
        <w:r w:rsidRPr="004D0342">
          <w:rPr>
            <w:rStyle w:val="Hyperlink"/>
            <w:color w:val="auto"/>
          </w:rPr>
          <w:t>https://doi.org/10.1080/10408398.2018.1502743</w:t>
        </w:r>
      </w:hyperlink>
    </w:p>
    <w:p w:rsidR="004D0342" w:rsidRPr="004D0342" w:rsidRDefault="004D0342" w:rsidP="00757D0E">
      <w:pPr>
        <w:pStyle w:val="NormalWeb"/>
        <w:numPr>
          <w:ilvl w:val="0"/>
          <w:numId w:val="17"/>
        </w:numPr>
        <w:jc w:val="both"/>
      </w:pPr>
      <w:r w:rsidRPr="004D0342">
        <w:t xml:space="preserve">Arefeen, A., Fessler, S., Mostafavi, S. M., Johnston, C. G., </w:t>
      </w:r>
      <w:r w:rsidR="008C6830">
        <w:t xml:space="preserve">and </w:t>
      </w:r>
      <w:r w:rsidRPr="004D0342">
        <w:t xml:space="preserve"> Ghasemzadeh, H. (2025). MealMeter: Using multimodal sensing and machine learning for automatically estimating nutrition intake. </w:t>
      </w:r>
      <w:r w:rsidRPr="004D0342">
        <w:rPr>
          <w:rStyle w:val="Emphasis"/>
        </w:rPr>
        <w:t>arXiv preprint</w:t>
      </w:r>
      <w:r w:rsidRPr="004D0342">
        <w:t xml:space="preserve">. </w:t>
      </w:r>
    </w:p>
    <w:p w:rsidR="004D0342" w:rsidRPr="004D0342" w:rsidRDefault="008C6830" w:rsidP="00757D0E">
      <w:pPr>
        <w:pStyle w:val="NormalWeb"/>
        <w:numPr>
          <w:ilvl w:val="0"/>
          <w:numId w:val="17"/>
        </w:numPr>
        <w:jc w:val="both"/>
      </w:pPr>
      <w:r>
        <w:t xml:space="preserve">Balamurugan, J., and </w:t>
      </w:r>
      <w:r w:rsidR="004D0342" w:rsidRPr="004D0342">
        <w:t xml:space="preserve"> Adeyeye, S. A. O. (2026). Artificial intelligence in nutrigenomics: Functional food insights and personalized nutrition pathways. </w:t>
      </w:r>
      <w:r w:rsidR="004D0342" w:rsidRPr="004D0342">
        <w:rPr>
          <w:rStyle w:val="Emphasis"/>
        </w:rPr>
        <w:t>Journal of Human Nutrition and Dietetics</w:t>
      </w:r>
      <w:r w:rsidR="004D0342" w:rsidRPr="004D0342">
        <w:t xml:space="preserve">, 39(1), e70200. https://doi.org/10.1111/jhn.70200. </w:t>
      </w:r>
    </w:p>
    <w:p w:rsidR="000E093D" w:rsidRPr="004D0342" w:rsidRDefault="000E093D" w:rsidP="00757D0E">
      <w:pPr>
        <w:pStyle w:val="NormalWeb"/>
        <w:numPr>
          <w:ilvl w:val="0"/>
          <w:numId w:val="17"/>
        </w:numPr>
        <w:jc w:val="both"/>
      </w:pPr>
      <w:r w:rsidRPr="004D0342">
        <w:t xml:space="preserve">Berry, S. E., Valdes, A. M., Drew, D. A., Asnicar, F., Mazidi, M., Wolf, J., Capdevila, J., Hadjigeorgiou, G., Davies, R., Al Khatib, H., Bonnett, C., Ganesh, S., Bakker, E., Hart, D., Mangino, M., Merino, J., Ordovas, J. M., Spector, T. D., </w:t>
      </w:r>
      <w:r w:rsidR="008C6830">
        <w:t xml:space="preserve"> and </w:t>
      </w:r>
      <w:r w:rsidRPr="004D0342">
        <w:t xml:space="preserve">Segata, N. (2020). Human postprandial responses to food and potential for precision nutrition. </w:t>
      </w:r>
      <w:r w:rsidRPr="004D0342">
        <w:rPr>
          <w:rStyle w:val="Emphasis"/>
        </w:rPr>
        <w:t>Nature Medicine, 26</w:t>
      </w:r>
      <w:r w:rsidRPr="004D0342">
        <w:t>(6), 964–973. https://doi.org/10.1038/s41591-020-0934-0</w:t>
      </w:r>
    </w:p>
    <w:p w:rsidR="000E093D" w:rsidRPr="004D0342" w:rsidRDefault="008C6830" w:rsidP="00757D0E">
      <w:pPr>
        <w:pStyle w:val="NormalWeb"/>
        <w:numPr>
          <w:ilvl w:val="0"/>
          <w:numId w:val="17"/>
        </w:numPr>
        <w:jc w:val="both"/>
      </w:pPr>
      <w:r>
        <w:t xml:space="preserve">Capuano, E., and </w:t>
      </w:r>
      <w:r w:rsidR="000E093D" w:rsidRPr="004D0342">
        <w:t xml:space="preserve"> Pellegrini, N. (2019). The behavior of food matrix components during digestion and their impact on nutrient bioaccessibility and bioavailability. </w:t>
      </w:r>
      <w:r w:rsidR="000E093D" w:rsidRPr="004D0342">
        <w:rPr>
          <w:rStyle w:val="Emphasis"/>
        </w:rPr>
        <w:t>Trends in Food Science &amp; Technology, 83</w:t>
      </w:r>
      <w:r w:rsidR="000E093D" w:rsidRPr="004D0342">
        <w:t>, 149–159. https://doi.org/10.1016/j.tifs.2018.11.024</w:t>
      </w:r>
    </w:p>
    <w:p w:rsidR="00A0259F" w:rsidRDefault="00A0259F" w:rsidP="00757D0E">
      <w:pPr>
        <w:pStyle w:val="NormalWeb"/>
        <w:numPr>
          <w:ilvl w:val="0"/>
          <w:numId w:val="17"/>
        </w:numPr>
        <w:jc w:val="both"/>
      </w:pPr>
      <w:r>
        <w:t>Co</w:t>
      </w:r>
      <w:r w:rsidR="008C6830">
        <w:t>nte-Junior, C. A., Taheri, S., and</w:t>
      </w:r>
      <w:r>
        <w:t xml:space="preserve"> Andrade, J. C. (2024). Emerging perspectives on analytical techniques and machine learning for food metabolomics in the era of Industry 4.0: A systematic review. </w:t>
      </w:r>
      <w:r>
        <w:rPr>
          <w:rStyle w:val="Emphasis"/>
        </w:rPr>
        <w:t>Critical Reviews in Food Science and Nutrition</w:t>
      </w:r>
      <w:r>
        <w:t xml:space="preserve">. </w:t>
      </w:r>
      <w:hyperlink r:id="rId9" w:tgtFrame="_new" w:history="1">
        <w:r>
          <w:rPr>
            <w:rStyle w:val="Hyperlink"/>
          </w:rPr>
          <w:t>https://doi.org/10.1080/10408398.2024.2435597</w:t>
        </w:r>
      </w:hyperlink>
    </w:p>
    <w:p w:rsidR="000E093D" w:rsidRPr="004D0342" w:rsidRDefault="000E093D" w:rsidP="00757D0E">
      <w:pPr>
        <w:pStyle w:val="NormalWeb"/>
        <w:numPr>
          <w:ilvl w:val="0"/>
          <w:numId w:val="17"/>
        </w:numPr>
        <w:jc w:val="both"/>
      </w:pPr>
      <w:r w:rsidRPr="004D0342">
        <w:t>Ja</w:t>
      </w:r>
      <w:r w:rsidR="008C6830">
        <w:t xml:space="preserve">gtap, S., Bhatt, C., Thik, J., and </w:t>
      </w:r>
      <w:r w:rsidRPr="004D0342">
        <w:t xml:space="preserve">Rahimifard, S. (2021). Artificial intelligence in food processing: A review. </w:t>
      </w:r>
      <w:r w:rsidRPr="004D0342">
        <w:rPr>
          <w:rStyle w:val="Emphasis"/>
        </w:rPr>
        <w:t>Trends in Food Science &amp; Technology, 116</w:t>
      </w:r>
      <w:r w:rsidRPr="004D0342">
        <w:t xml:space="preserve">, 348–363. </w:t>
      </w:r>
      <w:hyperlink r:id="rId10" w:tgtFrame="_new" w:history="1">
        <w:r w:rsidRPr="004D0342">
          <w:rPr>
            <w:rStyle w:val="Hyperlink"/>
            <w:color w:val="auto"/>
          </w:rPr>
          <w:t>https://doi.org/10.1016/j.tifs.2021.07.015</w:t>
        </w:r>
      </w:hyperlink>
    </w:p>
    <w:p w:rsidR="004D0342" w:rsidRPr="004D0342" w:rsidRDefault="004D0342" w:rsidP="00757D0E">
      <w:pPr>
        <w:pStyle w:val="NormalWeb"/>
        <w:numPr>
          <w:ilvl w:val="0"/>
          <w:numId w:val="17"/>
        </w:numPr>
        <w:jc w:val="both"/>
      </w:pPr>
      <w:r w:rsidRPr="004D0342">
        <w:t xml:space="preserve">Kapoor, A. (2023). AI-driven metabolomics for precision nutrition: Integrating big data analytics for personalized dietary recommendations. </w:t>
      </w:r>
      <w:r w:rsidRPr="004D0342">
        <w:rPr>
          <w:rStyle w:val="Emphasis"/>
        </w:rPr>
        <w:t>Journal of Machine Learning for Healthcare Decision Support</w:t>
      </w:r>
      <w:r w:rsidRPr="004D0342">
        <w:t xml:space="preserve">, 3(2). </w:t>
      </w:r>
    </w:p>
    <w:p w:rsidR="000E093D" w:rsidRPr="004D0342" w:rsidRDefault="000E093D" w:rsidP="00757D0E">
      <w:pPr>
        <w:pStyle w:val="NormalWeb"/>
        <w:numPr>
          <w:ilvl w:val="0"/>
          <w:numId w:val="17"/>
        </w:numPr>
        <w:jc w:val="both"/>
      </w:pPr>
      <w:r w:rsidRPr="004D0342">
        <w:t>Koh, A., De Vadder</w:t>
      </w:r>
      <w:r w:rsidR="008C6830">
        <w:t xml:space="preserve">, F., Kovatcheva-Datchary, P., and </w:t>
      </w:r>
      <w:r w:rsidRPr="004D0342">
        <w:t xml:space="preserve">Bäckhed, F. (2016). From dietary fiber to host physiology: Short-chain fatty acids as key bacterial metabolites. </w:t>
      </w:r>
      <w:r w:rsidRPr="004D0342">
        <w:rPr>
          <w:rStyle w:val="Emphasis"/>
        </w:rPr>
        <w:t>Cell, 165</w:t>
      </w:r>
      <w:r w:rsidRPr="004D0342">
        <w:t>(6), 1332–1345. https://doi.org/10.1016/j.cell.2016.05.041</w:t>
      </w:r>
    </w:p>
    <w:p w:rsidR="000E093D" w:rsidRPr="004D0342" w:rsidRDefault="000E093D" w:rsidP="00757D0E">
      <w:pPr>
        <w:pStyle w:val="NormalWeb"/>
        <w:numPr>
          <w:ilvl w:val="0"/>
          <w:numId w:val="17"/>
        </w:numPr>
        <w:jc w:val="both"/>
      </w:pPr>
      <w:r w:rsidRPr="004D0342">
        <w:rPr>
          <w:lang w:val="fr-FR"/>
        </w:rPr>
        <w:t>Liu</w:t>
      </w:r>
      <w:r w:rsidR="008C6830">
        <w:rPr>
          <w:lang w:val="fr-FR"/>
        </w:rPr>
        <w:t>, Z., Zhang, M., Bhandari, B., and</w:t>
      </w:r>
      <w:r w:rsidRPr="004D0342">
        <w:rPr>
          <w:lang w:val="fr-FR"/>
        </w:rPr>
        <w:t xml:space="preserve"> Wang, Y. (2017). </w:t>
      </w:r>
      <w:r w:rsidRPr="004D0342">
        <w:t xml:space="preserve">3D printing: Printing precision nutrition foods. </w:t>
      </w:r>
      <w:r w:rsidRPr="004D0342">
        <w:rPr>
          <w:rStyle w:val="Emphasis"/>
        </w:rPr>
        <w:t>Trends in Food Science &amp; Technology, 69</w:t>
      </w:r>
      <w:r w:rsidRPr="004D0342">
        <w:t xml:space="preserve">, 233–242. </w:t>
      </w:r>
      <w:hyperlink r:id="rId11" w:history="1">
        <w:r w:rsidR="004D0342" w:rsidRPr="004D0342">
          <w:rPr>
            <w:rStyle w:val="Hyperlink"/>
            <w:color w:val="auto"/>
          </w:rPr>
          <w:t>https://doi.org/10.1016/j.tifs.2017.08.014</w:t>
        </w:r>
      </w:hyperlink>
    </w:p>
    <w:p w:rsidR="004D0342" w:rsidRPr="004D0342" w:rsidRDefault="008C6830" w:rsidP="00757D0E">
      <w:pPr>
        <w:pStyle w:val="NormalWeb"/>
        <w:numPr>
          <w:ilvl w:val="0"/>
          <w:numId w:val="17"/>
        </w:numPr>
        <w:jc w:val="both"/>
      </w:pPr>
      <w:r>
        <w:t xml:space="preserve">Liu, Y. </w:t>
      </w:r>
      <w:r w:rsidR="004D0342" w:rsidRPr="004D0342">
        <w:t xml:space="preserve">Y. (2025). Deep learning for microbiome-informed precision nutrition. </w:t>
      </w:r>
      <w:r w:rsidR="004D0342" w:rsidRPr="004D0342">
        <w:rPr>
          <w:rStyle w:val="Emphasis"/>
        </w:rPr>
        <w:t>National Science Review</w:t>
      </w:r>
      <w:r w:rsidR="004D0342" w:rsidRPr="004D0342">
        <w:t xml:space="preserve">, 12(6), nwaf148. </w:t>
      </w:r>
    </w:p>
    <w:p w:rsidR="008366E6" w:rsidRPr="008366E6" w:rsidRDefault="008366E6" w:rsidP="00757D0E">
      <w:pPr>
        <w:pStyle w:val="NormalWeb"/>
        <w:numPr>
          <w:ilvl w:val="0"/>
          <w:numId w:val="17"/>
        </w:numPr>
        <w:jc w:val="both"/>
      </w:pPr>
      <w:r w:rsidRPr="008366E6">
        <w:rPr>
          <w:lang w:val="en-GB"/>
        </w:rPr>
        <w:t xml:space="preserve">Mamman, G. P., Angulu, C. N., Ado, A., Mahmud, M. E., Aliyu, R., Angulu, S., </w:t>
      </w:r>
      <w:r w:rsidR="008C6830">
        <w:rPr>
          <w:lang w:val="en-GB"/>
        </w:rPr>
        <w:t xml:space="preserve">and </w:t>
      </w:r>
      <w:r w:rsidRPr="008366E6">
        <w:rPr>
          <w:lang w:val="en-GB"/>
        </w:rPr>
        <w:t xml:space="preserve">Owoyale, A. D., (2025). Metabolomics Role in Health and Disease: Current Status and </w:t>
      </w:r>
      <w:r w:rsidRPr="008366E6">
        <w:rPr>
          <w:lang w:val="en-GB"/>
        </w:rPr>
        <w:lastRenderedPageBreak/>
        <w:t xml:space="preserve">Future Directions. Asian Journal of Immunology, 8(1):190-206. https://doi.org/10.9734/aji2025/v8i1171 </w:t>
      </w:r>
    </w:p>
    <w:p w:rsidR="000E093D" w:rsidRPr="004D0342" w:rsidRDefault="000E093D" w:rsidP="00757D0E">
      <w:pPr>
        <w:pStyle w:val="NormalWeb"/>
        <w:numPr>
          <w:ilvl w:val="0"/>
          <w:numId w:val="17"/>
        </w:numPr>
        <w:jc w:val="both"/>
      </w:pPr>
      <w:r w:rsidRPr="004D0342">
        <w:rPr>
          <w:lang w:val="fr-FR"/>
        </w:rPr>
        <w:t xml:space="preserve">Min, W., Jiang, S., </w:t>
      </w:r>
      <w:r w:rsidR="008C6830">
        <w:rPr>
          <w:lang w:val="fr-FR"/>
        </w:rPr>
        <w:t>Liu, L., Rui, Y., and</w:t>
      </w:r>
      <w:r w:rsidRPr="004D0342">
        <w:rPr>
          <w:lang w:val="fr-FR"/>
        </w:rPr>
        <w:t xml:space="preserve"> Jain, R. (2019). </w:t>
      </w:r>
      <w:r w:rsidRPr="004D0342">
        <w:t xml:space="preserve">A survey on food computing. </w:t>
      </w:r>
      <w:r w:rsidRPr="004D0342">
        <w:rPr>
          <w:rStyle w:val="Emphasis"/>
        </w:rPr>
        <w:t>ACM Computing Surveys, 52</w:t>
      </w:r>
      <w:r w:rsidRPr="004D0342">
        <w:t>(5), 1–36. https://doi.org/10.1145/3329168</w:t>
      </w:r>
    </w:p>
    <w:p w:rsidR="000E093D" w:rsidRPr="004D0342" w:rsidRDefault="008C6830" w:rsidP="00757D0E">
      <w:pPr>
        <w:pStyle w:val="NormalWeb"/>
        <w:numPr>
          <w:ilvl w:val="0"/>
          <w:numId w:val="17"/>
        </w:numPr>
        <w:jc w:val="both"/>
      </w:pPr>
      <w:r>
        <w:t>O’Sullivan, A., Gibney, M. J., and</w:t>
      </w:r>
      <w:r w:rsidR="000E093D" w:rsidRPr="004D0342">
        <w:t xml:space="preserve"> Brennan, L. (2011). Dietary intake patterns are reflected in metabolomic profiles: Potential role in dietary assessment studies. </w:t>
      </w:r>
      <w:r w:rsidR="000E093D" w:rsidRPr="004D0342">
        <w:rPr>
          <w:rStyle w:val="Emphasis"/>
        </w:rPr>
        <w:t>The American Journal of Clinical Nutrition, 93</w:t>
      </w:r>
      <w:r w:rsidR="000E093D" w:rsidRPr="004D0342">
        <w:t>(2), 314–321. https://doi.org/10.3945/ajcn.110.000950</w:t>
      </w:r>
    </w:p>
    <w:p w:rsidR="000E093D" w:rsidRPr="004D0342" w:rsidRDefault="000E093D" w:rsidP="00757D0E">
      <w:pPr>
        <w:pStyle w:val="NormalWeb"/>
        <w:numPr>
          <w:ilvl w:val="0"/>
          <w:numId w:val="17"/>
        </w:numPr>
        <w:jc w:val="both"/>
      </w:pPr>
      <w:r w:rsidRPr="004D0342">
        <w:t xml:space="preserve">Scalbert, A., Brennan, L., Fiehn, O., Hankemeier, T., Kristal, B. S., van Ommen, B., Pujos-Guillot, E., Verheij, E., Wishart, D., </w:t>
      </w:r>
      <w:r w:rsidR="008C6830">
        <w:t xml:space="preserve">and </w:t>
      </w:r>
      <w:r w:rsidRPr="004D0342">
        <w:t xml:space="preserve">Wopereis, S. (2014). Mass-spectrometry-based metabolomics: Limitations and recommendations for future progress. </w:t>
      </w:r>
      <w:r w:rsidRPr="004D0342">
        <w:rPr>
          <w:rStyle w:val="Emphasis"/>
        </w:rPr>
        <w:t>Metabolomics, 10</w:t>
      </w:r>
      <w:r w:rsidRPr="004D0342">
        <w:t>(6), 1237–1248. https://doi.org/10.1007/s11306-014-0659-3</w:t>
      </w:r>
    </w:p>
    <w:p w:rsidR="000E093D" w:rsidRPr="004D0342" w:rsidRDefault="000E093D" w:rsidP="00757D0E">
      <w:pPr>
        <w:pStyle w:val="NormalWeb"/>
        <w:numPr>
          <w:ilvl w:val="0"/>
          <w:numId w:val="17"/>
        </w:numPr>
        <w:jc w:val="both"/>
      </w:pPr>
      <w:r w:rsidRPr="004D0342">
        <w:t xml:space="preserve">Singh, S., Gamlath, S., </w:t>
      </w:r>
      <w:r w:rsidR="008C6830">
        <w:t xml:space="preserve">and </w:t>
      </w:r>
      <w:r w:rsidRPr="004D0342">
        <w:t xml:space="preserve">Wakeling, L. (2022). Nutritional aspects of extrusion-cooked products: Protein quality and amino acid retention. </w:t>
      </w:r>
      <w:r w:rsidRPr="004D0342">
        <w:rPr>
          <w:rStyle w:val="Emphasis"/>
        </w:rPr>
        <w:t>Journal of Food Engineering, 320</w:t>
      </w:r>
      <w:r w:rsidRPr="004D0342">
        <w:t>, 110939.</w:t>
      </w:r>
    </w:p>
    <w:p w:rsidR="000E093D" w:rsidRPr="004D0342" w:rsidRDefault="000E093D" w:rsidP="00757D0E">
      <w:pPr>
        <w:pStyle w:val="NormalWeb"/>
        <w:numPr>
          <w:ilvl w:val="0"/>
          <w:numId w:val="17"/>
        </w:numPr>
        <w:jc w:val="both"/>
      </w:pPr>
      <w:r w:rsidRPr="004D0342">
        <w:t xml:space="preserve">Subar, A. F., Freedman, L. S., Tooze, J. A., Kirkpatrick, S. I., Boushey, C., Neuhouser, M. L., Thompson, F. E., Potischman, N., Guenther, </w:t>
      </w:r>
      <w:r w:rsidR="008C6830">
        <w:t xml:space="preserve">P. M., Tarasuk, V., Reedy, J., and </w:t>
      </w:r>
      <w:r w:rsidRPr="004D0342">
        <w:t xml:space="preserve"> Krebs-Smith, S. M. (2015). Addressing current criticism regarding the value of self-report dietary data. </w:t>
      </w:r>
      <w:r w:rsidRPr="004D0342">
        <w:rPr>
          <w:rStyle w:val="Emphasis"/>
        </w:rPr>
        <w:t>The Journal of Nutrition, 145</w:t>
      </w:r>
      <w:r w:rsidRPr="004D0342">
        <w:t>(12), 2639–2645. https://doi.org/10.3945/jn.115.219634</w:t>
      </w:r>
    </w:p>
    <w:p w:rsidR="000E093D" w:rsidRPr="004D0342" w:rsidRDefault="000E093D" w:rsidP="00757D0E">
      <w:pPr>
        <w:pStyle w:val="NormalWeb"/>
        <w:numPr>
          <w:ilvl w:val="0"/>
          <w:numId w:val="17"/>
        </w:numPr>
        <w:jc w:val="both"/>
      </w:pPr>
      <w:r w:rsidRPr="004D0342">
        <w:t xml:space="preserve">Topol, E. J. (2019). High-performance medicine: The convergence of human and artificial intelligence. </w:t>
      </w:r>
      <w:r w:rsidRPr="004D0342">
        <w:rPr>
          <w:rStyle w:val="Emphasis"/>
        </w:rPr>
        <w:t>Nature Medicine, 25</w:t>
      </w:r>
      <w:r w:rsidRPr="004D0342">
        <w:t xml:space="preserve">(1), 44–56. </w:t>
      </w:r>
      <w:hyperlink r:id="rId12" w:tgtFrame="_new" w:history="1">
        <w:r w:rsidRPr="004D0342">
          <w:rPr>
            <w:rStyle w:val="Hyperlink"/>
            <w:color w:val="auto"/>
          </w:rPr>
          <w:t>https://doi.org/10.1038/s41591-018-0300-7</w:t>
        </w:r>
      </w:hyperlink>
    </w:p>
    <w:p w:rsidR="004D0342" w:rsidRPr="004D0342" w:rsidRDefault="004D0342" w:rsidP="00757D0E">
      <w:pPr>
        <w:pStyle w:val="NormalWeb"/>
        <w:numPr>
          <w:ilvl w:val="0"/>
          <w:numId w:val="17"/>
        </w:numPr>
        <w:jc w:val="both"/>
      </w:pPr>
      <w:r w:rsidRPr="004D0342">
        <w:t xml:space="preserve">Wang, X., Sun, Z., Xue, H., </w:t>
      </w:r>
      <w:r w:rsidR="008C6830">
        <w:t xml:space="preserve">and </w:t>
      </w:r>
      <w:r w:rsidRPr="004D0342">
        <w:t xml:space="preserve"> An, R. (2025). Artificial intelligence applications to personalized dietary recommendations: A systematic review. </w:t>
      </w:r>
      <w:r w:rsidRPr="004D0342">
        <w:rPr>
          <w:rStyle w:val="Emphasis"/>
        </w:rPr>
        <w:t>Healthcare</w:t>
      </w:r>
      <w:r w:rsidRPr="004D0342">
        <w:t xml:space="preserve">, 13(12), 1417. </w:t>
      </w:r>
    </w:p>
    <w:p w:rsidR="000E093D" w:rsidRPr="004D0342" w:rsidRDefault="000E093D" w:rsidP="00757D0E">
      <w:pPr>
        <w:pStyle w:val="NormalWeb"/>
        <w:numPr>
          <w:ilvl w:val="0"/>
          <w:numId w:val="17"/>
        </w:numPr>
        <w:jc w:val="both"/>
      </w:pPr>
      <w:r w:rsidRPr="004D0342">
        <w:t>Zeevi, D., Korem, T., Zmora, N., Israeli, D., Rothschild, D., Weinberger, A., Ben-Yacov, O., Lador, D., Avnit-Sagi, T., Lotan-Pompan, M., Suez, J., Mahdi, J. A., Matot, E., Malka, G., Kosower, N., Rein, M., Zilberman-Schapira, G., Dohnal</w:t>
      </w:r>
      <w:r w:rsidR="008C6830">
        <w:t xml:space="preserve">ová, L., Pevsner-Fischer, M., and </w:t>
      </w:r>
      <w:r w:rsidRPr="004D0342">
        <w:t xml:space="preserve">Segal, E. (2015). Personalized nutrition by prediction of glycemic responses. </w:t>
      </w:r>
      <w:r w:rsidRPr="004D0342">
        <w:rPr>
          <w:rStyle w:val="Emphasis"/>
        </w:rPr>
        <w:t>Cell, 163</w:t>
      </w:r>
      <w:r w:rsidRPr="004D0342">
        <w:t>(5), 1079–1094. https://doi.org/10.1016/j.cell.2015.11.001</w:t>
      </w:r>
    </w:p>
    <w:p w:rsidR="009F52F3" w:rsidRPr="004D0342" w:rsidRDefault="008C6830" w:rsidP="00757D0E">
      <w:pPr>
        <w:pStyle w:val="NormalWeb"/>
        <w:numPr>
          <w:ilvl w:val="0"/>
          <w:numId w:val="17"/>
        </w:numPr>
        <w:jc w:val="both"/>
      </w:pPr>
      <w:r>
        <w:t xml:space="preserve">Zhang, J., Sun, M., Elmaidomy, A. H., Youssif, K. A., Zaki, A. M. M., Kamal, H. H., Sayed, A. M., and Abdelmohsen, U. R. (2023). Emerging trends and applications of metabolomics in food science and nutrition. </w:t>
      </w:r>
      <w:r>
        <w:rPr>
          <w:rStyle w:val="Emphasis"/>
        </w:rPr>
        <w:t>Food &amp; Function</w:t>
      </w:r>
      <w:r>
        <w:t xml:space="preserve">, 14(20), 9050–9082. </w:t>
      </w:r>
      <w:hyperlink r:id="rId13" w:tgtFrame="_new" w:history="1">
        <w:r>
          <w:rPr>
            <w:rStyle w:val="Hyperlink"/>
          </w:rPr>
          <w:t>https://doi.org/10.1039/D3FO01770B</w:t>
        </w:r>
      </w:hyperlink>
      <w:r w:rsidR="009F52F3" w:rsidRPr="004D0342">
        <w:t xml:space="preserve">. </w:t>
      </w:r>
    </w:p>
    <w:p w:rsidR="00BB1905" w:rsidRPr="009F52F3" w:rsidRDefault="00BB1905" w:rsidP="007C40F7">
      <w:pPr>
        <w:pStyle w:val="Compact"/>
        <w:jc w:val="both"/>
        <w:rPr>
          <w:rFonts w:ascii="Times New Roman" w:hAnsi="Times New Roman" w:cs="Times New Roman"/>
          <w:color w:val="FF0000"/>
        </w:rPr>
      </w:pPr>
    </w:p>
    <w:sectPr w:rsidR="00BB1905" w:rsidRPr="009F52F3" w:rsidSect="00CC1E4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E01" w:rsidRDefault="007F7E01" w:rsidP="00955686">
      <w:pPr>
        <w:spacing w:after="0"/>
      </w:pPr>
      <w:r>
        <w:separator/>
      </w:r>
    </w:p>
  </w:endnote>
  <w:endnote w:type="continuationSeparator" w:id="0">
    <w:p w:rsidR="007F7E01" w:rsidRDefault="007F7E01" w:rsidP="009556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E01" w:rsidRDefault="007F7E01" w:rsidP="00955686">
      <w:pPr>
        <w:spacing w:after="0"/>
      </w:pPr>
      <w:r>
        <w:separator/>
      </w:r>
    </w:p>
  </w:footnote>
  <w:footnote w:type="continuationSeparator" w:id="0">
    <w:p w:rsidR="007F7E01" w:rsidRDefault="007F7E01" w:rsidP="009556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7F7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7F7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7F7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6ED44A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75E415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4F6C08"/>
    <w:multiLevelType w:val="hybridMultilevel"/>
    <w:tmpl w:val="8962D5D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7D5"/>
    <w:multiLevelType w:val="multilevel"/>
    <w:tmpl w:val="8C0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25918"/>
    <w:multiLevelType w:val="multilevel"/>
    <w:tmpl w:val="844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69CE"/>
    <w:multiLevelType w:val="hybridMultilevel"/>
    <w:tmpl w:val="027C92F8"/>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53F9E"/>
    <w:multiLevelType w:val="hybridMultilevel"/>
    <w:tmpl w:val="9AC89BA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40CDB"/>
    <w:multiLevelType w:val="multilevel"/>
    <w:tmpl w:val="B4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40E55"/>
    <w:multiLevelType w:val="hybridMultilevel"/>
    <w:tmpl w:val="12FEFA96"/>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7A0"/>
    <w:multiLevelType w:val="hybridMultilevel"/>
    <w:tmpl w:val="0DE690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3622F"/>
    <w:multiLevelType w:val="multilevel"/>
    <w:tmpl w:val="F46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9243A"/>
    <w:multiLevelType w:val="hybridMultilevel"/>
    <w:tmpl w:val="DA1017D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D0E"/>
    <w:multiLevelType w:val="hybridMultilevel"/>
    <w:tmpl w:val="A2F6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17607"/>
    <w:multiLevelType w:val="hybridMultilevel"/>
    <w:tmpl w:val="68501C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A3F35"/>
    <w:multiLevelType w:val="multilevel"/>
    <w:tmpl w:val="294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D1067"/>
    <w:multiLevelType w:val="hybridMultilevel"/>
    <w:tmpl w:val="F8B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458C1"/>
    <w:multiLevelType w:val="multilevel"/>
    <w:tmpl w:val="343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11"/>
  </w:num>
  <w:num w:numId="6">
    <w:abstractNumId w:val="6"/>
  </w:num>
  <w:num w:numId="7">
    <w:abstractNumId w:val="8"/>
  </w:num>
  <w:num w:numId="8">
    <w:abstractNumId w:val="9"/>
  </w:num>
  <w:num w:numId="9">
    <w:abstractNumId w:val="2"/>
  </w:num>
  <w:num w:numId="10">
    <w:abstractNumId w:val="13"/>
  </w:num>
  <w:num w:numId="11">
    <w:abstractNumId w:val="4"/>
  </w:num>
  <w:num w:numId="12">
    <w:abstractNumId w:val="10"/>
  </w:num>
  <w:num w:numId="13">
    <w:abstractNumId w:val="14"/>
  </w:num>
  <w:num w:numId="14">
    <w:abstractNumId w:val="16"/>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E49"/>
    <w:rsid w:val="0005178E"/>
    <w:rsid w:val="000A538D"/>
    <w:rsid w:val="000E093D"/>
    <w:rsid w:val="000F48DF"/>
    <w:rsid w:val="000F563A"/>
    <w:rsid w:val="001572A4"/>
    <w:rsid w:val="00166DFD"/>
    <w:rsid w:val="00196D0D"/>
    <w:rsid w:val="00197ACA"/>
    <w:rsid w:val="001E5944"/>
    <w:rsid w:val="00203AE5"/>
    <w:rsid w:val="0025605A"/>
    <w:rsid w:val="00277ACC"/>
    <w:rsid w:val="00303872"/>
    <w:rsid w:val="003243B0"/>
    <w:rsid w:val="00331453"/>
    <w:rsid w:val="00336924"/>
    <w:rsid w:val="00362B13"/>
    <w:rsid w:val="00381DAC"/>
    <w:rsid w:val="0039708F"/>
    <w:rsid w:val="003A1ADE"/>
    <w:rsid w:val="003B02ED"/>
    <w:rsid w:val="003F4F4C"/>
    <w:rsid w:val="00410953"/>
    <w:rsid w:val="004335E5"/>
    <w:rsid w:val="00486E81"/>
    <w:rsid w:val="004B14F6"/>
    <w:rsid w:val="004D0342"/>
    <w:rsid w:val="0053511C"/>
    <w:rsid w:val="0054315D"/>
    <w:rsid w:val="00552021"/>
    <w:rsid w:val="00564151"/>
    <w:rsid w:val="005727D7"/>
    <w:rsid w:val="00696646"/>
    <w:rsid w:val="006D761F"/>
    <w:rsid w:val="00702747"/>
    <w:rsid w:val="00734B51"/>
    <w:rsid w:val="007542C9"/>
    <w:rsid w:val="00757D0E"/>
    <w:rsid w:val="00763BA6"/>
    <w:rsid w:val="007729F9"/>
    <w:rsid w:val="007A395D"/>
    <w:rsid w:val="007C40F7"/>
    <w:rsid w:val="007F7E01"/>
    <w:rsid w:val="008366E6"/>
    <w:rsid w:val="00871A25"/>
    <w:rsid w:val="008A7FAD"/>
    <w:rsid w:val="008C08E4"/>
    <w:rsid w:val="008C6830"/>
    <w:rsid w:val="0092626A"/>
    <w:rsid w:val="00955686"/>
    <w:rsid w:val="009F3BFA"/>
    <w:rsid w:val="009F52F3"/>
    <w:rsid w:val="00A0259F"/>
    <w:rsid w:val="00A40F9B"/>
    <w:rsid w:val="00A43884"/>
    <w:rsid w:val="00A83001"/>
    <w:rsid w:val="00AA5A3F"/>
    <w:rsid w:val="00AA67EC"/>
    <w:rsid w:val="00B1676F"/>
    <w:rsid w:val="00B62EC9"/>
    <w:rsid w:val="00BA5CD4"/>
    <w:rsid w:val="00BB1905"/>
    <w:rsid w:val="00BD1AAB"/>
    <w:rsid w:val="00C31513"/>
    <w:rsid w:val="00C5108F"/>
    <w:rsid w:val="00CA3EBB"/>
    <w:rsid w:val="00CB0D35"/>
    <w:rsid w:val="00CC1E49"/>
    <w:rsid w:val="00DD5C77"/>
    <w:rsid w:val="00F5670B"/>
    <w:rsid w:val="00F56B99"/>
    <w:rsid w:val="00F93046"/>
    <w:rsid w:val="00FA67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142B1E7-53ED-4038-993D-88F1E4BA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1E49"/>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C1E49"/>
    <w:pPr>
      <w:spacing w:before="180" w:after="180"/>
    </w:pPr>
  </w:style>
  <w:style w:type="paragraph" w:customStyle="1" w:styleId="FirstParagraph">
    <w:name w:val="First Paragraph"/>
    <w:basedOn w:val="BodyText"/>
    <w:next w:val="BodyText"/>
    <w:qFormat/>
    <w:rsid w:val="00CC1E49"/>
  </w:style>
  <w:style w:type="paragraph" w:customStyle="1" w:styleId="Compact">
    <w:name w:val="Compact"/>
    <w:basedOn w:val="BodyText"/>
    <w:qFormat/>
    <w:rsid w:val="00CC1E49"/>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C1E49"/>
    <w:pPr>
      <w:keepNext/>
      <w:keepLines/>
      <w:jc w:val="center"/>
    </w:pPr>
  </w:style>
  <w:style w:type="paragraph" w:styleId="Date">
    <w:name w:val="Date"/>
    <w:next w:val="BodyText"/>
    <w:qFormat/>
    <w:rsid w:val="00CC1E49"/>
    <w:pPr>
      <w:keepNext/>
      <w:keepLines/>
      <w:jc w:val="center"/>
    </w:pPr>
  </w:style>
  <w:style w:type="paragraph" w:customStyle="1" w:styleId="AbstractTitle">
    <w:name w:val="Abstract Title"/>
    <w:basedOn w:val="Normal"/>
    <w:next w:val="Abstract"/>
    <w:qFormat/>
    <w:rsid w:val="00CC1E49"/>
    <w:pPr>
      <w:keepNext/>
      <w:keepLines/>
      <w:spacing w:before="300" w:after="0"/>
      <w:jc w:val="center"/>
    </w:pPr>
    <w:rPr>
      <w:b/>
      <w:sz w:val="20"/>
      <w:szCs w:val="20"/>
    </w:rPr>
  </w:style>
  <w:style w:type="paragraph" w:customStyle="1" w:styleId="Abstract">
    <w:name w:val="Abstract"/>
    <w:basedOn w:val="Normal"/>
    <w:next w:val="BodyText"/>
    <w:qFormat/>
    <w:rsid w:val="00CC1E49"/>
    <w:pPr>
      <w:keepNext/>
      <w:keepLines/>
      <w:spacing w:before="100" w:after="300"/>
    </w:pPr>
    <w:rPr>
      <w:sz w:val="20"/>
      <w:szCs w:val="20"/>
    </w:rPr>
  </w:style>
  <w:style w:type="paragraph" w:styleId="Bibliography">
    <w:name w:val="Bibliography"/>
    <w:basedOn w:val="Normal"/>
    <w:qFormat/>
    <w:rsid w:val="00CC1E49"/>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C1E49"/>
    <w:pPr>
      <w:spacing w:before="100" w:after="100"/>
      <w:ind w:left="480" w:right="480"/>
    </w:pPr>
  </w:style>
  <w:style w:type="paragraph" w:styleId="FootnoteText">
    <w:name w:val="footnote text"/>
    <w:basedOn w:val="Normal"/>
    <w:uiPriority w:val="9"/>
    <w:unhideWhenUsed/>
    <w:qFormat/>
    <w:rsid w:val="00CC1E49"/>
  </w:style>
  <w:style w:type="paragraph" w:customStyle="1" w:styleId="FootnoteBlockText">
    <w:name w:val="Footnote Block Text"/>
    <w:basedOn w:val="FootnoteText"/>
    <w:next w:val="FootnoteText"/>
    <w:uiPriority w:val="9"/>
    <w:unhideWhenUsed/>
    <w:qFormat/>
    <w:rsid w:val="00CC1E49"/>
    <w:pPr>
      <w:spacing w:before="100" w:after="100"/>
      <w:ind w:left="480" w:right="480"/>
    </w:pPr>
  </w:style>
  <w:style w:type="table" w:customStyle="1" w:styleId="Table">
    <w:name w:val="Table"/>
    <w:semiHidden/>
    <w:unhideWhenUsed/>
    <w:qFormat/>
    <w:rsid w:val="00CC1E4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C1E49"/>
    <w:pPr>
      <w:keepNext/>
      <w:keepLines/>
      <w:spacing w:after="0"/>
    </w:pPr>
    <w:rPr>
      <w:b/>
    </w:rPr>
  </w:style>
  <w:style w:type="paragraph" w:customStyle="1" w:styleId="Definition">
    <w:name w:val="Definition"/>
    <w:basedOn w:val="Normal"/>
    <w:rsid w:val="00CC1E49"/>
  </w:style>
  <w:style w:type="paragraph" w:styleId="Caption">
    <w:name w:val="caption"/>
    <w:basedOn w:val="Normal"/>
    <w:link w:val="CaptionChar"/>
    <w:rsid w:val="00CC1E49"/>
    <w:pPr>
      <w:spacing w:after="120"/>
    </w:pPr>
    <w:rPr>
      <w:i/>
    </w:rPr>
  </w:style>
  <w:style w:type="paragraph" w:customStyle="1" w:styleId="TableCaption">
    <w:name w:val="Table Caption"/>
    <w:basedOn w:val="Caption"/>
    <w:rsid w:val="00CC1E49"/>
    <w:pPr>
      <w:keepNext/>
    </w:pPr>
  </w:style>
  <w:style w:type="paragraph" w:customStyle="1" w:styleId="ImageCaption">
    <w:name w:val="Image Caption"/>
    <w:basedOn w:val="Caption"/>
    <w:rsid w:val="00CC1E49"/>
  </w:style>
  <w:style w:type="paragraph" w:customStyle="1" w:styleId="Figure">
    <w:name w:val="Figure"/>
    <w:basedOn w:val="Normal"/>
    <w:rsid w:val="00CC1E49"/>
  </w:style>
  <w:style w:type="paragraph" w:customStyle="1" w:styleId="CaptionedFigure">
    <w:name w:val="Captioned Figure"/>
    <w:basedOn w:val="Figure"/>
    <w:rsid w:val="00CC1E49"/>
    <w:pPr>
      <w:keepNext/>
    </w:pPr>
  </w:style>
  <w:style w:type="character" w:customStyle="1" w:styleId="CaptionChar">
    <w:name w:val="Caption Char"/>
    <w:basedOn w:val="DefaultParagraphFont"/>
    <w:link w:val="Caption"/>
    <w:rsid w:val="00CC1E49"/>
  </w:style>
  <w:style w:type="character" w:customStyle="1" w:styleId="VerbatimChar">
    <w:name w:val="Verbatim Char"/>
    <w:basedOn w:val="CaptionChar"/>
    <w:link w:val="SourceCode"/>
    <w:rsid w:val="00CC1E49"/>
    <w:rPr>
      <w:rFonts w:ascii="Consolas" w:hAnsi="Consolas"/>
      <w:sz w:val="22"/>
    </w:rPr>
  </w:style>
  <w:style w:type="character" w:customStyle="1" w:styleId="SectionNumber">
    <w:name w:val="Section Number"/>
    <w:basedOn w:val="CaptionChar"/>
    <w:rsid w:val="00CC1E49"/>
  </w:style>
  <w:style w:type="character" w:styleId="FootnoteReference">
    <w:name w:val="footnote reference"/>
    <w:basedOn w:val="CaptionChar"/>
    <w:rsid w:val="00CC1E49"/>
    <w:rPr>
      <w:vertAlign w:val="superscript"/>
    </w:rPr>
  </w:style>
  <w:style w:type="character" w:styleId="Hyperlink">
    <w:name w:val="Hyperlink"/>
    <w:basedOn w:val="CaptionChar"/>
    <w:rsid w:val="00CC1E49"/>
    <w:rPr>
      <w:color w:val="156082" w:themeColor="accent1"/>
    </w:rPr>
  </w:style>
  <w:style w:type="paragraph" w:styleId="TOCHeading">
    <w:name w:val="TOC Heading"/>
    <w:basedOn w:val="Heading1"/>
    <w:next w:val="BodyText"/>
    <w:uiPriority w:val="39"/>
    <w:unhideWhenUsed/>
    <w:qFormat/>
    <w:rsid w:val="00CC1E49"/>
    <w:pPr>
      <w:spacing w:before="240" w:line="259" w:lineRule="auto"/>
      <w:outlineLvl w:val="9"/>
    </w:pPr>
  </w:style>
  <w:style w:type="paragraph" w:customStyle="1" w:styleId="SourceCode">
    <w:name w:val="Source Code"/>
    <w:basedOn w:val="Normal"/>
    <w:link w:val="VerbatimChar"/>
    <w:rsid w:val="00CC1E49"/>
    <w:pPr>
      <w:wordWrap w:val="0"/>
    </w:pPr>
  </w:style>
  <w:style w:type="character" w:customStyle="1" w:styleId="KeywordTok">
    <w:name w:val="KeywordTok"/>
    <w:basedOn w:val="VerbatimChar"/>
    <w:rsid w:val="00CC1E49"/>
    <w:rPr>
      <w:rFonts w:ascii="Consolas" w:hAnsi="Consolas"/>
      <w:b/>
      <w:color w:val="007020"/>
      <w:sz w:val="22"/>
    </w:rPr>
  </w:style>
  <w:style w:type="character" w:customStyle="1" w:styleId="DataTypeTok">
    <w:name w:val="DataTypeTok"/>
    <w:basedOn w:val="VerbatimChar"/>
    <w:rsid w:val="00CC1E49"/>
    <w:rPr>
      <w:rFonts w:ascii="Consolas" w:hAnsi="Consolas"/>
      <w:color w:val="902000"/>
      <w:sz w:val="22"/>
    </w:rPr>
  </w:style>
  <w:style w:type="character" w:customStyle="1" w:styleId="DecValTok">
    <w:name w:val="DecValTok"/>
    <w:basedOn w:val="VerbatimChar"/>
    <w:rsid w:val="00CC1E49"/>
    <w:rPr>
      <w:rFonts w:ascii="Consolas" w:hAnsi="Consolas"/>
      <w:color w:val="40A070"/>
      <w:sz w:val="22"/>
    </w:rPr>
  </w:style>
  <w:style w:type="character" w:customStyle="1" w:styleId="BaseNTok">
    <w:name w:val="BaseNTok"/>
    <w:basedOn w:val="VerbatimChar"/>
    <w:rsid w:val="00CC1E49"/>
    <w:rPr>
      <w:rFonts w:ascii="Consolas" w:hAnsi="Consolas"/>
      <w:color w:val="40A070"/>
      <w:sz w:val="22"/>
    </w:rPr>
  </w:style>
  <w:style w:type="character" w:customStyle="1" w:styleId="FloatTok">
    <w:name w:val="FloatTok"/>
    <w:basedOn w:val="VerbatimChar"/>
    <w:rsid w:val="00CC1E49"/>
    <w:rPr>
      <w:rFonts w:ascii="Consolas" w:hAnsi="Consolas"/>
      <w:color w:val="40A070"/>
      <w:sz w:val="22"/>
    </w:rPr>
  </w:style>
  <w:style w:type="character" w:customStyle="1" w:styleId="ConstantTok">
    <w:name w:val="ConstantTok"/>
    <w:basedOn w:val="VerbatimChar"/>
    <w:rsid w:val="00CC1E49"/>
    <w:rPr>
      <w:rFonts w:ascii="Consolas" w:hAnsi="Consolas"/>
      <w:color w:val="880000"/>
      <w:sz w:val="22"/>
    </w:rPr>
  </w:style>
  <w:style w:type="character" w:customStyle="1" w:styleId="CharTok">
    <w:name w:val="CharTok"/>
    <w:basedOn w:val="VerbatimChar"/>
    <w:rsid w:val="00CC1E49"/>
    <w:rPr>
      <w:rFonts w:ascii="Consolas" w:hAnsi="Consolas"/>
      <w:color w:val="4070A0"/>
      <w:sz w:val="22"/>
    </w:rPr>
  </w:style>
  <w:style w:type="character" w:customStyle="1" w:styleId="SpecialCharTok">
    <w:name w:val="SpecialCharTok"/>
    <w:basedOn w:val="VerbatimChar"/>
    <w:rsid w:val="00CC1E49"/>
    <w:rPr>
      <w:rFonts w:ascii="Consolas" w:hAnsi="Consolas"/>
      <w:color w:val="4070A0"/>
      <w:sz w:val="22"/>
    </w:rPr>
  </w:style>
  <w:style w:type="character" w:customStyle="1" w:styleId="StringTok">
    <w:name w:val="StringTok"/>
    <w:basedOn w:val="VerbatimChar"/>
    <w:rsid w:val="00CC1E49"/>
    <w:rPr>
      <w:rFonts w:ascii="Consolas" w:hAnsi="Consolas"/>
      <w:color w:val="4070A0"/>
      <w:sz w:val="22"/>
    </w:rPr>
  </w:style>
  <w:style w:type="character" w:customStyle="1" w:styleId="VerbatimStringTok">
    <w:name w:val="VerbatimStringTok"/>
    <w:basedOn w:val="VerbatimChar"/>
    <w:rsid w:val="00CC1E49"/>
    <w:rPr>
      <w:rFonts w:ascii="Consolas" w:hAnsi="Consolas"/>
      <w:color w:val="4070A0"/>
      <w:sz w:val="22"/>
    </w:rPr>
  </w:style>
  <w:style w:type="character" w:customStyle="1" w:styleId="SpecialStringTok">
    <w:name w:val="SpecialStringTok"/>
    <w:basedOn w:val="VerbatimChar"/>
    <w:rsid w:val="00CC1E49"/>
    <w:rPr>
      <w:rFonts w:ascii="Consolas" w:hAnsi="Consolas"/>
      <w:color w:val="BB6688"/>
      <w:sz w:val="22"/>
    </w:rPr>
  </w:style>
  <w:style w:type="character" w:customStyle="1" w:styleId="ImportTok">
    <w:name w:val="ImportTok"/>
    <w:basedOn w:val="VerbatimChar"/>
    <w:rsid w:val="00CC1E49"/>
    <w:rPr>
      <w:rFonts w:ascii="Consolas" w:hAnsi="Consolas"/>
      <w:b/>
      <w:color w:val="008000"/>
      <w:sz w:val="22"/>
    </w:rPr>
  </w:style>
  <w:style w:type="character" w:customStyle="1" w:styleId="CommentTok">
    <w:name w:val="CommentTok"/>
    <w:basedOn w:val="VerbatimChar"/>
    <w:rsid w:val="00CC1E49"/>
    <w:rPr>
      <w:rFonts w:ascii="Consolas" w:hAnsi="Consolas"/>
      <w:i/>
      <w:color w:val="60A0B0"/>
      <w:sz w:val="22"/>
    </w:rPr>
  </w:style>
  <w:style w:type="character" w:customStyle="1" w:styleId="DocumentationTok">
    <w:name w:val="DocumentationTok"/>
    <w:basedOn w:val="VerbatimChar"/>
    <w:rsid w:val="00CC1E49"/>
    <w:rPr>
      <w:rFonts w:ascii="Consolas" w:hAnsi="Consolas"/>
      <w:i/>
      <w:color w:val="BA2121"/>
      <w:sz w:val="22"/>
    </w:rPr>
  </w:style>
  <w:style w:type="character" w:customStyle="1" w:styleId="AnnotationTok">
    <w:name w:val="AnnotationTok"/>
    <w:basedOn w:val="VerbatimChar"/>
    <w:rsid w:val="00CC1E49"/>
    <w:rPr>
      <w:rFonts w:ascii="Consolas" w:hAnsi="Consolas"/>
      <w:b/>
      <w:i/>
      <w:color w:val="60A0B0"/>
      <w:sz w:val="22"/>
    </w:rPr>
  </w:style>
  <w:style w:type="character" w:customStyle="1" w:styleId="CommentVarTok">
    <w:name w:val="CommentVarTok"/>
    <w:basedOn w:val="VerbatimChar"/>
    <w:rsid w:val="00CC1E49"/>
    <w:rPr>
      <w:rFonts w:ascii="Consolas" w:hAnsi="Consolas"/>
      <w:b/>
      <w:i/>
      <w:color w:val="60A0B0"/>
      <w:sz w:val="22"/>
    </w:rPr>
  </w:style>
  <w:style w:type="character" w:customStyle="1" w:styleId="OtherTok">
    <w:name w:val="OtherTok"/>
    <w:basedOn w:val="VerbatimChar"/>
    <w:rsid w:val="00CC1E49"/>
    <w:rPr>
      <w:rFonts w:ascii="Consolas" w:hAnsi="Consolas"/>
      <w:color w:val="007020"/>
      <w:sz w:val="22"/>
    </w:rPr>
  </w:style>
  <w:style w:type="character" w:customStyle="1" w:styleId="FunctionTok">
    <w:name w:val="FunctionTok"/>
    <w:basedOn w:val="VerbatimChar"/>
    <w:rsid w:val="00CC1E49"/>
    <w:rPr>
      <w:rFonts w:ascii="Consolas" w:hAnsi="Consolas"/>
      <w:color w:val="06287E"/>
      <w:sz w:val="22"/>
    </w:rPr>
  </w:style>
  <w:style w:type="character" w:customStyle="1" w:styleId="VariableTok">
    <w:name w:val="VariableTok"/>
    <w:basedOn w:val="VerbatimChar"/>
    <w:rsid w:val="00CC1E49"/>
    <w:rPr>
      <w:rFonts w:ascii="Consolas" w:hAnsi="Consolas"/>
      <w:color w:val="19177C"/>
      <w:sz w:val="22"/>
    </w:rPr>
  </w:style>
  <w:style w:type="character" w:customStyle="1" w:styleId="ControlFlowTok">
    <w:name w:val="ControlFlowTok"/>
    <w:basedOn w:val="VerbatimChar"/>
    <w:rsid w:val="00CC1E49"/>
    <w:rPr>
      <w:rFonts w:ascii="Consolas" w:hAnsi="Consolas"/>
      <w:b/>
      <w:color w:val="007020"/>
      <w:sz w:val="22"/>
    </w:rPr>
  </w:style>
  <w:style w:type="character" w:customStyle="1" w:styleId="OperatorTok">
    <w:name w:val="OperatorTok"/>
    <w:basedOn w:val="VerbatimChar"/>
    <w:rsid w:val="00CC1E49"/>
    <w:rPr>
      <w:rFonts w:ascii="Consolas" w:hAnsi="Consolas"/>
      <w:color w:val="666666"/>
      <w:sz w:val="22"/>
    </w:rPr>
  </w:style>
  <w:style w:type="character" w:customStyle="1" w:styleId="BuiltInTok">
    <w:name w:val="BuiltInTok"/>
    <w:basedOn w:val="VerbatimChar"/>
    <w:rsid w:val="00CC1E49"/>
    <w:rPr>
      <w:rFonts w:ascii="Consolas" w:hAnsi="Consolas"/>
      <w:color w:val="008000"/>
      <w:sz w:val="22"/>
    </w:rPr>
  </w:style>
  <w:style w:type="character" w:customStyle="1" w:styleId="ExtensionTok">
    <w:name w:val="ExtensionTok"/>
    <w:basedOn w:val="VerbatimChar"/>
    <w:rsid w:val="00CC1E49"/>
    <w:rPr>
      <w:rFonts w:ascii="Consolas" w:hAnsi="Consolas"/>
      <w:sz w:val="22"/>
    </w:rPr>
  </w:style>
  <w:style w:type="character" w:customStyle="1" w:styleId="PreprocessorTok">
    <w:name w:val="PreprocessorTok"/>
    <w:basedOn w:val="VerbatimChar"/>
    <w:rsid w:val="00CC1E49"/>
    <w:rPr>
      <w:rFonts w:ascii="Consolas" w:hAnsi="Consolas"/>
      <w:color w:val="BC7A00"/>
      <w:sz w:val="22"/>
    </w:rPr>
  </w:style>
  <w:style w:type="character" w:customStyle="1" w:styleId="AttributeTok">
    <w:name w:val="AttributeTok"/>
    <w:basedOn w:val="VerbatimChar"/>
    <w:rsid w:val="00CC1E49"/>
    <w:rPr>
      <w:rFonts w:ascii="Consolas" w:hAnsi="Consolas"/>
      <w:color w:val="7D9029"/>
      <w:sz w:val="22"/>
    </w:rPr>
  </w:style>
  <w:style w:type="character" w:customStyle="1" w:styleId="RegionMarkerTok">
    <w:name w:val="RegionMarkerTok"/>
    <w:basedOn w:val="VerbatimChar"/>
    <w:rsid w:val="00CC1E49"/>
    <w:rPr>
      <w:rFonts w:ascii="Consolas" w:hAnsi="Consolas"/>
      <w:sz w:val="22"/>
    </w:rPr>
  </w:style>
  <w:style w:type="character" w:customStyle="1" w:styleId="InformationTok">
    <w:name w:val="InformationTok"/>
    <w:basedOn w:val="VerbatimChar"/>
    <w:rsid w:val="00CC1E49"/>
    <w:rPr>
      <w:rFonts w:ascii="Consolas" w:hAnsi="Consolas"/>
      <w:b/>
      <w:i/>
      <w:color w:val="60A0B0"/>
      <w:sz w:val="22"/>
    </w:rPr>
  </w:style>
  <w:style w:type="character" w:customStyle="1" w:styleId="WarningTok">
    <w:name w:val="WarningTok"/>
    <w:basedOn w:val="VerbatimChar"/>
    <w:rsid w:val="00CC1E49"/>
    <w:rPr>
      <w:rFonts w:ascii="Consolas" w:hAnsi="Consolas"/>
      <w:b/>
      <w:i/>
      <w:color w:val="60A0B0"/>
      <w:sz w:val="22"/>
    </w:rPr>
  </w:style>
  <w:style w:type="character" w:customStyle="1" w:styleId="AlertTok">
    <w:name w:val="AlertTok"/>
    <w:basedOn w:val="VerbatimChar"/>
    <w:rsid w:val="00CC1E49"/>
    <w:rPr>
      <w:rFonts w:ascii="Consolas" w:hAnsi="Consolas"/>
      <w:b/>
      <w:color w:val="FF0000"/>
      <w:sz w:val="22"/>
    </w:rPr>
  </w:style>
  <w:style w:type="character" w:customStyle="1" w:styleId="ErrorTok">
    <w:name w:val="ErrorTok"/>
    <w:basedOn w:val="VerbatimChar"/>
    <w:rsid w:val="00CC1E49"/>
    <w:rPr>
      <w:rFonts w:ascii="Consolas" w:hAnsi="Consolas"/>
      <w:b/>
      <w:color w:val="FF0000"/>
      <w:sz w:val="22"/>
    </w:rPr>
  </w:style>
  <w:style w:type="character" w:customStyle="1" w:styleId="NormalTok">
    <w:name w:val="NormalTok"/>
    <w:basedOn w:val="VerbatimChar"/>
    <w:rsid w:val="00CC1E49"/>
    <w:rPr>
      <w:rFonts w:ascii="Consolas" w:hAnsi="Consolas"/>
      <w:sz w:val="22"/>
    </w:rPr>
  </w:style>
  <w:style w:type="paragraph" w:styleId="NormalWeb">
    <w:name w:val="Normal (Web)"/>
    <w:basedOn w:val="Normal"/>
    <w:uiPriority w:val="99"/>
    <w:unhideWhenUsed/>
    <w:rsid w:val="003A1A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27D7"/>
    <w:rPr>
      <w:b/>
      <w:bCs/>
    </w:rPr>
  </w:style>
  <w:style w:type="character" w:styleId="Emphasis">
    <w:name w:val="Emphasis"/>
    <w:basedOn w:val="DefaultParagraphFont"/>
    <w:uiPriority w:val="20"/>
    <w:qFormat/>
    <w:rsid w:val="000E093D"/>
    <w:rPr>
      <w:i/>
      <w:iCs/>
    </w:rPr>
  </w:style>
  <w:style w:type="character" w:customStyle="1" w:styleId="UnresolvedMention1">
    <w:name w:val="Unresolved Mention1"/>
    <w:basedOn w:val="DefaultParagraphFont"/>
    <w:uiPriority w:val="99"/>
    <w:semiHidden/>
    <w:unhideWhenUsed/>
    <w:rsid w:val="00A40F9B"/>
    <w:rPr>
      <w:color w:val="605E5C"/>
      <w:shd w:val="clear" w:color="auto" w:fill="E1DFDD"/>
    </w:rPr>
  </w:style>
  <w:style w:type="paragraph" w:styleId="Header">
    <w:name w:val="header"/>
    <w:basedOn w:val="Normal"/>
    <w:link w:val="HeaderChar"/>
    <w:unhideWhenUsed/>
    <w:rsid w:val="00955686"/>
    <w:pPr>
      <w:tabs>
        <w:tab w:val="center" w:pos="4680"/>
        <w:tab w:val="right" w:pos="9360"/>
      </w:tabs>
      <w:spacing w:after="0"/>
    </w:pPr>
  </w:style>
  <w:style w:type="character" w:customStyle="1" w:styleId="HeaderChar">
    <w:name w:val="Header Char"/>
    <w:basedOn w:val="DefaultParagraphFont"/>
    <w:link w:val="Header"/>
    <w:rsid w:val="00955686"/>
  </w:style>
  <w:style w:type="paragraph" w:styleId="Footer">
    <w:name w:val="footer"/>
    <w:basedOn w:val="Normal"/>
    <w:link w:val="FooterChar"/>
    <w:unhideWhenUsed/>
    <w:rsid w:val="00955686"/>
    <w:pPr>
      <w:tabs>
        <w:tab w:val="center" w:pos="4680"/>
        <w:tab w:val="right" w:pos="9360"/>
      </w:tabs>
      <w:spacing w:after="0"/>
    </w:pPr>
  </w:style>
  <w:style w:type="character" w:customStyle="1" w:styleId="FooterChar">
    <w:name w:val="Footer Char"/>
    <w:basedOn w:val="DefaultParagraphFont"/>
    <w:link w:val="Footer"/>
    <w:rsid w:val="00955686"/>
  </w:style>
  <w:style w:type="character" w:customStyle="1" w:styleId="BodyTextChar">
    <w:name w:val="Body Text Char"/>
    <w:basedOn w:val="DefaultParagraphFont"/>
    <w:rsid w:val="0053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80224">
      <w:bodyDiv w:val="1"/>
      <w:marLeft w:val="0"/>
      <w:marRight w:val="0"/>
      <w:marTop w:val="0"/>
      <w:marBottom w:val="0"/>
      <w:divBdr>
        <w:top w:val="none" w:sz="0" w:space="0" w:color="auto"/>
        <w:left w:val="none" w:sz="0" w:space="0" w:color="auto"/>
        <w:bottom w:val="none" w:sz="0" w:space="0" w:color="auto"/>
        <w:right w:val="none" w:sz="0" w:space="0" w:color="auto"/>
      </w:divBdr>
    </w:div>
    <w:div w:id="547764715">
      <w:bodyDiv w:val="1"/>
      <w:marLeft w:val="0"/>
      <w:marRight w:val="0"/>
      <w:marTop w:val="0"/>
      <w:marBottom w:val="0"/>
      <w:divBdr>
        <w:top w:val="none" w:sz="0" w:space="0" w:color="auto"/>
        <w:left w:val="none" w:sz="0" w:space="0" w:color="auto"/>
        <w:bottom w:val="none" w:sz="0" w:space="0" w:color="auto"/>
        <w:right w:val="none" w:sz="0" w:space="0" w:color="auto"/>
      </w:divBdr>
    </w:div>
    <w:div w:id="660159765">
      <w:bodyDiv w:val="1"/>
      <w:marLeft w:val="0"/>
      <w:marRight w:val="0"/>
      <w:marTop w:val="0"/>
      <w:marBottom w:val="0"/>
      <w:divBdr>
        <w:top w:val="none" w:sz="0" w:space="0" w:color="auto"/>
        <w:left w:val="none" w:sz="0" w:space="0" w:color="auto"/>
        <w:bottom w:val="none" w:sz="0" w:space="0" w:color="auto"/>
        <w:right w:val="none" w:sz="0" w:space="0" w:color="auto"/>
      </w:divBdr>
    </w:div>
    <w:div w:id="661466647">
      <w:bodyDiv w:val="1"/>
      <w:marLeft w:val="0"/>
      <w:marRight w:val="0"/>
      <w:marTop w:val="0"/>
      <w:marBottom w:val="0"/>
      <w:divBdr>
        <w:top w:val="none" w:sz="0" w:space="0" w:color="auto"/>
        <w:left w:val="none" w:sz="0" w:space="0" w:color="auto"/>
        <w:bottom w:val="none" w:sz="0" w:space="0" w:color="auto"/>
        <w:right w:val="none" w:sz="0" w:space="0" w:color="auto"/>
      </w:divBdr>
    </w:div>
    <w:div w:id="782111945">
      <w:bodyDiv w:val="1"/>
      <w:marLeft w:val="0"/>
      <w:marRight w:val="0"/>
      <w:marTop w:val="0"/>
      <w:marBottom w:val="0"/>
      <w:divBdr>
        <w:top w:val="none" w:sz="0" w:space="0" w:color="auto"/>
        <w:left w:val="none" w:sz="0" w:space="0" w:color="auto"/>
        <w:bottom w:val="none" w:sz="0" w:space="0" w:color="auto"/>
        <w:right w:val="none" w:sz="0" w:space="0" w:color="auto"/>
      </w:divBdr>
    </w:div>
    <w:div w:id="1034188688">
      <w:bodyDiv w:val="1"/>
      <w:marLeft w:val="0"/>
      <w:marRight w:val="0"/>
      <w:marTop w:val="0"/>
      <w:marBottom w:val="0"/>
      <w:divBdr>
        <w:top w:val="none" w:sz="0" w:space="0" w:color="auto"/>
        <w:left w:val="none" w:sz="0" w:space="0" w:color="auto"/>
        <w:bottom w:val="none" w:sz="0" w:space="0" w:color="auto"/>
        <w:right w:val="none" w:sz="0" w:space="0" w:color="auto"/>
      </w:divBdr>
    </w:div>
    <w:div w:id="1364864666">
      <w:bodyDiv w:val="1"/>
      <w:marLeft w:val="0"/>
      <w:marRight w:val="0"/>
      <w:marTop w:val="0"/>
      <w:marBottom w:val="0"/>
      <w:divBdr>
        <w:top w:val="none" w:sz="0" w:space="0" w:color="auto"/>
        <w:left w:val="none" w:sz="0" w:space="0" w:color="auto"/>
        <w:bottom w:val="none" w:sz="0" w:space="0" w:color="auto"/>
        <w:right w:val="none" w:sz="0" w:space="0" w:color="auto"/>
      </w:divBdr>
    </w:div>
    <w:div w:id="1425146406">
      <w:bodyDiv w:val="1"/>
      <w:marLeft w:val="0"/>
      <w:marRight w:val="0"/>
      <w:marTop w:val="0"/>
      <w:marBottom w:val="0"/>
      <w:divBdr>
        <w:top w:val="none" w:sz="0" w:space="0" w:color="auto"/>
        <w:left w:val="none" w:sz="0" w:space="0" w:color="auto"/>
        <w:bottom w:val="none" w:sz="0" w:space="0" w:color="auto"/>
        <w:right w:val="none" w:sz="0" w:space="0" w:color="auto"/>
      </w:divBdr>
    </w:div>
    <w:div w:id="1675302399">
      <w:bodyDiv w:val="1"/>
      <w:marLeft w:val="0"/>
      <w:marRight w:val="0"/>
      <w:marTop w:val="0"/>
      <w:marBottom w:val="0"/>
      <w:divBdr>
        <w:top w:val="none" w:sz="0" w:space="0" w:color="auto"/>
        <w:left w:val="none" w:sz="0" w:space="0" w:color="auto"/>
        <w:bottom w:val="none" w:sz="0" w:space="0" w:color="auto"/>
        <w:right w:val="none" w:sz="0" w:space="0" w:color="auto"/>
      </w:divBdr>
    </w:div>
    <w:div w:id="1822118173">
      <w:bodyDiv w:val="1"/>
      <w:marLeft w:val="0"/>
      <w:marRight w:val="0"/>
      <w:marTop w:val="0"/>
      <w:marBottom w:val="0"/>
      <w:divBdr>
        <w:top w:val="none" w:sz="0" w:space="0" w:color="auto"/>
        <w:left w:val="none" w:sz="0" w:space="0" w:color="auto"/>
        <w:bottom w:val="none" w:sz="0" w:space="0" w:color="auto"/>
        <w:right w:val="none" w:sz="0" w:space="0" w:color="auto"/>
      </w:divBdr>
    </w:div>
    <w:div w:id="1974404304">
      <w:bodyDiv w:val="1"/>
      <w:marLeft w:val="0"/>
      <w:marRight w:val="0"/>
      <w:marTop w:val="0"/>
      <w:marBottom w:val="0"/>
      <w:divBdr>
        <w:top w:val="none" w:sz="0" w:space="0" w:color="auto"/>
        <w:left w:val="none" w:sz="0" w:space="0" w:color="auto"/>
        <w:bottom w:val="none" w:sz="0" w:space="0" w:color="auto"/>
        <w:right w:val="none" w:sz="0" w:space="0" w:color="auto"/>
      </w:divBdr>
    </w:div>
    <w:div w:id="2130509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08398.2018.1502743" TargetMode="External"/><Relationship Id="rId13" Type="http://schemas.openxmlformats.org/officeDocument/2006/relationships/hyperlink" Target="https://doi.org/10.1039/D3FO01770B"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S0140-6736(19)30041-8" TargetMode="External"/><Relationship Id="rId12" Type="http://schemas.openxmlformats.org/officeDocument/2006/relationships/hyperlink" Target="https://doi.org/10.1038/s41591-018-030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ifs.2017.08.01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tifs.2021.07.01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10408398.2024.243559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344</TotalTime>
  <Pages>19</Pages>
  <Words>6445</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1022</cp:lastModifiedBy>
  <cp:revision>62</cp:revision>
  <dcterms:created xsi:type="dcterms:W3CDTF">2026-01-09T04:10:00Z</dcterms:created>
  <dcterms:modified xsi:type="dcterms:W3CDTF">2026-03-11T11:25:00Z</dcterms:modified>
</cp:coreProperties>
</file>