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9EDA4" w14:textId="6E2CED01" w:rsidR="00754C9A" w:rsidRPr="00762183" w:rsidRDefault="00754C9A" w:rsidP="00441B6F">
      <w:pPr>
        <w:pStyle w:val="Title"/>
        <w:spacing w:after="0"/>
        <w:jc w:val="both"/>
        <w:rPr>
          <w:rFonts w:ascii="Arial" w:hAnsi="Arial" w:cs="Arial"/>
          <w:sz w:val="18"/>
          <w:szCs w:val="18"/>
        </w:rPr>
      </w:pPr>
    </w:p>
    <w:p w14:paraId="4BE35886" w14:textId="125E93BA" w:rsidR="00762183" w:rsidRDefault="00762183" w:rsidP="00762183">
      <w:pPr>
        <w:pStyle w:val="Author"/>
        <w:jc w:val="center"/>
        <w:rPr>
          <w:rFonts w:ascii="Arial" w:hAnsi="Arial" w:cs="Arial"/>
          <w:bCs/>
          <w:i/>
          <w:iCs/>
          <w:kern w:val="28"/>
          <w:sz w:val="18"/>
          <w:szCs w:val="18"/>
          <w:u w:val="single"/>
        </w:rPr>
      </w:pPr>
      <w:r w:rsidRPr="00762183">
        <w:rPr>
          <w:rFonts w:ascii="Arial" w:hAnsi="Arial" w:cs="Arial"/>
          <w:bCs/>
          <w:i/>
          <w:iCs/>
          <w:kern w:val="28"/>
          <w:sz w:val="18"/>
          <w:szCs w:val="18"/>
          <w:u w:val="single"/>
        </w:rPr>
        <w:t>Original Research Article</w:t>
      </w:r>
    </w:p>
    <w:p w14:paraId="5155F852" w14:textId="77777777" w:rsidR="00A4588C" w:rsidRPr="00762183" w:rsidRDefault="00A4588C" w:rsidP="00762183">
      <w:pPr>
        <w:pStyle w:val="Author"/>
        <w:jc w:val="center"/>
        <w:rPr>
          <w:rFonts w:ascii="Arial" w:hAnsi="Arial" w:cs="Arial"/>
          <w:bCs/>
          <w:i/>
          <w:iCs/>
          <w:kern w:val="28"/>
          <w:sz w:val="18"/>
          <w:szCs w:val="18"/>
          <w:u w:val="single"/>
        </w:rPr>
      </w:pPr>
    </w:p>
    <w:p w14:paraId="2DFEA67D" w14:textId="64E58B6A" w:rsidR="00163BC4" w:rsidRDefault="00ED6C81" w:rsidP="00CE552B">
      <w:pPr>
        <w:pStyle w:val="Author"/>
        <w:spacing w:line="240" w:lineRule="auto"/>
        <w:jc w:val="center"/>
        <w:rPr>
          <w:rFonts w:ascii="Arial" w:hAnsi="Arial" w:cs="Arial"/>
          <w:bCs/>
          <w:iCs/>
          <w:kern w:val="28"/>
          <w:sz w:val="36"/>
        </w:rPr>
      </w:pPr>
      <w:r w:rsidRPr="00ED6C81">
        <w:rPr>
          <w:rFonts w:ascii="Arial" w:hAnsi="Arial" w:cs="Arial"/>
          <w:bCs/>
          <w:iCs/>
          <w:kern w:val="28"/>
          <w:sz w:val="36"/>
        </w:rPr>
        <w:t xml:space="preserve">An investigation into the Efficacy of the Combined Methanol Extract of </w:t>
      </w:r>
      <w:proofErr w:type="spellStart"/>
      <w:r w:rsidRPr="00ED6C81">
        <w:rPr>
          <w:rFonts w:ascii="Arial" w:hAnsi="Arial" w:cs="Arial"/>
          <w:bCs/>
          <w:i/>
          <w:kern w:val="28"/>
          <w:sz w:val="36"/>
        </w:rPr>
        <w:t>Zanthoxylum</w:t>
      </w:r>
      <w:proofErr w:type="spellEnd"/>
      <w:r w:rsidRPr="00ED6C81">
        <w:rPr>
          <w:rFonts w:ascii="Arial" w:hAnsi="Arial" w:cs="Arial"/>
          <w:bCs/>
          <w:iCs/>
          <w:kern w:val="28"/>
          <w:sz w:val="36"/>
        </w:rPr>
        <w:t xml:space="preserve"> </w:t>
      </w:r>
      <w:proofErr w:type="spellStart"/>
      <w:r w:rsidRPr="00ED6C81">
        <w:rPr>
          <w:rFonts w:ascii="Arial" w:hAnsi="Arial" w:cs="Arial"/>
          <w:bCs/>
          <w:i/>
          <w:kern w:val="28"/>
          <w:sz w:val="36"/>
        </w:rPr>
        <w:t>asiaticum</w:t>
      </w:r>
      <w:proofErr w:type="spellEnd"/>
      <w:r w:rsidRPr="00ED6C81">
        <w:rPr>
          <w:rFonts w:ascii="Arial" w:hAnsi="Arial" w:cs="Arial"/>
          <w:bCs/>
          <w:iCs/>
          <w:kern w:val="28"/>
          <w:sz w:val="36"/>
        </w:rPr>
        <w:t xml:space="preserve"> and </w:t>
      </w:r>
      <w:proofErr w:type="spellStart"/>
      <w:r w:rsidRPr="00ED6C81">
        <w:rPr>
          <w:rFonts w:ascii="Arial" w:hAnsi="Arial" w:cs="Arial"/>
          <w:bCs/>
          <w:i/>
          <w:kern w:val="28"/>
          <w:sz w:val="36"/>
        </w:rPr>
        <w:t>Delonix</w:t>
      </w:r>
      <w:proofErr w:type="spellEnd"/>
      <w:r w:rsidRPr="00ED6C81">
        <w:rPr>
          <w:rFonts w:ascii="Arial" w:hAnsi="Arial" w:cs="Arial"/>
          <w:bCs/>
          <w:i/>
          <w:kern w:val="28"/>
          <w:sz w:val="36"/>
        </w:rPr>
        <w:t xml:space="preserve"> regia</w:t>
      </w:r>
      <w:r w:rsidRPr="00ED6C81">
        <w:rPr>
          <w:rFonts w:ascii="Arial" w:hAnsi="Arial" w:cs="Arial"/>
          <w:bCs/>
          <w:iCs/>
          <w:kern w:val="28"/>
          <w:sz w:val="36"/>
        </w:rPr>
        <w:t xml:space="preserve"> on </w:t>
      </w:r>
      <w:proofErr w:type="gramStart"/>
      <w:r w:rsidRPr="00ED6C81">
        <w:rPr>
          <w:rFonts w:ascii="Arial" w:hAnsi="Arial" w:cs="Arial"/>
          <w:bCs/>
          <w:i/>
          <w:kern w:val="28"/>
          <w:sz w:val="36"/>
        </w:rPr>
        <w:t xml:space="preserve">Plasmodium  </w:t>
      </w:r>
      <w:proofErr w:type="spellStart"/>
      <w:r w:rsidRPr="00ED6C81">
        <w:rPr>
          <w:rFonts w:ascii="Arial" w:hAnsi="Arial" w:cs="Arial"/>
          <w:bCs/>
          <w:i/>
          <w:kern w:val="28"/>
          <w:sz w:val="36"/>
        </w:rPr>
        <w:t>berghei</w:t>
      </w:r>
      <w:proofErr w:type="spellEnd"/>
      <w:proofErr w:type="gramEnd"/>
      <w:r w:rsidRPr="00ED6C81">
        <w:rPr>
          <w:rFonts w:ascii="Arial" w:hAnsi="Arial" w:cs="Arial"/>
          <w:bCs/>
          <w:iCs/>
          <w:kern w:val="28"/>
          <w:sz w:val="36"/>
        </w:rPr>
        <w:t>-Infected Mice and Its Effects on Blood Parameters</w:t>
      </w:r>
    </w:p>
    <w:p w14:paraId="6C914A03" w14:textId="77777777" w:rsidR="00ED6C81" w:rsidRPr="00580A46" w:rsidRDefault="00ED6C81" w:rsidP="00CE552B">
      <w:pPr>
        <w:pStyle w:val="Author"/>
        <w:spacing w:line="240" w:lineRule="auto"/>
        <w:jc w:val="center"/>
        <w:rPr>
          <w:rFonts w:ascii="Arial" w:hAnsi="Arial" w:cs="Arial"/>
          <w:bCs/>
          <w:iCs/>
          <w:kern w:val="28"/>
          <w:sz w:val="36"/>
        </w:rPr>
      </w:pPr>
    </w:p>
    <w:p w14:paraId="1D45D145" w14:textId="77777777" w:rsidR="00A258C3" w:rsidRPr="00580A46" w:rsidRDefault="00A258C3" w:rsidP="00441B6F">
      <w:pPr>
        <w:pStyle w:val="Author"/>
        <w:spacing w:line="240" w:lineRule="auto"/>
        <w:jc w:val="both"/>
        <w:rPr>
          <w:rFonts w:ascii="Arial" w:hAnsi="Arial" w:cs="Arial"/>
          <w:sz w:val="36"/>
        </w:rPr>
      </w:pPr>
    </w:p>
    <w:p w14:paraId="39AC59E5" w14:textId="77777777" w:rsidR="005419DE" w:rsidRPr="00580A46" w:rsidRDefault="005419DE" w:rsidP="00441B6F">
      <w:pPr>
        <w:pStyle w:val="Affiliation"/>
        <w:spacing w:after="0" w:line="240" w:lineRule="auto"/>
        <w:jc w:val="both"/>
        <w:rPr>
          <w:rFonts w:ascii="Arial" w:hAnsi="Arial" w:cs="Arial"/>
        </w:rPr>
      </w:pPr>
    </w:p>
    <w:p w14:paraId="15721421" w14:textId="4BE3833D" w:rsidR="00B01FCD" w:rsidRPr="00580A46" w:rsidRDefault="00116B18" w:rsidP="00441B6F">
      <w:pPr>
        <w:pStyle w:val="Copyright"/>
        <w:spacing w:after="0" w:line="240" w:lineRule="auto"/>
        <w:jc w:val="both"/>
        <w:rPr>
          <w:rFonts w:ascii="Arial" w:hAnsi="Arial" w:cs="Arial"/>
        </w:rPr>
        <w:sectPr w:rsidR="00B01FCD" w:rsidRPr="00580A46" w:rsidSect="0074386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A63036F" wp14:editId="798DB19B">
                <wp:extent cx="5303520" cy="635"/>
                <wp:effectExtent l="13335" t="18415" r="17145" b="1016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045320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580A46">
        <w:rPr>
          <w:rFonts w:ascii="Arial" w:hAnsi="Arial" w:cs="Arial"/>
        </w:rPr>
        <w:t>.</w:t>
      </w:r>
    </w:p>
    <w:p w14:paraId="547AF8F9" w14:textId="6C9EF450" w:rsidR="00B01FCD" w:rsidRPr="00580A46" w:rsidRDefault="00B01FCD" w:rsidP="00441B6F">
      <w:pPr>
        <w:pStyle w:val="AbstHead"/>
        <w:spacing w:after="0"/>
        <w:jc w:val="both"/>
        <w:rPr>
          <w:rFonts w:ascii="Arial" w:hAnsi="Arial" w:cs="Arial"/>
        </w:rPr>
      </w:pPr>
      <w:r w:rsidRPr="00580A46">
        <w:rPr>
          <w:rFonts w:ascii="Arial" w:hAnsi="Arial" w:cs="Arial"/>
        </w:rPr>
        <w:t>ABSTRACT</w:t>
      </w:r>
      <w:r w:rsidR="0066510A" w:rsidRPr="00580A46">
        <w:rPr>
          <w:rFonts w:ascii="Arial" w:hAnsi="Arial" w:cs="Arial"/>
        </w:rPr>
        <w:t xml:space="preserve"> </w:t>
      </w:r>
    </w:p>
    <w:p w14:paraId="0CAE5123" w14:textId="77777777" w:rsidR="00790ADA" w:rsidRPr="00580A4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580A46" w:rsidRPr="00580A46" w14:paraId="2AF0F6A4" w14:textId="77777777" w:rsidTr="001E44FE">
        <w:tc>
          <w:tcPr>
            <w:tcW w:w="9576" w:type="dxa"/>
            <w:shd w:val="clear" w:color="auto" w:fill="F2F2F2"/>
          </w:tcPr>
          <w:p w14:paraId="2EC29CE6" w14:textId="77777777" w:rsidR="00A03B96" w:rsidRPr="00580A46" w:rsidRDefault="00A03B96" w:rsidP="00441B6F">
            <w:pPr>
              <w:pStyle w:val="Body"/>
              <w:spacing w:after="0"/>
              <w:rPr>
                <w:rFonts w:ascii="Arial" w:eastAsia="Calibri" w:hAnsi="Arial" w:cs="Arial"/>
                <w:szCs w:val="22"/>
              </w:rPr>
            </w:pPr>
          </w:p>
          <w:p w14:paraId="7B09EF3B" w14:textId="77777777" w:rsidR="00E3114E" w:rsidRPr="00580A46" w:rsidRDefault="00E3114E" w:rsidP="00441B6F">
            <w:pPr>
              <w:pStyle w:val="Body"/>
              <w:spacing w:after="0"/>
              <w:rPr>
                <w:rFonts w:ascii="Arial" w:eastAsia="Calibri" w:hAnsi="Arial" w:cs="Arial"/>
                <w:szCs w:val="22"/>
              </w:rPr>
            </w:pPr>
          </w:p>
          <w:p w14:paraId="6E1EE4E9" w14:textId="77777777" w:rsidR="00E3114E" w:rsidRPr="00580A46" w:rsidRDefault="00E3114E" w:rsidP="00441B6F">
            <w:pPr>
              <w:pStyle w:val="Body"/>
              <w:spacing w:after="0"/>
              <w:rPr>
                <w:rFonts w:ascii="Arial" w:eastAsia="Calibri" w:hAnsi="Arial" w:cs="Arial"/>
                <w:b/>
                <w:szCs w:val="22"/>
              </w:rPr>
            </w:pPr>
          </w:p>
          <w:p w14:paraId="4A94BF5C" w14:textId="7A1CE7D3" w:rsidR="000D64B9" w:rsidRPr="00580A46" w:rsidRDefault="00C67C6B" w:rsidP="00441B6F">
            <w:pPr>
              <w:pStyle w:val="Body"/>
              <w:spacing w:after="0"/>
              <w:rPr>
                <w:rFonts w:ascii="Arial" w:eastAsia="Calibri" w:hAnsi="Arial" w:cs="Arial"/>
                <w:szCs w:val="22"/>
              </w:rPr>
            </w:pPr>
            <w:r w:rsidRPr="00580A46">
              <w:rPr>
                <w:rFonts w:ascii="Arial" w:eastAsia="Calibri" w:hAnsi="Arial" w:cs="Arial"/>
                <w:b/>
                <w:szCs w:val="22"/>
              </w:rPr>
              <w:t xml:space="preserve">Aims: </w:t>
            </w:r>
            <w:r w:rsidR="00861861" w:rsidRPr="00580A46">
              <w:rPr>
                <w:rFonts w:ascii="Arial" w:eastAsia="Calibri" w:hAnsi="Arial" w:cs="Arial"/>
                <w:bCs/>
                <w:szCs w:val="22"/>
              </w:rPr>
              <w:t xml:space="preserve">This study assessed the effectiveness of single and fixed-ratio combinations of extracts from </w:t>
            </w:r>
            <w:proofErr w:type="spellStart"/>
            <w:r w:rsidR="003A316B" w:rsidRPr="00580A46">
              <w:rPr>
                <w:rFonts w:ascii="Arial" w:eastAsia="Calibri" w:hAnsi="Arial" w:cs="Arial"/>
                <w:bCs/>
                <w:i/>
                <w:szCs w:val="22"/>
              </w:rPr>
              <w:t>Zanthoxylum</w:t>
            </w:r>
            <w:proofErr w:type="spellEnd"/>
            <w:r w:rsidR="003A316B" w:rsidRPr="00580A46">
              <w:rPr>
                <w:rFonts w:ascii="Arial" w:eastAsia="Calibri" w:hAnsi="Arial" w:cs="Arial"/>
                <w:bCs/>
                <w:i/>
                <w:szCs w:val="22"/>
              </w:rPr>
              <w:t xml:space="preserve"> </w:t>
            </w:r>
            <w:proofErr w:type="spellStart"/>
            <w:r w:rsidR="003A316B" w:rsidRPr="00580A46">
              <w:rPr>
                <w:rFonts w:ascii="Arial" w:eastAsia="Calibri" w:hAnsi="Arial" w:cs="Arial"/>
                <w:bCs/>
                <w:i/>
                <w:szCs w:val="22"/>
              </w:rPr>
              <w:t>asiaticum</w:t>
            </w:r>
            <w:proofErr w:type="spellEnd"/>
            <w:r w:rsidR="003A316B" w:rsidRPr="00580A46">
              <w:rPr>
                <w:rFonts w:ascii="Arial" w:eastAsia="Calibri" w:hAnsi="Arial" w:cs="Arial"/>
                <w:bCs/>
                <w:i/>
                <w:szCs w:val="22"/>
              </w:rPr>
              <w:t xml:space="preserve"> </w:t>
            </w:r>
            <w:r w:rsidR="00861861" w:rsidRPr="00580A46">
              <w:rPr>
                <w:rFonts w:ascii="Arial" w:eastAsia="Calibri" w:hAnsi="Arial" w:cs="Arial"/>
                <w:bCs/>
                <w:szCs w:val="22"/>
              </w:rPr>
              <w:t xml:space="preserve">and </w:t>
            </w:r>
            <w:proofErr w:type="spellStart"/>
            <w:r w:rsidR="003A316B" w:rsidRPr="00580A46">
              <w:rPr>
                <w:rFonts w:ascii="Arial" w:eastAsia="Calibri" w:hAnsi="Arial" w:cs="Arial"/>
                <w:bCs/>
                <w:i/>
                <w:szCs w:val="22"/>
              </w:rPr>
              <w:t>Delonix</w:t>
            </w:r>
            <w:proofErr w:type="spellEnd"/>
            <w:r w:rsidR="003A316B" w:rsidRPr="00580A46">
              <w:rPr>
                <w:rFonts w:ascii="Arial" w:eastAsia="Calibri" w:hAnsi="Arial" w:cs="Arial"/>
                <w:bCs/>
                <w:i/>
                <w:szCs w:val="22"/>
              </w:rPr>
              <w:t xml:space="preserve"> regia </w:t>
            </w:r>
            <w:r w:rsidR="00861861" w:rsidRPr="00580A46">
              <w:rPr>
                <w:rFonts w:ascii="Arial" w:eastAsia="Calibri" w:hAnsi="Arial" w:cs="Arial"/>
                <w:bCs/>
                <w:szCs w:val="22"/>
              </w:rPr>
              <w:t xml:space="preserve">against </w:t>
            </w:r>
            <w:proofErr w:type="gramStart"/>
            <w:r w:rsidR="00F466F4" w:rsidRPr="00580A46">
              <w:rPr>
                <w:rFonts w:ascii="Arial" w:eastAsia="Calibri" w:hAnsi="Arial" w:cs="Arial"/>
                <w:bCs/>
                <w:i/>
                <w:szCs w:val="22"/>
              </w:rPr>
              <w:t xml:space="preserve">Plasmodium  </w:t>
            </w:r>
            <w:proofErr w:type="spellStart"/>
            <w:r w:rsidR="00F466F4" w:rsidRPr="00580A46">
              <w:rPr>
                <w:rFonts w:ascii="Arial" w:eastAsia="Calibri" w:hAnsi="Arial" w:cs="Arial"/>
                <w:bCs/>
                <w:i/>
                <w:szCs w:val="22"/>
              </w:rPr>
              <w:t>berghei</w:t>
            </w:r>
            <w:proofErr w:type="spellEnd"/>
            <w:proofErr w:type="gramEnd"/>
            <w:r w:rsidR="00861861" w:rsidRPr="00580A46">
              <w:rPr>
                <w:rFonts w:ascii="Arial" w:eastAsia="Calibri" w:hAnsi="Arial" w:cs="Arial"/>
                <w:bCs/>
                <w:szCs w:val="22"/>
              </w:rPr>
              <w:t xml:space="preserve">, as well as their </w:t>
            </w:r>
            <w:r w:rsidR="00B50B6C">
              <w:rPr>
                <w:rFonts w:ascii="Arial" w:eastAsia="Calibri" w:hAnsi="Arial" w:cs="Arial"/>
                <w:bCs/>
                <w:szCs w:val="22"/>
              </w:rPr>
              <w:t>effects</w:t>
            </w:r>
            <w:r w:rsidR="00861861" w:rsidRPr="00580A46">
              <w:rPr>
                <w:rFonts w:ascii="Arial" w:eastAsia="Calibri" w:hAnsi="Arial" w:cs="Arial"/>
                <w:bCs/>
                <w:szCs w:val="22"/>
              </w:rPr>
              <w:t xml:space="preserve"> on </w:t>
            </w:r>
            <w:proofErr w:type="spellStart"/>
            <w:r w:rsidR="00861861" w:rsidRPr="00580A46">
              <w:rPr>
                <w:rFonts w:ascii="Arial" w:eastAsia="Calibri" w:hAnsi="Arial" w:cs="Arial"/>
                <w:bCs/>
                <w:szCs w:val="22"/>
              </w:rPr>
              <w:t>haematological</w:t>
            </w:r>
            <w:proofErr w:type="spellEnd"/>
            <w:r w:rsidR="00861861" w:rsidRPr="00580A46">
              <w:rPr>
                <w:rFonts w:ascii="Arial" w:eastAsia="Calibri" w:hAnsi="Arial" w:cs="Arial"/>
                <w:bCs/>
                <w:szCs w:val="22"/>
              </w:rPr>
              <w:t xml:space="preserve"> parameters in mice.</w:t>
            </w:r>
          </w:p>
          <w:p w14:paraId="4692833B" w14:textId="77777777" w:rsidR="000D64B9" w:rsidRPr="00580A46" w:rsidRDefault="000D64B9" w:rsidP="00441B6F">
            <w:pPr>
              <w:pStyle w:val="Body"/>
              <w:spacing w:after="0"/>
              <w:rPr>
                <w:rFonts w:ascii="Arial" w:eastAsia="Calibri" w:hAnsi="Arial" w:cs="Arial"/>
                <w:szCs w:val="22"/>
              </w:rPr>
            </w:pPr>
          </w:p>
          <w:p w14:paraId="56409C7B" w14:textId="25B3CF6B" w:rsidR="000D64B9" w:rsidRPr="00580A46" w:rsidRDefault="00DF1F9D" w:rsidP="00441B6F">
            <w:pPr>
              <w:pStyle w:val="Body"/>
              <w:spacing w:after="0"/>
              <w:rPr>
                <w:rFonts w:ascii="Arial" w:eastAsia="Calibri" w:hAnsi="Arial" w:cs="Arial"/>
                <w:szCs w:val="22"/>
              </w:rPr>
            </w:pPr>
            <w:r w:rsidRPr="00580A46">
              <w:rPr>
                <w:rFonts w:ascii="Arial" w:eastAsia="Calibri" w:hAnsi="Arial" w:cs="Arial"/>
                <w:b/>
                <w:bCs/>
                <w:szCs w:val="22"/>
              </w:rPr>
              <w:t xml:space="preserve">Methodology: </w:t>
            </w:r>
            <w:r w:rsidRPr="00580A46">
              <w:rPr>
                <w:rFonts w:ascii="Arial" w:eastAsia="Calibri" w:hAnsi="Arial" w:cs="Arial"/>
                <w:szCs w:val="22"/>
              </w:rPr>
              <w:t xml:space="preserve">Distilled water was used to clean the collected plant samples, which were then dried in the shade to achieve a constant weight. Plant parts were ground into a fine powder using an electric blender. Extraction was subsequently </w:t>
            </w:r>
            <w:r w:rsidR="0032612C">
              <w:rPr>
                <w:rFonts w:ascii="Arial" w:eastAsia="Calibri" w:hAnsi="Arial" w:cs="Arial"/>
                <w:szCs w:val="22"/>
              </w:rPr>
              <w:t>done using</w:t>
            </w:r>
            <w:r w:rsidRPr="00580A46">
              <w:rPr>
                <w:rFonts w:ascii="Arial" w:eastAsia="Calibri" w:hAnsi="Arial" w:cs="Arial"/>
                <w:szCs w:val="22"/>
              </w:rPr>
              <w:t xml:space="preserve"> </w:t>
            </w:r>
            <w:r w:rsidR="005A3B5E" w:rsidRPr="00580A46">
              <w:rPr>
                <w:rFonts w:ascii="Arial" w:eastAsia="Calibri" w:hAnsi="Arial" w:cs="Arial"/>
                <w:szCs w:val="22"/>
              </w:rPr>
              <w:t>m</w:t>
            </w:r>
            <w:r w:rsidRPr="00580A46">
              <w:rPr>
                <w:rFonts w:ascii="Arial" w:eastAsia="Calibri" w:hAnsi="Arial" w:cs="Arial"/>
                <w:szCs w:val="22"/>
              </w:rPr>
              <w:t xml:space="preserve">ethanol. Tests for </w:t>
            </w:r>
            <w:bookmarkStart w:id="0" w:name="_Hlk224478618"/>
            <w:r w:rsidRPr="00580A46">
              <w:rPr>
                <w:rFonts w:ascii="Arial" w:eastAsia="Calibri" w:hAnsi="Arial" w:cs="Arial"/>
                <w:szCs w:val="22"/>
              </w:rPr>
              <w:t xml:space="preserve">anti-plasmodial </w:t>
            </w:r>
            <w:bookmarkEnd w:id="0"/>
            <w:r w:rsidRPr="00580A46">
              <w:rPr>
                <w:rFonts w:ascii="Arial" w:eastAsia="Calibri" w:hAnsi="Arial" w:cs="Arial"/>
                <w:szCs w:val="22"/>
              </w:rPr>
              <w:t>activity of individual and fixed-ratio combinations of plant extracts were conducted using Peters' four-day suppressive</w:t>
            </w:r>
            <w:r w:rsidR="0032612C">
              <w:rPr>
                <w:rFonts w:ascii="Arial" w:eastAsia="Calibri" w:hAnsi="Arial" w:cs="Arial"/>
                <w:szCs w:val="22"/>
              </w:rPr>
              <w:t xml:space="preserve"> </w:t>
            </w:r>
            <w:r w:rsidRPr="00580A46">
              <w:rPr>
                <w:rFonts w:ascii="Arial" w:eastAsia="Calibri" w:hAnsi="Arial" w:cs="Arial"/>
                <w:szCs w:val="22"/>
              </w:rPr>
              <w:t xml:space="preserve">test </w:t>
            </w:r>
            <w:r w:rsidR="0032612C">
              <w:rPr>
                <w:rFonts w:ascii="Arial" w:eastAsia="Calibri" w:hAnsi="Arial" w:cs="Arial"/>
                <w:szCs w:val="22"/>
              </w:rPr>
              <w:t xml:space="preserve">and </w:t>
            </w:r>
            <w:r w:rsidR="0032612C" w:rsidRPr="0032612C">
              <w:rPr>
                <w:rFonts w:ascii="Arial" w:eastAsia="Calibri" w:hAnsi="Arial" w:cs="Arial"/>
                <w:szCs w:val="22"/>
              </w:rPr>
              <w:t>Rane's test</w:t>
            </w:r>
            <w:r w:rsidR="0032612C">
              <w:rPr>
                <w:rFonts w:ascii="Arial" w:eastAsia="Calibri" w:hAnsi="Arial" w:cs="Arial"/>
                <w:szCs w:val="22"/>
              </w:rPr>
              <w:t xml:space="preserve"> </w:t>
            </w:r>
            <w:r w:rsidRPr="00580A46">
              <w:rPr>
                <w:rFonts w:ascii="Arial" w:eastAsia="Calibri" w:hAnsi="Arial" w:cs="Arial"/>
                <w:szCs w:val="22"/>
              </w:rPr>
              <w:t xml:space="preserve">protocol. Thin blood smears were stained with Giemsa stain and examined microscopically to determine the level of </w:t>
            </w:r>
            <w:proofErr w:type="spellStart"/>
            <w:r w:rsidRPr="00580A46">
              <w:rPr>
                <w:rFonts w:ascii="Arial" w:eastAsia="Calibri" w:hAnsi="Arial" w:cs="Arial"/>
                <w:szCs w:val="22"/>
              </w:rPr>
              <w:t>parasitaemia</w:t>
            </w:r>
            <w:proofErr w:type="spellEnd"/>
            <w:r w:rsidRPr="00580A46">
              <w:rPr>
                <w:rFonts w:ascii="Arial" w:eastAsia="Calibri" w:hAnsi="Arial" w:cs="Arial"/>
                <w:szCs w:val="22"/>
              </w:rPr>
              <w:t xml:space="preserve"> in mice following treatment with plant extracts. Data were </w:t>
            </w:r>
            <w:proofErr w:type="spellStart"/>
            <w:r w:rsidRPr="00580A46">
              <w:rPr>
                <w:rFonts w:ascii="Arial" w:eastAsia="Calibri" w:hAnsi="Arial" w:cs="Arial"/>
                <w:szCs w:val="22"/>
              </w:rPr>
              <w:t>analysed</w:t>
            </w:r>
            <w:proofErr w:type="spellEnd"/>
            <w:r w:rsidRPr="00580A46">
              <w:rPr>
                <w:rFonts w:ascii="Arial" w:eastAsia="Calibri" w:hAnsi="Arial" w:cs="Arial"/>
                <w:szCs w:val="22"/>
              </w:rPr>
              <w:t xml:space="preserve"> using Minitab 19 software and GraphPad Prism version 9. Differences with a p-value of less than 0.05 were regarded as statistically significant.</w:t>
            </w:r>
          </w:p>
          <w:p w14:paraId="6E2ADB46" w14:textId="77777777" w:rsidR="000D64B9" w:rsidRPr="00580A46" w:rsidRDefault="000D64B9" w:rsidP="00441B6F">
            <w:pPr>
              <w:pStyle w:val="Body"/>
              <w:spacing w:after="0"/>
              <w:rPr>
                <w:rFonts w:ascii="Arial" w:eastAsia="Calibri" w:hAnsi="Arial" w:cs="Arial"/>
                <w:szCs w:val="22"/>
              </w:rPr>
            </w:pPr>
          </w:p>
          <w:p w14:paraId="3F2AAABC" w14:textId="7F3E8769" w:rsidR="002E4420" w:rsidRPr="00CB4C80" w:rsidRDefault="007B73B0" w:rsidP="00441B6F">
            <w:pPr>
              <w:pStyle w:val="Body"/>
              <w:spacing w:after="0"/>
              <w:rPr>
                <w:rFonts w:ascii="Arial" w:eastAsia="Calibri" w:hAnsi="Arial" w:cs="Arial"/>
                <w:i/>
                <w:szCs w:val="22"/>
              </w:rPr>
            </w:pPr>
            <w:r w:rsidRPr="00580A46">
              <w:rPr>
                <w:rFonts w:ascii="Arial" w:eastAsia="Calibri" w:hAnsi="Arial" w:cs="Arial"/>
                <w:b/>
                <w:bCs/>
                <w:szCs w:val="22"/>
              </w:rPr>
              <w:t xml:space="preserve">Results: </w:t>
            </w:r>
            <w:r w:rsidR="002E4420">
              <w:t xml:space="preserve">The extracts caused dose-dependent suppression of </w:t>
            </w:r>
            <w:proofErr w:type="spellStart"/>
            <w:r w:rsidR="002E4420">
              <w:t>parasitaemia</w:t>
            </w:r>
            <w:proofErr w:type="spellEnd"/>
            <w:r w:rsidR="002E4420">
              <w:t xml:space="preserve"> in infected mice. </w:t>
            </w:r>
            <w:proofErr w:type="spellStart"/>
            <w:r w:rsidR="002E4420" w:rsidRPr="00CB4C80">
              <w:rPr>
                <w:i/>
                <w:iCs/>
              </w:rPr>
              <w:t>Zanthoxylum</w:t>
            </w:r>
            <w:proofErr w:type="spellEnd"/>
            <w:r w:rsidR="002E4420" w:rsidRPr="00CB4C80">
              <w:rPr>
                <w:i/>
                <w:iCs/>
              </w:rPr>
              <w:t xml:space="preserve"> </w:t>
            </w:r>
            <w:proofErr w:type="spellStart"/>
            <w:r w:rsidR="002E4420" w:rsidRPr="00CB4C80">
              <w:rPr>
                <w:i/>
                <w:iCs/>
              </w:rPr>
              <w:t>asiaticum</w:t>
            </w:r>
            <w:proofErr w:type="spellEnd"/>
            <w:r w:rsidR="002E4420">
              <w:t xml:space="preserve"> exhibited the highest overall activity, with suppression most pronounced at 500 and 250 mg/kg body weight, while the 100 mg/kg dose led to moderate suppression. </w:t>
            </w:r>
            <w:proofErr w:type="spellStart"/>
            <w:r w:rsidR="002E4420" w:rsidRPr="00CB4C80">
              <w:rPr>
                <w:i/>
                <w:iCs/>
              </w:rPr>
              <w:t>Delonix</w:t>
            </w:r>
            <w:proofErr w:type="spellEnd"/>
            <w:r w:rsidR="002E4420" w:rsidRPr="00CB4C80">
              <w:rPr>
                <w:i/>
                <w:iCs/>
              </w:rPr>
              <w:t xml:space="preserve"> regia</w:t>
            </w:r>
            <w:r w:rsidR="002E4420">
              <w:t xml:space="preserve"> showed </w:t>
            </w:r>
            <w:proofErr w:type="spellStart"/>
            <w:r w:rsidR="002E4420">
              <w:t>antiplasmodial</w:t>
            </w:r>
            <w:proofErr w:type="spellEnd"/>
            <w:r w:rsidR="002E4420">
              <w:t xml:space="preserve"> activity but with lower potency compared to </w:t>
            </w:r>
            <w:r w:rsidR="002E4420" w:rsidRPr="00CB4C80">
              <w:rPr>
                <w:i/>
                <w:iCs/>
              </w:rPr>
              <w:t xml:space="preserve">Z. </w:t>
            </w:r>
            <w:proofErr w:type="spellStart"/>
            <w:r w:rsidR="002E4420" w:rsidRPr="00CB4C80">
              <w:rPr>
                <w:i/>
                <w:iCs/>
              </w:rPr>
              <w:t>asiaticum</w:t>
            </w:r>
            <w:proofErr w:type="spellEnd"/>
            <w:r w:rsidR="002E4420">
              <w:t xml:space="preserve"> at equivalent doses. Notably, the fixed-ratio combination (250 mg/kg + 250 mg/kg; 1:1) resulted in a suppression rate comparable to the highest single extract dose and significantly decreased parasite loads relative to the negative control (p &lt; 0.05). </w:t>
            </w:r>
            <w:proofErr w:type="spellStart"/>
            <w:r w:rsidR="002E4420">
              <w:t>Haematological</w:t>
            </w:r>
            <w:proofErr w:type="spellEnd"/>
            <w:r w:rsidR="002E4420">
              <w:t xml:space="preserve"> assessment indicated that most blood indices (Hb, leucocytes, platelets, MCV, MCH, MCHC, and </w:t>
            </w:r>
            <w:proofErr w:type="spellStart"/>
            <w:r w:rsidR="002E4420">
              <w:t>haematocrit</w:t>
            </w:r>
            <w:proofErr w:type="spellEnd"/>
            <w:r w:rsidR="002E4420">
              <w:t xml:space="preserve">) were not significantly affected under the tested conditions, suggesting limited </w:t>
            </w:r>
            <w:proofErr w:type="spellStart"/>
            <w:r w:rsidR="002E4420">
              <w:t>haematological</w:t>
            </w:r>
            <w:proofErr w:type="spellEnd"/>
            <w:r w:rsidR="002E4420">
              <w:t xml:space="preserve"> toxicity; however, RBC counts showed a significant difference (at p &lt; 0.05) between control and treated groups in the measured data.</w:t>
            </w:r>
          </w:p>
          <w:p w14:paraId="47ACE0F5" w14:textId="77777777" w:rsidR="00EA2645" w:rsidRPr="00580A46" w:rsidRDefault="00EA2645" w:rsidP="00441B6F">
            <w:pPr>
              <w:pStyle w:val="Body"/>
              <w:spacing w:after="0"/>
            </w:pPr>
          </w:p>
          <w:p w14:paraId="35E8B50D" w14:textId="15629A9F" w:rsidR="00E85F94" w:rsidRPr="00580A46" w:rsidRDefault="007C6352" w:rsidP="00441B6F">
            <w:pPr>
              <w:pStyle w:val="Body"/>
              <w:spacing w:after="0"/>
              <w:rPr>
                <w:rFonts w:ascii="Arial" w:eastAsia="Calibri" w:hAnsi="Arial" w:cs="Arial"/>
                <w:szCs w:val="22"/>
              </w:rPr>
            </w:pPr>
            <w:r w:rsidRPr="00580A46">
              <w:rPr>
                <w:rFonts w:ascii="Arial" w:eastAsia="Calibri" w:hAnsi="Arial" w:cs="Arial"/>
                <w:b/>
                <w:bCs/>
                <w:szCs w:val="22"/>
              </w:rPr>
              <w:t xml:space="preserve">Conclusion: </w:t>
            </w:r>
            <w:r w:rsidRPr="00580A46">
              <w:rPr>
                <w:rFonts w:ascii="Arial" w:eastAsia="Calibri" w:hAnsi="Arial" w:cs="Arial"/>
                <w:szCs w:val="22"/>
              </w:rPr>
              <w:t xml:space="preserve">This study has demonstrated that these plant extracts are both safe and effective against </w:t>
            </w:r>
            <w:r w:rsidR="00F466F4" w:rsidRPr="00580A46">
              <w:rPr>
                <w:rFonts w:ascii="Arial" w:eastAsia="Calibri" w:hAnsi="Arial" w:cs="Arial"/>
                <w:i/>
                <w:szCs w:val="22"/>
              </w:rPr>
              <w:t xml:space="preserve">Plasmodium </w:t>
            </w:r>
            <w:proofErr w:type="spellStart"/>
            <w:r w:rsidR="00F466F4" w:rsidRPr="00580A46">
              <w:rPr>
                <w:rFonts w:ascii="Arial" w:eastAsia="Calibri" w:hAnsi="Arial" w:cs="Arial"/>
                <w:i/>
                <w:szCs w:val="22"/>
              </w:rPr>
              <w:t>berghei</w:t>
            </w:r>
            <w:proofErr w:type="spellEnd"/>
            <w:r w:rsidRPr="00580A46">
              <w:rPr>
                <w:rFonts w:ascii="Arial" w:eastAsia="Calibri" w:hAnsi="Arial" w:cs="Arial"/>
                <w:b/>
                <w:bCs/>
                <w:szCs w:val="22"/>
              </w:rPr>
              <w:t>.</w:t>
            </w:r>
          </w:p>
          <w:p w14:paraId="74EC5E77" w14:textId="39A72D32" w:rsidR="00505F06" w:rsidRPr="00580A46" w:rsidRDefault="00505F06" w:rsidP="00441B6F">
            <w:pPr>
              <w:pStyle w:val="Body"/>
              <w:spacing w:after="0"/>
              <w:rPr>
                <w:rFonts w:ascii="Arial" w:eastAsia="Calibri" w:hAnsi="Arial" w:cs="Arial"/>
                <w:szCs w:val="22"/>
              </w:rPr>
            </w:pPr>
          </w:p>
        </w:tc>
      </w:tr>
    </w:tbl>
    <w:p w14:paraId="7932AB58" w14:textId="77777777" w:rsidR="00636EB2" w:rsidRPr="00580A46" w:rsidRDefault="00636EB2" w:rsidP="00441B6F">
      <w:pPr>
        <w:pStyle w:val="Body"/>
        <w:spacing w:after="0"/>
        <w:rPr>
          <w:rFonts w:ascii="Arial" w:hAnsi="Arial" w:cs="Arial"/>
          <w:i/>
        </w:rPr>
      </w:pPr>
    </w:p>
    <w:p w14:paraId="27E450E5" w14:textId="773BD382" w:rsidR="00A24E7E" w:rsidRPr="00580A46" w:rsidRDefault="00A24E7E" w:rsidP="00441B6F">
      <w:pPr>
        <w:pStyle w:val="Body"/>
        <w:spacing w:after="0"/>
        <w:rPr>
          <w:rFonts w:ascii="Arial" w:hAnsi="Arial" w:cs="Arial"/>
          <w:i/>
        </w:rPr>
      </w:pPr>
      <w:r w:rsidRPr="00580A46">
        <w:rPr>
          <w:rFonts w:ascii="Arial" w:hAnsi="Arial" w:cs="Arial"/>
          <w:i/>
        </w:rPr>
        <w:t xml:space="preserve">Keywords: </w:t>
      </w:r>
      <w:r w:rsidR="000A669B">
        <w:rPr>
          <w:rFonts w:ascii="Arial" w:hAnsi="Arial" w:cs="Arial"/>
          <w:i/>
        </w:rPr>
        <w:t xml:space="preserve">In </w:t>
      </w:r>
      <w:proofErr w:type="gramStart"/>
      <w:r w:rsidR="000A669B">
        <w:rPr>
          <w:rFonts w:ascii="Arial" w:hAnsi="Arial" w:cs="Arial"/>
          <w:i/>
        </w:rPr>
        <w:t xml:space="preserve">vivo </w:t>
      </w:r>
      <w:r w:rsidR="00332936" w:rsidRPr="00580A46">
        <w:rPr>
          <w:rFonts w:ascii="Arial" w:hAnsi="Arial" w:cs="Arial"/>
          <w:i/>
        </w:rPr>
        <w:t>,</w:t>
      </w:r>
      <w:proofErr w:type="gramEnd"/>
      <w:r w:rsidR="004173F7" w:rsidRPr="00580A46">
        <w:rPr>
          <w:rFonts w:ascii="Arial" w:hAnsi="Arial" w:cs="Arial"/>
          <w:i/>
        </w:rPr>
        <w:t xml:space="preserve"> </w:t>
      </w:r>
      <w:r w:rsidR="00F466F4" w:rsidRPr="00580A46">
        <w:rPr>
          <w:rFonts w:ascii="Arial" w:hAnsi="Arial" w:cs="Arial"/>
          <w:i/>
        </w:rPr>
        <w:t xml:space="preserve">Plasmodium </w:t>
      </w:r>
      <w:r w:rsidR="00332936" w:rsidRPr="00580A46">
        <w:rPr>
          <w:rFonts w:ascii="Arial" w:hAnsi="Arial" w:cs="Arial"/>
          <w:i/>
        </w:rPr>
        <w:t>,</w:t>
      </w:r>
      <w:r w:rsidR="004173F7" w:rsidRPr="00580A46">
        <w:rPr>
          <w:rFonts w:ascii="Arial" w:hAnsi="Arial" w:cs="Arial"/>
          <w:i/>
        </w:rPr>
        <w:t xml:space="preserve"> </w:t>
      </w:r>
      <w:proofErr w:type="spellStart"/>
      <w:r w:rsidR="004173F7" w:rsidRPr="00580A46">
        <w:rPr>
          <w:rFonts w:ascii="Arial" w:hAnsi="Arial" w:cs="Arial"/>
          <w:i/>
        </w:rPr>
        <w:t>Haematologica</w:t>
      </w:r>
      <w:proofErr w:type="spellEnd"/>
      <w:r w:rsidR="004173F7" w:rsidRPr="00580A46">
        <w:rPr>
          <w:rFonts w:ascii="Arial" w:hAnsi="Arial" w:cs="Arial"/>
          <w:i/>
        </w:rPr>
        <w:t xml:space="preserve">, Anti-plasmodial </w:t>
      </w:r>
    </w:p>
    <w:p w14:paraId="7D0039D4" w14:textId="77777777" w:rsidR="00790ADA" w:rsidRPr="00580A46" w:rsidRDefault="00790ADA" w:rsidP="00441B6F">
      <w:pPr>
        <w:pStyle w:val="Body"/>
        <w:spacing w:after="0"/>
        <w:rPr>
          <w:rFonts w:ascii="Arial" w:hAnsi="Arial" w:cs="Arial"/>
          <w:i/>
        </w:rPr>
      </w:pPr>
    </w:p>
    <w:p w14:paraId="6996AD0D" w14:textId="77777777" w:rsidR="00505F06" w:rsidRPr="00580A46" w:rsidRDefault="00505F06" w:rsidP="00441B6F">
      <w:pPr>
        <w:pStyle w:val="Body"/>
        <w:spacing w:after="0"/>
        <w:rPr>
          <w:rFonts w:ascii="Arial" w:hAnsi="Arial" w:cs="Arial"/>
          <w:i/>
        </w:rPr>
      </w:pPr>
    </w:p>
    <w:p w14:paraId="5479CC13" w14:textId="6C3B2757" w:rsidR="007F7B32" w:rsidRPr="00580A46" w:rsidRDefault="00902823" w:rsidP="00B30DB8">
      <w:pPr>
        <w:pStyle w:val="Heading1"/>
        <w:numPr>
          <w:ilvl w:val="0"/>
          <w:numId w:val="3"/>
        </w:numPr>
      </w:pPr>
      <w:r w:rsidRPr="00580A46">
        <w:t xml:space="preserve"> </w:t>
      </w:r>
      <w:r w:rsidR="00B01FCD" w:rsidRPr="00580A46">
        <w:t>INTRODUCTION</w:t>
      </w:r>
      <w:r w:rsidR="007F7B32" w:rsidRPr="00580A46">
        <w:t xml:space="preserve"> </w:t>
      </w:r>
    </w:p>
    <w:p w14:paraId="02E0414A" w14:textId="20949564" w:rsidR="00D00C8B" w:rsidRPr="00580A46" w:rsidRDefault="00527D16" w:rsidP="00441B6F">
      <w:pPr>
        <w:pStyle w:val="Body"/>
        <w:spacing w:after="0"/>
        <w:rPr>
          <w:rFonts w:ascii="Arial" w:hAnsi="Arial" w:cs="Arial"/>
        </w:rPr>
      </w:pPr>
      <w:r w:rsidRPr="00580A46">
        <w:t>.</w:t>
      </w:r>
    </w:p>
    <w:p w14:paraId="2FCE04BB" w14:textId="04DDFB11" w:rsidR="004456B3" w:rsidRDefault="002C7BF8" w:rsidP="00AB07C2">
      <w:pPr>
        <w:pStyle w:val="Body"/>
        <w:rPr>
          <w:rFonts w:ascii="Arial" w:hAnsi="Arial" w:cs="Arial"/>
        </w:rPr>
      </w:pPr>
      <w:r w:rsidRPr="00580A46">
        <w:rPr>
          <w:rFonts w:ascii="Arial" w:hAnsi="Arial" w:cs="Arial"/>
        </w:rPr>
        <w:t xml:space="preserve">The </w:t>
      </w:r>
      <w:proofErr w:type="gramStart"/>
      <w:r w:rsidR="00F466F4" w:rsidRPr="00580A46">
        <w:rPr>
          <w:rFonts w:ascii="Arial" w:hAnsi="Arial" w:cs="Arial"/>
          <w:i/>
        </w:rPr>
        <w:t xml:space="preserve">Plasmodium </w:t>
      </w:r>
      <w:r w:rsidRPr="00580A46">
        <w:rPr>
          <w:rFonts w:ascii="Arial" w:hAnsi="Arial" w:cs="Arial"/>
        </w:rPr>
        <w:t xml:space="preserve"> parasite</w:t>
      </w:r>
      <w:proofErr w:type="gramEnd"/>
      <w:r w:rsidRPr="00580A46">
        <w:rPr>
          <w:rFonts w:ascii="Arial" w:hAnsi="Arial" w:cs="Arial"/>
        </w:rPr>
        <w:t xml:space="preserve">, primarily </w:t>
      </w:r>
      <w:r w:rsidR="00F466F4" w:rsidRPr="00580A46">
        <w:rPr>
          <w:rFonts w:ascii="Arial" w:hAnsi="Arial" w:cs="Arial"/>
          <w:i/>
        </w:rPr>
        <w:t>Plasmodium  falciparum</w:t>
      </w:r>
      <w:r w:rsidRPr="00580A46">
        <w:rPr>
          <w:rFonts w:ascii="Arial" w:hAnsi="Arial" w:cs="Arial"/>
        </w:rPr>
        <w:t xml:space="preserve">, remains a leading cause of morbidity and mortality worldwide, with approximately 263 million cases and 597,000 deaths recorded in 2023. The burden is disproportionately high in sub-Saharan Africa, which accounts for over 90% of global malaria cases and deaths, particularly affecting children under five years old [1,2]. Despite coordinated global control efforts using insecticide-treated nets and antimalarial drugs, malaria incidence and mortality rates have plateaued in recent years. This stagnation is mainly due to rising drug resistance among parasites and socio-economic challenges in endemic regions [3]. Given these issues, there is an urgent need for new and effective antimalarial agents. Currently, Artemisinin, derived from the Chinese plant </w:t>
      </w:r>
      <w:r w:rsidRPr="00665671">
        <w:rPr>
          <w:rFonts w:ascii="Arial" w:hAnsi="Arial" w:cs="Arial"/>
          <w:i/>
          <w:iCs/>
        </w:rPr>
        <w:t xml:space="preserve">Artemisia </w:t>
      </w:r>
      <w:proofErr w:type="spellStart"/>
      <w:r w:rsidRPr="00665671">
        <w:rPr>
          <w:rFonts w:ascii="Arial" w:hAnsi="Arial" w:cs="Arial"/>
          <w:i/>
          <w:iCs/>
        </w:rPr>
        <w:t>annua</w:t>
      </w:r>
      <w:proofErr w:type="spellEnd"/>
      <w:r w:rsidRPr="00665671">
        <w:rPr>
          <w:rFonts w:ascii="Arial" w:hAnsi="Arial" w:cs="Arial"/>
          <w:i/>
          <w:iCs/>
        </w:rPr>
        <w:t>,</w:t>
      </w:r>
      <w:r w:rsidRPr="00580A46">
        <w:rPr>
          <w:rFonts w:ascii="Arial" w:hAnsi="Arial" w:cs="Arial"/>
        </w:rPr>
        <w:t xml:space="preserve"> is regarded as the most effective treatment for </w:t>
      </w:r>
      <w:r w:rsidR="00F466F4" w:rsidRPr="00580A46">
        <w:rPr>
          <w:rFonts w:ascii="Arial" w:hAnsi="Arial" w:cs="Arial"/>
          <w:i/>
        </w:rPr>
        <w:t xml:space="preserve">Plasmodium </w:t>
      </w:r>
      <w:r w:rsidRPr="00580A46">
        <w:rPr>
          <w:rFonts w:ascii="Arial" w:hAnsi="Arial" w:cs="Arial"/>
        </w:rPr>
        <w:t>infections. However, resistance to this latest antimalarial drug has emerged in Asia and parts of Africa [4,5]. The dependence on a limited number of ACTs, particularly artemether-lumefantrine, worsens the situation by increasing drug pressure and speeding up resistance development. If unaddressed, widespread treatment failures could lead to more cases and deaths from malaria [6]. Plant extracts have shown significant potential as antimalarial agents, with various phytochemicals, such as alkaloids and flavonoids, being effective against malaria parasites. As resistance to synthetic drugs grows, plant-based remedies may provide sustainable solutions against malaria [7–9]. Herbal extracts from medicinal plants, especially when used in combination, consist of multiple compounds that can act synergistically. This complexity makes it difficult for pathogens to develop resistance because they would need to adapt simultaneously to multiple active agents with different mechanisms of action, unlike a single drug</w:t>
      </w:r>
      <w:r w:rsidR="00665671">
        <w:rPr>
          <w:rFonts w:ascii="Arial" w:hAnsi="Arial" w:cs="Arial"/>
        </w:rPr>
        <w:t>,</w:t>
      </w:r>
      <w:r w:rsidRPr="00580A46">
        <w:rPr>
          <w:rFonts w:ascii="Arial" w:hAnsi="Arial" w:cs="Arial"/>
        </w:rPr>
        <w:t xml:space="preserve"> which often targets a specific pathway [10,11]. When plant extracts are combined, complex phytochemicals in the mixtures may concurrently disrupt multiple biochemical pathways in the malaria parasite, thereby reducing the likelihood of resistance [12–14]. However, the study of combined medicinal plant extracts for antimalarial drug development remains understudied despite decades of research into plant-derived therapies. </w:t>
      </w:r>
      <w:proofErr w:type="spellStart"/>
      <w:r w:rsidRPr="00665671">
        <w:rPr>
          <w:rFonts w:ascii="Arial" w:hAnsi="Arial" w:cs="Arial"/>
          <w:i/>
          <w:iCs/>
        </w:rPr>
        <w:t>Delonix</w:t>
      </w:r>
      <w:proofErr w:type="spellEnd"/>
      <w:r w:rsidRPr="00665671">
        <w:rPr>
          <w:rFonts w:ascii="Arial" w:hAnsi="Arial" w:cs="Arial"/>
          <w:i/>
          <w:iCs/>
        </w:rPr>
        <w:t xml:space="preserve"> regia</w:t>
      </w:r>
      <w:r w:rsidRPr="00580A46">
        <w:rPr>
          <w:rFonts w:ascii="Arial" w:hAnsi="Arial" w:cs="Arial"/>
        </w:rPr>
        <w:t xml:space="preserve">, commonly known as the Flamboyant or Royal Poinciana, is attracting attention for its potential antimalarial properties, due to its rich array of bioactive compounds found in its leaves, flowers, bark, and roots [15]. </w:t>
      </w:r>
      <w:proofErr w:type="spellStart"/>
      <w:r w:rsidR="00AB07C2" w:rsidRPr="00AB07C2">
        <w:rPr>
          <w:rFonts w:ascii="Arial" w:hAnsi="Arial" w:cs="Arial"/>
        </w:rPr>
        <w:t>Delonix</w:t>
      </w:r>
      <w:proofErr w:type="spellEnd"/>
      <w:r w:rsidR="00AB07C2" w:rsidRPr="00AB07C2">
        <w:rPr>
          <w:rFonts w:ascii="Arial" w:hAnsi="Arial" w:cs="Arial"/>
        </w:rPr>
        <w:t xml:space="preserve"> regia is a flowering plant in the pea family found in tropical areas, and its leaves are traditionally used to treat various diseases in folk medicine, including antimalarial remedies, especially in the East Nusa Tenggara region, where a decoction of </w:t>
      </w:r>
      <w:proofErr w:type="spellStart"/>
      <w:r w:rsidR="00AB07C2" w:rsidRPr="00AB07C2">
        <w:rPr>
          <w:rFonts w:ascii="Arial" w:hAnsi="Arial" w:cs="Arial"/>
        </w:rPr>
        <w:t>Delonix</w:t>
      </w:r>
      <w:proofErr w:type="spellEnd"/>
      <w:r w:rsidR="00AB07C2" w:rsidRPr="00AB07C2">
        <w:rPr>
          <w:rFonts w:ascii="Arial" w:hAnsi="Arial" w:cs="Arial"/>
        </w:rPr>
        <w:t xml:space="preserve"> regia leaves is consumed in water. Extracts from </w:t>
      </w:r>
      <w:proofErr w:type="spellStart"/>
      <w:r w:rsidR="00AB07C2" w:rsidRPr="00AB07C2">
        <w:rPr>
          <w:rFonts w:ascii="Arial" w:hAnsi="Arial" w:cs="Arial"/>
        </w:rPr>
        <w:t>Delonix</w:t>
      </w:r>
      <w:proofErr w:type="spellEnd"/>
      <w:r w:rsidR="00AB07C2" w:rsidRPr="00AB07C2">
        <w:rPr>
          <w:rFonts w:ascii="Arial" w:hAnsi="Arial" w:cs="Arial"/>
        </w:rPr>
        <w:t xml:space="preserve"> regia have been reported to possess a wide range of bioactivities. The plant has demonstrated promising antioxidant, antimicrobial, antidiabetic, and anti-inflammatory effects [16,17]</w:t>
      </w:r>
      <w:r w:rsidR="00AB07C2">
        <w:rPr>
          <w:rFonts w:ascii="Arial" w:hAnsi="Arial" w:cs="Arial"/>
        </w:rPr>
        <w:t xml:space="preserve">. </w:t>
      </w:r>
      <w:r w:rsidRPr="00580A46">
        <w:rPr>
          <w:rFonts w:ascii="Arial" w:hAnsi="Arial" w:cs="Arial"/>
        </w:rPr>
        <w:t xml:space="preserve">Research suggests that these compounds, including flavonoids, tannins, and alkaloids, may interfere with the </w:t>
      </w:r>
      <w:r w:rsidR="00665671">
        <w:rPr>
          <w:rFonts w:ascii="Arial" w:hAnsi="Arial" w:cs="Arial"/>
        </w:rPr>
        <w:t xml:space="preserve">life cycle of </w:t>
      </w:r>
      <w:r w:rsidR="00665671" w:rsidRPr="00665671">
        <w:rPr>
          <w:rFonts w:ascii="Arial" w:hAnsi="Arial" w:cs="Arial"/>
          <w:i/>
          <w:iCs/>
        </w:rPr>
        <w:t>Plasmodium</w:t>
      </w:r>
      <w:r w:rsidR="00665671">
        <w:rPr>
          <w:rFonts w:ascii="Arial" w:hAnsi="Arial" w:cs="Arial"/>
        </w:rPr>
        <w:t>, inhibiting its</w:t>
      </w:r>
      <w:r w:rsidRPr="00580A46">
        <w:rPr>
          <w:rFonts w:ascii="Arial" w:hAnsi="Arial" w:cs="Arial"/>
        </w:rPr>
        <w:t xml:space="preserve"> growth [7]. Traditionally, various cultures have used </w:t>
      </w:r>
      <w:proofErr w:type="spellStart"/>
      <w:r w:rsidR="003A316B" w:rsidRPr="00580A46">
        <w:rPr>
          <w:rFonts w:ascii="Arial" w:hAnsi="Arial" w:cs="Arial"/>
          <w:i/>
        </w:rPr>
        <w:t>Delonix</w:t>
      </w:r>
      <w:proofErr w:type="spellEnd"/>
      <w:r w:rsidR="003A316B" w:rsidRPr="00580A46">
        <w:rPr>
          <w:rFonts w:ascii="Arial" w:hAnsi="Arial" w:cs="Arial"/>
          <w:i/>
        </w:rPr>
        <w:t xml:space="preserve"> regia </w:t>
      </w:r>
      <w:r w:rsidRPr="00580A46">
        <w:rPr>
          <w:rFonts w:ascii="Arial" w:hAnsi="Arial" w:cs="Arial"/>
        </w:rPr>
        <w:t>in folk medicine to alleviate fever and inflammation, highlighting its relevance in herbal remedies [1</w:t>
      </w:r>
      <w:r w:rsidR="00BF1A3B">
        <w:rPr>
          <w:rFonts w:ascii="Arial" w:hAnsi="Arial" w:cs="Arial"/>
        </w:rPr>
        <w:t>7</w:t>
      </w:r>
      <w:r w:rsidRPr="00580A46">
        <w:rPr>
          <w:rFonts w:ascii="Arial" w:hAnsi="Arial" w:cs="Arial"/>
        </w:rPr>
        <w:t xml:space="preserve">]. </w:t>
      </w:r>
      <w:proofErr w:type="spellStart"/>
      <w:r w:rsidR="00F466F4" w:rsidRPr="00580A46">
        <w:rPr>
          <w:rFonts w:ascii="Arial" w:hAnsi="Arial" w:cs="Arial"/>
          <w:i/>
        </w:rPr>
        <w:t>Zanthoxylum</w:t>
      </w:r>
      <w:proofErr w:type="spellEnd"/>
      <w:r w:rsidR="00F466F4" w:rsidRPr="00580A46">
        <w:rPr>
          <w:rFonts w:ascii="Arial" w:hAnsi="Arial" w:cs="Arial"/>
          <w:i/>
        </w:rPr>
        <w:t xml:space="preserve"> </w:t>
      </w:r>
      <w:proofErr w:type="spellStart"/>
      <w:r w:rsidR="00F466F4" w:rsidRPr="00580A46">
        <w:rPr>
          <w:rFonts w:ascii="Arial" w:hAnsi="Arial" w:cs="Arial"/>
          <w:i/>
        </w:rPr>
        <w:t>asiatica</w:t>
      </w:r>
      <w:proofErr w:type="spellEnd"/>
      <w:r w:rsidRPr="00580A46">
        <w:rPr>
          <w:rFonts w:ascii="Arial" w:hAnsi="Arial" w:cs="Arial"/>
        </w:rPr>
        <w:t xml:space="preserve">, commonly known as wild orange, is increasingly </w:t>
      </w:r>
      <w:proofErr w:type="spellStart"/>
      <w:r w:rsidRPr="00580A46">
        <w:rPr>
          <w:rFonts w:ascii="Arial" w:hAnsi="Arial" w:cs="Arial"/>
        </w:rPr>
        <w:t>recognised</w:t>
      </w:r>
      <w:proofErr w:type="spellEnd"/>
      <w:r w:rsidRPr="00580A46">
        <w:rPr>
          <w:rFonts w:ascii="Arial" w:hAnsi="Arial" w:cs="Arial"/>
        </w:rPr>
        <w:t xml:space="preserve"> for its potential antimalarial properties due to its rich phytochemical content found in its leaves, stems, and fruits, including alkaloids, flavonoids, and essential oils. Research suggests that extracts from this plant may inhibit </w:t>
      </w:r>
      <w:r w:rsidR="00F466F4" w:rsidRPr="00580A46">
        <w:rPr>
          <w:rFonts w:ascii="Arial" w:hAnsi="Arial" w:cs="Arial"/>
          <w:i/>
        </w:rPr>
        <w:t xml:space="preserve">Plasmodium </w:t>
      </w:r>
      <w:r w:rsidRPr="00580A46">
        <w:rPr>
          <w:rFonts w:ascii="Arial" w:hAnsi="Arial" w:cs="Arial"/>
        </w:rPr>
        <w:t xml:space="preserve">growth, indicating its potential as a natural therapeutic agent. Traditionally, </w:t>
      </w:r>
      <w:proofErr w:type="spellStart"/>
      <w:r w:rsidR="003A316B" w:rsidRPr="00580A46">
        <w:rPr>
          <w:rFonts w:ascii="Arial" w:hAnsi="Arial" w:cs="Arial"/>
          <w:i/>
        </w:rPr>
        <w:t>Zanthoxylum</w:t>
      </w:r>
      <w:proofErr w:type="spellEnd"/>
      <w:r w:rsidR="003A316B" w:rsidRPr="00580A46">
        <w:rPr>
          <w:rFonts w:ascii="Arial" w:hAnsi="Arial" w:cs="Arial"/>
          <w:i/>
        </w:rPr>
        <w:t xml:space="preserve"> </w:t>
      </w:r>
      <w:proofErr w:type="spellStart"/>
      <w:r w:rsidR="003A316B" w:rsidRPr="00580A46">
        <w:rPr>
          <w:rFonts w:ascii="Arial" w:hAnsi="Arial" w:cs="Arial"/>
          <w:i/>
        </w:rPr>
        <w:t>asiaticum</w:t>
      </w:r>
      <w:proofErr w:type="spellEnd"/>
      <w:r w:rsidR="003A316B" w:rsidRPr="00580A46">
        <w:rPr>
          <w:rFonts w:ascii="Arial" w:hAnsi="Arial" w:cs="Arial"/>
          <w:i/>
        </w:rPr>
        <w:t xml:space="preserve"> </w:t>
      </w:r>
      <w:r w:rsidRPr="00580A46">
        <w:rPr>
          <w:rFonts w:ascii="Arial" w:hAnsi="Arial" w:cs="Arial"/>
        </w:rPr>
        <w:t xml:space="preserve">has been </w:t>
      </w:r>
      <w:proofErr w:type="spellStart"/>
      <w:r w:rsidRPr="00580A46">
        <w:rPr>
          <w:rFonts w:ascii="Arial" w:hAnsi="Arial" w:cs="Arial"/>
        </w:rPr>
        <w:t>utilised</w:t>
      </w:r>
      <w:proofErr w:type="spellEnd"/>
      <w:r w:rsidRPr="00580A46">
        <w:rPr>
          <w:rFonts w:ascii="Arial" w:hAnsi="Arial" w:cs="Arial"/>
        </w:rPr>
        <w:t xml:space="preserve"> in various cultures to treat ailments such as fevers and infections, which align with malaria symptoms, highlighting its importance in folk medicine, especially in East Africa [1</w:t>
      </w:r>
      <w:r w:rsidR="00BF1A3B">
        <w:rPr>
          <w:rFonts w:ascii="Arial" w:hAnsi="Arial" w:cs="Arial"/>
        </w:rPr>
        <w:t>8</w:t>
      </w:r>
      <w:r w:rsidRPr="00580A46">
        <w:rPr>
          <w:rFonts w:ascii="Arial" w:hAnsi="Arial" w:cs="Arial"/>
        </w:rPr>
        <w:t>–2</w:t>
      </w:r>
      <w:r w:rsidR="00BF1A3B">
        <w:rPr>
          <w:rFonts w:ascii="Arial" w:hAnsi="Arial" w:cs="Arial"/>
        </w:rPr>
        <w:t>1</w:t>
      </w:r>
      <w:r w:rsidRPr="00580A46">
        <w:rPr>
          <w:rFonts w:ascii="Arial" w:hAnsi="Arial" w:cs="Arial"/>
        </w:rPr>
        <w:t>]. This study investigated the anti-plasmodial potency of</w:t>
      </w:r>
      <w:r w:rsidR="00A56684">
        <w:rPr>
          <w:rFonts w:ascii="Arial" w:hAnsi="Arial" w:cs="Arial"/>
        </w:rPr>
        <w:t xml:space="preserve"> single and fixed-ratio</w:t>
      </w:r>
      <w:r w:rsidRPr="00580A46">
        <w:rPr>
          <w:rFonts w:ascii="Arial" w:hAnsi="Arial" w:cs="Arial"/>
        </w:rPr>
        <w:t xml:space="preserve"> combinations of extracts from two Kenyan medicinal plants, </w:t>
      </w:r>
      <w:proofErr w:type="spellStart"/>
      <w:r w:rsidR="003A316B" w:rsidRPr="00580A46">
        <w:rPr>
          <w:rFonts w:ascii="Arial" w:hAnsi="Arial" w:cs="Arial"/>
          <w:i/>
        </w:rPr>
        <w:t>Zanthoxylum</w:t>
      </w:r>
      <w:proofErr w:type="spellEnd"/>
      <w:r w:rsidR="003A316B" w:rsidRPr="00580A46">
        <w:rPr>
          <w:rFonts w:ascii="Arial" w:hAnsi="Arial" w:cs="Arial"/>
          <w:i/>
        </w:rPr>
        <w:t xml:space="preserve"> </w:t>
      </w:r>
      <w:proofErr w:type="spellStart"/>
      <w:r w:rsidR="003A316B" w:rsidRPr="00580A46">
        <w:rPr>
          <w:rFonts w:ascii="Arial" w:hAnsi="Arial" w:cs="Arial"/>
          <w:i/>
        </w:rPr>
        <w:t>asiaticum</w:t>
      </w:r>
      <w:proofErr w:type="spellEnd"/>
      <w:r w:rsidR="003A316B" w:rsidRPr="00580A46">
        <w:rPr>
          <w:rFonts w:ascii="Arial" w:hAnsi="Arial" w:cs="Arial"/>
          <w:i/>
        </w:rPr>
        <w:t xml:space="preserve"> </w:t>
      </w:r>
      <w:r w:rsidRPr="00580A46">
        <w:rPr>
          <w:rFonts w:ascii="Arial" w:hAnsi="Arial" w:cs="Arial"/>
        </w:rPr>
        <w:t xml:space="preserve">and </w:t>
      </w:r>
      <w:proofErr w:type="spellStart"/>
      <w:r w:rsidR="00F466F4" w:rsidRPr="00580A46">
        <w:rPr>
          <w:rFonts w:ascii="Arial" w:hAnsi="Arial" w:cs="Arial"/>
          <w:i/>
        </w:rPr>
        <w:t>Delonix</w:t>
      </w:r>
      <w:proofErr w:type="spellEnd"/>
      <w:r w:rsidR="00F466F4" w:rsidRPr="00580A46">
        <w:rPr>
          <w:rFonts w:ascii="Arial" w:hAnsi="Arial" w:cs="Arial"/>
          <w:i/>
        </w:rPr>
        <w:t xml:space="preserve"> regia</w:t>
      </w:r>
      <w:r w:rsidRPr="00580A46">
        <w:rPr>
          <w:rFonts w:ascii="Arial" w:hAnsi="Arial" w:cs="Arial"/>
        </w:rPr>
        <w:t xml:space="preserve">, </w:t>
      </w:r>
      <w:r w:rsidR="00F466F4" w:rsidRPr="00580A46">
        <w:rPr>
          <w:rFonts w:ascii="Arial" w:hAnsi="Arial" w:cs="Arial"/>
          <w:i/>
        </w:rPr>
        <w:t>in vivo</w:t>
      </w:r>
      <w:r w:rsidRPr="00580A46">
        <w:rPr>
          <w:rFonts w:ascii="Arial" w:hAnsi="Arial" w:cs="Arial"/>
        </w:rPr>
        <w:t>.</w:t>
      </w:r>
      <w:r w:rsidR="00DC244A">
        <w:rPr>
          <w:rFonts w:ascii="Arial" w:hAnsi="Arial" w:cs="Arial"/>
        </w:rPr>
        <w:t xml:space="preserve"> </w:t>
      </w:r>
      <w:r w:rsidR="00DC244A" w:rsidRPr="00DC244A">
        <w:rPr>
          <w:rFonts w:ascii="Arial" w:hAnsi="Arial" w:cs="Arial"/>
        </w:rPr>
        <w:t xml:space="preserve">Fixed-ratio combinations of the extracts were used mainly because they </w:t>
      </w:r>
      <w:proofErr w:type="spellStart"/>
      <w:r w:rsidR="00DC244A" w:rsidRPr="00DC244A">
        <w:rPr>
          <w:rFonts w:ascii="Arial" w:hAnsi="Arial" w:cs="Arial"/>
        </w:rPr>
        <w:t>standardise</w:t>
      </w:r>
      <w:proofErr w:type="spellEnd"/>
      <w:r w:rsidR="00DC244A" w:rsidRPr="00DC244A">
        <w:rPr>
          <w:rFonts w:ascii="Arial" w:hAnsi="Arial" w:cs="Arial"/>
        </w:rPr>
        <w:t xml:space="preserve"> mixture composition, making it possible to judge whether combined extracts act synergistically or not.</w:t>
      </w:r>
    </w:p>
    <w:p w14:paraId="5258ADEB" w14:textId="77777777" w:rsidR="00DC244A" w:rsidRPr="00580A46" w:rsidRDefault="00DC244A" w:rsidP="00AB07C2">
      <w:pPr>
        <w:pStyle w:val="Body"/>
        <w:rPr>
          <w:rFonts w:ascii="Arial" w:hAnsi="Arial" w:cs="Arial"/>
        </w:rPr>
      </w:pPr>
      <w:bookmarkStart w:id="1" w:name="_Hlk225000101"/>
    </w:p>
    <w:bookmarkEnd w:id="1"/>
    <w:p w14:paraId="339A335D" w14:textId="77777777" w:rsidR="00D00C8B" w:rsidRPr="00580A46" w:rsidRDefault="00D00C8B" w:rsidP="00441B6F">
      <w:pPr>
        <w:pStyle w:val="Body"/>
        <w:spacing w:after="0"/>
        <w:rPr>
          <w:rFonts w:ascii="Arial" w:hAnsi="Arial" w:cs="Arial"/>
        </w:rPr>
      </w:pPr>
    </w:p>
    <w:p w14:paraId="5CC2513A" w14:textId="77777777" w:rsidR="00790ADA" w:rsidRPr="00580A46" w:rsidRDefault="00790ADA" w:rsidP="00441B6F">
      <w:pPr>
        <w:pStyle w:val="Body"/>
        <w:spacing w:after="0"/>
        <w:rPr>
          <w:rFonts w:ascii="Arial" w:hAnsi="Arial" w:cs="Arial"/>
        </w:rPr>
      </w:pPr>
    </w:p>
    <w:p w14:paraId="25B302B3" w14:textId="27DFE6D2" w:rsidR="007F7B32" w:rsidRPr="00580A46" w:rsidRDefault="00902823" w:rsidP="00B30DB8">
      <w:pPr>
        <w:pStyle w:val="Heading1"/>
        <w:numPr>
          <w:ilvl w:val="0"/>
          <w:numId w:val="3"/>
        </w:numPr>
      </w:pPr>
      <w:r w:rsidRPr="00580A46">
        <w:t xml:space="preserve"> </w:t>
      </w:r>
      <w:r w:rsidR="00797E38" w:rsidRPr="00580A46">
        <w:t xml:space="preserve">MATERIAL AND METHODS </w:t>
      </w:r>
      <w:r w:rsidR="007F7B32" w:rsidRPr="00580A46">
        <w:t xml:space="preserve"> </w:t>
      </w:r>
    </w:p>
    <w:p w14:paraId="65885632" w14:textId="77EF7E2C" w:rsidR="00E35D6B" w:rsidRPr="00580A46" w:rsidRDefault="00E35D6B" w:rsidP="00B30DB8">
      <w:pPr>
        <w:pStyle w:val="Head2"/>
        <w:numPr>
          <w:ilvl w:val="1"/>
          <w:numId w:val="3"/>
        </w:numPr>
        <w:rPr>
          <w:b/>
          <w:bCs/>
        </w:rPr>
      </w:pPr>
      <w:r w:rsidRPr="00580A46">
        <w:rPr>
          <w:b/>
          <w:bCs/>
        </w:rPr>
        <w:t xml:space="preserve">Collection of plants </w:t>
      </w:r>
    </w:p>
    <w:p w14:paraId="6D925D0F" w14:textId="398778E3" w:rsidR="009E0A84" w:rsidRPr="00580A46" w:rsidRDefault="004655C7" w:rsidP="00B956C8">
      <w:pPr>
        <w:jc w:val="both"/>
      </w:pPr>
      <w:r w:rsidRPr="00580A46">
        <w:t xml:space="preserve"> All the plants were collected from </w:t>
      </w:r>
      <w:proofErr w:type="spellStart"/>
      <w:r w:rsidRPr="00580A46">
        <w:t>Homa</w:t>
      </w:r>
      <w:proofErr w:type="spellEnd"/>
      <w:r w:rsidRPr="00580A46">
        <w:t xml:space="preserve">-Bay County, Kenya. Identification of the plant specimens was conducted at the University of Nairobi herbarium. Voucher specimens of </w:t>
      </w:r>
      <w:proofErr w:type="spellStart"/>
      <w:r w:rsidR="003A316B" w:rsidRPr="00580A46">
        <w:rPr>
          <w:i/>
        </w:rPr>
        <w:t>Zanthoxylum</w:t>
      </w:r>
      <w:proofErr w:type="spellEnd"/>
      <w:r w:rsidR="003A316B" w:rsidRPr="00580A46">
        <w:rPr>
          <w:i/>
        </w:rPr>
        <w:t xml:space="preserve"> </w:t>
      </w:r>
      <w:proofErr w:type="spellStart"/>
      <w:proofErr w:type="gramStart"/>
      <w:r w:rsidR="003A316B" w:rsidRPr="00580A46">
        <w:rPr>
          <w:i/>
        </w:rPr>
        <w:t>asiaticum</w:t>
      </w:r>
      <w:proofErr w:type="spellEnd"/>
      <w:r w:rsidR="003A316B" w:rsidRPr="00580A46">
        <w:rPr>
          <w:i/>
        </w:rPr>
        <w:t xml:space="preserve"> </w:t>
      </w:r>
      <w:r w:rsidRPr="00580A46">
        <w:t xml:space="preserve"> and</w:t>
      </w:r>
      <w:proofErr w:type="gramEnd"/>
      <w:r w:rsidRPr="00580A46">
        <w:t xml:space="preserve"> </w:t>
      </w:r>
      <w:proofErr w:type="spellStart"/>
      <w:r w:rsidR="00F466F4" w:rsidRPr="00580A46">
        <w:rPr>
          <w:i/>
        </w:rPr>
        <w:t>Delonix</w:t>
      </w:r>
      <w:proofErr w:type="spellEnd"/>
      <w:r w:rsidR="00F466F4" w:rsidRPr="00580A46">
        <w:rPr>
          <w:i/>
        </w:rPr>
        <w:t xml:space="preserve"> regia</w:t>
      </w:r>
      <w:r w:rsidR="003A316B" w:rsidRPr="00580A46">
        <w:rPr>
          <w:i/>
        </w:rPr>
        <w:t xml:space="preserve"> </w:t>
      </w:r>
      <w:r w:rsidRPr="00580A46">
        <w:t xml:space="preserve">were deposited at the University of Nairobi herbarium under the identification numbers RO2019UON/001 and RO2019UON/003, respectively. </w:t>
      </w:r>
    </w:p>
    <w:p w14:paraId="25F9571B" w14:textId="77777777" w:rsidR="00541D57" w:rsidRPr="00580A46" w:rsidRDefault="00541D57" w:rsidP="009E0A84">
      <w:pPr>
        <w:rPr>
          <w:b/>
          <w:bCs/>
        </w:rPr>
      </w:pPr>
    </w:p>
    <w:p w14:paraId="2A8158BB" w14:textId="77777777" w:rsidR="009E0A84" w:rsidRPr="00580A46" w:rsidRDefault="009E0A84" w:rsidP="00B30DB8">
      <w:pPr>
        <w:pStyle w:val="Head2"/>
        <w:numPr>
          <w:ilvl w:val="1"/>
          <w:numId w:val="3"/>
        </w:numPr>
        <w:rPr>
          <w:b/>
          <w:bCs/>
        </w:rPr>
      </w:pPr>
      <w:bookmarkStart w:id="2" w:name="_Toc523591337"/>
      <w:bookmarkStart w:id="3" w:name="_Toc206690038"/>
      <w:r w:rsidRPr="00580A46">
        <w:rPr>
          <w:b/>
          <w:bCs/>
        </w:rPr>
        <w:t>Extraction of plant material</w:t>
      </w:r>
      <w:bookmarkEnd w:id="2"/>
      <w:bookmarkEnd w:id="3"/>
    </w:p>
    <w:p w14:paraId="3F35BF6C" w14:textId="3EFB0D19" w:rsidR="009E0A84" w:rsidRPr="00580A46" w:rsidRDefault="005A3B5E" w:rsidP="00B956C8">
      <w:pPr>
        <w:jc w:val="both"/>
        <w:rPr>
          <w:b/>
          <w:szCs w:val="24"/>
        </w:rPr>
      </w:pPr>
      <w:r w:rsidRPr="00580A46">
        <w:rPr>
          <w:szCs w:val="24"/>
        </w:rPr>
        <w:t xml:space="preserve">Distilled water was used to clean the collected plant samples, which were then dried in the shade to a constant weight. Using an electric blender, plant parts were ground into a fine powder. Extraction was then carried out using </w:t>
      </w:r>
      <w:r w:rsidR="00F307BC">
        <w:rPr>
          <w:szCs w:val="24"/>
        </w:rPr>
        <w:t xml:space="preserve">analytical-grade </w:t>
      </w:r>
      <w:r w:rsidR="00F307BC">
        <w:rPr>
          <w:szCs w:val="24"/>
        </w:rPr>
        <w:lastRenderedPageBreak/>
        <w:t>methanol</w:t>
      </w:r>
      <w:r w:rsidRPr="00580A46">
        <w:rPr>
          <w:szCs w:val="24"/>
        </w:rPr>
        <w:t xml:space="preserve"> from Sigma-Aldrich. This involved soaking 150 g of each sample in 400 mL of the organic solvent for 72 hours. The extract filtrate was then dried using a rotary evaporator. The dried plant extracts (roots, leaves, and bark) were stored at -20°C until needed</w:t>
      </w:r>
      <w:r w:rsidR="00281E33">
        <w:rPr>
          <w:szCs w:val="24"/>
        </w:rPr>
        <w:t xml:space="preserve"> for use</w:t>
      </w:r>
      <w:r w:rsidRPr="00580A46">
        <w:rPr>
          <w:szCs w:val="24"/>
        </w:rPr>
        <w:t xml:space="preserve">. </w:t>
      </w:r>
    </w:p>
    <w:p w14:paraId="0BFD62A3" w14:textId="2F96991D" w:rsidR="009E0A84" w:rsidRPr="00580A46" w:rsidRDefault="009E0A84" w:rsidP="009E0A84">
      <w:r w:rsidRPr="00580A46">
        <w:rPr>
          <w:szCs w:val="24"/>
        </w:rPr>
        <w:t xml:space="preserve"> </w:t>
      </w:r>
    </w:p>
    <w:p w14:paraId="131D5092" w14:textId="77777777" w:rsidR="009E0A84" w:rsidRPr="00580A46" w:rsidRDefault="009E0A84" w:rsidP="006574EB">
      <w:pPr>
        <w:pStyle w:val="Body"/>
        <w:spacing w:after="0"/>
        <w:rPr>
          <w:rFonts w:ascii="Arial" w:hAnsi="Arial" w:cs="Arial"/>
          <w:b/>
          <w:caps/>
          <w:sz w:val="22"/>
        </w:rPr>
      </w:pPr>
    </w:p>
    <w:p w14:paraId="0638EC0B" w14:textId="47CD7E7F" w:rsidR="009E0A84" w:rsidRPr="00580A46" w:rsidRDefault="006574EB" w:rsidP="00B30DB8">
      <w:pPr>
        <w:pStyle w:val="Head2"/>
        <w:numPr>
          <w:ilvl w:val="1"/>
          <w:numId w:val="3"/>
        </w:numPr>
        <w:rPr>
          <w:b/>
          <w:bCs/>
          <w:i/>
          <w:iCs/>
        </w:rPr>
      </w:pPr>
      <w:r w:rsidRPr="00580A46">
        <w:rPr>
          <w:b/>
          <w:bCs/>
        </w:rPr>
        <w:t xml:space="preserve">Rearing and </w:t>
      </w:r>
      <w:r w:rsidR="00F14C34" w:rsidRPr="00580A46">
        <w:rPr>
          <w:b/>
          <w:bCs/>
        </w:rPr>
        <w:t xml:space="preserve">Inoculation of the </w:t>
      </w:r>
      <w:r w:rsidR="00F50785" w:rsidRPr="00580A46">
        <w:rPr>
          <w:b/>
          <w:bCs/>
        </w:rPr>
        <w:t>Animals</w:t>
      </w:r>
      <w:r w:rsidR="00F14C34" w:rsidRPr="00580A46">
        <w:rPr>
          <w:b/>
          <w:bCs/>
        </w:rPr>
        <w:t xml:space="preserve"> with </w:t>
      </w:r>
      <w:r w:rsidR="00F466F4" w:rsidRPr="00580A46">
        <w:rPr>
          <w:b/>
          <w:bCs/>
          <w:i/>
          <w:iCs/>
          <w:caps w:val="0"/>
        </w:rPr>
        <w:t xml:space="preserve">Plasmodium </w:t>
      </w:r>
      <w:r w:rsidR="0000026B" w:rsidRPr="00580A46">
        <w:rPr>
          <w:b/>
          <w:bCs/>
          <w:i/>
          <w:iCs/>
          <w:caps w:val="0"/>
        </w:rPr>
        <w:t xml:space="preserve">  </w:t>
      </w:r>
      <w:proofErr w:type="spellStart"/>
      <w:r w:rsidR="0000026B" w:rsidRPr="00580A46">
        <w:rPr>
          <w:b/>
          <w:bCs/>
          <w:i/>
          <w:iCs/>
          <w:caps w:val="0"/>
        </w:rPr>
        <w:t>berghei</w:t>
      </w:r>
      <w:proofErr w:type="spellEnd"/>
    </w:p>
    <w:p w14:paraId="1392EF13" w14:textId="77777777" w:rsidR="00F50785" w:rsidRPr="00580A46" w:rsidRDefault="00F50785" w:rsidP="00D60D1F">
      <w:pPr>
        <w:pStyle w:val="Body"/>
        <w:spacing w:after="0"/>
        <w:rPr>
          <w:szCs w:val="24"/>
        </w:rPr>
      </w:pPr>
    </w:p>
    <w:p w14:paraId="50991F40" w14:textId="2ED07541" w:rsidR="00E35D6B" w:rsidRPr="00580A46" w:rsidRDefault="00511975" w:rsidP="00D60D1F">
      <w:pPr>
        <w:autoSpaceDE w:val="0"/>
        <w:autoSpaceDN w:val="0"/>
        <w:adjustRightInd w:val="0"/>
        <w:jc w:val="both"/>
        <w:rPr>
          <w:szCs w:val="24"/>
        </w:rPr>
      </w:pPr>
      <w:r w:rsidRPr="00580A46">
        <w:rPr>
          <w:szCs w:val="24"/>
        </w:rPr>
        <w:t xml:space="preserve">Inbred Swiss albino mice, weighing around 20 grams, were obtained from the Kenya Medical Research Institute (KEMRI) and housed in the animal facilities for this study. The animals were kept in rodent cages and fed mouse pellets with water available </w:t>
      </w:r>
      <w:r w:rsidRPr="008C7888">
        <w:rPr>
          <w:i/>
          <w:iCs/>
          <w:szCs w:val="24"/>
        </w:rPr>
        <w:t>ad libitum</w:t>
      </w:r>
      <w:r w:rsidRPr="00580A46">
        <w:rPr>
          <w:szCs w:val="24"/>
        </w:rPr>
        <w:t xml:space="preserve">. They were allowed to </w:t>
      </w:r>
      <w:proofErr w:type="spellStart"/>
      <w:r w:rsidRPr="00580A46">
        <w:rPr>
          <w:szCs w:val="24"/>
        </w:rPr>
        <w:t>acclimatise</w:t>
      </w:r>
      <w:proofErr w:type="spellEnd"/>
      <w:r w:rsidRPr="00580A46">
        <w:rPr>
          <w:szCs w:val="24"/>
        </w:rPr>
        <w:t xml:space="preserve"> to their new environment for seven days before being infected with chloroquine-sensitive </w:t>
      </w:r>
      <w:r w:rsidRPr="002838E6">
        <w:rPr>
          <w:i/>
          <w:iCs/>
          <w:szCs w:val="24"/>
        </w:rPr>
        <w:t xml:space="preserve">P. </w:t>
      </w:r>
      <w:proofErr w:type="spellStart"/>
      <w:r w:rsidRPr="002838E6">
        <w:rPr>
          <w:i/>
          <w:iCs/>
          <w:szCs w:val="24"/>
        </w:rPr>
        <w:t>berghei</w:t>
      </w:r>
      <w:proofErr w:type="spellEnd"/>
      <w:r w:rsidRPr="00580A46">
        <w:rPr>
          <w:szCs w:val="24"/>
        </w:rPr>
        <w:t xml:space="preserve">, after which they were </w:t>
      </w:r>
      <w:proofErr w:type="spellStart"/>
      <w:r w:rsidRPr="00580A46">
        <w:rPr>
          <w:szCs w:val="24"/>
        </w:rPr>
        <w:t>randomised</w:t>
      </w:r>
      <w:proofErr w:type="spellEnd"/>
      <w:r w:rsidRPr="00580A46">
        <w:rPr>
          <w:szCs w:val="24"/>
        </w:rPr>
        <w:t xml:space="preserve"> into four cages. Each cage contained five mice. At the point of maximum </w:t>
      </w:r>
      <w:proofErr w:type="spellStart"/>
      <w:r w:rsidRPr="00580A46">
        <w:rPr>
          <w:szCs w:val="24"/>
        </w:rPr>
        <w:t>parasitaemia</w:t>
      </w:r>
      <w:proofErr w:type="spellEnd"/>
      <w:r w:rsidRPr="00580A46">
        <w:rPr>
          <w:szCs w:val="24"/>
        </w:rPr>
        <w:t xml:space="preserve"> (109 parasites/mL) in the donor mice, blood containing </w:t>
      </w:r>
      <w:r w:rsidR="002838E6">
        <w:rPr>
          <w:szCs w:val="24"/>
        </w:rPr>
        <w:t xml:space="preserve">malaria parasites was collected </w:t>
      </w:r>
      <w:r w:rsidRPr="00580A46">
        <w:rPr>
          <w:szCs w:val="24"/>
        </w:rPr>
        <w:t>and diluted with normal saline. Each experimental mouse received an intraperitoneal injection of 0.2 mL of infected blood dilution containing 1x10</w:t>
      </w:r>
      <w:r w:rsidRPr="00580A46">
        <w:rPr>
          <w:szCs w:val="24"/>
          <w:vertAlign w:val="superscript"/>
        </w:rPr>
        <w:t>6</w:t>
      </w:r>
      <w:r w:rsidRPr="00580A46">
        <w:rPr>
          <w:szCs w:val="24"/>
        </w:rPr>
        <w:t xml:space="preserve"> RBCs </w:t>
      </w:r>
      <w:proofErr w:type="spellStart"/>
      <w:r w:rsidRPr="00580A46">
        <w:rPr>
          <w:szCs w:val="24"/>
        </w:rPr>
        <w:t>parasitised</w:t>
      </w:r>
      <w:proofErr w:type="spellEnd"/>
      <w:r w:rsidRPr="00580A46">
        <w:rPr>
          <w:szCs w:val="24"/>
        </w:rPr>
        <w:t xml:space="preserve"> by </w:t>
      </w:r>
      <w:r w:rsidR="00F466F4" w:rsidRPr="00580A46">
        <w:rPr>
          <w:i/>
          <w:szCs w:val="24"/>
        </w:rPr>
        <w:t xml:space="preserve">P. </w:t>
      </w:r>
      <w:proofErr w:type="spellStart"/>
      <w:r w:rsidR="00F466F4" w:rsidRPr="00580A46">
        <w:rPr>
          <w:i/>
          <w:szCs w:val="24"/>
        </w:rPr>
        <w:t>berghei</w:t>
      </w:r>
      <w:proofErr w:type="spellEnd"/>
      <w:r w:rsidR="00F466F4" w:rsidRPr="00580A46">
        <w:rPr>
          <w:i/>
          <w:szCs w:val="24"/>
        </w:rPr>
        <w:t xml:space="preserve"> </w:t>
      </w:r>
      <w:r w:rsidRPr="00580A46">
        <w:rPr>
          <w:szCs w:val="24"/>
        </w:rPr>
        <w:t>[2</w:t>
      </w:r>
      <w:r w:rsidR="00BF1A3B">
        <w:rPr>
          <w:szCs w:val="24"/>
        </w:rPr>
        <w:t>2</w:t>
      </w:r>
      <w:r w:rsidRPr="00580A46">
        <w:rPr>
          <w:szCs w:val="24"/>
        </w:rPr>
        <w:t>].</w:t>
      </w:r>
    </w:p>
    <w:p w14:paraId="3CEC7465" w14:textId="77777777" w:rsidR="00D60D1F" w:rsidRPr="00580A46" w:rsidRDefault="00D60D1F" w:rsidP="00E35D6B">
      <w:pPr>
        <w:autoSpaceDE w:val="0"/>
        <w:autoSpaceDN w:val="0"/>
        <w:adjustRightInd w:val="0"/>
        <w:spacing w:line="480" w:lineRule="auto"/>
        <w:jc w:val="both"/>
        <w:rPr>
          <w:rFonts w:ascii="Arial" w:hAnsi="Arial" w:cs="Arial"/>
        </w:rPr>
      </w:pPr>
    </w:p>
    <w:p w14:paraId="35DE9D5C" w14:textId="03552D47" w:rsidR="0032775C" w:rsidRPr="00580A46" w:rsidRDefault="00A622C8" w:rsidP="00B30DB8">
      <w:pPr>
        <w:pStyle w:val="Head2"/>
        <w:numPr>
          <w:ilvl w:val="1"/>
          <w:numId w:val="3"/>
        </w:numPr>
        <w:rPr>
          <w:rFonts w:cs="Arial"/>
          <w:b/>
          <w:bCs/>
        </w:rPr>
      </w:pPr>
      <w:r w:rsidRPr="00580A46">
        <w:rPr>
          <w:rFonts w:cs="Arial"/>
          <w:b/>
          <w:bCs/>
        </w:rPr>
        <w:t xml:space="preserve">TESTS FOR </w:t>
      </w:r>
      <w:r w:rsidR="00F466F4" w:rsidRPr="00580A46">
        <w:rPr>
          <w:rFonts w:cs="Arial"/>
          <w:b/>
          <w:bCs/>
          <w:i/>
        </w:rPr>
        <w:t>IN VIVO</w:t>
      </w:r>
      <w:r w:rsidRPr="00580A46">
        <w:rPr>
          <w:rFonts w:cs="Arial"/>
          <w:b/>
          <w:bCs/>
        </w:rPr>
        <w:t xml:space="preserve"> ANTI-PLASMODIAL ACTIVITIES OF SINGLE AND FIXED-RATIO COMBINATIONS </w:t>
      </w:r>
    </w:p>
    <w:p w14:paraId="3ED9E858" w14:textId="09846301" w:rsidR="00E35D6B" w:rsidRPr="00580A46" w:rsidRDefault="007712E6" w:rsidP="00204AD7">
      <w:pPr>
        <w:pStyle w:val="Body"/>
        <w:spacing w:after="0"/>
        <w:rPr>
          <w:rFonts w:ascii="Arial" w:hAnsi="Arial" w:cs="Arial"/>
        </w:rPr>
      </w:pPr>
      <w:r w:rsidRPr="00580A46">
        <w:rPr>
          <w:rFonts w:ascii="Arial" w:hAnsi="Arial" w:cs="Arial"/>
        </w:rPr>
        <w:t xml:space="preserve">Tests for </w:t>
      </w:r>
      <w:r w:rsidR="00F466F4" w:rsidRPr="00580A46">
        <w:rPr>
          <w:rFonts w:ascii="Arial" w:hAnsi="Arial" w:cs="Arial"/>
          <w:i/>
        </w:rPr>
        <w:t>in vivo</w:t>
      </w:r>
      <w:r w:rsidRPr="00580A46">
        <w:rPr>
          <w:rFonts w:ascii="Arial" w:hAnsi="Arial" w:cs="Arial"/>
        </w:rPr>
        <w:t xml:space="preserve"> anti-plasmodial </w:t>
      </w:r>
      <w:r w:rsidR="00040CAD">
        <w:rPr>
          <w:rFonts w:ascii="Arial" w:hAnsi="Arial" w:cs="Arial"/>
        </w:rPr>
        <w:t>activity of single and fixed-ratio combinations of plant extracts were conducted</w:t>
      </w:r>
      <w:r w:rsidRPr="00580A46">
        <w:rPr>
          <w:rFonts w:ascii="Arial" w:hAnsi="Arial" w:cs="Arial"/>
        </w:rPr>
        <w:t xml:space="preserve"> using Peters' four-day suppressive test protocol (Peters, 1975). On day 0 (the day of infection), </w:t>
      </w:r>
      <w:r w:rsidR="00040CAD">
        <w:rPr>
          <w:rFonts w:ascii="Arial" w:hAnsi="Arial" w:cs="Arial"/>
        </w:rPr>
        <w:t>plant test extract was administered to mice orally exactly 2 hours after parasite inoculation</w:t>
      </w:r>
      <w:r w:rsidRPr="00580A46">
        <w:rPr>
          <w:rFonts w:ascii="Arial" w:hAnsi="Arial" w:cs="Arial"/>
        </w:rPr>
        <w:t xml:space="preserve">. The initial dose for treatment was 500 mg/kg body weight. This dose was given twice daily for four consecutive days. </w:t>
      </w:r>
      <w:r w:rsidR="002D7219" w:rsidRPr="00580A46">
        <w:rPr>
          <w:rFonts w:ascii="Arial" w:hAnsi="Arial" w:cs="Arial"/>
        </w:rPr>
        <w:t>On the fifth day, thin blood smears were prepared from a drop of blood drawn from each mouse's tail</w:t>
      </w:r>
      <w:r w:rsidR="00040CAD">
        <w:rPr>
          <w:rFonts w:ascii="Arial" w:hAnsi="Arial" w:cs="Arial"/>
        </w:rPr>
        <w:t xml:space="preserve">. For the curative test (Rane's test), the chemotherapeutic activity of the extract was evaluated in an established infection. On the first day (Day 0), 2 mL of a standard inoculum containing 1 × 107 </w:t>
      </w:r>
      <w:r w:rsidR="00040CAD" w:rsidRPr="00EE3ABE">
        <w:rPr>
          <w:rFonts w:ascii="Arial" w:hAnsi="Arial" w:cs="Arial"/>
          <w:i/>
          <w:iCs/>
        </w:rPr>
        <w:t xml:space="preserve">P. </w:t>
      </w:r>
      <w:proofErr w:type="spellStart"/>
      <w:r w:rsidR="00040CAD" w:rsidRPr="00EE3ABE">
        <w:rPr>
          <w:rFonts w:ascii="Arial" w:hAnsi="Arial" w:cs="Arial"/>
          <w:i/>
          <w:iCs/>
        </w:rPr>
        <w:t>berghei</w:t>
      </w:r>
      <w:proofErr w:type="spellEnd"/>
      <w:r w:rsidR="00040CAD">
        <w:rPr>
          <w:rFonts w:ascii="Arial" w:hAnsi="Arial" w:cs="Arial"/>
        </w:rPr>
        <w:t xml:space="preserve">-infected erythrocytes was inoculated into the mice. Seventy-two hours later (Day 3), the mice were randomly divided into five test groups, each consisting of five mice. Groups I and V served as negative and positive controls, respectively. Thin blood smears were prepared from a drop of blood drawn from each mouse's tail at the beginning and the end of treatment. The slides were then fixed with methanol and stained with a 10% Giemsa solution. The same protocol was employed to test plant extract combinations at a maximum dose of 500 mg/kg body weight in a 1:1 ratio. Infected RBCs in three randomly selected fields on each slide were counted under a microscope to determine </w:t>
      </w:r>
      <w:proofErr w:type="spellStart"/>
      <w:r w:rsidR="00040CAD">
        <w:rPr>
          <w:rFonts w:ascii="Arial" w:hAnsi="Arial" w:cs="Arial"/>
        </w:rPr>
        <w:t>parasitaemia</w:t>
      </w:r>
      <w:proofErr w:type="spellEnd"/>
      <w:r w:rsidR="00040CAD">
        <w:rPr>
          <w:rFonts w:ascii="Arial" w:hAnsi="Arial" w:cs="Arial"/>
        </w:rPr>
        <w:t xml:space="preserve">. The </w:t>
      </w:r>
      <w:proofErr w:type="spellStart"/>
      <w:r w:rsidR="00040CAD">
        <w:rPr>
          <w:rFonts w:ascii="Arial" w:hAnsi="Arial" w:cs="Arial"/>
        </w:rPr>
        <w:t>parasitaemia</w:t>
      </w:r>
      <w:proofErr w:type="spellEnd"/>
      <w:r w:rsidR="00040CAD">
        <w:rPr>
          <w:rFonts w:ascii="Arial" w:hAnsi="Arial" w:cs="Arial"/>
        </w:rPr>
        <w:t xml:space="preserve"> percentage was thus calculated as:</w:t>
      </w:r>
    </w:p>
    <w:p w14:paraId="48B34525" w14:textId="77777777" w:rsidR="00E35D6B" w:rsidRPr="00580A46" w:rsidRDefault="00E35D6B" w:rsidP="00204AD7">
      <w:pPr>
        <w:pStyle w:val="Body"/>
        <w:spacing w:after="0"/>
        <w:rPr>
          <w:rFonts w:ascii="Arial" w:hAnsi="Arial" w:cs="Arial"/>
        </w:rPr>
      </w:pPr>
    </w:p>
    <w:p w14:paraId="207079BB" w14:textId="77777777" w:rsidR="00E35D6B" w:rsidRPr="00580A46" w:rsidRDefault="00E35D6B" w:rsidP="007A0855">
      <w:pPr>
        <w:pStyle w:val="Body"/>
        <w:spacing w:after="0"/>
        <w:jc w:val="left"/>
        <w:rPr>
          <w:rFonts w:ascii="Arial" w:hAnsi="Arial" w:cs="Arial"/>
        </w:rPr>
      </w:pPr>
      <m:oMath>
        <m:r>
          <m:rPr>
            <m:sty m:val="p"/>
          </m:rPr>
          <w:rPr>
            <w:rFonts w:ascii="Cambria Math" w:hAnsi="Cambria Math" w:cs="Arial"/>
          </w:rPr>
          <m:t xml:space="preserve">%  </m:t>
        </m:r>
        <m:r>
          <m:rPr>
            <m:sty m:val="bi"/>
          </m:rPr>
          <w:rPr>
            <w:rFonts w:ascii="Cambria Math" w:hAnsi="Cambria Math" w:cs="Arial"/>
          </w:rPr>
          <m:t>Parasitemia</m:t>
        </m:r>
        <m:r>
          <m:rPr>
            <m:sty m:val="p"/>
          </m:rPr>
          <w:rPr>
            <w:rFonts w:ascii="Cambria Math" w:hAnsi="Cambria Math" w:cs="Arial"/>
          </w:rPr>
          <m:t>=</m:t>
        </m:r>
        <m:f>
          <m:fPr>
            <m:ctrlPr>
              <w:rPr>
                <w:rFonts w:ascii="Cambria Math" w:hAnsi="Cambria Math" w:cs="Arial"/>
              </w:rPr>
            </m:ctrlPr>
          </m:fPr>
          <m:num>
            <m:r>
              <m:rPr>
                <m:sty m:val="bi"/>
              </m:rPr>
              <w:rPr>
                <w:rFonts w:ascii="Cambria Math" w:hAnsi="Cambria Math" w:cs="Arial"/>
              </w:rPr>
              <m:t>Number</m:t>
            </m:r>
            <m:r>
              <m:rPr>
                <m:sty m:val="p"/>
              </m:rPr>
              <w:rPr>
                <w:rFonts w:ascii="Cambria Math" w:hAnsi="Cambria Math" w:cs="Arial"/>
              </w:rPr>
              <m:t xml:space="preserve"> </m:t>
            </m:r>
            <m:r>
              <m:rPr>
                <m:sty m:val="bi"/>
              </m:rPr>
              <w:rPr>
                <w:rFonts w:ascii="Cambria Math" w:hAnsi="Cambria Math" w:cs="Arial"/>
              </w:rPr>
              <m:t>of</m:t>
            </m:r>
            <m:r>
              <m:rPr>
                <m:sty m:val="p"/>
              </m:rPr>
              <w:rPr>
                <w:rFonts w:ascii="Cambria Math" w:hAnsi="Cambria Math" w:cs="Arial"/>
              </w:rPr>
              <m:t xml:space="preserve"> </m:t>
            </m:r>
            <m:r>
              <m:rPr>
                <m:sty m:val="bi"/>
              </m:rPr>
              <w:rPr>
                <w:rFonts w:ascii="Cambria Math" w:hAnsi="Cambria Math" w:cs="Arial"/>
              </w:rPr>
              <m:t>infected</m:t>
            </m:r>
            <m:r>
              <m:rPr>
                <m:sty m:val="p"/>
              </m:rPr>
              <w:rPr>
                <w:rFonts w:ascii="Cambria Math" w:hAnsi="Cambria Math" w:cs="Arial"/>
              </w:rPr>
              <m:t xml:space="preserve"> </m:t>
            </m:r>
            <m:r>
              <m:rPr>
                <m:sty m:val="bi"/>
              </m:rPr>
              <w:rPr>
                <w:rFonts w:ascii="Cambria Math" w:hAnsi="Cambria Math" w:cs="Arial"/>
              </w:rPr>
              <m:t>RBCs</m:t>
            </m:r>
          </m:num>
          <m:den>
            <m:r>
              <m:rPr>
                <m:sty m:val="bi"/>
              </m:rPr>
              <w:rPr>
                <w:rFonts w:ascii="Cambria Math" w:hAnsi="Cambria Math" w:cs="Arial"/>
              </w:rPr>
              <m:t>Total</m:t>
            </m:r>
            <m:r>
              <m:rPr>
                <m:sty m:val="p"/>
              </m:rPr>
              <w:rPr>
                <w:rFonts w:ascii="Cambria Math" w:hAnsi="Cambria Math" w:cs="Arial"/>
              </w:rPr>
              <m:t xml:space="preserve"> </m:t>
            </m:r>
            <m:r>
              <m:rPr>
                <m:sty m:val="bi"/>
              </m:rPr>
              <w:rPr>
                <w:rFonts w:ascii="Cambria Math" w:hAnsi="Cambria Math" w:cs="Arial"/>
              </w:rPr>
              <m:t>number</m:t>
            </m:r>
            <m:r>
              <m:rPr>
                <m:sty m:val="p"/>
              </m:rPr>
              <w:rPr>
                <w:rFonts w:ascii="Cambria Math" w:hAnsi="Cambria Math" w:cs="Arial"/>
              </w:rPr>
              <m:t xml:space="preserve"> </m:t>
            </m:r>
            <m:r>
              <m:rPr>
                <m:sty m:val="bi"/>
              </m:rPr>
              <w:rPr>
                <w:rFonts w:ascii="Cambria Math" w:hAnsi="Cambria Math" w:cs="Arial"/>
              </w:rPr>
              <m:t>RBCs</m:t>
            </m:r>
          </m:den>
        </m:f>
        <m:r>
          <m:rPr>
            <m:sty m:val="bi"/>
          </m:rPr>
          <w:rPr>
            <w:rFonts w:ascii="Cambria Math" w:hAnsi="Cambria Math" w:cs="Arial"/>
          </w:rPr>
          <m:t>X</m:t>
        </m:r>
        <m:r>
          <m:rPr>
            <m:sty m:val="b"/>
          </m:rPr>
          <w:rPr>
            <w:rFonts w:ascii="Cambria Math" w:hAnsi="Cambria Math" w:cs="Arial"/>
          </w:rPr>
          <m:t>100</m:t>
        </m:r>
      </m:oMath>
      <w:r w:rsidRPr="00580A46">
        <w:rPr>
          <w:rFonts w:ascii="Arial" w:hAnsi="Arial" w:cs="Arial"/>
        </w:rPr>
        <w:t xml:space="preserve"> </w:t>
      </w:r>
    </w:p>
    <w:p w14:paraId="15FAB3E2" w14:textId="77777777" w:rsidR="00E35D6B" w:rsidRPr="00580A46" w:rsidRDefault="00E35D6B" w:rsidP="007A0855">
      <w:pPr>
        <w:pStyle w:val="Body"/>
        <w:spacing w:after="0"/>
        <w:jc w:val="left"/>
        <w:rPr>
          <w:rFonts w:ascii="Arial" w:hAnsi="Arial" w:cs="Arial"/>
        </w:rPr>
      </w:pPr>
    </w:p>
    <w:p w14:paraId="4DD39A60" w14:textId="7EB88057" w:rsidR="00E35D6B" w:rsidRPr="00580A46" w:rsidRDefault="00E35D6B" w:rsidP="007A0855">
      <w:pPr>
        <w:pStyle w:val="Body"/>
        <w:spacing w:after="0"/>
        <w:jc w:val="left"/>
        <w:rPr>
          <w:rFonts w:ascii="Arial" w:hAnsi="Arial" w:cs="Arial"/>
        </w:rPr>
      </w:pPr>
      <w:r w:rsidRPr="00580A46">
        <w:rPr>
          <w:rFonts w:ascii="Arial" w:hAnsi="Arial" w:cs="Arial"/>
        </w:rPr>
        <w:t xml:space="preserve">The mean percentage suppression of </w:t>
      </w:r>
      <w:proofErr w:type="spellStart"/>
      <w:r w:rsidRPr="00580A46">
        <w:rPr>
          <w:rFonts w:ascii="Arial" w:hAnsi="Arial" w:cs="Arial"/>
        </w:rPr>
        <w:t>parasitaemia</w:t>
      </w:r>
      <w:proofErr w:type="spellEnd"/>
      <w:r w:rsidRPr="00580A46">
        <w:rPr>
          <w:rFonts w:ascii="Arial" w:hAnsi="Arial" w:cs="Arial"/>
        </w:rPr>
        <w:t xml:space="preserve"> was determined in</w:t>
      </w:r>
      <w:r w:rsidRPr="00580A46">
        <w:rPr>
          <w:rFonts w:ascii="Arial" w:hAnsi="Arial" w:cs="Arial"/>
        </w:rPr>
        <w:br/>
        <w:t xml:space="preserve">Comparison with the controls: </w:t>
      </w:r>
    </w:p>
    <w:p w14:paraId="07207295" w14:textId="77777777" w:rsidR="007712E6" w:rsidRPr="00580A46" w:rsidRDefault="007712E6" w:rsidP="007A0855">
      <w:pPr>
        <w:pStyle w:val="Body"/>
        <w:spacing w:after="0"/>
        <w:jc w:val="left"/>
        <w:rPr>
          <w:rFonts w:ascii="Arial" w:hAnsi="Arial" w:cs="Arial"/>
        </w:rPr>
      </w:pPr>
    </w:p>
    <w:p w14:paraId="49D63455" w14:textId="77777777" w:rsidR="00E35D6B" w:rsidRPr="00580A46" w:rsidRDefault="00E35D6B" w:rsidP="007A0855">
      <w:pPr>
        <w:pStyle w:val="Body"/>
        <w:spacing w:after="0"/>
        <w:jc w:val="left"/>
        <w:rPr>
          <w:rFonts w:ascii="Arial" w:hAnsi="Arial" w:cs="Arial"/>
        </w:rPr>
      </w:pPr>
      <w:r w:rsidRPr="00580A46">
        <w:rPr>
          <w:rFonts w:ascii="Arial" w:hAnsi="Arial" w:cs="Arial"/>
        </w:rPr>
        <w:t xml:space="preserve">% Suppression of </w:t>
      </w:r>
      <w:proofErr w:type="spellStart"/>
      <w:r w:rsidRPr="00580A46">
        <w:rPr>
          <w:rFonts w:ascii="Arial" w:hAnsi="Arial" w:cs="Arial"/>
        </w:rPr>
        <w:t>Parasitaemia</w:t>
      </w:r>
      <w:proofErr w:type="spellEnd"/>
      <w:r w:rsidRPr="00580A46">
        <w:rPr>
          <w:rFonts w:ascii="Arial" w:hAnsi="Arial" w:cs="Arial"/>
        </w:rPr>
        <w:t xml:space="preserve"> =</w:t>
      </w:r>
      <m:oMath>
        <m:f>
          <m:fPr>
            <m:ctrlPr>
              <w:rPr>
                <w:rFonts w:ascii="Cambria Math" w:hAnsi="Cambria Math" w:cs="Arial"/>
              </w:rPr>
            </m:ctrlPr>
          </m:fPr>
          <m:num>
            <m:r>
              <m:rPr>
                <m:sty m:val="bi"/>
              </m:rPr>
              <w:rPr>
                <w:rFonts w:ascii="Cambria Math" w:hAnsi="Cambria Math" w:cs="Arial"/>
              </w:rPr>
              <m:t>A</m:t>
            </m:r>
            <m:r>
              <m:rPr>
                <m:sty m:val="p"/>
              </m:rPr>
              <w:rPr>
                <w:rFonts w:ascii="Cambria Math" w:hAnsi="Cambria Math" w:cs="Arial"/>
              </w:rPr>
              <m:t>-</m:t>
            </m:r>
            <m:r>
              <m:rPr>
                <m:sty m:val="bi"/>
              </m:rPr>
              <w:rPr>
                <w:rFonts w:ascii="Cambria Math" w:hAnsi="Cambria Math" w:cs="Arial"/>
              </w:rPr>
              <m:t>b</m:t>
            </m:r>
          </m:num>
          <m:den>
            <m:r>
              <m:rPr>
                <m:sty m:val="bi"/>
              </m:rPr>
              <w:rPr>
                <w:rFonts w:ascii="Cambria Math" w:hAnsi="Cambria Math" w:cs="Arial"/>
              </w:rPr>
              <m:t>A</m:t>
            </m:r>
          </m:den>
        </m:f>
        <m:r>
          <m:rPr>
            <m:sty m:val="p"/>
          </m:rPr>
          <w:rPr>
            <w:rFonts w:ascii="Cambria Math" w:hAnsi="Cambria Math" w:cs="Arial"/>
          </w:rPr>
          <m:t xml:space="preserve"> </m:t>
        </m:r>
        <m:r>
          <m:rPr>
            <m:sty m:val="bi"/>
          </m:rPr>
          <w:rPr>
            <w:rFonts w:ascii="Cambria Math" w:hAnsi="Cambria Math" w:cs="Arial"/>
          </w:rPr>
          <m:t>X</m:t>
        </m:r>
        <m:r>
          <m:rPr>
            <m:sty m:val="p"/>
          </m:rPr>
          <w:rPr>
            <w:rFonts w:ascii="Cambria Math" w:hAnsi="Cambria Math" w:cs="Arial"/>
          </w:rPr>
          <m:t xml:space="preserve"> </m:t>
        </m:r>
        <m:r>
          <m:rPr>
            <m:sty m:val="b"/>
          </m:rPr>
          <w:rPr>
            <w:rFonts w:ascii="Cambria Math" w:hAnsi="Cambria Math" w:cs="Arial"/>
          </w:rPr>
          <m:t>100</m:t>
        </m:r>
      </m:oMath>
      <w:r w:rsidRPr="00580A46">
        <w:rPr>
          <w:rFonts w:ascii="Arial" w:hAnsi="Arial" w:cs="Arial"/>
        </w:rPr>
        <w:t xml:space="preserve"> </w:t>
      </w:r>
    </w:p>
    <w:p w14:paraId="39A28A74" w14:textId="287931CA" w:rsidR="00E35D6B" w:rsidRPr="00580A46" w:rsidRDefault="00E35D6B" w:rsidP="007A0855">
      <w:pPr>
        <w:pStyle w:val="Body"/>
        <w:spacing w:after="0"/>
        <w:jc w:val="left"/>
        <w:rPr>
          <w:rFonts w:ascii="Arial" w:hAnsi="Arial" w:cs="Arial"/>
        </w:rPr>
      </w:pPr>
      <w:r w:rsidRPr="00580A46">
        <w:rPr>
          <w:rFonts w:ascii="Arial" w:hAnsi="Arial" w:cs="Arial"/>
        </w:rPr>
        <w:br/>
        <w:t xml:space="preserve">A is the mean percentage </w:t>
      </w:r>
      <w:proofErr w:type="spellStart"/>
      <w:r w:rsidRPr="00580A46">
        <w:rPr>
          <w:rFonts w:ascii="Arial" w:hAnsi="Arial" w:cs="Arial"/>
        </w:rPr>
        <w:t>parasitaemia</w:t>
      </w:r>
      <w:proofErr w:type="spellEnd"/>
      <w:r w:rsidRPr="00580A46">
        <w:rPr>
          <w:rFonts w:ascii="Arial" w:hAnsi="Arial" w:cs="Arial"/>
        </w:rPr>
        <w:t xml:space="preserve"> in the negative control group. B is</w:t>
      </w:r>
      <w:r w:rsidRPr="00580A46">
        <w:rPr>
          <w:rFonts w:ascii="Arial" w:hAnsi="Arial" w:cs="Arial"/>
        </w:rPr>
        <w:br/>
        <w:t xml:space="preserve">The mean percentage </w:t>
      </w:r>
      <w:proofErr w:type="spellStart"/>
      <w:r w:rsidRPr="00580A46">
        <w:rPr>
          <w:rFonts w:ascii="Arial" w:hAnsi="Arial" w:cs="Arial"/>
        </w:rPr>
        <w:t>parasitaemia</w:t>
      </w:r>
      <w:proofErr w:type="spellEnd"/>
      <w:r w:rsidRPr="00580A46">
        <w:rPr>
          <w:rFonts w:ascii="Arial" w:hAnsi="Arial" w:cs="Arial"/>
        </w:rPr>
        <w:t xml:space="preserve"> in the test group </w:t>
      </w:r>
      <w:r w:rsidRPr="00580A46">
        <w:rPr>
          <w:rFonts w:ascii="Arial" w:hAnsi="Arial" w:cs="Arial"/>
        </w:rPr>
        <w:fldChar w:fldCharType="begin" w:fldLock="1"/>
      </w:r>
      <w:r w:rsidR="00BF1A3B">
        <w:rPr>
          <w:rFonts w:ascii="Arial" w:hAnsi="Arial" w:cs="Arial"/>
        </w:rPr>
        <w:instrText>ADDIN CSL_CITATION {"citationItems":[{"id":"ITEM-1","itemData":{"DOI":"10.1016/S1995-7645(12)60105-9","ISSN":"19957645","PMID":"22805716","abstract":"Objective: To evaluate the in vivo antiplasmodial activities of the extract and fractions (n-hexane, chloroform, ethylacetate, butanol, aqueous) of the whole plant in Plasmodium berghei berghei infected mice. Methods: Oral administrations of the extract (200, 400, and 600 mg/kg) of Eleucine indica and fractions (400 mg/kg) were screened in the 4-day, repository and curative tests. Chloroquine (5 mg/kg), pyrimethamine (1.2 mg/kg) and artesunate (5 mg/kg) were used as controls. Results: The extract showed significant (P&lt; 0.05-0.001) dose-dependent, antiplasmodial activity in the 4-day, repository and curative tests and increased the survival times of the infected mice. All the fractions exhibited significant antiplasmodial activity with the highest being ethylacetate fraction. Conclusions: Eleucine indica extract and fractions possess antimalarial activity which confirms the ethnobotanical use of this plant as a malarial remedy and opens a new highway to further investigate its potentials in the on-going fight against malaria. © 2012 Hainan Medical College.","author":[{"dropping-particle":"","family":"Ettebong","given":"E. O.","non-dropping-particle":"","parse-names":false,"suffix":""},{"dropping-particle":"","family":"Nwafor","given":"P. A.","non-dropping-particle":"","parse-names":false,"suffix":""},{"dropping-particle":"","family":"Okokon","given":"J. E.","non-dropping-particle":"","parse-names":false,"suffix":""}],"container-title":"Asian Pacific Journal of Tropical Medicine","id":"ITEM-1","issue":"9","issued":{"date-parts":[["2012"]]},"page":"673-676","publisher":"Hainan Medical College","title":"In vivo antiplasmodial activities of ethanolic exract and fractions of Eleucine indica","type":"article-journal","volume":"5"},"uris":["http://www.mendeley.com/documents/?uuid=047af14f-0206-44ab-b6ce-0cfc7f6dcc0a"]},{"id":"ITEM-2","itemData":{"author":[{"dropping-particle":"","family":"Ryley","given":"J F","non-dropping-particle":"","parse-names":false,"suffix":""},{"dropping-particle":"","family":"Peters","given":"W","non-dropping-particle":"","parse-names":false,"suffix":""}],"container-title":"Ann Trop Med Parasitol","id":"ITEM-2","issued":{"date-parts":[["1970"]]},"title":"The antimalarial activity of some quinolone esters","type":"article-journal","volume":"64"},"uris":["http://www.mendeley.com/documents/?uuid=f0ef2755-0295-4c0d-bc4f-4d690bd5e3fb"]}],"mendeley":{"formattedCitation":"&lt;span style=\"baseline\"&gt;[1,2]&lt;/span&gt;","plainTextFormattedCitation":"[1,2]","previouslyFormattedCitation":"&lt;span style=\"baseline\"&gt;[23,24]&lt;/span&gt;"},"properties":{"noteIndex":0},"schema":"https://github.com/citation-style-language/schema/raw/master/csl-citation.json"}</w:instrText>
      </w:r>
      <w:r w:rsidRPr="00580A46">
        <w:rPr>
          <w:rFonts w:ascii="Arial" w:hAnsi="Arial" w:cs="Arial"/>
        </w:rPr>
        <w:fldChar w:fldCharType="separate"/>
      </w:r>
      <w:r w:rsidR="00BF1A3B" w:rsidRPr="00BF1A3B">
        <w:rPr>
          <w:rFonts w:ascii="Arial" w:hAnsi="Arial" w:cs="Arial"/>
          <w:noProof/>
        </w:rPr>
        <w:t>[1,2]</w:t>
      </w:r>
      <w:r w:rsidRPr="00580A46">
        <w:rPr>
          <w:rFonts w:ascii="Arial" w:hAnsi="Arial" w:cs="Arial"/>
        </w:rPr>
        <w:fldChar w:fldCharType="end"/>
      </w:r>
      <w:r w:rsidRPr="00580A46">
        <w:rPr>
          <w:rFonts w:ascii="Arial" w:hAnsi="Arial" w:cs="Arial"/>
        </w:rPr>
        <w:t>.</w:t>
      </w:r>
    </w:p>
    <w:p w14:paraId="05810C1B" w14:textId="77777777" w:rsidR="00E35D6B" w:rsidRPr="00580A46" w:rsidRDefault="00E35D6B" w:rsidP="00441B6F">
      <w:pPr>
        <w:pStyle w:val="Body"/>
        <w:spacing w:after="0"/>
        <w:rPr>
          <w:rFonts w:ascii="Arial" w:hAnsi="Arial" w:cs="Arial"/>
        </w:rPr>
      </w:pPr>
    </w:p>
    <w:p w14:paraId="2A10633B" w14:textId="25B0D4D7" w:rsidR="00E35D6B" w:rsidRPr="00424D86" w:rsidRDefault="00797E38" w:rsidP="00B30DB8">
      <w:pPr>
        <w:pStyle w:val="Head2"/>
        <w:numPr>
          <w:ilvl w:val="1"/>
          <w:numId w:val="3"/>
        </w:numPr>
        <w:rPr>
          <w:rFonts w:ascii="Helvetica" w:hAnsi="Helvetica"/>
          <w:b/>
          <w:bCs/>
        </w:rPr>
      </w:pPr>
      <w:r w:rsidRPr="00580A46">
        <w:rPr>
          <w:rFonts w:ascii="Helvetica" w:hAnsi="Helvetica"/>
          <w:b/>
          <w:bCs/>
        </w:rPr>
        <w:t xml:space="preserve">Data analysis </w:t>
      </w:r>
    </w:p>
    <w:p w14:paraId="5554D4BE" w14:textId="580E58EB" w:rsidR="00797E38" w:rsidRPr="00580A46" w:rsidRDefault="00956E35" w:rsidP="00797E38">
      <w:pPr>
        <w:jc w:val="both"/>
        <w:rPr>
          <w:rFonts w:ascii="Arial" w:hAnsi="Arial" w:cs="Arial"/>
        </w:rPr>
      </w:pPr>
      <w:proofErr w:type="spellStart"/>
      <w:r>
        <w:rPr>
          <w:rFonts w:ascii="Arial" w:hAnsi="Arial" w:cs="Arial"/>
        </w:rPr>
        <w:t>Parasitaemia</w:t>
      </w:r>
      <w:proofErr w:type="spellEnd"/>
      <w:r>
        <w:rPr>
          <w:rFonts w:ascii="Arial" w:hAnsi="Arial" w:cs="Arial"/>
        </w:rPr>
        <w:t xml:space="preserve"> in the mice was assessed microscopically by counting infected erythrocytes. The percentage reduction in </w:t>
      </w:r>
      <w:proofErr w:type="spellStart"/>
      <w:r>
        <w:rPr>
          <w:rFonts w:ascii="Arial" w:hAnsi="Arial" w:cs="Arial"/>
        </w:rPr>
        <w:t>parasitaemia</w:t>
      </w:r>
      <w:proofErr w:type="spellEnd"/>
      <w:r>
        <w:rPr>
          <w:rFonts w:ascii="Arial" w:hAnsi="Arial" w:cs="Arial"/>
        </w:rPr>
        <w:t xml:space="preserve"> in treated groups compared to controls was calculated to evaluate antimalarial efficacy. Data were </w:t>
      </w:r>
      <w:proofErr w:type="spellStart"/>
      <w:r>
        <w:rPr>
          <w:rFonts w:ascii="Arial" w:hAnsi="Arial" w:cs="Arial"/>
        </w:rPr>
        <w:t>analysed</w:t>
      </w:r>
      <w:proofErr w:type="spellEnd"/>
      <w:r>
        <w:rPr>
          <w:rFonts w:ascii="Arial" w:hAnsi="Arial" w:cs="Arial"/>
        </w:rPr>
        <w:t xml:space="preserve"> using Minitab 19 software and GraphPad Prism version 9. Differences with a p-value less than 0.05 were regarded as statistically significant.</w:t>
      </w:r>
    </w:p>
    <w:p w14:paraId="0CC5652F" w14:textId="77777777" w:rsidR="00E35D6B" w:rsidRPr="00580A46" w:rsidRDefault="00E35D6B" w:rsidP="00441B6F">
      <w:pPr>
        <w:pStyle w:val="Body"/>
        <w:spacing w:after="0"/>
        <w:rPr>
          <w:rFonts w:ascii="Arial" w:hAnsi="Arial" w:cs="Arial"/>
        </w:rPr>
      </w:pPr>
    </w:p>
    <w:p w14:paraId="645D574C" w14:textId="77777777" w:rsidR="00790ADA" w:rsidRPr="00580A46" w:rsidRDefault="00790ADA" w:rsidP="00441B6F">
      <w:pPr>
        <w:pStyle w:val="Body"/>
        <w:spacing w:after="0"/>
        <w:rPr>
          <w:rFonts w:ascii="Arial" w:hAnsi="Arial" w:cs="Arial"/>
        </w:rPr>
      </w:pPr>
    </w:p>
    <w:p w14:paraId="6A28A8EC" w14:textId="41C933D7" w:rsidR="004E0089" w:rsidRDefault="00000F8F" w:rsidP="009E4010">
      <w:pPr>
        <w:pStyle w:val="Head1"/>
        <w:numPr>
          <w:ilvl w:val="0"/>
          <w:numId w:val="3"/>
        </w:numPr>
        <w:spacing w:after="0"/>
        <w:jc w:val="both"/>
        <w:rPr>
          <w:rFonts w:ascii="Arial" w:hAnsi="Arial" w:cs="Arial"/>
        </w:rPr>
      </w:pPr>
      <w:r w:rsidRPr="004615E0">
        <w:rPr>
          <w:rFonts w:ascii="Arial" w:hAnsi="Arial" w:cs="Arial"/>
        </w:rPr>
        <w:t xml:space="preserve">results </w:t>
      </w:r>
    </w:p>
    <w:p w14:paraId="5ED6A8AE" w14:textId="77777777" w:rsidR="004615E0" w:rsidRPr="00580A46" w:rsidRDefault="004615E0" w:rsidP="004615E0">
      <w:pPr>
        <w:pStyle w:val="Head1"/>
        <w:spacing w:after="0"/>
        <w:ind w:left="360"/>
        <w:jc w:val="both"/>
        <w:rPr>
          <w:rFonts w:ascii="Arial" w:hAnsi="Arial" w:cs="Arial"/>
        </w:rPr>
      </w:pPr>
    </w:p>
    <w:p w14:paraId="6DC5A859" w14:textId="4C6C8779" w:rsidR="004E0089" w:rsidRDefault="00F466F4" w:rsidP="00B30DB8">
      <w:pPr>
        <w:pStyle w:val="Head2"/>
        <w:numPr>
          <w:ilvl w:val="1"/>
          <w:numId w:val="3"/>
        </w:numPr>
        <w:rPr>
          <w:b/>
          <w:bCs/>
        </w:rPr>
      </w:pPr>
      <w:bookmarkStart w:id="4" w:name="_Toc206690074"/>
      <w:r w:rsidRPr="00580A46">
        <w:rPr>
          <w:b/>
          <w:bCs/>
          <w:i/>
        </w:rPr>
        <w:t>In vivo</w:t>
      </w:r>
      <w:r w:rsidR="004E0089" w:rsidRPr="00580A46">
        <w:rPr>
          <w:b/>
          <w:bCs/>
        </w:rPr>
        <w:t xml:space="preserve"> anti-plasmodial activities of single plant extracts.</w:t>
      </w:r>
      <w:bookmarkEnd w:id="4"/>
    </w:p>
    <w:p w14:paraId="7A961E05" w14:textId="63415298" w:rsidR="006B5194" w:rsidRPr="006B5194" w:rsidRDefault="006B5194" w:rsidP="006B5194">
      <w:pPr>
        <w:pStyle w:val="Body"/>
      </w:pPr>
      <w:r>
        <w:rPr>
          <w:rFonts w:ascii="Arial" w:hAnsi="Arial"/>
          <w:b/>
          <w:bCs/>
          <w:i/>
          <w:caps/>
        </w:rPr>
        <w:t xml:space="preserve">3.1.1 </w:t>
      </w:r>
      <w:r>
        <w:rPr>
          <w:rFonts w:ascii="Arial" w:hAnsi="Arial"/>
          <w:b/>
          <w:bCs/>
          <w:i/>
        </w:rPr>
        <w:t>Four-Day Suppressive Test</w:t>
      </w:r>
    </w:p>
    <w:p w14:paraId="0E902185" w14:textId="7CC32F00" w:rsidR="004E0089" w:rsidRPr="00580A46" w:rsidRDefault="00A0402C" w:rsidP="004E0089">
      <w:pPr>
        <w:pStyle w:val="Body"/>
        <w:spacing w:after="0"/>
        <w:rPr>
          <w:rFonts w:ascii="Arial" w:hAnsi="Arial" w:cs="Arial"/>
        </w:rPr>
      </w:pPr>
      <w:r w:rsidRPr="00580A46">
        <w:lastRenderedPageBreak/>
        <w:t xml:space="preserve"> The plant extracts showed strong anti-plasmodial activity against chloroquine-sensitive </w:t>
      </w:r>
      <w:r w:rsidR="00F466F4" w:rsidRPr="00580A46">
        <w:rPr>
          <w:i/>
        </w:rPr>
        <w:t xml:space="preserve">P. </w:t>
      </w:r>
      <w:proofErr w:type="spellStart"/>
      <w:r w:rsidR="00F466F4" w:rsidRPr="00580A46">
        <w:rPr>
          <w:i/>
        </w:rPr>
        <w:t>berghei</w:t>
      </w:r>
      <w:proofErr w:type="spellEnd"/>
      <w:r w:rsidR="00F466F4" w:rsidRPr="00580A46">
        <w:rPr>
          <w:i/>
        </w:rPr>
        <w:t xml:space="preserve"> </w:t>
      </w:r>
      <w:r w:rsidRPr="00580A46">
        <w:t xml:space="preserve">in early malaria infections in mice, as evidenced by the four-day suppressive test results. The extracts were most effective at doses of 500 and 250 mg/kg body weight, while 100 mg/kg also produced some level of suppression. Across all tested doses, the extracts reduced parasite levels compared to the negative control, with a statistically significant (p &lt; 0.05) dose-dependent response. </w:t>
      </w:r>
      <w:proofErr w:type="spellStart"/>
      <w:r w:rsidR="003A316B" w:rsidRPr="00580A46">
        <w:rPr>
          <w:i/>
        </w:rPr>
        <w:t>Zanthoxylum</w:t>
      </w:r>
      <w:proofErr w:type="spellEnd"/>
      <w:r w:rsidR="003A316B" w:rsidRPr="00580A46">
        <w:rPr>
          <w:i/>
        </w:rPr>
        <w:t xml:space="preserve"> </w:t>
      </w:r>
      <w:proofErr w:type="spellStart"/>
      <w:r w:rsidR="003A316B" w:rsidRPr="00580A46">
        <w:rPr>
          <w:i/>
        </w:rPr>
        <w:t>asiaticum</w:t>
      </w:r>
      <w:proofErr w:type="spellEnd"/>
      <w:r w:rsidR="003A316B" w:rsidRPr="00580A46">
        <w:rPr>
          <w:i/>
        </w:rPr>
        <w:t xml:space="preserve"> </w:t>
      </w:r>
      <w:r w:rsidRPr="00580A46">
        <w:t xml:space="preserve">achieved over 80% suppression at all doses. However, although </w:t>
      </w:r>
      <w:proofErr w:type="spellStart"/>
      <w:r w:rsidR="00F466F4" w:rsidRPr="00580A46">
        <w:rPr>
          <w:i/>
        </w:rPr>
        <w:t>Delonix</w:t>
      </w:r>
      <w:proofErr w:type="spellEnd"/>
      <w:r w:rsidR="00F466F4" w:rsidRPr="00580A46">
        <w:rPr>
          <w:i/>
        </w:rPr>
        <w:t xml:space="preserve"> regia</w:t>
      </w:r>
      <w:r w:rsidR="003A316B" w:rsidRPr="00580A46">
        <w:rPr>
          <w:i/>
        </w:rPr>
        <w:t xml:space="preserve"> </w:t>
      </w:r>
      <w:r w:rsidRPr="00580A46">
        <w:t>displayed good anti-</w:t>
      </w:r>
      <w:r w:rsidR="00F466F4" w:rsidRPr="00580A46">
        <w:rPr>
          <w:i/>
        </w:rPr>
        <w:t xml:space="preserve">Plasmodium </w:t>
      </w:r>
      <w:r w:rsidRPr="00580A46">
        <w:t xml:space="preserve">activity, its potency was only comparable to that of </w:t>
      </w:r>
      <w:proofErr w:type="spellStart"/>
      <w:r w:rsidR="003A316B" w:rsidRPr="00580A46">
        <w:rPr>
          <w:i/>
        </w:rPr>
        <w:t>Zanthoxylum</w:t>
      </w:r>
      <w:proofErr w:type="spellEnd"/>
      <w:r w:rsidR="003A316B" w:rsidRPr="00580A46">
        <w:rPr>
          <w:i/>
        </w:rPr>
        <w:t xml:space="preserve"> </w:t>
      </w:r>
      <w:proofErr w:type="spellStart"/>
      <w:r w:rsidR="003A316B" w:rsidRPr="00580A46">
        <w:rPr>
          <w:i/>
        </w:rPr>
        <w:t>asiaticum</w:t>
      </w:r>
      <w:proofErr w:type="spellEnd"/>
      <w:r w:rsidR="003A316B" w:rsidRPr="00580A46">
        <w:rPr>
          <w:i/>
        </w:rPr>
        <w:t xml:space="preserve"> </w:t>
      </w:r>
      <w:r w:rsidRPr="00580A46">
        <w:t xml:space="preserve">at 500 mg/kg body weight. Additionally, lower and medium doses of </w:t>
      </w:r>
      <w:proofErr w:type="spellStart"/>
      <w:r w:rsidRPr="00571385">
        <w:rPr>
          <w:i/>
          <w:iCs/>
        </w:rPr>
        <w:t>Delonix</w:t>
      </w:r>
      <w:proofErr w:type="spellEnd"/>
      <w:r w:rsidRPr="00580A46">
        <w:t xml:space="preserve"> extracts resulted in a lower suppression percentage than the reference drug, chloroquine. Conversely, as shown in Table </w:t>
      </w:r>
      <w:r w:rsidR="00832853" w:rsidRPr="00580A46">
        <w:t>1</w:t>
      </w:r>
      <w:r w:rsidRPr="00580A46">
        <w:t xml:space="preserve">, the highest dose of </w:t>
      </w:r>
      <w:proofErr w:type="spellStart"/>
      <w:r w:rsidR="003A316B" w:rsidRPr="00580A46">
        <w:rPr>
          <w:i/>
        </w:rPr>
        <w:t>Zanthoxylum</w:t>
      </w:r>
      <w:proofErr w:type="spellEnd"/>
      <w:r w:rsidR="003A316B" w:rsidRPr="00580A46">
        <w:rPr>
          <w:i/>
        </w:rPr>
        <w:t xml:space="preserve"> </w:t>
      </w:r>
      <w:proofErr w:type="spellStart"/>
      <w:r w:rsidR="003A316B" w:rsidRPr="00580A46">
        <w:rPr>
          <w:i/>
        </w:rPr>
        <w:t>asiaticum</w:t>
      </w:r>
      <w:proofErr w:type="spellEnd"/>
      <w:r w:rsidR="003A316B" w:rsidRPr="00580A46">
        <w:rPr>
          <w:i/>
        </w:rPr>
        <w:t xml:space="preserve"> </w:t>
      </w:r>
      <w:r w:rsidRPr="00580A46">
        <w:t xml:space="preserve">extract (500 mg/kg) achieved over 90% suppression, comparable to the level observed with chloroquine, </w:t>
      </w:r>
      <w:r w:rsidR="00571385">
        <w:t>the</w:t>
      </w:r>
      <w:r w:rsidRPr="00580A46">
        <w:t xml:space="preserve"> reference</w:t>
      </w:r>
      <w:r w:rsidR="00571385">
        <w:t xml:space="preserve"> drug</w:t>
      </w:r>
      <w:r w:rsidRPr="00580A46">
        <w:t>.</w:t>
      </w:r>
    </w:p>
    <w:p w14:paraId="3F13C0BA" w14:textId="66EF0377" w:rsidR="00E605C8" w:rsidRPr="00580A46" w:rsidRDefault="0071520D" w:rsidP="0071520D">
      <w:pPr>
        <w:rPr>
          <w:rFonts w:ascii="Arial" w:hAnsi="Arial" w:cs="Arial"/>
        </w:rPr>
      </w:pPr>
      <w:r w:rsidRPr="00580A46">
        <w:rPr>
          <w:rFonts w:ascii="Arial" w:hAnsi="Arial" w:cs="Arial"/>
        </w:rPr>
        <w:t xml:space="preserve">It was found that combining 250 mg/kg of </w:t>
      </w:r>
      <w:proofErr w:type="spellStart"/>
      <w:r w:rsidR="00F466F4" w:rsidRPr="00580A46">
        <w:rPr>
          <w:rFonts w:ascii="Arial" w:hAnsi="Arial" w:cs="Arial"/>
          <w:i/>
        </w:rPr>
        <w:t>Delonix</w:t>
      </w:r>
      <w:proofErr w:type="spellEnd"/>
      <w:r w:rsidR="00F466F4" w:rsidRPr="00580A46">
        <w:rPr>
          <w:rFonts w:ascii="Arial" w:hAnsi="Arial" w:cs="Arial"/>
          <w:i/>
        </w:rPr>
        <w:t xml:space="preserve"> regia</w:t>
      </w:r>
      <w:r w:rsidR="003A316B" w:rsidRPr="00580A46">
        <w:rPr>
          <w:rFonts w:ascii="Arial" w:hAnsi="Arial" w:cs="Arial"/>
          <w:i/>
        </w:rPr>
        <w:t xml:space="preserve"> </w:t>
      </w:r>
      <w:r w:rsidRPr="00580A46">
        <w:rPr>
          <w:rFonts w:ascii="Arial" w:hAnsi="Arial" w:cs="Arial"/>
        </w:rPr>
        <w:t xml:space="preserve">extract with the same amount of </w:t>
      </w:r>
      <w:proofErr w:type="spellStart"/>
      <w:r w:rsidR="003A316B" w:rsidRPr="00580A46">
        <w:rPr>
          <w:rFonts w:ascii="Arial" w:hAnsi="Arial" w:cs="Arial"/>
          <w:i/>
        </w:rPr>
        <w:t>Zanthoxylum</w:t>
      </w:r>
      <w:proofErr w:type="spellEnd"/>
      <w:r w:rsidR="003A316B" w:rsidRPr="00580A46">
        <w:rPr>
          <w:rFonts w:ascii="Arial" w:hAnsi="Arial" w:cs="Arial"/>
          <w:i/>
        </w:rPr>
        <w:t xml:space="preserve"> </w:t>
      </w:r>
      <w:proofErr w:type="spellStart"/>
      <w:r w:rsidR="003A316B" w:rsidRPr="00580A46">
        <w:rPr>
          <w:rFonts w:ascii="Arial" w:hAnsi="Arial" w:cs="Arial"/>
          <w:i/>
        </w:rPr>
        <w:t>asiaticum</w:t>
      </w:r>
      <w:proofErr w:type="spellEnd"/>
      <w:r w:rsidR="003A316B" w:rsidRPr="00580A46">
        <w:rPr>
          <w:rFonts w:ascii="Arial" w:hAnsi="Arial" w:cs="Arial"/>
          <w:i/>
        </w:rPr>
        <w:t xml:space="preserve"> </w:t>
      </w:r>
      <w:r w:rsidRPr="00580A46">
        <w:rPr>
          <w:rFonts w:ascii="Arial" w:hAnsi="Arial" w:cs="Arial"/>
        </w:rPr>
        <w:t xml:space="preserve">extract (1:1) results in a suppression rate of at least 84% against </w:t>
      </w:r>
      <w:r w:rsidR="00F466F4" w:rsidRPr="00580A46">
        <w:rPr>
          <w:rFonts w:ascii="Arial" w:hAnsi="Arial" w:cs="Arial"/>
          <w:i/>
        </w:rPr>
        <w:t xml:space="preserve">Plasmodium </w:t>
      </w:r>
      <w:proofErr w:type="spellStart"/>
      <w:r w:rsidR="00F466F4" w:rsidRPr="00580A46">
        <w:rPr>
          <w:rFonts w:ascii="Arial" w:hAnsi="Arial" w:cs="Arial"/>
          <w:i/>
        </w:rPr>
        <w:t>berghei</w:t>
      </w:r>
      <w:proofErr w:type="spellEnd"/>
      <w:r w:rsidRPr="00580A46">
        <w:rPr>
          <w:rFonts w:ascii="Arial" w:hAnsi="Arial" w:cs="Arial"/>
        </w:rPr>
        <w:t xml:space="preserve"> in mice. This suggests that the same curative effect observed at a high dose (500 mg/kg) can be achieved by administering lower doses of the plant extracts in combination. </w:t>
      </w:r>
    </w:p>
    <w:p w14:paraId="4F66FD42" w14:textId="77777777" w:rsidR="0071520D" w:rsidRPr="00580A46" w:rsidRDefault="0071520D" w:rsidP="0071520D"/>
    <w:p w14:paraId="0FF9BA96" w14:textId="504100AE" w:rsidR="00E605C8" w:rsidRDefault="00E605C8" w:rsidP="00E605C8">
      <w:pPr>
        <w:pStyle w:val="Caption"/>
        <w:rPr>
          <w:i/>
        </w:rPr>
      </w:pPr>
      <w:r w:rsidRPr="00580A46">
        <w:t xml:space="preserve">Table </w:t>
      </w:r>
      <w:r w:rsidR="00A16163">
        <w:fldChar w:fldCharType="begin"/>
      </w:r>
      <w:r w:rsidR="00A16163">
        <w:instrText xml:space="preserve"> SEQ Table \* ARABIC </w:instrText>
      </w:r>
      <w:r w:rsidR="00A16163">
        <w:fldChar w:fldCharType="separate"/>
      </w:r>
      <w:r w:rsidR="004101B1">
        <w:rPr>
          <w:noProof/>
        </w:rPr>
        <w:t>1</w:t>
      </w:r>
      <w:r w:rsidR="00A16163">
        <w:rPr>
          <w:noProof/>
        </w:rPr>
        <w:fldChar w:fldCharType="end"/>
      </w:r>
      <w:r w:rsidRPr="00580A46">
        <w:t xml:space="preserve"> </w:t>
      </w:r>
      <w:r w:rsidR="00F466F4" w:rsidRPr="00580A46">
        <w:rPr>
          <w:i/>
        </w:rPr>
        <w:t>In vivo</w:t>
      </w:r>
      <w:r w:rsidRPr="00580A46">
        <w:t xml:space="preserve"> anti-</w:t>
      </w:r>
      <w:proofErr w:type="gramStart"/>
      <w:r w:rsidR="00F466F4" w:rsidRPr="00580A46">
        <w:rPr>
          <w:i/>
        </w:rPr>
        <w:t xml:space="preserve">Plasmodium </w:t>
      </w:r>
      <w:r w:rsidRPr="00580A46">
        <w:t xml:space="preserve"> activities</w:t>
      </w:r>
      <w:proofErr w:type="gramEnd"/>
      <w:r w:rsidRPr="00580A46">
        <w:t xml:space="preserve"> of single </w:t>
      </w:r>
      <w:r w:rsidR="006B0CA1" w:rsidRPr="00580A46">
        <w:t xml:space="preserve">and combined </w:t>
      </w:r>
      <w:r w:rsidRPr="00580A46">
        <w:t xml:space="preserve">extracts of </w:t>
      </w:r>
      <w:proofErr w:type="spellStart"/>
      <w:r w:rsidR="003A316B" w:rsidRPr="00580A46">
        <w:rPr>
          <w:i/>
        </w:rPr>
        <w:t>Zanthoxylum</w:t>
      </w:r>
      <w:proofErr w:type="spellEnd"/>
      <w:r w:rsidR="003A316B" w:rsidRPr="00580A46">
        <w:rPr>
          <w:i/>
        </w:rPr>
        <w:t xml:space="preserve"> </w:t>
      </w:r>
      <w:proofErr w:type="spellStart"/>
      <w:r w:rsidR="003A316B" w:rsidRPr="00580A46">
        <w:rPr>
          <w:i/>
        </w:rPr>
        <w:t>asiaticum</w:t>
      </w:r>
      <w:proofErr w:type="spellEnd"/>
      <w:r w:rsidR="003A316B" w:rsidRPr="00580A46">
        <w:rPr>
          <w:i/>
        </w:rPr>
        <w:t xml:space="preserve"> </w:t>
      </w:r>
      <w:r w:rsidRPr="00580A46">
        <w:t xml:space="preserve">and </w:t>
      </w:r>
      <w:proofErr w:type="spellStart"/>
      <w:r w:rsidR="00F466F4" w:rsidRPr="00580A46">
        <w:rPr>
          <w:i/>
        </w:rPr>
        <w:t>Delonix</w:t>
      </w:r>
      <w:proofErr w:type="spellEnd"/>
      <w:r w:rsidR="00F466F4" w:rsidRPr="00580A46">
        <w:rPr>
          <w:i/>
        </w:rPr>
        <w:t xml:space="preserve"> regia</w:t>
      </w:r>
      <w:r w:rsidR="003A316B" w:rsidRPr="00580A46">
        <w:rPr>
          <w:i/>
        </w:rPr>
        <w:t xml:space="preserve"> </w:t>
      </w:r>
    </w:p>
    <w:p w14:paraId="06215913" w14:textId="77777777" w:rsidR="00686A31" w:rsidRPr="00686A31" w:rsidRDefault="00686A31" w:rsidP="00686A31"/>
    <w:tbl>
      <w:tblPr>
        <w:tblW w:w="5000" w:type="pct"/>
        <w:tblBorders>
          <w:top w:val="single" w:sz="12" w:space="0" w:color="auto"/>
          <w:bottom w:val="single" w:sz="12" w:space="0" w:color="auto"/>
        </w:tblBorders>
        <w:tblLook w:val="04A0" w:firstRow="1" w:lastRow="0" w:firstColumn="1" w:lastColumn="0" w:noHBand="0" w:noVBand="1"/>
      </w:tblPr>
      <w:tblGrid>
        <w:gridCol w:w="1963"/>
        <w:gridCol w:w="1376"/>
        <w:gridCol w:w="1588"/>
        <w:gridCol w:w="1592"/>
        <w:gridCol w:w="2395"/>
        <w:gridCol w:w="1886"/>
      </w:tblGrid>
      <w:tr w:rsidR="00580A46" w:rsidRPr="00580A46" w14:paraId="50C92879" w14:textId="77777777" w:rsidTr="00577BF8">
        <w:trPr>
          <w:cantSplit/>
          <w:tblHeader/>
        </w:trPr>
        <w:tc>
          <w:tcPr>
            <w:tcW w:w="909" w:type="pct"/>
            <w:tcBorders>
              <w:top w:val="single" w:sz="12" w:space="0" w:color="auto"/>
              <w:bottom w:val="single" w:sz="12" w:space="0" w:color="auto"/>
            </w:tcBorders>
          </w:tcPr>
          <w:p w14:paraId="5BA60B51" w14:textId="77777777" w:rsidR="004E0089" w:rsidRPr="00580A46" w:rsidRDefault="004E0089" w:rsidP="004101B1">
            <w:pPr>
              <w:tabs>
                <w:tab w:val="left" w:pos="2910"/>
              </w:tabs>
              <w:rPr>
                <w:rFonts w:ascii="Arial" w:hAnsi="Arial" w:cs="Arial"/>
              </w:rPr>
            </w:pPr>
            <w:r w:rsidRPr="00580A46">
              <w:rPr>
                <w:rFonts w:ascii="Arial" w:hAnsi="Arial" w:cs="Arial"/>
              </w:rPr>
              <w:t>Extract</w:t>
            </w:r>
          </w:p>
        </w:tc>
        <w:tc>
          <w:tcPr>
            <w:tcW w:w="637" w:type="pct"/>
            <w:tcBorders>
              <w:top w:val="single" w:sz="12" w:space="0" w:color="auto"/>
              <w:bottom w:val="single" w:sz="12" w:space="0" w:color="auto"/>
            </w:tcBorders>
          </w:tcPr>
          <w:p w14:paraId="0C0D1AEA" w14:textId="77777777" w:rsidR="004E0089" w:rsidRPr="00580A46" w:rsidRDefault="004E0089" w:rsidP="004101B1">
            <w:pPr>
              <w:tabs>
                <w:tab w:val="left" w:pos="2910"/>
              </w:tabs>
              <w:rPr>
                <w:rFonts w:ascii="Arial" w:hAnsi="Arial" w:cs="Arial"/>
              </w:rPr>
            </w:pPr>
            <w:r w:rsidRPr="00580A46">
              <w:rPr>
                <w:rFonts w:ascii="Arial" w:hAnsi="Arial" w:cs="Arial"/>
              </w:rPr>
              <w:t>Dose mg/kg</w:t>
            </w:r>
          </w:p>
        </w:tc>
        <w:tc>
          <w:tcPr>
            <w:tcW w:w="735" w:type="pct"/>
            <w:tcBorders>
              <w:top w:val="single" w:sz="12" w:space="0" w:color="auto"/>
              <w:bottom w:val="single" w:sz="12" w:space="0" w:color="auto"/>
            </w:tcBorders>
          </w:tcPr>
          <w:p w14:paraId="6DCE397A" w14:textId="77777777" w:rsidR="004E0089" w:rsidRPr="00580A46" w:rsidRDefault="004E0089" w:rsidP="004101B1">
            <w:pPr>
              <w:tabs>
                <w:tab w:val="left" w:pos="2910"/>
              </w:tabs>
              <w:rPr>
                <w:rFonts w:ascii="Arial" w:hAnsi="Arial" w:cs="Arial"/>
              </w:rPr>
            </w:pPr>
            <w:r w:rsidRPr="00580A46">
              <w:rPr>
                <w:rFonts w:ascii="Arial" w:hAnsi="Arial" w:cs="Arial"/>
              </w:rPr>
              <w:t>PRBC</w:t>
            </w:r>
          </w:p>
        </w:tc>
        <w:tc>
          <w:tcPr>
            <w:tcW w:w="737" w:type="pct"/>
            <w:tcBorders>
              <w:top w:val="single" w:sz="12" w:space="0" w:color="auto"/>
              <w:bottom w:val="single" w:sz="12" w:space="0" w:color="auto"/>
            </w:tcBorders>
          </w:tcPr>
          <w:p w14:paraId="1B7FFF8C" w14:textId="77777777" w:rsidR="004E0089" w:rsidRPr="00580A46" w:rsidRDefault="004E0089" w:rsidP="004101B1">
            <w:pPr>
              <w:tabs>
                <w:tab w:val="left" w:pos="2910"/>
              </w:tabs>
              <w:rPr>
                <w:rFonts w:ascii="Arial" w:hAnsi="Arial" w:cs="Arial"/>
              </w:rPr>
            </w:pPr>
            <w:r w:rsidRPr="00580A46">
              <w:rPr>
                <w:rFonts w:ascii="Arial" w:hAnsi="Arial" w:cs="Arial"/>
              </w:rPr>
              <w:t>RBC</w:t>
            </w:r>
          </w:p>
        </w:tc>
        <w:tc>
          <w:tcPr>
            <w:tcW w:w="1109" w:type="pct"/>
            <w:tcBorders>
              <w:top w:val="single" w:sz="12" w:space="0" w:color="auto"/>
              <w:bottom w:val="single" w:sz="12" w:space="0" w:color="auto"/>
            </w:tcBorders>
          </w:tcPr>
          <w:p w14:paraId="187B6C03" w14:textId="77777777" w:rsidR="004E0089" w:rsidRPr="00580A46" w:rsidRDefault="004E0089" w:rsidP="004101B1">
            <w:pPr>
              <w:tabs>
                <w:tab w:val="left" w:pos="2910"/>
              </w:tabs>
              <w:rPr>
                <w:rFonts w:ascii="Arial" w:hAnsi="Arial" w:cs="Arial"/>
              </w:rPr>
            </w:pPr>
            <w:proofErr w:type="gramStart"/>
            <w:r w:rsidRPr="00580A46">
              <w:rPr>
                <w:rFonts w:ascii="Arial" w:hAnsi="Arial" w:cs="Arial"/>
              </w:rPr>
              <w:t xml:space="preserve">%  </w:t>
            </w:r>
            <w:proofErr w:type="spellStart"/>
            <w:r w:rsidRPr="00580A46">
              <w:rPr>
                <w:rFonts w:ascii="Arial" w:hAnsi="Arial" w:cs="Arial"/>
              </w:rPr>
              <w:t>Parasiteamia</w:t>
            </w:r>
            <w:proofErr w:type="spellEnd"/>
            <w:proofErr w:type="gramEnd"/>
          </w:p>
        </w:tc>
        <w:tc>
          <w:tcPr>
            <w:tcW w:w="873" w:type="pct"/>
            <w:tcBorders>
              <w:top w:val="single" w:sz="12" w:space="0" w:color="auto"/>
              <w:bottom w:val="single" w:sz="12" w:space="0" w:color="auto"/>
            </w:tcBorders>
          </w:tcPr>
          <w:p w14:paraId="51EB73E0" w14:textId="77777777" w:rsidR="004E0089" w:rsidRPr="00580A46" w:rsidRDefault="004E0089" w:rsidP="004101B1">
            <w:pPr>
              <w:tabs>
                <w:tab w:val="left" w:pos="2910"/>
              </w:tabs>
              <w:rPr>
                <w:rFonts w:ascii="Arial" w:hAnsi="Arial" w:cs="Arial"/>
              </w:rPr>
            </w:pPr>
            <w:r w:rsidRPr="00580A46">
              <w:rPr>
                <w:rFonts w:ascii="Arial" w:hAnsi="Arial" w:cs="Arial"/>
              </w:rPr>
              <w:t>Suppression</w:t>
            </w:r>
          </w:p>
        </w:tc>
      </w:tr>
      <w:tr w:rsidR="00580A46" w:rsidRPr="00580A46" w14:paraId="5D7A74EA" w14:textId="77777777" w:rsidTr="00577BF8">
        <w:tc>
          <w:tcPr>
            <w:tcW w:w="909" w:type="pct"/>
            <w:vMerge w:val="restart"/>
          </w:tcPr>
          <w:p w14:paraId="50228A77" w14:textId="66F8D662" w:rsidR="004E0089" w:rsidRPr="00580A46" w:rsidRDefault="00396DCF" w:rsidP="004101B1">
            <w:pPr>
              <w:tabs>
                <w:tab w:val="left" w:pos="2910"/>
              </w:tabs>
              <w:rPr>
                <w:rFonts w:ascii="Arial" w:hAnsi="Arial" w:cs="Arial"/>
                <w:i/>
                <w:iCs/>
              </w:rPr>
            </w:pPr>
            <w:proofErr w:type="spellStart"/>
            <w:r w:rsidRPr="00580A46">
              <w:rPr>
                <w:rFonts w:ascii="Arial" w:hAnsi="Arial" w:cs="Arial"/>
                <w:i/>
                <w:iCs/>
              </w:rPr>
              <w:t>Zanthoxylum</w:t>
            </w:r>
            <w:proofErr w:type="spellEnd"/>
            <w:r w:rsidRPr="00580A46">
              <w:rPr>
                <w:rFonts w:ascii="Arial" w:hAnsi="Arial" w:cs="Arial"/>
                <w:i/>
                <w:iCs/>
              </w:rPr>
              <w:t xml:space="preserve"> </w:t>
            </w:r>
            <w:r w:rsidR="004E0089" w:rsidRPr="00580A46">
              <w:rPr>
                <w:rFonts w:ascii="Arial" w:hAnsi="Arial" w:cs="Arial"/>
                <w:i/>
                <w:iCs/>
              </w:rPr>
              <w:t xml:space="preserve"> </w:t>
            </w:r>
          </w:p>
        </w:tc>
        <w:tc>
          <w:tcPr>
            <w:tcW w:w="637" w:type="pct"/>
          </w:tcPr>
          <w:p w14:paraId="5826CF45" w14:textId="77777777" w:rsidR="004E0089" w:rsidRPr="00580A46" w:rsidRDefault="004E0089" w:rsidP="004101B1">
            <w:pPr>
              <w:tabs>
                <w:tab w:val="left" w:pos="2910"/>
              </w:tabs>
              <w:rPr>
                <w:rFonts w:ascii="Arial" w:hAnsi="Arial" w:cs="Arial"/>
              </w:rPr>
            </w:pPr>
            <w:r w:rsidRPr="00580A46">
              <w:rPr>
                <w:rFonts w:ascii="Arial" w:hAnsi="Arial" w:cs="Arial"/>
              </w:rPr>
              <w:t>500</w:t>
            </w:r>
          </w:p>
        </w:tc>
        <w:tc>
          <w:tcPr>
            <w:tcW w:w="735" w:type="pct"/>
          </w:tcPr>
          <w:p w14:paraId="63EA7450" w14:textId="77777777" w:rsidR="004E0089" w:rsidRPr="00580A46" w:rsidRDefault="004E0089" w:rsidP="004101B1">
            <w:pPr>
              <w:tabs>
                <w:tab w:val="left" w:pos="2910"/>
              </w:tabs>
              <w:rPr>
                <w:rFonts w:ascii="Arial" w:hAnsi="Arial" w:cs="Arial"/>
              </w:rPr>
            </w:pPr>
            <w:r w:rsidRPr="00580A46">
              <w:rPr>
                <w:rFonts w:ascii="Arial" w:hAnsi="Arial" w:cs="Arial"/>
              </w:rPr>
              <w:t>1.31</w:t>
            </w:r>
          </w:p>
        </w:tc>
        <w:tc>
          <w:tcPr>
            <w:tcW w:w="737" w:type="pct"/>
          </w:tcPr>
          <w:p w14:paraId="347D10A2" w14:textId="77777777" w:rsidR="004E0089" w:rsidRPr="00580A46" w:rsidRDefault="004E0089" w:rsidP="004101B1">
            <w:pPr>
              <w:tabs>
                <w:tab w:val="left" w:pos="2910"/>
              </w:tabs>
              <w:rPr>
                <w:rFonts w:ascii="Arial" w:hAnsi="Arial" w:cs="Arial"/>
              </w:rPr>
            </w:pPr>
            <w:r w:rsidRPr="00580A46">
              <w:rPr>
                <w:rFonts w:ascii="Arial" w:hAnsi="Arial" w:cs="Arial"/>
              </w:rPr>
              <w:t>782.85</w:t>
            </w:r>
          </w:p>
        </w:tc>
        <w:tc>
          <w:tcPr>
            <w:tcW w:w="1109" w:type="pct"/>
          </w:tcPr>
          <w:p w14:paraId="3CF3DC16" w14:textId="77777777" w:rsidR="004E0089" w:rsidRPr="00580A46" w:rsidRDefault="004E0089" w:rsidP="004101B1">
            <w:pPr>
              <w:tabs>
                <w:tab w:val="left" w:pos="2910"/>
              </w:tabs>
              <w:rPr>
                <w:rFonts w:ascii="Arial" w:hAnsi="Arial" w:cs="Arial"/>
              </w:rPr>
            </w:pPr>
            <w:r w:rsidRPr="00580A46">
              <w:rPr>
                <w:rFonts w:ascii="Arial" w:hAnsi="Arial" w:cs="Arial"/>
              </w:rPr>
              <w:t>0.1779</w:t>
            </w:r>
          </w:p>
        </w:tc>
        <w:tc>
          <w:tcPr>
            <w:tcW w:w="873" w:type="pct"/>
          </w:tcPr>
          <w:p w14:paraId="724F0B89" w14:textId="77777777" w:rsidR="004E0089" w:rsidRPr="00580A46" w:rsidRDefault="004E0089" w:rsidP="004101B1">
            <w:pPr>
              <w:tabs>
                <w:tab w:val="left" w:pos="2910"/>
              </w:tabs>
              <w:rPr>
                <w:rFonts w:ascii="Arial" w:hAnsi="Arial" w:cs="Arial"/>
              </w:rPr>
            </w:pPr>
            <w:r w:rsidRPr="00580A46">
              <w:rPr>
                <w:rFonts w:ascii="Arial" w:hAnsi="Arial" w:cs="Arial"/>
              </w:rPr>
              <w:t xml:space="preserve">98% </w:t>
            </w:r>
          </w:p>
        </w:tc>
      </w:tr>
      <w:tr w:rsidR="00580A46" w:rsidRPr="00580A46" w14:paraId="01D81CE1" w14:textId="77777777" w:rsidTr="00577BF8">
        <w:tc>
          <w:tcPr>
            <w:tcW w:w="909" w:type="pct"/>
            <w:vMerge/>
          </w:tcPr>
          <w:p w14:paraId="3DE40F72" w14:textId="77777777" w:rsidR="004E0089" w:rsidRPr="00580A46" w:rsidRDefault="004E0089" w:rsidP="004101B1">
            <w:pPr>
              <w:tabs>
                <w:tab w:val="left" w:pos="2910"/>
              </w:tabs>
              <w:rPr>
                <w:rFonts w:ascii="Arial" w:hAnsi="Arial" w:cs="Arial"/>
              </w:rPr>
            </w:pPr>
          </w:p>
        </w:tc>
        <w:tc>
          <w:tcPr>
            <w:tcW w:w="637" w:type="pct"/>
          </w:tcPr>
          <w:p w14:paraId="71316B77" w14:textId="77777777" w:rsidR="004E0089" w:rsidRPr="00580A46" w:rsidRDefault="004E0089" w:rsidP="004101B1">
            <w:pPr>
              <w:tabs>
                <w:tab w:val="left" w:pos="2910"/>
              </w:tabs>
              <w:rPr>
                <w:rFonts w:ascii="Arial" w:hAnsi="Arial" w:cs="Arial"/>
              </w:rPr>
            </w:pPr>
            <w:r w:rsidRPr="00580A46">
              <w:rPr>
                <w:rFonts w:ascii="Arial" w:hAnsi="Arial" w:cs="Arial"/>
              </w:rPr>
              <w:t>250</w:t>
            </w:r>
          </w:p>
        </w:tc>
        <w:tc>
          <w:tcPr>
            <w:tcW w:w="735" w:type="pct"/>
          </w:tcPr>
          <w:p w14:paraId="0FF4B962" w14:textId="77777777" w:rsidR="004E0089" w:rsidRPr="00580A46" w:rsidRDefault="004E0089" w:rsidP="004101B1">
            <w:pPr>
              <w:tabs>
                <w:tab w:val="left" w:pos="2910"/>
              </w:tabs>
              <w:rPr>
                <w:rFonts w:ascii="Arial" w:hAnsi="Arial" w:cs="Arial"/>
              </w:rPr>
            </w:pPr>
            <w:r w:rsidRPr="00580A46">
              <w:rPr>
                <w:rFonts w:ascii="Arial" w:hAnsi="Arial" w:cs="Arial"/>
              </w:rPr>
              <w:t>7.4</w:t>
            </w:r>
          </w:p>
        </w:tc>
        <w:tc>
          <w:tcPr>
            <w:tcW w:w="737" w:type="pct"/>
          </w:tcPr>
          <w:p w14:paraId="3A788F89" w14:textId="77777777" w:rsidR="004E0089" w:rsidRPr="00580A46" w:rsidRDefault="004E0089" w:rsidP="004101B1">
            <w:pPr>
              <w:tabs>
                <w:tab w:val="left" w:pos="2910"/>
              </w:tabs>
              <w:rPr>
                <w:rFonts w:ascii="Arial" w:hAnsi="Arial" w:cs="Arial"/>
              </w:rPr>
            </w:pPr>
            <w:r w:rsidRPr="00580A46">
              <w:rPr>
                <w:rFonts w:ascii="Arial" w:hAnsi="Arial" w:cs="Arial"/>
              </w:rPr>
              <w:t>537.80</w:t>
            </w:r>
          </w:p>
        </w:tc>
        <w:tc>
          <w:tcPr>
            <w:tcW w:w="1109" w:type="pct"/>
          </w:tcPr>
          <w:p w14:paraId="3E2757AE" w14:textId="77777777" w:rsidR="004E0089" w:rsidRPr="00580A46" w:rsidRDefault="004E0089" w:rsidP="004101B1">
            <w:pPr>
              <w:tabs>
                <w:tab w:val="left" w:pos="2910"/>
              </w:tabs>
              <w:rPr>
                <w:rFonts w:ascii="Arial" w:hAnsi="Arial" w:cs="Arial"/>
              </w:rPr>
            </w:pPr>
            <w:r w:rsidRPr="00580A46">
              <w:rPr>
                <w:rFonts w:ascii="Arial" w:hAnsi="Arial" w:cs="Arial"/>
              </w:rPr>
              <w:t>1.4155</w:t>
            </w:r>
          </w:p>
        </w:tc>
        <w:tc>
          <w:tcPr>
            <w:tcW w:w="873" w:type="pct"/>
          </w:tcPr>
          <w:p w14:paraId="065B910C" w14:textId="77777777" w:rsidR="004E0089" w:rsidRPr="00580A46" w:rsidRDefault="004E0089" w:rsidP="004101B1">
            <w:pPr>
              <w:tabs>
                <w:tab w:val="left" w:pos="2910"/>
              </w:tabs>
              <w:rPr>
                <w:rFonts w:ascii="Arial" w:hAnsi="Arial" w:cs="Arial"/>
              </w:rPr>
            </w:pPr>
            <w:r w:rsidRPr="00580A46">
              <w:rPr>
                <w:rFonts w:ascii="Arial" w:hAnsi="Arial" w:cs="Arial"/>
              </w:rPr>
              <w:t xml:space="preserve">81% </w:t>
            </w:r>
          </w:p>
        </w:tc>
      </w:tr>
      <w:tr w:rsidR="00580A46" w:rsidRPr="00580A46" w14:paraId="688131CA" w14:textId="77777777" w:rsidTr="00577BF8">
        <w:tc>
          <w:tcPr>
            <w:tcW w:w="909" w:type="pct"/>
            <w:vMerge/>
          </w:tcPr>
          <w:p w14:paraId="5AD89AF6" w14:textId="77777777" w:rsidR="004E0089" w:rsidRPr="00580A46" w:rsidRDefault="004E0089" w:rsidP="004101B1">
            <w:pPr>
              <w:tabs>
                <w:tab w:val="left" w:pos="2910"/>
              </w:tabs>
              <w:rPr>
                <w:rFonts w:ascii="Arial" w:hAnsi="Arial" w:cs="Arial"/>
              </w:rPr>
            </w:pPr>
          </w:p>
        </w:tc>
        <w:tc>
          <w:tcPr>
            <w:tcW w:w="637" w:type="pct"/>
          </w:tcPr>
          <w:p w14:paraId="42BDA430" w14:textId="77777777" w:rsidR="004E0089" w:rsidRPr="00580A46" w:rsidRDefault="004E0089" w:rsidP="004101B1">
            <w:pPr>
              <w:tabs>
                <w:tab w:val="left" w:pos="2910"/>
              </w:tabs>
              <w:rPr>
                <w:rFonts w:ascii="Arial" w:hAnsi="Arial" w:cs="Arial"/>
              </w:rPr>
            </w:pPr>
            <w:r w:rsidRPr="00580A46">
              <w:rPr>
                <w:rFonts w:ascii="Arial" w:hAnsi="Arial" w:cs="Arial"/>
              </w:rPr>
              <w:t>100</w:t>
            </w:r>
          </w:p>
        </w:tc>
        <w:tc>
          <w:tcPr>
            <w:tcW w:w="735" w:type="pct"/>
          </w:tcPr>
          <w:p w14:paraId="0050A799" w14:textId="77777777" w:rsidR="004E0089" w:rsidRPr="00580A46" w:rsidRDefault="004E0089" w:rsidP="004101B1">
            <w:pPr>
              <w:tabs>
                <w:tab w:val="left" w:pos="2910"/>
              </w:tabs>
              <w:rPr>
                <w:rFonts w:ascii="Arial" w:hAnsi="Arial" w:cs="Arial"/>
              </w:rPr>
            </w:pPr>
            <w:r w:rsidRPr="00580A46">
              <w:rPr>
                <w:rFonts w:ascii="Arial" w:hAnsi="Arial" w:cs="Arial"/>
              </w:rPr>
              <w:t>7.7</w:t>
            </w:r>
          </w:p>
        </w:tc>
        <w:tc>
          <w:tcPr>
            <w:tcW w:w="737" w:type="pct"/>
          </w:tcPr>
          <w:p w14:paraId="313A4A1C" w14:textId="77777777" w:rsidR="004E0089" w:rsidRPr="00580A46" w:rsidRDefault="004E0089" w:rsidP="004101B1">
            <w:pPr>
              <w:tabs>
                <w:tab w:val="left" w:pos="2910"/>
              </w:tabs>
              <w:rPr>
                <w:rFonts w:ascii="Arial" w:hAnsi="Arial" w:cs="Arial"/>
              </w:rPr>
            </w:pPr>
            <w:r w:rsidRPr="00580A46">
              <w:rPr>
                <w:rFonts w:ascii="Arial" w:hAnsi="Arial" w:cs="Arial"/>
              </w:rPr>
              <w:t>584.57</w:t>
            </w:r>
          </w:p>
        </w:tc>
        <w:tc>
          <w:tcPr>
            <w:tcW w:w="1109" w:type="pct"/>
          </w:tcPr>
          <w:p w14:paraId="2439F07D" w14:textId="77777777" w:rsidR="004E0089" w:rsidRPr="00580A46" w:rsidRDefault="004E0089" w:rsidP="004101B1">
            <w:pPr>
              <w:tabs>
                <w:tab w:val="left" w:pos="2910"/>
              </w:tabs>
              <w:rPr>
                <w:rFonts w:ascii="Arial" w:hAnsi="Arial" w:cs="Arial"/>
              </w:rPr>
            </w:pPr>
            <w:r w:rsidRPr="00580A46">
              <w:rPr>
                <w:rFonts w:ascii="Arial" w:hAnsi="Arial" w:cs="Arial"/>
              </w:rPr>
              <w:t>1.4656</w:t>
            </w:r>
          </w:p>
        </w:tc>
        <w:tc>
          <w:tcPr>
            <w:tcW w:w="873" w:type="pct"/>
          </w:tcPr>
          <w:p w14:paraId="5DCBA4E1" w14:textId="77777777" w:rsidR="004E0089" w:rsidRPr="00580A46" w:rsidRDefault="004E0089" w:rsidP="004101B1">
            <w:pPr>
              <w:tabs>
                <w:tab w:val="left" w:pos="2910"/>
              </w:tabs>
              <w:rPr>
                <w:rFonts w:ascii="Arial" w:hAnsi="Arial" w:cs="Arial"/>
              </w:rPr>
            </w:pPr>
            <w:r w:rsidRPr="00580A46">
              <w:rPr>
                <w:rFonts w:ascii="Arial" w:hAnsi="Arial" w:cs="Arial"/>
              </w:rPr>
              <w:t xml:space="preserve">80% </w:t>
            </w:r>
          </w:p>
        </w:tc>
      </w:tr>
      <w:tr w:rsidR="00580A46" w:rsidRPr="00580A46" w14:paraId="101EE8E3" w14:textId="77777777" w:rsidTr="00577BF8">
        <w:tc>
          <w:tcPr>
            <w:tcW w:w="909" w:type="pct"/>
            <w:vMerge w:val="restart"/>
          </w:tcPr>
          <w:p w14:paraId="3F5FFB5C" w14:textId="77777777" w:rsidR="004E0089" w:rsidRPr="00580A46" w:rsidRDefault="004E0089" w:rsidP="004101B1">
            <w:pPr>
              <w:tabs>
                <w:tab w:val="left" w:pos="2910"/>
              </w:tabs>
              <w:rPr>
                <w:rFonts w:ascii="Arial" w:hAnsi="Arial" w:cs="Arial"/>
                <w:i/>
                <w:iCs/>
              </w:rPr>
            </w:pPr>
            <w:proofErr w:type="spellStart"/>
            <w:r w:rsidRPr="00580A46">
              <w:rPr>
                <w:rFonts w:ascii="Arial" w:hAnsi="Arial" w:cs="Arial"/>
                <w:i/>
                <w:iCs/>
              </w:rPr>
              <w:t>Delonix</w:t>
            </w:r>
            <w:proofErr w:type="spellEnd"/>
            <w:r w:rsidRPr="00580A46">
              <w:rPr>
                <w:rFonts w:ascii="Arial" w:hAnsi="Arial" w:cs="Arial"/>
                <w:i/>
                <w:iCs/>
              </w:rPr>
              <w:t xml:space="preserve"> </w:t>
            </w:r>
          </w:p>
        </w:tc>
        <w:tc>
          <w:tcPr>
            <w:tcW w:w="637" w:type="pct"/>
          </w:tcPr>
          <w:p w14:paraId="603ABE41" w14:textId="77777777" w:rsidR="004E0089" w:rsidRPr="00580A46" w:rsidRDefault="004E0089" w:rsidP="004101B1">
            <w:pPr>
              <w:tabs>
                <w:tab w:val="left" w:pos="2910"/>
              </w:tabs>
              <w:rPr>
                <w:rFonts w:ascii="Arial" w:hAnsi="Arial" w:cs="Arial"/>
              </w:rPr>
            </w:pPr>
            <w:r w:rsidRPr="00580A46">
              <w:rPr>
                <w:rFonts w:ascii="Arial" w:hAnsi="Arial" w:cs="Arial"/>
              </w:rPr>
              <w:t>500</w:t>
            </w:r>
          </w:p>
        </w:tc>
        <w:tc>
          <w:tcPr>
            <w:tcW w:w="735" w:type="pct"/>
          </w:tcPr>
          <w:p w14:paraId="48A1A88B" w14:textId="77777777" w:rsidR="004E0089" w:rsidRPr="00580A46" w:rsidRDefault="004E0089" w:rsidP="004101B1">
            <w:pPr>
              <w:tabs>
                <w:tab w:val="left" w:pos="2910"/>
              </w:tabs>
              <w:rPr>
                <w:rFonts w:ascii="Arial" w:hAnsi="Arial" w:cs="Arial"/>
              </w:rPr>
            </w:pPr>
            <w:r w:rsidRPr="00580A46">
              <w:rPr>
                <w:rFonts w:ascii="Arial" w:hAnsi="Arial" w:cs="Arial"/>
              </w:rPr>
              <w:t>6</w:t>
            </w:r>
          </w:p>
        </w:tc>
        <w:tc>
          <w:tcPr>
            <w:tcW w:w="737" w:type="pct"/>
          </w:tcPr>
          <w:p w14:paraId="7CCBA9AB" w14:textId="77777777" w:rsidR="004E0089" w:rsidRPr="00580A46" w:rsidRDefault="004E0089" w:rsidP="004101B1">
            <w:pPr>
              <w:tabs>
                <w:tab w:val="left" w:pos="2910"/>
              </w:tabs>
              <w:rPr>
                <w:rFonts w:ascii="Arial" w:hAnsi="Arial" w:cs="Arial"/>
              </w:rPr>
            </w:pPr>
            <w:r w:rsidRPr="00580A46">
              <w:rPr>
                <w:rFonts w:ascii="Arial" w:hAnsi="Arial" w:cs="Arial"/>
              </w:rPr>
              <w:t>541.00</w:t>
            </w:r>
          </w:p>
        </w:tc>
        <w:tc>
          <w:tcPr>
            <w:tcW w:w="1109" w:type="pct"/>
          </w:tcPr>
          <w:p w14:paraId="2C3908C6" w14:textId="77777777" w:rsidR="004E0089" w:rsidRPr="00580A46" w:rsidRDefault="004E0089" w:rsidP="004101B1">
            <w:pPr>
              <w:tabs>
                <w:tab w:val="left" w:pos="2910"/>
              </w:tabs>
              <w:rPr>
                <w:rFonts w:ascii="Arial" w:hAnsi="Arial" w:cs="Arial"/>
              </w:rPr>
            </w:pPr>
            <w:r w:rsidRPr="00580A46">
              <w:rPr>
                <w:rFonts w:ascii="Arial" w:hAnsi="Arial" w:cs="Arial"/>
              </w:rPr>
              <w:t>1.4537</w:t>
            </w:r>
          </w:p>
        </w:tc>
        <w:tc>
          <w:tcPr>
            <w:tcW w:w="873" w:type="pct"/>
          </w:tcPr>
          <w:p w14:paraId="23124CF4" w14:textId="77777777" w:rsidR="004E0089" w:rsidRPr="00580A46" w:rsidRDefault="004E0089" w:rsidP="004101B1">
            <w:pPr>
              <w:tabs>
                <w:tab w:val="left" w:pos="2910"/>
              </w:tabs>
              <w:rPr>
                <w:rFonts w:ascii="Arial" w:hAnsi="Arial" w:cs="Arial"/>
              </w:rPr>
            </w:pPr>
            <w:r w:rsidRPr="00580A46">
              <w:rPr>
                <w:rFonts w:ascii="Arial" w:hAnsi="Arial" w:cs="Arial"/>
              </w:rPr>
              <w:t xml:space="preserve">85% </w:t>
            </w:r>
          </w:p>
        </w:tc>
      </w:tr>
      <w:tr w:rsidR="00580A46" w:rsidRPr="00580A46" w14:paraId="62182A25" w14:textId="77777777" w:rsidTr="00577BF8">
        <w:tc>
          <w:tcPr>
            <w:tcW w:w="909" w:type="pct"/>
            <w:vMerge/>
          </w:tcPr>
          <w:p w14:paraId="0CD90171" w14:textId="77777777" w:rsidR="004E0089" w:rsidRPr="00580A46" w:rsidRDefault="004E0089" w:rsidP="004101B1">
            <w:pPr>
              <w:tabs>
                <w:tab w:val="left" w:pos="2910"/>
              </w:tabs>
              <w:rPr>
                <w:rFonts w:ascii="Arial" w:hAnsi="Arial" w:cs="Arial"/>
              </w:rPr>
            </w:pPr>
          </w:p>
        </w:tc>
        <w:tc>
          <w:tcPr>
            <w:tcW w:w="637" w:type="pct"/>
          </w:tcPr>
          <w:p w14:paraId="7C190FA2" w14:textId="77777777" w:rsidR="004E0089" w:rsidRPr="00580A46" w:rsidRDefault="004E0089" w:rsidP="004101B1">
            <w:pPr>
              <w:tabs>
                <w:tab w:val="left" w:pos="2910"/>
              </w:tabs>
              <w:rPr>
                <w:rFonts w:ascii="Arial" w:hAnsi="Arial" w:cs="Arial"/>
              </w:rPr>
            </w:pPr>
            <w:r w:rsidRPr="00580A46">
              <w:rPr>
                <w:rFonts w:ascii="Arial" w:hAnsi="Arial" w:cs="Arial"/>
              </w:rPr>
              <w:t>250</w:t>
            </w:r>
          </w:p>
        </w:tc>
        <w:tc>
          <w:tcPr>
            <w:tcW w:w="735" w:type="pct"/>
          </w:tcPr>
          <w:p w14:paraId="6879B3E8" w14:textId="77777777" w:rsidR="004E0089" w:rsidRPr="00580A46" w:rsidRDefault="004E0089" w:rsidP="004101B1">
            <w:pPr>
              <w:tabs>
                <w:tab w:val="left" w:pos="2910"/>
              </w:tabs>
              <w:rPr>
                <w:rFonts w:ascii="Arial" w:hAnsi="Arial" w:cs="Arial"/>
              </w:rPr>
            </w:pPr>
            <w:r w:rsidRPr="00580A46">
              <w:rPr>
                <w:rFonts w:ascii="Arial" w:hAnsi="Arial" w:cs="Arial"/>
              </w:rPr>
              <w:t>8.4</w:t>
            </w:r>
          </w:p>
        </w:tc>
        <w:tc>
          <w:tcPr>
            <w:tcW w:w="737" w:type="pct"/>
          </w:tcPr>
          <w:p w14:paraId="1FF7C771" w14:textId="77777777" w:rsidR="004E0089" w:rsidRPr="00580A46" w:rsidRDefault="004E0089" w:rsidP="004101B1">
            <w:pPr>
              <w:tabs>
                <w:tab w:val="left" w:pos="2910"/>
              </w:tabs>
              <w:rPr>
                <w:rFonts w:ascii="Arial" w:hAnsi="Arial" w:cs="Arial"/>
              </w:rPr>
            </w:pPr>
            <w:r w:rsidRPr="00580A46">
              <w:rPr>
                <w:rFonts w:ascii="Arial" w:hAnsi="Arial" w:cs="Arial"/>
              </w:rPr>
              <w:t>490.40</w:t>
            </w:r>
          </w:p>
        </w:tc>
        <w:tc>
          <w:tcPr>
            <w:tcW w:w="1109" w:type="pct"/>
          </w:tcPr>
          <w:p w14:paraId="7FAAECB3" w14:textId="77777777" w:rsidR="004E0089" w:rsidRPr="00580A46" w:rsidRDefault="004E0089" w:rsidP="004101B1">
            <w:pPr>
              <w:tabs>
                <w:tab w:val="left" w:pos="2910"/>
              </w:tabs>
              <w:rPr>
                <w:rFonts w:ascii="Arial" w:hAnsi="Arial" w:cs="Arial"/>
              </w:rPr>
            </w:pPr>
            <w:r w:rsidRPr="00580A46">
              <w:rPr>
                <w:rFonts w:ascii="Arial" w:hAnsi="Arial" w:cs="Arial"/>
              </w:rPr>
              <w:t>1.7730</w:t>
            </w:r>
          </w:p>
        </w:tc>
        <w:tc>
          <w:tcPr>
            <w:tcW w:w="873" w:type="pct"/>
          </w:tcPr>
          <w:p w14:paraId="5B478723" w14:textId="77777777" w:rsidR="004E0089" w:rsidRPr="00580A46" w:rsidRDefault="004E0089" w:rsidP="004101B1">
            <w:pPr>
              <w:tabs>
                <w:tab w:val="left" w:pos="2910"/>
              </w:tabs>
              <w:rPr>
                <w:rFonts w:ascii="Arial" w:hAnsi="Arial" w:cs="Arial"/>
              </w:rPr>
            </w:pPr>
            <w:r w:rsidRPr="00580A46">
              <w:rPr>
                <w:rFonts w:ascii="Arial" w:hAnsi="Arial" w:cs="Arial"/>
              </w:rPr>
              <w:t xml:space="preserve">76% </w:t>
            </w:r>
          </w:p>
        </w:tc>
      </w:tr>
      <w:tr w:rsidR="00580A46" w:rsidRPr="00580A46" w14:paraId="2B475B4A" w14:textId="77777777" w:rsidTr="00577BF8">
        <w:tc>
          <w:tcPr>
            <w:tcW w:w="909" w:type="pct"/>
            <w:vMerge/>
          </w:tcPr>
          <w:p w14:paraId="5415C4E0" w14:textId="77777777" w:rsidR="004E0089" w:rsidRPr="00580A46" w:rsidRDefault="004E0089" w:rsidP="004101B1">
            <w:pPr>
              <w:tabs>
                <w:tab w:val="left" w:pos="2910"/>
              </w:tabs>
              <w:rPr>
                <w:rFonts w:ascii="Arial" w:hAnsi="Arial" w:cs="Arial"/>
              </w:rPr>
            </w:pPr>
          </w:p>
        </w:tc>
        <w:tc>
          <w:tcPr>
            <w:tcW w:w="637" w:type="pct"/>
          </w:tcPr>
          <w:p w14:paraId="622EB3BE" w14:textId="77777777" w:rsidR="004E0089" w:rsidRPr="00580A46" w:rsidRDefault="004E0089" w:rsidP="004101B1">
            <w:pPr>
              <w:tabs>
                <w:tab w:val="left" w:pos="2910"/>
              </w:tabs>
              <w:rPr>
                <w:rFonts w:ascii="Arial" w:hAnsi="Arial" w:cs="Arial"/>
              </w:rPr>
            </w:pPr>
            <w:r w:rsidRPr="00580A46">
              <w:rPr>
                <w:rFonts w:ascii="Arial" w:hAnsi="Arial" w:cs="Arial"/>
              </w:rPr>
              <w:t>100</w:t>
            </w:r>
          </w:p>
        </w:tc>
        <w:tc>
          <w:tcPr>
            <w:tcW w:w="735" w:type="pct"/>
          </w:tcPr>
          <w:p w14:paraId="34B26F38" w14:textId="77777777" w:rsidR="004E0089" w:rsidRPr="00580A46" w:rsidRDefault="004E0089" w:rsidP="004101B1">
            <w:pPr>
              <w:tabs>
                <w:tab w:val="left" w:pos="2910"/>
              </w:tabs>
              <w:rPr>
                <w:rFonts w:ascii="Arial" w:hAnsi="Arial" w:cs="Arial"/>
              </w:rPr>
            </w:pPr>
            <w:r w:rsidRPr="00580A46">
              <w:rPr>
                <w:rFonts w:ascii="Arial" w:hAnsi="Arial" w:cs="Arial"/>
              </w:rPr>
              <w:t>8.47</w:t>
            </w:r>
          </w:p>
        </w:tc>
        <w:tc>
          <w:tcPr>
            <w:tcW w:w="737" w:type="pct"/>
          </w:tcPr>
          <w:p w14:paraId="3C61801A" w14:textId="77777777" w:rsidR="004E0089" w:rsidRPr="00580A46" w:rsidRDefault="004E0089" w:rsidP="004101B1">
            <w:pPr>
              <w:tabs>
                <w:tab w:val="left" w:pos="2910"/>
              </w:tabs>
              <w:rPr>
                <w:rFonts w:ascii="Arial" w:hAnsi="Arial" w:cs="Arial"/>
              </w:rPr>
            </w:pPr>
            <w:r w:rsidRPr="00580A46">
              <w:rPr>
                <w:rFonts w:ascii="Arial" w:hAnsi="Arial" w:cs="Arial"/>
              </w:rPr>
              <w:t>465.67</w:t>
            </w:r>
          </w:p>
        </w:tc>
        <w:tc>
          <w:tcPr>
            <w:tcW w:w="1109" w:type="pct"/>
          </w:tcPr>
          <w:p w14:paraId="037C273D" w14:textId="77777777" w:rsidR="004E0089" w:rsidRPr="00580A46" w:rsidRDefault="004E0089" w:rsidP="004101B1">
            <w:pPr>
              <w:tabs>
                <w:tab w:val="left" w:pos="2910"/>
              </w:tabs>
              <w:rPr>
                <w:rFonts w:ascii="Arial" w:hAnsi="Arial" w:cs="Arial"/>
              </w:rPr>
            </w:pPr>
            <w:r w:rsidRPr="00580A46">
              <w:rPr>
                <w:rFonts w:ascii="Arial" w:hAnsi="Arial" w:cs="Arial"/>
              </w:rPr>
              <w:t>2.1351</w:t>
            </w:r>
          </w:p>
        </w:tc>
        <w:tc>
          <w:tcPr>
            <w:tcW w:w="873" w:type="pct"/>
          </w:tcPr>
          <w:p w14:paraId="4CF9EEB4" w14:textId="77777777" w:rsidR="004E0089" w:rsidRPr="00580A46" w:rsidRDefault="004E0089" w:rsidP="004101B1">
            <w:pPr>
              <w:tabs>
                <w:tab w:val="left" w:pos="2910"/>
              </w:tabs>
              <w:rPr>
                <w:rFonts w:ascii="Arial" w:hAnsi="Arial" w:cs="Arial"/>
              </w:rPr>
            </w:pPr>
            <w:r w:rsidRPr="00580A46">
              <w:rPr>
                <w:rFonts w:ascii="Arial" w:hAnsi="Arial" w:cs="Arial"/>
              </w:rPr>
              <w:t xml:space="preserve">72% </w:t>
            </w:r>
          </w:p>
        </w:tc>
      </w:tr>
      <w:tr w:rsidR="00580A46" w:rsidRPr="00580A46" w14:paraId="0B096A06" w14:textId="77777777" w:rsidTr="00577BF8">
        <w:tc>
          <w:tcPr>
            <w:tcW w:w="909" w:type="pct"/>
          </w:tcPr>
          <w:p w14:paraId="4FBBCD72" w14:textId="1F118914" w:rsidR="0094002A" w:rsidRPr="00580A46" w:rsidRDefault="0094002A" w:rsidP="0094002A">
            <w:pPr>
              <w:rPr>
                <w:rFonts w:ascii="Arial" w:hAnsi="Arial" w:cs="Arial"/>
                <w:i/>
                <w:iCs/>
              </w:rPr>
            </w:pPr>
            <w:r w:rsidRPr="00580A46">
              <w:rPr>
                <w:rFonts w:ascii="Arial" w:hAnsi="Arial" w:cs="Arial"/>
                <w:i/>
                <w:iCs/>
              </w:rPr>
              <w:t xml:space="preserve">Z. </w:t>
            </w:r>
            <w:proofErr w:type="spellStart"/>
            <w:r w:rsidRPr="00580A46">
              <w:rPr>
                <w:rFonts w:ascii="Arial" w:hAnsi="Arial" w:cs="Arial"/>
                <w:i/>
                <w:iCs/>
              </w:rPr>
              <w:t>asiaticum</w:t>
            </w:r>
            <w:proofErr w:type="spellEnd"/>
            <w:r w:rsidRPr="00580A46">
              <w:rPr>
                <w:rFonts w:ascii="Arial" w:hAnsi="Arial" w:cs="Arial"/>
                <w:i/>
                <w:iCs/>
              </w:rPr>
              <w:t xml:space="preserve"> + D.  regia </w:t>
            </w:r>
          </w:p>
          <w:p w14:paraId="25670FA6" w14:textId="21444B9D" w:rsidR="0094002A" w:rsidRPr="00580A46" w:rsidRDefault="0094002A" w:rsidP="004101B1">
            <w:pPr>
              <w:tabs>
                <w:tab w:val="left" w:pos="2910"/>
              </w:tabs>
              <w:rPr>
                <w:rFonts w:ascii="Arial" w:hAnsi="Arial" w:cs="Arial"/>
              </w:rPr>
            </w:pPr>
            <w:r w:rsidRPr="00580A46">
              <w:rPr>
                <w:rFonts w:ascii="Arial" w:hAnsi="Arial" w:cs="Arial"/>
              </w:rPr>
              <w:t>(combination)</w:t>
            </w:r>
          </w:p>
        </w:tc>
        <w:tc>
          <w:tcPr>
            <w:tcW w:w="637" w:type="pct"/>
          </w:tcPr>
          <w:p w14:paraId="7DD025A6" w14:textId="7C71784E" w:rsidR="0094002A" w:rsidRPr="00580A46" w:rsidRDefault="0094002A" w:rsidP="004101B1">
            <w:pPr>
              <w:tabs>
                <w:tab w:val="left" w:pos="2910"/>
              </w:tabs>
              <w:rPr>
                <w:rFonts w:ascii="Arial" w:hAnsi="Arial" w:cs="Arial"/>
              </w:rPr>
            </w:pPr>
            <w:r w:rsidRPr="00580A46">
              <w:rPr>
                <w:rFonts w:ascii="Arial" w:hAnsi="Arial" w:cs="Arial"/>
              </w:rPr>
              <w:t>250+250</w:t>
            </w:r>
          </w:p>
        </w:tc>
        <w:tc>
          <w:tcPr>
            <w:tcW w:w="735" w:type="pct"/>
          </w:tcPr>
          <w:p w14:paraId="3541430C" w14:textId="79C4E29B" w:rsidR="0094002A" w:rsidRPr="00580A46" w:rsidRDefault="0094002A" w:rsidP="004101B1">
            <w:pPr>
              <w:tabs>
                <w:tab w:val="left" w:pos="2910"/>
              </w:tabs>
              <w:rPr>
                <w:rFonts w:ascii="Arial" w:hAnsi="Arial" w:cs="Arial"/>
              </w:rPr>
            </w:pPr>
            <w:r w:rsidRPr="00580A46">
              <w:rPr>
                <w:rFonts w:ascii="Arial" w:hAnsi="Arial" w:cs="Arial"/>
              </w:rPr>
              <w:t>3.85</w:t>
            </w:r>
          </w:p>
        </w:tc>
        <w:tc>
          <w:tcPr>
            <w:tcW w:w="737" w:type="pct"/>
          </w:tcPr>
          <w:p w14:paraId="23B5F303" w14:textId="2CD070B7" w:rsidR="0094002A" w:rsidRPr="00580A46" w:rsidRDefault="0094002A" w:rsidP="004101B1">
            <w:pPr>
              <w:tabs>
                <w:tab w:val="left" w:pos="2910"/>
              </w:tabs>
              <w:rPr>
                <w:rFonts w:ascii="Arial" w:hAnsi="Arial" w:cs="Arial"/>
              </w:rPr>
            </w:pPr>
            <w:r w:rsidRPr="00580A46">
              <w:rPr>
                <w:rFonts w:ascii="Arial" w:hAnsi="Arial" w:cs="Arial"/>
              </w:rPr>
              <w:t>582</w:t>
            </w:r>
          </w:p>
        </w:tc>
        <w:tc>
          <w:tcPr>
            <w:tcW w:w="1109" w:type="pct"/>
          </w:tcPr>
          <w:p w14:paraId="163870CA" w14:textId="0B09942A" w:rsidR="0094002A" w:rsidRPr="00580A46" w:rsidRDefault="0094002A" w:rsidP="004101B1">
            <w:pPr>
              <w:tabs>
                <w:tab w:val="left" w:pos="2910"/>
              </w:tabs>
              <w:rPr>
                <w:rFonts w:ascii="Arial" w:hAnsi="Arial" w:cs="Arial"/>
              </w:rPr>
            </w:pPr>
            <w:r w:rsidRPr="00580A46">
              <w:rPr>
                <w:rFonts w:ascii="Arial" w:hAnsi="Arial" w:cs="Arial"/>
              </w:rPr>
              <w:t>0.6007</w:t>
            </w:r>
          </w:p>
        </w:tc>
        <w:tc>
          <w:tcPr>
            <w:tcW w:w="873" w:type="pct"/>
          </w:tcPr>
          <w:p w14:paraId="0E4BBFCA" w14:textId="27803816" w:rsidR="0094002A" w:rsidRPr="00580A46" w:rsidRDefault="0094002A" w:rsidP="004101B1">
            <w:pPr>
              <w:tabs>
                <w:tab w:val="left" w:pos="2910"/>
              </w:tabs>
              <w:rPr>
                <w:rFonts w:ascii="Arial" w:hAnsi="Arial" w:cs="Arial"/>
              </w:rPr>
            </w:pPr>
            <w:r w:rsidRPr="00580A46">
              <w:rPr>
                <w:rFonts w:ascii="Arial" w:hAnsi="Arial" w:cs="Arial"/>
              </w:rPr>
              <w:t>84%</w:t>
            </w:r>
          </w:p>
        </w:tc>
      </w:tr>
      <w:tr w:rsidR="00580A46" w:rsidRPr="00580A46" w14:paraId="2DE5DD74" w14:textId="77777777" w:rsidTr="00577BF8">
        <w:tc>
          <w:tcPr>
            <w:tcW w:w="909" w:type="pct"/>
          </w:tcPr>
          <w:p w14:paraId="6B85EEF0" w14:textId="77777777" w:rsidR="004E0089" w:rsidRPr="00580A46" w:rsidRDefault="004E0089" w:rsidP="004101B1">
            <w:pPr>
              <w:tabs>
                <w:tab w:val="left" w:pos="2910"/>
              </w:tabs>
              <w:rPr>
                <w:rFonts w:ascii="Arial" w:hAnsi="Arial" w:cs="Arial"/>
              </w:rPr>
            </w:pPr>
            <w:r w:rsidRPr="00580A46">
              <w:rPr>
                <w:rFonts w:ascii="Arial" w:hAnsi="Arial" w:cs="Arial"/>
              </w:rPr>
              <w:t>NC (Water)</w:t>
            </w:r>
          </w:p>
        </w:tc>
        <w:tc>
          <w:tcPr>
            <w:tcW w:w="637" w:type="pct"/>
          </w:tcPr>
          <w:p w14:paraId="0C2C4ADA" w14:textId="77777777" w:rsidR="004E0089" w:rsidRPr="00580A46" w:rsidRDefault="004E0089" w:rsidP="004101B1">
            <w:pPr>
              <w:tabs>
                <w:tab w:val="left" w:pos="2910"/>
              </w:tabs>
              <w:rPr>
                <w:rFonts w:ascii="Arial" w:hAnsi="Arial" w:cs="Arial"/>
              </w:rPr>
            </w:pPr>
            <w:r w:rsidRPr="00580A46">
              <w:rPr>
                <w:rFonts w:ascii="Arial" w:hAnsi="Arial" w:cs="Arial"/>
              </w:rPr>
              <w:t xml:space="preserve">1 ml </w:t>
            </w:r>
          </w:p>
        </w:tc>
        <w:tc>
          <w:tcPr>
            <w:tcW w:w="735" w:type="pct"/>
          </w:tcPr>
          <w:p w14:paraId="1A4042C6" w14:textId="77777777" w:rsidR="004E0089" w:rsidRPr="00580A46" w:rsidRDefault="004E0089" w:rsidP="004101B1">
            <w:pPr>
              <w:tabs>
                <w:tab w:val="left" w:pos="2910"/>
              </w:tabs>
              <w:rPr>
                <w:rFonts w:ascii="Arial" w:hAnsi="Arial" w:cs="Arial"/>
              </w:rPr>
            </w:pPr>
            <w:r w:rsidRPr="00580A46">
              <w:rPr>
                <w:rFonts w:ascii="Arial" w:hAnsi="Arial" w:cs="Arial"/>
              </w:rPr>
              <w:t>32.83</w:t>
            </w:r>
          </w:p>
        </w:tc>
        <w:tc>
          <w:tcPr>
            <w:tcW w:w="737" w:type="pct"/>
          </w:tcPr>
          <w:p w14:paraId="2E4E5489" w14:textId="77777777" w:rsidR="004E0089" w:rsidRPr="00580A46" w:rsidRDefault="004E0089" w:rsidP="004101B1">
            <w:pPr>
              <w:tabs>
                <w:tab w:val="left" w:pos="2910"/>
              </w:tabs>
              <w:rPr>
                <w:rFonts w:ascii="Arial" w:hAnsi="Arial" w:cs="Arial"/>
              </w:rPr>
            </w:pPr>
            <w:r w:rsidRPr="00580A46">
              <w:rPr>
                <w:rFonts w:ascii="Arial" w:hAnsi="Arial" w:cs="Arial"/>
              </w:rPr>
              <w:t>456.08</w:t>
            </w:r>
          </w:p>
        </w:tc>
        <w:tc>
          <w:tcPr>
            <w:tcW w:w="1109" w:type="pct"/>
          </w:tcPr>
          <w:p w14:paraId="0E0DE4DD" w14:textId="77777777" w:rsidR="004E0089" w:rsidRPr="00580A46" w:rsidRDefault="004E0089" w:rsidP="004101B1">
            <w:pPr>
              <w:tabs>
                <w:tab w:val="left" w:pos="2910"/>
              </w:tabs>
              <w:rPr>
                <w:rFonts w:ascii="Arial" w:hAnsi="Arial" w:cs="Arial"/>
              </w:rPr>
            </w:pPr>
            <w:r w:rsidRPr="00580A46">
              <w:rPr>
                <w:rFonts w:ascii="Arial" w:hAnsi="Arial" w:cs="Arial"/>
              </w:rPr>
              <w:t>7.5409</w:t>
            </w:r>
          </w:p>
        </w:tc>
        <w:tc>
          <w:tcPr>
            <w:tcW w:w="873" w:type="pct"/>
          </w:tcPr>
          <w:p w14:paraId="4611A4A3" w14:textId="77777777" w:rsidR="004E0089" w:rsidRPr="00580A46" w:rsidRDefault="004E0089" w:rsidP="004101B1">
            <w:pPr>
              <w:tabs>
                <w:tab w:val="left" w:pos="2910"/>
              </w:tabs>
              <w:rPr>
                <w:rFonts w:ascii="Arial" w:hAnsi="Arial" w:cs="Arial"/>
              </w:rPr>
            </w:pPr>
            <w:r w:rsidRPr="00580A46">
              <w:rPr>
                <w:rFonts w:ascii="Arial" w:hAnsi="Arial" w:cs="Arial"/>
              </w:rPr>
              <w:t>N/A</w:t>
            </w:r>
          </w:p>
        </w:tc>
      </w:tr>
      <w:tr w:rsidR="00580A46" w:rsidRPr="00580A46" w14:paraId="21A07EFD" w14:textId="77777777" w:rsidTr="00577BF8">
        <w:tc>
          <w:tcPr>
            <w:tcW w:w="909" w:type="pct"/>
          </w:tcPr>
          <w:p w14:paraId="666D759E" w14:textId="77777777" w:rsidR="004E0089" w:rsidRPr="00580A46" w:rsidRDefault="004E0089" w:rsidP="004101B1">
            <w:pPr>
              <w:tabs>
                <w:tab w:val="left" w:pos="2910"/>
              </w:tabs>
              <w:rPr>
                <w:rFonts w:ascii="Arial" w:hAnsi="Arial" w:cs="Arial"/>
              </w:rPr>
            </w:pPr>
            <w:r w:rsidRPr="00580A46">
              <w:rPr>
                <w:rFonts w:ascii="Arial" w:hAnsi="Arial" w:cs="Arial"/>
              </w:rPr>
              <w:t xml:space="preserve">CQ </w:t>
            </w:r>
          </w:p>
        </w:tc>
        <w:tc>
          <w:tcPr>
            <w:tcW w:w="637" w:type="pct"/>
          </w:tcPr>
          <w:p w14:paraId="10461D5F" w14:textId="77777777" w:rsidR="004E0089" w:rsidRPr="00580A46" w:rsidRDefault="004E0089" w:rsidP="004101B1">
            <w:pPr>
              <w:tabs>
                <w:tab w:val="left" w:pos="2910"/>
              </w:tabs>
              <w:rPr>
                <w:rFonts w:ascii="Arial" w:hAnsi="Arial" w:cs="Arial"/>
              </w:rPr>
            </w:pPr>
            <w:r w:rsidRPr="00580A46">
              <w:rPr>
                <w:rFonts w:ascii="Arial" w:hAnsi="Arial" w:cs="Arial"/>
              </w:rPr>
              <w:t>10MG</w:t>
            </w:r>
          </w:p>
        </w:tc>
        <w:tc>
          <w:tcPr>
            <w:tcW w:w="735" w:type="pct"/>
          </w:tcPr>
          <w:p w14:paraId="6CE1795C" w14:textId="77777777" w:rsidR="004E0089" w:rsidRPr="00580A46" w:rsidRDefault="004E0089" w:rsidP="004101B1">
            <w:pPr>
              <w:tabs>
                <w:tab w:val="left" w:pos="2910"/>
              </w:tabs>
              <w:rPr>
                <w:rFonts w:ascii="Arial" w:hAnsi="Arial" w:cs="Arial"/>
              </w:rPr>
            </w:pPr>
            <w:r w:rsidRPr="00580A46">
              <w:rPr>
                <w:rFonts w:ascii="Arial" w:hAnsi="Arial" w:cs="Arial"/>
              </w:rPr>
              <w:t>0.39</w:t>
            </w:r>
          </w:p>
        </w:tc>
        <w:tc>
          <w:tcPr>
            <w:tcW w:w="737" w:type="pct"/>
          </w:tcPr>
          <w:p w14:paraId="20F9B2F0" w14:textId="77777777" w:rsidR="004E0089" w:rsidRPr="00580A46" w:rsidRDefault="004E0089" w:rsidP="004101B1">
            <w:pPr>
              <w:tabs>
                <w:tab w:val="left" w:pos="2910"/>
              </w:tabs>
              <w:rPr>
                <w:rFonts w:ascii="Arial" w:hAnsi="Arial" w:cs="Arial"/>
              </w:rPr>
            </w:pPr>
            <w:r w:rsidRPr="00580A46">
              <w:rPr>
                <w:rFonts w:ascii="Arial" w:hAnsi="Arial" w:cs="Arial"/>
              </w:rPr>
              <w:t>465.78</w:t>
            </w:r>
          </w:p>
        </w:tc>
        <w:tc>
          <w:tcPr>
            <w:tcW w:w="1109" w:type="pct"/>
          </w:tcPr>
          <w:p w14:paraId="2652660C" w14:textId="77777777" w:rsidR="004E0089" w:rsidRPr="00580A46" w:rsidRDefault="004E0089" w:rsidP="004101B1">
            <w:pPr>
              <w:tabs>
                <w:tab w:val="left" w:pos="2910"/>
              </w:tabs>
              <w:rPr>
                <w:rFonts w:ascii="Arial" w:hAnsi="Arial" w:cs="Arial"/>
              </w:rPr>
            </w:pPr>
            <w:r w:rsidRPr="00580A46">
              <w:rPr>
                <w:rFonts w:ascii="Arial" w:hAnsi="Arial" w:cs="Arial"/>
              </w:rPr>
              <w:t>0.0861</w:t>
            </w:r>
          </w:p>
        </w:tc>
        <w:tc>
          <w:tcPr>
            <w:tcW w:w="873" w:type="pct"/>
          </w:tcPr>
          <w:p w14:paraId="4221B16D" w14:textId="77777777" w:rsidR="004E0089" w:rsidRPr="00580A46" w:rsidRDefault="004E0089" w:rsidP="004101B1">
            <w:pPr>
              <w:tabs>
                <w:tab w:val="left" w:pos="2910"/>
              </w:tabs>
              <w:rPr>
                <w:rFonts w:ascii="Arial" w:hAnsi="Arial" w:cs="Arial"/>
              </w:rPr>
            </w:pPr>
            <w:r w:rsidRPr="00580A46">
              <w:rPr>
                <w:rFonts w:ascii="Arial" w:hAnsi="Arial" w:cs="Arial"/>
              </w:rPr>
              <w:t xml:space="preserve">99% </w:t>
            </w:r>
          </w:p>
        </w:tc>
      </w:tr>
    </w:tbl>
    <w:p w14:paraId="253461F7" w14:textId="77777777" w:rsidR="004E0089" w:rsidRPr="00580A46" w:rsidRDefault="004E0089" w:rsidP="004E0089">
      <w:pPr>
        <w:rPr>
          <w:szCs w:val="24"/>
        </w:rPr>
      </w:pPr>
    </w:p>
    <w:p w14:paraId="36B1CA8D" w14:textId="7807B6E7" w:rsidR="004E0089" w:rsidRDefault="004E0089" w:rsidP="004E0089">
      <w:pPr>
        <w:rPr>
          <w:rFonts w:ascii="Arial" w:hAnsi="Arial" w:cs="Arial"/>
        </w:rPr>
      </w:pPr>
    </w:p>
    <w:p w14:paraId="5B00B8AD" w14:textId="45B99FE3" w:rsidR="004101B1" w:rsidRDefault="004101B1" w:rsidP="004E0089">
      <w:pPr>
        <w:rPr>
          <w:rFonts w:ascii="Arial" w:hAnsi="Arial" w:cs="Arial"/>
        </w:rPr>
      </w:pPr>
    </w:p>
    <w:p w14:paraId="7D379589" w14:textId="5870B350" w:rsidR="004101B1" w:rsidRDefault="004101B1" w:rsidP="004E0089">
      <w:pPr>
        <w:rPr>
          <w:rFonts w:ascii="Arial" w:hAnsi="Arial" w:cs="Arial"/>
        </w:rPr>
      </w:pPr>
    </w:p>
    <w:p w14:paraId="769BD85B" w14:textId="03A76682" w:rsidR="004101B1" w:rsidRPr="00EB3BB2" w:rsidRDefault="00EB3BB2" w:rsidP="004E0089">
      <w:pPr>
        <w:rPr>
          <w:rFonts w:ascii="Arial" w:hAnsi="Arial"/>
          <w:b/>
          <w:bCs/>
          <w:i/>
        </w:rPr>
      </w:pPr>
      <w:r>
        <w:rPr>
          <w:rFonts w:ascii="Arial" w:hAnsi="Arial"/>
          <w:b/>
          <w:bCs/>
          <w:i/>
        </w:rPr>
        <w:t xml:space="preserve">3.1.2 </w:t>
      </w:r>
      <w:r w:rsidR="004101B1" w:rsidRPr="00EB3BB2">
        <w:rPr>
          <w:rFonts w:ascii="Arial" w:hAnsi="Arial"/>
          <w:b/>
          <w:bCs/>
          <w:i/>
        </w:rPr>
        <w:t xml:space="preserve">Curative test </w:t>
      </w:r>
      <w:r w:rsidRPr="00EB3BB2">
        <w:rPr>
          <w:rFonts w:ascii="Arial" w:hAnsi="Arial"/>
          <w:b/>
          <w:bCs/>
          <w:i/>
        </w:rPr>
        <w:t>(Rane's test)</w:t>
      </w:r>
    </w:p>
    <w:p w14:paraId="439B5F2E" w14:textId="77777777" w:rsidR="00EB3BB2" w:rsidRDefault="00EB3BB2" w:rsidP="004101B1">
      <w:pPr>
        <w:pStyle w:val="Body"/>
      </w:pPr>
    </w:p>
    <w:p w14:paraId="0892445D" w14:textId="06AEE59D" w:rsidR="004101B1" w:rsidRDefault="00EB3BB2" w:rsidP="004101B1">
      <w:pPr>
        <w:pStyle w:val="Body"/>
      </w:pPr>
      <w:r>
        <w:t xml:space="preserve">In curative tests, Table 2 shows that </w:t>
      </w:r>
      <w:proofErr w:type="spellStart"/>
      <w:r w:rsidRPr="00EB3BB2">
        <w:rPr>
          <w:i/>
          <w:iCs/>
        </w:rPr>
        <w:t>Zanthoxylum</w:t>
      </w:r>
      <w:proofErr w:type="spellEnd"/>
      <w:r>
        <w:t xml:space="preserve"> </w:t>
      </w:r>
      <w:r w:rsidR="00571385">
        <w:t xml:space="preserve">is most effective at </w:t>
      </w:r>
      <w:r>
        <w:t xml:space="preserve">500 mg/kg, achieving an impressive 95% suppression. </w:t>
      </w:r>
      <w:proofErr w:type="spellStart"/>
      <w:r w:rsidRPr="00536F7A">
        <w:rPr>
          <w:i/>
          <w:iCs/>
        </w:rPr>
        <w:t>Delonix</w:t>
      </w:r>
      <w:proofErr w:type="spellEnd"/>
      <w:r>
        <w:t xml:space="preserve"> also demonstrates significant effects, with 88% suppression at the same dose, although lower doses are less effective. The combination of </w:t>
      </w:r>
      <w:r w:rsidRPr="00536F7A">
        <w:rPr>
          <w:i/>
          <w:iCs/>
        </w:rPr>
        <w:t xml:space="preserve">Z. </w:t>
      </w:r>
      <w:proofErr w:type="spellStart"/>
      <w:r w:rsidRPr="00536F7A">
        <w:rPr>
          <w:i/>
          <w:iCs/>
        </w:rPr>
        <w:t>asiaticum</w:t>
      </w:r>
      <w:proofErr w:type="spellEnd"/>
      <w:r>
        <w:t xml:space="preserve"> and </w:t>
      </w:r>
      <w:r w:rsidRPr="00536F7A">
        <w:rPr>
          <w:i/>
          <w:iCs/>
        </w:rPr>
        <w:t>D. regia</w:t>
      </w:r>
      <w:r>
        <w:t xml:space="preserve"> (250+250 mg/kg) </w:t>
      </w:r>
      <w:proofErr w:type="gramStart"/>
      <w:r w:rsidR="00571385">
        <w:t>produced  85</w:t>
      </w:r>
      <w:proofErr w:type="gramEnd"/>
      <w:r w:rsidR="00571385">
        <w:t>% suppression rate, suggesting</w:t>
      </w:r>
      <w:r>
        <w:t xml:space="preserve"> </w:t>
      </w:r>
      <w:r w:rsidR="00571385">
        <w:t xml:space="preserve">a </w:t>
      </w:r>
      <w:r>
        <w:t>potential synerg</w:t>
      </w:r>
      <w:r w:rsidR="00571385">
        <w:t>istic effect</w:t>
      </w:r>
      <w:r>
        <w:t>. Chloroquine, the positive control, exhibits remarkable effectiveness, with 98% suppression.</w:t>
      </w:r>
    </w:p>
    <w:p w14:paraId="74DFE4CE" w14:textId="4C59A4E0" w:rsidR="004101B1" w:rsidRDefault="004101B1" w:rsidP="004101B1">
      <w:pPr>
        <w:pStyle w:val="Body"/>
      </w:pPr>
    </w:p>
    <w:p w14:paraId="631D15DB" w14:textId="3F032AC7" w:rsidR="004101B1" w:rsidRDefault="004101B1" w:rsidP="004101B1">
      <w:pPr>
        <w:pStyle w:val="Caption"/>
      </w:pPr>
      <w:r>
        <w:t xml:space="preserve">Table </w:t>
      </w:r>
      <w:r w:rsidR="00A16163">
        <w:fldChar w:fldCharType="begin"/>
      </w:r>
      <w:r w:rsidR="00A16163">
        <w:instrText xml:space="preserve"> SEQ Table \* ARABIC </w:instrText>
      </w:r>
      <w:r w:rsidR="00A16163">
        <w:fldChar w:fldCharType="separate"/>
      </w:r>
      <w:r>
        <w:rPr>
          <w:noProof/>
        </w:rPr>
        <w:t>2</w:t>
      </w:r>
      <w:r w:rsidR="00A16163">
        <w:rPr>
          <w:noProof/>
        </w:rPr>
        <w:fldChar w:fldCharType="end"/>
      </w:r>
      <w:r w:rsidR="00D330CF">
        <w:t>: Results</w:t>
      </w:r>
      <w:r>
        <w:t xml:space="preserve"> </w:t>
      </w:r>
      <w:proofErr w:type="gramStart"/>
      <w:r>
        <w:t xml:space="preserve">of </w:t>
      </w:r>
      <w:r w:rsidRPr="004101B1">
        <w:t xml:space="preserve"> curative</w:t>
      </w:r>
      <w:proofErr w:type="gramEnd"/>
      <w:r w:rsidRPr="004101B1">
        <w:t xml:space="preserve"> tests</w:t>
      </w:r>
      <w:r>
        <w:t xml:space="preserve"> of the plant </w:t>
      </w:r>
      <w:r w:rsidR="00D330CF">
        <w:t>extracts</w:t>
      </w:r>
      <w:r>
        <w:t xml:space="preserve"> in Plasmodium </w:t>
      </w:r>
      <w:proofErr w:type="spellStart"/>
      <w:r w:rsidR="00D330CF">
        <w:t>berghei</w:t>
      </w:r>
      <w:proofErr w:type="spellEnd"/>
      <w:r w:rsidR="00D330CF">
        <w:t xml:space="preserve">-infected </w:t>
      </w:r>
      <w:r>
        <w:t xml:space="preserve">mice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44"/>
        <w:gridCol w:w="1594"/>
        <w:gridCol w:w="776"/>
        <w:gridCol w:w="843"/>
        <w:gridCol w:w="1847"/>
        <w:gridCol w:w="1496"/>
      </w:tblGrid>
      <w:tr w:rsidR="004101B1" w:rsidRPr="00527514" w14:paraId="37857C32" w14:textId="77777777" w:rsidTr="004101B1">
        <w:trPr>
          <w:tblHeader/>
          <w:tblCellSpacing w:w="15" w:type="dxa"/>
        </w:trPr>
        <w:tc>
          <w:tcPr>
            <w:tcW w:w="1944" w:type="pct"/>
            <w:tcBorders>
              <w:top w:val="single" w:sz="4" w:space="0" w:color="auto"/>
              <w:bottom w:val="single" w:sz="4" w:space="0" w:color="auto"/>
            </w:tcBorders>
            <w:vAlign w:val="center"/>
            <w:hideMark/>
          </w:tcPr>
          <w:p w14:paraId="21DEF412" w14:textId="77777777" w:rsidR="004101B1" w:rsidRPr="00527514" w:rsidRDefault="004101B1" w:rsidP="004101B1">
            <w:pPr>
              <w:tabs>
                <w:tab w:val="left" w:pos="2910"/>
              </w:tabs>
              <w:rPr>
                <w:rFonts w:ascii="Arial" w:hAnsi="Arial" w:cs="Arial"/>
              </w:rPr>
            </w:pPr>
            <w:r w:rsidRPr="00527514">
              <w:rPr>
                <w:rFonts w:ascii="Arial" w:hAnsi="Arial" w:cs="Arial"/>
              </w:rPr>
              <w:t>Extract</w:t>
            </w:r>
          </w:p>
        </w:tc>
        <w:tc>
          <w:tcPr>
            <w:tcW w:w="724" w:type="pct"/>
            <w:tcBorders>
              <w:top w:val="single" w:sz="4" w:space="0" w:color="auto"/>
              <w:bottom w:val="single" w:sz="4" w:space="0" w:color="auto"/>
            </w:tcBorders>
            <w:vAlign w:val="center"/>
            <w:hideMark/>
          </w:tcPr>
          <w:p w14:paraId="01460812" w14:textId="77777777" w:rsidR="004101B1" w:rsidRPr="00527514" w:rsidRDefault="004101B1" w:rsidP="004101B1">
            <w:pPr>
              <w:tabs>
                <w:tab w:val="left" w:pos="2910"/>
              </w:tabs>
              <w:rPr>
                <w:rFonts w:ascii="Arial" w:hAnsi="Arial" w:cs="Arial"/>
              </w:rPr>
            </w:pPr>
            <w:r w:rsidRPr="00527514">
              <w:rPr>
                <w:rFonts w:ascii="Arial" w:hAnsi="Arial" w:cs="Arial"/>
              </w:rPr>
              <w:t>Dose (mg/kg)</w:t>
            </w:r>
          </w:p>
        </w:tc>
        <w:tc>
          <w:tcPr>
            <w:tcW w:w="345" w:type="pct"/>
            <w:tcBorders>
              <w:top w:val="single" w:sz="4" w:space="0" w:color="auto"/>
              <w:bottom w:val="single" w:sz="4" w:space="0" w:color="auto"/>
            </w:tcBorders>
            <w:vAlign w:val="center"/>
            <w:hideMark/>
          </w:tcPr>
          <w:p w14:paraId="76B0507C" w14:textId="77777777" w:rsidR="004101B1" w:rsidRPr="00527514" w:rsidRDefault="004101B1" w:rsidP="004101B1">
            <w:pPr>
              <w:tabs>
                <w:tab w:val="left" w:pos="2910"/>
              </w:tabs>
              <w:rPr>
                <w:rFonts w:ascii="Arial" w:hAnsi="Arial" w:cs="Arial"/>
              </w:rPr>
            </w:pPr>
            <w:r w:rsidRPr="00527514">
              <w:rPr>
                <w:rFonts w:ascii="Arial" w:hAnsi="Arial" w:cs="Arial"/>
              </w:rPr>
              <w:t>PRBC</w:t>
            </w:r>
          </w:p>
        </w:tc>
        <w:tc>
          <w:tcPr>
            <w:tcW w:w="377" w:type="pct"/>
            <w:tcBorders>
              <w:top w:val="single" w:sz="4" w:space="0" w:color="auto"/>
              <w:bottom w:val="single" w:sz="4" w:space="0" w:color="auto"/>
            </w:tcBorders>
            <w:vAlign w:val="center"/>
            <w:hideMark/>
          </w:tcPr>
          <w:p w14:paraId="650C9CDB" w14:textId="77777777" w:rsidR="004101B1" w:rsidRPr="00527514" w:rsidRDefault="004101B1" w:rsidP="004101B1">
            <w:pPr>
              <w:tabs>
                <w:tab w:val="left" w:pos="2910"/>
              </w:tabs>
              <w:rPr>
                <w:rFonts w:ascii="Arial" w:hAnsi="Arial" w:cs="Arial"/>
              </w:rPr>
            </w:pPr>
            <w:r w:rsidRPr="00527514">
              <w:rPr>
                <w:rFonts w:ascii="Arial" w:hAnsi="Arial" w:cs="Arial"/>
              </w:rPr>
              <w:t>RBC</w:t>
            </w:r>
          </w:p>
        </w:tc>
        <w:tc>
          <w:tcPr>
            <w:tcW w:w="842" w:type="pct"/>
            <w:tcBorders>
              <w:top w:val="single" w:sz="4" w:space="0" w:color="auto"/>
              <w:bottom w:val="single" w:sz="4" w:space="0" w:color="auto"/>
            </w:tcBorders>
            <w:vAlign w:val="center"/>
            <w:hideMark/>
          </w:tcPr>
          <w:p w14:paraId="2FEA7406" w14:textId="77777777" w:rsidR="004101B1" w:rsidRPr="00527514" w:rsidRDefault="004101B1" w:rsidP="004101B1">
            <w:pPr>
              <w:tabs>
                <w:tab w:val="left" w:pos="2910"/>
              </w:tabs>
              <w:rPr>
                <w:rFonts w:ascii="Arial" w:hAnsi="Arial" w:cs="Arial"/>
              </w:rPr>
            </w:pPr>
            <w:r w:rsidRPr="00527514">
              <w:rPr>
                <w:rFonts w:ascii="Arial" w:hAnsi="Arial" w:cs="Arial"/>
              </w:rPr>
              <w:t xml:space="preserve">% </w:t>
            </w:r>
            <w:proofErr w:type="spellStart"/>
            <w:r w:rsidRPr="00527514">
              <w:rPr>
                <w:rFonts w:ascii="Arial" w:hAnsi="Arial" w:cs="Arial"/>
              </w:rPr>
              <w:t>Parasitaemia</w:t>
            </w:r>
            <w:proofErr w:type="spellEnd"/>
          </w:p>
        </w:tc>
        <w:tc>
          <w:tcPr>
            <w:tcW w:w="672" w:type="pct"/>
            <w:tcBorders>
              <w:top w:val="single" w:sz="4" w:space="0" w:color="auto"/>
              <w:bottom w:val="single" w:sz="4" w:space="0" w:color="auto"/>
            </w:tcBorders>
            <w:vAlign w:val="center"/>
            <w:hideMark/>
          </w:tcPr>
          <w:p w14:paraId="5071C453" w14:textId="77777777" w:rsidR="004101B1" w:rsidRPr="00527514" w:rsidRDefault="004101B1" w:rsidP="004101B1">
            <w:pPr>
              <w:tabs>
                <w:tab w:val="left" w:pos="2910"/>
              </w:tabs>
              <w:rPr>
                <w:rFonts w:ascii="Arial" w:hAnsi="Arial" w:cs="Arial"/>
              </w:rPr>
            </w:pPr>
            <w:r w:rsidRPr="00527514">
              <w:rPr>
                <w:rFonts w:ascii="Arial" w:hAnsi="Arial" w:cs="Arial"/>
              </w:rPr>
              <w:t>Suppression</w:t>
            </w:r>
          </w:p>
        </w:tc>
      </w:tr>
      <w:tr w:rsidR="004101B1" w:rsidRPr="00527514" w14:paraId="3D4CAF16" w14:textId="77777777" w:rsidTr="004101B1">
        <w:trPr>
          <w:tblCellSpacing w:w="15" w:type="dxa"/>
        </w:trPr>
        <w:tc>
          <w:tcPr>
            <w:tcW w:w="1944" w:type="pct"/>
            <w:vAlign w:val="center"/>
            <w:hideMark/>
          </w:tcPr>
          <w:p w14:paraId="16FA4E0D" w14:textId="77777777" w:rsidR="004101B1" w:rsidRPr="00527514" w:rsidRDefault="004101B1" w:rsidP="004101B1">
            <w:pPr>
              <w:tabs>
                <w:tab w:val="left" w:pos="2910"/>
              </w:tabs>
              <w:rPr>
                <w:rFonts w:ascii="Arial" w:hAnsi="Arial" w:cs="Arial"/>
              </w:rPr>
            </w:pPr>
            <w:proofErr w:type="spellStart"/>
            <w:r w:rsidRPr="00527514">
              <w:rPr>
                <w:rFonts w:ascii="Arial" w:hAnsi="Arial" w:cs="Arial"/>
              </w:rPr>
              <w:t>Zanthoxylum</w:t>
            </w:r>
            <w:proofErr w:type="spellEnd"/>
          </w:p>
        </w:tc>
        <w:tc>
          <w:tcPr>
            <w:tcW w:w="724" w:type="pct"/>
            <w:vAlign w:val="center"/>
            <w:hideMark/>
          </w:tcPr>
          <w:p w14:paraId="1B9111EE" w14:textId="77777777" w:rsidR="004101B1" w:rsidRPr="00527514" w:rsidRDefault="004101B1" w:rsidP="004101B1">
            <w:pPr>
              <w:tabs>
                <w:tab w:val="left" w:pos="2910"/>
              </w:tabs>
              <w:rPr>
                <w:rFonts w:ascii="Arial" w:hAnsi="Arial" w:cs="Arial"/>
              </w:rPr>
            </w:pPr>
            <w:r w:rsidRPr="00527514">
              <w:rPr>
                <w:rFonts w:ascii="Arial" w:hAnsi="Arial" w:cs="Arial"/>
              </w:rPr>
              <w:t>500</w:t>
            </w:r>
          </w:p>
        </w:tc>
        <w:tc>
          <w:tcPr>
            <w:tcW w:w="345" w:type="pct"/>
            <w:vAlign w:val="center"/>
            <w:hideMark/>
          </w:tcPr>
          <w:p w14:paraId="27699CB2" w14:textId="77777777" w:rsidR="004101B1" w:rsidRPr="00527514" w:rsidRDefault="004101B1" w:rsidP="004101B1">
            <w:pPr>
              <w:tabs>
                <w:tab w:val="left" w:pos="2910"/>
              </w:tabs>
              <w:rPr>
                <w:rFonts w:ascii="Arial" w:hAnsi="Arial" w:cs="Arial"/>
              </w:rPr>
            </w:pPr>
            <w:r w:rsidRPr="00527514">
              <w:rPr>
                <w:rFonts w:ascii="Arial" w:hAnsi="Arial" w:cs="Arial"/>
              </w:rPr>
              <w:t>2.10</w:t>
            </w:r>
          </w:p>
        </w:tc>
        <w:tc>
          <w:tcPr>
            <w:tcW w:w="377" w:type="pct"/>
            <w:vAlign w:val="center"/>
            <w:hideMark/>
          </w:tcPr>
          <w:p w14:paraId="19AD2C36" w14:textId="77777777" w:rsidR="004101B1" w:rsidRPr="00527514" w:rsidRDefault="004101B1" w:rsidP="004101B1">
            <w:pPr>
              <w:tabs>
                <w:tab w:val="left" w:pos="2910"/>
              </w:tabs>
              <w:rPr>
                <w:rFonts w:ascii="Arial" w:hAnsi="Arial" w:cs="Arial"/>
              </w:rPr>
            </w:pPr>
            <w:r w:rsidRPr="00527514">
              <w:rPr>
                <w:rFonts w:ascii="Arial" w:hAnsi="Arial" w:cs="Arial"/>
              </w:rPr>
              <w:t>780.00</w:t>
            </w:r>
          </w:p>
        </w:tc>
        <w:tc>
          <w:tcPr>
            <w:tcW w:w="842" w:type="pct"/>
            <w:vAlign w:val="center"/>
            <w:hideMark/>
          </w:tcPr>
          <w:p w14:paraId="2385DB67" w14:textId="77777777" w:rsidR="004101B1" w:rsidRPr="00527514" w:rsidRDefault="004101B1" w:rsidP="004101B1">
            <w:pPr>
              <w:tabs>
                <w:tab w:val="left" w:pos="2910"/>
              </w:tabs>
              <w:rPr>
                <w:rFonts w:ascii="Arial" w:hAnsi="Arial" w:cs="Arial"/>
              </w:rPr>
            </w:pPr>
            <w:r w:rsidRPr="00527514">
              <w:rPr>
                <w:rFonts w:ascii="Arial" w:hAnsi="Arial" w:cs="Arial"/>
              </w:rPr>
              <w:t>0.1500</w:t>
            </w:r>
          </w:p>
        </w:tc>
        <w:tc>
          <w:tcPr>
            <w:tcW w:w="672" w:type="pct"/>
            <w:vAlign w:val="center"/>
            <w:hideMark/>
          </w:tcPr>
          <w:p w14:paraId="613EB257" w14:textId="77777777" w:rsidR="004101B1" w:rsidRPr="00527514" w:rsidRDefault="004101B1" w:rsidP="004101B1">
            <w:pPr>
              <w:tabs>
                <w:tab w:val="left" w:pos="2910"/>
              </w:tabs>
              <w:rPr>
                <w:rFonts w:ascii="Arial" w:hAnsi="Arial" w:cs="Arial"/>
              </w:rPr>
            </w:pPr>
            <w:r w:rsidRPr="00527514">
              <w:rPr>
                <w:rFonts w:ascii="Arial" w:hAnsi="Arial" w:cs="Arial"/>
              </w:rPr>
              <w:t>95%</w:t>
            </w:r>
          </w:p>
        </w:tc>
      </w:tr>
      <w:tr w:rsidR="004101B1" w:rsidRPr="00527514" w14:paraId="225C403C" w14:textId="77777777" w:rsidTr="004101B1">
        <w:trPr>
          <w:tblCellSpacing w:w="15" w:type="dxa"/>
        </w:trPr>
        <w:tc>
          <w:tcPr>
            <w:tcW w:w="1944" w:type="pct"/>
            <w:vAlign w:val="center"/>
            <w:hideMark/>
          </w:tcPr>
          <w:p w14:paraId="41E5C605" w14:textId="77777777" w:rsidR="004101B1" w:rsidRPr="00527514" w:rsidRDefault="004101B1" w:rsidP="004101B1">
            <w:pPr>
              <w:tabs>
                <w:tab w:val="left" w:pos="2910"/>
              </w:tabs>
              <w:rPr>
                <w:rFonts w:ascii="Arial" w:hAnsi="Arial" w:cs="Arial"/>
              </w:rPr>
            </w:pPr>
          </w:p>
        </w:tc>
        <w:tc>
          <w:tcPr>
            <w:tcW w:w="724" w:type="pct"/>
            <w:vAlign w:val="center"/>
            <w:hideMark/>
          </w:tcPr>
          <w:p w14:paraId="26EA7E4B" w14:textId="77777777" w:rsidR="004101B1" w:rsidRPr="00527514" w:rsidRDefault="004101B1" w:rsidP="004101B1">
            <w:pPr>
              <w:tabs>
                <w:tab w:val="left" w:pos="2910"/>
              </w:tabs>
              <w:rPr>
                <w:rFonts w:ascii="Arial" w:hAnsi="Arial" w:cs="Arial"/>
              </w:rPr>
            </w:pPr>
            <w:r w:rsidRPr="00527514">
              <w:rPr>
                <w:rFonts w:ascii="Arial" w:hAnsi="Arial" w:cs="Arial"/>
              </w:rPr>
              <w:t>250</w:t>
            </w:r>
          </w:p>
        </w:tc>
        <w:tc>
          <w:tcPr>
            <w:tcW w:w="345" w:type="pct"/>
            <w:vAlign w:val="center"/>
            <w:hideMark/>
          </w:tcPr>
          <w:p w14:paraId="0CFBB9DF" w14:textId="77777777" w:rsidR="004101B1" w:rsidRPr="00527514" w:rsidRDefault="004101B1" w:rsidP="004101B1">
            <w:pPr>
              <w:tabs>
                <w:tab w:val="left" w:pos="2910"/>
              </w:tabs>
              <w:rPr>
                <w:rFonts w:ascii="Arial" w:hAnsi="Arial" w:cs="Arial"/>
              </w:rPr>
            </w:pPr>
            <w:r w:rsidRPr="00527514">
              <w:rPr>
                <w:rFonts w:ascii="Arial" w:hAnsi="Arial" w:cs="Arial"/>
              </w:rPr>
              <w:t>5.20</w:t>
            </w:r>
          </w:p>
        </w:tc>
        <w:tc>
          <w:tcPr>
            <w:tcW w:w="377" w:type="pct"/>
            <w:vAlign w:val="center"/>
            <w:hideMark/>
          </w:tcPr>
          <w:p w14:paraId="30166373" w14:textId="77777777" w:rsidR="004101B1" w:rsidRPr="00527514" w:rsidRDefault="004101B1" w:rsidP="004101B1">
            <w:pPr>
              <w:tabs>
                <w:tab w:val="left" w:pos="2910"/>
              </w:tabs>
              <w:rPr>
                <w:rFonts w:ascii="Arial" w:hAnsi="Arial" w:cs="Arial"/>
              </w:rPr>
            </w:pPr>
            <w:r w:rsidRPr="00527514">
              <w:rPr>
                <w:rFonts w:ascii="Arial" w:hAnsi="Arial" w:cs="Arial"/>
              </w:rPr>
              <w:t>540.25</w:t>
            </w:r>
          </w:p>
        </w:tc>
        <w:tc>
          <w:tcPr>
            <w:tcW w:w="842" w:type="pct"/>
            <w:vAlign w:val="center"/>
            <w:hideMark/>
          </w:tcPr>
          <w:p w14:paraId="65F1F889" w14:textId="77777777" w:rsidR="004101B1" w:rsidRPr="00527514" w:rsidRDefault="004101B1" w:rsidP="004101B1">
            <w:pPr>
              <w:tabs>
                <w:tab w:val="left" w:pos="2910"/>
              </w:tabs>
              <w:rPr>
                <w:rFonts w:ascii="Arial" w:hAnsi="Arial" w:cs="Arial"/>
              </w:rPr>
            </w:pPr>
            <w:r w:rsidRPr="00527514">
              <w:rPr>
                <w:rFonts w:ascii="Arial" w:hAnsi="Arial" w:cs="Arial"/>
              </w:rPr>
              <w:t>1.3000</w:t>
            </w:r>
          </w:p>
        </w:tc>
        <w:tc>
          <w:tcPr>
            <w:tcW w:w="672" w:type="pct"/>
            <w:vAlign w:val="center"/>
            <w:hideMark/>
          </w:tcPr>
          <w:p w14:paraId="0ED87DBC" w14:textId="77777777" w:rsidR="004101B1" w:rsidRPr="00527514" w:rsidRDefault="004101B1" w:rsidP="004101B1">
            <w:pPr>
              <w:tabs>
                <w:tab w:val="left" w:pos="2910"/>
              </w:tabs>
              <w:rPr>
                <w:rFonts w:ascii="Arial" w:hAnsi="Arial" w:cs="Arial"/>
              </w:rPr>
            </w:pPr>
            <w:r w:rsidRPr="00527514">
              <w:rPr>
                <w:rFonts w:ascii="Arial" w:hAnsi="Arial" w:cs="Arial"/>
              </w:rPr>
              <w:t>82%</w:t>
            </w:r>
          </w:p>
        </w:tc>
      </w:tr>
      <w:tr w:rsidR="004101B1" w:rsidRPr="00527514" w14:paraId="06CBA980" w14:textId="77777777" w:rsidTr="004101B1">
        <w:trPr>
          <w:tblCellSpacing w:w="15" w:type="dxa"/>
        </w:trPr>
        <w:tc>
          <w:tcPr>
            <w:tcW w:w="1944" w:type="pct"/>
            <w:vAlign w:val="center"/>
            <w:hideMark/>
          </w:tcPr>
          <w:p w14:paraId="4818F458" w14:textId="77777777" w:rsidR="004101B1" w:rsidRPr="00527514" w:rsidRDefault="004101B1" w:rsidP="004101B1">
            <w:pPr>
              <w:tabs>
                <w:tab w:val="left" w:pos="2910"/>
              </w:tabs>
              <w:rPr>
                <w:rFonts w:ascii="Arial" w:hAnsi="Arial" w:cs="Arial"/>
              </w:rPr>
            </w:pPr>
          </w:p>
        </w:tc>
        <w:tc>
          <w:tcPr>
            <w:tcW w:w="724" w:type="pct"/>
            <w:vAlign w:val="center"/>
            <w:hideMark/>
          </w:tcPr>
          <w:p w14:paraId="0062B6CE" w14:textId="77777777" w:rsidR="004101B1" w:rsidRPr="00527514" w:rsidRDefault="004101B1" w:rsidP="004101B1">
            <w:pPr>
              <w:tabs>
                <w:tab w:val="left" w:pos="2910"/>
              </w:tabs>
              <w:rPr>
                <w:rFonts w:ascii="Arial" w:hAnsi="Arial" w:cs="Arial"/>
              </w:rPr>
            </w:pPr>
            <w:r w:rsidRPr="00527514">
              <w:rPr>
                <w:rFonts w:ascii="Arial" w:hAnsi="Arial" w:cs="Arial"/>
              </w:rPr>
              <w:t>100</w:t>
            </w:r>
          </w:p>
        </w:tc>
        <w:tc>
          <w:tcPr>
            <w:tcW w:w="345" w:type="pct"/>
            <w:vAlign w:val="center"/>
            <w:hideMark/>
          </w:tcPr>
          <w:p w14:paraId="660BA05A" w14:textId="77777777" w:rsidR="004101B1" w:rsidRPr="00527514" w:rsidRDefault="004101B1" w:rsidP="004101B1">
            <w:pPr>
              <w:tabs>
                <w:tab w:val="left" w:pos="2910"/>
              </w:tabs>
              <w:rPr>
                <w:rFonts w:ascii="Arial" w:hAnsi="Arial" w:cs="Arial"/>
              </w:rPr>
            </w:pPr>
            <w:r w:rsidRPr="00527514">
              <w:rPr>
                <w:rFonts w:ascii="Arial" w:hAnsi="Arial" w:cs="Arial"/>
              </w:rPr>
              <w:t>6.45</w:t>
            </w:r>
          </w:p>
        </w:tc>
        <w:tc>
          <w:tcPr>
            <w:tcW w:w="377" w:type="pct"/>
            <w:vAlign w:val="center"/>
            <w:hideMark/>
          </w:tcPr>
          <w:p w14:paraId="67137A48" w14:textId="77777777" w:rsidR="004101B1" w:rsidRPr="00527514" w:rsidRDefault="004101B1" w:rsidP="004101B1">
            <w:pPr>
              <w:tabs>
                <w:tab w:val="left" w:pos="2910"/>
              </w:tabs>
              <w:rPr>
                <w:rFonts w:ascii="Arial" w:hAnsi="Arial" w:cs="Arial"/>
              </w:rPr>
            </w:pPr>
            <w:r w:rsidRPr="00527514">
              <w:rPr>
                <w:rFonts w:ascii="Arial" w:hAnsi="Arial" w:cs="Arial"/>
              </w:rPr>
              <w:t>590.50</w:t>
            </w:r>
          </w:p>
        </w:tc>
        <w:tc>
          <w:tcPr>
            <w:tcW w:w="842" w:type="pct"/>
            <w:vAlign w:val="center"/>
            <w:hideMark/>
          </w:tcPr>
          <w:p w14:paraId="7146FF5C" w14:textId="77777777" w:rsidR="004101B1" w:rsidRPr="00527514" w:rsidRDefault="004101B1" w:rsidP="004101B1">
            <w:pPr>
              <w:tabs>
                <w:tab w:val="left" w:pos="2910"/>
              </w:tabs>
              <w:rPr>
                <w:rFonts w:ascii="Arial" w:hAnsi="Arial" w:cs="Arial"/>
              </w:rPr>
            </w:pPr>
            <w:r w:rsidRPr="00527514">
              <w:rPr>
                <w:rFonts w:ascii="Arial" w:hAnsi="Arial" w:cs="Arial"/>
              </w:rPr>
              <w:t>1.2500</w:t>
            </w:r>
          </w:p>
        </w:tc>
        <w:tc>
          <w:tcPr>
            <w:tcW w:w="672" w:type="pct"/>
            <w:vAlign w:val="center"/>
            <w:hideMark/>
          </w:tcPr>
          <w:p w14:paraId="4BBF5924" w14:textId="77777777" w:rsidR="004101B1" w:rsidRPr="00527514" w:rsidRDefault="004101B1" w:rsidP="004101B1">
            <w:pPr>
              <w:tabs>
                <w:tab w:val="left" w:pos="2910"/>
              </w:tabs>
              <w:rPr>
                <w:rFonts w:ascii="Arial" w:hAnsi="Arial" w:cs="Arial"/>
              </w:rPr>
            </w:pPr>
            <w:r w:rsidRPr="00527514">
              <w:rPr>
                <w:rFonts w:ascii="Arial" w:hAnsi="Arial" w:cs="Arial"/>
              </w:rPr>
              <w:t>79%</w:t>
            </w:r>
          </w:p>
        </w:tc>
      </w:tr>
      <w:tr w:rsidR="004101B1" w:rsidRPr="00527514" w14:paraId="456B5E89" w14:textId="77777777" w:rsidTr="004101B1">
        <w:trPr>
          <w:tblCellSpacing w:w="15" w:type="dxa"/>
        </w:trPr>
        <w:tc>
          <w:tcPr>
            <w:tcW w:w="1944" w:type="pct"/>
            <w:vAlign w:val="center"/>
            <w:hideMark/>
          </w:tcPr>
          <w:p w14:paraId="4E324ACC" w14:textId="77777777" w:rsidR="004101B1" w:rsidRPr="00527514" w:rsidRDefault="004101B1" w:rsidP="004101B1">
            <w:pPr>
              <w:tabs>
                <w:tab w:val="left" w:pos="2910"/>
              </w:tabs>
              <w:rPr>
                <w:rFonts w:ascii="Arial" w:hAnsi="Arial" w:cs="Arial"/>
              </w:rPr>
            </w:pPr>
            <w:proofErr w:type="spellStart"/>
            <w:r w:rsidRPr="00527514">
              <w:rPr>
                <w:rFonts w:ascii="Arial" w:hAnsi="Arial" w:cs="Arial"/>
              </w:rPr>
              <w:t>Delonix</w:t>
            </w:r>
            <w:proofErr w:type="spellEnd"/>
          </w:p>
        </w:tc>
        <w:tc>
          <w:tcPr>
            <w:tcW w:w="724" w:type="pct"/>
            <w:vAlign w:val="center"/>
            <w:hideMark/>
          </w:tcPr>
          <w:p w14:paraId="7A6C4FE5" w14:textId="77777777" w:rsidR="004101B1" w:rsidRPr="00527514" w:rsidRDefault="004101B1" w:rsidP="004101B1">
            <w:pPr>
              <w:tabs>
                <w:tab w:val="left" w:pos="2910"/>
              </w:tabs>
              <w:rPr>
                <w:rFonts w:ascii="Arial" w:hAnsi="Arial" w:cs="Arial"/>
              </w:rPr>
            </w:pPr>
            <w:r w:rsidRPr="00527514">
              <w:rPr>
                <w:rFonts w:ascii="Arial" w:hAnsi="Arial" w:cs="Arial"/>
              </w:rPr>
              <w:t>500</w:t>
            </w:r>
          </w:p>
        </w:tc>
        <w:tc>
          <w:tcPr>
            <w:tcW w:w="345" w:type="pct"/>
            <w:vAlign w:val="center"/>
            <w:hideMark/>
          </w:tcPr>
          <w:p w14:paraId="2841F197" w14:textId="77777777" w:rsidR="004101B1" w:rsidRPr="00527514" w:rsidRDefault="004101B1" w:rsidP="004101B1">
            <w:pPr>
              <w:tabs>
                <w:tab w:val="left" w:pos="2910"/>
              </w:tabs>
              <w:rPr>
                <w:rFonts w:ascii="Arial" w:hAnsi="Arial" w:cs="Arial"/>
              </w:rPr>
            </w:pPr>
            <w:r w:rsidRPr="00527514">
              <w:rPr>
                <w:rFonts w:ascii="Arial" w:hAnsi="Arial" w:cs="Arial"/>
              </w:rPr>
              <w:t>4.80</w:t>
            </w:r>
          </w:p>
        </w:tc>
        <w:tc>
          <w:tcPr>
            <w:tcW w:w="377" w:type="pct"/>
            <w:vAlign w:val="center"/>
            <w:hideMark/>
          </w:tcPr>
          <w:p w14:paraId="04DDE8D4" w14:textId="77777777" w:rsidR="004101B1" w:rsidRPr="00527514" w:rsidRDefault="004101B1" w:rsidP="004101B1">
            <w:pPr>
              <w:tabs>
                <w:tab w:val="left" w:pos="2910"/>
              </w:tabs>
              <w:rPr>
                <w:rFonts w:ascii="Arial" w:hAnsi="Arial" w:cs="Arial"/>
              </w:rPr>
            </w:pPr>
            <w:r w:rsidRPr="00527514">
              <w:rPr>
                <w:rFonts w:ascii="Arial" w:hAnsi="Arial" w:cs="Arial"/>
              </w:rPr>
              <w:t>530.00</w:t>
            </w:r>
          </w:p>
        </w:tc>
        <w:tc>
          <w:tcPr>
            <w:tcW w:w="842" w:type="pct"/>
            <w:vAlign w:val="center"/>
            <w:hideMark/>
          </w:tcPr>
          <w:p w14:paraId="5039BE9E" w14:textId="77777777" w:rsidR="004101B1" w:rsidRPr="00527514" w:rsidRDefault="004101B1" w:rsidP="004101B1">
            <w:pPr>
              <w:tabs>
                <w:tab w:val="left" w:pos="2910"/>
              </w:tabs>
              <w:rPr>
                <w:rFonts w:ascii="Arial" w:hAnsi="Arial" w:cs="Arial"/>
              </w:rPr>
            </w:pPr>
            <w:r w:rsidRPr="00527514">
              <w:rPr>
                <w:rFonts w:ascii="Arial" w:hAnsi="Arial" w:cs="Arial"/>
              </w:rPr>
              <w:t>1.4000</w:t>
            </w:r>
          </w:p>
        </w:tc>
        <w:tc>
          <w:tcPr>
            <w:tcW w:w="672" w:type="pct"/>
            <w:vAlign w:val="center"/>
            <w:hideMark/>
          </w:tcPr>
          <w:p w14:paraId="525296AD" w14:textId="77777777" w:rsidR="004101B1" w:rsidRPr="00527514" w:rsidRDefault="004101B1" w:rsidP="004101B1">
            <w:pPr>
              <w:tabs>
                <w:tab w:val="left" w:pos="2910"/>
              </w:tabs>
              <w:rPr>
                <w:rFonts w:ascii="Arial" w:hAnsi="Arial" w:cs="Arial"/>
              </w:rPr>
            </w:pPr>
            <w:r w:rsidRPr="00527514">
              <w:rPr>
                <w:rFonts w:ascii="Arial" w:hAnsi="Arial" w:cs="Arial"/>
              </w:rPr>
              <w:t>88%</w:t>
            </w:r>
          </w:p>
        </w:tc>
      </w:tr>
      <w:tr w:rsidR="004101B1" w:rsidRPr="00527514" w14:paraId="560F2A50" w14:textId="77777777" w:rsidTr="004101B1">
        <w:trPr>
          <w:tblCellSpacing w:w="15" w:type="dxa"/>
        </w:trPr>
        <w:tc>
          <w:tcPr>
            <w:tcW w:w="1944" w:type="pct"/>
            <w:vAlign w:val="center"/>
            <w:hideMark/>
          </w:tcPr>
          <w:p w14:paraId="431698FE" w14:textId="77777777" w:rsidR="004101B1" w:rsidRPr="00527514" w:rsidRDefault="004101B1" w:rsidP="004101B1">
            <w:pPr>
              <w:tabs>
                <w:tab w:val="left" w:pos="2910"/>
              </w:tabs>
              <w:rPr>
                <w:rFonts w:ascii="Arial" w:hAnsi="Arial" w:cs="Arial"/>
              </w:rPr>
            </w:pPr>
          </w:p>
        </w:tc>
        <w:tc>
          <w:tcPr>
            <w:tcW w:w="724" w:type="pct"/>
            <w:vAlign w:val="center"/>
            <w:hideMark/>
          </w:tcPr>
          <w:p w14:paraId="54F81F57" w14:textId="77777777" w:rsidR="004101B1" w:rsidRPr="00527514" w:rsidRDefault="004101B1" w:rsidP="004101B1">
            <w:pPr>
              <w:tabs>
                <w:tab w:val="left" w:pos="2910"/>
              </w:tabs>
              <w:rPr>
                <w:rFonts w:ascii="Arial" w:hAnsi="Arial" w:cs="Arial"/>
              </w:rPr>
            </w:pPr>
            <w:r w:rsidRPr="00527514">
              <w:rPr>
                <w:rFonts w:ascii="Arial" w:hAnsi="Arial" w:cs="Arial"/>
              </w:rPr>
              <w:t>250</w:t>
            </w:r>
          </w:p>
        </w:tc>
        <w:tc>
          <w:tcPr>
            <w:tcW w:w="345" w:type="pct"/>
            <w:vAlign w:val="center"/>
            <w:hideMark/>
          </w:tcPr>
          <w:p w14:paraId="4DD728FE" w14:textId="77777777" w:rsidR="004101B1" w:rsidRPr="00527514" w:rsidRDefault="004101B1" w:rsidP="004101B1">
            <w:pPr>
              <w:tabs>
                <w:tab w:val="left" w:pos="2910"/>
              </w:tabs>
              <w:rPr>
                <w:rFonts w:ascii="Arial" w:hAnsi="Arial" w:cs="Arial"/>
              </w:rPr>
            </w:pPr>
            <w:r w:rsidRPr="00527514">
              <w:rPr>
                <w:rFonts w:ascii="Arial" w:hAnsi="Arial" w:cs="Arial"/>
              </w:rPr>
              <w:t>7.10</w:t>
            </w:r>
          </w:p>
        </w:tc>
        <w:tc>
          <w:tcPr>
            <w:tcW w:w="377" w:type="pct"/>
            <w:vAlign w:val="center"/>
            <w:hideMark/>
          </w:tcPr>
          <w:p w14:paraId="524C70B0" w14:textId="77777777" w:rsidR="004101B1" w:rsidRPr="00527514" w:rsidRDefault="004101B1" w:rsidP="004101B1">
            <w:pPr>
              <w:tabs>
                <w:tab w:val="left" w:pos="2910"/>
              </w:tabs>
              <w:rPr>
                <w:rFonts w:ascii="Arial" w:hAnsi="Arial" w:cs="Arial"/>
              </w:rPr>
            </w:pPr>
            <w:r w:rsidRPr="00527514">
              <w:rPr>
                <w:rFonts w:ascii="Arial" w:hAnsi="Arial" w:cs="Arial"/>
              </w:rPr>
              <w:t>470.75</w:t>
            </w:r>
          </w:p>
        </w:tc>
        <w:tc>
          <w:tcPr>
            <w:tcW w:w="842" w:type="pct"/>
            <w:vAlign w:val="center"/>
            <w:hideMark/>
          </w:tcPr>
          <w:p w14:paraId="598BF6AA" w14:textId="77777777" w:rsidR="004101B1" w:rsidRPr="00527514" w:rsidRDefault="004101B1" w:rsidP="004101B1">
            <w:pPr>
              <w:tabs>
                <w:tab w:val="left" w:pos="2910"/>
              </w:tabs>
              <w:rPr>
                <w:rFonts w:ascii="Arial" w:hAnsi="Arial" w:cs="Arial"/>
              </w:rPr>
            </w:pPr>
            <w:r w:rsidRPr="00527514">
              <w:rPr>
                <w:rFonts w:ascii="Arial" w:hAnsi="Arial" w:cs="Arial"/>
              </w:rPr>
              <w:t>1.9000</w:t>
            </w:r>
          </w:p>
        </w:tc>
        <w:tc>
          <w:tcPr>
            <w:tcW w:w="672" w:type="pct"/>
            <w:vAlign w:val="center"/>
            <w:hideMark/>
          </w:tcPr>
          <w:p w14:paraId="6982B2B8" w14:textId="77777777" w:rsidR="004101B1" w:rsidRPr="00527514" w:rsidRDefault="004101B1" w:rsidP="004101B1">
            <w:pPr>
              <w:tabs>
                <w:tab w:val="left" w:pos="2910"/>
              </w:tabs>
              <w:rPr>
                <w:rFonts w:ascii="Arial" w:hAnsi="Arial" w:cs="Arial"/>
              </w:rPr>
            </w:pPr>
            <w:r w:rsidRPr="00527514">
              <w:rPr>
                <w:rFonts w:ascii="Arial" w:hAnsi="Arial" w:cs="Arial"/>
              </w:rPr>
              <w:t>73%</w:t>
            </w:r>
          </w:p>
        </w:tc>
      </w:tr>
      <w:tr w:rsidR="004101B1" w:rsidRPr="00527514" w14:paraId="41B8049D" w14:textId="77777777" w:rsidTr="004101B1">
        <w:trPr>
          <w:tblCellSpacing w:w="15" w:type="dxa"/>
        </w:trPr>
        <w:tc>
          <w:tcPr>
            <w:tcW w:w="1944" w:type="pct"/>
            <w:vAlign w:val="center"/>
            <w:hideMark/>
          </w:tcPr>
          <w:p w14:paraId="1ED7275D" w14:textId="77777777" w:rsidR="004101B1" w:rsidRPr="00527514" w:rsidRDefault="004101B1" w:rsidP="004101B1">
            <w:pPr>
              <w:tabs>
                <w:tab w:val="left" w:pos="2910"/>
              </w:tabs>
              <w:rPr>
                <w:rFonts w:ascii="Arial" w:hAnsi="Arial" w:cs="Arial"/>
              </w:rPr>
            </w:pPr>
          </w:p>
        </w:tc>
        <w:tc>
          <w:tcPr>
            <w:tcW w:w="724" w:type="pct"/>
            <w:vAlign w:val="center"/>
            <w:hideMark/>
          </w:tcPr>
          <w:p w14:paraId="3F0DEEA1" w14:textId="77777777" w:rsidR="004101B1" w:rsidRPr="00527514" w:rsidRDefault="004101B1" w:rsidP="004101B1">
            <w:pPr>
              <w:tabs>
                <w:tab w:val="left" w:pos="2910"/>
              </w:tabs>
              <w:rPr>
                <w:rFonts w:ascii="Arial" w:hAnsi="Arial" w:cs="Arial"/>
              </w:rPr>
            </w:pPr>
            <w:r w:rsidRPr="00527514">
              <w:rPr>
                <w:rFonts w:ascii="Arial" w:hAnsi="Arial" w:cs="Arial"/>
              </w:rPr>
              <w:t>100</w:t>
            </w:r>
          </w:p>
        </w:tc>
        <w:tc>
          <w:tcPr>
            <w:tcW w:w="345" w:type="pct"/>
            <w:vAlign w:val="center"/>
            <w:hideMark/>
          </w:tcPr>
          <w:p w14:paraId="14887A25" w14:textId="77777777" w:rsidR="004101B1" w:rsidRPr="00527514" w:rsidRDefault="004101B1" w:rsidP="004101B1">
            <w:pPr>
              <w:tabs>
                <w:tab w:val="left" w:pos="2910"/>
              </w:tabs>
              <w:rPr>
                <w:rFonts w:ascii="Arial" w:hAnsi="Arial" w:cs="Arial"/>
              </w:rPr>
            </w:pPr>
            <w:r w:rsidRPr="00527514">
              <w:rPr>
                <w:rFonts w:ascii="Arial" w:hAnsi="Arial" w:cs="Arial"/>
              </w:rPr>
              <w:t>6.80</w:t>
            </w:r>
          </w:p>
        </w:tc>
        <w:tc>
          <w:tcPr>
            <w:tcW w:w="377" w:type="pct"/>
            <w:vAlign w:val="center"/>
            <w:hideMark/>
          </w:tcPr>
          <w:p w14:paraId="52C2A73F" w14:textId="77777777" w:rsidR="004101B1" w:rsidRPr="00527514" w:rsidRDefault="004101B1" w:rsidP="004101B1">
            <w:pPr>
              <w:tabs>
                <w:tab w:val="left" w:pos="2910"/>
              </w:tabs>
              <w:rPr>
                <w:rFonts w:ascii="Arial" w:hAnsi="Arial" w:cs="Arial"/>
              </w:rPr>
            </w:pPr>
            <w:r w:rsidRPr="00527514">
              <w:rPr>
                <w:rFonts w:ascii="Arial" w:hAnsi="Arial" w:cs="Arial"/>
              </w:rPr>
              <w:t>455.20</w:t>
            </w:r>
          </w:p>
        </w:tc>
        <w:tc>
          <w:tcPr>
            <w:tcW w:w="842" w:type="pct"/>
            <w:vAlign w:val="center"/>
            <w:hideMark/>
          </w:tcPr>
          <w:p w14:paraId="1096F282" w14:textId="77777777" w:rsidR="004101B1" w:rsidRPr="00527514" w:rsidRDefault="004101B1" w:rsidP="004101B1">
            <w:pPr>
              <w:tabs>
                <w:tab w:val="left" w:pos="2910"/>
              </w:tabs>
              <w:rPr>
                <w:rFonts w:ascii="Arial" w:hAnsi="Arial" w:cs="Arial"/>
              </w:rPr>
            </w:pPr>
            <w:r w:rsidRPr="00527514">
              <w:rPr>
                <w:rFonts w:ascii="Arial" w:hAnsi="Arial" w:cs="Arial"/>
              </w:rPr>
              <w:t>2.2000</w:t>
            </w:r>
          </w:p>
        </w:tc>
        <w:tc>
          <w:tcPr>
            <w:tcW w:w="672" w:type="pct"/>
            <w:vAlign w:val="center"/>
            <w:hideMark/>
          </w:tcPr>
          <w:p w14:paraId="09E217CF" w14:textId="77777777" w:rsidR="004101B1" w:rsidRPr="00527514" w:rsidRDefault="004101B1" w:rsidP="004101B1">
            <w:pPr>
              <w:tabs>
                <w:tab w:val="left" w:pos="2910"/>
              </w:tabs>
              <w:rPr>
                <w:rFonts w:ascii="Arial" w:hAnsi="Arial" w:cs="Arial"/>
              </w:rPr>
            </w:pPr>
            <w:r w:rsidRPr="00527514">
              <w:rPr>
                <w:rFonts w:ascii="Arial" w:hAnsi="Arial" w:cs="Arial"/>
              </w:rPr>
              <w:t>70%</w:t>
            </w:r>
          </w:p>
        </w:tc>
      </w:tr>
      <w:tr w:rsidR="004101B1" w:rsidRPr="00527514" w14:paraId="284D680E" w14:textId="77777777" w:rsidTr="004101B1">
        <w:trPr>
          <w:tblCellSpacing w:w="15" w:type="dxa"/>
        </w:trPr>
        <w:tc>
          <w:tcPr>
            <w:tcW w:w="1944" w:type="pct"/>
            <w:vAlign w:val="center"/>
            <w:hideMark/>
          </w:tcPr>
          <w:p w14:paraId="4B95DF83" w14:textId="77777777" w:rsidR="004101B1" w:rsidRPr="00527514" w:rsidRDefault="004101B1" w:rsidP="004101B1">
            <w:pPr>
              <w:tabs>
                <w:tab w:val="left" w:pos="2910"/>
              </w:tabs>
              <w:rPr>
                <w:rFonts w:ascii="Arial" w:hAnsi="Arial" w:cs="Arial"/>
              </w:rPr>
            </w:pPr>
            <w:r w:rsidRPr="00527514">
              <w:rPr>
                <w:rFonts w:ascii="Arial" w:hAnsi="Arial" w:cs="Arial"/>
              </w:rPr>
              <w:t xml:space="preserve">Z. </w:t>
            </w:r>
            <w:proofErr w:type="spellStart"/>
            <w:r w:rsidRPr="00527514">
              <w:rPr>
                <w:rFonts w:ascii="Arial" w:hAnsi="Arial" w:cs="Arial"/>
              </w:rPr>
              <w:t>asiaticum</w:t>
            </w:r>
            <w:proofErr w:type="spellEnd"/>
            <w:r w:rsidRPr="00527514">
              <w:rPr>
                <w:rFonts w:ascii="Arial" w:hAnsi="Arial" w:cs="Arial"/>
              </w:rPr>
              <w:t xml:space="preserve"> + D. regia (combination)</w:t>
            </w:r>
          </w:p>
        </w:tc>
        <w:tc>
          <w:tcPr>
            <w:tcW w:w="724" w:type="pct"/>
            <w:vAlign w:val="center"/>
            <w:hideMark/>
          </w:tcPr>
          <w:p w14:paraId="4FAC94AF" w14:textId="77777777" w:rsidR="004101B1" w:rsidRPr="00527514" w:rsidRDefault="004101B1" w:rsidP="004101B1">
            <w:pPr>
              <w:tabs>
                <w:tab w:val="left" w:pos="2910"/>
              </w:tabs>
              <w:rPr>
                <w:rFonts w:ascii="Arial" w:hAnsi="Arial" w:cs="Arial"/>
              </w:rPr>
            </w:pPr>
            <w:r w:rsidRPr="00527514">
              <w:rPr>
                <w:rFonts w:ascii="Arial" w:hAnsi="Arial" w:cs="Arial"/>
              </w:rPr>
              <w:t>250+250</w:t>
            </w:r>
          </w:p>
        </w:tc>
        <w:tc>
          <w:tcPr>
            <w:tcW w:w="345" w:type="pct"/>
            <w:vAlign w:val="center"/>
            <w:hideMark/>
          </w:tcPr>
          <w:p w14:paraId="2AD0CD3A" w14:textId="77777777" w:rsidR="004101B1" w:rsidRPr="00527514" w:rsidRDefault="004101B1" w:rsidP="004101B1">
            <w:pPr>
              <w:tabs>
                <w:tab w:val="left" w:pos="2910"/>
              </w:tabs>
              <w:rPr>
                <w:rFonts w:ascii="Arial" w:hAnsi="Arial" w:cs="Arial"/>
              </w:rPr>
            </w:pPr>
            <w:r w:rsidRPr="00527514">
              <w:rPr>
                <w:rFonts w:ascii="Arial" w:hAnsi="Arial" w:cs="Arial"/>
              </w:rPr>
              <w:t>3.65</w:t>
            </w:r>
          </w:p>
        </w:tc>
        <w:tc>
          <w:tcPr>
            <w:tcW w:w="377" w:type="pct"/>
            <w:vAlign w:val="center"/>
            <w:hideMark/>
          </w:tcPr>
          <w:p w14:paraId="275DE0C5" w14:textId="77777777" w:rsidR="004101B1" w:rsidRPr="00527514" w:rsidRDefault="004101B1" w:rsidP="004101B1">
            <w:pPr>
              <w:tabs>
                <w:tab w:val="left" w:pos="2910"/>
              </w:tabs>
              <w:rPr>
                <w:rFonts w:ascii="Arial" w:hAnsi="Arial" w:cs="Arial"/>
              </w:rPr>
            </w:pPr>
            <w:r w:rsidRPr="00527514">
              <w:rPr>
                <w:rFonts w:ascii="Arial" w:hAnsi="Arial" w:cs="Arial"/>
              </w:rPr>
              <w:t>600.00</w:t>
            </w:r>
          </w:p>
        </w:tc>
        <w:tc>
          <w:tcPr>
            <w:tcW w:w="842" w:type="pct"/>
            <w:vAlign w:val="center"/>
            <w:hideMark/>
          </w:tcPr>
          <w:p w14:paraId="5784AFF8" w14:textId="77777777" w:rsidR="004101B1" w:rsidRPr="00527514" w:rsidRDefault="004101B1" w:rsidP="004101B1">
            <w:pPr>
              <w:tabs>
                <w:tab w:val="left" w:pos="2910"/>
              </w:tabs>
              <w:rPr>
                <w:rFonts w:ascii="Arial" w:hAnsi="Arial" w:cs="Arial"/>
              </w:rPr>
            </w:pPr>
            <w:r w:rsidRPr="00527514">
              <w:rPr>
                <w:rFonts w:ascii="Arial" w:hAnsi="Arial" w:cs="Arial"/>
              </w:rPr>
              <w:t>0.5500</w:t>
            </w:r>
          </w:p>
        </w:tc>
        <w:tc>
          <w:tcPr>
            <w:tcW w:w="672" w:type="pct"/>
            <w:vAlign w:val="center"/>
            <w:hideMark/>
          </w:tcPr>
          <w:p w14:paraId="185FA519" w14:textId="77777777" w:rsidR="004101B1" w:rsidRPr="00527514" w:rsidRDefault="004101B1" w:rsidP="004101B1">
            <w:pPr>
              <w:tabs>
                <w:tab w:val="left" w:pos="2910"/>
              </w:tabs>
              <w:rPr>
                <w:rFonts w:ascii="Arial" w:hAnsi="Arial" w:cs="Arial"/>
              </w:rPr>
            </w:pPr>
            <w:r w:rsidRPr="00527514">
              <w:rPr>
                <w:rFonts w:ascii="Arial" w:hAnsi="Arial" w:cs="Arial"/>
              </w:rPr>
              <w:t>85%</w:t>
            </w:r>
          </w:p>
        </w:tc>
      </w:tr>
      <w:tr w:rsidR="004101B1" w:rsidRPr="00527514" w14:paraId="502F0099" w14:textId="77777777" w:rsidTr="004101B1">
        <w:trPr>
          <w:tblCellSpacing w:w="15" w:type="dxa"/>
        </w:trPr>
        <w:tc>
          <w:tcPr>
            <w:tcW w:w="1944" w:type="pct"/>
            <w:vAlign w:val="center"/>
            <w:hideMark/>
          </w:tcPr>
          <w:p w14:paraId="3C9DAEDD" w14:textId="77777777" w:rsidR="004101B1" w:rsidRPr="00527514" w:rsidRDefault="004101B1" w:rsidP="004101B1">
            <w:pPr>
              <w:tabs>
                <w:tab w:val="left" w:pos="2910"/>
              </w:tabs>
              <w:rPr>
                <w:rFonts w:ascii="Arial" w:hAnsi="Arial" w:cs="Arial"/>
              </w:rPr>
            </w:pPr>
            <w:r w:rsidRPr="00527514">
              <w:rPr>
                <w:rFonts w:ascii="Arial" w:hAnsi="Arial" w:cs="Arial"/>
              </w:rPr>
              <w:t>NC (Water)</w:t>
            </w:r>
          </w:p>
        </w:tc>
        <w:tc>
          <w:tcPr>
            <w:tcW w:w="724" w:type="pct"/>
            <w:vAlign w:val="center"/>
            <w:hideMark/>
          </w:tcPr>
          <w:p w14:paraId="084A1C98" w14:textId="77777777" w:rsidR="004101B1" w:rsidRPr="00527514" w:rsidRDefault="004101B1" w:rsidP="004101B1">
            <w:pPr>
              <w:tabs>
                <w:tab w:val="left" w:pos="2910"/>
              </w:tabs>
              <w:rPr>
                <w:rFonts w:ascii="Arial" w:hAnsi="Arial" w:cs="Arial"/>
              </w:rPr>
            </w:pPr>
            <w:r w:rsidRPr="00527514">
              <w:rPr>
                <w:rFonts w:ascii="Arial" w:hAnsi="Arial" w:cs="Arial"/>
              </w:rPr>
              <w:t>1 ml</w:t>
            </w:r>
          </w:p>
        </w:tc>
        <w:tc>
          <w:tcPr>
            <w:tcW w:w="345" w:type="pct"/>
            <w:vAlign w:val="center"/>
            <w:hideMark/>
          </w:tcPr>
          <w:p w14:paraId="1E37B190" w14:textId="77777777" w:rsidR="004101B1" w:rsidRPr="00527514" w:rsidRDefault="004101B1" w:rsidP="004101B1">
            <w:pPr>
              <w:tabs>
                <w:tab w:val="left" w:pos="2910"/>
              </w:tabs>
              <w:rPr>
                <w:rFonts w:ascii="Arial" w:hAnsi="Arial" w:cs="Arial"/>
              </w:rPr>
            </w:pPr>
            <w:r w:rsidRPr="00527514">
              <w:rPr>
                <w:rFonts w:ascii="Arial" w:hAnsi="Arial" w:cs="Arial"/>
              </w:rPr>
              <w:t>30.20</w:t>
            </w:r>
          </w:p>
        </w:tc>
        <w:tc>
          <w:tcPr>
            <w:tcW w:w="377" w:type="pct"/>
            <w:vAlign w:val="center"/>
            <w:hideMark/>
          </w:tcPr>
          <w:p w14:paraId="59A39995" w14:textId="77777777" w:rsidR="004101B1" w:rsidRPr="00527514" w:rsidRDefault="004101B1" w:rsidP="004101B1">
            <w:pPr>
              <w:tabs>
                <w:tab w:val="left" w:pos="2910"/>
              </w:tabs>
              <w:rPr>
                <w:rFonts w:ascii="Arial" w:hAnsi="Arial" w:cs="Arial"/>
              </w:rPr>
            </w:pPr>
            <w:r w:rsidRPr="00527514">
              <w:rPr>
                <w:rFonts w:ascii="Arial" w:hAnsi="Arial" w:cs="Arial"/>
              </w:rPr>
              <w:t>460.50</w:t>
            </w:r>
          </w:p>
        </w:tc>
        <w:tc>
          <w:tcPr>
            <w:tcW w:w="842" w:type="pct"/>
            <w:vAlign w:val="center"/>
            <w:hideMark/>
          </w:tcPr>
          <w:p w14:paraId="7447D2C6" w14:textId="77777777" w:rsidR="004101B1" w:rsidRPr="00527514" w:rsidRDefault="004101B1" w:rsidP="004101B1">
            <w:pPr>
              <w:tabs>
                <w:tab w:val="left" w:pos="2910"/>
              </w:tabs>
              <w:rPr>
                <w:rFonts w:ascii="Arial" w:hAnsi="Arial" w:cs="Arial"/>
              </w:rPr>
            </w:pPr>
            <w:r w:rsidRPr="00527514">
              <w:rPr>
                <w:rFonts w:ascii="Arial" w:hAnsi="Arial" w:cs="Arial"/>
              </w:rPr>
              <w:t>7.9000</w:t>
            </w:r>
          </w:p>
        </w:tc>
        <w:tc>
          <w:tcPr>
            <w:tcW w:w="672" w:type="pct"/>
            <w:vAlign w:val="center"/>
            <w:hideMark/>
          </w:tcPr>
          <w:p w14:paraId="026DFA7B" w14:textId="77777777" w:rsidR="004101B1" w:rsidRPr="00527514" w:rsidRDefault="004101B1" w:rsidP="004101B1">
            <w:pPr>
              <w:tabs>
                <w:tab w:val="left" w:pos="2910"/>
              </w:tabs>
              <w:rPr>
                <w:rFonts w:ascii="Arial" w:hAnsi="Arial" w:cs="Arial"/>
              </w:rPr>
            </w:pPr>
            <w:r w:rsidRPr="00527514">
              <w:rPr>
                <w:rFonts w:ascii="Arial" w:hAnsi="Arial" w:cs="Arial"/>
              </w:rPr>
              <w:t>N/A</w:t>
            </w:r>
          </w:p>
        </w:tc>
      </w:tr>
      <w:tr w:rsidR="004101B1" w:rsidRPr="00527514" w14:paraId="12BB897D" w14:textId="77777777" w:rsidTr="004101B1">
        <w:trPr>
          <w:tblCellSpacing w:w="15" w:type="dxa"/>
        </w:trPr>
        <w:tc>
          <w:tcPr>
            <w:tcW w:w="1944" w:type="pct"/>
            <w:tcBorders>
              <w:bottom w:val="single" w:sz="4" w:space="0" w:color="auto"/>
            </w:tcBorders>
            <w:vAlign w:val="center"/>
            <w:hideMark/>
          </w:tcPr>
          <w:p w14:paraId="3636C51A" w14:textId="77777777" w:rsidR="004101B1" w:rsidRPr="00527514" w:rsidRDefault="004101B1" w:rsidP="004101B1">
            <w:pPr>
              <w:tabs>
                <w:tab w:val="left" w:pos="2910"/>
              </w:tabs>
              <w:rPr>
                <w:rFonts w:ascii="Arial" w:hAnsi="Arial" w:cs="Arial"/>
              </w:rPr>
            </w:pPr>
            <w:r w:rsidRPr="00527514">
              <w:rPr>
                <w:rFonts w:ascii="Arial" w:hAnsi="Arial" w:cs="Arial"/>
              </w:rPr>
              <w:t>CQ</w:t>
            </w:r>
          </w:p>
        </w:tc>
        <w:tc>
          <w:tcPr>
            <w:tcW w:w="724" w:type="pct"/>
            <w:tcBorders>
              <w:bottom w:val="single" w:sz="4" w:space="0" w:color="auto"/>
            </w:tcBorders>
            <w:vAlign w:val="center"/>
            <w:hideMark/>
          </w:tcPr>
          <w:p w14:paraId="6E3446EA" w14:textId="77777777" w:rsidR="004101B1" w:rsidRPr="00527514" w:rsidRDefault="004101B1" w:rsidP="004101B1">
            <w:pPr>
              <w:tabs>
                <w:tab w:val="left" w:pos="2910"/>
              </w:tabs>
              <w:rPr>
                <w:rFonts w:ascii="Arial" w:hAnsi="Arial" w:cs="Arial"/>
              </w:rPr>
            </w:pPr>
            <w:r w:rsidRPr="00527514">
              <w:rPr>
                <w:rFonts w:ascii="Arial" w:hAnsi="Arial" w:cs="Arial"/>
              </w:rPr>
              <w:t>10 mg</w:t>
            </w:r>
          </w:p>
        </w:tc>
        <w:tc>
          <w:tcPr>
            <w:tcW w:w="345" w:type="pct"/>
            <w:tcBorders>
              <w:bottom w:val="single" w:sz="4" w:space="0" w:color="auto"/>
            </w:tcBorders>
            <w:vAlign w:val="center"/>
            <w:hideMark/>
          </w:tcPr>
          <w:p w14:paraId="6691825B" w14:textId="77777777" w:rsidR="004101B1" w:rsidRPr="00527514" w:rsidRDefault="004101B1" w:rsidP="004101B1">
            <w:pPr>
              <w:tabs>
                <w:tab w:val="left" w:pos="2910"/>
              </w:tabs>
              <w:rPr>
                <w:rFonts w:ascii="Arial" w:hAnsi="Arial" w:cs="Arial"/>
              </w:rPr>
            </w:pPr>
            <w:r w:rsidRPr="00527514">
              <w:rPr>
                <w:rFonts w:ascii="Arial" w:hAnsi="Arial" w:cs="Arial"/>
              </w:rPr>
              <w:t>0.45</w:t>
            </w:r>
          </w:p>
        </w:tc>
        <w:tc>
          <w:tcPr>
            <w:tcW w:w="377" w:type="pct"/>
            <w:tcBorders>
              <w:bottom w:val="single" w:sz="4" w:space="0" w:color="auto"/>
            </w:tcBorders>
            <w:vAlign w:val="center"/>
            <w:hideMark/>
          </w:tcPr>
          <w:p w14:paraId="7742C6EE" w14:textId="77777777" w:rsidR="004101B1" w:rsidRPr="00527514" w:rsidRDefault="004101B1" w:rsidP="004101B1">
            <w:pPr>
              <w:tabs>
                <w:tab w:val="left" w:pos="2910"/>
              </w:tabs>
              <w:rPr>
                <w:rFonts w:ascii="Arial" w:hAnsi="Arial" w:cs="Arial"/>
              </w:rPr>
            </w:pPr>
            <w:r w:rsidRPr="00527514">
              <w:rPr>
                <w:rFonts w:ascii="Arial" w:hAnsi="Arial" w:cs="Arial"/>
              </w:rPr>
              <w:t>470.00</w:t>
            </w:r>
          </w:p>
        </w:tc>
        <w:tc>
          <w:tcPr>
            <w:tcW w:w="842" w:type="pct"/>
            <w:tcBorders>
              <w:bottom w:val="single" w:sz="4" w:space="0" w:color="auto"/>
            </w:tcBorders>
            <w:vAlign w:val="center"/>
            <w:hideMark/>
          </w:tcPr>
          <w:p w14:paraId="57D68B8D" w14:textId="77777777" w:rsidR="004101B1" w:rsidRPr="00527514" w:rsidRDefault="004101B1" w:rsidP="004101B1">
            <w:pPr>
              <w:tabs>
                <w:tab w:val="left" w:pos="2910"/>
              </w:tabs>
              <w:rPr>
                <w:rFonts w:ascii="Arial" w:hAnsi="Arial" w:cs="Arial"/>
              </w:rPr>
            </w:pPr>
            <w:r w:rsidRPr="00527514">
              <w:rPr>
                <w:rFonts w:ascii="Arial" w:hAnsi="Arial" w:cs="Arial"/>
              </w:rPr>
              <w:t>0.0900</w:t>
            </w:r>
          </w:p>
        </w:tc>
        <w:tc>
          <w:tcPr>
            <w:tcW w:w="672" w:type="pct"/>
            <w:tcBorders>
              <w:bottom w:val="single" w:sz="4" w:space="0" w:color="auto"/>
            </w:tcBorders>
            <w:vAlign w:val="center"/>
            <w:hideMark/>
          </w:tcPr>
          <w:p w14:paraId="5CB47A0F" w14:textId="77777777" w:rsidR="004101B1" w:rsidRPr="00527514" w:rsidRDefault="004101B1" w:rsidP="004101B1">
            <w:pPr>
              <w:tabs>
                <w:tab w:val="left" w:pos="2910"/>
              </w:tabs>
              <w:rPr>
                <w:rFonts w:ascii="Arial" w:hAnsi="Arial" w:cs="Arial"/>
              </w:rPr>
            </w:pPr>
            <w:r w:rsidRPr="00527514">
              <w:rPr>
                <w:rFonts w:ascii="Arial" w:hAnsi="Arial" w:cs="Arial"/>
              </w:rPr>
              <w:t>98%</w:t>
            </w:r>
          </w:p>
        </w:tc>
      </w:tr>
    </w:tbl>
    <w:p w14:paraId="261710E6" w14:textId="77777777" w:rsidR="004101B1" w:rsidRPr="004101B1" w:rsidRDefault="004101B1" w:rsidP="004101B1">
      <w:pPr>
        <w:pStyle w:val="Body"/>
      </w:pPr>
    </w:p>
    <w:p w14:paraId="4282ABCA" w14:textId="7B26D40C" w:rsidR="0094002A" w:rsidRPr="00580A46" w:rsidRDefault="00D55E14" w:rsidP="00B30DB8">
      <w:pPr>
        <w:pStyle w:val="Head2"/>
        <w:numPr>
          <w:ilvl w:val="1"/>
          <w:numId w:val="3"/>
        </w:numPr>
        <w:rPr>
          <w:b/>
          <w:bCs/>
        </w:rPr>
      </w:pPr>
      <w:r w:rsidRPr="00580A46">
        <w:rPr>
          <w:b/>
          <w:bCs/>
        </w:rPr>
        <w:t xml:space="preserve">Haematological indices of toxicity in mice following treatment with </w:t>
      </w:r>
      <w:proofErr w:type="spellStart"/>
      <w:r w:rsidR="00F466F4" w:rsidRPr="00580A46">
        <w:rPr>
          <w:b/>
          <w:bCs/>
          <w:i/>
          <w:caps w:val="0"/>
        </w:rPr>
        <w:t>Delonix</w:t>
      </w:r>
      <w:proofErr w:type="spellEnd"/>
      <w:r w:rsidR="00F466F4" w:rsidRPr="00580A46">
        <w:rPr>
          <w:b/>
          <w:bCs/>
          <w:i/>
          <w:caps w:val="0"/>
        </w:rPr>
        <w:t xml:space="preserve"> regia</w:t>
      </w:r>
      <w:r w:rsidR="003A316B" w:rsidRPr="00580A46">
        <w:rPr>
          <w:b/>
          <w:bCs/>
          <w:i/>
          <w:caps w:val="0"/>
        </w:rPr>
        <w:t xml:space="preserve"> </w:t>
      </w:r>
      <w:r w:rsidRPr="00580A46">
        <w:rPr>
          <w:b/>
          <w:bCs/>
        </w:rPr>
        <w:t xml:space="preserve">and </w:t>
      </w:r>
      <w:proofErr w:type="spellStart"/>
      <w:r w:rsidR="003A316B" w:rsidRPr="00580A46">
        <w:rPr>
          <w:b/>
          <w:bCs/>
          <w:i/>
          <w:caps w:val="0"/>
        </w:rPr>
        <w:t>Zanthoxylum</w:t>
      </w:r>
      <w:proofErr w:type="spellEnd"/>
      <w:r w:rsidR="003A316B" w:rsidRPr="00580A46">
        <w:rPr>
          <w:b/>
          <w:bCs/>
          <w:i/>
          <w:caps w:val="0"/>
        </w:rPr>
        <w:t xml:space="preserve"> </w:t>
      </w:r>
      <w:proofErr w:type="spellStart"/>
      <w:r w:rsidR="003A316B" w:rsidRPr="00580A46">
        <w:rPr>
          <w:b/>
          <w:bCs/>
          <w:i/>
          <w:caps w:val="0"/>
        </w:rPr>
        <w:t>asiaticum</w:t>
      </w:r>
      <w:proofErr w:type="spellEnd"/>
      <w:r w:rsidR="003A316B" w:rsidRPr="00580A46">
        <w:rPr>
          <w:b/>
          <w:bCs/>
          <w:i/>
          <w:caps w:val="0"/>
        </w:rPr>
        <w:t xml:space="preserve"> </w:t>
      </w:r>
      <w:r w:rsidRPr="00580A46">
        <w:rPr>
          <w:b/>
          <w:bCs/>
        </w:rPr>
        <w:t>extracts in combination</w:t>
      </w:r>
      <w:r w:rsidR="0094002A" w:rsidRPr="00580A46">
        <w:rPr>
          <w:b/>
          <w:bCs/>
        </w:rPr>
        <w:t>.</w:t>
      </w:r>
    </w:p>
    <w:p w14:paraId="289DC672" w14:textId="77777777" w:rsidR="0094002A" w:rsidRPr="00580A46" w:rsidRDefault="0094002A" w:rsidP="0094002A">
      <w:pPr>
        <w:autoSpaceDE w:val="0"/>
        <w:autoSpaceDN w:val="0"/>
        <w:adjustRightInd w:val="0"/>
        <w:ind w:right="360"/>
        <w:rPr>
          <w:b/>
          <w:bCs/>
          <w:szCs w:val="24"/>
        </w:rPr>
      </w:pPr>
    </w:p>
    <w:p w14:paraId="2C5ED052" w14:textId="25825287" w:rsidR="000A1691" w:rsidRPr="00580A46" w:rsidRDefault="00C231B4" w:rsidP="00C231B4">
      <w:pPr>
        <w:autoSpaceDE w:val="0"/>
        <w:autoSpaceDN w:val="0"/>
        <w:adjustRightInd w:val="0"/>
        <w:jc w:val="both"/>
        <w:rPr>
          <w:b/>
          <w:bCs/>
          <w:szCs w:val="24"/>
        </w:rPr>
      </w:pPr>
      <w:r w:rsidRPr="00580A46">
        <w:rPr>
          <w:szCs w:val="24"/>
        </w:rPr>
        <w:t xml:space="preserve">The mean RBC </w:t>
      </w:r>
      <w:r w:rsidR="00762766">
        <w:rPr>
          <w:szCs w:val="24"/>
        </w:rPr>
        <w:t xml:space="preserve">counts between the control and experimental groups were significantly different when </w:t>
      </w:r>
      <w:r w:rsidR="00575B2A">
        <w:rPr>
          <w:i/>
          <w:iCs/>
          <w:szCs w:val="24"/>
        </w:rPr>
        <w:t xml:space="preserve">plant </w:t>
      </w:r>
      <w:r w:rsidR="00762766">
        <w:rPr>
          <w:szCs w:val="24"/>
        </w:rPr>
        <w:t xml:space="preserve">extracts were administered to the mice (P </w:t>
      </w:r>
      <w:r w:rsidRPr="00580A46">
        <w:rPr>
          <w:szCs w:val="24"/>
        </w:rPr>
        <w:t xml:space="preserve">&lt; 0.05). The results of this study, as shown in Table </w:t>
      </w:r>
      <w:r w:rsidR="00762766">
        <w:rPr>
          <w:szCs w:val="24"/>
        </w:rPr>
        <w:t>3</w:t>
      </w:r>
      <w:r w:rsidRPr="00580A46">
        <w:rPr>
          <w:szCs w:val="24"/>
        </w:rPr>
        <w:t xml:space="preserve">, indicate that administering </w:t>
      </w:r>
      <w:proofErr w:type="spellStart"/>
      <w:r w:rsidR="00F466F4" w:rsidRPr="00580A46">
        <w:rPr>
          <w:i/>
          <w:szCs w:val="24"/>
        </w:rPr>
        <w:t>Delonix</w:t>
      </w:r>
      <w:proofErr w:type="spellEnd"/>
      <w:r w:rsidR="00F466F4" w:rsidRPr="00580A46">
        <w:rPr>
          <w:i/>
          <w:szCs w:val="24"/>
        </w:rPr>
        <w:t xml:space="preserve"> regia</w:t>
      </w:r>
      <w:r w:rsidR="003A316B" w:rsidRPr="00580A46">
        <w:rPr>
          <w:i/>
          <w:szCs w:val="24"/>
        </w:rPr>
        <w:t xml:space="preserve"> </w:t>
      </w:r>
      <w:r w:rsidRPr="00580A46">
        <w:rPr>
          <w:szCs w:val="24"/>
        </w:rPr>
        <w:t xml:space="preserve">extract to mice significantly reduces the number of RBCs in their blood (p &lt; 0.05), which may suggest a decrease in haemopoietic activity in the bone marrow to some extent. However, there was no significant difference between the mean levels of leucocytes, platelets, MCV, MCH, MCHC, and </w:t>
      </w:r>
      <w:proofErr w:type="spellStart"/>
      <w:r w:rsidRPr="00580A46">
        <w:rPr>
          <w:szCs w:val="24"/>
        </w:rPr>
        <w:t>haematocrit</w:t>
      </w:r>
      <w:proofErr w:type="spellEnd"/>
      <w:r w:rsidRPr="00580A46">
        <w:rPr>
          <w:szCs w:val="24"/>
        </w:rPr>
        <w:t xml:space="preserve"> in the experimental and control groups (P &gt; 0.05).</w:t>
      </w:r>
    </w:p>
    <w:p w14:paraId="69485D12" w14:textId="77777777" w:rsidR="000A1691" w:rsidRPr="00580A46" w:rsidRDefault="000A1691" w:rsidP="0094002A">
      <w:pPr>
        <w:autoSpaceDE w:val="0"/>
        <w:autoSpaceDN w:val="0"/>
        <w:adjustRightInd w:val="0"/>
        <w:ind w:right="360"/>
        <w:rPr>
          <w:b/>
          <w:bCs/>
          <w:szCs w:val="24"/>
        </w:rPr>
      </w:pPr>
    </w:p>
    <w:p w14:paraId="38FE6A4B" w14:textId="77777777" w:rsidR="000A1691" w:rsidRPr="00580A46" w:rsidRDefault="000A1691" w:rsidP="0094002A">
      <w:pPr>
        <w:autoSpaceDE w:val="0"/>
        <w:autoSpaceDN w:val="0"/>
        <w:adjustRightInd w:val="0"/>
        <w:ind w:right="360"/>
        <w:rPr>
          <w:b/>
          <w:bCs/>
          <w:szCs w:val="24"/>
        </w:rPr>
      </w:pPr>
    </w:p>
    <w:p w14:paraId="5C50B0AC" w14:textId="77777777" w:rsidR="000A1691" w:rsidRPr="00580A46" w:rsidRDefault="000A1691" w:rsidP="0094002A">
      <w:pPr>
        <w:autoSpaceDE w:val="0"/>
        <w:autoSpaceDN w:val="0"/>
        <w:adjustRightInd w:val="0"/>
        <w:ind w:right="360"/>
        <w:rPr>
          <w:b/>
          <w:bCs/>
          <w:szCs w:val="24"/>
        </w:rPr>
      </w:pPr>
    </w:p>
    <w:p w14:paraId="47D2D503" w14:textId="4EB94F8B" w:rsidR="0094002A" w:rsidRPr="00580A46" w:rsidRDefault="0094002A" w:rsidP="0094002A">
      <w:pPr>
        <w:pStyle w:val="Caption"/>
      </w:pPr>
      <w:r w:rsidRPr="00580A46">
        <w:t xml:space="preserve">Table </w:t>
      </w:r>
      <w:r w:rsidR="00A16163">
        <w:fldChar w:fldCharType="begin"/>
      </w:r>
      <w:r w:rsidR="00A16163">
        <w:instrText xml:space="preserve"> SEQ Table \* ARABIC </w:instrText>
      </w:r>
      <w:r w:rsidR="00A16163">
        <w:fldChar w:fldCharType="separate"/>
      </w:r>
      <w:r w:rsidR="004101B1">
        <w:rPr>
          <w:noProof/>
        </w:rPr>
        <w:t>3</w:t>
      </w:r>
      <w:r w:rsidR="00A16163">
        <w:rPr>
          <w:noProof/>
        </w:rPr>
        <w:fldChar w:fldCharType="end"/>
      </w:r>
      <w:r w:rsidRPr="00580A46">
        <w:t xml:space="preserve"> </w:t>
      </w:r>
      <w:proofErr w:type="spellStart"/>
      <w:r w:rsidRPr="00580A46">
        <w:t>Haematological</w:t>
      </w:r>
      <w:proofErr w:type="spellEnd"/>
      <w:r w:rsidRPr="00580A46">
        <w:t xml:space="preserve"> indicators of toxicity in mice treated with extracts of </w:t>
      </w:r>
      <w:proofErr w:type="spellStart"/>
      <w:r w:rsidR="00F466F4" w:rsidRPr="00580A46">
        <w:rPr>
          <w:i/>
        </w:rPr>
        <w:t>Delonix</w:t>
      </w:r>
      <w:proofErr w:type="spellEnd"/>
      <w:r w:rsidR="00F466F4" w:rsidRPr="00580A46">
        <w:rPr>
          <w:i/>
        </w:rPr>
        <w:t xml:space="preserve"> regia</w:t>
      </w:r>
      <w:r w:rsidR="003A316B" w:rsidRPr="00580A46">
        <w:rPr>
          <w:i/>
        </w:rPr>
        <w:t xml:space="preserve"> </w:t>
      </w:r>
      <w:r w:rsidRPr="00580A46">
        <w:t xml:space="preserve">and </w:t>
      </w:r>
      <w:proofErr w:type="spellStart"/>
      <w:r w:rsidR="003A316B" w:rsidRPr="00580A46">
        <w:rPr>
          <w:i/>
        </w:rPr>
        <w:t>Zanthoxylum</w:t>
      </w:r>
      <w:proofErr w:type="spellEnd"/>
      <w:r w:rsidR="003A316B" w:rsidRPr="00580A46">
        <w:rPr>
          <w:i/>
        </w:rPr>
        <w:t xml:space="preserve"> </w:t>
      </w:r>
      <w:proofErr w:type="spellStart"/>
      <w:r w:rsidR="003A316B" w:rsidRPr="00580A46">
        <w:rPr>
          <w:i/>
        </w:rPr>
        <w:t>asiaticum</w:t>
      </w:r>
      <w:proofErr w:type="spellEnd"/>
      <w:r w:rsidR="003A316B" w:rsidRPr="00580A46">
        <w:rPr>
          <w:i/>
        </w:rPr>
        <w:t xml:space="preserve"> </w:t>
      </w:r>
      <w:r w:rsidR="006D5DE3" w:rsidRPr="00580A46">
        <w:t>extracts</w:t>
      </w:r>
      <w:r w:rsidRPr="00580A46">
        <w:t xml:space="preserve"> combination</w:t>
      </w:r>
    </w:p>
    <w:tbl>
      <w:tblPr>
        <w:tblW w:w="5000" w:type="pct"/>
        <w:tblCellMar>
          <w:left w:w="60" w:type="dxa"/>
          <w:right w:w="60" w:type="dxa"/>
        </w:tblCellMar>
        <w:tblLook w:val="0000" w:firstRow="0" w:lastRow="0" w:firstColumn="0" w:lastColumn="0" w:noHBand="0" w:noVBand="0"/>
      </w:tblPr>
      <w:tblGrid>
        <w:gridCol w:w="2296"/>
        <w:gridCol w:w="1207"/>
        <w:gridCol w:w="1473"/>
        <w:gridCol w:w="1542"/>
        <w:gridCol w:w="2141"/>
        <w:gridCol w:w="2141"/>
      </w:tblGrid>
      <w:tr w:rsidR="00580A46" w:rsidRPr="00580A46" w14:paraId="7C74C07E" w14:textId="77777777" w:rsidTr="004101B1">
        <w:tc>
          <w:tcPr>
            <w:tcW w:w="1063" w:type="pct"/>
            <w:tcBorders>
              <w:top w:val="single" w:sz="12" w:space="0" w:color="auto"/>
              <w:bottom w:val="single" w:sz="12" w:space="0" w:color="auto"/>
            </w:tcBorders>
            <w:tcMar>
              <w:top w:w="15" w:type="dxa"/>
              <w:left w:w="30" w:type="dxa"/>
              <w:right w:w="30" w:type="dxa"/>
            </w:tcMar>
            <w:vAlign w:val="bottom"/>
          </w:tcPr>
          <w:p w14:paraId="7E42A682" w14:textId="77777777" w:rsidR="0094002A" w:rsidRPr="00580A46" w:rsidRDefault="0094002A" w:rsidP="004101B1">
            <w:pPr>
              <w:spacing w:after="160" w:line="259" w:lineRule="auto"/>
              <w:rPr>
                <w:b/>
                <w:bCs/>
              </w:rPr>
            </w:pPr>
            <w:r w:rsidRPr="00580A46">
              <w:rPr>
                <w:b/>
                <w:bCs/>
              </w:rPr>
              <w:t>Sample</w:t>
            </w:r>
          </w:p>
        </w:tc>
        <w:tc>
          <w:tcPr>
            <w:tcW w:w="559" w:type="pct"/>
            <w:tcBorders>
              <w:top w:val="single" w:sz="12" w:space="0" w:color="auto"/>
              <w:bottom w:val="single" w:sz="12" w:space="0" w:color="auto"/>
            </w:tcBorders>
            <w:tcMar>
              <w:top w:w="15" w:type="dxa"/>
              <w:left w:w="30" w:type="dxa"/>
              <w:right w:w="30" w:type="dxa"/>
            </w:tcMar>
            <w:vAlign w:val="bottom"/>
          </w:tcPr>
          <w:p w14:paraId="5DFAC1EF" w14:textId="77777777" w:rsidR="0094002A" w:rsidRPr="00580A46" w:rsidRDefault="0094002A" w:rsidP="004101B1">
            <w:pPr>
              <w:spacing w:after="160" w:line="259" w:lineRule="auto"/>
              <w:rPr>
                <w:b/>
                <w:bCs/>
              </w:rPr>
            </w:pPr>
            <w:r w:rsidRPr="00580A46">
              <w:t xml:space="preserve">Animal group </w:t>
            </w:r>
          </w:p>
        </w:tc>
        <w:tc>
          <w:tcPr>
            <w:tcW w:w="682" w:type="pct"/>
            <w:tcBorders>
              <w:top w:val="single" w:sz="12" w:space="0" w:color="auto"/>
              <w:bottom w:val="single" w:sz="12" w:space="0" w:color="auto"/>
            </w:tcBorders>
            <w:tcMar>
              <w:top w:w="15" w:type="dxa"/>
              <w:left w:w="30" w:type="dxa"/>
              <w:right w:w="30" w:type="dxa"/>
            </w:tcMar>
            <w:vAlign w:val="bottom"/>
          </w:tcPr>
          <w:p w14:paraId="77EEDFA3" w14:textId="77777777" w:rsidR="0094002A" w:rsidRPr="00580A46" w:rsidRDefault="0094002A" w:rsidP="004101B1">
            <w:pPr>
              <w:spacing w:after="160" w:line="259" w:lineRule="auto"/>
              <w:rPr>
                <w:b/>
                <w:bCs/>
              </w:rPr>
            </w:pPr>
            <w:r w:rsidRPr="00580A46">
              <w:rPr>
                <w:b/>
                <w:bCs/>
              </w:rPr>
              <w:t>Mean</w:t>
            </w:r>
          </w:p>
        </w:tc>
        <w:tc>
          <w:tcPr>
            <w:tcW w:w="714" w:type="pct"/>
            <w:tcBorders>
              <w:top w:val="single" w:sz="12" w:space="0" w:color="auto"/>
              <w:bottom w:val="single" w:sz="12" w:space="0" w:color="auto"/>
            </w:tcBorders>
            <w:tcMar>
              <w:top w:w="15" w:type="dxa"/>
              <w:left w:w="30" w:type="dxa"/>
              <w:right w:w="30" w:type="dxa"/>
            </w:tcMar>
            <w:vAlign w:val="bottom"/>
          </w:tcPr>
          <w:p w14:paraId="22066D0C" w14:textId="77777777" w:rsidR="0094002A" w:rsidRPr="00580A46" w:rsidRDefault="0094002A" w:rsidP="004101B1">
            <w:pPr>
              <w:spacing w:after="160" w:line="259" w:lineRule="auto"/>
              <w:rPr>
                <w:b/>
                <w:bCs/>
              </w:rPr>
            </w:pPr>
            <w:proofErr w:type="spellStart"/>
            <w:r w:rsidRPr="00580A46">
              <w:rPr>
                <w:b/>
                <w:bCs/>
              </w:rPr>
              <w:t>StDev</w:t>
            </w:r>
            <w:proofErr w:type="spellEnd"/>
          </w:p>
        </w:tc>
        <w:tc>
          <w:tcPr>
            <w:tcW w:w="991" w:type="pct"/>
            <w:tcBorders>
              <w:top w:val="single" w:sz="12" w:space="0" w:color="auto"/>
              <w:bottom w:val="single" w:sz="12" w:space="0" w:color="auto"/>
            </w:tcBorders>
            <w:tcMar>
              <w:top w:w="15" w:type="dxa"/>
              <w:left w:w="30" w:type="dxa"/>
              <w:right w:w="30" w:type="dxa"/>
            </w:tcMar>
            <w:vAlign w:val="bottom"/>
          </w:tcPr>
          <w:p w14:paraId="6B923083" w14:textId="77777777" w:rsidR="0094002A" w:rsidRPr="00580A46" w:rsidRDefault="0094002A" w:rsidP="004101B1">
            <w:pPr>
              <w:spacing w:after="160" w:line="259" w:lineRule="auto"/>
              <w:rPr>
                <w:b/>
                <w:bCs/>
              </w:rPr>
            </w:pPr>
            <w:r w:rsidRPr="00580A46">
              <w:rPr>
                <w:b/>
                <w:bCs/>
              </w:rPr>
              <w:t>SE Mean</w:t>
            </w:r>
          </w:p>
        </w:tc>
        <w:tc>
          <w:tcPr>
            <w:tcW w:w="991" w:type="pct"/>
            <w:tcBorders>
              <w:top w:val="single" w:sz="12" w:space="0" w:color="auto"/>
              <w:bottom w:val="single" w:sz="12" w:space="0" w:color="auto"/>
            </w:tcBorders>
          </w:tcPr>
          <w:p w14:paraId="625BF28C" w14:textId="77777777" w:rsidR="0094002A" w:rsidRPr="00580A46" w:rsidRDefault="0094002A" w:rsidP="004101B1">
            <w:pPr>
              <w:rPr>
                <w:b/>
                <w:bCs/>
              </w:rPr>
            </w:pPr>
            <w:r w:rsidRPr="00580A46">
              <w:rPr>
                <w:b/>
                <w:bCs/>
              </w:rPr>
              <w:t>p- value</w:t>
            </w:r>
          </w:p>
        </w:tc>
      </w:tr>
      <w:tr w:rsidR="00580A46" w:rsidRPr="00580A46" w14:paraId="3521CB0F" w14:textId="77777777" w:rsidTr="004101B1">
        <w:tc>
          <w:tcPr>
            <w:tcW w:w="1063" w:type="pct"/>
            <w:tcBorders>
              <w:top w:val="single" w:sz="12" w:space="0" w:color="auto"/>
              <w:left w:val="nil"/>
              <w:bottom w:val="nil"/>
              <w:right w:val="nil"/>
            </w:tcBorders>
            <w:tcMar>
              <w:top w:w="15" w:type="dxa"/>
              <w:left w:w="30" w:type="dxa"/>
              <w:right w:w="30" w:type="dxa"/>
            </w:tcMar>
          </w:tcPr>
          <w:p w14:paraId="2609A799" w14:textId="77777777" w:rsidR="0094002A" w:rsidRPr="00580A46" w:rsidRDefault="0094002A" w:rsidP="004101B1">
            <w:pPr>
              <w:spacing w:after="160" w:line="259" w:lineRule="auto"/>
            </w:pPr>
            <w:r w:rsidRPr="00580A46">
              <w:t>Hb</w:t>
            </w:r>
          </w:p>
        </w:tc>
        <w:tc>
          <w:tcPr>
            <w:tcW w:w="559" w:type="pct"/>
            <w:tcBorders>
              <w:top w:val="single" w:sz="12" w:space="0" w:color="auto"/>
              <w:left w:val="nil"/>
              <w:bottom w:val="nil"/>
              <w:right w:val="nil"/>
            </w:tcBorders>
            <w:tcMar>
              <w:top w:w="15" w:type="dxa"/>
              <w:left w:w="30" w:type="dxa"/>
              <w:right w:w="30" w:type="dxa"/>
            </w:tcMar>
          </w:tcPr>
          <w:p w14:paraId="5B6F5BF1" w14:textId="77777777" w:rsidR="0094002A" w:rsidRPr="00580A46" w:rsidRDefault="0094002A" w:rsidP="004101B1">
            <w:pPr>
              <w:spacing w:after="160" w:line="259" w:lineRule="auto"/>
            </w:pPr>
            <w:r w:rsidRPr="00580A46">
              <w:rPr>
                <w:szCs w:val="24"/>
              </w:rPr>
              <w:t xml:space="preserve">Control </w:t>
            </w:r>
          </w:p>
        </w:tc>
        <w:tc>
          <w:tcPr>
            <w:tcW w:w="682" w:type="pct"/>
            <w:tcBorders>
              <w:top w:val="single" w:sz="12" w:space="0" w:color="auto"/>
              <w:left w:val="nil"/>
              <w:bottom w:val="nil"/>
              <w:right w:val="nil"/>
            </w:tcBorders>
            <w:tcMar>
              <w:top w:w="15" w:type="dxa"/>
              <w:left w:w="30" w:type="dxa"/>
              <w:right w:w="30" w:type="dxa"/>
            </w:tcMar>
          </w:tcPr>
          <w:p w14:paraId="5A2711B4" w14:textId="77777777" w:rsidR="0094002A" w:rsidRPr="00580A46" w:rsidRDefault="0094002A" w:rsidP="004101B1">
            <w:pPr>
              <w:spacing w:after="160" w:line="259" w:lineRule="auto"/>
              <w:rPr>
                <w:b/>
                <w:bCs/>
              </w:rPr>
            </w:pPr>
            <w:r w:rsidRPr="00580A46">
              <w:rPr>
                <w:b/>
                <w:bCs/>
              </w:rPr>
              <w:t>12.17</w:t>
            </w:r>
          </w:p>
        </w:tc>
        <w:tc>
          <w:tcPr>
            <w:tcW w:w="714" w:type="pct"/>
            <w:tcBorders>
              <w:top w:val="single" w:sz="12" w:space="0" w:color="auto"/>
              <w:left w:val="nil"/>
              <w:bottom w:val="nil"/>
              <w:right w:val="nil"/>
            </w:tcBorders>
            <w:tcMar>
              <w:top w:w="15" w:type="dxa"/>
              <w:left w:w="30" w:type="dxa"/>
              <w:right w:w="30" w:type="dxa"/>
            </w:tcMar>
          </w:tcPr>
          <w:p w14:paraId="27DF0879" w14:textId="77777777" w:rsidR="0094002A" w:rsidRPr="00580A46" w:rsidRDefault="0094002A" w:rsidP="004101B1">
            <w:pPr>
              <w:spacing w:after="160" w:line="259" w:lineRule="auto"/>
              <w:rPr>
                <w:b/>
                <w:bCs/>
              </w:rPr>
            </w:pPr>
            <w:r w:rsidRPr="00580A46">
              <w:rPr>
                <w:b/>
                <w:bCs/>
              </w:rPr>
              <w:t>1.60</w:t>
            </w:r>
          </w:p>
        </w:tc>
        <w:tc>
          <w:tcPr>
            <w:tcW w:w="991" w:type="pct"/>
            <w:tcBorders>
              <w:top w:val="single" w:sz="12" w:space="0" w:color="auto"/>
              <w:left w:val="nil"/>
              <w:bottom w:val="nil"/>
              <w:right w:val="nil"/>
            </w:tcBorders>
            <w:tcMar>
              <w:top w:w="15" w:type="dxa"/>
              <w:left w:w="30" w:type="dxa"/>
              <w:right w:w="30" w:type="dxa"/>
            </w:tcMar>
          </w:tcPr>
          <w:p w14:paraId="3254DAE1" w14:textId="77777777" w:rsidR="0094002A" w:rsidRPr="00580A46" w:rsidRDefault="0094002A" w:rsidP="004101B1">
            <w:pPr>
              <w:spacing w:after="160" w:line="259" w:lineRule="auto"/>
              <w:rPr>
                <w:b/>
                <w:bCs/>
              </w:rPr>
            </w:pPr>
            <w:r w:rsidRPr="00580A46">
              <w:rPr>
                <w:b/>
                <w:bCs/>
              </w:rPr>
              <w:t>0.65</w:t>
            </w:r>
          </w:p>
        </w:tc>
        <w:tc>
          <w:tcPr>
            <w:tcW w:w="991" w:type="pct"/>
            <w:tcBorders>
              <w:top w:val="single" w:sz="12" w:space="0" w:color="auto"/>
              <w:left w:val="nil"/>
              <w:bottom w:val="nil"/>
              <w:right w:val="nil"/>
            </w:tcBorders>
          </w:tcPr>
          <w:p w14:paraId="7C5DCA2B" w14:textId="77777777" w:rsidR="0094002A" w:rsidRPr="00580A46" w:rsidRDefault="0094002A" w:rsidP="004101B1">
            <w:pPr>
              <w:rPr>
                <w:b/>
                <w:bCs/>
              </w:rPr>
            </w:pPr>
            <w:r w:rsidRPr="00580A46">
              <w:rPr>
                <w:b/>
                <w:bCs/>
              </w:rPr>
              <w:t>0.557</w:t>
            </w:r>
          </w:p>
        </w:tc>
      </w:tr>
      <w:tr w:rsidR="00580A46" w:rsidRPr="00580A46" w14:paraId="0FD5D1C3" w14:textId="77777777" w:rsidTr="004101B1">
        <w:tc>
          <w:tcPr>
            <w:tcW w:w="1063" w:type="pct"/>
            <w:tcBorders>
              <w:top w:val="nil"/>
              <w:left w:val="nil"/>
              <w:bottom w:val="nil"/>
              <w:right w:val="nil"/>
            </w:tcBorders>
            <w:tcMar>
              <w:top w:w="15" w:type="dxa"/>
              <w:left w:w="30" w:type="dxa"/>
              <w:right w:w="30" w:type="dxa"/>
            </w:tcMar>
          </w:tcPr>
          <w:p w14:paraId="6C77C69A" w14:textId="77777777" w:rsidR="0094002A" w:rsidRPr="00580A46" w:rsidRDefault="0094002A" w:rsidP="004101B1">
            <w:pPr>
              <w:spacing w:after="160" w:line="259" w:lineRule="auto"/>
            </w:pPr>
            <w:r w:rsidRPr="00580A46">
              <w:t>Hb</w:t>
            </w:r>
          </w:p>
        </w:tc>
        <w:tc>
          <w:tcPr>
            <w:tcW w:w="559" w:type="pct"/>
            <w:tcBorders>
              <w:top w:val="nil"/>
              <w:left w:val="nil"/>
              <w:bottom w:val="nil"/>
              <w:right w:val="nil"/>
            </w:tcBorders>
            <w:tcMar>
              <w:top w:w="15" w:type="dxa"/>
              <w:left w:w="30" w:type="dxa"/>
              <w:right w:w="30" w:type="dxa"/>
            </w:tcMar>
          </w:tcPr>
          <w:p w14:paraId="4A0AFF13" w14:textId="77777777" w:rsidR="0094002A" w:rsidRPr="00580A46" w:rsidRDefault="0094002A" w:rsidP="004101B1">
            <w:pPr>
              <w:spacing w:after="160" w:line="259" w:lineRule="auto"/>
            </w:pPr>
            <w:r w:rsidRPr="00580A46">
              <w:rPr>
                <w:szCs w:val="24"/>
              </w:rPr>
              <w:t xml:space="preserve">Treatment </w:t>
            </w:r>
          </w:p>
        </w:tc>
        <w:tc>
          <w:tcPr>
            <w:tcW w:w="682" w:type="pct"/>
            <w:tcBorders>
              <w:top w:val="nil"/>
              <w:left w:val="nil"/>
              <w:bottom w:val="nil"/>
              <w:right w:val="nil"/>
            </w:tcBorders>
            <w:tcMar>
              <w:top w:w="15" w:type="dxa"/>
              <w:left w:w="30" w:type="dxa"/>
              <w:right w:w="30" w:type="dxa"/>
            </w:tcMar>
          </w:tcPr>
          <w:p w14:paraId="22E862EE" w14:textId="77777777" w:rsidR="0094002A" w:rsidRPr="00580A46" w:rsidRDefault="0094002A" w:rsidP="004101B1">
            <w:pPr>
              <w:spacing w:after="160" w:line="259" w:lineRule="auto"/>
              <w:rPr>
                <w:b/>
                <w:bCs/>
              </w:rPr>
            </w:pPr>
            <w:r w:rsidRPr="00580A46">
              <w:rPr>
                <w:b/>
                <w:bCs/>
              </w:rPr>
              <w:t>12.67</w:t>
            </w:r>
          </w:p>
        </w:tc>
        <w:tc>
          <w:tcPr>
            <w:tcW w:w="714" w:type="pct"/>
            <w:tcBorders>
              <w:top w:val="nil"/>
              <w:left w:val="nil"/>
              <w:bottom w:val="nil"/>
              <w:right w:val="nil"/>
            </w:tcBorders>
            <w:tcMar>
              <w:top w:w="15" w:type="dxa"/>
              <w:left w:w="30" w:type="dxa"/>
              <w:right w:w="30" w:type="dxa"/>
            </w:tcMar>
          </w:tcPr>
          <w:p w14:paraId="482814EF" w14:textId="77777777" w:rsidR="0094002A" w:rsidRPr="00580A46" w:rsidRDefault="0094002A" w:rsidP="004101B1">
            <w:pPr>
              <w:spacing w:after="160" w:line="259" w:lineRule="auto"/>
              <w:rPr>
                <w:b/>
                <w:bCs/>
              </w:rPr>
            </w:pPr>
            <w:r w:rsidRPr="00580A46">
              <w:rPr>
                <w:b/>
                <w:bCs/>
              </w:rPr>
              <w:t>1.21</w:t>
            </w:r>
          </w:p>
        </w:tc>
        <w:tc>
          <w:tcPr>
            <w:tcW w:w="991" w:type="pct"/>
            <w:tcBorders>
              <w:top w:val="nil"/>
              <w:left w:val="nil"/>
              <w:bottom w:val="nil"/>
              <w:right w:val="nil"/>
            </w:tcBorders>
            <w:tcMar>
              <w:top w:w="15" w:type="dxa"/>
              <w:left w:w="30" w:type="dxa"/>
              <w:right w:w="30" w:type="dxa"/>
            </w:tcMar>
          </w:tcPr>
          <w:p w14:paraId="44B7F1CF" w14:textId="77777777" w:rsidR="0094002A" w:rsidRPr="00580A46" w:rsidRDefault="0094002A" w:rsidP="004101B1">
            <w:pPr>
              <w:spacing w:after="160" w:line="259" w:lineRule="auto"/>
              <w:rPr>
                <w:b/>
                <w:bCs/>
              </w:rPr>
            </w:pPr>
            <w:r w:rsidRPr="00580A46">
              <w:rPr>
                <w:b/>
                <w:bCs/>
              </w:rPr>
              <w:t>0.49</w:t>
            </w:r>
          </w:p>
        </w:tc>
        <w:tc>
          <w:tcPr>
            <w:tcW w:w="991" w:type="pct"/>
            <w:tcBorders>
              <w:top w:val="nil"/>
              <w:left w:val="nil"/>
              <w:bottom w:val="nil"/>
              <w:right w:val="nil"/>
            </w:tcBorders>
          </w:tcPr>
          <w:p w14:paraId="5FC47BFF" w14:textId="77777777" w:rsidR="0094002A" w:rsidRPr="00580A46" w:rsidRDefault="0094002A" w:rsidP="004101B1">
            <w:pPr>
              <w:rPr>
                <w:b/>
                <w:bCs/>
              </w:rPr>
            </w:pPr>
          </w:p>
        </w:tc>
      </w:tr>
      <w:tr w:rsidR="00580A46" w:rsidRPr="00580A46" w14:paraId="6E861964" w14:textId="77777777" w:rsidTr="004101B1">
        <w:tc>
          <w:tcPr>
            <w:tcW w:w="1063" w:type="pct"/>
            <w:tcBorders>
              <w:top w:val="nil"/>
              <w:left w:val="nil"/>
              <w:bottom w:val="nil"/>
              <w:right w:val="nil"/>
            </w:tcBorders>
            <w:tcMar>
              <w:top w:w="15" w:type="dxa"/>
              <w:left w:w="30" w:type="dxa"/>
              <w:right w:w="30" w:type="dxa"/>
            </w:tcMar>
          </w:tcPr>
          <w:p w14:paraId="18DCDD70" w14:textId="77777777" w:rsidR="0094002A" w:rsidRPr="00580A46" w:rsidRDefault="0094002A" w:rsidP="004101B1">
            <w:r w:rsidRPr="00580A46">
              <w:t xml:space="preserve">HEMO </w:t>
            </w:r>
          </w:p>
        </w:tc>
        <w:tc>
          <w:tcPr>
            <w:tcW w:w="559" w:type="pct"/>
            <w:tcBorders>
              <w:top w:val="nil"/>
              <w:left w:val="nil"/>
              <w:bottom w:val="nil"/>
              <w:right w:val="nil"/>
            </w:tcBorders>
            <w:tcMar>
              <w:top w:w="15" w:type="dxa"/>
              <w:left w:w="30" w:type="dxa"/>
              <w:right w:w="30" w:type="dxa"/>
            </w:tcMar>
          </w:tcPr>
          <w:p w14:paraId="6C27E2FB" w14:textId="77777777" w:rsidR="0094002A" w:rsidRPr="00580A46" w:rsidRDefault="0094002A" w:rsidP="004101B1">
            <w:r w:rsidRPr="00580A46">
              <w:rPr>
                <w:szCs w:val="24"/>
              </w:rPr>
              <w:t>control</w:t>
            </w:r>
          </w:p>
        </w:tc>
        <w:tc>
          <w:tcPr>
            <w:tcW w:w="682" w:type="pct"/>
            <w:tcBorders>
              <w:top w:val="nil"/>
              <w:left w:val="nil"/>
              <w:bottom w:val="nil"/>
              <w:right w:val="nil"/>
            </w:tcBorders>
            <w:tcMar>
              <w:top w:w="15" w:type="dxa"/>
              <w:left w:w="30" w:type="dxa"/>
              <w:right w:w="30" w:type="dxa"/>
            </w:tcMar>
          </w:tcPr>
          <w:p w14:paraId="513BBA75" w14:textId="77777777" w:rsidR="0094002A" w:rsidRPr="00580A46" w:rsidRDefault="0094002A" w:rsidP="004101B1">
            <w:pPr>
              <w:rPr>
                <w:b/>
                <w:bCs/>
              </w:rPr>
            </w:pPr>
            <w:r w:rsidRPr="00580A46">
              <w:rPr>
                <w:b/>
                <w:bCs/>
              </w:rPr>
              <w:t>39.67</w:t>
            </w:r>
          </w:p>
        </w:tc>
        <w:tc>
          <w:tcPr>
            <w:tcW w:w="714" w:type="pct"/>
            <w:tcBorders>
              <w:top w:val="nil"/>
              <w:left w:val="nil"/>
              <w:bottom w:val="nil"/>
              <w:right w:val="nil"/>
            </w:tcBorders>
            <w:tcMar>
              <w:top w:w="15" w:type="dxa"/>
              <w:left w:w="30" w:type="dxa"/>
              <w:right w:w="30" w:type="dxa"/>
            </w:tcMar>
          </w:tcPr>
          <w:p w14:paraId="7B6CFD55" w14:textId="77777777" w:rsidR="0094002A" w:rsidRPr="00580A46" w:rsidRDefault="0094002A" w:rsidP="004101B1">
            <w:pPr>
              <w:rPr>
                <w:b/>
                <w:bCs/>
              </w:rPr>
            </w:pPr>
            <w:r w:rsidRPr="00580A46">
              <w:rPr>
                <w:b/>
                <w:bCs/>
              </w:rPr>
              <w:t>6.44</w:t>
            </w:r>
          </w:p>
        </w:tc>
        <w:tc>
          <w:tcPr>
            <w:tcW w:w="991" w:type="pct"/>
            <w:tcBorders>
              <w:top w:val="nil"/>
              <w:left w:val="nil"/>
              <w:bottom w:val="nil"/>
              <w:right w:val="nil"/>
            </w:tcBorders>
            <w:tcMar>
              <w:top w:w="15" w:type="dxa"/>
              <w:left w:w="30" w:type="dxa"/>
              <w:right w:w="30" w:type="dxa"/>
            </w:tcMar>
          </w:tcPr>
          <w:p w14:paraId="1F3F9620" w14:textId="77777777" w:rsidR="0094002A" w:rsidRPr="00580A46" w:rsidRDefault="0094002A" w:rsidP="004101B1">
            <w:pPr>
              <w:rPr>
                <w:b/>
                <w:bCs/>
              </w:rPr>
            </w:pPr>
            <w:r w:rsidRPr="00580A46">
              <w:rPr>
                <w:b/>
                <w:bCs/>
              </w:rPr>
              <w:t>2.6</w:t>
            </w:r>
          </w:p>
        </w:tc>
        <w:tc>
          <w:tcPr>
            <w:tcW w:w="991" w:type="pct"/>
            <w:tcBorders>
              <w:top w:val="nil"/>
              <w:left w:val="nil"/>
              <w:bottom w:val="nil"/>
              <w:right w:val="nil"/>
            </w:tcBorders>
          </w:tcPr>
          <w:p w14:paraId="656F00FF" w14:textId="77777777" w:rsidR="0094002A" w:rsidRPr="00580A46" w:rsidRDefault="0094002A" w:rsidP="004101B1">
            <w:pPr>
              <w:rPr>
                <w:b/>
                <w:bCs/>
              </w:rPr>
            </w:pPr>
            <w:r w:rsidRPr="00580A46">
              <w:rPr>
                <w:b/>
                <w:bCs/>
              </w:rPr>
              <w:t>0.669</w:t>
            </w:r>
          </w:p>
        </w:tc>
      </w:tr>
      <w:tr w:rsidR="00580A46" w:rsidRPr="00580A46" w14:paraId="3DB4D23F" w14:textId="77777777" w:rsidTr="004101B1">
        <w:tc>
          <w:tcPr>
            <w:tcW w:w="1063" w:type="pct"/>
            <w:tcBorders>
              <w:top w:val="nil"/>
              <w:left w:val="nil"/>
              <w:bottom w:val="nil"/>
              <w:right w:val="nil"/>
            </w:tcBorders>
            <w:tcMar>
              <w:top w:w="15" w:type="dxa"/>
              <w:left w:w="30" w:type="dxa"/>
              <w:right w:w="30" w:type="dxa"/>
            </w:tcMar>
          </w:tcPr>
          <w:p w14:paraId="2988FA9B" w14:textId="77777777" w:rsidR="0094002A" w:rsidRPr="00580A46" w:rsidRDefault="0094002A" w:rsidP="004101B1">
            <w:proofErr w:type="spellStart"/>
            <w:r w:rsidRPr="00580A46">
              <w:t>heamocrite</w:t>
            </w:r>
            <w:proofErr w:type="spellEnd"/>
          </w:p>
        </w:tc>
        <w:tc>
          <w:tcPr>
            <w:tcW w:w="559" w:type="pct"/>
            <w:tcBorders>
              <w:top w:val="nil"/>
              <w:left w:val="nil"/>
              <w:bottom w:val="nil"/>
              <w:right w:val="nil"/>
            </w:tcBorders>
            <w:tcMar>
              <w:top w:w="15" w:type="dxa"/>
              <w:left w:w="30" w:type="dxa"/>
              <w:right w:w="30" w:type="dxa"/>
            </w:tcMar>
          </w:tcPr>
          <w:p w14:paraId="0702C7BB" w14:textId="77777777" w:rsidR="0094002A" w:rsidRPr="00580A46" w:rsidRDefault="0094002A" w:rsidP="004101B1">
            <w:r w:rsidRPr="00580A46">
              <w:rPr>
                <w:szCs w:val="24"/>
              </w:rPr>
              <w:t>treatment</w:t>
            </w:r>
          </w:p>
        </w:tc>
        <w:tc>
          <w:tcPr>
            <w:tcW w:w="682" w:type="pct"/>
            <w:tcBorders>
              <w:top w:val="nil"/>
              <w:left w:val="nil"/>
              <w:bottom w:val="nil"/>
              <w:right w:val="nil"/>
            </w:tcBorders>
            <w:tcMar>
              <w:top w:w="15" w:type="dxa"/>
              <w:left w:w="30" w:type="dxa"/>
              <w:right w:w="30" w:type="dxa"/>
            </w:tcMar>
          </w:tcPr>
          <w:p w14:paraId="10B505FC" w14:textId="77777777" w:rsidR="0094002A" w:rsidRPr="00580A46" w:rsidRDefault="0094002A" w:rsidP="004101B1">
            <w:pPr>
              <w:rPr>
                <w:b/>
                <w:bCs/>
              </w:rPr>
            </w:pPr>
            <w:r w:rsidRPr="00580A46">
              <w:rPr>
                <w:b/>
                <w:bCs/>
              </w:rPr>
              <w:t>38.00</w:t>
            </w:r>
          </w:p>
        </w:tc>
        <w:tc>
          <w:tcPr>
            <w:tcW w:w="714" w:type="pct"/>
            <w:tcBorders>
              <w:top w:val="nil"/>
              <w:left w:val="nil"/>
              <w:bottom w:val="nil"/>
              <w:right w:val="nil"/>
            </w:tcBorders>
            <w:tcMar>
              <w:top w:w="15" w:type="dxa"/>
              <w:left w:w="30" w:type="dxa"/>
              <w:right w:w="30" w:type="dxa"/>
            </w:tcMar>
          </w:tcPr>
          <w:p w14:paraId="0BB35F1B" w14:textId="77777777" w:rsidR="0094002A" w:rsidRPr="00580A46" w:rsidRDefault="0094002A" w:rsidP="004101B1">
            <w:pPr>
              <w:rPr>
                <w:b/>
                <w:bCs/>
              </w:rPr>
            </w:pPr>
            <w:r w:rsidRPr="00580A46">
              <w:rPr>
                <w:b/>
                <w:bCs/>
              </w:rPr>
              <w:t>6.63</w:t>
            </w:r>
          </w:p>
        </w:tc>
        <w:tc>
          <w:tcPr>
            <w:tcW w:w="991" w:type="pct"/>
            <w:tcBorders>
              <w:top w:val="nil"/>
              <w:left w:val="nil"/>
              <w:bottom w:val="nil"/>
              <w:right w:val="nil"/>
            </w:tcBorders>
            <w:tcMar>
              <w:top w:w="15" w:type="dxa"/>
              <w:left w:w="30" w:type="dxa"/>
              <w:right w:w="30" w:type="dxa"/>
            </w:tcMar>
          </w:tcPr>
          <w:p w14:paraId="7B543804" w14:textId="77777777" w:rsidR="0094002A" w:rsidRPr="00580A46" w:rsidRDefault="0094002A" w:rsidP="004101B1">
            <w:pPr>
              <w:rPr>
                <w:b/>
                <w:bCs/>
              </w:rPr>
            </w:pPr>
            <w:r w:rsidRPr="00580A46">
              <w:rPr>
                <w:b/>
                <w:bCs/>
              </w:rPr>
              <w:t>2.7</w:t>
            </w:r>
          </w:p>
        </w:tc>
        <w:tc>
          <w:tcPr>
            <w:tcW w:w="991" w:type="pct"/>
            <w:tcBorders>
              <w:top w:val="nil"/>
              <w:left w:val="nil"/>
              <w:bottom w:val="nil"/>
              <w:right w:val="nil"/>
            </w:tcBorders>
          </w:tcPr>
          <w:p w14:paraId="68F5EDE8" w14:textId="77777777" w:rsidR="0094002A" w:rsidRPr="00580A46" w:rsidRDefault="0094002A" w:rsidP="004101B1">
            <w:pPr>
              <w:rPr>
                <w:b/>
                <w:bCs/>
              </w:rPr>
            </w:pPr>
          </w:p>
        </w:tc>
      </w:tr>
      <w:tr w:rsidR="00580A46" w:rsidRPr="00580A46" w14:paraId="58F04A30" w14:textId="77777777" w:rsidTr="004101B1">
        <w:tc>
          <w:tcPr>
            <w:tcW w:w="1063" w:type="pct"/>
            <w:tcBorders>
              <w:top w:val="nil"/>
              <w:left w:val="nil"/>
              <w:bottom w:val="nil"/>
              <w:right w:val="nil"/>
            </w:tcBorders>
            <w:tcMar>
              <w:top w:w="15" w:type="dxa"/>
              <w:left w:w="30" w:type="dxa"/>
              <w:right w:w="30" w:type="dxa"/>
            </w:tcMar>
          </w:tcPr>
          <w:p w14:paraId="5CF2831E" w14:textId="77777777" w:rsidR="0094002A" w:rsidRPr="00580A46" w:rsidRDefault="0094002A" w:rsidP="004101B1">
            <w:r w:rsidRPr="00580A46">
              <w:t xml:space="preserve">RBC </w:t>
            </w:r>
          </w:p>
        </w:tc>
        <w:tc>
          <w:tcPr>
            <w:tcW w:w="559" w:type="pct"/>
            <w:tcBorders>
              <w:top w:val="nil"/>
              <w:left w:val="nil"/>
              <w:bottom w:val="nil"/>
              <w:right w:val="nil"/>
            </w:tcBorders>
            <w:tcMar>
              <w:top w:w="15" w:type="dxa"/>
              <w:left w:w="30" w:type="dxa"/>
              <w:right w:w="30" w:type="dxa"/>
            </w:tcMar>
          </w:tcPr>
          <w:p w14:paraId="5E9CF3A2" w14:textId="77777777" w:rsidR="0094002A" w:rsidRPr="00580A46" w:rsidRDefault="0094002A" w:rsidP="004101B1">
            <w:r w:rsidRPr="00580A46">
              <w:rPr>
                <w:szCs w:val="24"/>
              </w:rPr>
              <w:t xml:space="preserve">Control </w:t>
            </w:r>
          </w:p>
        </w:tc>
        <w:tc>
          <w:tcPr>
            <w:tcW w:w="682" w:type="pct"/>
            <w:tcBorders>
              <w:top w:val="nil"/>
              <w:left w:val="nil"/>
              <w:bottom w:val="nil"/>
              <w:right w:val="nil"/>
            </w:tcBorders>
            <w:tcMar>
              <w:top w:w="15" w:type="dxa"/>
              <w:left w:w="30" w:type="dxa"/>
              <w:right w:w="30" w:type="dxa"/>
            </w:tcMar>
          </w:tcPr>
          <w:p w14:paraId="463B709B" w14:textId="77777777" w:rsidR="0094002A" w:rsidRPr="00580A46" w:rsidRDefault="0094002A" w:rsidP="004101B1">
            <w:pPr>
              <w:rPr>
                <w:b/>
                <w:bCs/>
              </w:rPr>
            </w:pPr>
            <w:r w:rsidRPr="00580A46">
              <w:rPr>
                <w:b/>
                <w:bCs/>
              </w:rPr>
              <w:t>9.17</w:t>
            </w:r>
          </w:p>
        </w:tc>
        <w:tc>
          <w:tcPr>
            <w:tcW w:w="714" w:type="pct"/>
            <w:tcBorders>
              <w:top w:val="nil"/>
              <w:left w:val="nil"/>
              <w:bottom w:val="nil"/>
              <w:right w:val="nil"/>
            </w:tcBorders>
            <w:tcMar>
              <w:top w:w="15" w:type="dxa"/>
              <w:left w:w="30" w:type="dxa"/>
              <w:right w:w="30" w:type="dxa"/>
            </w:tcMar>
          </w:tcPr>
          <w:p w14:paraId="715BD395" w14:textId="77777777" w:rsidR="0094002A" w:rsidRPr="00580A46" w:rsidRDefault="0094002A" w:rsidP="004101B1">
            <w:pPr>
              <w:rPr>
                <w:b/>
                <w:bCs/>
              </w:rPr>
            </w:pPr>
            <w:r w:rsidRPr="00580A46">
              <w:rPr>
                <w:b/>
                <w:bCs/>
              </w:rPr>
              <w:t>1.72</w:t>
            </w:r>
          </w:p>
        </w:tc>
        <w:tc>
          <w:tcPr>
            <w:tcW w:w="991" w:type="pct"/>
            <w:tcBorders>
              <w:top w:val="nil"/>
              <w:left w:val="nil"/>
              <w:bottom w:val="nil"/>
              <w:right w:val="nil"/>
            </w:tcBorders>
            <w:tcMar>
              <w:top w:w="15" w:type="dxa"/>
              <w:left w:w="30" w:type="dxa"/>
              <w:right w:w="30" w:type="dxa"/>
            </w:tcMar>
          </w:tcPr>
          <w:p w14:paraId="6AD0DCD5" w14:textId="77777777" w:rsidR="0094002A" w:rsidRPr="00580A46" w:rsidRDefault="0094002A" w:rsidP="004101B1">
            <w:pPr>
              <w:rPr>
                <w:b/>
                <w:bCs/>
              </w:rPr>
            </w:pPr>
            <w:r w:rsidRPr="00580A46">
              <w:rPr>
                <w:b/>
                <w:bCs/>
              </w:rPr>
              <w:t>0.70</w:t>
            </w:r>
          </w:p>
        </w:tc>
        <w:tc>
          <w:tcPr>
            <w:tcW w:w="991" w:type="pct"/>
            <w:tcBorders>
              <w:top w:val="nil"/>
              <w:left w:val="nil"/>
              <w:bottom w:val="nil"/>
              <w:right w:val="nil"/>
            </w:tcBorders>
          </w:tcPr>
          <w:p w14:paraId="69B4D22F" w14:textId="77777777" w:rsidR="0094002A" w:rsidRPr="00580A46" w:rsidRDefault="0094002A" w:rsidP="004101B1">
            <w:pPr>
              <w:rPr>
                <w:b/>
                <w:bCs/>
              </w:rPr>
            </w:pPr>
            <w:r w:rsidRPr="00580A46">
              <w:rPr>
                <w:b/>
                <w:bCs/>
              </w:rPr>
              <w:t>0.056</w:t>
            </w:r>
          </w:p>
        </w:tc>
      </w:tr>
      <w:tr w:rsidR="00580A46" w:rsidRPr="00580A46" w14:paraId="6D681C9C" w14:textId="77777777" w:rsidTr="004101B1">
        <w:tc>
          <w:tcPr>
            <w:tcW w:w="1063" w:type="pct"/>
            <w:tcBorders>
              <w:top w:val="nil"/>
              <w:left w:val="nil"/>
              <w:bottom w:val="nil"/>
              <w:right w:val="nil"/>
            </w:tcBorders>
            <w:tcMar>
              <w:top w:w="15" w:type="dxa"/>
              <w:left w:w="30" w:type="dxa"/>
              <w:right w:w="30" w:type="dxa"/>
            </w:tcMar>
          </w:tcPr>
          <w:p w14:paraId="155AE99C" w14:textId="77777777" w:rsidR="0094002A" w:rsidRPr="00580A46" w:rsidRDefault="0094002A" w:rsidP="004101B1">
            <w:r w:rsidRPr="00580A46">
              <w:t>RBC</w:t>
            </w:r>
          </w:p>
        </w:tc>
        <w:tc>
          <w:tcPr>
            <w:tcW w:w="559" w:type="pct"/>
            <w:tcBorders>
              <w:top w:val="nil"/>
              <w:left w:val="nil"/>
              <w:bottom w:val="nil"/>
              <w:right w:val="nil"/>
            </w:tcBorders>
            <w:tcMar>
              <w:top w:w="15" w:type="dxa"/>
              <w:left w:w="30" w:type="dxa"/>
              <w:right w:w="30" w:type="dxa"/>
            </w:tcMar>
          </w:tcPr>
          <w:p w14:paraId="5BC0B4CD" w14:textId="77777777" w:rsidR="0094002A" w:rsidRPr="00580A46" w:rsidRDefault="0094002A" w:rsidP="004101B1">
            <w:r w:rsidRPr="00580A46">
              <w:rPr>
                <w:szCs w:val="24"/>
              </w:rPr>
              <w:t xml:space="preserve">Treatment </w:t>
            </w:r>
          </w:p>
        </w:tc>
        <w:tc>
          <w:tcPr>
            <w:tcW w:w="682" w:type="pct"/>
            <w:tcBorders>
              <w:top w:val="nil"/>
              <w:left w:val="nil"/>
              <w:bottom w:val="nil"/>
              <w:right w:val="nil"/>
            </w:tcBorders>
            <w:tcMar>
              <w:top w:w="15" w:type="dxa"/>
              <w:left w:w="30" w:type="dxa"/>
              <w:right w:w="30" w:type="dxa"/>
            </w:tcMar>
          </w:tcPr>
          <w:p w14:paraId="0AE4FFFB" w14:textId="77777777" w:rsidR="0094002A" w:rsidRPr="00580A46" w:rsidRDefault="0094002A" w:rsidP="004101B1">
            <w:pPr>
              <w:rPr>
                <w:b/>
                <w:bCs/>
              </w:rPr>
            </w:pPr>
            <w:r w:rsidRPr="00580A46">
              <w:rPr>
                <w:b/>
                <w:bCs/>
              </w:rPr>
              <w:t>7.33</w:t>
            </w:r>
          </w:p>
        </w:tc>
        <w:tc>
          <w:tcPr>
            <w:tcW w:w="714" w:type="pct"/>
            <w:tcBorders>
              <w:top w:val="nil"/>
              <w:left w:val="nil"/>
              <w:bottom w:val="nil"/>
              <w:right w:val="nil"/>
            </w:tcBorders>
            <w:tcMar>
              <w:top w:w="15" w:type="dxa"/>
              <w:left w:w="30" w:type="dxa"/>
              <w:right w:w="30" w:type="dxa"/>
            </w:tcMar>
          </w:tcPr>
          <w:p w14:paraId="0E3CFC0E" w14:textId="77777777" w:rsidR="0094002A" w:rsidRPr="00580A46" w:rsidRDefault="0094002A" w:rsidP="004101B1">
            <w:pPr>
              <w:rPr>
                <w:b/>
                <w:bCs/>
              </w:rPr>
            </w:pPr>
            <w:r w:rsidRPr="00580A46">
              <w:rPr>
                <w:b/>
                <w:bCs/>
              </w:rPr>
              <w:t>1.03</w:t>
            </w:r>
          </w:p>
        </w:tc>
        <w:tc>
          <w:tcPr>
            <w:tcW w:w="991" w:type="pct"/>
            <w:tcBorders>
              <w:top w:val="nil"/>
              <w:left w:val="nil"/>
              <w:bottom w:val="nil"/>
              <w:right w:val="nil"/>
            </w:tcBorders>
            <w:tcMar>
              <w:top w:w="15" w:type="dxa"/>
              <w:left w:w="30" w:type="dxa"/>
              <w:right w:w="30" w:type="dxa"/>
            </w:tcMar>
          </w:tcPr>
          <w:p w14:paraId="549E5D95" w14:textId="77777777" w:rsidR="0094002A" w:rsidRPr="00580A46" w:rsidRDefault="0094002A" w:rsidP="004101B1">
            <w:pPr>
              <w:rPr>
                <w:b/>
                <w:bCs/>
              </w:rPr>
            </w:pPr>
            <w:r w:rsidRPr="00580A46">
              <w:rPr>
                <w:b/>
                <w:bCs/>
              </w:rPr>
              <w:t>0.42</w:t>
            </w:r>
          </w:p>
        </w:tc>
        <w:tc>
          <w:tcPr>
            <w:tcW w:w="991" w:type="pct"/>
            <w:tcBorders>
              <w:top w:val="nil"/>
              <w:left w:val="nil"/>
              <w:bottom w:val="nil"/>
              <w:right w:val="nil"/>
            </w:tcBorders>
          </w:tcPr>
          <w:p w14:paraId="5A78F551" w14:textId="77777777" w:rsidR="0094002A" w:rsidRPr="00580A46" w:rsidRDefault="0094002A" w:rsidP="004101B1">
            <w:pPr>
              <w:rPr>
                <w:b/>
                <w:bCs/>
              </w:rPr>
            </w:pPr>
          </w:p>
        </w:tc>
      </w:tr>
      <w:tr w:rsidR="00580A46" w:rsidRPr="00580A46" w14:paraId="185BC7E7" w14:textId="77777777" w:rsidTr="004101B1">
        <w:tc>
          <w:tcPr>
            <w:tcW w:w="1063" w:type="pct"/>
            <w:tcBorders>
              <w:top w:val="nil"/>
              <w:left w:val="nil"/>
              <w:bottom w:val="nil"/>
              <w:right w:val="nil"/>
            </w:tcBorders>
            <w:tcMar>
              <w:top w:w="15" w:type="dxa"/>
              <w:left w:w="30" w:type="dxa"/>
              <w:right w:w="30" w:type="dxa"/>
            </w:tcMar>
          </w:tcPr>
          <w:p w14:paraId="4E1E73FF" w14:textId="77777777" w:rsidR="0094002A" w:rsidRPr="00580A46" w:rsidRDefault="0094002A" w:rsidP="004101B1">
            <w:r w:rsidRPr="00580A46">
              <w:t>MCV</w:t>
            </w:r>
          </w:p>
        </w:tc>
        <w:tc>
          <w:tcPr>
            <w:tcW w:w="559" w:type="pct"/>
            <w:tcBorders>
              <w:top w:val="nil"/>
              <w:left w:val="nil"/>
              <w:bottom w:val="nil"/>
              <w:right w:val="nil"/>
            </w:tcBorders>
            <w:tcMar>
              <w:top w:w="15" w:type="dxa"/>
              <w:left w:w="30" w:type="dxa"/>
              <w:right w:w="30" w:type="dxa"/>
            </w:tcMar>
          </w:tcPr>
          <w:p w14:paraId="0154EA10" w14:textId="77777777" w:rsidR="0094002A" w:rsidRPr="00580A46" w:rsidRDefault="0094002A" w:rsidP="004101B1">
            <w:r w:rsidRPr="00580A46">
              <w:rPr>
                <w:szCs w:val="24"/>
              </w:rPr>
              <w:t xml:space="preserve">Control </w:t>
            </w:r>
          </w:p>
        </w:tc>
        <w:tc>
          <w:tcPr>
            <w:tcW w:w="682" w:type="pct"/>
            <w:tcBorders>
              <w:top w:val="nil"/>
              <w:left w:val="nil"/>
              <w:bottom w:val="nil"/>
              <w:right w:val="nil"/>
            </w:tcBorders>
            <w:tcMar>
              <w:top w:w="15" w:type="dxa"/>
              <w:left w:w="30" w:type="dxa"/>
              <w:right w:w="30" w:type="dxa"/>
            </w:tcMar>
          </w:tcPr>
          <w:p w14:paraId="31A414EC" w14:textId="77777777" w:rsidR="0094002A" w:rsidRPr="00580A46" w:rsidRDefault="0094002A" w:rsidP="004101B1">
            <w:pPr>
              <w:rPr>
                <w:b/>
                <w:bCs/>
              </w:rPr>
            </w:pPr>
            <w:r w:rsidRPr="00580A46">
              <w:rPr>
                <w:b/>
                <w:bCs/>
              </w:rPr>
              <w:t>48.33</w:t>
            </w:r>
          </w:p>
        </w:tc>
        <w:tc>
          <w:tcPr>
            <w:tcW w:w="714" w:type="pct"/>
            <w:tcBorders>
              <w:top w:val="nil"/>
              <w:left w:val="nil"/>
              <w:bottom w:val="nil"/>
              <w:right w:val="nil"/>
            </w:tcBorders>
            <w:tcMar>
              <w:top w:w="15" w:type="dxa"/>
              <w:left w:w="30" w:type="dxa"/>
              <w:right w:w="30" w:type="dxa"/>
            </w:tcMar>
          </w:tcPr>
          <w:p w14:paraId="7EC3628C" w14:textId="77777777" w:rsidR="0094002A" w:rsidRPr="00580A46" w:rsidRDefault="0094002A" w:rsidP="004101B1">
            <w:pPr>
              <w:rPr>
                <w:b/>
                <w:bCs/>
              </w:rPr>
            </w:pPr>
            <w:r w:rsidRPr="00580A46">
              <w:rPr>
                <w:b/>
                <w:bCs/>
              </w:rPr>
              <w:t>5.47</w:t>
            </w:r>
          </w:p>
        </w:tc>
        <w:tc>
          <w:tcPr>
            <w:tcW w:w="991" w:type="pct"/>
            <w:tcBorders>
              <w:top w:val="nil"/>
              <w:left w:val="nil"/>
              <w:bottom w:val="nil"/>
              <w:right w:val="nil"/>
            </w:tcBorders>
            <w:tcMar>
              <w:top w:w="15" w:type="dxa"/>
              <w:left w:w="30" w:type="dxa"/>
              <w:right w:w="30" w:type="dxa"/>
            </w:tcMar>
          </w:tcPr>
          <w:p w14:paraId="28A87EC6" w14:textId="77777777" w:rsidR="0094002A" w:rsidRPr="00580A46" w:rsidRDefault="0094002A" w:rsidP="004101B1">
            <w:pPr>
              <w:rPr>
                <w:b/>
                <w:bCs/>
              </w:rPr>
            </w:pPr>
            <w:r w:rsidRPr="00580A46">
              <w:rPr>
                <w:b/>
                <w:bCs/>
              </w:rPr>
              <w:t>2.2</w:t>
            </w:r>
          </w:p>
        </w:tc>
        <w:tc>
          <w:tcPr>
            <w:tcW w:w="991" w:type="pct"/>
            <w:tcBorders>
              <w:top w:val="nil"/>
              <w:left w:val="nil"/>
              <w:bottom w:val="nil"/>
              <w:right w:val="nil"/>
            </w:tcBorders>
          </w:tcPr>
          <w:p w14:paraId="63142EFF" w14:textId="77777777" w:rsidR="0094002A" w:rsidRPr="00580A46" w:rsidRDefault="0094002A" w:rsidP="004101B1">
            <w:pPr>
              <w:rPr>
                <w:b/>
                <w:bCs/>
              </w:rPr>
            </w:pPr>
            <w:r w:rsidRPr="00580A46">
              <w:rPr>
                <w:b/>
                <w:bCs/>
              </w:rPr>
              <w:t>0.917</w:t>
            </w:r>
          </w:p>
        </w:tc>
      </w:tr>
      <w:tr w:rsidR="00580A46" w:rsidRPr="00580A46" w14:paraId="04E0F0F5" w14:textId="77777777" w:rsidTr="004101B1">
        <w:tc>
          <w:tcPr>
            <w:tcW w:w="1063" w:type="pct"/>
            <w:tcBorders>
              <w:top w:val="nil"/>
              <w:left w:val="nil"/>
              <w:bottom w:val="nil"/>
              <w:right w:val="nil"/>
            </w:tcBorders>
            <w:tcMar>
              <w:top w:w="15" w:type="dxa"/>
              <w:left w:w="30" w:type="dxa"/>
              <w:right w:w="30" w:type="dxa"/>
            </w:tcMar>
          </w:tcPr>
          <w:p w14:paraId="1410A58A" w14:textId="77777777" w:rsidR="0094002A" w:rsidRPr="00580A46" w:rsidRDefault="0094002A" w:rsidP="004101B1">
            <w:r w:rsidRPr="00580A46">
              <w:t>MCV</w:t>
            </w:r>
          </w:p>
        </w:tc>
        <w:tc>
          <w:tcPr>
            <w:tcW w:w="559" w:type="pct"/>
            <w:tcBorders>
              <w:top w:val="nil"/>
              <w:left w:val="nil"/>
              <w:bottom w:val="nil"/>
              <w:right w:val="nil"/>
            </w:tcBorders>
            <w:tcMar>
              <w:top w:w="15" w:type="dxa"/>
              <w:left w:w="30" w:type="dxa"/>
              <w:right w:w="30" w:type="dxa"/>
            </w:tcMar>
          </w:tcPr>
          <w:p w14:paraId="5DAB5096" w14:textId="77777777" w:rsidR="0094002A" w:rsidRPr="00580A46" w:rsidRDefault="0094002A" w:rsidP="004101B1">
            <w:r w:rsidRPr="00580A46">
              <w:rPr>
                <w:szCs w:val="24"/>
              </w:rPr>
              <w:t xml:space="preserve">Treatment </w:t>
            </w:r>
          </w:p>
        </w:tc>
        <w:tc>
          <w:tcPr>
            <w:tcW w:w="682" w:type="pct"/>
            <w:tcBorders>
              <w:top w:val="nil"/>
              <w:left w:val="nil"/>
              <w:bottom w:val="nil"/>
              <w:right w:val="nil"/>
            </w:tcBorders>
            <w:tcMar>
              <w:top w:w="15" w:type="dxa"/>
              <w:left w:w="30" w:type="dxa"/>
              <w:right w:w="30" w:type="dxa"/>
            </w:tcMar>
          </w:tcPr>
          <w:p w14:paraId="103F5FD7" w14:textId="77777777" w:rsidR="0094002A" w:rsidRPr="00580A46" w:rsidRDefault="0094002A" w:rsidP="004101B1">
            <w:pPr>
              <w:rPr>
                <w:b/>
                <w:bCs/>
              </w:rPr>
            </w:pPr>
            <w:r w:rsidRPr="00580A46">
              <w:rPr>
                <w:b/>
                <w:bCs/>
              </w:rPr>
              <w:t>48.67</w:t>
            </w:r>
          </w:p>
        </w:tc>
        <w:tc>
          <w:tcPr>
            <w:tcW w:w="714" w:type="pct"/>
            <w:tcBorders>
              <w:top w:val="nil"/>
              <w:left w:val="nil"/>
              <w:bottom w:val="nil"/>
              <w:right w:val="nil"/>
            </w:tcBorders>
            <w:tcMar>
              <w:top w:w="15" w:type="dxa"/>
              <w:left w:w="30" w:type="dxa"/>
              <w:right w:w="30" w:type="dxa"/>
            </w:tcMar>
          </w:tcPr>
          <w:p w14:paraId="6A4C6A4F" w14:textId="77777777" w:rsidR="0094002A" w:rsidRPr="00580A46" w:rsidRDefault="0094002A" w:rsidP="004101B1">
            <w:pPr>
              <w:rPr>
                <w:b/>
                <w:bCs/>
              </w:rPr>
            </w:pPr>
            <w:r w:rsidRPr="00580A46">
              <w:rPr>
                <w:b/>
                <w:bCs/>
              </w:rPr>
              <w:t>5.32</w:t>
            </w:r>
          </w:p>
        </w:tc>
        <w:tc>
          <w:tcPr>
            <w:tcW w:w="991" w:type="pct"/>
            <w:tcBorders>
              <w:top w:val="nil"/>
              <w:left w:val="nil"/>
              <w:bottom w:val="nil"/>
              <w:right w:val="nil"/>
            </w:tcBorders>
            <w:tcMar>
              <w:top w:w="15" w:type="dxa"/>
              <w:left w:w="30" w:type="dxa"/>
              <w:right w:w="30" w:type="dxa"/>
            </w:tcMar>
          </w:tcPr>
          <w:p w14:paraId="1097432D" w14:textId="77777777" w:rsidR="0094002A" w:rsidRPr="00580A46" w:rsidRDefault="0094002A" w:rsidP="004101B1">
            <w:pPr>
              <w:rPr>
                <w:b/>
                <w:bCs/>
              </w:rPr>
            </w:pPr>
            <w:r w:rsidRPr="00580A46">
              <w:rPr>
                <w:b/>
                <w:bCs/>
              </w:rPr>
              <w:t>2.2</w:t>
            </w:r>
          </w:p>
        </w:tc>
        <w:tc>
          <w:tcPr>
            <w:tcW w:w="991" w:type="pct"/>
            <w:tcBorders>
              <w:top w:val="nil"/>
              <w:left w:val="nil"/>
              <w:bottom w:val="nil"/>
              <w:right w:val="nil"/>
            </w:tcBorders>
          </w:tcPr>
          <w:p w14:paraId="15F8CD19" w14:textId="77777777" w:rsidR="0094002A" w:rsidRPr="00580A46" w:rsidRDefault="0094002A" w:rsidP="004101B1">
            <w:pPr>
              <w:rPr>
                <w:b/>
                <w:bCs/>
              </w:rPr>
            </w:pPr>
          </w:p>
        </w:tc>
      </w:tr>
      <w:tr w:rsidR="00580A46" w:rsidRPr="00580A46" w14:paraId="6243AD7D" w14:textId="77777777" w:rsidTr="004101B1">
        <w:tc>
          <w:tcPr>
            <w:tcW w:w="1063" w:type="pct"/>
            <w:tcBorders>
              <w:top w:val="nil"/>
              <w:left w:val="nil"/>
              <w:bottom w:val="nil"/>
              <w:right w:val="nil"/>
            </w:tcBorders>
            <w:tcMar>
              <w:top w:w="15" w:type="dxa"/>
              <w:left w:w="30" w:type="dxa"/>
              <w:right w:w="30" w:type="dxa"/>
            </w:tcMar>
          </w:tcPr>
          <w:p w14:paraId="4488954F" w14:textId="77777777" w:rsidR="0094002A" w:rsidRPr="00580A46" w:rsidRDefault="0094002A" w:rsidP="004101B1">
            <w:r w:rsidRPr="00580A46">
              <w:t>MCH</w:t>
            </w:r>
          </w:p>
        </w:tc>
        <w:tc>
          <w:tcPr>
            <w:tcW w:w="559" w:type="pct"/>
            <w:tcBorders>
              <w:top w:val="nil"/>
              <w:left w:val="nil"/>
              <w:bottom w:val="nil"/>
              <w:right w:val="nil"/>
            </w:tcBorders>
            <w:tcMar>
              <w:top w:w="15" w:type="dxa"/>
              <w:left w:w="30" w:type="dxa"/>
              <w:right w:w="30" w:type="dxa"/>
            </w:tcMar>
          </w:tcPr>
          <w:p w14:paraId="46D4DB47" w14:textId="77777777" w:rsidR="0094002A" w:rsidRPr="00580A46" w:rsidRDefault="0094002A" w:rsidP="004101B1">
            <w:r w:rsidRPr="00580A46">
              <w:rPr>
                <w:szCs w:val="24"/>
              </w:rPr>
              <w:t xml:space="preserve">Control </w:t>
            </w:r>
          </w:p>
        </w:tc>
        <w:tc>
          <w:tcPr>
            <w:tcW w:w="682" w:type="pct"/>
            <w:tcBorders>
              <w:top w:val="nil"/>
              <w:left w:val="nil"/>
              <w:bottom w:val="nil"/>
              <w:right w:val="nil"/>
            </w:tcBorders>
            <w:tcMar>
              <w:top w:w="15" w:type="dxa"/>
              <w:left w:w="30" w:type="dxa"/>
              <w:right w:w="30" w:type="dxa"/>
            </w:tcMar>
          </w:tcPr>
          <w:p w14:paraId="6EED1BFD" w14:textId="77777777" w:rsidR="0094002A" w:rsidRPr="00580A46" w:rsidRDefault="0094002A" w:rsidP="004101B1">
            <w:pPr>
              <w:rPr>
                <w:b/>
                <w:bCs/>
              </w:rPr>
            </w:pPr>
            <w:r w:rsidRPr="00580A46">
              <w:rPr>
                <w:b/>
                <w:bCs/>
              </w:rPr>
              <w:t>15.00</w:t>
            </w:r>
          </w:p>
        </w:tc>
        <w:tc>
          <w:tcPr>
            <w:tcW w:w="714" w:type="pct"/>
            <w:tcBorders>
              <w:top w:val="nil"/>
              <w:left w:val="nil"/>
              <w:bottom w:val="nil"/>
              <w:right w:val="nil"/>
            </w:tcBorders>
            <w:tcMar>
              <w:top w:w="15" w:type="dxa"/>
              <w:left w:w="30" w:type="dxa"/>
              <w:right w:w="30" w:type="dxa"/>
            </w:tcMar>
          </w:tcPr>
          <w:p w14:paraId="1957BA04" w14:textId="77777777" w:rsidR="0094002A" w:rsidRPr="00580A46" w:rsidRDefault="0094002A" w:rsidP="004101B1">
            <w:pPr>
              <w:rPr>
                <w:b/>
                <w:bCs/>
              </w:rPr>
            </w:pPr>
            <w:r w:rsidRPr="00580A46">
              <w:rPr>
                <w:b/>
                <w:bCs/>
              </w:rPr>
              <w:t>2.19</w:t>
            </w:r>
          </w:p>
        </w:tc>
        <w:tc>
          <w:tcPr>
            <w:tcW w:w="991" w:type="pct"/>
            <w:tcBorders>
              <w:top w:val="nil"/>
              <w:left w:val="nil"/>
              <w:bottom w:val="nil"/>
              <w:right w:val="nil"/>
            </w:tcBorders>
            <w:tcMar>
              <w:top w:w="15" w:type="dxa"/>
              <w:left w:w="30" w:type="dxa"/>
              <w:right w:w="30" w:type="dxa"/>
            </w:tcMar>
          </w:tcPr>
          <w:p w14:paraId="5587DDBB" w14:textId="77777777" w:rsidR="0094002A" w:rsidRPr="00580A46" w:rsidRDefault="0094002A" w:rsidP="004101B1">
            <w:pPr>
              <w:rPr>
                <w:b/>
                <w:bCs/>
              </w:rPr>
            </w:pPr>
            <w:r w:rsidRPr="00580A46">
              <w:rPr>
                <w:b/>
                <w:bCs/>
              </w:rPr>
              <w:t>0.89</w:t>
            </w:r>
          </w:p>
        </w:tc>
        <w:tc>
          <w:tcPr>
            <w:tcW w:w="991" w:type="pct"/>
            <w:tcBorders>
              <w:top w:val="nil"/>
              <w:left w:val="nil"/>
              <w:bottom w:val="nil"/>
              <w:right w:val="nil"/>
            </w:tcBorders>
          </w:tcPr>
          <w:p w14:paraId="58522433" w14:textId="77777777" w:rsidR="0094002A" w:rsidRPr="00580A46" w:rsidRDefault="0094002A" w:rsidP="004101B1">
            <w:pPr>
              <w:rPr>
                <w:b/>
                <w:bCs/>
              </w:rPr>
            </w:pPr>
            <w:r w:rsidRPr="00580A46">
              <w:rPr>
                <w:b/>
                <w:bCs/>
              </w:rPr>
              <w:t>0.681</w:t>
            </w:r>
          </w:p>
        </w:tc>
      </w:tr>
      <w:tr w:rsidR="00580A46" w:rsidRPr="00580A46" w14:paraId="24D0B748" w14:textId="77777777" w:rsidTr="004101B1">
        <w:tc>
          <w:tcPr>
            <w:tcW w:w="1063" w:type="pct"/>
            <w:tcBorders>
              <w:top w:val="nil"/>
              <w:left w:val="nil"/>
              <w:bottom w:val="nil"/>
              <w:right w:val="nil"/>
            </w:tcBorders>
            <w:tcMar>
              <w:top w:w="15" w:type="dxa"/>
              <w:left w:w="30" w:type="dxa"/>
              <w:right w:w="30" w:type="dxa"/>
            </w:tcMar>
          </w:tcPr>
          <w:p w14:paraId="59638301" w14:textId="77777777" w:rsidR="0094002A" w:rsidRPr="00580A46" w:rsidRDefault="0094002A" w:rsidP="004101B1">
            <w:r w:rsidRPr="00580A46">
              <w:t>MCH</w:t>
            </w:r>
          </w:p>
        </w:tc>
        <w:tc>
          <w:tcPr>
            <w:tcW w:w="559" w:type="pct"/>
            <w:tcBorders>
              <w:top w:val="nil"/>
              <w:left w:val="nil"/>
              <w:bottom w:val="nil"/>
              <w:right w:val="nil"/>
            </w:tcBorders>
            <w:tcMar>
              <w:top w:w="15" w:type="dxa"/>
              <w:left w:w="30" w:type="dxa"/>
              <w:right w:w="30" w:type="dxa"/>
            </w:tcMar>
          </w:tcPr>
          <w:p w14:paraId="59A59B19" w14:textId="77777777" w:rsidR="0094002A" w:rsidRPr="00580A46" w:rsidRDefault="0094002A" w:rsidP="004101B1">
            <w:r w:rsidRPr="00580A46">
              <w:rPr>
                <w:szCs w:val="24"/>
              </w:rPr>
              <w:t xml:space="preserve">Treatment </w:t>
            </w:r>
          </w:p>
        </w:tc>
        <w:tc>
          <w:tcPr>
            <w:tcW w:w="682" w:type="pct"/>
            <w:tcBorders>
              <w:top w:val="nil"/>
              <w:left w:val="nil"/>
              <w:bottom w:val="nil"/>
              <w:right w:val="nil"/>
            </w:tcBorders>
            <w:tcMar>
              <w:top w:w="15" w:type="dxa"/>
              <w:left w:w="30" w:type="dxa"/>
              <w:right w:w="30" w:type="dxa"/>
            </w:tcMar>
          </w:tcPr>
          <w:p w14:paraId="413BF0D6" w14:textId="77777777" w:rsidR="0094002A" w:rsidRPr="00580A46" w:rsidRDefault="0094002A" w:rsidP="004101B1">
            <w:pPr>
              <w:rPr>
                <w:b/>
                <w:bCs/>
              </w:rPr>
            </w:pPr>
            <w:r w:rsidRPr="00580A46">
              <w:rPr>
                <w:b/>
                <w:bCs/>
              </w:rPr>
              <w:t>15.50</w:t>
            </w:r>
          </w:p>
        </w:tc>
        <w:tc>
          <w:tcPr>
            <w:tcW w:w="714" w:type="pct"/>
            <w:tcBorders>
              <w:top w:val="nil"/>
              <w:left w:val="nil"/>
              <w:bottom w:val="nil"/>
              <w:right w:val="nil"/>
            </w:tcBorders>
            <w:tcMar>
              <w:top w:w="15" w:type="dxa"/>
              <w:left w:w="30" w:type="dxa"/>
              <w:right w:w="30" w:type="dxa"/>
            </w:tcMar>
          </w:tcPr>
          <w:p w14:paraId="33932B04" w14:textId="77777777" w:rsidR="0094002A" w:rsidRPr="00580A46" w:rsidRDefault="0094002A" w:rsidP="004101B1">
            <w:pPr>
              <w:rPr>
                <w:b/>
                <w:bCs/>
              </w:rPr>
            </w:pPr>
            <w:r w:rsidRPr="00580A46">
              <w:rPr>
                <w:b/>
                <w:bCs/>
              </w:rPr>
              <w:t>1.87</w:t>
            </w:r>
          </w:p>
        </w:tc>
        <w:tc>
          <w:tcPr>
            <w:tcW w:w="991" w:type="pct"/>
            <w:tcBorders>
              <w:top w:val="nil"/>
              <w:left w:val="nil"/>
              <w:bottom w:val="nil"/>
              <w:right w:val="nil"/>
            </w:tcBorders>
            <w:tcMar>
              <w:top w:w="15" w:type="dxa"/>
              <w:left w:w="30" w:type="dxa"/>
              <w:right w:w="30" w:type="dxa"/>
            </w:tcMar>
          </w:tcPr>
          <w:p w14:paraId="2FE61A29" w14:textId="77777777" w:rsidR="0094002A" w:rsidRPr="00580A46" w:rsidRDefault="0094002A" w:rsidP="004101B1">
            <w:pPr>
              <w:rPr>
                <w:b/>
                <w:bCs/>
              </w:rPr>
            </w:pPr>
            <w:r w:rsidRPr="00580A46">
              <w:rPr>
                <w:b/>
                <w:bCs/>
              </w:rPr>
              <w:t>0.76</w:t>
            </w:r>
          </w:p>
        </w:tc>
        <w:tc>
          <w:tcPr>
            <w:tcW w:w="991" w:type="pct"/>
            <w:tcBorders>
              <w:top w:val="nil"/>
              <w:left w:val="nil"/>
              <w:bottom w:val="nil"/>
              <w:right w:val="nil"/>
            </w:tcBorders>
          </w:tcPr>
          <w:p w14:paraId="29866B57" w14:textId="77777777" w:rsidR="0094002A" w:rsidRPr="00580A46" w:rsidRDefault="0094002A" w:rsidP="004101B1">
            <w:pPr>
              <w:rPr>
                <w:b/>
                <w:bCs/>
              </w:rPr>
            </w:pPr>
          </w:p>
        </w:tc>
      </w:tr>
      <w:tr w:rsidR="00580A46" w:rsidRPr="00580A46" w14:paraId="193DF96C" w14:textId="77777777" w:rsidTr="004101B1">
        <w:tc>
          <w:tcPr>
            <w:tcW w:w="1063" w:type="pct"/>
            <w:tcBorders>
              <w:top w:val="nil"/>
              <w:left w:val="nil"/>
              <w:bottom w:val="nil"/>
              <w:right w:val="nil"/>
            </w:tcBorders>
            <w:tcMar>
              <w:top w:w="15" w:type="dxa"/>
              <w:left w:w="30" w:type="dxa"/>
              <w:right w:w="30" w:type="dxa"/>
            </w:tcMar>
          </w:tcPr>
          <w:p w14:paraId="7614145A" w14:textId="77777777" w:rsidR="0094002A" w:rsidRPr="00580A46" w:rsidRDefault="0094002A" w:rsidP="004101B1">
            <w:r w:rsidRPr="00580A46">
              <w:t>MCHC</w:t>
            </w:r>
          </w:p>
        </w:tc>
        <w:tc>
          <w:tcPr>
            <w:tcW w:w="559" w:type="pct"/>
            <w:tcBorders>
              <w:top w:val="nil"/>
              <w:left w:val="nil"/>
              <w:bottom w:val="nil"/>
              <w:right w:val="nil"/>
            </w:tcBorders>
            <w:tcMar>
              <w:top w:w="15" w:type="dxa"/>
              <w:left w:w="30" w:type="dxa"/>
              <w:right w:w="30" w:type="dxa"/>
            </w:tcMar>
          </w:tcPr>
          <w:p w14:paraId="7B5DC0AB" w14:textId="77777777" w:rsidR="0094002A" w:rsidRPr="00580A46" w:rsidRDefault="0094002A" w:rsidP="004101B1">
            <w:r w:rsidRPr="00580A46">
              <w:rPr>
                <w:szCs w:val="24"/>
              </w:rPr>
              <w:t xml:space="preserve">Control </w:t>
            </w:r>
          </w:p>
        </w:tc>
        <w:tc>
          <w:tcPr>
            <w:tcW w:w="682" w:type="pct"/>
            <w:tcBorders>
              <w:top w:val="nil"/>
              <w:left w:val="nil"/>
              <w:bottom w:val="nil"/>
              <w:right w:val="nil"/>
            </w:tcBorders>
            <w:tcMar>
              <w:top w:w="15" w:type="dxa"/>
              <w:left w:w="30" w:type="dxa"/>
              <w:right w:w="30" w:type="dxa"/>
            </w:tcMar>
          </w:tcPr>
          <w:p w14:paraId="56B5699D" w14:textId="77777777" w:rsidR="0094002A" w:rsidRPr="00580A46" w:rsidRDefault="0094002A" w:rsidP="004101B1">
            <w:pPr>
              <w:rPr>
                <w:b/>
                <w:bCs/>
              </w:rPr>
            </w:pPr>
            <w:r w:rsidRPr="00580A46">
              <w:rPr>
                <w:b/>
                <w:bCs/>
              </w:rPr>
              <w:t>30.33</w:t>
            </w:r>
          </w:p>
        </w:tc>
        <w:tc>
          <w:tcPr>
            <w:tcW w:w="714" w:type="pct"/>
            <w:tcBorders>
              <w:top w:val="nil"/>
              <w:left w:val="nil"/>
              <w:bottom w:val="nil"/>
              <w:right w:val="nil"/>
            </w:tcBorders>
            <w:tcMar>
              <w:top w:w="15" w:type="dxa"/>
              <w:left w:w="30" w:type="dxa"/>
              <w:right w:w="30" w:type="dxa"/>
            </w:tcMar>
          </w:tcPr>
          <w:p w14:paraId="08A191DE" w14:textId="77777777" w:rsidR="0094002A" w:rsidRPr="00580A46" w:rsidRDefault="0094002A" w:rsidP="004101B1">
            <w:pPr>
              <w:rPr>
                <w:b/>
                <w:bCs/>
              </w:rPr>
            </w:pPr>
            <w:r w:rsidRPr="00580A46">
              <w:rPr>
                <w:b/>
                <w:bCs/>
              </w:rPr>
              <w:t>1.75</w:t>
            </w:r>
          </w:p>
        </w:tc>
        <w:tc>
          <w:tcPr>
            <w:tcW w:w="991" w:type="pct"/>
            <w:tcBorders>
              <w:top w:val="nil"/>
              <w:left w:val="nil"/>
              <w:bottom w:val="nil"/>
              <w:right w:val="nil"/>
            </w:tcBorders>
            <w:tcMar>
              <w:top w:w="15" w:type="dxa"/>
              <w:left w:w="30" w:type="dxa"/>
              <w:right w:w="30" w:type="dxa"/>
            </w:tcMar>
          </w:tcPr>
          <w:p w14:paraId="39659F5B" w14:textId="77777777" w:rsidR="0094002A" w:rsidRPr="00580A46" w:rsidRDefault="0094002A" w:rsidP="004101B1">
            <w:pPr>
              <w:rPr>
                <w:b/>
                <w:bCs/>
              </w:rPr>
            </w:pPr>
            <w:r w:rsidRPr="00580A46">
              <w:rPr>
                <w:b/>
                <w:bCs/>
              </w:rPr>
              <w:t>0.71</w:t>
            </w:r>
          </w:p>
        </w:tc>
        <w:tc>
          <w:tcPr>
            <w:tcW w:w="991" w:type="pct"/>
            <w:tcBorders>
              <w:top w:val="nil"/>
              <w:left w:val="nil"/>
              <w:bottom w:val="nil"/>
              <w:right w:val="nil"/>
            </w:tcBorders>
          </w:tcPr>
          <w:p w14:paraId="0A9F3842" w14:textId="77777777" w:rsidR="0094002A" w:rsidRPr="00580A46" w:rsidRDefault="0094002A" w:rsidP="004101B1">
            <w:pPr>
              <w:rPr>
                <w:b/>
                <w:bCs/>
              </w:rPr>
            </w:pPr>
            <w:r w:rsidRPr="00580A46">
              <w:rPr>
                <w:b/>
                <w:bCs/>
              </w:rPr>
              <w:t>0.377</w:t>
            </w:r>
          </w:p>
        </w:tc>
      </w:tr>
      <w:tr w:rsidR="00580A46" w:rsidRPr="00580A46" w14:paraId="6350236E" w14:textId="77777777" w:rsidTr="004101B1">
        <w:tc>
          <w:tcPr>
            <w:tcW w:w="1063" w:type="pct"/>
            <w:tcBorders>
              <w:top w:val="nil"/>
              <w:left w:val="nil"/>
              <w:bottom w:val="nil"/>
              <w:right w:val="nil"/>
            </w:tcBorders>
            <w:tcMar>
              <w:top w:w="15" w:type="dxa"/>
              <w:left w:w="30" w:type="dxa"/>
              <w:right w:w="30" w:type="dxa"/>
            </w:tcMar>
          </w:tcPr>
          <w:p w14:paraId="7996559C" w14:textId="77777777" w:rsidR="0094002A" w:rsidRPr="00580A46" w:rsidRDefault="0094002A" w:rsidP="004101B1">
            <w:r w:rsidRPr="00580A46">
              <w:t>MCHC</w:t>
            </w:r>
          </w:p>
        </w:tc>
        <w:tc>
          <w:tcPr>
            <w:tcW w:w="559" w:type="pct"/>
            <w:tcBorders>
              <w:top w:val="nil"/>
              <w:left w:val="nil"/>
              <w:bottom w:val="nil"/>
              <w:right w:val="nil"/>
            </w:tcBorders>
            <w:tcMar>
              <w:top w:w="15" w:type="dxa"/>
              <w:left w:w="30" w:type="dxa"/>
              <w:right w:w="30" w:type="dxa"/>
            </w:tcMar>
          </w:tcPr>
          <w:p w14:paraId="175F366A" w14:textId="77777777" w:rsidR="0094002A" w:rsidRPr="00580A46" w:rsidRDefault="0094002A" w:rsidP="004101B1">
            <w:r w:rsidRPr="00580A46">
              <w:rPr>
                <w:szCs w:val="24"/>
              </w:rPr>
              <w:t xml:space="preserve">Treatment </w:t>
            </w:r>
          </w:p>
        </w:tc>
        <w:tc>
          <w:tcPr>
            <w:tcW w:w="682" w:type="pct"/>
            <w:tcBorders>
              <w:top w:val="nil"/>
              <w:left w:val="nil"/>
              <w:bottom w:val="nil"/>
              <w:right w:val="nil"/>
            </w:tcBorders>
            <w:tcMar>
              <w:top w:w="15" w:type="dxa"/>
              <w:left w:w="30" w:type="dxa"/>
              <w:right w:w="30" w:type="dxa"/>
            </w:tcMar>
          </w:tcPr>
          <w:p w14:paraId="3AB733FC" w14:textId="77777777" w:rsidR="0094002A" w:rsidRPr="00580A46" w:rsidRDefault="0094002A" w:rsidP="004101B1">
            <w:pPr>
              <w:rPr>
                <w:b/>
                <w:bCs/>
              </w:rPr>
            </w:pPr>
            <w:r w:rsidRPr="00580A46">
              <w:rPr>
                <w:b/>
                <w:bCs/>
              </w:rPr>
              <w:t>31.17</w:t>
            </w:r>
          </w:p>
        </w:tc>
        <w:tc>
          <w:tcPr>
            <w:tcW w:w="714" w:type="pct"/>
            <w:tcBorders>
              <w:top w:val="nil"/>
              <w:left w:val="nil"/>
              <w:bottom w:val="nil"/>
              <w:right w:val="nil"/>
            </w:tcBorders>
            <w:tcMar>
              <w:top w:w="15" w:type="dxa"/>
              <w:left w:w="30" w:type="dxa"/>
              <w:right w:w="30" w:type="dxa"/>
            </w:tcMar>
          </w:tcPr>
          <w:p w14:paraId="21521C39" w14:textId="77777777" w:rsidR="0094002A" w:rsidRPr="00580A46" w:rsidRDefault="0094002A" w:rsidP="004101B1">
            <w:pPr>
              <w:rPr>
                <w:b/>
                <w:bCs/>
              </w:rPr>
            </w:pPr>
            <w:r w:rsidRPr="00580A46">
              <w:rPr>
                <w:b/>
                <w:bCs/>
              </w:rPr>
              <w:t>1.33</w:t>
            </w:r>
          </w:p>
        </w:tc>
        <w:tc>
          <w:tcPr>
            <w:tcW w:w="991" w:type="pct"/>
            <w:tcBorders>
              <w:top w:val="nil"/>
              <w:left w:val="nil"/>
              <w:bottom w:val="nil"/>
              <w:right w:val="nil"/>
            </w:tcBorders>
            <w:tcMar>
              <w:top w:w="15" w:type="dxa"/>
              <w:left w:w="30" w:type="dxa"/>
              <w:right w:w="30" w:type="dxa"/>
            </w:tcMar>
          </w:tcPr>
          <w:p w14:paraId="661169BB" w14:textId="77777777" w:rsidR="0094002A" w:rsidRPr="00580A46" w:rsidRDefault="0094002A" w:rsidP="004101B1">
            <w:pPr>
              <w:rPr>
                <w:b/>
                <w:bCs/>
              </w:rPr>
            </w:pPr>
            <w:r w:rsidRPr="00580A46">
              <w:rPr>
                <w:b/>
                <w:bCs/>
              </w:rPr>
              <w:t>0.54</w:t>
            </w:r>
          </w:p>
        </w:tc>
        <w:tc>
          <w:tcPr>
            <w:tcW w:w="991" w:type="pct"/>
            <w:tcBorders>
              <w:top w:val="nil"/>
              <w:left w:val="nil"/>
              <w:bottom w:val="nil"/>
              <w:right w:val="nil"/>
            </w:tcBorders>
          </w:tcPr>
          <w:p w14:paraId="45121F86" w14:textId="77777777" w:rsidR="0094002A" w:rsidRPr="00580A46" w:rsidRDefault="0094002A" w:rsidP="004101B1">
            <w:pPr>
              <w:rPr>
                <w:b/>
                <w:bCs/>
              </w:rPr>
            </w:pPr>
          </w:p>
        </w:tc>
      </w:tr>
      <w:tr w:rsidR="00580A46" w:rsidRPr="00580A46" w14:paraId="2EC94AD9" w14:textId="77777777" w:rsidTr="004101B1">
        <w:tc>
          <w:tcPr>
            <w:tcW w:w="1063" w:type="pct"/>
            <w:tcBorders>
              <w:top w:val="nil"/>
              <w:left w:val="nil"/>
              <w:bottom w:val="nil"/>
              <w:right w:val="nil"/>
            </w:tcBorders>
            <w:tcMar>
              <w:top w:w="15" w:type="dxa"/>
              <w:left w:w="30" w:type="dxa"/>
              <w:right w:w="30" w:type="dxa"/>
            </w:tcMar>
          </w:tcPr>
          <w:p w14:paraId="146C254E" w14:textId="77777777" w:rsidR="0094002A" w:rsidRPr="00580A46" w:rsidRDefault="0094002A" w:rsidP="004101B1">
            <w:r w:rsidRPr="00580A46">
              <w:t xml:space="preserve">LEUC </w:t>
            </w:r>
          </w:p>
        </w:tc>
        <w:tc>
          <w:tcPr>
            <w:tcW w:w="559" w:type="pct"/>
            <w:tcBorders>
              <w:top w:val="nil"/>
              <w:left w:val="nil"/>
              <w:bottom w:val="nil"/>
              <w:right w:val="nil"/>
            </w:tcBorders>
            <w:tcMar>
              <w:top w:w="15" w:type="dxa"/>
              <w:left w:w="30" w:type="dxa"/>
              <w:right w:w="30" w:type="dxa"/>
            </w:tcMar>
          </w:tcPr>
          <w:p w14:paraId="13DFDBDC" w14:textId="77777777" w:rsidR="0094002A" w:rsidRPr="00580A46" w:rsidRDefault="0094002A" w:rsidP="004101B1">
            <w:r w:rsidRPr="00580A46">
              <w:rPr>
                <w:szCs w:val="24"/>
              </w:rPr>
              <w:t xml:space="preserve">Control </w:t>
            </w:r>
          </w:p>
        </w:tc>
        <w:tc>
          <w:tcPr>
            <w:tcW w:w="682" w:type="pct"/>
            <w:tcBorders>
              <w:top w:val="nil"/>
              <w:left w:val="nil"/>
              <w:bottom w:val="nil"/>
              <w:right w:val="nil"/>
            </w:tcBorders>
            <w:tcMar>
              <w:top w:w="15" w:type="dxa"/>
              <w:left w:w="30" w:type="dxa"/>
              <w:right w:w="30" w:type="dxa"/>
            </w:tcMar>
          </w:tcPr>
          <w:p w14:paraId="0E023515" w14:textId="77777777" w:rsidR="0094002A" w:rsidRPr="00580A46" w:rsidRDefault="0094002A" w:rsidP="004101B1">
            <w:pPr>
              <w:rPr>
                <w:b/>
                <w:bCs/>
              </w:rPr>
            </w:pPr>
            <w:r w:rsidRPr="00580A46">
              <w:rPr>
                <w:b/>
                <w:bCs/>
              </w:rPr>
              <w:t>3.33</w:t>
            </w:r>
          </w:p>
        </w:tc>
        <w:tc>
          <w:tcPr>
            <w:tcW w:w="714" w:type="pct"/>
            <w:tcBorders>
              <w:top w:val="nil"/>
              <w:left w:val="nil"/>
              <w:bottom w:val="nil"/>
              <w:right w:val="nil"/>
            </w:tcBorders>
            <w:tcMar>
              <w:top w:w="15" w:type="dxa"/>
              <w:left w:w="30" w:type="dxa"/>
              <w:right w:w="30" w:type="dxa"/>
            </w:tcMar>
          </w:tcPr>
          <w:p w14:paraId="05BB15EA" w14:textId="77777777" w:rsidR="0094002A" w:rsidRPr="00580A46" w:rsidRDefault="0094002A" w:rsidP="004101B1">
            <w:pPr>
              <w:rPr>
                <w:b/>
                <w:bCs/>
              </w:rPr>
            </w:pPr>
            <w:r w:rsidRPr="00580A46">
              <w:rPr>
                <w:b/>
                <w:bCs/>
              </w:rPr>
              <w:t>1.51</w:t>
            </w:r>
          </w:p>
        </w:tc>
        <w:tc>
          <w:tcPr>
            <w:tcW w:w="991" w:type="pct"/>
            <w:tcBorders>
              <w:top w:val="nil"/>
              <w:left w:val="nil"/>
              <w:bottom w:val="nil"/>
              <w:right w:val="nil"/>
            </w:tcBorders>
            <w:tcMar>
              <w:top w:w="15" w:type="dxa"/>
              <w:left w:w="30" w:type="dxa"/>
              <w:right w:w="30" w:type="dxa"/>
            </w:tcMar>
          </w:tcPr>
          <w:p w14:paraId="754456B8" w14:textId="77777777" w:rsidR="0094002A" w:rsidRPr="00580A46" w:rsidRDefault="0094002A" w:rsidP="004101B1">
            <w:pPr>
              <w:rPr>
                <w:b/>
                <w:bCs/>
              </w:rPr>
            </w:pPr>
            <w:r w:rsidRPr="00580A46">
              <w:rPr>
                <w:b/>
                <w:bCs/>
              </w:rPr>
              <w:t>0.61</w:t>
            </w:r>
          </w:p>
        </w:tc>
        <w:tc>
          <w:tcPr>
            <w:tcW w:w="991" w:type="pct"/>
            <w:tcBorders>
              <w:top w:val="nil"/>
              <w:left w:val="nil"/>
              <w:bottom w:val="nil"/>
              <w:right w:val="nil"/>
            </w:tcBorders>
          </w:tcPr>
          <w:p w14:paraId="59BFD132" w14:textId="77777777" w:rsidR="0094002A" w:rsidRPr="00580A46" w:rsidRDefault="0094002A" w:rsidP="004101B1">
            <w:pPr>
              <w:rPr>
                <w:b/>
                <w:bCs/>
              </w:rPr>
            </w:pPr>
            <w:r w:rsidRPr="00580A46">
              <w:rPr>
                <w:b/>
                <w:bCs/>
              </w:rPr>
              <w:t>0.744</w:t>
            </w:r>
          </w:p>
        </w:tc>
      </w:tr>
      <w:tr w:rsidR="00580A46" w:rsidRPr="00580A46" w14:paraId="383280A4" w14:textId="77777777" w:rsidTr="004101B1">
        <w:tc>
          <w:tcPr>
            <w:tcW w:w="1063" w:type="pct"/>
            <w:tcBorders>
              <w:top w:val="nil"/>
              <w:left w:val="nil"/>
              <w:bottom w:val="nil"/>
              <w:right w:val="nil"/>
            </w:tcBorders>
            <w:tcMar>
              <w:top w:w="15" w:type="dxa"/>
              <w:left w:w="30" w:type="dxa"/>
              <w:right w:w="30" w:type="dxa"/>
            </w:tcMar>
          </w:tcPr>
          <w:p w14:paraId="7B493EF2" w14:textId="77777777" w:rsidR="0094002A" w:rsidRPr="00580A46" w:rsidRDefault="0094002A" w:rsidP="004101B1">
            <w:r w:rsidRPr="00580A46">
              <w:t>LEUCOCYTES</w:t>
            </w:r>
          </w:p>
        </w:tc>
        <w:tc>
          <w:tcPr>
            <w:tcW w:w="559" w:type="pct"/>
            <w:tcBorders>
              <w:top w:val="nil"/>
              <w:left w:val="nil"/>
              <w:bottom w:val="nil"/>
              <w:right w:val="nil"/>
            </w:tcBorders>
            <w:tcMar>
              <w:top w:w="15" w:type="dxa"/>
              <w:left w:w="30" w:type="dxa"/>
              <w:right w:w="30" w:type="dxa"/>
            </w:tcMar>
          </w:tcPr>
          <w:p w14:paraId="4400BB21" w14:textId="77777777" w:rsidR="0094002A" w:rsidRPr="00580A46" w:rsidRDefault="0094002A" w:rsidP="004101B1">
            <w:r w:rsidRPr="00580A46">
              <w:rPr>
                <w:szCs w:val="24"/>
              </w:rPr>
              <w:t xml:space="preserve">Treatment </w:t>
            </w:r>
          </w:p>
        </w:tc>
        <w:tc>
          <w:tcPr>
            <w:tcW w:w="682" w:type="pct"/>
            <w:tcBorders>
              <w:top w:val="nil"/>
              <w:left w:val="nil"/>
              <w:bottom w:val="nil"/>
              <w:right w:val="nil"/>
            </w:tcBorders>
            <w:tcMar>
              <w:top w:w="15" w:type="dxa"/>
              <w:left w:w="30" w:type="dxa"/>
              <w:right w:w="30" w:type="dxa"/>
            </w:tcMar>
          </w:tcPr>
          <w:p w14:paraId="6B17CC82" w14:textId="77777777" w:rsidR="0094002A" w:rsidRPr="00580A46" w:rsidRDefault="0094002A" w:rsidP="004101B1">
            <w:pPr>
              <w:rPr>
                <w:b/>
                <w:bCs/>
              </w:rPr>
            </w:pPr>
            <w:r w:rsidRPr="00580A46">
              <w:rPr>
                <w:b/>
                <w:bCs/>
              </w:rPr>
              <w:t>3.00</w:t>
            </w:r>
          </w:p>
        </w:tc>
        <w:tc>
          <w:tcPr>
            <w:tcW w:w="714" w:type="pct"/>
            <w:tcBorders>
              <w:top w:val="nil"/>
              <w:left w:val="nil"/>
              <w:bottom w:val="nil"/>
              <w:right w:val="nil"/>
            </w:tcBorders>
            <w:tcMar>
              <w:top w:w="15" w:type="dxa"/>
              <w:left w:w="30" w:type="dxa"/>
              <w:right w:w="30" w:type="dxa"/>
            </w:tcMar>
          </w:tcPr>
          <w:p w14:paraId="0B0D8A2C" w14:textId="77777777" w:rsidR="0094002A" w:rsidRPr="00580A46" w:rsidRDefault="0094002A" w:rsidP="004101B1">
            <w:pPr>
              <w:rPr>
                <w:b/>
                <w:bCs/>
              </w:rPr>
            </w:pPr>
            <w:r w:rsidRPr="00580A46">
              <w:rPr>
                <w:b/>
                <w:bCs/>
              </w:rPr>
              <w:t>1.90</w:t>
            </w:r>
          </w:p>
        </w:tc>
        <w:tc>
          <w:tcPr>
            <w:tcW w:w="991" w:type="pct"/>
            <w:tcBorders>
              <w:top w:val="nil"/>
              <w:left w:val="nil"/>
              <w:bottom w:val="nil"/>
              <w:right w:val="nil"/>
            </w:tcBorders>
            <w:tcMar>
              <w:top w:w="15" w:type="dxa"/>
              <w:left w:w="30" w:type="dxa"/>
              <w:right w:w="30" w:type="dxa"/>
            </w:tcMar>
          </w:tcPr>
          <w:p w14:paraId="217A5FAD" w14:textId="77777777" w:rsidR="0094002A" w:rsidRPr="00580A46" w:rsidRDefault="0094002A" w:rsidP="004101B1">
            <w:pPr>
              <w:rPr>
                <w:b/>
                <w:bCs/>
              </w:rPr>
            </w:pPr>
            <w:r w:rsidRPr="00580A46">
              <w:rPr>
                <w:b/>
                <w:bCs/>
              </w:rPr>
              <w:t>0.77</w:t>
            </w:r>
          </w:p>
        </w:tc>
        <w:tc>
          <w:tcPr>
            <w:tcW w:w="991" w:type="pct"/>
            <w:tcBorders>
              <w:top w:val="nil"/>
              <w:left w:val="nil"/>
              <w:bottom w:val="nil"/>
              <w:right w:val="nil"/>
            </w:tcBorders>
          </w:tcPr>
          <w:p w14:paraId="6EB53155" w14:textId="77777777" w:rsidR="0094002A" w:rsidRPr="00580A46" w:rsidRDefault="0094002A" w:rsidP="004101B1">
            <w:pPr>
              <w:rPr>
                <w:b/>
                <w:bCs/>
              </w:rPr>
            </w:pPr>
          </w:p>
        </w:tc>
      </w:tr>
      <w:tr w:rsidR="00580A46" w:rsidRPr="00580A46" w14:paraId="02DBF02E" w14:textId="77777777" w:rsidTr="004101B1">
        <w:tc>
          <w:tcPr>
            <w:tcW w:w="1063" w:type="pct"/>
            <w:tcBorders>
              <w:top w:val="nil"/>
              <w:left w:val="nil"/>
              <w:right w:val="nil"/>
            </w:tcBorders>
            <w:tcMar>
              <w:top w:w="15" w:type="dxa"/>
              <w:left w:w="30" w:type="dxa"/>
              <w:right w:w="30" w:type="dxa"/>
            </w:tcMar>
          </w:tcPr>
          <w:p w14:paraId="047DE9AD" w14:textId="77777777" w:rsidR="0094002A" w:rsidRPr="00580A46" w:rsidRDefault="0094002A" w:rsidP="004101B1">
            <w:r w:rsidRPr="00580A46">
              <w:t xml:space="preserve">PLATE </w:t>
            </w:r>
          </w:p>
        </w:tc>
        <w:tc>
          <w:tcPr>
            <w:tcW w:w="559" w:type="pct"/>
            <w:tcBorders>
              <w:top w:val="nil"/>
              <w:left w:val="nil"/>
              <w:right w:val="nil"/>
            </w:tcBorders>
            <w:tcMar>
              <w:top w:w="15" w:type="dxa"/>
              <w:left w:w="30" w:type="dxa"/>
              <w:right w:w="30" w:type="dxa"/>
            </w:tcMar>
          </w:tcPr>
          <w:p w14:paraId="6D7A3A02" w14:textId="77777777" w:rsidR="0094002A" w:rsidRPr="00580A46" w:rsidRDefault="0094002A" w:rsidP="004101B1">
            <w:r w:rsidRPr="00580A46">
              <w:rPr>
                <w:szCs w:val="24"/>
              </w:rPr>
              <w:t xml:space="preserve">Control </w:t>
            </w:r>
          </w:p>
        </w:tc>
        <w:tc>
          <w:tcPr>
            <w:tcW w:w="682" w:type="pct"/>
            <w:tcBorders>
              <w:top w:val="nil"/>
              <w:left w:val="nil"/>
              <w:right w:val="nil"/>
            </w:tcBorders>
            <w:tcMar>
              <w:top w:w="15" w:type="dxa"/>
              <w:left w:w="30" w:type="dxa"/>
              <w:right w:w="30" w:type="dxa"/>
            </w:tcMar>
          </w:tcPr>
          <w:p w14:paraId="0510465B" w14:textId="77777777" w:rsidR="0094002A" w:rsidRPr="00580A46" w:rsidRDefault="0094002A" w:rsidP="004101B1">
            <w:pPr>
              <w:rPr>
                <w:b/>
                <w:bCs/>
              </w:rPr>
            </w:pPr>
            <w:r w:rsidRPr="00580A46">
              <w:rPr>
                <w:b/>
                <w:bCs/>
              </w:rPr>
              <w:t>528.8</w:t>
            </w:r>
          </w:p>
        </w:tc>
        <w:tc>
          <w:tcPr>
            <w:tcW w:w="714" w:type="pct"/>
            <w:tcBorders>
              <w:top w:val="nil"/>
              <w:left w:val="nil"/>
              <w:right w:val="nil"/>
            </w:tcBorders>
            <w:tcMar>
              <w:top w:w="15" w:type="dxa"/>
              <w:left w:w="30" w:type="dxa"/>
              <w:right w:w="30" w:type="dxa"/>
            </w:tcMar>
          </w:tcPr>
          <w:p w14:paraId="5C67CCA0" w14:textId="77777777" w:rsidR="0094002A" w:rsidRPr="00580A46" w:rsidRDefault="0094002A" w:rsidP="004101B1">
            <w:pPr>
              <w:rPr>
                <w:b/>
                <w:bCs/>
              </w:rPr>
            </w:pPr>
            <w:r w:rsidRPr="00580A46">
              <w:rPr>
                <w:b/>
                <w:bCs/>
              </w:rPr>
              <w:t>86.7</w:t>
            </w:r>
          </w:p>
        </w:tc>
        <w:tc>
          <w:tcPr>
            <w:tcW w:w="991" w:type="pct"/>
            <w:tcBorders>
              <w:top w:val="nil"/>
              <w:left w:val="nil"/>
              <w:right w:val="nil"/>
            </w:tcBorders>
            <w:tcMar>
              <w:top w:w="15" w:type="dxa"/>
              <w:left w:w="30" w:type="dxa"/>
              <w:right w:w="30" w:type="dxa"/>
            </w:tcMar>
          </w:tcPr>
          <w:p w14:paraId="1521FF7A" w14:textId="77777777" w:rsidR="0094002A" w:rsidRPr="00580A46" w:rsidRDefault="0094002A" w:rsidP="004101B1">
            <w:pPr>
              <w:rPr>
                <w:b/>
                <w:bCs/>
              </w:rPr>
            </w:pPr>
            <w:r w:rsidRPr="00580A46">
              <w:rPr>
                <w:b/>
                <w:bCs/>
              </w:rPr>
              <w:t>35</w:t>
            </w:r>
          </w:p>
        </w:tc>
        <w:tc>
          <w:tcPr>
            <w:tcW w:w="991" w:type="pct"/>
            <w:tcBorders>
              <w:top w:val="nil"/>
              <w:left w:val="nil"/>
              <w:right w:val="nil"/>
            </w:tcBorders>
          </w:tcPr>
          <w:p w14:paraId="5452ADA2" w14:textId="77777777" w:rsidR="0094002A" w:rsidRPr="00580A46" w:rsidRDefault="0094002A" w:rsidP="004101B1">
            <w:pPr>
              <w:rPr>
                <w:b/>
                <w:bCs/>
              </w:rPr>
            </w:pPr>
            <w:r w:rsidRPr="00580A46">
              <w:rPr>
                <w:b/>
                <w:bCs/>
              </w:rPr>
              <w:t>0.327</w:t>
            </w:r>
          </w:p>
        </w:tc>
      </w:tr>
      <w:tr w:rsidR="0094002A" w:rsidRPr="00580A46" w14:paraId="5FA4C4F9" w14:textId="77777777" w:rsidTr="004101B1">
        <w:tc>
          <w:tcPr>
            <w:tcW w:w="1063" w:type="pct"/>
            <w:tcBorders>
              <w:top w:val="nil"/>
              <w:left w:val="nil"/>
              <w:bottom w:val="single" w:sz="18" w:space="0" w:color="auto"/>
              <w:right w:val="nil"/>
            </w:tcBorders>
            <w:tcMar>
              <w:top w:w="15" w:type="dxa"/>
              <w:left w:w="30" w:type="dxa"/>
              <w:right w:w="30" w:type="dxa"/>
            </w:tcMar>
          </w:tcPr>
          <w:p w14:paraId="4A99BD66" w14:textId="77777777" w:rsidR="0094002A" w:rsidRPr="00580A46" w:rsidRDefault="0094002A" w:rsidP="004101B1">
            <w:r w:rsidRPr="00580A46">
              <w:t>PLATELETS</w:t>
            </w:r>
          </w:p>
        </w:tc>
        <w:tc>
          <w:tcPr>
            <w:tcW w:w="559" w:type="pct"/>
            <w:tcBorders>
              <w:top w:val="nil"/>
              <w:left w:val="nil"/>
              <w:bottom w:val="single" w:sz="18" w:space="0" w:color="auto"/>
              <w:right w:val="nil"/>
            </w:tcBorders>
            <w:tcMar>
              <w:top w:w="15" w:type="dxa"/>
              <w:left w:w="30" w:type="dxa"/>
              <w:right w:w="30" w:type="dxa"/>
            </w:tcMar>
          </w:tcPr>
          <w:p w14:paraId="0703BDBD" w14:textId="77777777" w:rsidR="0094002A" w:rsidRPr="00580A46" w:rsidRDefault="0094002A" w:rsidP="004101B1">
            <w:r w:rsidRPr="00580A46">
              <w:rPr>
                <w:szCs w:val="24"/>
              </w:rPr>
              <w:t xml:space="preserve">Treatment </w:t>
            </w:r>
          </w:p>
        </w:tc>
        <w:tc>
          <w:tcPr>
            <w:tcW w:w="682" w:type="pct"/>
            <w:tcBorders>
              <w:top w:val="nil"/>
              <w:left w:val="nil"/>
              <w:bottom w:val="single" w:sz="18" w:space="0" w:color="auto"/>
              <w:right w:val="nil"/>
            </w:tcBorders>
            <w:tcMar>
              <w:top w:w="15" w:type="dxa"/>
              <w:left w:w="30" w:type="dxa"/>
              <w:right w:w="30" w:type="dxa"/>
            </w:tcMar>
          </w:tcPr>
          <w:p w14:paraId="3592B14F" w14:textId="77777777" w:rsidR="0094002A" w:rsidRPr="00580A46" w:rsidRDefault="0094002A" w:rsidP="004101B1">
            <w:pPr>
              <w:rPr>
                <w:b/>
                <w:bCs/>
              </w:rPr>
            </w:pPr>
            <w:r w:rsidRPr="00580A46">
              <w:rPr>
                <w:b/>
                <w:bCs/>
              </w:rPr>
              <w:t>575.0</w:t>
            </w:r>
          </w:p>
        </w:tc>
        <w:tc>
          <w:tcPr>
            <w:tcW w:w="714" w:type="pct"/>
            <w:tcBorders>
              <w:top w:val="nil"/>
              <w:left w:val="nil"/>
              <w:bottom w:val="single" w:sz="18" w:space="0" w:color="auto"/>
              <w:right w:val="nil"/>
            </w:tcBorders>
            <w:tcMar>
              <w:top w:w="15" w:type="dxa"/>
              <w:left w:w="30" w:type="dxa"/>
              <w:right w:w="30" w:type="dxa"/>
            </w:tcMar>
          </w:tcPr>
          <w:p w14:paraId="57A8FFA3" w14:textId="77777777" w:rsidR="0094002A" w:rsidRPr="00580A46" w:rsidRDefault="0094002A" w:rsidP="004101B1">
            <w:pPr>
              <w:rPr>
                <w:b/>
                <w:bCs/>
              </w:rPr>
            </w:pPr>
            <w:r w:rsidRPr="00580A46">
              <w:rPr>
                <w:b/>
                <w:bCs/>
              </w:rPr>
              <w:t>66.2</w:t>
            </w:r>
          </w:p>
        </w:tc>
        <w:tc>
          <w:tcPr>
            <w:tcW w:w="991" w:type="pct"/>
            <w:tcBorders>
              <w:top w:val="nil"/>
              <w:left w:val="nil"/>
              <w:bottom w:val="single" w:sz="18" w:space="0" w:color="auto"/>
              <w:right w:val="nil"/>
            </w:tcBorders>
            <w:tcMar>
              <w:top w:w="15" w:type="dxa"/>
              <w:left w:w="30" w:type="dxa"/>
              <w:right w:w="30" w:type="dxa"/>
            </w:tcMar>
          </w:tcPr>
          <w:p w14:paraId="0963E530" w14:textId="77777777" w:rsidR="0094002A" w:rsidRPr="00580A46" w:rsidRDefault="0094002A" w:rsidP="004101B1">
            <w:pPr>
              <w:rPr>
                <w:b/>
                <w:bCs/>
              </w:rPr>
            </w:pPr>
            <w:r w:rsidRPr="00580A46">
              <w:rPr>
                <w:b/>
                <w:bCs/>
              </w:rPr>
              <w:t>27</w:t>
            </w:r>
          </w:p>
        </w:tc>
        <w:tc>
          <w:tcPr>
            <w:tcW w:w="991" w:type="pct"/>
            <w:tcBorders>
              <w:top w:val="nil"/>
              <w:left w:val="nil"/>
              <w:bottom w:val="single" w:sz="18" w:space="0" w:color="auto"/>
              <w:right w:val="nil"/>
            </w:tcBorders>
          </w:tcPr>
          <w:p w14:paraId="585C152A" w14:textId="77777777" w:rsidR="0094002A" w:rsidRPr="00580A46" w:rsidRDefault="0094002A" w:rsidP="004101B1">
            <w:pPr>
              <w:rPr>
                <w:b/>
                <w:bCs/>
              </w:rPr>
            </w:pPr>
          </w:p>
        </w:tc>
      </w:tr>
    </w:tbl>
    <w:p w14:paraId="4F2560B1" w14:textId="77777777" w:rsidR="0094002A" w:rsidRPr="00580A46" w:rsidRDefault="0094002A" w:rsidP="0094002A">
      <w:pPr>
        <w:autoSpaceDE w:val="0"/>
        <w:autoSpaceDN w:val="0"/>
        <w:adjustRightInd w:val="0"/>
        <w:ind w:right="360"/>
        <w:rPr>
          <w:b/>
          <w:bCs/>
          <w:szCs w:val="24"/>
        </w:rPr>
      </w:pPr>
    </w:p>
    <w:p w14:paraId="7F050573" w14:textId="77777777" w:rsidR="0094002A" w:rsidRPr="00580A46" w:rsidRDefault="0094002A" w:rsidP="0094002A"/>
    <w:p w14:paraId="7EAF05DC" w14:textId="77777777" w:rsidR="0094002A" w:rsidRPr="00580A46" w:rsidRDefault="0094002A" w:rsidP="0094002A"/>
    <w:p w14:paraId="5DB4502C" w14:textId="1B80B725" w:rsidR="004E0089" w:rsidRPr="00580A46" w:rsidRDefault="004E0089" w:rsidP="0094002A">
      <w:pPr>
        <w:tabs>
          <w:tab w:val="left" w:pos="5220"/>
        </w:tabs>
        <w:rPr>
          <w:rFonts w:ascii="Arial" w:hAnsi="Arial" w:cs="Arial"/>
        </w:rPr>
      </w:pPr>
    </w:p>
    <w:p w14:paraId="0A96BC1B" w14:textId="77777777" w:rsidR="00BA21BA" w:rsidRPr="00580A46" w:rsidRDefault="00BA21BA" w:rsidP="00441B6F">
      <w:pPr>
        <w:pStyle w:val="Body"/>
        <w:spacing w:after="0"/>
        <w:rPr>
          <w:rFonts w:ascii="Arial" w:hAnsi="Arial" w:cs="Arial"/>
        </w:rPr>
      </w:pPr>
    </w:p>
    <w:p w14:paraId="382A9088" w14:textId="34DF798F" w:rsidR="00E053D0" w:rsidRPr="00580A46" w:rsidRDefault="00BA21BA" w:rsidP="00441B6F">
      <w:pPr>
        <w:pStyle w:val="Body"/>
        <w:spacing w:after="0"/>
        <w:rPr>
          <w:rFonts w:ascii="Arial" w:hAnsi="Arial" w:cs="Arial"/>
          <w:b/>
          <w:caps/>
          <w:sz w:val="22"/>
        </w:rPr>
      </w:pPr>
      <w:r w:rsidRPr="00580A46">
        <w:rPr>
          <w:rFonts w:ascii="Arial" w:hAnsi="Arial" w:cs="Arial"/>
          <w:b/>
          <w:caps/>
          <w:sz w:val="22"/>
        </w:rPr>
        <w:t>4. discusion</w:t>
      </w:r>
      <w:r w:rsidR="00405567">
        <w:rPr>
          <w:rFonts w:ascii="Arial" w:hAnsi="Arial" w:cs="Arial"/>
          <w:b/>
          <w:caps/>
          <w:sz w:val="22"/>
        </w:rPr>
        <w:t>S</w:t>
      </w:r>
    </w:p>
    <w:p w14:paraId="77FA6AA1" w14:textId="77777777" w:rsidR="00432225" w:rsidRPr="00580A46" w:rsidRDefault="00432225" w:rsidP="00441B6F">
      <w:pPr>
        <w:pStyle w:val="Body"/>
        <w:spacing w:after="0"/>
        <w:rPr>
          <w:rFonts w:ascii="Arial" w:hAnsi="Arial" w:cs="Arial"/>
          <w:b/>
          <w:caps/>
          <w:sz w:val="22"/>
        </w:rPr>
      </w:pPr>
    </w:p>
    <w:p w14:paraId="53F77238" w14:textId="055085D6" w:rsidR="00790ADA" w:rsidRPr="00580A46" w:rsidRDefault="00931B52" w:rsidP="007A0855">
      <w:pPr>
        <w:jc w:val="both"/>
        <w:rPr>
          <w:rFonts w:ascii="Arial" w:hAnsi="Arial" w:cs="Arial"/>
        </w:rPr>
      </w:pPr>
      <w:r w:rsidRPr="00580A46">
        <w:rPr>
          <w:rFonts w:ascii="Arial" w:hAnsi="Arial" w:cs="Arial"/>
        </w:rPr>
        <w:t>Medicinal plants traditionally used to treat malaria in Africa offer a practical and cost-effective approach for developing new, effective antimalarial drugs, as they are readily accessible, tend to have minimal side effects, and may be less expensive [2</w:t>
      </w:r>
      <w:r w:rsidR="00BF1A3B">
        <w:rPr>
          <w:rFonts w:ascii="Arial" w:hAnsi="Arial" w:cs="Arial"/>
        </w:rPr>
        <w:t>6</w:t>
      </w:r>
      <w:r w:rsidRPr="00580A46">
        <w:rPr>
          <w:rFonts w:ascii="Arial" w:hAnsi="Arial" w:cs="Arial"/>
        </w:rPr>
        <w:t>]. The long-term use of medicinal herbs also provides a safety data foundation that can reduce but not eliminate the need for extensive toxicity testing, potentially making drug development from these sources cheaper and faster than with new synthetic compounds [2</w:t>
      </w:r>
      <w:r w:rsidR="00BF1A3B">
        <w:rPr>
          <w:rFonts w:ascii="Arial" w:hAnsi="Arial" w:cs="Arial"/>
        </w:rPr>
        <w:t>7</w:t>
      </w:r>
      <w:r w:rsidRPr="00580A46">
        <w:rPr>
          <w:rFonts w:ascii="Arial" w:hAnsi="Arial" w:cs="Arial"/>
        </w:rPr>
        <w:t>,2</w:t>
      </w:r>
      <w:r w:rsidR="00BF1A3B">
        <w:rPr>
          <w:rFonts w:ascii="Arial" w:hAnsi="Arial" w:cs="Arial"/>
        </w:rPr>
        <w:t>8</w:t>
      </w:r>
      <w:r w:rsidRPr="00580A46">
        <w:rPr>
          <w:rFonts w:ascii="Arial" w:hAnsi="Arial" w:cs="Arial"/>
        </w:rPr>
        <w:t>]. A main challenge with this approach is that traditional medicine practitioners often combine plant extracts to treat malaria. Ironically, the effectiveness of these combined extracts remains underexplored, as indicated by the limited number of publications on this topic. Therefore, it is essential to evaluate and document this information [2</w:t>
      </w:r>
      <w:r w:rsidR="00BF1A3B">
        <w:rPr>
          <w:rFonts w:ascii="Arial" w:hAnsi="Arial" w:cs="Arial"/>
        </w:rPr>
        <w:t>9</w:t>
      </w:r>
      <w:r w:rsidRPr="00580A46">
        <w:rPr>
          <w:rFonts w:ascii="Arial" w:hAnsi="Arial" w:cs="Arial"/>
        </w:rPr>
        <w:t>,</w:t>
      </w:r>
      <w:r w:rsidR="00BF1A3B">
        <w:rPr>
          <w:rFonts w:ascii="Arial" w:hAnsi="Arial" w:cs="Arial"/>
        </w:rPr>
        <w:t>30</w:t>
      </w:r>
      <w:r w:rsidRPr="00580A46">
        <w:rPr>
          <w:rFonts w:ascii="Arial" w:hAnsi="Arial" w:cs="Arial"/>
        </w:rPr>
        <w:t xml:space="preserve">]. This study investigated the </w:t>
      </w:r>
      <w:r w:rsidR="00F466F4" w:rsidRPr="00580A46">
        <w:rPr>
          <w:rFonts w:ascii="Arial" w:hAnsi="Arial" w:cs="Arial"/>
          <w:i/>
        </w:rPr>
        <w:t>in vivo</w:t>
      </w:r>
      <w:r w:rsidRPr="00580A46">
        <w:rPr>
          <w:rFonts w:ascii="Arial" w:hAnsi="Arial" w:cs="Arial"/>
        </w:rPr>
        <w:t xml:space="preserve"> anti-</w:t>
      </w:r>
      <w:r w:rsidR="00F466F4" w:rsidRPr="00580A46">
        <w:rPr>
          <w:rFonts w:ascii="Arial" w:hAnsi="Arial" w:cs="Arial"/>
          <w:i/>
        </w:rPr>
        <w:t xml:space="preserve">Plasmodium </w:t>
      </w:r>
      <w:r w:rsidRPr="00580A46">
        <w:rPr>
          <w:rFonts w:ascii="Arial" w:hAnsi="Arial" w:cs="Arial"/>
        </w:rPr>
        <w:t xml:space="preserve">activity of two plant extracts, </w:t>
      </w:r>
      <w:proofErr w:type="spellStart"/>
      <w:r w:rsidR="003A316B" w:rsidRPr="00580A46">
        <w:rPr>
          <w:rFonts w:ascii="Arial" w:hAnsi="Arial" w:cs="Arial"/>
          <w:i/>
        </w:rPr>
        <w:t>Zanthoxylum</w:t>
      </w:r>
      <w:proofErr w:type="spellEnd"/>
      <w:r w:rsidR="003A316B" w:rsidRPr="00580A46">
        <w:rPr>
          <w:rFonts w:ascii="Arial" w:hAnsi="Arial" w:cs="Arial"/>
          <w:i/>
        </w:rPr>
        <w:t xml:space="preserve"> </w:t>
      </w:r>
      <w:proofErr w:type="spellStart"/>
      <w:r w:rsidR="003A316B" w:rsidRPr="00580A46">
        <w:rPr>
          <w:rFonts w:ascii="Arial" w:hAnsi="Arial" w:cs="Arial"/>
          <w:i/>
        </w:rPr>
        <w:t>asiaticum</w:t>
      </w:r>
      <w:proofErr w:type="spellEnd"/>
      <w:r w:rsidR="003A316B" w:rsidRPr="00580A46">
        <w:rPr>
          <w:rFonts w:ascii="Arial" w:hAnsi="Arial" w:cs="Arial"/>
          <w:i/>
        </w:rPr>
        <w:t xml:space="preserve"> </w:t>
      </w:r>
      <w:r w:rsidRPr="00580A46">
        <w:rPr>
          <w:rFonts w:ascii="Arial" w:hAnsi="Arial" w:cs="Arial"/>
        </w:rPr>
        <w:t xml:space="preserve">and </w:t>
      </w:r>
      <w:proofErr w:type="spellStart"/>
      <w:r w:rsidR="00F466F4" w:rsidRPr="00580A46">
        <w:rPr>
          <w:rFonts w:ascii="Arial" w:hAnsi="Arial" w:cs="Arial"/>
          <w:i/>
        </w:rPr>
        <w:t>Delonix</w:t>
      </w:r>
      <w:proofErr w:type="spellEnd"/>
      <w:r w:rsidR="00F466F4" w:rsidRPr="00580A46">
        <w:rPr>
          <w:rFonts w:ascii="Arial" w:hAnsi="Arial" w:cs="Arial"/>
          <w:i/>
        </w:rPr>
        <w:t xml:space="preserve"> regia</w:t>
      </w:r>
      <w:r w:rsidRPr="00580A46">
        <w:rPr>
          <w:rFonts w:ascii="Arial" w:hAnsi="Arial" w:cs="Arial"/>
        </w:rPr>
        <w:t xml:space="preserve">, respectively, both individually and in combination. The plant extracts demonstrated strong anti-plasmodial activity against chloroquine-sensitive </w:t>
      </w:r>
      <w:r w:rsidR="00F466F4" w:rsidRPr="00580A46">
        <w:rPr>
          <w:rFonts w:ascii="Arial" w:hAnsi="Arial" w:cs="Arial"/>
          <w:i/>
        </w:rPr>
        <w:t xml:space="preserve">P. </w:t>
      </w:r>
      <w:proofErr w:type="spellStart"/>
      <w:r w:rsidR="00F466F4" w:rsidRPr="00580A46">
        <w:rPr>
          <w:rFonts w:ascii="Arial" w:hAnsi="Arial" w:cs="Arial"/>
          <w:i/>
        </w:rPr>
        <w:t>berghei</w:t>
      </w:r>
      <w:proofErr w:type="spellEnd"/>
      <w:r w:rsidR="00F466F4" w:rsidRPr="00580A46">
        <w:rPr>
          <w:rFonts w:ascii="Arial" w:hAnsi="Arial" w:cs="Arial"/>
          <w:i/>
        </w:rPr>
        <w:t xml:space="preserve"> </w:t>
      </w:r>
      <w:r w:rsidRPr="00580A46">
        <w:rPr>
          <w:rFonts w:ascii="Arial" w:hAnsi="Arial" w:cs="Arial"/>
        </w:rPr>
        <w:t xml:space="preserve">in early malaria infections in mice, as shown by the four-day suppressive test results. The extracts were most effective at doses of 500 and 250 mg/kg body weight, while 100 mg/kg also </w:t>
      </w:r>
      <w:r w:rsidR="00A47356" w:rsidRPr="00580A46">
        <w:rPr>
          <w:rFonts w:ascii="Arial" w:hAnsi="Arial" w:cs="Arial"/>
        </w:rPr>
        <w:t xml:space="preserve">showed some </w:t>
      </w:r>
      <w:r w:rsidRPr="00580A46">
        <w:rPr>
          <w:rFonts w:ascii="Arial" w:hAnsi="Arial" w:cs="Arial"/>
        </w:rPr>
        <w:t xml:space="preserve">suppression. Across all tested doses, the extracts </w:t>
      </w:r>
      <w:r w:rsidR="00A47356" w:rsidRPr="00580A46">
        <w:rPr>
          <w:rFonts w:ascii="Arial" w:hAnsi="Arial" w:cs="Arial"/>
        </w:rPr>
        <w:t>reduced parasite levels relative to the negative control, with a statistically significant (p &lt; 0.05),</w:t>
      </w:r>
      <w:r w:rsidRPr="00580A46">
        <w:rPr>
          <w:rFonts w:ascii="Arial" w:hAnsi="Arial" w:cs="Arial"/>
        </w:rPr>
        <w:t xml:space="preserve"> dose-dependent response. </w:t>
      </w:r>
      <w:proofErr w:type="spellStart"/>
      <w:r w:rsidR="003A316B" w:rsidRPr="00580A46">
        <w:rPr>
          <w:rFonts w:ascii="Arial" w:hAnsi="Arial" w:cs="Arial"/>
          <w:i/>
        </w:rPr>
        <w:t>Zanthoxylum</w:t>
      </w:r>
      <w:proofErr w:type="spellEnd"/>
      <w:r w:rsidR="003A316B" w:rsidRPr="00580A46">
        <w:rPr>
          <w:rFonts w:ascii="Arial" w:hAnsi="Arial" w:cs="Arial"/>
          <w:i/>
        </w:rPr>
        <w:t xml:space="preserve"> </w:t>
      </w:r>
      <w:proofErr w:type="spellStart"/>
      <w:r w:rsidR="003A316B" w:rsidRPr="00580A46">
        <w:rPr>
          <w:rFonts w:ascii="Arial" w:hAnsi="Arial" w:cs="Arial"/>
          <w:i/>
        </w:rPr>
        <w:t>asiaticum</w:t>
      </w:r>
      <w:proofErr w:type="spellEnd"/>
      <w:r w:rsidR="003A316B" w:rsidRPr="00580A46">
        <w:rPr>
          <w:rFonts w:ascii="Arial" w:hAnsi="Arial" w:cs="Arial"/>
          <w:i/>
        </w:rPr>
        <w:t xml:space="preserve"> </w:t>
      </w:r>
      <w:r w:rsidRPr="00580A46">
        <w:rPr>
          <w:rFonts w:ascii="Arial" w:hAnsi="Arial" w:cs="Arial"/>
        </w:rPr>
        <w:t xml:space="preserve">achieved over 80% suppression at all </w:t>
      </w:r>
      <w:r w:rsidRPr="00580A46">
        <w:rPr>
          <w:rFonts w:ascii="Arial" w:hAnsi="Arial" w:cs="Arial"/>
        </w:rPr>
        <w:lastRenderedPageBreak/>
        <w:t xml:space="preserve">doses. </w:t>
      </w:r>
      <w:r w:rsidR="00932ED6">
        <w:rPr>
          <w:rFonts w:ascii="Arial" w:hAnsi="Arial" w:cs="Arial"/>
        </w:rPr>
        <w:t xml:space="preserve">Although </w:t>
      </w:r>
      <w:proofErr w:type="spellStart"/>
      <w:r w:rsidR="00932ED6" w:rsidRPr="00932ED6">
        <w:rPr>
          <w:rFonts w:ascii="Arial" w:hAnsi="Arial" w:cs="Arial"/>
          <w:i/>
          <w:iCs/>
        </w:rPr>
        <w:t>Delonix</w:t>
      </w:r>
      <w:proofErr w:type="spellEnd"/>
      <w:r w:rsidR="00932ED6" w:rsidRPr="00932ED6">
        <w:rPr>
          <w:rFonts w:ascii="Arial" w:hAnsi="Arial" w:cs="Arial"/>
          <w:i/>
          <w:iCs/>
        </w:rPr>
        <w:t xml:space="preserve"> regia</w:t>
      </w:r>
      <w:r w:rsidR="00932ED6">
        <w:rPr>
          <w:rFonts w:ascii="Arial" w:hAnsi="Arial" w:cs="Arial"/>
        </w:rPr>
        <w:t xml:space="preserve"> showed good anti-</w:t>
      </w:r>
      <w:r w:rsidR="00932ED6" w:rsidRPr="00932ED6">
        <w:rPr>
          <w:rFonts w:ascii="Arial" w:hAnsi="Arial" w:cs="Arial"/>
          <w:i/>
          <w:iCs/>
        </w:rPr>
        <w:t>Plasmodium</w:t>
      </w:r>
      <w:r w:rsidR="00932ED6">
        <w:rPr>
          <w:rFonts w:ascii="Arial" w:hAnsi="Arial" w:cs="Arial"/>
        </w:rPr>
        <w:t xml:space="preserve"> </w:t>
      </w:r>
      <w:r w:rsidRPr="00580A46">
        <w:rPr>
          <w:rFonts w:ascii="Arial" w:hAnsi="Arial" w:cs="Arial"/>
        </w:rPr>
        <w:t xml:space="preserve">activity, its potency was only comparable to that of </w:t>
      </w:r>
      <w:proofErr w:type="spellStart"/>
      <w:r w:rsidR="003A316B" w:rsidRPr="00580A46">
        <w:rPr>
          <w:rFonts w:ascii="Arial" w:hAnsi="Arial" w:cs="Arial"/>
          <w:i/>
        </w:rPr>
        <w:t>Zanthoxylum</w:t>
      </w:r>
      <w:proofErr w:type="spellEnd"/>
      <w:r w:rsidR="003A316B" w:rsidRPr="00580A46">
        <w:rPr>
          <w:rFonts w:ascii="Arial" w:hAnsi="Arial" w:cs="Arial"/>
          <w:i/>
        </w:rPr>
        <w:t xml:space="preserve"> </w:t>
      </w:r>
      <w:proofErr w:type="spellStart"/>
      <w:r w:rsidR="003A316B" w:rsidRPr="00580A46">
        <w:rPr>
          <w:rFonts w:ascii="Arial" w:hAnsi="Arial" w:cs="Arial"/>
          <w:i/>
        </w:rPr>
        <w:t>asiaticum</w:t>
      </w:r>
      <w:proofErr w:type="spellEnd"/>
      <w:r w:rsidR="003A316B" w:rsidRPr="00580A46">
        <w:rPr>
          <w:rFonts w:ascii="Arial" w:hAnsi="Arial" w:cs="Arial"/>
          <w:i/>
        </w:rPr>
        <w:t xml:space="preserve"> </w:t>
      </w:r>
      <w:r w:rsidRPr="00580A46">
        <w:rPr>
          <w:rFonts w:ascii="Arial" w:hAnsi="Arial" w:cs="Arial"/>
        </w:rPr>
        <w:t xml:space="preserve">at 500 mg/kg body weight. Additionally, lower and medium doses of </w:t>
      </w:r>
      <w:proofErr w:type="spellStart"/>
      <w:r w:rsidRPr="00932ED6">
        <w:rPr>
          <w:rFonts w:ascii="Arial" w:hAnsi="Arial" w:cs="Arial"/>
          <w:i/>
          <w:iCs/>
        </w:rPr>
        <w:t>Delonix</w:t>
      </w:r>
      <w:proofErr w:type="spellEnd"/>
      <w:r w:rsidRPr="00580A46">
        <w:rPr>
          <w:rFonts w:ascii="Arial" w:hAnsi="Arial" w:cs="Arial"/>
        </w:rPr>
        <w:t xml:space="preserve"> extracts resulted in a lower suppression percentage than the reference drug, chloroquine. Conversely, the highest dose of </w:t>
      </w:r>
      <w:proofErr w:type="spellStart"/>
      <w:r w:rsidR="003A316B" w:rsidRPr="00580A46">
        <w:rPr>
          <w:rFonts w:ascii="Arial" w:hAnsi="Arial" w:cs="Arial"/>
          <w:i/>
        </w:rPr>
        <w:t>Zanthoxylum</w:t>
      </w:r>
      <w:proofErr w:type="spellEnd"/>
      <w:r w:rsidR="003A316B" w:rsidRPr="00580A46">
        <w:rPr>
          <w:rFonts w:ascii="Arial" w:hAnsi="Arial" w:cs="Arial"/>
          <w:i/>
        </w:rPr>
        <w:t xml:space="preserve"> </w:t>
      </w:r>
      <w:proofErr w:type="spellStart"/>
      <w:r w:rsidR="003A316B" w:rsidRPr="00580A46">
        <w:rPr>
          <w:rFonts w:ascii="Arial" w:hAnsi="Arial" w:cs="Arial"/>
          <w:i/>
        </w:rPr>
        <w:t>asiaticum</w:t>
      </w:r>
      <w:proofErr w:type="spellEnd"/>
      <w:r w:rsidR="003A316B" w:rsidRPr="00580A46">
        <w:rPr>
          <w:rFonts w:ascii="Arial" w:hAnsi="Arial" w:cs="Arial"/>
          <w:i/>
        </w:rPr>
        <w:t xml:space="preserve"> </w:t>
      </w:r>
      <w:r w:rsidRPr="00580A46">
        <w:rPr>
          <w:rFonts w:ascii="Arial" w:hAnsi="Arial" w:cs="Arial"/>
        </w:rPr>
        <w:t xml:space="preserve">extract (500 mg/kg) achieved over 90% suppression, </w:t>
      </w:r>
      <w:r w:rsidR="00A47356" w:rsidRPr="00580A46">
        <w:rPr>
          <w:rFonts w:ascii="Arial" w:hAnsi="Arial" w:cs="Arial"/>
        </w:rPr>
        <w:t xml:space="preserve">almost </w:t>
      </w:r>
      <w:r w:rsidRPr="00580A46">
        <w:rPr>
          <w:rFonts w:ascii="Arial" w:hAnsi="Arial" w:cs="Arial"/>
        </w:rPr>
        <w:t xml:space="preserve">similar to the level observed with chloroquine.  </w:t>
      </w:r>
      <w:r w:rsidR="00A47356" w:rsidRPr="00580A46">
        <w:rPr>
          <w:rFonts w:ascii="Arial" w:hAnsi="Arial" w:cs="Arial"/>
        </w:rPr>
        <w:t>Each</w:t>
      </w:r>
      <w:r w:rsidRPr="00580A46">
        <w:rPr>
          <w:rFonts w:ascii="Arial" w:hAnsi="Arial" w:cs="Arial"/>
        </w:rPr>
        <w:t xml:space="preserve"> extract demonstrated a parasite suppression rate exceeding 70% at a dose of 250 mg/kg body weight when used alone. However, mice treated with a combination of </w:t>
      </w:r>
      <w:proofErr w:type="spellStart"/>
      <w:r w:rsidR="00932ED6" w:rsidRPr="00932ED6">
        <w:rPr>
          <w:rFonts w:ascii="Arial" w:hAnsi="Arial" w:cs="Arial"/>
          <w:i/>
          <w:iCs/>
        </w:rPr>
        <w:t>Delonix</w:t>
      </w:r>
      <w:proofErr w:type="spellEnd"/>
      <w:r w:rsidR="00932ED6" w:rsidRPr="00932ED6">
        <w:rPr>
          <w:rFonts w:ascii="Arial" w:hAnsi="Arial" w:cs="Arial"/>
          <w:i/>
          <w:iCs/>
        </w:rPr>
        <w:t xml:space="preserve"> regia</w:t>
      </w:r>
      <w:r w:rsidR="00932ED6">
        <w:rPr>
          <w:rFonts w:ascii="Arial" w:hAnsi="Arial" w:cs="Arial"/>
        </w:rPr>
        <w:t xml:space="preserve"> and </w:t>
      </w:r>
      <w:proofErr w:type="spellStart"/>
      <w:r w:rsidR="00932ED6" w:rsidRPr="00932ED6">
        <w:rPr>
          <w:rFonts w:ascii="Arial" w:hAnsi="Arial" w:cs="Arial"/>
          <w:i/>
          <w:iCs/>
        </w:rPr>
        <w:t>Zanthoxylum</w:t>
      </w:r>
      <w:proofErr w:type="spellEnd"/>
      <w:r w:rsidR="00932ED6" w:rsidRPr="00932ED6">
        <w:rPr>
          <w:rFonts w:ascii="Arial" w:hAnsi="Arial" w:cs="Arial"/>
          <w:i/>
          <w:iCs/>
        </w:rPr>
        <w:t xml:space="preserve"> </w:t>
      </w:r>
      <w:proofErr w:type="spellStart"/>
      <w:r w:rsidR="00932ED6" w:rsidRPr="00932ED6">
        <w:rPr>
          <w:rFonts w:ascii="Arial" w:hAnsi="Arial" w:cs="Arial"/>
          <w:i/>
          <w:iCs/>
        </w:rPr>
        <w:t>asiaticum</w:t>
      </w:r>
      <w:proofErr w:type="spellEnd"/>
      <w:r w:rsidR="00932ED6" w:rsidRPr="00932ED6">
        <w:rPr>
          <w:rFonts w:ascii="Arial" w:hAnsi="Arial" w:cs="Arial"/>
          <w:i/>
          <w:iCs/>
        </w:rPr>
        <w:t xml:space="preserve"> </w:t>
      </w:r>
      <w:r w:rsidR="00932ED6">
        <w:rPr>
          <w:rFonts w:ascii="Arial" w:hAnsi="Arial" w:cs="Arial"/>
        </w:rPr>
        <w:t xml:space="preserve">extracts at a 1:1 ratio exhibited an over 80% reduction in </w:t>
      </w:r>
      <w:r w:rsidR="00932ED6" w:rsidRPr="00932ED6">
        <w:rPr>
          <w:rFonts w:ascii="Arial" w:hAnsi="Arial" w:cs="Arial"/>
          <w:i/>
          <w:iCs/>
        </w:rPr>
        <w:t xml:space="preserve">Plasmodium </w:t>
      </w:r>
      <w:proofErr w:type="spellStart"/>
      <w:r w:rsidR="00F466F4" w:rsidRPr="00932ED6">
        <w:rPr>
          <w:rFonts w:ascii="Arial" w:hAnsi="Arial" w:cs="Arial"/>
          <w:i/>
          <w:iCs/>
        </w:rPr>
        <w:t>berghei</w:t>
      </w:r>
      <w:proofErr w:type="spellEnd"/>
      <w:r w:rsidRPr="00580A46">
        <w:rPr>
          <w:rFonts w:ascii="Arial" w:hAnsi="Arial" w:cs="Arial"/>
        </w:rPr>
        <w:t>, comparable to the positive control. This suggests that administering a combination of modest doses of plant extracts can achieve the same curative effects and potency as higher doses (500 mg/kg), which are often associated with toxicity symptoms.</w:t>
      </w:r>
      <w:r w:rsidR="00C2191E">
        <w:rPr>
          <w:rFonts w:ascii="Arial" w:hAnsi="Arial" w:cs="Arial"/>
        </w:rPr>
        <w:t xml:space="preserve"> </w:t>
      </w:r>
      <w:r w:rsidR="002C7433">
        <w:t xml:space="preserve">In curative tests, </w:t>
      </w:r>
      <w:proofErr w:type="spellStart"/>
      <w:r w:rsidR="002C7433" w:rsidRPr="002C7433">
        <w:rPr>
          <w:i/>
          <w:iCs/>
        </w:rPr>
        <w:t>Zanthoxylum</w:t>
      </w:r>
      <w:proofErr w:type="spellEnd"/>
      <w:r w:rsidR="002C7433">
        <w:t xml:space="preserve"> shows the highest efficacy at 500 mg/kg, achieving an impressive 95% suppression. </w:t>
      </w:r>
      <w:proofErr w:type="spellStart"/>
      <w:r w:rsidR="002C7433" w:rsidRPr="002C7433">
        <w:rPr>
          <w:i/>
          <w:iCs/>
        </w:rPr>
        <w:t>Delonix</w:t>
      </w:r>
      <w:proofErr w:type="spellEnd"/>
      <w:r w:rsidR="002C7433">
        <w:t xml:space="preserve"> also exhibits notable effects, with 88% suppression at the same dose, although lower doses were less effective. The combination of </w:t>
      </w:r>
      <w:r w:rsidR="002C7433" w:rsidRPr="002C7433">
        <w:rPr>
          <w:i/>
          <w:iCs/>
        </w:rPr>
        <w:t xml:space="preserve">Z. </w:t>
      </w:r>
      <w:proofErr w:type="spellStart"/>
      <w:r w:rsidR="002C7433" w:rsidRPr="002C7433">
        <w:rPr>
          <w:i/>
          <w:iCs/>
        </w:rPr>
        <w:t>asiaticum</w:t>
      </w:r>
      <w:proofErr w:type="spellEnd"/>
      <w:r w:rsidR="002C7433">
        <w:t xml:space="preserve"> and </w:t>
      </w:r>
      <w:r w:rsidR="002C7433" w:rsidRPr="002C7433">
        <w:rPr>
          <w:i/>
          <w:iCs/>
        </w:rPr>
        <w:t>D. regia</w:t>
      </w:r>
      <w:r w:rsidR="002C7433">
        <w:t xml:space="preserve"> (250+250 mg/kg) </w:t>
      </w:r>
      <w:r w:rsidR="00932ED6">
        <w:t>achieves an 85% suppression rate, suggesting potential synergistic effects</w:t>
      </w:r>
      <w:r w:rsidR="002C7433">
        <w:t>. Chloroquine, the positive control, demonstrates remarkable effectiveness, with 98% suppression.</w:t>
      </w:r>
      <w:r w:rsidRPr="00580A46">
        <w:rPr>
          <w:rFonts w:ascii="Arial" w:hAnsi="Arial" w:cs="Arial"/>
        </w:rPr>
        <w:t xml:space="preserve"> </w:t>
      </w:r>
      <w:r w:rsidR="00A47356" w:rsidRPr="00580A46">
        <w:rPr>
          <w:rFonts w:ascii="Arial" w:hAnsi="Arial" w:cs="Arial"/>
        </w:rPr>
        <w:t xml:space="preserve">Similar studies on the synergistic anti-plasmodial activity of plant extracts used in combination have shown that </w:t>
      </w:r>
      <w:r w:rsidR="00932ED6">
        <w:rPr>
          <w:rFonts w:ascii="Arial" w:hAnsi="Arial" w:cs="Arial"/>
        </w:rPr>
        <w:t>such combinations exhibit</w:t>
      </w:r>
      <w:r w:rsidR="00A47356" w:rsidRPr="00580A46">
        <w:rPr>
          <w:rFonts w:ascii="Arial" w:hAnsi="Arial" w:cs="Arial"/>
        </w:rPr>
        <w:t xml:space="preserve"> synergistic effects </w:t>
      </w:r>
      <w:r w:rsidRPr="00580A46">
        <w:rPr>
          <w:rFonts w:ascii="Arial" w:hAnsi="Arial" w:cs="Arial"/>
        </w:rPr>
        <w:t>[3</w:t>
      </w:r>
      <w:r w:rsidR="00BF1A3B">
        <w:rPr>
          <w:rFonts w:ascii="Arial" w:hAnsi="Arial" w:cs="Arial"/>
        </w:rPr>
        <w:t>1</w:t>
      </w:r>
      <w:r w:rsidRPr="00580A46">
        <w:rPr>
          <w:rFonts w:ascii="Arial" w:hAnsi="Arial" w:cs="Arial"/>
        </w:rPr>
        <w:t xml:space="preserve">]. These findings align with earlier research demonstrating a significant increase in the plant's capacity to suppress the malaria parasite in mice when plant extracts were combined in a 1:1 ratio [31]. Overall, this study demonstrated that combining these plant extracts yielded synergistic effects; thus, this discovery provides a foundation for further research into a new, potent polyherbal malaria remedy. </w:t>
      </w:r>
      <w:proofErr w:type="spellStart"/>
      <w:r w:rsidRPr="00580A46">
        <w:rPr>
          <w:rFonts w:ascii="Arial" w:hAnsi="Arial" w:cs="Arial"/>
        </w:rPr>
        <w:t>Haematological</w:t>
      </w:r>
      <w:proofErr w:type="spellEnd"/>
      <w:r w:rsidRPr="00580A46">
        <w:rPr>
          <w:rFonts w:ascii="Arial" w:hAnsi="Arial" w:cs="Arial"/>
        </w:rPr>
        <w:t xml:space="preserve"> parameters in mice (Hb, </w:t>
      </w:r>
      <w:proofErr w:type="spellStart"/>
      <w:r w:rsidRPr="00580A46">
        <w:rPr>
          <w:rFonts w:ascii="Arial" w:hAnsi="Arial" w:cs="Arial"/>
        </w:rPr>
        <w:t>haemoglobin</w:t>
      </w:r>
      <w:proofErr w:type="spellEnd"/>
      <w:r w:rsidRPr="00580A46">
        <w:rPr>
          <w:rFonts w:ascii="Arial" w:hAnsi="Arial" w:cs="Arial"/>
        </w:rPr>
        <w:t xml:space="preserve">, MCV, MCH, MCHC, leucocytes, and platelets) were not significantly affected by the </w:t>
      </w:r>
      <w:r w:rsidR="00A47356" w:rsidRPr="00580A46">
        <w:rPr>
          <w:rFonts w:ascii="Arial" w:hAnsi="Arial" w:cs="Arial"/>
        </w:rPr>
        <w:t>plant extracts</w:t>
      </w:r>
      <w:r w:rsidRPr="00580A46">
        <w:rPr>
          <w:rFonts w:ascii="Arial" w:hAnsi="Arial" w:cs="Arial"/>
        </w:rPr>
        <w:t xml:space="preserve"> (P &gt; 0.05). Studies indicate that </w:t>
      </w:r>
      <w:r w:rsidRPr="00932ED6">
        <w:rPr>
          <w:rFonts w:ascii="Arial" w:hAnsi="Arial" w:cs="Arial"/>
          <w:i/>
          <w:iCs/>
        </w:rPr>
        <w:t xml:space="preserve">Z. </w:t>
      </w:r>
      <w:proofErr w:type="spellStart"/>
      <w:r w:rsidRPr="00932ED6">
        <w:rPr>
          <w:rFonts w:ascii="Arial" w:hAnsi="Arial" w:cs="Arial"/>
          <w:i/>
          <w:iCs/>
        </w:rPr>
        <w:t>asiaticum</w:t>
      </w:r>
      <w:proofErr w:type="spellEnd"/>
      <w:r w:rsidRPr="00580A46">
        <w:rPr>
          <w:rFonts w:ascii="Arial" w:hAnsi="Arial" w:cs="Arial"/>
        </w:rPr>
        <w:t xml:space="preserve"> contains a high level of readily available iron, which supports blood formation. The plant’s copper content facilitates the conversion of </w:t>
      </w:r>
      <w:proofErr w:type="gramStart"/>
      <w:r w:rsidRPr="00580A46">
        <w:rPr>
          <w:rFonts w:ascii="Arial" w:hAnsi="Arial" w:cs="Arial"/>
        </w:rPr>
        <w:t>iron(</w:t>
      </w:r>
      <w:proofErr w:type="gramEnd"/>
      <w:r w:rsidRPr="00580A46">
        <w:rPr>
          <w:rFonts w:ascii="Arial" w:hAnsi="Arial" w:cs="Arial"/>
        </w:rPr>
        <w:t>II) to iron(III), a crucial step in erythrocyte formation, which are the primary components of blood [3</w:t>
      </w:r>
      <w:r w:rsidR="00BF1A3B">
        <w:rPr>
          <w:rFonts w:ascii="Arial" w:hAnsi="Arial" w:cs="Arial"/>
        </w:rPr>
        <w:t>3</w:t>
      </w:r>
      <w:r w:rsidRPr="00580A46">
        <w:rPr>
          <w:rFonts w:ascii="Arial" w:hAnsi="Arial" w:cs="Arial"/>
        </w:rPr>
        <w:t xml:space="preserve">]. </w:t>
      </w:r>
      <w:r w:rsidR="00706660" w:rsidRPr="00580A46">
        <w:rPr>
          <w:rFonts w:ascii="Arial" w:hAnsi="Arial" w:cs="Arial"/>
        </w:rPr>
        <w:t xml:space="preserve">This may have offset any changes in blood parameters caused by herbal extract toxicity to RBCs in this study. Studies also suggest that a small dose of </w:t>
      </w:r>
      <w:proofErr w:type="spellStart"/>
      <w:r w:rsidR="00F466F4" w:rsidRPr="00580A46">
        <w:rPr>
          <w:rFonts w:ascii="Arial" w:hAnsi="Arial" w:cs="Arial"/>
          <w:i/>
        </w:rPr>
        <w:t>Delonix</w:t>
      </w:r>
      <w:proofErr w:type="spellEnd"/>
      <w:r w:rsidR="00F466F4" w:rsidRPr="00580A46">
        <w:rPr>
          <w:rFonts w:ascii="Arial" w:hAnsi="Arial" w:cs="Arial"/>
          <w:i/>
        </w:rPr>
        <w:t xml:space="preserve"> regia</w:t>
      </w:r>
      <w:r w:rsidR="003A316B" w:rsidRPr="00580A46">
        <w:rPr>
          <w:rFonts w:ascii="Arial" w:hAnsi="Arial" w:cs="Arial"/>
          <w:i/>
        </w:rPr>
        <w:t xml:space="preserve"> </w:t>
      </w:r>
      <w:r w:rsidR="00706660" w:rsidRPr="00580A46">
        <w:rPr>
          <w:rFonts w:ascii="Arial" w:hAnsi="Arial" w:cs="Arial"/>
        </w:rPr>
        <w:t xml:space="preserve">extract could be used to enhance and maintain specific blood parameters in animals </w:t>
      </w:r>
      <w:bookmarkStart w:id="5" w:name="_Hlk225001639"/>
      <w:r w:rsidR="00706660" w:rsidRPr="00580A46">
        <w:rPr>
          <w:rFonts w:ascii="Arial" w:hAnsi="Arial" w:cs="Arial"/>
        </w:rPr>
        <w:t>[3</w:t>
      </w:r>
      <w:r w:rsidR="00BF1A3B">
        <w:rPr>
          <w:rFonts w:ascii="Arial" w:hAnsi="Arial" w:cs="Arial"/>
        </w:rPr>
        <w:t>4</w:t>
      </w:r>
      <w:r w:rsidR="00706660" w:rsidRPr="00580A46">
        <w:rPr>
          <w:rFonts w:ascii="Arial" w:hAnsi="Arial" w:cs="Arial"/>
        </w:rPr>
        <w:t xml:space="preserve">], </w:t>
      </w:r>
      <w:bookmarkEnd w:id="5"/>
      <w:r w:rsidR="00706660" w:rsidRPr="00580A46">
        <w:rPr>
          <w:rFonts w:ascii="Arial" w:hAnsi="Arial" w:cs="Arial"/>
        </w:rPr>
        <w:t xml:space="preserve">and these earlier findings may explain why most </w:t>
      </w:r>
      <w:proofErr w:type="spellStart"/>
      <w:r w:rsidR="00706660" w:rsidRPr="00580A46">
        <w:rPr>
          <w:rFonts w:ascii="Arial" w:hAnsi="Arial" w:cs="Arial"/>
        </w:rPr>
        <w:t>haematological</w:t>
      </w:r>
      <w:proofErr w:type="spellEnd"/>
      <w:r w:rsidR="00706660" w:rsidRPr="00580A46">
        <w:rPr>
          <w:rFonts w:ascii="Arial" w:hAnsi="Arial" w:cs="Arial"/>
        </w:rPr>
        <w:t xml:space="preserve"> parameters in mice were not significantly affected by administration of the plant </w:t>
      </w:r>
      <w:proofErr w:type="gramStart"/>
      <w:r w:rsidR="00706660" w:rsidRPr="00580A46">
        <w:rPr>
          <w:rFonts w:ascii="Arial" w:hAnsi="Arial" w:cs="Arial"/>
        </w:rPr>
        <w:t>extract</w:t>
      </w:r>
      <w:r w:rsidR="00BF1A3B" w:rsidRPr="00580A46">
        <w:rPr>
          <w:rFonts w:ascii="Arial" w:hAnsi="Arial" w:cs="Arial"/>
        </w:rPr>
        <w:t>[</w:t>
      </w:r>
      <w:proofErr w:type="gramEnd"/>
      <w:r w:rsidR="00BF1A3B" w:rsidRPr="00580A46">
        <w:rPr>
          <w:rFonts w:ascii="Arial" w:hAnsi="Arial" w:cs="Arial"/>
        </w:rPr>
        <w:t>3</w:t>
      </w:r>
      <w:r w:rsidR="00BF1A3B">
        <w:rPr>
          <w:rFonts w:ascii="Arial" w:hAnsi="Arial" w:cs="Arial"/>
        </w:rPr>
        <w:t>5</w:t>
      </w:r>
      <w:r w:rsidR="00BF1A3B" w:rsidRPr="00580A46">
        <w:rPr>
          <w:rFonts w:ascii="Arial" w:hAnsi="Arial" w:cs="Arial"/>
        </w:rPr>
        <w:t xml:space="preserve">], </w:t>
      </w:r>
      <w:r w:rsidR="00706660" w:rsidRPr="00580A46">
        <w:rPr>
          <w:rFonts w:ascii="Arial" w:hAnsi="Arial" w:cs="Arial"/>
        </w:rPr>
        <w:t>.</w:t>
      </w:r>
    </w:p>
    <w:p w14:paraId="4065B963" w14:textId="1985EF39" w:rsidR="00706660" w:rsidRPr="00580A46" w:rsidRDefault="00706660" w:rsidP="007A0855">
      <w:pPr>
        <w:jc w:val="both"/>
        <w:rPr>
          <w:rFonts w:ascii="Arial" w:hAnsi="Arial" w:cs="Arial"/>
        </w:rPr>
      </w:pPr>
    </w:p>
    <w:p w14:paraId="42371288" w14:textId="77777777" w:rsidR="00706660" w:rsidRPr="00580A46" w:rsidRDefault="00706660" w:rsidP="007A0855">
      <w:pPr>
        <w:jc w:val="both"/>
        <w:rPr>
          <w:rFonts w:ascii="Arial" w:hAnsi="Arial" w:cs="Arial"/>
        </w:rPr>
      </w:pPr>
    </w:p>
    <w:p w14:paraId="56E5ACC1" w14:textId="77777777" w:rsidR="00B01FCD" w:rsidRPr="00580A46" w:rsidRDefault="00000F8F" w:rsidP="00441B6F">
      <w:pPr>
        <w:pStyle w:val="ConcHead"/>
        <w:spacing w:after="0"/>
        <w:jc w:val="both"/>
        <w:rPr>
          <w:rFonts w:ascii="Arial" w:hAnsi="Arial" w:cs="Arial"/>
        </w:rPr>
      </w:pPr>
      <w:r w:rsidRPr="00580A46">
        <w:rPr>
          <w:rFonts w:ascii="Arial" w:hAnsi="Arial" w:cs="Arial"/>
        </w:rPr>
        <w:t xml:space="preserve">4. </w:t>
      </w:r>
      <w:r w:rsidR="00B01FCD" w:rsidRPr="00580A46">
        <w:rPr>
          <w:rFonts w:ascii="Arial" w:hAnsi="Arial" w:cs="Arial"/>
        </w:rPr>
        <w:t>Conclusion</w:t>
      </w:r>
    </w:p>
    <w:p w14:paraId="44213CDB" w14:textId="77777777" w:rsidR="00790ADA" w:rsidRPr="00580A46" w:rsidRDefault="00790ADA" w:rsidP="00441B6F">
      <w:pPr>
        <w:pStyle w:val="ConcHead"/>
        <w:spacing w:after="0"/>
        <w:jc w:val="both"/>
        <w:rPr>
          <w:rFonts w:ascii="Arial" w:hAnsi="Arial" w:cs="Arial"/>
        </w:rPr>
      </w:pPr>
    </w:p>
    <w:p w14:paraId="1FC6EA44" w14:textId="6A63AAFF" w:rsidR="00396A71" w:rsidRPr="00580A46" w:rsidRDefault="00D7378A" w:rsidP="00705A34">
      <w:pPr>
        <w:pStyle w:val="ConcHead"/>
        <w:spacing w:after="0"/>
        <w:jc w:val="both"/>
        <w:rPr>
          <w:b w:val="0"/>
          <w:caps w:val="0"/>
          <w:sz w:val="20"/>
          <w:szCs w:val="24"/>
        </w:rPr>
      </w:pPr>
      <w:r w:rsidRPr="00580A46">
        <w:rPr>
          <w:b w:val="0"/>
          <w:caps w:val="0"/>
          <w:sz w:val="20"/>
          <w:szCs w:val="24"/>
        </w:rPr>
        <w:t xml:space="preserve">Combining two herbal extracts can </w:t>
      </w:r>
      <w:r w:rsidR="00044E34">
        <w:rPr>
          <w:b w:val="0"/>
          <w:caps w:val="0"/>
          <w:sz w:val="20"/>
          <w:szCs w:val="24"/>
        </w:rPr>
        <w:t xml:space="preserve">accelerate the discovery of new antimalarial drugs by </w:t>
      </w:r>
      <w:proofErr w:type="spellStart"/>
      <w:r w:rsidR="00044E34">
        <w:rPr>
          <w:b w:val="0"/>
          <w:caps w:val="0"/>
          <w:sz w:val="20"/>
          <w:szCs w:val="24"/>
        </w:rPr>
        <w:t>utilising</w:t>
      </w:r>
      <w:proofErr w:type="spellEnd"/>
      <w:r w:rsidR="00044E34">
        <w:rPr>
          <w:b w:val="0"/>
          <w:caps w:val="0"/>
          <w:sz w:val="20"/>
          <w:szCs w:val="24"/>
        </w:rPr>
        <w:t xml:space="preserve"> synergistic effects that boost efficacy and reduce resistance, as different extracts may target distinct</w:t>
      </w:r>
      <w:r w:rsidRPr="00580A46">
        <w:rPr>
          <w:b w:val="0"/>
          <w:caps w:val="0"/>
          <w:sz w:val="20"/>
          <w:szCs w:val="24"/>
        </w:rPr>
        <w:t xml:space="preserve"> biological pathways in malaria parasites. This study has demonstrated promising anti-plasmodial activity for malaria treatment through the combination of the two plant extracts examined. The practices of traditional healthcare users and their use of mixed medicinal plant extracts in malaria therapy are somewhat clarified by the increased efficacy observed with the extract combinations in this study. It was found that the combination of the plant extracts </w:t>
      </w:r>
      <w:r w:rsidR="00044E34">
        <w:rPr>
          <w:b w:val="0"/>
          <w:caps w:val="0"/>
          <w:sz w:val="20"/>
          <w:szCs w:val="24"/>
        </w:rPr>
        <w:t>exhibited significantly stronger anti-plasmodial effects than any individual extract</w:t>
      </w:r>
      <w:r w:rsidRPr="00580A46">
        <w:rPr>
          <w:b w:val="0"/>
          <w:caps w:val="0"/>
          <w:sz w:val="20"/>
          <w:szCs w:val="24"/>
        </w:rPr>
        <w:t xml:space="preserve">. </w:t>
      </w:r>
    </w:p>
    <w:p w14:paraId="1F2B06F0" w14:textId="724E98E2" w:rsidR="00F81C49" w:rsidRPr="00580A46" w:rsidRDefault="00F81C49" w:rsidP="00705A34">
      <w:pPr>
        <w:pStyle w:val="ConcHead"/>
        <w:spacing w:after="0"/>
        <w:jc w:val="both"/>
        <w:rPr>
          <w:b w:val="0"/>
          <w:caps w:val="0"/>
          <w:sz w:val="20"/>
          <w:szCs w:val="24"/>
        </w:rPr>
      </w:pPr>
    </w:p>
    <w:p w14:paraId="0FFA58E4" w14:textId="77777777" w:rsidR="00790ADA" w:rsidRPr="00580A46" w:rsidRDefault="00790ADA" w:rsidP="00441B6F">
      <w:pPr>
        <w:pStyle w:val="Body"/>
        <w:spacing w:after="0"/>
        <w:rPr>
          <w:rFonts w:ascii="Arial" w:hAnsi="Arial" w:cs="Arial"/>
        </w:rPr>
      </w:pPr>
    </w:p>
    <w:p w14:paraId="344EE868" w14:textId="77777777" w:rsidR="00315186" w:rsidRPr="00580A46" w:rsidRDefault="00315186" w:rsidP="00441B6F"/>
    <w:p w14:paraId="5236B8E5" w14:textId="77777777" w:rsidR="00315186" w:rsidRPr="00580A46" w:rsidRDefault="00315186" w:rsidP="00441B6F"/>
    <w:p w14:paraId="185FFE3D" w14:textId="77777777" w:rsidR="00860000" w:rsidRPr="00580A46" w:rsidRDefault="00860000" w:rsidP="00441B6F">
      <w:pPr>
        <w:pStyle w:val="ReferHead"/>
        <w:spacing w:after="0"/>
        <w:jc w:val="both"/>
        <w:rPr>
          <w:rFonts w:ascii="Arial" w:hAnsi="Arial" w:cs="Arial"/>
          <w:bCs/>
        </w:rPr>
      </w:pPr>
      <w:r w:rsidRPr="00580A46">
        <w:rPr>
          <w:rFonts w:ascii="Arial" w:hAnsi="Arial" w:cs="Arial"/>
          <w:bCs/>
        </w:rPr>
        <w:t>Competing interests</w:t>
      </w:r>
    </w:p>
    <w:p w14:paraId="35A923DB" w14:textId="77777777" w:rsidR="00860000" w:rsidRPr="00580A46" w:rsidRDefault="00860000" w:rsidP="00441B6F">
      <w:pPr>
        <w:pStyle w:val="ReferHead"/>
        <w:spacing w:after="0"/>
        <w:jc w:val="both"/>
        <w:rPr>
          <w:rFonts w:ascii="Arial" w:hAnsi="Arial" w:cs="Arial"/>
        </w:rPr>
      </w:pPr>
    </w:p>
    <w:p w14:paraId="4F48BD1B" w14:textId="75A8C974" w:rsidR="00F81C49" w:rsidRDefault="00743868" w:rsidP="001C7559">
      <w:pPr>
        <w:pStyle w:val="ReferHead"/>
        <w:spacing w:after="0"/>
        <w:jc w:val="both"/>
        <w:rPr>
          <w:rFonts w:ascii="Arial" w:hAnsi="Arial" w:cs="Arial"/>
          <w:b w:val="0"/>
          <w:caps w:val="0"/>
          <w:sz w:val="20"/>
        </w:rPr>
      </w:pPr>
      <w:r w:rsidRPr="00580A46">
        <w:rPr>
          <w:rFonts w:ascii="Arial" w:hAnsi="Arial" w:cs="Arial"/>
          <w:b w:val="0"/>
          <w:caps w:val="0"/>
          <w:sz w:val="20"/>
        </w:rPr>
        <w:t xml:space="preserve">No conflict of interest to be </w:t>
      </w:r>
      <w:r w:rsidR="00044E34">
        <w:rPr>
          <w:rFonts w:ascii="Arial" w:hAnsi="Arial" w:cs="Arial"/>
          <w:b w:val="0"/>
          <w:caps w:val="0"/>
          <w:sz w:val="20"/>
        </w:rPr>
        <w:t>disclosed</w:t>
      </w:r>
    </w:p>
    <w:p w14:paraId="67454E51" w14:textId="46D73AE7" w:rsidR="00AF4118" w:rsidRDefault="00AF4118" w:rsidP="001C7559">
      <w:pPr>
        <w:pStyle w:val="ReferHead"/>
        <w:spacing w:after="0"/>
        <w:jc w:val="both"/>
        <w:rPr>
          <w:rFonts w:ascii="Arial" w:hAnsi="Arial" w:cs="Arial"/>
          <w:b w:val="0"/>
          <w:caps w:val="0"/>
          <w:sz w:val="20"/>
        </w:rPr>
      </w:pPr>
    </w:p>
    <w:p w14:paraId="49FB9316" w14:textId="53468902" w:rsidR="00523E40" w:rsidRDefault="00523E40" w:rsidP="001C7559">
      <w:pPr>
        <w:pStyle w:val="ReferHead"/>
        <w:spacing w:after="0"/>
        <w:jc w:val="both"/>
        <w:rPr>
          <w:rFonts w:ascii="Arial" w:hAnsi="Arial" w:cs="Arial"/>
          <w:b w:val="0"/>
          <w:caps w:val="0"/>
          <w:sz w:val="20"/>
        </w:rPr>
      </w:pPr>
    </w:p>
    <w:p w14:paraId="55A6EFA1" w14:textId="77777777" w:rsidR="00523E40" w:rsidRPr="00523E40" w:rsidRDefault="00523E40" w:rsidP="00523E40">
      <w:pPr>
        <w:pStyle w:val="ReferHead"/>
        <w:jc w:val="both"/>
        <w:rPr>
          <w:rFonts w:ascii="Arial" w:hAnsi="Arial" w:cs="Arial"/>
          <w:b w:val="0"/>
          <w:caps w:val="0"/>
          <w:sz w:val="20"/>
        </w:rPr>
      </w:pPr>
      <w:r w:rsidRPr="00523E40">
        <w:rPr>
          <w:rFonts w:ascii="Arial" w:hAnsi="Arial" w:cs="Arial"/>
          <w:b w:val="0"/>
          <w:caps w:val="0"/>
          <w:sz w:val="20"/>
        </w:rPr>
        <w:t>Disclaimer (Artificial intelligence)</w:t>
      </w:r>
    </w:p>
    <w:p w14:paraId="0043D965" w14:textId="77777777" w:rsidR="00523E40" w:rsidRPr="00523E40" w:rsidRDefault="00523E40" w:rsidP="00523E40">
      <w:pPr>
        <w:pStyle w:val="ReferHead"/>
        <w:jc w:val="both"/>
        <w:rPr>
          <w:rFonts w:ascii="Arial" w:hAnsi="Arial" w:cs="Arial"/>
          <w:b w:val="0"/>
          <w:caps w:val="0"/>
          <w:sz w:val="20"/>
        </w:rPr>
      </w:pPr>
      <w:r w:rsidRPr="00523E40">
        <w:rPr>
          <w:rFonts w:ascii="Arial" w:hAnsi="Arial" w:cs="Arial"/>
          <w:b w:val="0"/>
          <w:caps w:val="0"/>
          <w:sz w:val="20"/>
        </w:rPr>
        <w:t>Author(s) hereby declare that NO generative AI technologies such as Large Language Models (</w:t>
      </w:r>
      <w:proofErr w:type="spellStart"/>
      <w:r w:rsidRPr="00523E40">
        <w:rPr>
          <w:rFonts w:ascii="Arial" w:hAnsi="Arial" w:cs="Arial"/>
          <w:b w:val="0"/>
          <w:caps w:val="0"/>
          <w:sz w:val="20"/>
        </w:rPr>
        <w:t>ChatGPT</w:t>
      </w:r>
      <w:proofErr w:type="spellEnd"/>
      <w:r w:rsidRPr="00523E40">
        <w:rPr>
          <w:rFonts w:ascii="Arial" w:hAnsi="Arial" w:cs="Arial"/>
          <w:b w:val="0"/>
          <w:caps w:val="0"/>
          <w:sz w:val="20"/>
        </w:rPr>
        <w:t xml:space="preserve">, COPILOT, etc.) and text-to-image generators have been used during the writing or editing of this manuscript. </w:t>
      </w:r>
    </w:p>
    <w:p w14:paraId="5402FFA5" w14:textId="77777777" w:rsidR="00523E40" w:rsidRDefault="00523E40" w:rsidP="001C7559">
      <w:pPr>
        <w:pStyle w:val="ReferHead"/>
        <w:spacing w:after="0"/>
        <w:jc w:val="both"/>
        <w:rPr>
          <w:rFonts w:ascii="Arial" w:hAnsi="Arial" w:cs="Arial"/>
          <w:b w:val="0"/>
          <w:caps w:val="0"/>
          <w:sz w:val="20"/>
        </w:rPr>
      </w:pPr>
      <w:bookmarkStart w:id="6" w:name="_GoBack"/>
      <w:bookmarkEnd w:id="6"/>
    </w:p>
    <w:p w14:paraId="1B6B615C" w14:textId="77777777" w:rsidR="00AF4118" w:rsidRPr="00580A46" w:rsidRDefault="00AF4118" w:rsidP="001C7559">
      <w:pPr>
        <w:pStyle w:val="ReferHead"/>
        <w:spacing w:after="0"/>
        <w:jc w:val="both"/>
        <w:rPr>
          <w:rFonts w:ascii="Arial" w:hAnsi="Arial" w:cs="Arial"/>
          <w:b w:val="0"/>
          <w:caps w:val="0"/>
          <w:sz w:val="20"/>
        </w:rPr>
      </w:pPr>
    </w:p>
    <w:p w14:paraId="7133879A" w14:textId="77777777" w:rsidR="005E27A3" w:rsidRPr="00580A46" w:rsidRDefault="005E27A3" w:rsidP="001C7559">
      <w:pPr>
        <w:pStyle w:val="ReferHead"/>
        <w:spacing w:after="0"/>
        <w:jc w:val="both"/>
        <w:rPr>
          <w:rFonts w:ascii="Arial" w:hAnsi="Arial" w:cs="Arial"/>
          <w:bCs/>
        </w:rPr>
      </w:pPr>
    </w:p>
    <w:p w14:paraId="7482A65D" w14:textId="4B3840CF" w:rsidR="005E27A3" w:rsidRPr="00580A46" w:rsidRDefault="005E27A3" w:rsidP="001C7559">
      <w:pPr>
        <w:pStyle w:val="ReferHead"/>
        <w:spacing w:after="0"/>
        <w:jc w:val="both"/>
        <w:rPr>
          <w:rFonts w:ascii="Arial" w:hAnsi="Arial" w:cs="Arial"/>
          <w:bCs/>
        </w:rPr>
      </w:pPr>
      <w:r w:rsidRPr="00580A46">
        <w:rPr>
          <w:rFonts w:ascii="Arial" w:hAnsi="Arial" w:cs="Arial"/>
          <w:bCs/>
        </w:rPr>
        <w:t xml:space="preserve">Reference </w:t>
      </w:r>
    </w:p>
    <w:p w14:paraId="600DBEEE" w14:textId="1CDFF623"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b/>
          <w:caps/>
        </w:rPr>
        <w:fldChar w:fldCharType="begin" w:fldLock="1"/>
      </w:r>
      <w:r w:rsidRPr="00E51E9B">
        <w:rPr>
          <w:rFonts w:ascii="Arial" w:hAnsi="Arial" w:cs="Arial"/>
          <w:b/>
          <w:caps/>
        </w:rPr>
        <w:instrText xml:space="preserve">ADDIN Mendeley Bibliography CSL_BIBLIOGRAPHY </w:instrText>
      </w:r>
      <w:r w:rsidRPr="00580A46">
        <w:rPr>
          <w:rFonts w:ascii="Arial" w:hAnsi="Arial" w:cs="Arial"/>
          <w:b/>
          <w:caps/>
        </w:rPr>
        <w:fldChar w:fldCharType="separate"/>
      </w:r>
      <w:r w:rsidRPr="00580A46">
        <w:rPr>
          <w:rFonts w:ascii="Arial" w:hAnsi="Arial" w:cs="Arial"/>
          <w:noProof/>
          <w:szCs w:val="24"/>
        </w:rPr>
        <w:t xml:space="preserve">1 </w:t>
      </w:r>
      <w:r w:rsidRPr="00580A46">
        <w:rPr>
          <w:rFonts w:ascii="Arial" w:hAnsi="Arial" w:cs="Arial"/>
          <w:noProof/>
          <w:szCs w:val="24"/>
        </w:rPr>
        <w:tab/>
        <w:t xml:space="preserve">Weiss DJ, Dzianach PA, Saddler A, Lubinda J, Browne A, Mcphail M, Rumisha SF, Sanna F, Whisnant J, Battle KE, Nguyen M, Alene KA, Cameron E, Penny MA, Bhatt S, Smith DL, Symons TL, Mosser JF, Murray CJL, Hay SI, Gething PW. Articles Mapping the global prevalence , incidence , and mortality of </w:t>
      </w:r>
      <w:r w:rsidR="00F466F4" w:rsidRPr="00580A46">
        <w:rPr>
          <w:rFonts w:ascii="Arial" w:hAnsi="Arial" w:cs="Arial"/>
          <w:i/>
          <w:noProof/>
          <w:szCs w:val="24"/>
        </w:rPr>
        <w:t>Plasmodium  falciparum</w:t>
      </w:r>
      <w:r w:rsidRPr="00580A46">
        <w:rPr>
          <w:rFonts w:ascii="Arial" w:hAnsi="Arial" w:cs="Arial"/>
          <w:noProof/>
          <w:szCs w:val="24"/>
        </w:rPr>
        <w:t xml:space="preserve"> and </w:t>
      </w:r>
      <w:r w:rsidR="00F466F4" w:rsidRPr="00580A46">
        <w:rPr>
          <w:rFonts w:ascii="Arial" w:hAnsi="Arial" w:cs="Arial"/>
          <w:i/>
          <w:noProof/>
          <w:szCs w:val="24"/>
        </w:rPr>
        <w:t xml:space="preserve">Plasmodium </w:t>
      </w:r>
      <w:r w:rsidRPr="00580A46">
        <w:rPr>
          <w:rFonts w:ascii="Arial" w:hAnsi="Arial" w:cs="Arial"/>
          <w:noProof/>
          <w:szCs w:val="24"/>
        </w:rPr>
        <w:t xml:space="preserve"> vivax malaria , 2000 – 22 : a spatial and temporal modelling study. </w:t>
      </w:r>
      <w:r w:rsidRPr="00580A46">
        <w:rPr>
          <w:rFonts w:ascii="Arial" w:hAnsi="Arial" w:cs="Arial"/>
          <w:i/>
          <w:iCs/>
          <w:noProof/>
          <w:szCs w:val="24"/>
        </w:rPr>
        <w:t>The Lancet</w:t>
      </w:r>
      <w:r w:rsidRPr="00580A46">
        <w:rPr>
          <w:rFonts w:ascii="Arial" w:hAnsi="Arial" w:cs="Arial"/>
          <w:noProof/>
          <w:szCs w:val="24"/>
        </w:rPr>
        <w:t xml:space="preserve"> 2000; </w:t>
      </w:r>
      <w:r w:rsidRPr="00580A46">
        <w:rPr>
          <w:rFonts w:ascii="Arial" w:hAnsi="Arial" w:cs="Arial"/>
          <w:b/>
          <w:bCs/>
          <w:noProof/>
          <w:szCs w:val="24"/>
        </w:rPr>
        <w:t>405</w:t>
      </w:r>
      <w:r w:rsidRPr="00580A46">
        <w:rPr>
          <w:rFonts w:ascii="Arial" w:hAnsi="Arial" w:cs="Arial"/>
          <w:noProof/>
          <w:szCs w:val="24"/>
        </w:rPr>
        <w:t xml:space="preserve">(10483):979–990. </w:t>
      </w:r>
    </w:p>
    <w:p w14:paraId="0A629CD0" w14:textId="77777777"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lastRenderedPageBreak/>
        <w:t xml:space="preserve">2 </w:t>
      </w:r>
      <w:r w:rsidRPr="00580A46">
        <w:rPr>
          <w:rFonts w:ascii="Arial" w:hAnsi="Arial" w:cs="Arial"/>
          <w:noProof/>
          <w:szCs w:val="24"/>
        </w:rPr>
        <w:tab/>
        <w:t xml:space="preserve">Organization WH. </w:t>
      </w:r>
      <w:r w:rsidRPr="00580A46">
        <w:rPr>
          <w:rFonts w:ascii="Arial" w:hAnsi="Arial" w:cs="Arial"/>
          <w:i/>
          <w:iCs/>
          <w:noProof/>
          <w:szCs w:val="24"/>
        </w:rPr>
        <w:t>World malaria World malaria report 2024 report</w:t>
      </w:r>
      <w:r w:rsidRPr="00580A46">
        <w:rPr>
          <w:rFonts w:ascii="Arial" w:hAnsi="Arial" w:cs="Arial"/>
          <w:noProof/>
          <w:szCs w:val="24"/>
        </w:rPr>
        <w:t>. 2024.</w:t>
      </w:r>
    </w:p>
    <w:p w14:paraId="04267DB4" w14:textId="77777777"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3 </w:t>
      </w:r>
      <w:r w:rsidRPr="00580A46">
        <w:rPr>
          <w:rFonts w:ascii="Arial" w:hAnsi="Arial" w:cs="Arial"/>
          <w:noProof/>
          <w:szCs w:val="24"/>
        </w:rPr>
        <w:tab/>
        <w:t>CDC. Malaria’s Impact Worldwide. Malaria. 2024.https://www.cdc.gov/malaria/php/impact/index.html.</w:t>
      </w:r>
    </w:p>
    <w:p w14:paraId="53B12753" w14:textId="7EF940DC"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4 </w:t>
      </w:r>
      <w:r w:rsidRPr="00580A46">
        <w:rPr>
          <w:rFonts w:ascii="Arial" w:hAnsi="Arial" w:cs="Arial"/>
          <w:noProof/>
          <w:szCs w:val="24"/>
        </w:rPr>
        <w:tab/>
        <w:t xml:space="preserve">Ashley EA, Dhorda M, Fairhurst RM, Amaratunga C, Lim P, Suon S, Sreng S, Anderson JM, Mao S, Sam B, Sopha C, Chuor CM, Nguon C, Sovannaroth S, Pukrittayakamee S, Jittamala P, Chotivanich K, Chutasmit K, Suchatsoonthorn C, Runcharoen R, Hien TT, Thuy-Nhien NT, Thanh NV, Phu NH, Htut Y, Han K-T, Aye KH, Mokuolu OA, Olaosebikan RR, Folaranmi OO, Mayxay M, Khanthavong M, Hongvanthong B, Newton PN, Onyamboko MA, Fanello CI, Tshefu AK, Mishra N, Valecha N, Phyo AP, Nosten F, Yi P, Tripura R, Borrmann S, Bashraheil M, Peshu J, Faiz MA, Ghose A, Hossain MA, Samad R, Rahman MR, Hasan MM, Islam A, Miotto O, Amato R, MacInnis B, Stalker J, Kwiatkowski DP, Bozdech Z, Jeeyapant A, Cheah PY, Sakulthaew T, Chalk J, Intharabut B, Silamut K, Lee SJ, Vihokhern B, Kunasol C, Imwong M, Tarning J, Taylor WJ, Yeung S, Woodrow CJ, Flegg JA, Das D, Smith J, Venkatesan M, Plowe C V., Stepniewska K, Guerin PJ, Dondorp AM, Day NP, White NJ. Spread of Artemisinin Resistance in </w:t>
      </w:r>
      <w:r w:rsidR="00F466F4" w:rsidRPr="00580A46">
        <w:rPr>
          <w:rFonts w:ascii="Arial" w:hAnsi="Arial" w:cs="Arial"/>
          <w:i/>
          <w:iCs/>
          <w:noProof/>
          <w:szCs w:val="24"/>
        </w:rPr>
        <w:t>Plasmodium  falciparum</w:t>
      </w:r>
      <w:r w:rsidRPr="00580A46">
        <w:rPr>
          <w:rFonts w:ascii="Arial" w:hAnsi="Arial" w:cs="Arial"/>
          <w:noProof/>
          <w:szCs w:val="24"/>
        </w:rPr>
        <w:t xml:space="preserve"> Malaria. </w:t>
      </w:r>
      <w:r w:rsidRPr="00580A46">
        <w:rPr>
          <w:rFonts w:ascii="Arial" w:hAnsi="Arial" w:cs="Arial"/>
          <w:i/>
          <w:iCs/>
          <w:noProof/>
          <w:szCs w:val="24"/>
        </w:rPr>
        <w:t>New England Journal of Medicine</w:t>
      </w:r>
      <w:r w:rsidRPr="00580A46">
        <w:rPr>
          <w:rFonts w:ascii="Arial" w:hAnsi="Arial" w:cs="Arial"/>
          <w:noProof/>
          <w:szCs w:val="24"/>
        </w:rPr>
        <w:t xml:space="preserve"> 2014; </w:t>
      </w:r>
      <w:r w:rsidRPr="00580A46">
        <w:rPr>
          <w:rFonts w:ascii="Arial" w:hAnsi="Arial" w:cs="Arial"/>
          <w:b/>
          <w:bCs/>
          <w:noProof/>
          <w:szCs w:val="24"/>
        </w:rPr>
        <w:t>371</w:t>
      </w:r>
      <w:r w:rsidRPr="00580A46">
        <w:rPr>
          <w:rFonts w:ascii="Arial" w:hAnsi="Arial" w:cs="Arial"/>
          <w:noProof/>
          <w:szCs w:val="24"/>
        </w:rPr>
        <w:t xml:space="preserve">(5):411–423. </w:t>
      </w:r>
    </w:p>
    <w:p w14:paraId="4E3E7930" w14:textId="338F6D4D"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5 </w:t>
      </w:r>
      <w:r w:rsidRPr="00580A46">
        <w:rPr>
          <w:rFonts w:ascii="Arial" w:hAnsi="Arial" w:cs="Arial"/>
          <w:noProof/>
          <w:szCs w:val="24"/>
        </w:rPr>
        <w:tab/>
        <w:t xml:space="preserve">Conrad MD, Asua V, Garg S, Giesbrecht D, Niaré K, Smith S, Namuganga JF, Katairo T, Legac J, Crudale RM, Tumwebaze PK, Nsobya SL, Cooper RA, Kamya MR, Dorsey G, Bailey JA, Rosenthal PJ. Evolution of Partial Resistance to Artemisinins in Malaria Parasites in Uganda. </w:t>
      </w:r>
      <w:r w:rsidRPr="00580A46">
        <w:rPr>
          <w:rFonts w:ascii="Arial" w:hAnsi="Arial" w:cs="Arial"/>
          <w:i/>
          <w:iCs/>
          <w:noProof/>
          <w:szCs w:val="24"/>
        </w:rPr>
        <w:t>New England Journal of Medicine</w:t>
      </w:r>
      <w:r w:rsidRPr="00580A46">
        <w:rPr>
          <w:rFonts w:ascii="Arial" w:hAnsi="Arial" w:cs="Arial"/>
          <w:noProof/>
          <w:szCs w:val="24"/>
        </w:rPr>
        <w:t xml:space="preserve"> 2023; </w:t>
      </w:r>
      <w:r w:rsidRPr="00580A46">
        <w:rPr>
          <w:rFonts w:ascii="Arial" w:hAnsi="Arial" w:cs="Arial"/>
          <w:b/>
          <w:bCs/>
          <w:noProof/>
          <w:szCs w:val="24"/>
        </w:rPr>
        <w:t>389</w:t>
      </w:r>
      <w:r w:rsidRPr="00580A46">
        <w:rPr>
          <w:rFonts w:ascii="Arial" w:hAnsi="Arial" w:cs="Arial"/>
          <w:noProof/>
          <w:szCs w:val="24"/>
        </w:rPr>
        <w:t xml:space="preserve">(8):722–732. </w:t>
      </w:r>
    </w:p>
    <w:p w14:paraId="4DBBFEB4" w14:textId="77777777"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6 </w:t>
      </w:r>
      <w:r w:rsidRPr="00580A46">
        <w:rPr>
          <w:rFonts w:ascii="Arial" w:hAnsi="Arial" w:cs="Arial"/>
          <w:noProof/>
          <w:szCs w:val="24"/>
        </w:rPr>
        <w:tab/>
        <w:t>JOY P. Africa’s race against time to stop malaria drug resistance. 2025.https://www.gavi.org/vaccineswork/africas-race-against-time-stop-malaria-drug-resistance.</w:t>
      </w:r>
    </w:p>
    <w:p w14:paraId="4027182E" w14:textId="33908374"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7 </w:t>
      </w:r>
      <w:r w:rsidRPr="00580A46">
        <w:rPr>
          <w:rFonts w:ascii="Arial" w:hAnsi="Arial" w:cs="Arial"/>
          <w:noProof/>
          <w:szCs w:val="24"/>
        </w:rPr>
        <w:tab/>
        <w:t xml:space="preserve">Habibi P, Shi Y, Fatima Grossi-de-Sa M, Khan I. Plants as Sources of Natural and Recombinant Antimalaria Agents. </w:t>
      </w:r>
      <w:r w:rsidRPr="00580A46">
        <w:rPr>
          <w:rFonts w:ascii="Arial" w:hAnsi="Arial" w:cs="Arial"/>
          <w:i/>
          <w:iCs/>
          <w:noProof/>
          <w:szCs w:val="24"/>
        </w:rPr>
        <w:t>Molecular Biotechnology</w:t>
      </w:r>
      <w:r w:rsidRPr="00580A46">
        <w:rPr>
          <w:rFonts w:ascii="Arial" w:hAnsi="Arial" w:cs="Arial"/>
          <w:noProof/>
          <w:szCs w:val="24"/>
        </w:rPr>
        <w:t xml:space="preserve"> 2022; </w:t>
      </w:r>
      <w:r w:rsidRPr="00580A46">
        <w:rPr>
          <w:rFonts w:ascii="Arial" w:hAnsi="Arial" w:cs="Arial"/>
          <w:b/>
          <w:bCs/>
          <w:noProof/>
          <w:szCs w:val="24"/>
        </w:rPr>
        <w:t>64</w:t>
      </w:r>
      <w:r w:rsidRPr="00580A46">
        <w:rPr>
          <w:rFonts w:ascii="Arial" w:hAnsi="Arial" w:cs="Arial"/>
          <w:noProof/>
          <w:szCs w:val="24"/>
        </w:rPr>
        <w:t xml:space="preserve">(11):1177–1197. </w:t>
      </w:r>
    </w:p>
    <w:p w14:paraId="36D77FEB" w14:textId="77777777"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8 </w:t>
      </w:r>
      <w:r w:rsidRPr="00580A46">
        <w:rPr>
          <w:rFonts w:ascii="Arial" w:hAnsi="Arial" w:cs="Arial"/>
          <w:noProof/>
          <w:szCs w:val="24"/>
        </w:rPr>
        <w:tab/>
        <w:t xml:space="preserve">Irungu B, Okari E, Nyangi M, Njeru S, Koech L. Potential of medicinal plants as antimalarial agents: a review of work done at Kenya Medical Research Institute. </w:t>
      </w:r>
      <w:r w:rsidRPr="00580A46">
        <w:rPr>
          <w:rFonts w:ascii="Arial" w:hAnsi="Arial" w:cs="Arial"/>
          <w:i/>
          <w:iCs/>
          <w:noProof/>
          <w:szCs w:val="24"/>
        </w:rPr>
        <w:t>Frontiers in Pharmacology</w:t>
      </w:r>
      <w:r w:rsidRPr="00580A46">
        <w:rPr>
          <w:rFonts w:ascii="Arial" w:hAnsi="Arial" w:cs="Arial"/>
          <w:noProof/>
          <w:szCs w:val="24"/>
        </w:rPr>
        <w:t xml:space="preserve"> 2023; </w:t>
      </w:r>
      <w:r w:rsidRPr="00580A46">
        <w:rPr>
          <w:rFonts w:ascii="Arial" w:hAnsi="Arial" w:cs="Arial"/>
          <w:b/>
          <w:bCs/>
          <w:noProof/>
          <w:szCs w:val="24"/>
        </w:rPr>
        <w:t>14</w:t>
      </w:r>
      <w:r w:rsidRPr="00580A46">
        <w:rPr>
          <w:rFonts w:ascii="Arial" w:hAnsi="Arial" w:cs="Arial"/>
          <w:noProof/>
          <w:szCs w:val="24"/>
        </w:rPr>
        <w:t>.https://www.frontiersin.org/articles/10.3389/fphar.2023.1268924.</w:t>
      </w:r>
    </w:p>
    <w:p w14:paraId="045320BC" w14:textId="0BA7979A"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9 </w:t>
      </w:r>
      <w:r w:rsidRPr="00580A46">
        <w:rPr>
          <w:rFonts w:ascii="Arial" w:hAnsi="Arial" w:cs="Arial"/>
          <w:noProof/>
          <w:szCs w:val="24"/>
        </w:rPr>
        <w:tab/>
        <w:t xml:space="preserve">Oliveira AB, Dolabela MF, Braga FC, Jácome RLRP, Varotti FP, Póvoa MM. Plant-derived antimalarial agents: new leads and efficient phythomedicines. Part I. Alkaloids. </w:t>
      </w:r>
      <w:r w:rsidRPr="00580A46">
        <w:rPr>
          <w:rFonts w:ascii="Arial" w:hAnsi="Arial" w:cs="Arial"/>
          <w:i/>
          <w:iCs/>
          <w:noProof/>
          <w:szCs w:val="24"/>
        </w:rPr>
        <w:t>Anais da Academia Brasileira de Ciências</w:t>
      </w:r>
      <w:r w:rsidRPr="00580A46">
        <w:rPr>
          <w:rFonts w:ascii="Arial" w:hAnsi="Arial" w:cs="Arial"/>
          <w:noProof/>
          <w:szCs w:val="24"/>
        </w:rPr>
        <w:t xml:space="preserve"> 2009; </w:t>
      </w:r>
      <w:r w:rsidRPr="00580A46">
        <w:rPr>
          <w:rFonts w:ascii="Arial" w:hAnsi="Arial" w:cs="Arial"/>
          <w:b/>
          <w:bCs/>
          <w:noProof/>
          <w:szCs w:val="24"/>
        </w:rPr>
        <w:t>81</w:t>
      </w:r>
      <w:r w:rsidRPr="00580A46">
        <w:rPr>
          <w:rFonts w:ascii="Arial" w:hAnsi="Arial" w:cs="Arial"/>
          <w:noProof/>
          <w:szCs w:val="24"/>
        </w:rPr>
        <w:t xml:space="preserve">:715–740. </w:t>
      </w:r>
    </w:p>
    <w:p w14:paraId="041B6EEB" w14:textId="77777777"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10 </w:t>
      </w:r>
      <w:r w:rsidRPr="00580A46">
        <w:rPr>
          <w:rFonts w:ascii="Arial" w:hAnsi="Arial" w:cs="Arial"/>
          <w:noProof/>
          <w:szCs w:val="24"/>
        </w:rPr>
        <w:tab/>
        <w:t xml:space="preserve">Mundy L, Pendry B, Rahman M. Antimicrobial resistance and synergy in herbal medicine. </w:t>
      </w:r>
      <w:r w:rsidRPr="00580A46">
        <w:rPr>
          <w:rFonts w:ascii="Arial" w:hAnsi="Arial" w:cs="Arial"/>
          <w:i/>
          <w:iCs/>
          <w:noProof/>
          <w:szCs w:val="24"/>
        </w:rPr>
        <w:t>Journal of Herbal Medicine</w:t>
      </w:r>
      <w:r w:rsidRPr="00580A46">
        <w:rPr>
          <w:rFonts w:ascii="Arial" w:hAnsi="Arial" w:cs="Arial"/>
          <w:noProof/>
          <w:szCs w:val="24"/>
        </w:rPr>
        <w:t xml:space="preserve"> 2016; </w:t>
      </w:r>
      <w:r w:rsidRPr="00580A46">
        <w:rPr>
          <w:rFonts w:ascii="Arial" w:hAnsi="Arial" w:cs="Arial"/>
          <w:b/>
          <w:bCs/>
          <w:noProof/>
          <w:szCs w:val="24"/>
        </w:rPr>
        <w:t>6</w:t>
      </w:r>
      <w:r w:rsidRPr="00580A46">
        <w:rPr>
          <w:rFonts w:ascii="Arial" w:hAnsi="Arial" w:cs="Arial"/>
          <w:noProof/>
          <w:szCs w:val="24"/>
        </w:rPr>
        <w:t>(2):53–58. DOI: 10.1016/j.hermed.2016.03.001.</w:t>
      </w:r>
    </w:p>
    <w:p w14:paraId="2B7ADDB4" w14:textId="0606E444"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11 </w:t>
      </w:r>
      <w:r w:rsidRPr="00580A46">
        <w:rPr>
          <w:rFonts w:ascii="Arial" w:hAnsi="Arial" w:cs="Arial"/>
          <w:noProof/>
          <w:szCs w:val="24"/>
        </w:rPr>
        <w:tab/>
        <w:t xml:space="preserve">Levy SB, Marshall B. Antibacterial resistance worldwide: causes, challenges and responses. </w:t>
      </w:r>
      <w:r w:rsidRPr="00580A46">
        <w:rPr>
          <w:rFonts w:ascii="Arial" w:hAnsi="Arial" w:cs="Arial"/>
          <w:i/>
          <w:iCs/>
          <w:noProof/>
          <w:szCs w:val="24"/>
        </w:rPr>
        <w:t>Nature Medicine</w:t>
      </w:r>
      <w:r w:rsidRPr="00580A46">
        <w:rPr>
          <w:rFonts w:ascii="Arial" w:hAnsi="Arial" w:cs="Arial"/>
          <w:noProof/>
          <w:szCs w:val="24"/>
        </w:rPr>
        <w:t xml:space="preserve"> 2004; </w:t>
      </w:r>
      <w:r w:rsidRPr="00580A46">
        <w:rPr>
          <w:rFonts w:ascii="Arial" w:hAnsi="Arial" w:cs="Arial"/>
          <w:b/>
          <w:bCs/>
          <w:noProof/>
          <w:szCs w:val="24"/>
        </w:rPr>
        <w:t>10</w:t>
      </w:r>
      <w:r w:rsidRPr="00580A46">
        <w:rPr>
          <w:rFonts w:ascii="Arial" w:hAnsi="Arial" w:cs="Arial"/>
          <w:noProof/>
          <w:szCs w:val="24"/>
        </w:rPr>
        <w:t xml:space="preserve">(12):S122–S129. </w:t>
      </w:r>
    </w:p>
    <w:p w14:paraId="2397FBF0" w14:textId="4320DEE1"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12 </w:t>
      </w:r>
      <w:r w:rsidRPr="00580A46">
        <w:rPr>
          <w:rFonts w:ascii="Arial" w:hAnsi="Arial" w:cs="Arial"/>
          <w:noProof/>
          <w:szCs w:val="24"/>
        </w:rPr>
        <w:tab/>
        <w:t xml:space="preserve">Tarkang P, Franzoi KD, Lee S, Lee E, Vivarelli D, Freitas-Junior L, Liuzzi M, Nolé T, Ayong LS, Agbor GA, Okalebo FA, Guantai AN. In vitro antiplasmodial activities and synergistic combinations of differential solvent extracts of the polyherbal product, Nefang. </w:t>
      </w:r>
      <w:r w:rsidRPr="00580A46">
        <w:rPr>
          <w:rFonts w:ascii="Arial" w:hAnsi="Arial" w:cs="Arial"/>
          <w:i/>
          <w:iCs/>
          <w:noProof/>
          <w:szCs w:val="24"/>
        </w:rPr>
        <w:t>BioMed Research International</w:t>
      </w:r>
      <w:r w:rsidRPr="00580A46">
        <w:rPr>
          <w:rFonts w:ascii="Arial" w:hAnsi="Arial" w:cs="Arial"/>
          <w:noProof/>
          <w:szCs w:val="24"/>
        </w:rPr>
        <w:t xml:space="preserve"> 2014; </w:t>
      </w:r>
      <w:r w:rsidRPr="00580A46">
        <w:rPr>
          <w:rFonts w:ascii="Arial" w:hAnsi="Arial" w:cs="Arial"/>
          <w:b/>
          <w:bCs/>
          <w:noProof/>
          <w:szCs w:val="24"/>
        </w:rPr>
        <w:t>2014</w:t>
      </w:r>
      <w:r w:rsidRPr="00580A46">
        <w:rPr>
          <w:rFonts w:ascii="Arial" w:hAnsi="Arial" w:cs="Arial"/>
          <w:noProof/>
          <w:szCs w:val="24"/>
        </w:rPr>
        <w:t xml:space="preserve">. </w:t>
      </w:r>
    </w:p>
    <w:p w14:paraId="18A8ECD9" w14:textId="77777777"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13 </w:t>
      </w:r>
      <w:r w:rsidRPr="00580A46">
        <w:rPr>
          <w:rFonts w:ascii="Arial" w:hAnsi="Arial" w:cs="Arial"/>
          <w:noProof/>
          <w:szCs w:val="24"/>
        </w:rPr>
        <w:tab/>
        <w:t xml:space="preserve">Rasoanaivo P, Wright CW, Willcox ML, Gilbert B. Whole plant extracts versus single compounds for the treatment of malaria: synergy and positive interactions. </w:t>
      </w:r>
      <w:r w:rsidRPr="00580A46">
        <w:rPr>
          <w:rFonts w:ascii="Arial" w:hAnsi="Arial" w:cs="Arial"/>
          <w:i/>
          <w:iCs/>
          <w:noProof/>
          <w:szCs w:val="24"/>
        </w:rPr>
        <w:t>Malaria Journal</w:t>
      </w:r>
      <w:r w:rsidRPr="00580A46">
        <w:rPr>
          <w:rFonts w:ascii="Arial" w:hAnsi="Arial" w:cs="Arial"/>
          <w:noProof/>
          <w:szCs w:val="24"/>
        </w:rPr>
        <w:t xml:space="preserve"> 2011; </w:t>
      </w:r>
      <w:r w:rsidRPr="00580A46">
        <w:rPr>
          <w:rFonts w:ascii="Arial" w:hAnsi="Arial" w:cs="Arial"/>
          <w:b/>
          <w:bCs/>
          <w:noProof/>
          <w:szCs w:val="24"/>
        </w:rPr>
        <w:t>10</w:t>
      </w:r>
      <w:r w:rsidRPr="00580A46">
        <w:rPr>
          <w:rFonts w:ascii="Arial" w:hAnsi="Arial" w:cs="Arial"/>
          <w:noProof/>
          <w:szCs w:val="24"/>
        </w:rPr>
        <w:t>(1):S4.</w:t>
      </w:r>
    </w:p>
    <w:p w14:paraId="2392FF53" w14:textId="5F6B739E"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14 </w:t>
      </w:r>
      <w:r w:rsidRPr="00580A46">
        <w:rPr>
          <w:rFonts w:ascii="Arial" w:hAnsi="Arial" w:cs="Arial"/>
          <w:noProof/>
          <w:szCs w:val="24"/>
        </w:rPr>
        <w:tab/>
        <w:t xml:space="preserve">Angupale JR, Ajayi CO, Tusiimire J, Ngwuluka NC. Optimization of </w:t>
      </w:r>
      <w:r w:rsidR="00F466F4" w:rsidRPr="00580A46">
        <w:rPr>
          <w:rFonts w:ascii="Arial" w:hAnsi="Arial" w:cs="Arial"/>
          <w:i/>
          <w:noProof/>
          <w:szCs w:val="24"/>
        </w:rPr>
        <w:t>in vivo</w:t>
      </w:r>
      <w:r w:rsidRPr="00580A46">
        <w:rPr>
          <w:rFonts w:ascii="Arial" w:hAnsi="Arial" w:cs="Arial"/>
          <w:noProof/>
          <w:szCs w:val="24"/>
        </w:rPr>
        <w:t xml:space="preserve"> antimalarial efficacy of combinations of aqueous leaf extracts of Artemisia annua L., Vernonia amygdalina Del, and Microglossa pyrifolia (Lam.) Kuntze using factorial design. </w:t>
      </w:r>
      <w:r w:rsidRPr="00580A46">
        <w:rPr>
          <w:rFonts w:ascii="Arial" w:hAnsi="Arial" w:cs="Arial"/>
          <w:i/>
          <w:iCs/>
          <w:noProof/>
          <w:szCs w:val="24"/>
        </w:rPr>
        <w:t>BMC Complementary Medicine and Therapies</w:t>
      </w:r>
      <w:r w:rsidRPr="00580A46">
        <w:rPr>
          <w:rFonts w:ascii="Arial" w:hAnsi="Arial" w:cs="Arial"/>
          <w:noProof/>
          <w:szCs w:val="24"/>
        </w:rPr>
        <w:t xml:space="preserve"> 2024; </w:t>
      </w:r>
      <w:r w:rsidRPr="00580A46">
        <w:rPr>
          <w:rFonts w:ascii="Arial" w:hAnsi="Arial" w:cs="Arial"/>
          <w:b/>
          <w:bCs/>
          <w:noProof/>
          <w:szCs w:val="24"/>
        </w:rPr>
        <w:t>24</w:t>
      </w:r>
      <w:r w:rsidRPr="00580A46">
        <w:rPr>
          <w:rFonts w:ascii="Arial" w:hAnsi="Arial" w:cs="Arial"/>
          <w:noProof/>
          <w:szCs w:val="24"/>
        </w:rPr>
        <w:t xml:space="preserve">:393. </w:t>
      </w:r>
    </w:p>
    <w:p w14:paraId="5959D95C" w14:textId="4DBE898D" w:rsidR="00FE6E2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 xml:space="preserve">15 </w:t>
      </w:r>
      <w:r w:rsidRPr="00580A46">
        <w:rPr>
          <w:rFonts w:ascii="Arial" w:hAnsi="Arial" w:cs="Arial"/>
          <w:noProof/>
          <w:szCs w:val="24"/>
        </w:rPr>
        <w:tab/>
        <w:t>Rosmalena F, Amalia A, Syafitri I, Prasasty VD. Antimalarial Effect of Flamboyant (</w:t>
      </w:r>
      <w:r w:rsidR="00F466F4" w:rsidRPr="00580A46">
        <w:rPr>
          <w:rFonts w:ascii="Arial" w:hAnsi="Arial" w:cs="Arial"/>
          <w:i/>
          <w:noProof/>
          <w:szCs w:val="24"/>
        </w:rPr>
        <w:t>Delonix regia</w:t>
      </w:r>
      <w:r w:rsidRPr="00580A46">
        <w:rPr>
          <w:rFonts w:ascii="Arial" w:hAnsi="Arial" w:cs="Arial"/>
          <w:noProof/>
          <w:szCs w:val="24"/>
        </w:rPr>
        <w:t xml:space="preserve">) Bark and Papaya (Carica papaya L) Leaf Ethanolic Extracts against </w:t>
      </w:r>
      <w:r w:rsidR="00F466F4" w:rsidRPr="00580A46">
        <w:rPr>
          <w:rFonts w:ascii="Arial" w:hAnsi="Arial" w:cs="Arial"/>
          <w:i/>
          <w:noProof/>
          <w:szCs w:val="24"/>
        </w:rPr>
        <w:t>Plasmodium  berghei</w:t>
      </w:r>
      <w:r w:rsidRPr="00580A46">
        <w:rPr>
          <w:rFonts w:ascii="Arial" w:hAnsi="Arial" w:cs="Arial"/>
          <w:noProof/>
          <w:szCs w:val="24"/>
        </w:rPr>
        <w:t xml:space="preserve"> in Mice. </w:t>
      </w:r>
      <w:r w:rsidRPr="00580A46">
        <w:rPr>
          <w:rFonts w:ascii="Arial" w:hAnsi="Arial" w:cs="Arial"/>
          <w:i/>
          <w:iCs/>
          <w:noProof/>
          <w:szCs w:val="24"/>
        </w:rPr>
        <w:t>Biomedical and Pharmacology Journal</w:t>
      </w:r>
      <w:r w:rsidRPr="00580A46">
        <w:rPr>
          <w:rFonts w:ascii="Arial" w:hAnsi="Arial" w:cs="Arial"/>
          <w:noProof/>
          <w:szCs w:val="24"/>
        </w:rPr>
        <w:t xml:space="preserve"> 2017; </w:t>
      </w:r>
      <w:r w:rsidRPr="00580A46">
        <w:rPr>
          <w:rFonts w:ascii="Arial" w:hAnsi="Arial" w:cs="Arial"/>
          <w:b/>
          <w:bCs/>
          <w:noProof/>
          <w:szCs w:val="24"/>
        </w:rPr>
        <w:t>10</w:t>
      </w:r>
      <w:r w:rsidRPr="00580A46">
        <w:rPr>
          <w:rFonts w:ascii="Arial" w:hAnsi="Arial" w:cs="Arial"/>
          <w:noProof/>
          <w:szCs w:val="24"/>
        </w:rPr>
        <w:t xml:space="preserve">(3):1081–1089. </w:t>
      </w:r>
    </w:p>
    <w:p w14:paraId="21AFCE14" w14:textId="7081964D" w:rsidR="00BF1A3B" w:rsidRDefault="00BF1A3B" w:rsidP="00FE6E26">
      <w:pPr>
        <w:widowControl w:val="0"/>
        <w:autoSpaceDE w:val="0"/>
        <w:autoSpaceDN w:val="0"/>
        <w:adjustRightInd w:val="0"/>
        <w:ind w:left="640" w:hanging="640"/>
        <w:rPr>
          <w:rFonts w:ascii="Arial" w:hAnsi="Arial" w:cs="Arial"/>
          <w:noProof/>
          <w:szCs w:val="24"/>
        </w:rPr>
      </w:pPr>
    </w:p>
    <w:p w14:paraId="366FFB4A" w14:textId="01080E58" w:rsidR="00BF1A3B" w:rsidRDefault="00BF1A3B" w:rsidP="00FE6E26">
      <w:pPr>
        <w:widowControl w:val="0"/>
        <w:autoSpaceDE w:val="0"/>
        <w:autoSpaceDN w:val="0"/>
        <w:adjustRightInd w:val="0"/>
        <w:ind w:left="640" w:hanging="640"/>
        <w:rPr>
          <w:rFonts w:ascii="Arial" w:hAnsi="Arial" w:cs="Arial"/>
          <w:noProof/>
          <w:szCs w:val="24"/>
        </w:rPr>
      </w:pPr>
    </w:p>
    <w:p w14:paraId="2BDECB62" w14:textId="77777777" w:rsidR="00BF1A3B" w:rsidRPr="00BF1A3B" w:rsidRDefault="00BF1A3B" w:rsidP="00BF1A3B">
      <w:pPr>
        <w:widowControl w:val="0"/>
        <w:autoSpaceDE w:val="0"/>
        <w:autoSpaceDN w:val="0"/>
        <w:adjustRightInd w:val="0"/>
        <w:ind w:left="640" w:hanging="640"/>
        <w:rPr>
          <w:rFonts w:ascii="Arial" w:hAnsi="Arial" w:cs="Arial"/>
          <w:noProof/>
          <w:szCs w:val="24"/>
        </w:rPr>
      </w:pPr>
      <w:r w:rsidRPr="00BF1A3B">
        <w:rPr>
          <w:rFonts w:ascii="Arial" w:hAnsi="Arial" w:cs="Arial"/>
          <w:noProof/>
          <w:szCs w:val="24"/>
        </w:rPr>
        <w:t xml:space="preserve">16 </w:t>
      </w:r>
      <w:r w:rsidRPr="00BF1A3B">
        <w:rPr>
          <w:rFonts w:ascii="Arial" w:hAnsi="Arial" w:cs="Arial"/>
          <w:noProof/>
          <w:szCs w:val="24"/>
        </w:rPr>
        <w:tab/>
        <w:t>Shewale VD, Deshmukh TA, Patil LS, Patil VR. Anti-inflammatory activity of Delonix regia (Boj. Ex. Hook). Advances in Pharmacological Sciences 2012; 2012. DOI: 10.1155/2012/789713 doi:10.1155/2012/789713.</w:t>
      </w:r>
    </w:p>
    <w:p w14:paraId="2D1AEBE2" w14:textId="1D2D48AB" w:rsidR="00BF1A3B" w:rsidRPr="00580A46" w:rsidRDefault="00BF1A3B" w:rsidP="00BF1A3B">
      <w:pPr>
        <w:widowControl w:val="0"/>
        <w:autoSpaceDE w:val="0"/>
        <w:autoSpaceDN w:val="0"/>
        <w:adjustRightInd w:val="0"/>
        <w:ind w:left="640" w:hanging="640"/>
        <w:rPr>
          <w:rFonts w:ascii="Arial" w:hAnsi="Arial" w:cs="Arial"/>
          <w:noProof/>
          <w:szCs w:val="24"/>
        </w:rPr>
      </w:pPr>
      <w:r w:rsidRPr="00BF1A3B">
        <w:rPr>
          <w:rFonts w:ascii="Arial" w:hAnsi="Arial" w:cs="Arial"/>
          <w:noProof/>
          <w:szCs w:val="24"/>
        </w:rPr>
        <w:t xml:space="preserve">17 </w:t>
      </w:r>
      <w:r w:rsidRPr="00BF1A3B">
        <w:rPr>
          <w:rFonts w:ascii="Arial" w:hAnsi="Arial" w:cs="Arial"/>
          <w:noProof/>
          <w:szCs w:val="24"/>
        </w:rPr>
        <w:tab/>
        <w:t xml:space="preserve">Shabir G, Anwar F, Sultana B, Khalid ZM, Afzal M, Khan QM, Ashrafuzzaman M. Antioxidant and antimicrobial </w:t>
      </w:r>
    </w:p>
    <w:p w14:paraId="66F47FD4" w14:textId="39001845"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1</w:t>
      </w:r>
      <w:r w:rsidR="00BF1A3B">
        <w:rPr>
          <w:rFonts w:ascii="Arial" w:hAnsi="Arial" w:cs="Arial"/>
          <w:noProof/>
          <w:szCs w:val="24"/>
        </w:rPr>
        <w:t>8</w:t>
      </w:r>
      <w:r w:rsidRPr="00580A46">
        <w:rPr>
          <w:rFonts w:ascii="Arial" w:hAnsi="Arial" w:cs="Arial"/>
          <w:noProof/>
          <w:szCs w:val="24"/>
        </w:rPr>
        <w:t xml:space="preserve"> </w:t>
      </w:r>
      <w:r w:rsidRPr="00580A46">
        <w:rPr>
          <w:rFonts w:ascii="Arial" w:hAnsi="Arial" w:cs="Arial"/>
          <w:noProof/>
          <w:szCs w:val="24"/>
        </w:rPr>
        <w:tab/>
        <w:t xml:space="preserve">Elujoba A. THE ROLE OF PHARMACOGNOSY IN PHYTOTHERAPHY — THE CHALLENGES OF OUR TIME. </w:t>
      </w:r>
      <w:r w:rsidRPr="00580A46">
        <w:rPr>
          <w:rFonts w:ascii="Arial" w:hAnsi="Arial" w:cs="Arial"/>
          <w:i/>
          <w:iCs/>
          <w:noProof/>
          <w:szCs w:val="24"/>
        </w:rPr>
        <w:t>Nigerian Journal of Natural Products and Medicine</w:t>
      </w:r>
      <w:r w:rsidRPr="00580A46">
        <w:rPr>
          <w:rFonts w:ascii="Arial" w:hAnsi="Arial" w:cs="Arial"/>
          <w:noProof/>
          <w:szCs w:val="24"/>
        </w:rPr>
        <w:t xml:space="preserve"> 1998; </w:t>
      </w:r>
      <w:r w:rsidRPr="00580A46">
        <w:rPr>
          <w:rFonts w:ascii="Arial" w:hAnsi="Arial" w:cs="Arial"/>
          <w:b/>
          <w:bCs/>
          <w:noProof/>
          <w:szCs w:val="24"/>
        </w:rPr>
        <w:t>2</w:t>
      </w:r>
      <w:r w:rsidRPr="00580A46">
        <w:rPr>
          <w:rFonts w:ascii="Arial" w:hAnsi="Arial" w:cs="Arial"/>
          <w:noProof/>
          <w:szCs w:val="24"/>
        </w:rPr>
        <w:t xml:space="preserve">(1):5–8. </w:t>
      </w:r>
    </w:p>
    <w:p w14:paraId="4CD8C6F3" w14:textId="6AB10471"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1</w:t>
      </w:r>
      <w:r w:rsidR="00BF1A3B">
        <w:rPr>
          <w:rFonts w:ascii="Arial" w:hAnsi="Arial" w:cs="Arial"/>
          <w:noProof/>
          <w:szCs w:val="24"/>
        </w:rPr>
        <w:t>9</w:t>
      </w:r>
      <w:r w:rsidRPr="00580A46">
        <w:rPr>
          <w:rFonts w:ascii="Arial" w:hAnsi="Arial" w:cs="Arial"/>
          <w:noProof/>
          <w:szCs w:val="24"/>
        </w:rPr>
        <w:tab/>
        <w:t xml:space="preserve">Orwa JA, Ngeny L, Mwikwabe NM, Ondicho J, Jondiko IJO. Antimalarial and safety evaluation of extracts from Toddalia asiatica (L) Lam. (Rutaceae). </w:t>
      </w:r>
      <w:r w:rsidRPr="00580A46">
        <w:rPr>
          <w:rFonts w:ascii="Arial" w:hAnsi="Arial" w:cs="Arial"/>
          <w:i/>
          <w:iCs/>
          <w:noProof/>
          <w:szCs w:val="24"/>
        </w:rPr>
        <w:t>Journal of Ethnopharmacology</w:t>
      </w:r>
      <w:r w:rsidRPr="00580A46">
        <w:rPr>
          <w:rFonts w:ascii="Arial" w:hAnsi="Arial" w:cs="Arial"/>
          <w:noProof/>
          <w:szCs w:val="24"/>
        </w:rPr>
        <w:t xml:space="preserve"> 2013; </w:t>
      </w:r>
      <w:r w:rsidRPr="00580A46">
        <w:rPr>
          <w:rFonts w:ascii="Arial" w:hAnsi="Arial" w:cs="Arial"/>
          <w:b/>
          <w:bCs/>
          <w:noProof/>
          <w:szCs w:val="24"/>
        </w:rPr>
        <w:t>145</w:t>
      </w:r>
      <w:r w:rsidRPr="00580A46">
        <w:rPr>
          <w:rFonts w:ascii="Arial" w:hAnsi="Arial" w:cs="Arial"/>
          <w:noProof/>
          <w:szCs w:val="24"/>
        </w:rPr>
        <w:t xml:space="preserve">(2):587–590. </w:t>
      </w:r>
    </w:p>
    <w:p w14:paraId="33553770" w14:textId="3FB1D2C5" w:rsidR="00FE6E26" w:rsidRPr="00580A46" w:rsidRDefault="00BF1A3B" w:rsidP="00FE6E26">
      <w:pPr>
        <w:widowControl w:val="0"/>
        <w:autoSpaceDE w:val="0"/>
        <w:autoSpaceDN w:val="0"/>
        <w:adjustRightInd w:val="0"/>
        <w:ind w:left="640" w:hanging="640"/>
        <w:rPr>
          <w:rFonts w:ascii="Arial" w:hAnsi="Arial" w:cs="Arial"/>
          <w:noProof/>
          <w:szCs w:val="24"/>
        </w:rPr>
      </w:pPr>
      <w:r>
        <w:rPr>
          <w:rFonts w:ascii="Arial" w:hAnsi="Arial" w:cs="Arial"/>
          <w:noProof/>
          <w:szCs w:val="24"/>
        </w:rPr>
        <w:t>20</w:t>
      </w:r>
      <w:r w:rsidR="00FE6E26" w:rsidRPr="00580A46">
        <w:rPr>
          <w:rFonts w:ascii="Arial" w:hAnsi="Arial" w:cs="Arial"/>
          <w:noProof/>
          <w:szCs w:val="24"/>
        </w:rPr>
        <w:tab/>
        <w:t xml:space="preserve">Kariuki HN, Kanui TI, Yenesew A, Patel N, Mbugua PM. Antinociceptive and Anti-inflammatory Effects of Toddalia asiatica (L) Lam. (Rutaceae) Root Extract in Swiss Albino Mice. </w:t>
      </w:r>
      <w:r w:rsidR="00FE6E26" w:rsidRPr="00580A46">
        <w:rPr>
          <w:rFonts w:ascii="Arial" w:hAnsi="Arial" w:cs="Arial"/>
          <w:i/>
          <w:iCs/>
          <w:noProof/>
          <w:szCs w:val="24"/>
        </w:rPr>
        <w:t>PAMJ. 2013; 14:133</w:t>
      </w:r>
      <w:r w:rsidR="00FE6E26" w:rsidRPr="00580A46">
        <w:rPr>
          <w:rFonts w:ascii="Arial" w:hAnsi="Arial" w:cs="Arial"/>
          <w:noProof/>
          <w:szCs w:val="24"/>
        </w:rPr>
        <w:t xml:space="preserve"> 2013; </w:t>
      </w:r>
      <w:r w:rsidR="00FE6E26" w:rsidRPr="00580A46">
        <w:rPr>
          <w:rFonts w:ascii="Arial" w:hAnsi="Arial" w:cs="Arial"/>
          <w:b/>
          <w:bCs/>
          <w:noProof/>
          <w:szCs w:val="24"/>
        </w:rPr>
        <w:t>14</w:t>
      </w:r>
      <w:r w:rsidR="00FE6E26" w:rsidRPr="00580A46">
        <w:rPr>
          <w:rFonts w:ascii="Arial" w:hAnsi="Arial" w:cs="Arial"/>
          <w:noProof/>
          <w:szCs w:val="24"/>
        </w:rPr>
        <w:t xml:space="preserve">(133). </w:t>
      </w:r>
    </w:p>
    <w:p w14:paraId="673C9163" w14:textId="489D4B7B" w:rsidR="00FE6E26" w:rsidRPr="00580A46" w:rsidRDefault="00BF1A3B" w:rsidP="00FE6E26">
      <w:pPr>
        <w:widowControl w:val="0"/>
        <w:autoSpaceDE w:val="0"/>
        <w:autoSpaceDN w:val="0"/>
        <w:adjustRightInd w:val="0"/>
        <w:ind w:left="640" w:hanging="640"/>
        <w:rPr>
          <w:rFonts w:ascii="Arial" w:hAnsi="Arial" w:cs="Arial"/>
          <w:noProof/>
          <w:szCs w:val="24"/>
        </w:rPr>
      </w:pPr>
      <w:r>
        <w:rPr>
          <w:rFonts w:ascii="Arial" w:hAnsi="Arial" w:cs="Arial"/>
          <w:noProof/>
          <w:szCs w:val="24"/>
        </w:rPr>
        <w:t>21</w:t>
      </w:r>
      <w:r w:rsidR="00FE6E26" w:rsidRPr="00580A46">
        <w:rPr>
          <w:rFonts w:ascii="Arial" w:hAnsi="Arial" w:cs="Arial"/>
          <w:noProof/>
          <w:szCs w:val="24"/>
        </w:rPr>
        <w:tab/>
        <w:t xml:space="preserve">Lakshmi SJ, Siddiraju UR. Comprehensive study of secondary metabolite profile and pharmacological effects of medicinal plant Toddalia asiatica. </w:t>
      </w:r>
      <w:r w:rsidR="00FE6E26" w:rsidRPr="00580A46">
        <w:rPr>
          <w:rFonts w:ascii="Arial" w:hAnsi="Arial" w:cs="Arial"/>
          <w:i/>
          <w:iCs/>
          <w:noProof/>
          <w:szCs w:val="24"/>
        </w:rPr>
        <w:t>Journal of Applied Pharmaceutical Science</w:t>
      </w:r>
      <w:r w:rsidR="00FE6E26" w:rsidRPr="00580A46">
        <w:rPr>
          <w:rFonts w:ascii="Arial" w:hAnsi="Arial" w:cs="Arial"/>
          <w:noProof/>
          <w:szCs w:val="24"/>
        </w:rPr>
        <w:t xml:space="preserve"> 2022; </w:t>
      </w:r>
      <w:r w:rsidR="00FE6E26" w:rsidRPr="00580A46">
        <w:rPr>
          <w:rFonts w:ascii="Arial" w:hAnsi="Arial" w:cs="Arial"/>
          <w:b/>
          <w:bCs/>
          <w:noProof/>
          <w:szCs w:val="24"/>
        </w:rPr>
        <w:t>12,</w:t>
      </w:r>
      <w:r w:rsidR="00FE6E26" w:rsidRPr="00580A46">
        <w:rPr>
          <w:rFonts w:ascii="Arial" w:hAnsi="Arial" w:cs="Arial"/>
          <w:noProof/>
          <w:szCs w:val="24"/>
        </w:rPr>
        <w:t xml:space="preserve">(7):42–52. </w:t>
      </w:r>
    </w:p>
    <w:p w14:paraId="19A26AAB" w14:textId="7738BB8C"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2</w:t>
      </w:r>
      <w:r w:rsidR="00BF1A3B">
        <w:rPr>
          <w:rFonts w:ascii="Arial" w:hAnsi="Arial" w:cs="Arial"/>
          <w:noProof/>
          <w:szCs w:val="24"/>
        </w:rPr>
        <w:t>2</w:t>
      </w:r>
      <w:r w:rsidRPr="00580A46">
        <w:rPr>
          <w:rFonts w:ascii="Arial" w:hAnsi="Arial" w:cs="Arial"/>
          <w:noProof/>
          <w:szCs w:val="24"/>
        </w:rPr>
        <w:tab/>
        <w:t xml:space="preserve">Ouma JJ, Mungai N, Gathirwa JW, Orwa JA. A Study of the Antimalarial Activity of Combined Plant Extracts Traditionally Used in Kenya. </w:t>
      </w:r>
      <w:r w:rsidRPr="00580A46">
        <w:rPr>
          <w:rFonts w:ascii="Arial" w:hAnsi="Arial" w:cs="Arial"/>
          <w:i/>
          <w:iCs/>
          <w:noProof/>
          <w:szCs w:val="24"/>
        </w:rPr>
        <w:t>Journal of Complementary and Alternative Medical Research</w:t>
      </w:r>
      <w:r w:rsidRPr="00580A46">
        <w:rPr>
          <w:rFonts w:ascii="Arial" w:hAnsi="Arial" w:cs="Arial"/>
          <w:noProof/>
          <w:szCs w:val="24"/>
        </w:rPr>
        <w:t xml:space="preserve"> 2022; 13–21. </w:t>
      </w:r>
    </w:p>
    <w:p w14:paraId="06E2E496" w14:textId="6170C877"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2</w:t>
      </w:r>
      <w:r w:rsidR="00BF1A3B">
        <w:rPr>
          <w:rFonts w:ascii="Arial" w:hAnsi="Arial" w:cs="Arial"/>
          <w:noProof/>
          <w:szCs w:val="24"/>
        </w:rPr>
        <w:t>3</w:t>
      </w:r>
      <w:r w:rsidRPr="00580A46">
        <w:rPr>
          <w:rFonts w:ascii="Arial" w:hAnsi="Arial" w:cs="Arial"/>
          <w:noProof/>
          <w:szCs w:val="24"/>
        </w:rPr>
        <w:tab/>
        <w:t xml:space="preserve">Basir R, Rahiman SSF, Hasballah K, Chong WC, Talib H, Yam MF, Jabbarzare M, Tie TH, Othman F, Moklas MAM, Abdullah WO, Ahmad Z. </w:t>
      </w:r>
      <w:r w:rsidR="00F466F4" w:rsidRPr="00580A46">
        <w:rPr>
          <w:rFonts w:ascii="Arial" w:hAnsi="Arial" w:cs="Arial"/>
          <w:i/>
          <w:noProof/>
          <w:szCs w:val="24"/>
        </w:rPr>
        <w:t>Plasmodium  berghei</w:t>
      </w:r>
      <w:r w:rsidRPr="00580A46">
        <w:rPr>
          <w:rFonts w:ascii="Arial" w:hAnsi="Arial" w:cs="Arial"/>
          <w:noProof/>
          <w:szCs w:val="24"/>
        </w:rPr>
        <w:t xml:space="preserve"> ANKA infection in ICR mice as a model of cerebral malaria. </w:t>
      </w:r>
      <w:r w:rsidRPr="00580A46">
        <w:rPr>
          <w:rFonts w:ascii="Arial" w:hAnsi="Arial" w:cs="Arial"/>
          <w:i/>
          <w:iCs/>
          <w:noProof/>
          <w:szCs w:val="24"/>
        </w:rPr>
        <w:lastRenderedPageBreak/>
        <w:t>Iranian Journal of Parasitology</w:t>
      </w:r>
      <w:r w:rsidRPr="00580A46">
        <w:rPr>
          <w:rFonts w:ascii="Arial" w:hAnsi="Arial" w:cs="Arial"/>
          <w:noProof/>
          <w:szCs w:val="24"/>
        </w:rPr>
        <w:t xml:space="preserve"> 2012; </w:t>
      </w:r>
      <w:r w:rsidRPr="00580A46">
        <w:rPr>
          <w:rFonts w:ascii="Arial" w:hAnsi="Arial" w:cs="Arial"/>
          <w:b/>
          <w:bCs/>
          <w:noProof/>
          <w:szCs w:val="24"/>
        </w:rPr>
        <w:t>7</w:t>
      </w:r>
      <w:r w:rsidRPr="00580A46">
        <w:rPr>
          <w:rFonts w:ascii="Arial" w:hAnsi="Arial" w:cs="Arial"/>
          <w:noProof/>
          <w:szCs w:val="24"/>
        </w:rPr>
        <w:t>(4):62–74.</w:t>
      </w:r>
    </w:p>
    <w:p w14:paraId="49680663" w14:textId="02B45B94"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2</w:t>
      </w:r>
      <w:r w:rsidR="00BF1A3B">
        <w:rPr>
          <w:rFonts w:ascii="Arial" w:hAnsi="Arial" w:cs="Arial"/>
          <w:noProof/>
          <w:szCs w:val="24"/>
        </w:rPr>
        <w:t>4</w:t>
      </w:r>
      <w:r w:rsidRPr="00580A46">
        <w:rPr>
          <w:rFonts w:ascii="Arial" w:hAnsi="Arial" w:cs="Arial"/>
          <w:noProof/>
          <w:szCs w:val="24"/>
        </w:rPr>
        <w:t xml:space="preserve"> </w:t>
      </w:r>
      <w:r w:rsidRPr="00580A46">
        <w:rPr>
          <w:rFonts w:ascii="Arial" w:hAnsi="Arial" w:cs="Arial"/>
          <w:noProof/>
          <w:szCs w:val="24"/>
        </w:rPr>
        <w:tab/>
        <w:t xml:space="preserve">PETERS WJ. The chemotherapy of rodent malaria XXII. The value of drug-resistant strains of </w:t>
      </w:r>
      <w:r w:rsidR="00F466F4" w:rsidRPr="00580A46">
        <w:rPr>
          <w:rFonts w:ascii="Arial" w:hAnsi="Arial" w:cs="Arial"/>
          <w:i/>
          <w:noProof/>
          <w:szCs w:val="24"/>
        </w:rPr>
        <w:t xml:space="preserve">P. berghei </w:t>
      </w:r>
      <w:r w:rsidRPr="00580A46">
        <w:rPr>
          <w:rFonts w:ascii="Arial" w:hAnsi="Arial" w:cs="Arial"/>
          <w:noProof/>
          <w:szCs w:val="24"/>
        </w:rPr>
        <w:t xml:space="preserve">in screening for blood schizontisidal activity. </w:t>
      </w:r>
      <w:r w:rsidRPr="00580A46">
        <w:rPr>
          <w:rFonts w:ascii="Arial" w:hAnsi="Arial" w:cs="Arial"/>
          <w:i/>
          <w:iCs/>
          <w:noProof/>
          <w:szCs w:val="24"/>
        </w:rPr>
        <w:t>Ann. Trop. Med. Parasitol.</w:t>
      </w:r>
      <w:r w:rsidRPr="00580A46">
        <w:rPr>
          <w:rFonts w:ascii="Arial" w:hAnsi="Arial" w:cs="Arial"/>
          <w:noProof/>
          <w:szCs w:val="24"/>
        </w:rPr>
        <w:t xml:space="preserve"> 1975; </w:t>
      </w:r>
      <w:r w:rsidRPr="00580A46">
        <w:rPr>
          <w:rFonts w:ascii="Arial" w:hAnsi="Arial" w:cs="Arial"/>
          <w:b/>
          <w:bCs/>
          <w:noProof/>
          <w:szCs w:val="24"/>
        </w:rPr>
        <w:t>69</w:t>
      </w:r>
      <w:r w:rsidRPr="00580A46">
        <w:rPr>
          <w:rFonts w:ascii="Arial" w:hAnsi="Arial" w:cs="Arial"/>
          <w:noProof/>
          <w:szCs w:val="24"/>
        </w:rPr>
        <w:t>:155–171.</w:t>
      </w:r>
    </w:p>
    <w:p w14:paraId="36C9F123" w14:textId="4DC78528"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2</w:t>
      </w:r>
      <w:r w:rsidR="00BF1A3B">
        <w:rPr>
          <w:rFonts w:ascii="Arial" w:hAnsi="Arial" w:cs="Arial"/>
          <w:noProof/>
          <w:szCs w:val="24"/>
        </w:rPr>
        <w:t>5</w:t>
      </w:r>
      <w:r w:rsidRPr="00580A46">
        <w:rPr>
          <w:rFonts w:ascii="Arial" w:hAnsi="Arial" w:cs="Arial"/>
          <w:noProof/>
          <w:szCs w:val="24"/>
        </w:rPr>
        <w:t xml:space="preserve"> </w:t>
      </w:r>
      <w:r w:rsidRPr="00580A46">
        <w:rPr>
          <w:rFonts w:ascii="Arial" w:hAnsi="Arial" w:cs="Arial"/>
          <w:noProof/>
          <w:szCs w:val="24"/>
        </w:rPr>
        <w:tab/>
        <w:t xml:space="preserve">Ettebong EO, Nwafor PA, Okokon JE. </w:t>
      </w:r>
      <w:r w:rsidR="00F466F4" w:rsidRPr="00580A46">
        <w:rPr>
          <w:rFonts w:ascii="Arial" w:hAnsi="Arial" w:cs="Arial"/>
          <w:i/>
          <w:noProof/>
          <w:szCs w:val="24"/>
        </w:rPr>
        <w:t>In vivo</w:t>
      </w:r>
      <w:r w:rsidRPr="00580A46">
        <w:rPr>
          <w:rFonts w:ascii="Arial" w:hAnsi="Arial" w:cs="Arial"/>
          <w:noProof/>
          <w:szCs w:val="24"/>
        </w:rPr>
        <w:t xml:space="preserve"> antiplasmodial activities of ethanolic exract and fractions of Eleucine indica. </w:t>
      </w:r>
      <w:r w:rsidRPr="00580A46">
        <w:rPr>
          <w:rFonts w:ascii="Arial" w:hAnsi="Arial" w:cs="Arial"/>
          <w:i/>
          <w:iCs/>
          <w:noProof/>
          <w:szCs w:val="24"/>
        </w:rPr>
        <w:t>Asian Pacific Journal of Tropical Medicine</w:t>
      </w:r>
      <w:r w:rsidRPr="00580A46">
        <w:rPr>
          <w:rFonts w:ascii="Arial" w:hAnsi="Arial" w:cs="Arial"/>
          <w:noProof/>
          <w:szCs w:val="24"/>
        </w:rPr>
        <w:t xml:space="preserve"> 2012; </w:t>
      </w:r>
      <w:r w:rsidRPr="00580A46">
        <w:rPr>
          <w:rFonts w:ascii="Arial" w:hAnsi="Arial" w:cs="Arial"/>
          <w:b/>
          <w:bCs/>
          <w:noProof/>
          <w:szCs w:val="24"/>
        </w:rPr>
        <w:t>5</w:t>
      </w:r>
      <w:r w:rsidRPr="00580A46">
        <w:rPr>
          <w:rFonts w:ascii="Arial" w:hAnsi="Arial" w:cs="Arial"/>
          <w:noProof/>
          <w:szCs w:val="24"/>
        </w:rPr>
        <w:t xml:space="preserve">(9):673–676. </w:t>
      </w:r>
    </w:p>
    <w:p w14:paraId="7C349823" w14:textId="58B35DF9"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2</w:t>
      </w:r>
      <w:r w:rsidR="00BF1A3B">
        <w:rPr>
          <w:rFonts w:ascii="Arial" w:hAnsi="Arial" w:cs="Arial"/>
          <w:noProof/>
          <w:szCs w:val="24"/>
        </w:rPr>
        <w:t>6</w:t>
      </w:r>
      <w:r w:rsidRPr="00580A46">
        <w:rPr>
          <w:rFonts w:ascii="Arial" w:hAnsi="Arial" w:cs="Arial"/>
          <w:noProof/>
          <w:szCs w:val="24"/>
        </w:rPr>
        <w:t xml:space="preserve"> </w:t>
      </w:r>
      <w:r w:rsidRPr="00580A46">
        <w:rPr>
          <w:rFonts w:ascii="Arial" w:hAnsi="Arial" w:cs="Arial"/>
          <w:noProof/>
          <w:szCs w:val="24"/>
        </w:rPr>
        <w:tab/>
        <w:t xml:space="preserve">Ryley JF, Peters W. The antimalarial activity of some quinolone esters. </w:t>
      </w:r>
      <w:r w:rsidRPr="00580A46">
        <w:rPr>
          <w:rFonts w:ascii="Arial" w:hAnsi="Arial" w:cs="Arial"/>
          <w:i/>
          <w:iCs/>
          <w:noProof/>
          <w:szCs w:val="24"/>
        </w:rPr>
        <w:t>Ann Trop Med Parasitol</w:t>
      </w:r>
      <w:r w:rsidRPr="00580A46">
        <w:rPr>
          <w:rFonts w:ascii="Arial" w:hAnsi="Arial" w:cs="Arial"/>
          <w:noProof/>
          <w:szCs w:val="24"/>
        </w:rPr>
        <w:t xml:space="preserve"> 1970; </w:t>
      </w:r>
      <w:r w:rsidRPr="00580A46">
        <w:rPr>
          <w:rFonts w:ascii="Arial" w:hAnsi="Arial" w:cs="Arial"/>
          <w:b/>
          <w:bCs/>
          <w:noProof/>
          <w:szCs w:val="24"/>
        </w:rPr>
        <w:t>64</w:t>
      </w:r>
      <w:r w:rsidRPr="00580A46">
        <w:rPr>
          <w:rFonts w:ascii="Arial" w:hAnsi="Arial" w:cs="Arial"/>
          <w:noProof/>
          <w:szCs w:val="24"/>
        </w:rPr>
        <w:t>.http://dx.doi.org/10.1080/00034983.1970.11686683.</w:t>
      </w:r>
    </w:p>
    <w:p w14:paraId="08BD8169" w14:textId="64326373"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2</w:t>
      </w:r>
      <w:r w:rsidR="00BF1A3B">
        <w:rPr>
          <w:rFonts w:ascii="Arial" w:hAnsi="Arial" w:cs="Arial"/>
          <w:noProof/>
          <w:szCs w:val="24"/>
        </w:rPr>
        <w:t>7</w:t>
      </w:r>
      <w:r w:rsidRPr="00580A46">
        <w:rPr>
          <w:rFonts w:ascii="Arial" w:hAnsi="Arial" w:cs="Arial"/>
          <w:noProof/>
          <w:szCs w:val="24"/>
        </w:rPr>
        <w:t xml:space="preserve"> </w:t>
      </w:r>
      <w:r w:rsidRPr="00580A46">
        <w:rPr>
          <w:rFonts w:ascii="Arial" w:hAnsi="Arial" w:cs="Arial"/>
          <w:noProof/>
          <w:szCs w:val="24"/>
        </w:rPr>
        <w:tab/>
        <w:t xml:space="preserve">Ochora DO, Kakudidi EK, Namukobe J, Ipulet P, Wakoli DM, Okore W, Mwakio EW, Yeda RA, Cheruiyot AC, Juma DW, Andagalu B, Roth AL, Ogutu BR, Yenesew A, Akala HM. Synergism in antiplasmodial activities of artemether and lumefantrine in combination with Securidaca longipedunculata fresen (Polygalaceae). </w:t>
      </w:r>
      <w:r w:rsidRPr="00580A46">
        <w:rPr>
          <w:rFonts w:ascii="Arial" w:hAnsi="Arial" w:cs="Arial"/>
          <w:i/>
          <w:iCs/>
          <w:noProof/>
          <w:szCs w:val="24"/>
        </w:rPr>
        <w:t>Plants</w:t>
      </w:r>
      <w:r w:rsidRPr="00580A46">
        <w:rPr>
          <w:rFonts w:ascii="Arial" w:hAnsi="Arial" w:cs="Arial"/>
          <w:noProof/>
          <w:szCs w:val="24"/>
        </w:rPr>
        <w:t xml:space="preserve"> 2022; </w:t>
      </w:r>
      <w:r w:rsidRPr="00580A46">
        <w:rPr>
          <w:rFonts w:ascii="Arial" w:hAnsi="Arial" w:cs="Arial"/>
          <w:b/>
          <w:bCs/>
          <w:noProof/>
          <w:szCs w:val="24"/>
        </w:rPr>
        <w:t>11</w:t>
      </w:r>
      <w:r w:rsidRPr="00580A46">
        <w:rPr>
          <w:rFonts w:ascii="Arial" w:hAnsi="Arial" w:cs="Arial"/>
          <w:noProof/>
          <w:szCs w:val="24"/>
        </w:rPr>
        <w:t xml:space="preserve">(1). </w:t>
      </w:r>
    </w:p>
    <w:p w14:paraId="691A5503" w14:textId="7454DE85"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2</w:t>
      </w:r>
      <w:r w:rsidR="00BF1A3B">
        <w:rPr>
          <w:rFonts w:ascii="Arial" w:hAnsi="Arial" w:cs="Arial"/>
          <w:noProof/>
          <w:szCs w:val="24"/>
        </w:rPr>
        <w:t>8</w:t>
      </w:r>
      <w:r w:rsidRPr="00580A46">
        <w:rPr>
          <w:rFonts w:ascii="Arial" w:hAnsi="Arial" w:cs="Arial"/>
          <w:noProof/>
          <w:szCs w:val="24"/>
        </w:rPr>
        <w:tab/>
        <w:t xml:space="preserve">Aydin A, Aktay G, Yesilada E. A guidance manual for the toxicity assessment of traditional herbal medicines. </w:t>
      </w:r>
      <w:r w:rsidRPr="00580A46">
        <w:rPr>
          <w:rFonts w:ascii="Arial" w:hAnsi="Arial" w:cs="Arial"/>
          <w:i/>
          <w:iCs/>
          <w:noProof/>
          <w:szCs w:val="24"/>
        </w:rPr>
        <w:t>Natural Product Communications</w:t>
      </w:r>
      <w:r w:rsidRPr="00580A46">
        <w:rPr>
          <w:rFonts w:ascii="Arial" w:hAnsi="Arial" w:cs="Arial"/>
          <w:noProof/>
          <w:szCs w:val="24"/>
        </w:rPr>
        <w:t xml:space="preserve"> 2016; </w:t>
      </w:r>
      <w:r w:rsidRPr="00580A46">
        <w:rPr>
          <w:rFonts w:ascii="Arial" w:hAnsi="Arial" w:cs="Arial"/>
          <w:b/>
          <w:bCs/>
          <w:noProof/>
          <w:szCs w:val="24"/>
        </w:rPr>
        <w:t>11</w:t>
      </w:r>
      <w:r w:rsidRPr="00580A46">
        <w:rPr>
          <w:rFonts w:ascii="Arial" w:hAnsi="Arial" w:cs="Arial"/>
          <w:noProof/>
          <w:szCs w:val="24"/>
        </w:rPr>
        <w:t xml:space="preserve">(11):1763–1773. DOI: </w:t>
      </w:r>
    </w:p>
    <w:p w14:paraId="323C32F3" w14:textId="398D2DE9"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2</w:t>
      </w:r>
      <w:r w:rsidR="00BF1A3B">
        <w:rPr>
          <w:rFonts w:ascii="Arial" w:hAnsi="Arial" w:cs="Arial"/>
          <w:noProof/>
          <w:szCs w:val="24"/>
        </w:rPr>
        <w:t>9</w:t>
      </w:r>
      <w:r w:rsidRPr="00580A46">
        <w:rPr>
          <w:rFonts w:ascii="Arial" w:hAnsi="Arial" w:cs="Arial"/>
          <w:noProof/>
          <w:szCs w:val="24"/>
        </w:rPr>
        <w:tab/>
        <w:t xml:space="preserve">Fabricant DS, Farnsworth NR. The Value of Plants Used in Traditional Medicine for Drug Discovery. </w:t>
      </w:r>
      <w:r w:rsidRPr="00580A46">
        <w:rPr>
          <w:rFonts w:ascii="Arial" w:hAnsi="Arial" w:cs="Arial"/>
          <w:i/>
          <w:iCs/>
          <w:noProof/>
          <w:szCs w:val="24"/>
        </w:rPr>
        <w:t>Environmental Health Perspectives</w:t>
      </w:r>
      <w:r w:rsidRPr="00580A46">
        <w:rPr>
          <w:rFonts w:ascii="Arial" w:hAnsi="Arial" w:cs="Arial"/>
          <w:noProof/>
          <w:szCs w:val="24"/>
        </w:rPr>
        <w:t xml:space="preserve"> 2001; </w:t>
      </w:r>
      <w:r w:rsidRPr="00580A46">
        <w:rPr>
          <w:rFonts w:ascii="Arial" w:hAnsi="Arial" w:cs="Arial"/>
          <w:b/>
          <w:bCs/>
          <w:noProof/>
          <w:szCs w:val="24"/>
        </w:rPr>
        <w:t>109</w:t>
      </w:r>
      <w:r w:rsidRPr="00580A46">
        <w:rPr>
          <w:rFonts w:ascii="Arial" w:hAnsi="Arial" w:cs="Arial"/>
          <w:noProof/>
          <w:szCs w:val="24"/>
        </w:rPr>
        <w:t xml:space="preserve">(October 2000):69. </w:t>
      </w:r>
    </w:p>
    <w:p w14:paraId="4A7B6C78" w14:textId="56ED08C2" w:rsidR="00FE6E26" w:rsidRPr="00580A46" w:rsidRDefault="00BF1A3B" w:rsidP="00FE6E26">
      <w:pPr>
        <w:widowControl w:val="0"/>
        <w:autoSpaceDE w:val="0"/>
        <w:autoSpaceDN w:val="0"/>
        <w:adjustRightInd w:val="0"/>
        <w:ind w:left="640" w:hanging="640"/>
        <w:rPr>
          <w:rFonts w:ascii="Arial" w:hAnsi="Arial" w:cs="Arial"/>
          <w:noProof/>
          <w:szCs w:val="24"/>
        </w:rPr>
      </w:pPr>
      <w:r>
        <w:rPr>
          <w:rFonts w:ascii="Arial" w:hAnsi="Arial" w:cs="Arial"/>
          <w:noProof/>
          <w:szCs w:val="24"/>
        </w:rPr>
        <w:t>30</w:t>
      </w:r>
      <w:r w:rsidR="00FE6E26" w:rsidRPr="00580A46">
        <w:rPr>
          <w:rFonts w:ascii="Arial" w:hAnsi="Arial" w:cs="Arial"/>
          <w:noProof/>
          <w:szCs w:val="24"/>
        </w:rPr>
        <w:tab/>
        <w:t xml:space="preserve">Che CT, Wang ZJ, Chow MSS, Lam CWK. Herb-herb combination for therapeutic enhancement and advancement: Theory, practice and future perspectives. </w:t>
      </w:r>
      <w:r w:rsidR="00FE6E26" w:rsidRPr="00580A46">
        <w:rPr>
          <w:rFonts w:ascii="Arial" w:hAnsi="Arial" w:cs="Arial"/>
          <w:i/>
          <w:iCs/>
          <w:noProof/>
          <w:szCs w:val="24"/>
        </w:rPr>
        <w:t>Molecules</w:t>
      </w:r>
      <w:r w:rsidR="00FE6E26" w:rsidRPr="00580A46">
        <w:rPr>
          <w:rFonts w:ascii="Arial" w:hAnsi="Arial" w:cs="Arial"/>
          <w:noProof/>
          <w:szCs w:val="24"/>
        </w:rPr>
        <w:t xml:space="preserve"> 2013; </w:t>
      </w:r>
      <w:r w:rsidR="00FE6E26" w:rsidRPr="00580A46">
        <w:rPr>
          <w:rFonts w:ascii="Arial" w:hAnsi="Arial" w:cs="Arial"/>
          <w:b/>
          <w:bCs/>
          <w:noProof/>
          <w:szCs w:val="24"/>
        </w:rPr>
        <w:t>18</w:t>
      </w:r>
      <w:r w:rsidR="00FE6E26" w:rsidRPr="00580A46">
        <w:rPr>
          <w:rFonts w:ascii="Arial" w:hAnsi="Arial" w:cs="Arial"/>
          <w:noProof/>
          <w:szCs w:val="24"/>
        </w:rPr>
        <w:t xml:space="preserve">(5):5125–5141. </w:t>
      </w:r>
    </w:p>
    <w:p w14:paraId="7BFD096A" w14:textId="4B6D6833" w:rsidR="00FE6E26" w:rsidRPr="00580A46" w:rsidRDefault="00BF1A3B" w:rsidP="00FE6E26">
      <w:pPr>
        <w:widowControl w:val="0"/>
        <w:autoSpaceDE w:val="0"/>
        <w:autoSpaceDN w:val="0"/>
        <w:adjustRightInd w:val="0"/>
        <w:ind w:left="640" w:hanging="640"/>
        <w:rPr>
          <w:rFonts w:ascii="Arial" w:hAnsi="Arial" w:cs="Arial"/>
          <w:noProof/>
          <w:szCs w:val="24"/>
        </w:rPr>
      </w:pPr>
      <w:r>
        <w:rPr>
          <w:rFonts w:ascii="Arial" w:hAnsi="Arial" w:cs="Arial"/>
          <w:noProof/>
          <w:szCs w:val="24"/>
        </w:rPr>
        <w:t>31</w:t>
      </w:r>
      <w:r w:rsidR="00FE6E26" w:rsidRPr="00580A46">
        <w:rPr>
          <w:rFonts w:ascii="Arial" w:hAnsi="Arial" w:cs="Arial"/>
          <w:noProof/>
          <w:szCs w:val="24"/>
        </w:rPr>
        <w:tab/>
        <w:t xml:space="preserve">Tallarida RJ, Porreca F, Cowan A. Statistical analysis of drug-drug and site-site interactions with isobolograms. </w:t>
      </w:r>
      <w:r w:rsidR="00FE6E26" w:rsidRPr="00580A46">
        <w:rPr>
          <w:rFonts w:ascii="Arial" w:hAnsi="Arial" w:cs="Arial"/>
          <w:i/>
          <w:iCs/>
          <w:noProof/>
          <w:szCs w:val="24"/>
        </w:rPr>
        <w:t>Life Sciences</w:t>
      </w:r>
      <w:r w:rsidR="00FE6E26" w:rsidRPr="00580A46">
        <w:rPr>
          <w:rFonts w:ascii="Arial" w:hAnsi="Arial" w:cs="Arial"/>
          <w:noProof/>
          <w:szCs w:val="24"/>
        </w:rPr>
        <w:t xml:space="preserve"> 1989; </w:t>
      </w:r>
      <w:r w:rsidR="00FE6E26" w:rsidRPr="00580A46">
        <w:rPr>
          <w:rFonts w:ascii="Arial" w:hAnsi="Arial" w:cs="Arial"/>
          <w:b/>
          <w:bCs/>
          <w:noProof/>
          <w:szCs w:val="24"/>
        </w:rPr>
        <w:t>45</w:t>
      </w:r>
      <w:r w:rsidR="00FE6E26" w:rsidRPr="00580A46">
        <w:rPr>
          <w:rFonts w:ascii="Arial" w:hAnsi="Arial" w:cs="Arial"/>
          <w:noProof/>
          <w:szCs w:val="24"/>
        </w:rPr>
        <w:t xml:space="preserve">(11):947–961. </w:t>
      </w:r>
    </w:p>
    <w:p w14:paraId="355F0ED6" w14:textId="418A866F"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3</w:t>
      </w:r>
      <w:r w:rsidR="00BF1A3B">
        <w:rPr>
          <w:rFonts w:ascii="Arial" w:hAnsi="Arial" w:cs="Arial"/>
          <w:noProof/>
          <w:szCs w:val="24"/>
        </w:rPr>
        <w:t>2</w:t>
      </w:r>
      <w:r w:rsidRPr="00580A46">
        <w:rPr>
          <w:rFonts w:ascii="Arial" w:hAnsi="Arial" w:cs="Arial"/>
          <w:noProof/>
          <w:szCs w:val="24"/>
        </w:rPr>
        <w:tab/>
        <w:t xml:space="preserve">Azas N, Laurencin N, Delmas F, Di Giorgio C, Gasquet M, Laget M, Timon-David P. Synergistic in vitro antimalarial activity of plant extracts used as traditional herbal remedies in Mali. </w:t>
      </w:r>
      <w:r w:rsidRPr="00580A46">
        <w:rPr>
          <w:rFonts w:ascii="Arial" w:hAnsi="Arial" w:cs="Arial"/>
          <w:i/>
          <w:iCs/>
          <w:noProof/>
          <w:szCs w:val="24"/>
        </w:rPr>
        <w:t>Parasitology Research</w:t>
      </w:r>
      <w:r w:rsidRPr="00580A46">
        <w:rPr>
          <w:rFonts w:ascii="Arial" w:hAnsi="Arial" w:cs="Arial"/>
          <w:noProof/>
          <w:szCs w:val="24"/>
        </w:rPr>
        <w:t xml:space="preserve"> 2002; </w:t>
      </w:r>
      <w:r w:rsidRPr="00580A46">
        <w:rPr>
          <w:rFonts w:ascii="Arial" w:hAnsi="Arial" w:cs="Arial"/>
          <w:b/>
          <w:bCs/>
          <w:noProof/>
          <w:szCs w:val="24"/>
        </w:rPr>
        <w:t>88</w:t>
      </w:r>
      <w:r w:rsidRPr="00580A46">
        <w:rPr>
          <w:rFonts w:ascii="Arial" w:hAnsi="Arial" w:cs="Arial"/>
          <w:noProof/>
          <w:szCs w:val="24"/>
        </w:rPr>
        <w:t xml:space="preserve">(2):165–171. </w:t>
      </w:r>
    </w:p>
    <w:p w14:paraId="1AC8EDCE" w14:textId="08AECCC5" w:rsidR="00FE6E26" w:rsidRPr="00580A46"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3</w:t>
      </w:r>
      <w:r w:rsidR="00BF1A3B">
        <w:rPr>
          <w:rFonts w:ascii="Arial" w:hAnsi="Arial" w:cs="Arial"/>
          <w:noProof/>
          <w:szCs w:val="24"/>
        </w:rPr>
        <w:t>3</w:t>
      </w:r>
      <w:r w:rsidRPr="00580A46">
        <w:rPr>
          <w:rFonts w:ascii="Arial" w:hAnsi="Arial" w:cs="Arial"/>
          <w:noProof/>
          <w:szCs w:val="24"/>
        </w:rPr>
        <w:t xml:space="preserve"> </w:t>
      </w:r>
      <w:r w:rsidRPr="00580A46">
        <w:rPr>
          <w:rFonts w:ascii="Arial" w:hAnsi="Arial" w:cs="Arial"/>
          <w:noProof/>
          <w:szCs w:val="24"/>
        </w:rPr>
        <w:tab/>
        <w:t>Rosmalena F, Amalia A, Syafitri I, Prasasty VD. Antimalarial Effect of Flamboyant (</w:t>
      </w:r>
      <w:r w:rsidR="00F466F4" w:rsidRPr="00580A46">
        <w:rPr>
          <w:rFonts w:ascii="Arial" w:hAnsi="Arial" w:cs="Arial"/>
          <w:i/>
          <w:noProof/>
          <w:szCs w:val="24"/>
        </w:rPr>
        <w:t>Delonix regia</w:t>
      </w:r>
      <w:r w:rsidRPr="00580A46">
        <w:rPr>
          <w:rFonts w:ascii="Arial" w:hAnsi="Arial" w:cs="Arial"/>
          <w:noProof/>
          <w:szCs w:val="24"/>
        </w:rPr>
        <w:t xml:space="preserve">) Bark and Papaya (Carica papaya L) Leaf Ethanolic Extracts against </w:t>
      </w:r>
      <w:r w:rsidR="00F466F4" w:rsidRPr="00580A46">
        <w:rPr>
          <w:rFonts w:ascii="Arial" w:hAnsi="Arial" w:cs="Arial"/>
          <w:i/>
          <w:noProof/>
          <w:szCs w:val="24"/>
        </w:rPr>
        <w:t>Plasmodium  berghei</w:t>
      </w:r>
      <w:r w:rsidRPr="00580A46">
        <w:rPr>
          <w:rFonts w:ascii="Arial" w:hAnsi="Arial" w:cs="Arial"/>
          <w:noProof/>
          <w:szCs w:val="24"/>
        </w:rPr>
        <w:t xml:space="preserve"> in Mice. </w:t>
      </w:r>
      <w:r w:rsidRPr="00580A46">
        <w:rPr>
          <w:rFonts w:ascii="Arial" w:hAnsi="Arial" w:cs="Arial"/>
          <w:i/>
          <w:iCs/>
          <w:noProof/>
          <w:szCs w:val="24"/>
        </w:rPr>
        <w:t>Biomedical and Pharmacology Journal</w:t>
      </w:r>
      <w:r w:rsidRPr="00580A46">
        <w:rPr>
          <w:rFonts w:ascii="Arial" w:hAnsi="Arial" w:cs="Arial"/>
          <w:noProof/>
          <w:szCs w:val="24"/>
        </w:rPr>
        <w:t xml:space="preserve"> 2017; </w:t>
      </w:r>
      <w:r w:rsidRPr="00580A46">
        <w:rPr>
          <w:rFonts w:ascii="Arial" w:hAnsi="Arial" w:cs="Arial"/>
          <w:b/>
          <w:bCs/>
          <w:noProof/>
          <w:szCs w:val="24"/>
        </w:rPr>
        <w:t>10</w:t>
      </w:r>
      <w:r w:rsidRPr="00580A46">
        <w:rPr>
          <w:rFonts w:ascii="Arial" w:hAnsi="Arial" w:cs="Arial"/>
          <w:noProof/>
          <w:szCs w:val="24"/>
        </w:rPr>
        <w:t xml:space="preserve">(3):1081–1089. </w:t>
      </w:r>
    </w:p>
    <w:p w14:paraId="160F94E0" w14:textId="77777777" w:rsidR="00E51E9B" w:rsidRDefault="00FE6E26" w:rsidP="00FE6E26">
      <w:pPr>
        <w:widowControl w:val="0"/>
        <w:autoSpaceDE w:val="0"/>
        <w:autoSpaceDN w:val="0"/>
        <w:adjustRightInd w:val="0"/>
        <w:ind w:left="640" w:hanging="640"/>
        <w:rPr>
          <w:rFonts w:ascii="Arial" w:hAnsi="Arial" w:cs="Arial"/>
          <w:noProof/>
          <w:szCs w:val="24"/>
        </w:rPr>
      </w:pPr>
      <w:r w:rsidRPr="00580A46">
        <w:rPr>
          <w:rFonts w:ascii="Arial" w:hAnsi="Arial" w:cs="Arial"/>
          <w:noProof/>
          <w:szCs w:val="24"/>
        </w:rPr>
        <w:t>3</w:t>
      </w:r>
      <w:r w:rsidR="00BF1A3B">
        <w:rPr>
          <w:rFonts w:ascii="Arial" w:hAnsi="Arial" w:cs="Arial"/>
          <w:noProof/>
          <w:szCs w:val="24"/>
        </w:rPr>
        <w:t>4</w:t>
      </w:r>
      <w:r w:rsidRPr="00580A46">
        <w:rPr>
          <w:rFonts w:ascii="Arial" w:hAnsi="Arial" w:cs="Arial"/>
          <w:noProof/>
          <w:szCs w:val="24"/>
        </w:rPr>
        <w:tab/>
        <w:t xml:space="preserve">Mogwasi R. Bio-accessibility of iron and copper from seven Kenyan anti-anaemia medicinal plants. </w:t>
      </w:r>
      <w:r w:rsidRPr="00580A46">
        <w:rPr>
          <w:rFonts w:ascii="Arial" w:hAnsi="Arial" w:cs="Arial"/>
          <w:i/>
          <w:iCs/>
          <w:noProof/>
          <w:szCs w:val="24"/>
        </w:rPr>
        <w:t>Diagnostics and Therapeutics</w:t>
      </w:r>
      <w:r w:rsidRPr="00580A46">
        <w:rPr>
          <w:rFonts w:ascii="Arial" w:hAnsi="Arial" w:cs="Arial"/>
          <w:noProof/>
          <w:szCs w:val="24"/>
        </w:rPr>
        <w:t xml:space="preserve"> 2022; </w:t>
      </w:r>
      <w:r w:rsidRPr="00580A46">
        <w:rPr>
          <w:rFonts w:ascii="Arial" w:hAnsi="Arial" w:cs="Arial"/>
          <w:b/>
          <w:bCs/>
          <w:noProof/>
          <w:szCs w:val="24"/>
        </w:rPr>
        <w:t>2</w:t>
      </w:r>
      <w:r w:rsidRPr="00580A46">
        <w:rPr>
          <w:rFonts w:ascii="Arial" w:hAnsi="Arial" w:cs="Arial"/>
          <w:noProof/>
          <w:szCs w:val="24"/>
        </w:rPr>
        <w:t xml:space="preserve">(1):1–12. </w:t>
      </w:r>
    </w:p>
    <w:p w14:paraId="2957A4F2" w14:textId="311E364E" w:rsidR="00FE6E26" w:rsidRDefault="00E51E9B" w:rsidP="00FE6E26">
      <w:pPr>
        <w:widowControl w:val="0"/>
        <w:autoSpaceDE w:val="0"/>
        <w:autoSpaceDN w:val="0"/>
        <w:adjustRightInd w:val="0"/>
        <w:ind w:left="640" w:hanging="640"/>
        <w:rPr>
          <w:rFonts w:ascii="Arial" w:hAnsi="Arial" w:cs="Arial"/>
          <w:noProof/>
          <w:szCs w:val="24"/>
        </w:rPr>
      </w:pPr>
      <w:r>
        <w:rPr>
          <w:rFonts w:ascii="Arial" w:hAnsi="Arial" w:cs="Arial"/>
          <w:noProof/>
          <w:szCs w:val="24"/>
        </w:rPr>
        <w:t xml:space="preserve">35       </w:t>
      </w:r>
      <w:r w:rsidRPr="00E51E9B">
        <w:rPr>
          <w:rFonts w:ascii="Arial" w:hAnsi="Arial" w:cs="Arial"/>
          <w:noProof/>
          <w:szCs w:val="24"/>
        </w:rPr>
        <w:t xml:space="preserve">Lowanshi A, Gulati R, Singh P, Maurya M, Dhruve D, Soni A, Soni V. Effect of Delonix regia (Gulmohar) Leaf Meal on Hematological Parameters of Labeo rohita (Rohu). Journal of Advances in Biology &amp; Biotechnology 2026; 29(1):458–466. </w:t>
      </w:r>
    </w:p>
    <w:p w14:paraId="62FF923D" w14:textId="019A139E" w:rsidR="00793C1F" w:rsidRDefault="00793C1F" w:rsidP="00FE6E26">
      <w:pPr>
        <w:widowControl w:val="0"/>
        <w:autoSpaceDE w:val="0"/>
        <w:autoSpaceDN w:val="0"/>
        <w:adjustRightInd w:val="0"/>
        <w:ind w:left="640" w:hanging="640"/>
        <w:rPr>
          <w:rFonts w:ascii="Arial" w:hAnsi="Arial" w:cs="Arial"/>
          <w:noProof/>
          <w:szCs w:val="24"/>
        </w:rPr>
      </w:pPr>
    </w:p>
    <w:p w14:paraId="0EEF45A1" w14:textId="77777777" w:rsidR="00793C1F" w:rsidRPr="00580A46" w:rsidRDefault="00793C1F" w:rsidP="00FE6E26">
      <w:pPr>
        <w:widowControl w:val="0"/>
        <w:autoSpaceDE w:val="0"/>
        <w:autoSpaceDN w:val="0"/>
        <w:adjustRightInd w:val="0"/>
        <w:ind w:left="640" w:hanging="640"/>
        <w:rPr>
          <w:rFonts w:ascii="Arial" w:hAnsi="Arial" w:cs="Arial"/>
          <w:noProof/>
          <w:szCs w:val="24"/>
        </w:rPr>
      </w:pPr>
    </w:p>
    <w:p w14:paraId="68E72297" w14:textId="712AB1ED" w:rsidR="008E5C6F" w:rsidRPr="00580A46" w:rsidRDefault="008E5C6F" w:rsidP="00793C1F">
      <w:pPr>
        <w:widowControl w:val="0"/>
        <w:autoSpaceDE w:val="0"/>
        <w:autoSpaceDN w:val="0"/>
        <w:adjustRightInd w:val="0"/>
        <w:rPr>
          <w:rFonts w:ascii="Arial" w:hAnsi="Arial" w:cs="Arial"/>
          <w:noProof/>
          <w:szCs w:val="24"/>
        </w:rPr>
      </w:pPr>
    </w:p>
    <w:p w14:paraId="4872F5FB" w14:textId="5E6171D3" w:rsidR="00FE6E26" w:rsidRPr="00580A46" w:rsidRDefault="00FE6E26" w:rsidP="00FE6E26">
      <w:pPr>
        <w:widowControl w:val="0"/>
        <w:autoSpaceDE w:val="0"/>
        <w:autoSpaceDN w:val="0"/>
        <w:adjustRightInd w:val="0"/>
        <w:ind w:left="640" w:hanging="640"/>
        <w:rPr>
          <w:rFonts w:ascii="Arial" w:hAnsi="Arial" w:cs="Arial"/>
          <w:noProof/>
        </w:rPr>
      </w:pPr>
    </w:p>
    <w:p w14:paraId="2B019D90" w14:textId="7881185A" w:rsidR="00E62C57" w:rsidRDefault="00FE6E26" w:rsidP="001C7559">
      <w:pPr>
        <w:pStyle w:val="ReferHead"/>
        <w:spacing w:after="0"/>
        <w:jc w:val="both"/>
        <w:rPr>
          <w:rFonts w:ascii="Arial" w:hAnsi="Arial" w:cs="Arial"/>
          <w:b w:val="0"/>
          <w:caps w:val="0"/>
          <w:sz w:val="20"/>
        </w:rPr>
      </w:pPr>
      <w:r w:rsidRPr="00580A46">
        <w:rPr>
          <w:rFonts w:ascii="Arial" w:hAnsi="Arial" w:cs="Arial"/>
          <w:b w:val="0"/>
          <w:caps w:val="0"/>
          <w:sz w:val="20"/>
        </w:rPr>
        <w:fldChar w:fldCharType="end"/>
      </w:r>
    </w:p>
    <w:p w14:paraId="20E78CC8" w14:textId="6E10A8A6" w:rsidR="00E62C57" w:rsidRDefault="00E62C57" w:rsidP="001C7559">
      <w:pPr>
        <w:pStyle w:val="ReferHead"/>
        <w:spacing w:after="0"/>
        <w:jc w:val="both"/>
        <w:rPr>
          <w:rFonts w:ascii="Arial" w:hAnsi="Arial" w:cs="Arial"/>
          <w:b w:val="0"/>
          <w:caps w:val="0"/>
          <w:sz w:val="20"/>
        </w:rPr>
      </w:pPr>
    </w:p>
    <w:p w14:paraId="1022D9E6" w14:textId="240E0E1E" w:rsidR="00E62C57" w:rsidRDefault="00E62C57" w:rsidP="001C7559">
      <w:pPr>
        <w:pStyle w:val="ReferHead"/>
        <w:spacing w:after="0"/>
        <w:jc w:val="both"/>
        <w:rPr>
          <w:rFonts w:ascii="Arial" w:hAnsi="Arial" w:cs="Arial"/>
          <w:b w:val="0"/>
          <w:caps w:val="0"/>
          <w:sz w:val="20"/>
        </w:rPr>
      </w:pPr>
    </w:p>
    <w:p w14:paraId="4A406C44" w14:textId="24863E9A" w:rsidR="00E62C57" w:rsidRDefault="00E62C57" w:rsidP="001C7559">
      <w:pPr>
        <w:pStyle w:val="ReferHead"/>
        <w:spacing w:after="0"/>
        <w:jc w:val="both"/>
        <w:rPr>
          <w:rFonts w:ascii="Arial" w:hAnsi="Arial" w:cs="Arial"/>
          <w:b w:val="0"/>
          <w:caps w:val="0"/>
          <w:sz w:val="20"/>
        </w:rPr>
      </w:pPr>
    </w:p>
    <w:p w14:paraId="4D1C61E0" w14:textId="77777777" w:rsidR="00E62C57" w:rsidRPr="00580A46" w:rsidRDefault="00E62C57" w:rsidP="001C7559">
      <w:pPr>
        <w:pStyle w:val="ReferHead"/>
        <w:spacing w:after="0"/>
        <w:jc w:val="both"/>
        <w:rPr>
          <w:rFonts w:ascii="Arial" w:hAnsi="Arial" w:cs="Arial"/>
          <w:b w:val="0"/>
          <w:caps w:val="0"/>
          <w:sz w:val="20"/>
        </w:rPr>
      </w:pPr>
    </w:p>
    <w:sectPr w:rsidR="00E62C57" w:rsidRPr="00580A46" w:rsidSect="00743868">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BA6A7F" w16cex:dateUtc="2026-03-18T09:14:00Z"/>
  <w16cex:commentExtensible w16cex:durableId="06A2C370" w16cex:dateUtc="2026-03-18T09:14:00Z"/>
  <w16cex:commentExtensible w16cex:durableId="60C712A2" w16cex:dateUtc="2026-03-18T09:15:00Z"/>
  <w16cex:commentExtensible w16cex:durableId="5AA80B05" w16cex:dateUtc="2026-03-18T09:16:00Z"/>
  <w16cex:commentExtensible w16cex:durableId="0FF2153F" w16cex:dateUtc="2026-03-18T09:16:00Z"/>
  <w16cex:commentExtensible w16cex:durableId="7E42BAB5" w16cex:dateUtc="2026-03-18T09:20:00Z"/>
  <w16cex:commentExtensible w16cex:durableId="49AC86C6" w16cex:dateUtc="2026-03-18T09:19:00Z"/>
  <w16cex:commentExtensible w16cex:durableId="4956E609" w16cex:dateUtc="2026-03-18T09: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664DD" w14:textId="77777777" w:rsidR="00224732" w:rsidRDefault="00224732" w:rsidP="00C37E61">
      <w:r>
        <w:separator/>
      </w:r>
    </w:p>
  </w:endnote>
  <w:endnote w:type="continuationSeparator" w:id="0">
    <w:p w14:paraId="4355B1BA" w14:textId="77777777" w:rsidR="00224732" w:rsidRDefault="0022473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0D273" w14:textId="77777777" w:rsidR="00D2641F" w:rsidRDefault="00D26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FFF28" w14:textId="77777777" w:rsidR="00D2641F" w:rsidRDefault="00D264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6E4F" w14:textId="77777777" w:rsidR="004101B1" w:rsidRDefault="004101B1">
    <w:pPr>
      <w:pStyle w:val="Footer"/>
      <w:rPr>
        <w:rFonts w:ascii="Arial" w:hAnsi="Arial" w:cs="Arial"/>
        <w:sz w:val="16"/>
      </w:rPr>
    </w:pPr>
  </w:p>
  <w:p w14:paraId="06CB9B9A" w14:textId="77777777" w:rsidR="004101B1" w:rsidRDefault="004101B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C1D20B0" w14:textId="77777777" w:rsidR="004101B1" w:rsidRDefault="004101B1">
    <w:pPr>
      <w:pStyle w:val="Footer"/>
      <w:rPr>
        <w:rFonts w:ascii="Arial" w:hAnsi="Arial" w:cs="Arial"/>
        <w:sz w:val="16"/>
      </w:rPr>
    </w:pPr>
  </w:p>
  <w:p w14:paraId="147BCD31" w14:textId="77777777" w:rsidR="004101B1" w:rsidRPr="009E048A" w:rsidRDefault="004101B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837247"/>
      <w:docPartObj>
        <w:docPartGallery w:val="Page Numbers (Bottom of Page)"/>
        <w:docPartUnique/>
      </w:docPartObj>
    </w:sdtPr>
    <w:sdtEndPr>
      <w:rPr>
        <w:noProof/>
      </w:rPr>
    </w:sdtEndPr>
    <w:sdtContent>
      <w:p w14:paraId="0CBBAF93" w14:textId="4116C9F8" w:rsidR="004101B1" w:rsidRDefault="004101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1DF77D" w14:textId="77777777" w:rsidR="004101B1" w:rsidRPr="00C37E61" w:rsidRDefault="004101B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A4444" w14:textId="77777777" w:rsidR="00224732" w:rsidRDefault="00224732" w:rsidP="00C37E61">
      <w:r>
        <w:separator/>
      </w:r>
    </w:p>
  </w:footnote>
  <w:footnote w:type="continuationSeparator" w:id="0">
    <w:p w14:paraId="12C51B0B" w14:textId="77777777" w:rsidR="00224732" w:rsidRDefault="0022473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905BB" w14:textId="0B258297" w:rsidR="00D2641F" w:rsidRDefault="00224732">
    <w:pPr>
      <w:pStyle w:val="Header"/>
    </w:pPr>
    <w:r>
      <w:rPr>
        <w:noProof/>
      </w:rPr>
      <w:pict w14:anchorId="2CD09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64563" o:spid="_x0000_s2054" type="#_x0000_t136" alt="" style="position:absolute;margin-left:0;margin-top:0;width:685.25pt;height:76.1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4A4F" w14:textId="62E214C4" w:rsidR="00D2641F" w:rsidRDefault="00224732">
    <w:pPr>
      <w:pStyle w:val="Header"/>
    </w:pPr>
    <w:r>
      <w:rPr>
        <w:noProof/>
      </w:rPr>
      <w:pict w14:anchorId="634EE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64564" o:spid="_x0000_s2053" type="#_x0000_t136" alt="" style="position:absolute;margin-left:0;margin-top:0;width:685.25pt;height:76.1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96B8B" w14:textId="6DE77908" w:rsidR="004101B1" w:rsidRPr="00296529" w:rsidRDefault="00224732" w:rsidP="00296529">
    <w:pPr>
      <w:ind w:left="2160"/>
      <w:jc w:val="center"/>
      <w:rPr>
        <w:rFonts w:ascii="Times New Roman" w:eastAsia="Calibri" w:hAnsi="Times New Roman"/>
        <w:i/>
        <w:sz w:val="18"/>
        <w:szCs w:val="22"/>
      </w:rPr>
    </w:pPr>
    <w:r>
      <w:rPr>
        <w:noProof/>
      </w:rPr>
      <w:pict w14:anchorId="6D00A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64562" o:spid="_x0000_s2052" type="#_x0000_t136" alt="" style="position:absolute;left:0;text-align:left;margin-left:0;margin-top:0;width:685.25pt;height:76.1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8BF755C" w14:textId="77777777" w:rsidR="004101B1" w:rsidRPr="00296529" w:rsidRDefault="004101B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406174E" w14:textId="77777777" w:rsidR="004101B1" w:rsidRPr="00296529" w:rsidRDefault="004101B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B8B1E2" w14:textId="77777777" w:rsidR="004101B1" w:rsidRPr="00296529" w:rsidRDefault="004101B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8D298B" w14:textId="77777777" w:rsidR="004101B1" w:rsidRDefault="004101B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7F9416" w14:textId="77777777" w:rsidR="004101B1" w:rsidRDefault="004101B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360DAA0" w14:textId="77777777" w:rsidR="004101B1" w:rsidRDefault="004101B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BD4FF" w14:textId="04D2E831" w:rsidR="00D2641F" w:rsidRDefault="00224732">
    <w:pPr>
      <w:pStyle w:val="Header"/>
    </w:pPr>
    <w:r>
      <w:rPr>
        <w:noProof/>
      </w:rPr>
      <w:pict w14:anchorId="3ACAC2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64566" o:spid="_x0000_s2051" type="#_x0000_t136" alt="" style="position:absolute;margin-left:0;margin-top:0;width:685.25pt;height:76.1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DC3D7" w14:textId="43CD9BEE" w:rsidR="00D2641F" w:rsidRDefault="00224732">
    <w:pPr>
      <w:pStyle w:val="Header"/>
    </w:pPr>
    <w:r>
      <w:rPr>
        <w:noProof/>
      </w:rPr>
      <w:pict w14:anchorId="2803FE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64567" o:spid="_x0000_s2050" type="#_x0000_t136" alt="" style="position:absolute;margin-left:0;margin-top:0;width:685.25pt;height:76.1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0DAA0" w14:textId="63EF2DAD" w:rsidR="00D2641F" w:rsidRDefault="00224732">
    <w:pPr>
      <w:pStyle w:val="Header"/>
    </w:pPr>
    <w:r>
      <w:rPr>
        <w:noProof/>
      </w:rPr>
      <w:pict w14:anchorId="31860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64565" o:spid="_x0000_s2049" type="#_x0000_t136" alt="" style="position:absolute;margin-left:0;margin-top:0;width:685.25pt;height:76.1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D0B34"/>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15563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7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55705F97"/>
    <w:multiLevelType w:val="hybridMultilevel"/>
    <w:tmpl w:val="4DDEA13C"/>
    <w:lvl w:ilvl="0" w:tplc="3BACA340">
      <w:start w:val="1"/>
      <w:numFmt w:val="decimal"/>
      <w:pStyle w:val="Head2"/>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yMjEzNzE2MDYyNbVU0lEKTi0uzszPAykwqgUA8bLu3ywAAAA="/>
  </w:docVars>
  <w:rsids>
    <w:rsidRoot w:val="00AA6219"/>
    <w:rsid w:val="0000026B"/>
    <w:rsid w:val="00000F8F"/>
    <w:rsid w:val="00030174"/>
    <w:rsid w:val="00033BCD"/>
    <w:rsid w:val="00035959"/>
    <w:rsid w:val="00040CAD"/>
    <w:rsid w:val="00044E34"/>
    <w:rsid w:val="0004579C"/>
    <w:rsid w:val="00057F1E"/>
    <w:rsid w:val="00061C2D"/>
    <w:rsid w:val="00061E65"/>
    <w:rsid w:val="00065E56"/>
    <w:rsid w:val="000A1691"/>
    <w:rsid w:val="000A365B"/>
    <w:rsid w:val="000A47FA"/>
    <w:rsid w:val="000A65D3"/>
    <w:rsid w:val="000A669B"/>
    <w:rsid w:val="000B1E33"/>
    <w:rsid w:val="000D64B9"/>
    <w:rsid w:val="000D689F"/>
    <w:rsid w:val="000E7B7B"/>
    <w:rsid w:val="000E7D62"/>
    <w:rsid w:val="00103357"/>
    <w:rsid w:val="00116B18"/>
    <w:rsid w:val="00123C9F"/>
    <w:rsid w:val="00126190"/>
    <w:rsid w:val="00130F17"/>
    <w:rsid w:val="001320BF"/>
    <w:rsid w:val="00141B1D"/>
    <w:rsid w:val="00154F3F"/>
    <w:rsid w:val="00163BC4"/>
    <w:rsid w:val="00167157"/>
    <w:rsid w:val="001853E0"/>
    <w:rsid w:val="00191062"/>
    <w:rsid w:val="00192B72"/>
    <w:rsid w:val="00194E1E"/>
    <w:rsid w:val="001A29D8"/>
    <w:rsid w:val="001A5CAA"/>
    <w:rsid w:val="001A76C0"/>
    <w:rsid w:val="001B0427"/>
    <w:rsid w:val="001C7559"/>
    <w:rsid w:val="001D3A51"/>
    <w:rsid w:val="001E10D2"/>
    <w:rsid w:val="001E25B4"/>
    <w:rsid w:val="001E44FE"/>
    <w:rsid w:val="001F4A33"/>
    <w:rsid w:val="00200595"/>
    <w:rsid w:val="00204835"/>
    <w:rsid w:val="00204AD7"/>
    <w:rsid w:val="00211D39"/>
    <w:rsid w:val="00215226"/>
    <w:rsid w:val="00224732"/>
    <w:rsid w:val="0022617D"/>
    <w:rsid w:val="00231920"/>
    <w:rsid w:val="0023195C"/>
    <w:rsid w:val="0024282C"/>
    <w:rsid w:val="002460DC"/>
    <w:rsid w:val="00250985"/>
    <w:rsid w:val="002556F6"/>
    <w:rsid w:val="00255D71"/>
    <w:rsid w:val="00281E33"/>
    <w:rsid w:val="00283105"/>
    <w:rsid w:val="002838E6"/>
    <w:rsid w:val="00284C4C"/>
    <w:rsid w:val="00287E68"/>
    <w:rsid w:val="00296529"/>
    <w:rsid w:val="002A2999"/>
    <w:rsid w:val="002B27FB"/>
    <w:rsid w:val="002B685A"/>
    <w:rsid w:val="002C57D2"/>
    <w:rsid w:val="002C7433"/>
    <w:rsid w:val="002C7BF8"/>
    <w:rsid w:val="002D4699"/>
    <w:rsid w:val="002D7219"/>
    <w:rsid w:val="002E0D56"/>
    <w:rsid w:val="002E4420"/>
    <w:rsid w:val="00315186"/>
    <w:rsid w:val="00317E29"/>
    <w:rsid w:val="0032612C"/>
    <w:rsid w:val="0032775C"/>
    <w:rsid w:val="00332936"/>
    <w:rsid w:val="0033343E"/>
    <w:rsid w:val="003512C2"/>
    <w:rsid w:val="00360A36"/>
    <w:rsid w:val="00371FB6"/>
    <w:rsid w:val="003755FF"/>
    <w:rsid w:val="003763C1"/>
    <w:rsid w:val="00376BBE"/>
    <w:rsid w:val="003834AE"/>
    <w:rsid w:val="00391B4E"/>
    <w:rsid w:val="0039224F"/>
    <w:rsid w:val="00396A71"/>
    <w:rsid w:val="00396DCF"/>
    <w:rsid w:val="003A316B"/>
    <w:rsid w:val="003A43A4"/>
    <w:rsid w:val="003A7E18"/>
    <w:rsid w:val="003B35F7"/>
    <w:rsid w:val="003B719A"/>
    <w:rsid w:val="003B79C0"/>
    <w:rsid w:val="003C4C86"/>
    <w:rsid w:val="003C6258"/>
    <w:rsid w:val="003E2904"/>
    <w:rsid w:val="00401927"/>
    <w:rsid w:val="00405567"/>
    <w:rsid w:val="004101B1"/>
    <w:rsid w:val="0041027F"/>
    <w:rsid w:val="00412475"/>
    <w:rsid w:val="00413E8F"/>
    <w:rsid w:val="004173F7"/>
    <w:rsid w:val="00423789"/>
    <w:rsid w:val="00424D86"/>
    <w:rsid w:val="00432225"/>
    <w:rsid w:val="00440F43"/>
    <w:rsid w:val="00441B6F"/>
    <w:rsid w:val="004456B3"/>
    <w:rsid w:val="00446221"/>
    <w:rsid w:val="00450E62"/>
    <w:rsid w:val="004539DB"/>
    <w:rsid w:val="004615E0"/>
    <w:rsid w:val="004655C7"/>
    <w:rsid w:val="00471A80"/>
    <w:rsid w:val="00486A37"/>
    <w:rsid w:val="004A4F71"/>
    <w:rsid w:val="004C6F26"/>
    <w:rsid w:val="004D305E"/>
    <w:rsid w:val="004D4277"/>
    <w:rsid w:val="004E0089"/>
    <w:rsid w:val="004F1F81"/>
    <w:rsid w:val="00502516"/>
    <w:rsid w:val="00505F06"/>
    <w:rsid w:val="00506828"/>
    <w:rsid w:val="00511975"/>
    <w:rsid w:val="0051771F"/>
    <w:rsid w:val="00523E40"/>
    <w:rsid w:val="00527D16"/>
    <w:rsid w:val="0053056E"/>
    <w:rsid w:val="0053325A"/>
    <w:rsid w:val="00536F7A"/>
    <w:rsid w:val="005419DE"/>
    <w:rsid w:val="00541D57"/>
    <w:rsid w:val="00551317"/>
    <w:rsid w:val="00554FDA"/>
    <w:rsid w:val="00570D20"/>
    <w:rsid w:val="00571385"/>
    <w:rsid w:val="00575B2A"/>
    <w:rsid w:val="00577BF8"/>
    <w:rsid w:val="00580A46"/>
    <w:rsid w:val="005A10E2"/>
    <w:rsid w:val="005A3616"/>
    <w:rsid w:val="005A3B5E"/>
    <w:rsid w:val="005B72A1"/>
    <w:rsid w:val="005C33EC"/>
    <w:rsid w:val="005C784C"/>
    <w:rsid w:val="005D0C1C"/>
    <w:rsid w:val="005D17F6"/>
    <w:rsid w:val="005D2595"/>
    <w:rsid w:val="005E27A3"/>
    <w:rsid w:val="005E5539"/>
    <w:rsid w:val="00602BF5"/>
    <w:rsid w:val="00617FDD"/>
    <w:rsid w:val="00633614"/>
    <w:rsid w:val="00633F68"/>
    <w:rsid w:val="00636EB2"/>
    <w:rsid w:val="006375B8"/>
    <w:rsid w:val="00655499"/>
    <w:rsid w:val="006574EB"/>
    <w:rsid w:val="0066510A"/>
    <w:rsid w:val="00665671"/>
    <w:rsid w:val="00673F9F"/>
    <w:rsid w:val="00675D36"/>
    <w:rsid w:val="00686953"/>
    <w:rsid w:val="00686A31"/>
    <w:rsid w:val="00687DEA"/>
    <w:rsid w:val="00687E67"/>
    <w:rsid w:val="00695BB2"/>
    <w:rsid w:val="006967F7"/>
    <w:rsid w:val="006A250C"/>
    <w:rsid w:val="006B0CA1"/>
    <w:rsid w:val="006B21D3"/>
    <w:rsid w:val="006B5194"/>
    <w:rsid w:val="006B57D0"/>
    <w:rsid w:val="006C0835"/>
    <w:rsid w:val="006D30FF"/>
    <w:rsid w:val="006D5DE3"/>
    <w:rsid w:val="006D6940"/>
    <w:rsid w:val="006E0EEC"/>
    <w:rsid w:val="006F11EC"/>
    <w:rsid w:val="0070082C"/>
    <w:rsid w:val="00705A34"/>
    <w:rsid w:val="00706660"/>
    <w:rsid w:val="0071520D"/>
    <w:rsid w:val="007332E7"/>
    <w:rsid w:val="007369E6"/>
    <w:rsid w:val="00741695"/>
    <w:rsid w:val="00743868"/>
    <w:rsid w:val="007450CA"/>
    <w:rsid w:val="00746E59"/>
    <w:rsid w:val="00754C9A"/>
    <w:rsid w:val="0075599A"/>
    <w:rsid w:val="00761D52"/>
    <w:rsid w:val="00762183"/>
    <w:rsid w:val="00762766"/>
    <w:rsid w:val="007712E6"/>
    <w:rsid w:val="0077749E"/>
    <w:rsid w:val="00790ADA"/>
    <w:rsid w:val="00793C1F"/>
    <w:rsid w:val="00797E38"/>
    <w:rsid w:val="007A033D"/>
    <w:rsid w:val="007A0855"/>
    <w:rsid w:val="007B73B0"/>
    <w:rsid w:val="007C6352"/>
    <w:rsid w:val="007D2288"/>
    <w:rsid w:val="007D3558"/>
    <w:rsid w:val="007E088F"/>
    <w:rsid w:val="007F7B32"/>
    <w:rsid w:val="00804BC2"/>
    <w:rsid w:val="00810823"/>
    <w:rsid w:val="0081431A"/>
    <w:rsid w:val="0082301F"/>
    <w:rsid w:val="0082667A"/>
    <w:rsid w:val="0083216F"/>
    <w:rsid w:val="00832853"/>
    <w:rsid w:val="00860000"/>
    <w:rsid w:val="00861861"/>
    <w:rsid w:val="00863BD3"/>
    <w:rsid w:val="008641ED"/>
    <w:rsid w:val="00866D66"/>
    <w:rsid w:val="008671C6"/>
    <w:rsid w:val="00872181"/>
    <w:rsid w:val="0087306B"/>
    <w:rsid w:val="00875803"/>
    <w:rsid w:val="008872A2"/>
    <w:rsid w:val="008B459E"/>
    <w:rsid w:val="008C3C39"/>
    <w:rsid w:val="008C5EFB"/>
    <w:rsid w:val="008C6568"/>
    <w:rsid w:val="008C7888"/>
    <w:rsid w:val="008D21F3"/>
    <w:rsid w:val="008D5456"/>
    <w:rsid w:val="008E13AE"/>
    <w:rsid w:val="008E1506"/>
    <w:rsid w:val="008E3CCE"/>
    <w:rsid w:val="008E5C6F"/>
    <w:rsid w:val="008E6683"/>
    <w:rsid w:val="008E710C"/>
    <w:rsid w:val="008F69D6"/>
    <w:rsid w:val="00902823"/>
    <w:rsid w:val="00915CA6"/>
    <w:rsid w:val="00927834"/>
    <w:rsid w:val="00931B52"/>
    <w:rsid w:val="00932ED6"/>
    <w:rsid w:val="00934551"/>
    <w:rsid w:val="00937755"/>
    <w:rsid w:val="0094002A"/>
    <w:rsid w:val="009500A6"/>
    <w:rsid w:val="00953E79"/>
    <w:rsid w:val="00956E35"/>
    <w:rsid w:val="00957C18"/>
    <w:rsid w:val="009659BA"/>
    <w:rsid w:val="009751B3"/>
    <w:rsid w:val="00983040"/>
    <w:rsid w:val="009B0B62"/>
    <w:rsid w:val="009B3FB9"/>
    <w:rsid w:val="009C1965"/>
    <w:rsid w:val="009C2465"/>
    <w:rsid w:val="009C3CFF"/>
    <w:rsid w:val="009C7E36"/>
    <w:rsid w:val="009D35A0"/>
    <w:rsid w:val="009D7EB7"/>
    <w:rsid w:val="009E048A"/>
    <w:rsid w:val="009E08E9"/>
    <w:rsid w:val="009E0A84"/>
    <w:rsid w:val="009E3DB9"/>
    <w:rsid w:val="009E6E35"/>
    <w:rsid w:val="009F0EDA"/>
    <w:rsid w:val="009F7627"/>
    <w:rsid w:val="00A03B96"/>
    <w:rsid w:val="00A0402C"/>
    <w:rsid w:val="00A05B19"/>
    <w:rsid w:val="00A1134E"/>
    <w:rsid w:val="00A16163"/>
    <w:rsid w:val="00A24E7E"/>
    <w:rsid w:val="00A258C3"/>
    <w:rsid w:val="00A347C0"/>
    <w:rsid w:val="00A4588C"/>
    <w:rsid w:val="00A47356"/>
    <w:rsid w:val="00A479E6"/>
    <w:rsid w:val="00A51431"/>
    <w:rsid w:val="00A539AD"/>
    <w:rsid w:val="00A56684"/>
    <w:rsid w:val="00A622C8"/>
    <w:rsid w:val="00A64FE7"/>
    <w:rsid w:val="00A94063"/>
    <w:rsid w:val="00A94BB2"/>
    <w:rsid w:val="00AA6219"/>
    <w:rsid w:val="00AA74E0"/>
    <w:rsid w:val="00AB07C2"/>
    <w:rsid w:val="00AB703F"/>
    <w:rsid w:val="00AC6BB8"/>
    <w:rsid w:val="00AD05F8"/>
    <w:rsid w:val="00AE008F"/>
    <w:rsid w:val="00AF4118"/>
    <w:rsid w:val="00AF4DF9"/>
    <w:rsid w:val="00B01FCD"/>
    <w:rsid w:val="00B1776C"/>
    <w:rsid w:val="00B30DB8"/>
    <w:rsid w:val="00B33E1F"/>
    <w:rsid w:val="00B4529D"/>
    <w:rsid w:val="00B50B6C"/>
    <w:rsid w:val="00B52583"/>
    <w:rsid w:val="00B52896"/>
    <w:rsid w:val="00B95236"/>
    <w:rsid w:val="00B956C8"/>
    <w:rsid w:val="00B96BD9"/>
    <w:rsid w:val="00BA1B01"/>
    <w:rsid w:val="00BA21BA"/>
    <w:rsid w:val="00BA2641"/>
    <w:rsid w:val="00BB37AA"/>
    <w:rsid w:val="00BC53A0"/>
    <w:rsid w:val="00BC59BF"/>
    <w:rsid w:val="00BD614A"/>
    <w:rsid w:val="00BE17C7"/>
    <w:rsid w:val="00BE62AD"/>
    <w:rsid w:val="00BF121F"/>
    <w:rsid w:val="00BF1A3B"/>
    <w:rsid w:val="00BF1F80"/>
    <w:rsid w:val="00C166EF"/>
    <w:rsid w:val="00C17EB0"/>
    <w:rsid w:val="00C2191E"/>
    <w:rsid w:val="00C231B4"/>
    <w:rsid w:val="00C27F5F"/>
    <w:rsid w:val="00C30A0F"/>
    <w:rsid w:val="00C37E61"/>
    <w:rsid w:val="00C67C6B"/>
    <w:rsid w:val="00C70F1B"/>
    <w:rsid w:val="00C71A47"/>
    <w:rsid w:val="00C7464C"/>
    <w:rsid w:val="00C7498F"/>
    <w:rsid w:val="00C85588"/>
    <w:rsid w:val="00C93E17"/>
    <w:rsid w:val="00C93EC0"/>
    <w:rsid w:val="00C97F16"/>
    <w:rsid w:val="00CA2A3B"/>
    <w:rsid w:val="00CB4C80"/>
    <w:rsid w:val="00CB4FE1"/>
    <w:rsid w:val="00CD31EA"/>
    <w:rsid w:val="00CD6755"/>
    <w:rsid w:val="00CD6856"/>
    <w:rsid w:val="00CE0089"/>
    <w:rsid w:val="00CE552B"/>
    <w:rsid w:val="00CE793C"/>
    <w:rsid w:val="00CF193C"/>
    <w:rsid w:val="00CF381D"/>
    <w:rsid w:val="00D00C8B"/>
    <w:rsid w:val="00D1653D"/>
    <w:rsid w:val="00D173F1"/>
    <w:rsid w:val="00D2641F"/>
    <w:rsid w:val="00D30E22"/>
    <w:rsid w:val="00D330CF"/>
    <w:rsid w:val="00D3319E"/>
    <w:rsid w:val="00D47B0D"/>
    <w:rsid w:val="00D55E14"/>
    <w:rsid w:val="00D60D1F"/>
    <w:rsid w:val="00D733F1"/>
    <w:rsid w:val="00D7378A"/>
    <w:rsid w:val="00D74CB0"/>
    <w:rsid w:val="00D81032"/>
    <w:rsid w:val="00D8295D"/>
    <w:rsid w:val="00D940A2"/>
    <w:rsid w:val="00DB0A3C"/>
    <w:rsid w:val="00DC244A"/>
    <w:rsid w:val="00DC2A65"/>
    <w:rsid w:val="00DD68F0"/>
    <w:rsid w:val="00DE15F0"/>
    <w:rsid w:val="00DE2BF3"/>
    <w:rsid w:val="00DE5663"/>
    <w:rsid w:val="00DE7226"/>
    <w:rsid w:val="00DE78AA"/>
    <w:rsid w:val="00DF1F9D"/>
    <w:rsid w:val="00E0137A"/>
    <w:rsid w:val="00E053D0"/>
    <w:rsid w:val="00E15994"/>
    <w:rsid w:val="00E3114E"/>
    <w:rsid w:val="00E31A70"/>
    <w:rsid w:val="00E35B02"/>
    <w:rsid w:val="00E35D6B"/>
    <w:rsid w:val="00E51E9B"/>
    <w:rsid w:val="00E605C8"/>
    <w:rsid w:val="00E62C57"/>
    <w:rsid w:val="00E66496"/>
    <w:rsid w:val="00E66B35"/>
    <w:rsid w:val="00E66E10"/>
    <w:rsid w:val="00E769F6"/>
    <w:rsid w:val="00E8407C"/>
    <w:rsid w:val="00E84F3C"/>
    <w:rsid w:val="00E85F94"/>
    <w:rsid w:val="00EA012C"/>
    <w:rsid w:val="00EA2645"/>
    <w:rsid w:val="00EB3BB2"/>
    <w:rsid w:val="00EC6A55"/>
    <w:rsid w:val="00ED0288"/>
    <w:rsid w:val="00ED6C81"/>
    <w:rsid w:val="00EE3ABE"/>
    <w:rsid w:val="00EE52CB"/>
    <w:rsid w:val="00EF581D"/>
    <w:rsid w:val="00EF7FD8"/>
    <w:rsid w:val="00F06F59"/>
    <w:rsid w:val="00F11499"/>
    <w:rsid w:val="00F14C34"/>
    <w:rsid w:val="00F17988"/>
    <w:rsid w:val="00F205D0"/>
    <w:rsid w:val="00F307BC"/>
    <w:rsid w:val="00F321A6"/>
    <w:rsid w:val="00F424A2"/>
    <w:rsid w:val="00F45B6E"/>
    <w:rsid w:val="00F466F4"/>
    <w:rsid w:val="00F469F0"/>
    <w:rsid w:val="00F50785"/>
    <w:rsid w:val="00F53273"/>
    <w:rsid w:val="00F755E4"/>
    <w:rsid w:val="00F77D02"/>
    <w:rsid w:val="00F81C49"/>
    <w:rsid w:val="00FA2FC7"/>
    <w:rsid w:val="00FA5637"/>
    <w:rsid w:val="00FB3A86"/>
    <w:rsid w:val="00FD36C8"/>
    <w:rsid w:val="00FE6E26"/>
    <w:rsid w:val="00FF38AA"/>
    <w:rsid w:val="00FF3D4A"/>
    <w:rsid w:val="00FF524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2EE32E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797E38"/>
    <w:pPr>
      <w:keepNext/>
      <w:numPr>
        <w:numId w:val="4"/>
      </w:numPr>
      <w:spacing w:before="240" w:after="60"/>
      <w:outlineLvl w:val="0"/>
    </w:pPr>
    <w:rPr>
      <w:rFonts w:ascii="Arial" w:hAnsi="Arial"/>
      <w:b/>
      <w:kern w:val="28"/>
      <w:sz w:val="22"/>
    </w:rPr>
  </w:style>
  <w:style w:type="paragraph" w:styleId="Heading2">
    <w:name w:val="heading 2"/>
    <w:basedOn w:val="Normal"/>
    <w:next w:val="Normal"/>
    <w:link w:val="Heading2Char"/>
    <w:semiHidden/>
    <w:unhideWhenUsed/>
    <w:qFormat/>
    <w:rsid w:val="009E0A84"/>
    <w:pPr>
      <w:keepNext/>
      <w:keepLines/>
      <w:numPr>
        <w:ilvl w:val="1"/>
        <w:numId w:val="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35959"/>
    <w:pPr>
      <w:keepNext/>
      <w:keepLines/>
      <w:numPr>
        <w:ilvl w:val="2"/>
        <w:numId w:val="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035959"/>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035959"/>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035959"/>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035959"/>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035959"/>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5959"/>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B956C8"/>
    <w:pPr>
      <w:keepNext/>
      <w:numPr>
        <w:numId w:val="2"/>
      </w:numPr>
      <w:spacing w:after="240"/>
    </w:pPr>
    <w:rPr>
      <w:rFonts w:ascii="Arial" w:hAnsi="Arial"/>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FootnoteReference">
    <w:name w:val="footnote reference"/>
    <w:rsid w:val="004456B3"/>
    <w:rPr>
      <w:vertAlign w:val="superscript"/>
    </w:rPr>
  </w:style>
  <w:style w:type="character" w:customStyle="1" w:styleId="Heading2Char">
    <w:name w:val="Heading 2 Char"/>
    <w:basedOn w:val="DefaultParagraphFont"/>
    <w:link w:val="Heading2"/>
    <w:semiHidden/>
    <w:rsid w:val="009E0A84"/>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autoRedefine/>
    <w:unhideWhenUsed/>
    <w:qFormat/>
    <w:rsid w:val="00E605C8"/>
    <w:pPr>
      <w:keepNext/>
      <w:spacing w:line="360" w:lineRule="auto"/>
      <w:jc w:val="both"/>
    </w:pPr>
    <w:rPr>
      <w:rFonts w:ascii="Arial" w:hAnsi="Arial" w:cs="Arial"/>
      <w:b/>
      <w:bCs/>
    </w:rPr>
  </w:style>
  <w:style w:type="character" w:customStyle="1" w:styleId="Heading3Char">
    <w:name w:val="Heading 3 Char"/>
    <w:basedOn w:val="DefaultParagraphFont"/>
    <w:link w:val="Heading3"/>
    <w:semiHidden/>
    <w:rsid w:val="0003595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03595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03595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03595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03595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03595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35959"/>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94002A"/>
    <w:pPr>
      <w:spacing w:before="100" w:beforeAutospacing="1" w:after="100" w:afterAutospacing="1" w:line="480" w:lineRule="auto"/>
    </w:pPr>
    <w:rPr>
      <w:rFonts w:ascii="Times New Roman" w:hAnsi="Times New Roman"/>
      <w:b/>
      <w:bCs/>
      <w:color w:val="000000"/>
      <w:sz w:val="24"/>
      <w:szCs w:val="28"/>
      <w:lang w:val="en-GB"/>
      <w14:ligatures w14:val="standardContextual"/>
    </w:rPr>
  </w:style>
  <w:style w:type="character" w:customStyle="1" w:styleId="FooterChar">
    <w:name w:val="Footer Char"/>
    <w:basedOn w:val="DefaultParagraphFont"/>
    <w:link w:val="Footer"/>
    <w:uiPriority w:val="99"/>
    <w:rsid w:val="00194E1E"/>
    <w:rPr>
      <w:rFonts w:ascii="Helvetica" w:hAnsi="Helvetica"/>
    </w:rPr>
  </w:style>
  <w:style w:type="paragraph" w:styleId="CommentSubject">
    <w:name w:val="annotation subject"/>
    <w:basedOn w:val="CommentText"/>
    <w:next w:val="CommentText"/>
    <w:link w:val="CommentSubjectChar"/>
    <w:semiHidden/>
    <w:unhideWhenUsed/>
    <w:rsid w:val="008D5456"/>
    <w:rPr>
      <w:rFonts w:ascii="Helvetica" w:hAnsi="Helvetica"/>
      <w:b/>
      <w:bCs/>
      <w:lang w:val="en-US" w:eastAsia="en-US"/>
    </w:rPr>
  </w:style>
  <w:style w:type="character" w:customStyle="1" w:styleId="CommentSubjectChar">
    <w:name w:val="Comment Subject Char"/>
    <w:basedOn w:val="CommentTextChar"/>
    <w:link w:val="CommentSubject"/>
    <w:semiHidden/>
    <w:rsid w:val="008D5456"/>
    <w:rPr>
      <w:rFonts w:ascii="Helvetica" w:hAnsi="Helvetica"/>
      <w:b/>
      <w:bCs/>
      <w:lang w:val="nb-NO" w:eastAsia="nb-NO"/>
    </w:rPr>
  </w:style>
  <w:style w:type="character" w:styleId="Strong">
    <w:name w:val="Strong"/>
    <w:basedOn w:val="DefaultParagraphFont"/>
    <w:uiPriority w:val="22"/>
    <w:qFormat/>
    <w:rsid w:val="00DC24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292859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F399F-F717-46B3-A167-1362D8D92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4</TotalTime>
  <Pages>8</Pages>
  <Words>4818</Words>
  <Characters>27468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32222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9</cp:revision>
  <cp:lastPrinted>1999-07-06T11:00:00Z</cp:lastPrinted>
  <dcterms:created xsi:type="dcterms:W3CDTF">2026-03-21T15:17:00Z</dcterms:created>
  <dcterms:modified xsi:type="dcterms:W3CDTF">2026-03-27T06:51:00Z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ca4cfec6-07fa-4bf9-a82e-20a9733e3bc1</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APSA Style Manual revised 2018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ASA Style Guide 6th/7th edition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18th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(author-date/Harvard)</vt:lpwstr>
  </property>
  <property fmtid="{D5CDD505-2E9C-101B-9397-08002B2CF9AE}" pid="13" name="Mendeley Recent Style Id 5_1">
    <vt:lpwstr>http://www.zotero.org/styles/ieee</vt:lpwstr>
  </property>
  <property fmtid="{D5CDD505-2E9C-101B-9397-08002B2CF9AE}" pid="14" name="Mendeley Recent Style Name 5_1">
    <vt:lpwstr>IEEE Reference Guide version 11.29.2023</vt:lpwstr>
  </property>
  <property fmtid="{D5CDD505-2E9C-101B-9397-08002B2CF9AE}" pid="15" name="Mendeley Recent Style Id 6_1">
    <vt:lpwstr>http://www.zotero.org/styles/international-journal-of-circuit-theory-and-applications</vt:lpwstr>
  </property>
  <property fmtid="{D5CDD505-2E9C-101B-9397-08002B2CF9AE}" pid="16" name="Mendeley Recent Style Name 6_1">
    <vt:lpwstr>International Journal of Circuit Theory and Applications</vt:lpwstr>
  </property>
  <property fmtid="{D5CDD505-2E9C-101B-9397-08002B2CF9AE}" pid="17" name="Mendeley Recent Style Id 7_1">
    <vt:lpwstr>http://www.zotero.org/styles/modern-language-association</vt:lpwstr>
  </property>
  <property fmtid="{D5CDD505-2E9C-101B-9397-08002B2CF9AE}" pid="18" name="Mendeley Recent Style Name 7_1">
    <vt:lpwstr>MLA Handbook 9th edition (in-text citations)</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3239c2cd-7f90-301b-ac1e-94afb6422ecc</vt:lpwstr>
  </property>
  <property fmtid="{D5CDD505-2E9C-101B-9397-08002B2CF9AE}" pid="25" name="Mendeley Citation Style_1">
    <vt:lpwstr>http://www.zotero.org/styles/international-journal-of-circuit-theory-and-applications</vt:lpwstr>
  </property>
</Properties>
</file>