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F16D" w14:textId="77777777" w:rsidR="00095960" w:rsidRDefault="00095960">
      <w:pPr>
        <w:widowControl w:val="0"/>
        <w:pBdr>
          <w:top w:val="nil"/>
          <w:left w:val="nil"/>
          <w:bottom w:val="nil"/>
          <w:right w:val="nil"/>
          <w:between w:val="nil"/>
        </w:pBdr>
        <w:spacing w:line="276" w:lineRule="auto"/>
      </w:pPr>
    </w:p>
    <w:p w14:paraId="46A87B33" w14:textId="579011D1" w:rsidR="00095960" w:rsidRDefault="006F00F6">
      <w:pPr>
        <w:pBdr>
          <w:top w:val="nil"/>
          <w:left w:val="nil"/>
          <w:bottom w:val="nil"/>
          <w:right w:val="nil"/>
          <w:between w:val="nil"/>
        </w:pBdr>
        <w:jc w:val="both"/>
        <w:rPr>
          <w:rFonts w:eastAsia="Calibri"/>
          <w:color w:val="000000"/>
          <w:lang w:val="en-US"/>
        </w:rPr>
      </w:pPr>
      <w:proofErr w:type="spellStart"/>
      <w:r w:rsidRPr="006F00F6">
        <w:rPr>
          <w:rFonts w:eastAsia="Calibri"/>
          <w:b/>
          <w:i/>
          <w:iCs/>
          <w:color w:val="000000"/>
          <w:lang w:val="en-US"/>
        </w:rPr>
        <w:t>Pfaffia</w:t>
      </w:r>
      <w:proofErr w:type="spellEnd"/>
      <w:r w:rsidRPr="006F00F6">
        <w:rPr>
          <w:rFonts w:eastAsia="Calibri"/>
          <w:b/>
          <w:i/>
          <w:iCs/>
          <w:color w:val="000000"/>
          <w:lang w:val="en-US"/>
        </w:rPr>
        <w:t xml:space="preserve"> glomerata</w:t>
      </w:r>
      <w:r w:rsidRPr="006F00F6">
        <w:rPr>
          <w:rFonts w:eastAsia="Calibri"/>
          <w:b/>
          <w:color w:val="000000"/>
          <w:lang w:val="en-US"/>
        </w:rPr>
        <w:t xml:space="preserve"> (Brazilian Ginseng) as a Green Source for Metallic Nanoparticle Synthesis: A Review</w:t>
      </w:r>
    </w:p>
    <w:p w14:paraId="6304F0A6" w14:textId="77777777" w:rsidR="00386E02" w:rsidRDefault="00386E02">
      <w:pPr>
        <w:pBdr>
          <w:top w:val="nil"/>
          <w:left w:val="nil"/>
          <w:bottom w:val="nil"/>
          <w:right w:val="nil"/>
          <w:between w:val="nil"/>
        </w:pBdr>
        <w:jc w:val="both"/>
        <w:rPr>
          <w:rFonts w:ascii="Calibri" w:eastAsia="Calibri" w:hAnsi="Calibri" w:cs="Calibri"/>
          <w:b/>
          <w:color w:val="000000"/>
          <w:sz w:val="6"/>
          <w:szCs w:val="6"/>
        </w:rPr>
      </w:pPr>
    </w:p>
    <w:p w14:paraId="6086F7C3" w14:textId="77777777" w:rsidR="00095960" w:rsidRPr="00D61ABA" w:rsidRDefault="00095960">
      <w:pPr>
        <w:rPr>
          <w:rFonts w:ascii="Calibri" w:eastAsia="Calibri" w:hAnsi="Calibri" w:cs="Calibri"/>
          <w:b/>
        </w:rPr>
      </w:pPr>
    </w:p>
    <w:p w14:paraId="34DBDD6A" w14:textId="4FEF4B74" w:rsidR="00095960" w:rsidRPr="00D61ABA" w:rsidRDefault="008A4894">
      <w:pPr>
        <w:rPr>
          <w:rFonts w:eastAsia="Calibri"/>
          <w:b/>
        </w:rPr>
      </w:pPr>
      <w:r w:rsidRPr="00D61ABA">
        <w:rPr>
          <w:rFonts w:eastAsia="Calibri"/>
          <w:b/>
        </w:rPr>
        <w:t>A</w:t>
      </w:r>
      <w:r w:rsidR="00D61ABA">
        <w:rPr>
          <w:rFonts w:eastAsia="Calibri"/>
          <w:b/>
        </w:rPr>
        <w:t>bstract</w:t>
      </w:r>
    </w:p>
    <w:p w14:paraId="5DB2EC62" w14:textId="77777777" w:rsidR="00D61ABA" w:rsidRPr="00D61ABA" w:rsidRDefault="00D61ABA">
      <w:pPr>
        <w:rPr>
          <w:rFonts w:eastAsia="Calibri"/>
          <w:b/>
        </w:rPr>
        <w:sectPr w:rsidR="00D61ABA" w:rsidRPr="00D61ABA">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539" w:footer="539" w:gutter="0"/>
          <w:pgNumType w:start="1"/>
          <w:cols w:space="720"/>
        </w:sectPr>
      </w:pPr>
    </w:p>
    <w:p w14:paraId="71CA02B9" w14:textId="207497AE" w:rsidR="00554395" w:rsidRPr="00D61ABA" w:rsidRDefault="00554395" w:rsidP="00554395">
      <w:pPr>
        <w:pBdr>
          <w:top w:val="nil"/>
          <w:left w:val="nil"/>
          <w:bottom w:val="nil"/>
          <w:right w:val="nil"/>
          <w:between w:val="nil"/>
        </w:pBdr>
        <w:jc w:val="both"/>
        <w:rPr>
          <w:rFonts w:eastAsia="Calibri"/>
          <w:color w:val="000000"/>
          <w:sz w:val="20"/>
          <w:szCs w:val="20"/>
          <w:lang w:val="en-US"/>
        </w:rPr>
      </w:pPr>
    </w:p>
    <w:p w14:paraId="6DD75D87" w14:textId="21A98E35" w:rsidR="00095960" w:rsidRPr="00D61ABA" w:rsidRDefault="00344C23" w:rsidP="00344C23">
      <w:pPr>
        <w:pBdr>
          <w:top w:val="nil"/>
          <w:left w:val="nil"/>
          <w:bottom w:val="nil"/>
          <w:right w:val="nil"/>
          <w:between w:val="nil"/>
        </w:pBdr>
        <w:ind w:firstLine="720"/>
        <w:jc w:val="both"/>
        <w:rPr>
          <w:rFonts w:eastAsia="Calibri"/>
          <w:color w:val="000000"/>
          <w:sz w:val="20"/>
          <w:szCs w:val="20"/>
          <w:lang w:val="en-US"/>
        </w:rPr>
        <w:sectPr w:rsidR="00095960" w:rsidRPr="00D61ABA" w:rsidSect="00D61ABA">
          <w:type w:val="continuous"/>
          <w:pgSz w:w="11906" w:h="16838"/>
          <w:pgMar w:top="1418" w:right="1191" w:bottom="1418" w:left="1191" w:header="426" w:footer="709" w:gutter="0"/>
          <w:cols w:space="282"/>
        </w:sectPr>
      </w:pPr>
      <w:r w:rsidRPr="00344C23">
        <w:rPr>
          <w:rFonts w:eastAsia="Calibri"/>
          <w:color w:val="000000"/>
          <w:sz w:val="20"/>
          <w:szCs w:val="20"/>
          <w:lang w:val="en-US"/>
        </w:rPr>
        <w:t xml:space="preserve">The synthesis of metallic nanoparticles using plant extracts has attracted significant interest in the scientific community due to their unique properties, which can be applied across various fields, including health, agronomy, and food. </w:t>
      </w:r>
      <w:proofErr w:type="spellStart"/>
      <w:r w:rsidRPr="00344C23">
        <w:rPr>
          <w:rFonts w:eastAsia="Calibri"/>
          <w:color w:val="000000"/>
          <w:sz w:val="20"/>
          <w:szCs w:val="20"/>
          <w:lang w:val="en-US"/>
        </w:rPr>
        <w:t>Bioreduction</w:t>
      </w:r>
      <w:proofErr w:type="spellEnd"/>
      <w:r w:rsidRPr="00344C23">
        <w:rPr>
          <w:rFonts w:eastAsia="Calibri"/>
          <w:color w:val="000000"/>
          <w:sz w:val="20"/>
          <w:szCs w:val="20"/>
          <w:lang w:val="en-US"/>
        </w:rPr>
        <w:t xml:space="preserve">, or green synthesis, can be performed using plant extracts containing alkaloids, phenolic compounds, and terpenoids, which are responsible for reducing metal ions. However, the antimicrobial activity of nanoparticles is not yet fully understood; metal‑based nanoparticles, especially silver and gold, act through oxidative stress, ion release, and membrane damage rather than a single universal mechanism. </w:t>
      </w:r>
      <w:proofErr w:type="spellStart"/>
      <w:r w:rsidR="00EC29B6" w:rsidRPr="00EC29B6">
        <w:rPr>
          <w:rFonts w:eastAsia="Calibri"/>
          <w:i/>
          <w:iCs/>
          <w:color w:val="000000"/>
          <w:sz w:val="20"/>
          <w:szCs w:val="20"/>
          <w:lang w:val="en-US"/>
        </w:rPr>
        <w:t>Pfaffia</w:t>
      </w:r>
      <w:proofErr w:type="spellEnd"/>
      <w:r w:rsidR="00EC29B6" w:rsidRPr="00EC29B6">
        <w:rPr>
          <w:rFonts w:eastAsia="Calibri"/>
          <w:i/>
          <w:iCs/>
          <w:color w:val="000000"/>
          <w:sz w:val="20"/>
          <w:szCs w:val="20"/>
          <w:lang w:val="en-US"/>
        </w:rPr>
        <w:t xml:space="preserve"> glomerata</w:t>
      </w:r>
      <w:r w:rsidR="00EC29B6" w:rsidRPr="00EC29B6">
        <w:rPr>
          <w:rFonts w:eastAsia="Calibri"/>
          <w:color w:val="000000"/>
          <w:sz w:val="20"/>
          <w:szCs w:val="20"/>
          <w:lang w:val="en-US"/>
        </w:rPr>
        <w:t xml:space="preserve"> contains distinctive bioactive compounds, such as β-ecdysone and phenolic constituents, which suggest a strong potential for use in nanoparticle synthesis; however, this application has not yet been experimentally demonstrated in the literature</w:t>
      </w:r>
      <w:r w:rsidR="00EC29B6">
        <w:rPr>
          <w:rFonts w:eastAsia="Calibri"/>
          <w:i/>
          <w:iCs/>
          <w:color w:val="000000"/>
          <w:sz w:val="20"/>
          <w:szCs w:val="20"/>
          <w:lang w:val="en-US"/>
        </w:rPr>
        <w:t xml:space="preserve">. </w:t>
      </w:r>
      <w:r w:rsidRPr="00344C23">
        <w:rPr>
          <w:rFonts w:eastAsia="Calibri"/>
          <w:color w:val="000000"/>
          <w:sz w:val="20"/>
          <w:szCs w:val="20"/>
          <w:lang w:val="en-US"/>
        </w:rPr>
        <w:t xml:space="preserve">This study aimed to conduct a literature review on "nanoparticles," "green synthesis," "plants ginseng," and "antimicrobial" in major scientific databases in a recent literature (2013-2025). The results of the reviewed studies demonstrated the use of Panax ginseng, Siberian ginseng, and red and black ginseng in the synthesis of silver and gold nanoparticles, with potential applications as antimicrobials and anticancer agents. In conclusion, it is essential to conduct further research on the studied plant species, particularly those belonging to the </w:t>
      </w:r>
      <w:proofErr w:type="spellStart"/>
      <w:r w:rsidRPr="004041F5">
        <w:rPr>
          <w:rFonts w:eastAsia="Calibri"/>
          <w:i/>
          <w:iCs/>
          <w:color w:val="000000"/>
          <w:sz w:val="20"/>
          <w:szCs w:val="20"/>
          <w:lang w:val="en-US"/>
        </w:rPr>
        <w:t>Amaranthaceae</w:t>
      </w:r>
      <w:proofErr w:type="spellEnd"/>
      <w:r w:rsidRPr="00344C23">
        <w:rPr>
          <w:rFonts w:eastAsia="Calibri"/>
          <w:color w:val="000000"/>
          <w:sz w:val="20"/>
          <w:szCs w:val="20"/>
          <w:lang w:val="en-US"/>
        </w:rPr>
        <w:t xml:space="preserve"> family, to deepen our understanding of the mechanisms and reducing agents involved in the green synthesis of silver and gold nanoparticles.</w:t>
      </w:r>
    </w:p>
    <w:p w14:paraId="7A2BFAA7" w14:textId="77777777" w:rsidR="00095960" w:rsidRPr="00DD3E84" w:rsidRDefault="00095960">
      <w:pPr>
        <w:pBdr>
          <w:top w:val="nil"/>
          <w:left w:val="nil"/>
          <w:bottom w:val="nil"/>
          <w:right w:val="nil"/>
          <w:between w:val="nil"/>
        </w:pBdr>
        <w:jc w:val="both"/>
        <w:rPr>
          <w:rFonts w:ascii="Calibri" w:eastAsia="Calibri" w:hAnsi="Calibri" w:cs="Calibri"/>
          <w:b/>
          <w:color w:val="000000"/>
          <w:sz w:val="10"/>
          <w:szCs w:val="10"/>
          <w:lang w:val="en-US"/>
        </w:rPr>
      </w:pPr>
    </w:p>
    <w:p w14:paraId="043BC731" w14:textId="77777777" w:rsidR="00095960" w:rsidRPr="00DD3E84" w:rsidRDefault="00095960">
      <w:pPr>
        <w:pBdr>
          <w:top w:val="nil"/>
          <w:left w:val="nil"/>
          <w:bottom w:val="nil"/>
          <w:right w:val="nil"/>
          <w:between w:val="nil"/>
        </w:pBdr>
        <w:jc w:val="both"/>
        <w:rPr>
          <w:rFonts w:ascii="Calibri" w:eastAsia="Calibri" w:hAnsi="Calibri" w:cs="Calibri"/>
          <w:b/>
          <w:color w:val="000000"/>
          <w:sz w:val="10"/>
          <w:szCs w:val="10"/>
          <w:lang w:val="en-US"/>
        </w:rPr>
      </w:pPr>
    </w:p>
    <w:tbl>
      <w:tblPr>
        <w:tblStyle w:val="28"/>
        <w:tblW w:w="9498"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9498"/>
      </w:tblGrid>
      <w:tr w:rsidR="006474C7" w:rsidRPr="00DD3E84" w14:paraId="5868B8A3" w14:textId="77777777" w:rsidTr="006474C7">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il"/>
              <w:left w:val="nil"/>
              <w:bottom w:val="nil"/>
              <w:right w:val="nil"/>
            </w:tcBorders>
            <w:shd w:val="clear" w:color="auto" w:fill="FFFFFF"/>
            <w:vAlign w:val="center"/>
          </w:tcPr>
          <w:p w14:paraId="04555349" w14:textId="3DAC21E2" w:rsidR="00095960" w:rsidRPr="00B8577A" w:rsidRDefault="008A4894" w:rsidP="00EF009C">
            <w:pPr>
              <w:pBdr>
                <w:top w:val="nil"/>
                <w:left w:val="nil"/>
                <w:bottom w:val="nil"/>
                <w:right w:val="nil"/>
                <w:between w:val="nil"/>
              </w:pBdr>
              <w:spacing w:before="120" w:after="120"/>
              <w:jc w:val="both"/>
              <w:rPr>
                <w:rFonts w:ascii="Times New Roman" w:hAnsi="Times New Roman" w:cs="Times New Roman"/>
                <w:color w:val="000000"/>
                <w:sz w:val="20"/>
                <w:szCs w:val="20"/>
                <w:lang w:val="en-US"/>
              </w:rPr>
            </w:pPr>
            <w:r w:rsidRPr="00B8577A">
              <w:rPr>
                <w:rFonts w:ascii="Times New Roman" w:hAnsi="Times New Roman" w:cs="Times New Roman"/>
                <w:b w:val="0"/>
                <w:color w:val="000000"/>
                <w:sz w:val="20"/>
                <w:szCs w:val="20"/>
                <w:lang w:val="en-US"/>
              </w:rPr>
              <w:t>K</w:t>
            </w:r>
            <w:r w:rsidR="00B8577A">
              <w:rPr>
                <w:rFonts w:ascii="Times New Roman" w:hAnsi="Times New Roman" w:cs="Times New Roman"/>
                <w:b w:val="0"/>
                <w:color w:val="000000"/>
                <w:sz w:val="20"/>
                <w:szCs w:val="20"/>
                <w:lang w:val="en-US"/>
              </w:rPr>
              <w:t>eywords</w:t>
            </w:r>
            <w:r w:rsidRPr="00B8577A">
              <w:rPr>
                <w:rFonts w:ascii="Times New Roman" w:hAnsi="Times New Roman" w:cs="Times New Roman"/>
                <w:b w:val="0"/>
                <w:color w:val="000000"/>
                <w:sz w:val="20"/>
                <w:szCs w:val="20"/>
                <w:lang w:val="en-US"/>
              </w:rPr>
              <w:t xml:space="preserve">: </w:t>
            </w:r>
            <w:r w:rsidR="00E274DC">
              <w:rPr>
                <w:rFonts w:ascii="Times New Roman" w:hAnsi="Times New Roman" w:cs="Times New Roman"/>
                <w:b w:val="0"/>
                <w:color w:val="000000"/>
                <w:sz w:val="20"/>
                <w:szCs w:val="20"/>
                <w:lang w:val="en-US"/>
              </w:rPr>
              <w:t>P</w:t>
            </w:r>
            <w:r w:rsidR="00EF009C" w:rsidRPr="00B8577A">
              <w:rPr>
                <w:rFonts w:ascii="Times New Roman" w:hAnsi="Times New Roman" w:cs="Times New Roman"/>
                <w:b w:val="0"/>
                <w:color w:val="000000"/>
                <w:sz w:val="20"/>
                <w:szCs w:val="20"/>
                <w:lang w:val="en-US"/>
              </w:rPr>
              <w:t xml:space="preserve">lant extracts, </w:t>
            </w:r>
            <w:r w:rsidR="00E274DC">
              <w:rPr>
                <w:rFonts w:ascii="Times New Roman" w:hAnsi="Times New Roman" w:cs="Times New Roman"/>
                <w:b w:val="0"/>
                <w:color w:val="000000"/>
                <w:sz w:val="20"/>
                <w:szCs w:val="20"/>
                <w:lang w:val="en-US"/>
              </w:rPr>
              <w:t>S</w:t>
            </w:r>
            <w:r w:rsidR="00EF009C" w:rsidRPr="00B8577A">
              <w:rPr>
                <w:rFonts w:ascii="Times New Roman" w:hAnsi="Times New Roman" w:cs="Times New Roman"/>
                <w:b w:val="0"/>
                <w:color w:val="000000"/>
                <w:sz w:val="20"/>
                <w:szCs w:val="20"/>
                <w:lang w:val="en-US"/>
              </w:rPr>
              <w:t xml:space="preserve">ustainability, </w:t>
            </w:r>
            <w:r w:rsidR="00E274DC">
              <w:rPr>
                <w:rFonts w:ascii="Times New Roman" w:hAnsi="Times New Roman" w:cs="Times New Roman"/>
                <w:b w:val="0"/>
                <w:color w:val="000000"/>
                <w:sz w:val="20"/>
                <w:szCs w:val="20"/>
                <w:lang w:val="en-US"/>
              </w:rPr>
              <w:t>B</w:t>
            </w:r>
            <w:r w:rsidR="00EF009C" w:rsidRPr="00B8577A">
              <w:rPr>
                <w:rFonts w:ascii="Times New Roman" w:hAnsi="Times New Roman" w:cs="Times New Roman"/>
                <w:b w:val="0"/>
                <w:color w:val="000000"/>
                <w:sz w:val="20"/>
                <w:szCs w:val="20"/>
                <w:lang w:val="en-US"/>
              </w:rPr>
              <w:t>act</w:t>
            </w:r>
            <w:r w:rsidR="00E274DC">
              <w:rPr>
                <w:rFonts w:ascii="Times New Roman" w:hAnsi="Times New Roman" w:cs="Times New Roman"/>
                <w:b w:val="0"/>
                <w:color w:val="000000"/>
                <w:sz w:val="20"/>
                <w:szCs w:val="20"/>
                <w:lang w:val="en-US"/>
              </w:rPr>
              <w:t>e</w:t>
            </w:r>
            <w:r w:rsidR="00EF009C" w:rsidRPr="00B8577A">
              <w:rPr>
                <w:rFonts w:ascii="Times New Roman" w:hAnsi="Times New Roman" w:cs="Times New Roman"/>
                <w:b w:val="0"/>
                <w:color w:val="000000"/>
                <w:sz w:val="20"/>
                <w:szCs w:val="20"/>
                <w:lang w:val="en-US"/>
              </w:rPr>
              <w:t xml:space="preserve">ria, </w:t>
            </w:r>
            <w:r w:rsidR="00E274DC">
              <w:rPr>
                <w:rFonts w:ascii="Times New Roman" w:hAnsi="Times New Roman" w:cs="Times New Roman"/>
                <w:b w:val="0"/>
                <w:color w:val="000000"/>
                <w:sz w:val="20"/>
                <w:szCs w:val="20"/>
                <w:lang w:val="en-US"/>
              </w:rPr>
              <w:t>G</w:t>
            </w:r>
            <w:r w:rsidR="00EF009C" w:rsidRPr="00B8577A">
              <w:rPr>
                <w:rFonts w:ascii="Times New Roman" w:hAnsi="Times New Roman" w:cs="Times New Roman"/>
                <w:b w:val="0"/>
                <w:color w:val="000000"/>
                <w:sz w:val="20"/>
                <w:szCs w:val="20"/>
                <w:lang w:val="en-US"/>
              </w:rPr>
              <w:t xml:space="preserve">reen chemistry, </w:t>
            </w:r>
            <w:r w:rsidR="00E274DC">
              <w:rPr>
                <w:rFonts w:ascii="Times New Roman" w:hAnsi="Times New Roman" w:cs="Times New Roman"/>
                <w:b w:val="0"/>
                <w:color w:val="000000"/>
                <w:sz w:val="20"/>
                <w:szCs w:val="20"/>
                <w:lang w:val="en-US"/>
              </w:rPr>
              <w:t>G</w:t>
            </w:r>
            <w:r w:rsidR="00EF009C" w:rsidRPr="00B8577A">
              <w:rPr>
                <w:rFonts w:ascii="Times New Roman" w:hAnsi="Times New Roman" w:cs="Times New Roman"/>
                <w:b w:val="0"/>
                <w:color w:val="000000"/>
                <w:sz w:val="20"/>
                <w:szCs w:val="20"/>
                <w:lang w:val="en-US"/>
              </w:rPr>
              <w:t xml:space="preserve">inseng </w:t>
            </w:r>
            <w:proofErr w:type="spellStart"/>
            <w:r w:rsidR="00EF009C" w:rsidRPr="00B8577A">
              <w:rPr>
                <w:rFonts w:ascii="Times New Roman" w:hAnsi="Times New Roman" w:cs="Times New Roman"/>
                <w:b w:val="0"/>
                <w:color w:val="000000"/>
                <w:sz w:val="20"/>
                <w:szCs w:val="20"/>
                <w:lang w:val="en-US"/>
              </w:rPr>
              <w:t>brasileiro</w:t>
            </w:r>
            <w:proofErr w:type="spellEnd"/>
            <w:r w:rsidR="00EF009C" w:rsidRPr="00B8577A">
              <w:rPr>
                <w:rFonts w:ascii="Times New Roman" w:hAnsi="Times New Roman" w:cs="Times New Roman"/>
                <w:b w:val="0"/>
                <w:color w:val="000000"/>
                <w:sz w:val="20"/>
                <w:szCs w:val="20"/>
                <w:lang w:val="en-US"/>
              </w:rPr>
              <w:t>.</w:t>
            </w:r>
          </w:p>
        </w:tc>
      </w:tr>
    </w:tbl>
    <w:p w14:paraId="19E71F01" w14:textId="77777777" w:rsidR="00095960" w:rsidRDefault="00095960">
      <w:pPr>
        <w:pBdr>
          <w:top w:val="nil"/>
          <w:left w:val="nil"/>
          <w:bottom w:val="nil"/>
          <w:right w:val="nil"/>
          <w:between w:val="nil"/>
        </w:pBdr>
        <w:jc w:val="both"/>
        <w:rPr>
          <w:rFonts w:ascii="Calibri" w:eastAsia="Calibri" w:hAnsi="Calibri" w:cs="Calibri"/>
          <w:b/>
          <w:color w:val="000000"/>
          <w:sz w:val="10"/>
          <w:szCs w:val="10"/>
        </w:rPr>
      </w:pPr>
    </w:p>
    <w:p w14:paraId="529D254E" w14:textId="77777777" w:rsidR="00095960" w:rsidRDefault="00095960">
      <w:pPr>
        <w:pBdr>
          <w:top w:val="nil"/>
          <w:left w:val="nil"/>
          <w:bottom w:val="nil"/>
          <w:right w:val="nil"/>
          <w:between w:val="nil"/>
        </w:pBdr>
        <w:jc w:val="both"/>
        <w:rPr>
          <w:rFonts w:ascii="Calibri" w:eastAsia="Calibri" w:hAnsi="Calibri" w:cs="Calibri"/>
          <w:b/>
          <w:color w:val="000000"/>
          <w:sz w:val="10"/>
          <w:szCs w:val="10"/>
        </w:rPr>
      </w:pPr>
    </w:p>
    <w:p w14:paraId="7FAB2ADC" w14:textId="77777777" w:rsidR="00095960" w:rsidRDefault="00095960">
      <w:pPr>
        <w:pBdr>
          <w:top w:val="nil"/>
          <w:left w:val="nil"/>
          <w:bottom w:val="nil"/>
          <w:right w:val="nil"/>
          <w:between w:val="nil"/>
        </w:pBdr>
        <w:jc w:val="both"/>
        <w:rPr>
          <w:rFonts w:ascii="Calibri" w:eastAsia="Calibri" w:hAnsi="Calibri" w:cs="Calibri"/>
          <w:color w:val="000000"/>
          <w:sz w:val="20"/>
          <w:szCs w:val="20"/>
        </w:rPr>
      </w:pPr>
    </w:p>
    <w:p w14:paraId="64982BA9" w14:textId="53CF0540" w:rsidR="00706862" w:rsidRPr="00B8577A" w:rsidRDefault="00D61ABA" w:rsidP="00706862">
      <w:pPr>
        <w:spacing w:before="240" w:after="240" w:line="360" w:lineRule="auto"/>
        <w:jc w:val="both"/>
        <w:rPr>
          <w:sz w:val="20"/>
          <w:szCs w:val="20"/>
          <w:lang w:val="en-US"/>
        </w:rPr>
      </w:pPr>
      <w:r w:rsidRPr="00B8577A">
        <w:rPr>
          <w:b/>
          <w:sz w:val="20"/>
          <w:szCs w:val="20"/>
          <w:lang w:val="en-US"/>
        </w:rPr>
        <w:t>1 Introduction</w:t>
      </w:r>
    </w:p>
    <w:p w14:paraId="7AAD80B2" w14:textId="77777777" w:rsidR="00730E64" w:rsidRDefault="00344C23" w:rsidP="00730E64">
      <w:pPr>
        <w:spacing w:before="240" w:after="240" w:line="276" w:lineRule="auto"/>
        <w:ind w:firstLine="700"/>
        <w:jc w:val="both"/>
        <w:rPr>
          <w:sz w:val="20"/>
          <w:szCs w:val="20"/>
          <w:lang w:val="en-US"/>
        </w:rPr>
      </w:pPr>
      <w:r w:rsidRPr="00344C23">
        <w:rPr>
          <w:sz w:val="20"/>
          <w:szCs w:val="20"/>
          <w:lang w:val="en-US"/>
        </w:rPr>
        <w:t xml:space="preserve">Excessive and prolonged antibiotic use induces microbial resistance, leading to community infections and affecting a wide range of human pathogens. This has contributed to the emergence of drug-resistant bacteria, sometimes rendering commercial antibiotics ineffective. An alternative would be the use of natural products, such as medicinal plants, plant extracts, and essential oils, which contain bioactive compounds. These substances have been studied for their ability to inhibit the growth or kill microbial agents. This scenario highlights the need for continuous exploration of discoveries and scientific studies in the chemical and medicinal fields. The field of nanotechnology has been gaining prominence across various fields of knowledge due to its unique physicochemical properties (distinct from those of their macroscopic counterparts) and surface interaction mechanisms. In this context, metallic nanoparticles, which are small metal aggregates at the nanoscale, hold significant potential for applications in environmental, agricultural, health, and food-related fields (Saravanan et al., 2021; </w:t>
      </w:r>
      <w:proofErr w:type="spellStart"/>
      <w:r w:rsidRPr="00344C23">
        <w:rPr>
          <w:sz w:val="20"/>
          <w:szCs w:val="20"/>
          <w:lang w:val="en-US"/>
        </w:rPr>
        <w:t>Abisharani</w:t>
      </w:r>
      <w:proofErr w:type="spellEnd"/>
      <w:r w:rsidRPr="00344C23">
        <w:rPr>
          <w:sz w:val="20"/>
          <w:szCs w:val="20"/>
          <w:lang w:val="en-US"/>
        </w:rPr>
        <w:t xml:space="preserve"> et al., 2019; Wongyai et al., 2020; Kalita, Baruah, 2019).</w:t>
      </w:r>
    </w:p>
    <w:p w14:paraId="69A48A54" w14:textId="10C91293" w:rsidR="00157670" w:rsidRDefault="00157670" w:rsidP="00730E64">
      <w:pPr>
        <w:spacing w:before="240" w:after="240" w:line="276" w:lineRule="auto"/>
        <w:ind w:firstLine="700"/>
        <w:jc w:val="both"/>
        <w:rPr>
          <w:sz w:val="20"/>
          <w:szCs w:val="20"/>
          <w:lang w:val="en-US"/>
        </w:rPr>
      </w:pPr>
      <w:r w:rsidRPr="00157670">
        <w:rPr>
          <w:sz w:val="20"/>
          <w:szCs w:val="20"/>
          <w:lang w:val="en-US"/>
        </w:rPr>
        <w:t>Over the years, various methods have been studied for producing metallic nanoparticles via physical, chemical, and photochemical means (</w:t>
      </w:r>
      <w:proofErr w:type="spellStart"/>
      <w:r w:rsidRPr="00157670">
        <w:rPr>
          <w:sz w:val="20"/>
          <w:szCs w:val="20"/>
          <w:lang w:val="en-US"/>
        </w:rPr>
        <w:t>Yagoob</w:t>
      </w:r>
      <w:proofErr w:type="spellEnd"/>
      <w:r w:rsidRPr="00157670">
        <w:rPr>
          <w:sz w:val="20"/>
          <w:szCs w:val="20"/>
          <w:lang w:val="en-US"/>
        </w:rPr>
        <w:t xml:space="preserve"> et al., 2020). However, most available techniques are costly and environmentally harmful. Green synthesis offers significant production advantages over traditional methods (Baláž et al., 2021). This approach uses renewable materials like plants, fungi, algae, and bacteria as reducing or stabilizing agents, avoiding toxic substances and reducing waste. Within this context, ginseng (among the 11 known species) supports the immune system, acts as an antioxidant, and serves other functional purposes (Wang et al., 2020)</w:t>
      </w:r>
      <w:r w:rsidR="00730E64">
        <w:rPr>
          <w:sz w:val="20"/>
          <w:szCs w:val="20"/>
          <w:lang w:val="en-US"/>
        </w:rPr>
        <w:t>.</w:t>
      </w:r>
    </w:p>
    <w:p w14:paraId="5B54E503" w14:textId="7EFE49C4" w:rsidR="00706862" w:rsidRPr="00B8577A" w:rsidRDefault="00157670" w:rsidP="00706862">
      <w:pPr>
        <w:pBdr>
          <w:top w:val="nil"/>
          <w:left w:val="nil"/>
          <w:bottom w:val="nil"/>
          <w:right w:val="nil"/>
          <w:between w:val="nil"/>
        </w:pBdr>
        <w:ind w:firstLine="708"/>
        <w:jc w:val="both"/>
        <w:rPr>
          <w:sz w:val="20"/>
          <w:szCs w:val="20"/>
          <w:lang w:val="en-US"/>
        </w:rPr>
      </w:pPr>
      <w:r w:rsidRPr="00157670">
        <w:rPr>
          <w:sz w:val="20"/>
          <w:szCs w:val="20"/>
          <w:lang w:val="en-US"/>
        </w:rPr>
        <w:t>The objective of this work is to conduct a literature review on sustainable methods for the green synthesis of metallic nanoparticles. The focus is specifically on gold (AuNPs) and silver (</w:t>
      </w:r>
      <w:proofErr w:type="spellStart"/>
      <w:r w:rsidRPr="00157670">
        <w:rPr>
          <w:sz w:val="20"/>
          <w:szCs w:val="20"/>
          <w:lang w:val="en-US"/>
        </w:rPr>
        <w:t>AgNPs</w:t>
      </w:r>
      <w:proofErr w:type="spellEnd"/>
      <w:r w:rsidRPr="00157670">
        <w:rPr>
          <w:sz w:val="20"/>
          <w:szCs w:val="20"/>
          <w:lang w:val="en-US"/>
        </w:rPr>
        <w:t>), using extracts from ginseng species (</w:t>
      </w:r>
      <w:r w:rsidRPr="00730E64">
        <w:rPr>
          <w:i/>
          <w:iCs/>
          <w:sz w:val="20"/>
          <w:szCs w:val="20"/>
          <w:lang w:val="en-US"/>
        </w:rPr>
        <w:t>Panax</w:t>
      </w:r>
      <w:r w:rsidRPr="00157670">
        <w:rPr>
          <w:sz w:val="20"/>
          <w:szCs w:val="20"/>
          <w:lang w:val="en-US"/>
        </w:rPr>
        <w:t xml:space="preserve"> spp. and related plants). This review aims to map synthesis protocols and characterize reduction and stabilization mechanisms mediated by bioactive compounds. It will also evaluate the influence of extraction conditions and concentrations on nanoparticle formation and properties. Finally, the review will discuss potential applications of these green NPs in biomedicine, agriculture, and environmental remediation, while highlighting advantages over traditional chemical methods.</w:t>
      </w:r>
    </w:p>
    <w:p w14:paraId="62E2826D" w14:textId="77777777" w:rsidR="00706862" w:rsidRPr="00B8577A" w:rsidRDefault="00706862" w:rsidP="00706862">
      <w:pPr>
        <w:pBdr>
          <w:top w:val="nil"/>
          <w:left w:val="nil"/>
          <w:bottom w:val="nil"/>
          <w:right w:val="nil"/>
          <w:between w:val="nil"/>
        </w:pBdr>
        <w:ind w:firstLine="708"/>
        <w:jc w:val="both"/>
        <w:rPr>
          <w:rFonts w:eastAsia="Calibri"/>
          <w:color w:val="000000"/>
          <w:sz w:val="20"/>
          <w:szCs w:val="20"/>
          <w:lang w:val="en-US"/>
        </w:rPr>
      </w:pPr>
    </w:p>
    <w:p w14:paraId="26B27461" w14:textId="77777777" w:rsidR="00D14391" w:rsidRPr="00B8577A" w:rsidRDefault="008A4894" w:rsidP="00D14391">
      <w:pPr>
        <w:pBdr>
          <w:top w:val="nil"/>
          <w:left w:val="nil"/>
          <w:bottom w:val="nil"/>
          <w:right w:val="nil"/>
          <w:between w:val="nil"/>
        </w:pBdr>
        <w:ind w:firstLine="708"/>
        <w:jc w:val="both"/>
        <w:rPr>
          <w:rFonts w:eastAsia="Calibri"/>
          <w:b/>
          <w:color w:val="000000"/>
          <w:sz w:val="20"/>
          <w:szCs w:val="20"/>
          <w:lang w:val="en-US"/>
        </w:rPr>
      </w:pPr>
      <w:r w:rsidRPr="00B8577A">
        <w:rPr>
          <w:rFonts w:eastAsia="Calibri"/>
          <w:b/>
          <w:color w:val="000000"/>
          <w:sz w:val="20"/>
          <w:szCs w:val="20"/>
          <w:lang w:val="en-US"/>
        </w:rPr>
        <w:t xml:space="preserve">2. </w:t>
      </w:r>
      <w:r w:rsidR="004E41A3" w:rsidRPr="00B8577A">
        <w:rPr>
          <w:rFonts w:eastAsia="Calibri"/>
          <w:b/>
          <w:color w:val="000000"/>
          <w:sz w:val="20"/>
          <w:szCs w:val="20"/>
          <w:lang w:val="en-US"/>
        </w:rPr>
        <w:t>State of the art</w:t>
      </w:r>
    </w:p>
    <w:p w14:paraId="27276C7B" w14:textId="77777777" w:rsidR="00D14391" w:rsidRDefault="008A4894" w:rsidP="00D14391">
      <w:pPr>
        <w:pBdr>
          <w:top w:val="nil"/>
          <w:left w:val="nil"/>
          <w:bottom w:val="nil"/>
          <w:right w:val="nil"/>
          <w:between w:val="nil"/>
        </w:pBdr>
        <w:ind w:firstLine="708"/>
        <w:jc w:val="both"/>
        <w:rPr>
          <w:rFonts w:eastAsia="Calibri"/>
          <w:b/>
          <w:color w:val="000000"/>
          <w:sz w:val="20"/>
          <w:szCs w:val="20"/>
          <w:lang w:val="en-US"/>
        </w:rPr>
      </w:pPr>
      <w:r w:rsidRPr="00B8577A">
        <w:rPr>
          <w:rFonts w:eastAsia="Calibri"/>
          <w:b/>
          <w:color w:val="000000"/>
          <w:sz w:val="20"/>
          <w:szCs w:val="20"/>
          <w:lang w:val="en-US"/>
        </w:rPr>
        <w:t>2.2 Ginseng</w:t>
      </w:r>
    </w:p>
    <w:p w14:paraId="7F12A58A" w14:textId="77777777" w:rsidR="007F2494" w:rsidRPr="00B8577A" w:rsidRDefault="007F2494" w:rsidP="00D14391">
      <w:pPr>
        <w:pBdr>
          <w:top w:val="nil"/>
          <w:left w:val="nil"/>
          <w:bottom w:val="nil"/>
          <w:right w:val="nil"/>
          <w:between w:val="nil"/>
        </w:pBdr>
        <w:ind w:firstLine="708"/>
        <w:jc w:val="both"/>
        <w:rPr>
          <w:rFonts w:eastAsia="Calibri"/>
          <w:b/>
          <w:color w:val="000000"/>
          <w:sz w:val="20"/>
          <w:szCs w:val="20"/>
          <w:lang w:val="en-US"/>
        </w:rPr>
      </w:pPr>
    </w:p>
    <w:p w14:paraId="02DE8865" w14:textId="07BE4F42" w:rsidR="00E30B0F" w:rsidRDefault="007F2494" w:rsidP="000A5A4A">
      <w:pPr>
        <w:pBdr>
          <w:top w:val="nil"/>
          <w:left w:val="nil"/>
          <w:bottom w:val="nil"/>
          <w:right w:val="nil"/>
          <w:between w:val="nil"/>
        </w:pBdr>
        <w:spacing w:line="276" w:lineRule="auto"/>
        <w:ind w:firstLine="708"/>
        <w:jc w:val="both"/>
        <w:rPr>
          <w:rFonts w:eastAsia="Calibri"/>
          <w:color w:val="000000"/>
          <w:sz w:val="20"/>
          <w:szCs w:val="20"/>
          <w:lang w:val="en-US"/>
        </w:rPr>
      </w:pPr>
      <w:r w:rsidRPr="007F2494">
        <w:rPr>
          <w:rFonts w:eastAsia="Calibri"/>
          <w:color w:val="000000"/>
          <w:sz w:val="20"/>
          <w:szCs w:val="20"/>
          <w:lang w:val="en-US"/>
        </w:rPr>
        <w:t xml:space="preserve">There are several species of ginseng found worldwide. These species are of medicinal interest, particularly in Asian countries such as China and Japan. The main species include: a) Panax ginseng, known as Korean ginseng, found in China and Korea; b) </w:t>
      </w:r>
      <w:r w:rsidRPr="00BB0995">
        <w:rPr>
          <w:rFonts w:eastAsia="Calibri"/>
          <w:i/>
          <w:iCs/>
          <w:color w:val="000000"/>
          <w:sz w:val="20"/>
          <w:szCs w:val="20"/>
          <w:lang w:val="en-US"/>
        </w:rPr>
        <w:t>Panax japonicus</w:t>
      </w:r>
      <w:r w:rsidRPr="007F2494">
        <w:rPr>
          <w:rFonts w:eastAsia="Calibri"/>
          <w:color w:val="000000"/>
          <w:sz w:val="20"/>
          <w:szCs w:val="20"/>
          <w:lang w:val="en-US"/>
        </w:rPr>
        <w:t xml:space="preserve"> (Mohsin et al., 2020), known as Japanese ginseng, found in Japan and China; c) </w:t>
      </w:r>
      <w:r w:rsidRPr="00BB0995">
        <w:rPr>
          <w:rFonts w:eastAsia="Calibri"/>
          <w:i/>
          <w:iCs/>
          <w:color w:val="000000"/>
          <w:sz w:val="20"/>
          <w:szCs w:val="20"/>
          <w:lang w:val="en-US"/>
        </w:rPr>
        <w:t xml:space="preserve">Panax </w:t>
      </w:r>
      <w:proofErr w:type="spellStart"/>
      <w:r w:rsidRPr="00BB0995">
        <w:rPr>
          <w:rFonts w:eastAsia="Calibri"/>
          <w:i/>
          <w:iCs/>
          <w:color w:val="000000"/>
          <w:sz w:val="20"/>
          <w:szCs w:val="20"/>
          <w:lang w:val="en-US"/>
        </w:rPr>
        <w:t>quinquefolius</w:t>
      </w:r>
      <w:proofErr w:type="spellEnd"/>
      <w:r w:rsidRPr="007F2494">
        <w:rPr>
          <w:rFonts w:eastAsia="Calibri"/>
          <w:color w:val="000000"/>
          <w:sz w:val="20"/>
          <w:szCs w:val="20"/>
          <w:lang w:val="en-US"/>
        </w:rPr>
        <w:t xml:space="preserve">, or American ginseng, found in the United States and Canada; d) </w:t>
      </w:r>
      <w:proofErr w:type="spellStart"/>
      <w:r w:rsidRPr="00BB0995">
        <w:rPr>
          <w:rFonts w:eastAsia="Calibri"/>
          <w:i/>
          <w:iCs/>
          <w:color w:val="000000"/>
          <w:sz w:val="20"/>
          <w:szCs w:val="20"/>
          <w:lang w:val="en-US"/>
        </w:rPr>
        <w:t>Eleutherococcus</w:t>
      </w:r>
      <w:proofErr w:type="spellEnd"/>
      <w:r w:rsidRPr="00BB0995">
        <w:rPr>
          <w:rFonts w:eastAsia="Calibri"/>
          <w:i/>
          <w:iCs/>
          <w:color w:val="000000"/>
          <w:sz w:val="20"/>
          <w:szCs w:val="20"/>
          <w:lang w:val="en-US"/>
        </w:rPr>
        <w:t xml:space="preserve"> </w:t>
      </w:r>
      <w:proofErr w:type="spellStart"/>
      <w:r w:rsidRPr="00BB0995">
        <w:rPr>
          <w:rFonts w:eastAsia="Calibri"/>
          <w:i/>
          <w:iCs/>
          <w:color w:val="000000"/>
          <w:sz w:val="20"/>
          <w:szCs w:val="20"/>
          <w:lang w:val="en-US"/>
        </w:rPr>
        <w:t>senticosus</w:t>
      </w:r>
      <w:proofErr w:type="spellEnd"/>
      <w:r w:rsidRPr="007F2494">
        <w:rPr>
          <w:rFonts w:eastAsia="Calibri"/>
          <w:color w:val="000000"/>
          <w:sz w:val="20"/>
          <w:szCs w:val="20"/>
          <w:lang w:val="en-US"/>
        </w:rPr>
        <w:t xml:space="preserve"> (</w:t>
      </w:r>
      <w:proofErr w:type="spellStart"/>
      <w:r w:rsidRPr="007F2494">
        <w:rPr>
          <w:rFonts w:eastAsia="Calibri"/>
          <w:color w:val="000000"/>
          <w:sz w:val="20"/>
          <w:szCs w:val="20"/>
          <w:lang w:val="en-US"/>
        </w:rPr>
        <w:t>Gerontakos</w:t>
      </w:r>
      <w:proofErr w:type="spellEnd"/>
      <w:r w:rsidRPr="007F2494">
        <w:rPr>
          <w:rFonts w:eastAsia="Calibri"/>
          <w:color w:val="000000"/>
          <w:sz w:val="20"/>
          <w:szCs w:val="20"/>
          <w:lang w:val="en-US"/>
        </w:rPr>
        <w:t xml:space="preserve"> et al., 2021), popularly known as Siberian ginseng, found in Russia; and e) </w:t>
      </w:r>
      <w:proofErr w:type="spellStart"/>
      <w:r w:rsidRPr="00BB0995">
        <w:rPr>
          <w:rFonts w:eastAsia="Calibri"/>
          <w:i/>
          <w:iCs/>
          <w:color w:val="000000"/>
          <w:sz w:val="20"/>
          <w:szCs w:val="20"/>
          <w:lang w:val="en-US"/>
        </w:rPr>
        <w:t>Pfaffia</w:t>
      </w:r>
      <w:proofErr w:type="spellEnd"/>
      <w:r w:rsidRPr="00BB0995">
        <w:rPr>
          <w:rFonts w:eastAsia="Calibri"/>
          <w:i/>
          <w:iCs/>
          <w:color w:val="000000"/>
          <w:sz w:val="20"/>
          <w:szCs w:val="20"/>
          <w:lang w:val="en-US"/>
        </w:rPr>
        <w:t xml:space="preserve"> glomerata</w:t>
      </w:r>
      <w:r w:rsidRPr="007F2494">
        <w:rPr>
          <w:rFonts w:eastAsia="Calibri"/>
          <w:color w:val="000000"/>
          <w:sz w:val="20"/>
          <w:szCs w:val="20"/>
          <w:lang w:val="en-US"/>
        </w:rPr>
        <w:t>, or Brazilian ginseng, found in Brazil. Each species contains various bioactive compounds with antioxidant, anti-inflammatory, anti-diabetic, antimicrobial, and other properties.</w:t>
      </w:r>
    </w:p>
    <w:p w14:paraId="09745678" w14:textId="77777777" w:rsidR="007F2494" w:rsidRPr="009664EE" w:rsidRDefault="007F2494" w:rsidP="000A5A4A">
      <w:pPr>
        <w:pBdr>
          <w:top w:val="nil"/>
          <w:left w:val="nil"/>
          <w:bottom w:val="nil"/>
          <w:right w:val="nil"/>
          <w:between w:val="nil"/>
        </w:pBdr>
        <w:spacing w:line="276" w:lineRule="auto"/>
        <w:ind w:firstLine="708"/>
        <w:jc w:val="both"/>
        <w:rPr>
          <w:rFonts w:eastAsia="Calibri"/>
          <w:color w:val="000000"/>
          <w:sz w:val="20"/>
          <w:szCs w:val="20"/>
        </w:rPr>
      </w:pPr>
    </w:p>
    <w:p w14:paraId="2E234703" w14:textId="77777777" w:rsidR="00D14391" w:rsidRPr="009664EE" w:rsidRDefault="008A4894" w:rsidP="00D14391">
      <w:pPr>
        <w:pBdr>
          <w:top w:val="nil"/>
          <w:left w:val="nil"/>
          <w:bottom w:val="nil"/>
          <w:right w:val="nil"/>
          <w:between w:val="nil"/>
        </w:pBdr>
        <w:ind w:firstLine="708"/>
        <w:jc w:val="both"/>
        <w:rPr>
          <w:rFonts w:eastAsia="Calibri"/>
          <w:b/>
          <w:color w:val="000000"/>
          <w:sz w:val="20"/>
          <w:szCs w:val="20"/>
        </w:rPr>
      </w:pPr>
      <w:r w:rsidRPr="009664EE">
        <w:rPr>
          <w:rFonts w:eastAsia="Calibri"/>
          <w:b/>
          <w:color w:val="000000"/>
          <w:sz w:val="20"/>
          <w:szCs w:val="20"/>
        </w:rPr>
        <w:t>2.2.1 Ginseng brasileiro (</w:t>
      </w:r>
      <w:r w:rsidRPr="009664EE">
        <w:rPr>
          <w:rFonts w:eastAsia="Calibri"/>
          <w:b/>
          <w:i/>
          <w:color w:val="000000"/>
          <w:sz w:val="20"/>
          <w:szCs w:val="20"/>
        </w:rPr>
        <w:t>Pfaffia glomerata</w:t>
      </w:r>
      <w:r w:rsidRPr="009664EE">
        <w:rPr>
          <w:rFonts w:eastAsia="Calibri"/>
          <w:b/>
          <w:color w:val="000000"/>
          <w:sz w:val="20"/>
          <w:szCs w:val="20"/>
        </w:rPr>
        <w:t>)</w:t>
      </w:r>
    </w:p>
    <w:p w14:paraId="1A67FA0A" w14:textId="77777777" w:rsidR="00E30B0F" w:rsidRPr="007F2494" w:rsidRDefault="00E30B0F" w:rsidP="00D14391">
      <w:pPr>
        <w:pBdr>
          <w:top w:val="nil"/>
          <w:left w:val="nil"/>
          <w:bottom w:val="nil"/>
          <w:right w:val="nil"/>
          <w:between w:val="nil"/>
        </w:pBdr>
        <w:ind w:firstLine="708"/>
        <w:jc w:val="both"/>
        <w:rPr>
          <w:rFonts w:eastAsia="Calibri"/>
          <w:b/>
          <w:iCs/>
          <w:color w:val="000000"/>
          <w:sz w:val="20"/>
          <w:szCs w:val="20"/>
        </w:rPr>
      </w:pPr>
    </w:p>
    <w:p w14:paraId="22702989" w14:textId="77777777" w:rsidR="007F2494" w:rsidRPr="007F2494" w:rsidRDefault="007F2494" w:rsidP="007F2494">
      <w:pPr>
        <w:pBdr>
          <w:top w:val="nil"/>
          <w:left w:val="nil"/>
          <w:bottom w:val="nil"/>
          <w:right w:val="nil"/>
          <w:between w:val="nil"/>
        </w:pBdr>
        <w:spacing w:line="276" w:lineRule="auto"/>
        <w:ind w:firstLine="708"/>
        <w:jc w:val="both"/>
        <w:rPr>
          <w:rFonts w:eastAsia="Calibri"/>
          <w:iCs/>
          <w:color w:val="000000"/>
          <w:sz w:val="20"/>
          <w:szCs w:val="20"/>
        </w:rPr>
      </w:pPr>
      <w:proofErr w:type="spellStart"/>
      <w:r w:rsidRPr="00BB0995">
        <w:rPr>
          <w:rFonts w:eastAsia="Calibri"/>
          <w:i/>
          <w:color w:val="000000"/>
          <w:sz w:val="20"/>
          <w:szCs w:val="20"/>
        </w:rPr>
        <w:t>Pfaffia</w:t>
      </w:r>
      <w:proofErr w:type="spellEnd"/>
      <w:r w:rsidRPr="00BB0995">
        <w:rPr>
          <w:rFonts w:eastAsia="Calibri"/>
          <w:i/>
          <w:color w:val="000000"/>
          <w:sz w:val="20"/>
          <w:szCs w:val="20"/>
        </w:rPr>
        <w:t xml:space="preserve"> </w:t>
      </w:r>
      <w:proofErr w:type="spellStart"/>
      <w:r w:rsidRPr="00BB0995">
        <w:rPr>
          <w:rFonts w:eastAsia="Calibri"/>
          <w:i/>
          <w:color w:val="000000"/>
          <w:sz w:val="20"/>
          <w:szCs w:val="20"/>
        </w:rPr>
        <w:t>glomerata</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Spreng</w:t>
      </w:r>
      <w:proofErr w:type="spellEnd"/>
      <w:r w:rsidRPr="007F2494">
        <w:rPr>
          <w:rFonts w:eastAsia="Calibri"/>
          <w:iCs/>
          <w:color w:val="000000"/>
          <w:sz w:val="20"/>
          <w:szCs w:val="20"/>
        </w:rPr>
        <w:t xml:space="preserve">.) Pedersen </w:t>
      </w:r>
      <w:proofErr w:type="spellStart"/>
      <w:r w:rsidRPr="007F2494">
        <w:rPr>
          <w:rFonts w:eastAsia="Calibri"/>
          <w:iCs/>
          <w:color w:val="000000"/>
          <w:sz w:val="20"/>
          <w:szCs w:val="20"/>
        </w:rPr>
        <w:t>is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one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of</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three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species</w:t>
      </w:r>
      <w:proofErr w:type="spellEnd"/>
      <w:r w:rsidRPr="007F2494">
        <w:rPr>
          <w:rFonts w:eastAsia="Calibri"/>
          <w:iCs/>
          <w:color w:val="000000"/>
          <w:sz w:val="20"/>
          <w:szCs w:val="20"/>
        </w:rPr>
        <w:t xml:space="preserve"> in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w:t>
      </w:r>
      <w:proofErr w:type="spellStart"/>
      <w:r w:rsidRPr="00BB0995">
        <w:rPr>
          <w:rFonts w:eastAsia="Calibri"/>
          <w:i/>
          <w:color w:val="000000"/>
          <w:sz w:val="20"/>
          <w:szCs w:val="20"/>
        </w:rPr>
        <w:t>Pfaffia</w:t>
      </w:r>
      <w:proofErr w:type="spellEnd"/>
      <w:r w:rsidRPr="007F2494">
        <w:rPr>
          <w:rFonts w:eastAsia="Calibri"/>
          <w:iCs/>
          <w:color w:val="000000"/>
          <w:sz w:val="20"/>
          <w:szCs w:val="20"/>
        </w:rPr>
        <w:t xml:space="preserve"> genus, </w:t>
      </w:r>
      <w:proofErr w:type="spellStart"/>
      <w:r w:rsidRPr="007F2494">
        <w:rPr>
          <w:rFonts w:eastAsia="Calibri"/>
          <w:iCs/>
          <w:color w:val="000000"/>
          <w:sz w:val="20"/>
          <w:szCs w:val="20"/>
        </w:rPr>
        <w:t>belonging</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to</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w:t>
      </w:r>
      <w:proofErr w:type="spellStart"/>
      <w:r w:rsidRPr="00BB0995">
        <w:rPr>
          <w:rFonts w:eastAsia="Calibri"/>
          <w:i/>
          <w:color w:val="000000"/>
          <w:sz w:val="20"/>
          <w:szCs w:val="20"/>
        </w:rPr>
        <w:t>Amaranthaceae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family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Indigenous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to</w:t>
      </w:r>
      <w:proofErr w:type="spellEnd"/>
      <w:r w:rsidRPr="007F2494">
        <w:rPr>
          <w:rFonts w:eastAsia="Calibri"/>
          <w:iCs/>
          <w:color w:val="000000"/>
          <w:sz w:val="20"/>
          <w:szCs w:val="20"/>
        </w:rPr>
        <w:t xml:space="preserve"> South American countries, </w:t>
      </w:r>
      <w:proofErr w:type="spellStart"/>
      <w:r w:rsidRPr="007F2494">
        <w:rPr>
          <w:rFonts w:eastAsia="Calibri"/>
          <w:iCs/>
          <w:color w:val="000000"/>
          <w:sz w:val="20"/>
          <w:szCs w:val="20"/>
        </w:rPr>
        <w:t>particularly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Brazil</w:t>
      </w:r>
      <w:proofErr w:type="spellEnd"/>
      <w:r w:rsidRPr="007F2494">
        <w:rPr>
          <w:rFonts w:eastAsia="Calibri"/>
          <w:iCs/>
          <w:color w:val="000000"/>
          <w:sz w:val="20"/>
          <w:szCs w:val="20"/>
        </w:rPr>
        <w:t xml:space="preserve">, in </w:t>
      </w:r>
      <w:proofErr w:type="spellStart"/>
      <w:r w:rsidRPr="007F2494">
        <w:rPr>
          <w:rFonts w:eastAsia="Calibri"/>
          <w:iCs/>
          <w:color w:val="000000"/>
          <w:sz w:val="20"/>
          <w:szCs w:val="20"/>
        </w:rPr>
        <w:t>regions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spanning</w:t>
      </w:r>
      <w:proofErr w:type="spellEnd"/>
      <w:r w:rsidRPr="007F2494">
        <w:rPr>
          <w:rFonts w:eastAsia="Calibri"/>
          <w:iCs/>
          <w:color w:val="000000"/>
          <w:sz w:val="20"/>
          <w:szCs w:val="20"/>
        </w:rPr>
        <w:t xml:space="preserve"> Paraná, São Paulo, Goiás, </w:t>
      </w:r>
      <w:proofErr w:type="spellStart"/>
      <w:r w:rsidRPr="007F2494">
        <w:rPr>
          <w:rFonts w:eastAsia="Calibri"/>
          <w:iCs/>
          <w:color w:val="000000"/>
          <w:sz w:val="20"/>
          <w:szCs w:val="20"/>
        </w:rPr>
        <w:t>and</w:t>
      </w:r>
      <w:proofErr w:type="spellEnd"/>
      <w:r w:rsidRPr="007F2494">
        <w:rPr>
          <w:rFonts w:eastAsia="Calibri"/>
          <w:iCs/>
          <w:color w:val="000000"/>
          <w:sz w:val="20"/>
          <w:szCs w:val="20"/>
        </w:rPr>
        <w:t xml:space="preserve"> Mato Grosso, </w:t>
      </w:r>
      <w:proofErr w:type="spellStart"/>
      <w:r w:rsidRPr="00BB0995">
        <w:rPr>
          <w:rFonts w:eastAsia="Calibri"/>
          <w:i/>
          <w:color w:val="000000"/>
          <w:sz w:val="20"/>
          <w:szCs w:val="20"/>
        </w:rPr>
        <w:t>Pfaffia</w:t>
      </w:r>
      <w:proofErr w:type="spellEnd"/>
      <w:r w:rsidRPr="00BB0995">
        <w:rPr>
          <w:rFonts w:eastAsia="Calibri"/>
          <w:i/>
          <w:color w:val="000000"/>
          <w:sz w:val="20"/>
          <w:szCs w:val="20"/>
        </w:rPr>
        <w:t xml:space="preserve"> </w:t>
      </w:r>
      <w:proofErr w:type="spellStart"/>
      <w:r w:rsidRPr="00BB0995">
        <w:rPr>
          <w:rFonts w:eastAsia="Calibri"/>
          <w:i/>
          <w:color w:val="000000"/>
          <w:sz w:val="20"/>
          <w:szCs w:val="20"/>
        </w:rPr>
        <w:t>glomerata</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is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commonly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known</w:t>
      </w:r>
      <w:proofErr w:type="spellEnd"/>
      <w:r w:rsidRPr="007F2494">
        <w:rPr>
          <w:rFonts w:eastAsia="Calibri"/>
          <w:iCs/>
          <w:color w:val="000000"/>
          <w:sz w:val="20"/>
          <w:szCs w:val="20"/>
        </w:rPr>
        <w:t xml:space="preserve"> as </w:t>
      </w:r>
      <w:proofErr w:type="spellStart"/>
      <w:r w:rsidRPr="007F2494">
        <w:rPr>
          <w:rFonts w:eastAsia="Calibri"/>
          <w:iCs/>
          <w:color w:val="000000"/>
          <w:sz w:val="20"/>
          <w:szCs w:val="20"/>
        </w:rPr>
        <w:t>Brazilian</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ginseng</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This</w:t>
      </w:r>
      <w:proofErr w:type="spellEnd"/>
      <w:r w:rsidRPr="007F2494">
        <w:rPr>
          <w:rFonts w:eastAsia="Calibri"/>
          <w:iCs/>
          <w:color w:val="000000"/>
          <w:sz w:val="20"/>
          <w:szCs w:val="20"/>
        </w:rPr>
        <w:t xml:space="preserve"> nomenclature </w:t>
      </w:r>
      <w:proofErr w:type="spellStart"/>
      <w:r w:rsidRPr="007F2494">
        <w:rPr>
          <w:rFonts w:eastAsia="Calibri"/>
          <w:iCs/>
          <w:color w:val="000000"/>
          <w:sz w:val="20"/>
          <w:szCs w:val="20"/>
        </w:rPr>
        <w:t>stems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from</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both</w:t>
      </w:r>
      <w:proofErr w:type="spellEnd"/>
      <w:r w:rsidRPr="007F2494">
        <w:rPr>
          <w:rFonts w:eastAsia="Calibri"/>
          <w:iCs/>
          <w:color w:val="000000"/>
          <w:sz w:val="20"/>
          <w:szCs w:val="20"/>
        </w:rPr>
        <w:t xml:space="preserve"> its </w:t>
      </w:r>
      <w:proofErr w:type="spellStart"/>
      <w:r w:rsidRPr="007F2494">
        <w:rPr>
          <w:rFonts w:eastAsia="Calibri"/>
          <w:iCs/>
          <w:color w:val="000000"/>
          <w:sz w:val="20"/>
          <w:szCs w:val="20"/>
        </w:rPr>
        <w:t>morphological</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resemblance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to</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Asian</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ginseng</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and</w:t>
      </w:r>
      <w:proofErr w:type="spellEnd"/>
      <w:r w:rsidRPr="007F2494">
        <w:rPr>
          <w:rFonts w:eastAsia="Calibri"/>
          <w:iCs/>
          <w:color w:val="000000"/>
          <w:sz w:val="20"/>
          <w:szCs w:val="20"/>
        </w:rPr>
        <w:t xml:space="preserve"> </w:t>
      </w:r>
      <w:proofErr w:type="gramStart"/>
      <w:r w:rsidRPr="007F2494">
        <w:rPr>
          <w:rFonts w:eastAsia="Calibri"/>
          <w:iCs/>
          <w:color w:val="000000"/>
          <w:sz w:val="20"/>
          <w:szCs w:val="20"/>
        </w:rPr>
        <w:t>its similar medicinal</w:t>
      </w:r>
      <w:proofErr w:type="gramEnd"/>
      <w:r w:rsidRPr="007F2494">
        <w:rPr>
          <w:rFonts w:eastAsia="Calibri"/>
          <w:iCs/>
          <w:color w:val="000000"/>
          <w:sz w:val="20"/>
          <w:szCs w:val="20"/>
        </w:rPr>
        <w:t xml:space="preserve"> </w:t>
      </w:r>
      <w:proofErr w:type="spellStart"/>
      <w:r w:rsidRPr="007F2494">
        <w:rPr>
          <w:rFonts w:eastAsia="Calibri"/>
          <w:iCs/>
          <w:color w:val="000000"/>
          <w:sz w:val="20"/>
          <w:szCs w:val="20"/>
        </w:rPr>
        <w:t>effects</w:t>
      </w:r>
      <w:proofErr w:type="spellEnd"/>
      <w:r w:rsidRPr="007F2494">
        <w:rPr>
          <w:rFonts w:eastAsia="Calibri"/>
          <w:iCs/>
          <w:color w:val="000000"/>
          <w:sz w:val="20"/>
          <w:szCs w:val="20"/>
        </w:rPr>
        <w:t>. (</w:t>
      </w:r>
      <w:proofErr w:type="spellStart"/>
      <w:r w:rsidRPr="007F2494">
        <w:rPr>
          <w:rFonts w:eastAsia="Calibri"/>
          <w:iCs/>
          <w:color w:val="000000"/>
          <w:sz w:val="20"/>
          <w:szCs w:val="20"/>
        </w:rPr>
        <w:t>Vardanega</w:t>
      </w:r>
      <w:proofErr w:type="spellEnd"/>
      <w:r w:rsidRPr="007F2494">
        <w:rPr>
          <w:rFonts w:eastAsia="Calibri"/>
          <w:iCs/>
          <w:color w:val="000000"/>
          <w:sz w:val="20"/>
          <w:szCs w:val="20"/>
        </w:rPr>
        <w:t xml:space="preserve"> et al., 2016, Huang et al., 2021).</w:t>
      </w:r>
    </w:p>
    <w:p w14:paraId="43F63D2B" w14:textId="77777777" w:rsidR="007F2494" w:rsidRPr="007F2494" w:rsidRDefault="007F2494" w:rsidP="007F2494">
      <w:pPr>
        <w:pBdr>
          <w:top w:val="nil"/>
          <w:left w:val="nil"/>
          <w:bottom w:val="nil"/>
          <w:right w:val="nil"/>
          <w:between w:val="nil"/>
        </w:pBdr>
        <w:spacing w:line="276" w:lineRule="auto"/>
        <w:ind w:firstLine="708"/>
        <w:jc w:val="both"/>
        <w:rPr>
          <w:rFonts w:eastAsia="Calibri"/>
          <w:iCs/>
          <w:color w:val="000000"/>
          <w:sz w:val="20"/>
          <w:szCs w:val="20"/>
        </w:rPr>
      </w:pPr>
    </w:p>
    <w:p w14:paraId="466B0F0B" w14:textId="77777777" w:rsidR="007F2494" w:rsidRDefault="007F2494" w:rsidP="007F2494">
      <w:pPr>
        <w:pBdr>
          <w:top w:val="nil"/>
          <w:left w:val="nil"/>
          <w:bottom w:val="nil"/>
          <w:right w:val="nil"/>
          <w:between w:val="nil"/>
        </w:pBdr>
        <w:spacing w:line="276" w:lineRule="auto"/>
        <w:ind w:firstLine="708"/>
        <w:jc w:val="both"/>
        <w:rPr>
          <w:rFonts w:eastAsia="Calibri"/>
          <w:i/>
          <w:color w:val="000000"/>
          <w:sz w:val="20"/>
          <w:szCs w:val="20"/>
        </w:rPr>
      </w:pPr>
      <w:r w:rsidRPr="007F2494">
        <w:rPr>
          <w:rFonts w:eastAsia="Calibri"/>
          <w:iCs/>
          <w:color w:val="000000"/>
          <w:sz w:val="20"/>
          <w:szCs w:val="20"/>
        </w:rPr>
        <w:t xml:space="preserve">In </w:t>
      </w:r>
      <w:proofErr w:type="spellStart"/>
      <w:r w:rsidRPr="007F2494">
        <w:rPr>
          <w:rFonts w:eastAsia="Calibri"/>
          <w:iCs/>
          <w:color w:val="000000"/>
          <w:sz w:val="20"/>
          <w:szCs w:val="20"/>
        </w:rPr>
        <w:t>Brazil</w:t>
      </w:r>
      <w:proofErr w:type="spellEnd"/>
      <w:r w:rsidRPr="007F2494">
        <w:rPr>
          <w:rFonts w:eastAsia="Calibri"/>
          <w:iCs/>
          <w:color w:val="000000"/>
          <w:sz w:val="20"/>
          <w:szCs w:val="20"/>
        </w:rPr>
        <w:t xml:space="preserve">, </w:t>
      </w:r>
      <w:proofErr w:type="spellStart"/>
      <w:r w:rsidRPr="000E13D3">
        <w:rPr>
          <w:rFonts w:eastAsia="Calibri"/>
          <w:i/>
          <w:color w:val="000000"/>
          <w:sz w:val="20"/>
          <w:szCs w:val="20"/>
        </w:rPr>
        <w:t>Pfaffia</w:t>
      </w:r>
      <w:proofErr w:type="spellEnd"/>
      <w:r w:rsidRPr="000E13D3">
        <w:rPr>
          <w:rFonts w:eastAsia="Calibri"/>
          <w:i/>
          <w:color w:val="000000"/>
          <w:sz w:val="20"/>
          <w:szCs w:val="20"/>
        </w:rPr>
        <w:t xml:space="preserve"> </w:t>
      </w:r>
      <w:proofErr w:type="spellStart"/>
      <w:r w:rsidRPr="000E13D3">
        <w:rPr>
          <w:rFonts w:eastAsia="Calibri"/>
          <w:i/>
          <w:color w:val="000000"/>
          <w:sz w:val="20"/>
          <w:szCs w:val="20"/>
        </w:rPr>
        <w:t>glomerata</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grows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endemically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near</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rivers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due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to</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soil</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composition</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and</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prevailing</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moisture</w:t>
      </w:r>
      <w:proofErr w:type="spellEnd"/>
      <w:r w:rsidRPr="007F2494">
        <w:rPr>
          <w:rFonts w:eastAsia="Calibri"/>
          <w:iCs/>
          <w:color w:val="000000"/>
          <w:sz w:val="20"/>
          <w:szCs w:val="20"/>
        </w:rPr>
        <w:t xml:space="preserve">. In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state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of</w:t>
      </w:r>
      <w:proofErr w:type="spellEnd"/>
      <w:r w:rsidRPr="007F2494">
        <w:rPr>
          <w:rFonts w:eastAsia="Calibri"/>
          <w:iCs/>
          <w:color w:val="000000"/>
          <w:sz w:val="20"/>
          <w:szCs w:val="20"/>
        </w:rPr>
        <w:t xml:space="preserve"> Paraná,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municipality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of</w:t>
      </w:r>
      <w:proofErr w:type="spellEnd"/>
      <w:r w:rsidRPr="007F2494">
        <w:rPr>
          <w:rFonts w:eastAsia="Calibri"/>
          <w:iCs/>
          <w:color w:val="000000"/>
          <w:sz w:val="20"/>
          <w:szCs w:val="20"/>
        </w:rPr>
        <w:t xml:space="preserve"> Querência do Norte </w:t>
      </w:r>
      <w:proofErr w:type="spellStart"/>
      <w:r w:rsidRPr="007F2494">
        <w:rPr>
          <w:rFonts w:eastAsia="Calibri"/>
          <w:iCs/>
          <w:color w:val="000000"/>
          <w:sz w:val="20"/>
          <w:szCs w:val="20"/>
        </w:rPr>
        <w:t>is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one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of</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major </w:t>
      </w:r>
      <w:proofErr w:type="spellStart"/>
      <w:r w:rsidRPr="007F2494">
        <w:rPr>
          <w:rFonts w:eastAsia="Calibri"/>
          <w:iCs/>
          <w:color w:val="000000"/>
          <w:sz w:val="20"/>
          <w:szCs w:val="20"/>
        </w:rPr>
        <w:t>producers</w:t>
      </w:r>
      <w:proofErr w:type="spellEnd"/>
      <w:r w:rsidRPr="007F2494">
        <w:rPr>
          <w:rFonts w:eastAsia="Calibri"/>
          <w:iCs/>
          <w:color w:val="000000"/>
          <w:sz w:val="20"/>
          <w:szCs w:val="20"/>
        </w:rPr>
        <w:t xml:space="preserve">. The </w:t>
      </w:r>
      <w:proofErr w:type="spellStart"/>
      <w:r w:rsidRPr="007F2494">
        <w:rPr>
          <w:rFonts w:eastAsia="Calibri"/>
          <w:iCs/>
          <w:color w:val="000000"/>
          <w:sz w:val="20"/>
          <w:szCs w:val="20"/>
        </w:rPr>
        <w:t>cultivation</w:t>
      </w:r>
      <w:proofErr w:type="spellEnd"/>
      <w:r w:rsidRPr="007F2494">
        <w:rPr>
          <w:rFonts w:eastAsia="Calibri"/>
          <w:iCs/>
          <w:color w:val="000000"/>
          <w:sz w:val="20"/>
          <w:szCs w:val="20"/>
        </w:rPr>
        <w:t xml:space="preserve"> in </w:t>
      </w:r>
      <w:proofErr w:type="spellStart"/>
      <w:r w:rsidRPr="007F2494">
        <w:rPr>
          <w:rFonts w:eastAsia="Calibri"/>
          <w:iCs/>
          <w:color w:val="000000"/>
          <w:sz w:val="20"/>
          <w:szCs w:val="20"/>
        </w:rPr>
        <w:t>this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area</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is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carried</w:t>
      </w:r>
      <w:proofErr w:type="spellEnd"/>
      <w:r w:rsidRPr="007F2494">
        <w:rPr>
          <w:rFonts w:eastAsia="Calibri"/>
          <w:iCs/>
          <w:color w:val="000000"/>
          <w:sz w:val="20"/>
          <w:szCs w:val="20"/>
        </w:rPr>
        <w:t xml:space="preserve"> out </w:t>
      </w:r>
      <w:proofErr w:type="spellStart"/>
      <w:r w:rsidRPr="007F2494">
        <w:rPr>
          <w:rFonts w:eastAsia="Calibri"/>
          <w:iCs/>
          <w:color w:val="000000"/>
          <w:sz w:val="20"/>
          <w:szCs w:val="20"/>
        </w:rPr>
        <w:t>sustainably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by</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inhabitants</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of</w:t>
      </w:r>
      <w:proofErr w:type="spellEnd"/>
      <w:r w:rsidRPr="007F2494">
        <w:rPr>
          <w:rFonts w:eastAsia="Calibri"/>
          <w:iCs/>
          <w:color w:val="000000"/>
          <w:sz w:val="20"/>
          <w:szCs w:val="20"/>
        </w:rPr>
        <w:t xml:space="preserve"> </w:t>
      </w:r>
      <w:proofErr w:type="spellStart"/>
      <w:r w:rsidRPr="007F2494">
        <w:rPr>
          <w:rFonts w:eastAsia="Calibri"/>
          <w:iCs/>
          <w:color w:val="000000"/>
          <w:sz w:val="20"/>
          <w:szCs w:val="20"/>
        </w:rPr>
        <w:t>the</w:t>
      </w:r>
      <w:proofErr w:type="spellEnd"/>
      <w:r w:rsidRPr="007F2494">
        <w:rPr>
          <w:rFonts w:eastAsia="Calibri"/>
          <w:iCs/>
          <w:color w:val="000000"/>
          <w:sz w:val="20"/>
          <w:szCs w:val="20"/>
        </w:rPr>
        <w:t xml:space="preserve"> Ilha Grande </w:t>
      </w:r>
      <w:proofErr w:type="spellStart"/>
      <w:r w:rsidRPr="007F2494">
        <w:rPr>
          <w:rFonts w:eastAsia="Calibri"/>
          <w:iCs/>
          <w:color w:val="000000"/>
          <w:sz w:val="20"/>
          <w:szCs w:val="20"/>
        </w:rPr>
        <w:t>National</w:t>
      </w:r>
      <w:proofErr w:type="spellEnd"/>
      <w:r w:rsidRPr="007F2494">
        <w:rPr>
          <w:rFonts w:eastAsia="Calibri"/>
          <w:iCs/>
          <w:color w:val="000000"/>
          <w:sz w:val="20"/>
          <w:szCs w:val="20"/>
        </w:rPr>
        <w:t xml:space="preserve"> Park</w:t>
      </w:r>
      <w:r w:rsidRPr="007F2494">
        <w:rPr>
          <w:rFonts w:eastAsia="Calibri"/>
          <w:i/>
          <w:color w:val="000000"/>
          <w:sz w:val="20"/>
          <w:szCs w:val="20"/>
        </w:rPr>
        <w:t>.</w:t>
      </w:r>
    </w:p>
    <w:p w14:paraId="5EA2DFE3" w14:textId="77777777" w:rsidR="007F2494" w:rsidRDefault="007F2494" w:rsidP="00D511B9">
      <w:pPr>
        <w:pBdr>
          <w:top w:val="nil"/>
          <w:left w:val="nil"/>
          <w:bottom w:val="nil"/>
          <w:right w:val="nil"/>
          <w:between w:val="nil"/>
        </w:pBdr>
        <w:spacing w:line="276" w:lineRule="auto"/>
        <w:ind w:firstLine="708"/>
        <w:jc w:val="both"/>
        <w:rPr>
          <w:rFonts w:eastAsia="Calibri"/>
          <w:color w:val="000000"/>
          <w:sz w:val="20"/>
          <w:szCs w:val="20"/>
        </w:rPr>
      </w:pPr>
      <w:r w:rsidRPr="007F2494">
        <w:rPr>
          <w:rFonts w:eastAsia="Calibri"/>
          <w:color w:val="000000"/>
          <w:sz w:val="20"/>
          <w:szCs w:val="20"/>
        </w:rPr>
        <w:t xml:space="preserve">In </w:t>
      </w:r>
      <w:proofErr w:type="spellStart"/>
      <w:r w:rsidRPr="00E231A1">
        <w:rPr>
          <w:rFonts w:eastAsia="Calibri"/>
          <w:i/>
          <w:iCs/>
          <w:color w:val="000000"/>
          <w:sz w:val="20"/>
          <w:szCs w:val="20"/>
        </w:rPr>
        <w:t>Pfaffia</w:t>
      </w:r>
      <w:proofErr w:type="spellEnd"/>
      <w:r w:rsidRPr="00E231A1">
        <w:rPr>
          <w:rFonts w:eastAsia="Calibri"/>
          <w:i/>
          <w:iCs/>
          <w:color w:val="000000"/>
          <w:sz w:val="20"/>
          <w:szCs w:val="20"/>
        </w:rPr>
        <w:t xml:space="preserve"> </w:t>
      </w:r>
      <w:proofErr w:type="spellStart"/>
      <w:r w:rsidRPr="00E231A1">
        <w:rPr>
          <w:rFonts w:eastAsia="Calibri"/>
          <w:i/>
          <w:iCs/>
          <w:color w:val="000000"/>
          <w:sz w:val="20"/>
          <w:szCs w:val="20"/>
        </w:rPr>
        <w:t>glomerata</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phytoecdysteroid</w:t>
      </w:r>
      <w:proofErr w:type="spellEnd"/>
      <w:r w:rsidRPr="007F2494">
        <w:rPr>
          <w:rFonts w:eastAsia="Calibri"/>
          <w:color w:val="000000"/>
          <w:sz w:val="20"/>
          <w:szCs w:val="20"/>
        </w:rPr>
        <w:t xml:space="preserve"> β-</w:t>
      </w:r>
      <w:proofErr w:type="spellStart"/>
      <w:r w:rsidRPr="007F2494">
        <w:rPr>
          <w:rFonts w:eastAsia="Calibri"/>
          <w:color w:val="000000"/>
          <w:sz w:val="20"/>
          <w:szCs w:val="20"/>
        </w:rPr>
        <w:t>ecdysone</w:t>
      </w:r>
      <w:proofErr w:type="spellEnd"/>
      <w:r w:rsidRPr="007F2494">
        <w:rPr>
          <w:rFonts w:eastAsia="Calibri"/>
          <w:color w:val="000000"/>
          <w:sz w:val="20"/>
          <w:szCs w:val="20"/>
        </w:rPr>
        <w:t xml:space="preserve"> (20E) </w:t>
      </w:r>
      <w:proofErr w:type="spellStart"/>
      <w:r w:rsidRPr="007F2494">
        <w:rPr>
          <w:rFonts w:eastAsia="Calibri"/>
          <w:color w:val="000000"/>
          <w:sz w:val="20"/>
          <w:szCs w:val="20"/>
        </w:rPr>
        <w:t>or</w:t>
      </w:r>
      <w:proofErr w:type="spellEnd"/>
      <w:r w:rsidRPr="007F2494">
        <w:rPr>
          <w:rFonts w:eastAsia="Calibri"/>
          <w:color w:val="000000"/>
          <w:sz w:val="20"/>
          <w:szCs w:val="20"/>
        </w:rPr>
        <w:t xml:space="preserve"> 20-hydroxyecdysone serves as a </w:t>
      </w:r>
      <w:proofErr w:type="spellStart"/>
      <w:r w:rsidRPr="007F2494">
        <w:rPr>
          <w:rFonts w:eastAsia="Calibri"/>
          <w:color w:val="000000"/>
          <w:sz w:val="20"/>
          <w:szCs w:val="20"/>
        </w:rPr>
        <w:t>chemical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marker</w:t>
      </w:r>
      <w:proofErr w:type="spellEnd"/>
      <w:r w:rsidRPr="007F2494">
        <w:rPr>
          <w:rFonts w:eastAsia="Calibri"/>
          <w:color w:val="000000"/>
          <w:sz w:val="20"/>
          <w:szCs w:val="20"/>
        </w:rPr>
        <w:t xml:space="preserve"> for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plant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is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analogous</w:t>
      </w:r>
      <w:proofErr w:type="spellEnd"/>
      <w:r w:rsidRPr="007F2494">
        <w:rPr>
          <w:rFonts w:eastAsia="Calibri"/>
          <w:color w:val="000000"/>
          <w:sz w:val="20"/>
          <w:szCs w:val="20"/>
        </w:rPr>
        <w:t xml:space="preserve"> </w:t>
      </w:r>
      <w:proofErr w:type="spellStart"/>
      <w:r w:rsidRPr="007F2494">
        <w:rPr>
          <w:rFonts w:eastAsia="Calibri"/>
          <w:color w:val="000000"/>
          <w:sz w:val="20"/>
          <w:szCs w:val="20"/>
        </w:rPr>
        <w:t>to</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insect</w:t>
      </w:r>
      <w:proofErr w:type="spellEnd"/>
      <w:r w:rsidRPr="007F2494">
        <w:rPr>
          <w:rFonts w:eastAsia="Calibri"/>
          <w:color w:val="000000"/>
          <w:sz w:val="20"/>
          <w:szCs w:val="20"/>
        </w:rPr>
        <w:t xml:space="preserve"> </w:t>
      </w:r>
      <w:proofErr w:type="spellStart"/>
      <w:r w:rsidRPr="007F2494">
        <w:rPr>
          <w:rFonts w:eastAsia="Calibri"/>
          <w:color w:val="000000"/>
          <w:sz w:val="20"/>
          <w:szCs w:val="20"/>
        </w:rPr>
        <w:t>hormones</w:t>
      </w:r>
      <w:proofErr w:type="spellEnd"/>
      <w:r w:rsidRPr="007F2494">
        <w:rPr>
          <w:rFonts w:eastAsia="Calibri"/>
          <w:color w:val="000000"/>
          <w:sz w:val="20"/>
          <w:szCs w:val="20"/>
        </w:rPr>
        <w:t xml:space="preserve">. The </w:t>
      </w:r>
      <w:proofErr w:type="spellStart"/>
      <w:r w:rsidRPr="007F2494">
        <w:rPr>
          <w:rFonts w:eastAsia="Calibri"/>
          <w:color w:val="000000"/>
          <w:sz w:val="20"/>
          <w:szCs w:val="20"/>
        </w:rPr>
        <w:t>extraction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secondary</w:t>
      </w:r>
      <w:proofErr w:type="spellEnd"/>
      <w:r w:rsidRPr="007F2494">
        <w:rPr>
          <w:rFonts w:eastAsia="Calibri"/>
          <w:color w:val="000000"/>
          <w:sz w:val="20"/>
          <w:szCs w:val="20"/>
        </w:rPr>
        <w:t xml:space="preserve"> </w:t>
      </w:r>
      <w:proofErr w:type="spellStart"/>
      <w:r w:rsidRPr="007F2494">
        <w:rPr>
          <w:rFonts w:eastAsia="Calibri"/>
          <w:color w:val="000000"/>
          <w:sz w:val="20"/>
          <w:szCs w:val="20"/>
        </w:rPr>
        <w:t>metabolites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from</w:t>
      </w:r>
      <w:proofErr w:type="spellEnd"/>
      <w:r w:rsidRPr="007F2494">
        <w:rPr>
          <w:rFonts w:eastAsia="Calibri"/>
          <w:color w:val="000000"/>
          <w:sz w:val="20"/>
          <w:szCs w:val="20"/>
        </w:rPr>
        <w:t xml:space="preserve"> </w:t>
      </w:r>
      <w:proofErr w:type="spellStart"/>
      <w:r w:rsidRPr="00E231A1">
        <w:rPr>
          <w:rFonts w:eastAsia="Calibri"/>
          <w:i/>
          <w:iCs/>
          <w:color w:val="000000"/>
          <w:sz w:val="20"/>
          <w:szCs w:val="20"/>
        </w:rPr>
        <w:t>Pfaffia</w:t>
      </w:r>
      <w:proofErr w:type="spellEnd"/>
      <w:r w:rsidRPr="00E231A1">
        <w:rPr>
          <w:rFonts w:eastAsia="Calibri"/>
          <w:i/>
          <w:iCs/>
          <w:color w:val="000000"/>
          <w:sz w:val="20"/>
          <w:szCs w:val="20"/>
        </w:rPr>
        <w:t xml:space="preserve"> </w:t>
      </w:r>
      <w:proofErr w:type="spellStart"/>
      <w:r w:rsidRPr="00E231A1">
        <w:rPr>
          <w:rFonts w:eastAsia="Calibri"/>
          <w:i/>
          <w:iCs/>
          <w:color w:val="000000"/>
          <w:sz w:val="20"/>
          <w:szCs w:val="20"/>
        </w:rPr>
        <w:t>glomerata</w:t>
      </w:r>
      <w:proofErr w:type="spellEnd"/>
      <w:r w:rsidRPr="007F2494">
        <w:rPr>
          <w:rFonts w:eastAsia="Calibri"/>
          <w:color w:val="000000"/>
          <w:sz w:val="20"/>
          <w:szCs w:val="20"/>
        </w:rPr>
        <w:t xml:space="preserve"> </w:t>
      </w:r>
      <w:proofErr w:type="spellStart"/>
      <w:r w:rsidRPr="007F2494">
        <w:rPr>
          <w:rFonts w:eastAsia="Calibri"/>
          <w:color w:val="000000"/>
          <w:sz w:val="20"/>
          <w:szCs w:val="20"/>
        </w:rPr>
        <w:t>is</w:t>
      </w:r>
      <w:proofErr w:type="spellEnd"/>
      <w:r w:rsidRPr="007F2494">
        <w:rPr>
          <w:rFonts w:eastAsia="Calibri"/>
          <w:color w:val="000000"/>
          <w:sz w:val="20"/>
          <w:szCs w:val="20"/>
        </w:rPr>
        <w:t xml:space="preserve"> crucial for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discovery</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new </w:t>
      </w:r>
      <w:proofErr w:type="spellStart"/>
      <w:r w:rsidRPr="007F2494">
        <w:rPr>
          <w:rFonts w:eastAsia="Calibri"/>
          <w:color w:val="000000"/>
          <w:sz w:val="20"/>
          <w:szCs w:val="20"/>
        </w:rPr>
        <w:t>constituents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Balastreri</w:t>
      </w:r>
      <w:proofErr w:type="spellEnd"/>
      <w:r w:rsidRPr="007F2494">
        <w:rPr>
          <w:rFonts w:eastAsia="Calibri"/>
          <w:color w:val="000000"/>
          <w:sz w:val="20"/>
          <w:szCs w:val="20"/>
        </w:rPr>
        <w:t xml:space="preserve"> et al., 2018). Martins et al. (2020) </w:t>
      </w:r>
      <w:proofErr w:type="spellStart"/>
      <w:r w:rsidRPr="007F2494">
        <w:rPr>
          <w:rFonts w:eastAsia="Calibri"/>
          <w:color w:val="000000"/>
          <w:sz w:val="20"/>
          <w:szCs w:val="20"/>
        </w:rPr>
        <w:t>detected</w:t>
      </w:r>
      <w:proofErr w:type="spellEnd"/>
      <w:r w:rsidRPr="007F2494">
        <w:rPr>
          <w:rFonts w:eastAsia="Calibri"/>
          <w:color w:val="000000"/>
          <w:sz w:val="20"/>
          <w:szCs w:val="20"/>
        </w:rPr>
        <w:t xml:space="preserve"> β-</w:t>
      </w:r>
      <w:proofErr w:type="spellStart"/>
      <w:r w:rsidRPr="007F2494">
        <w:rPr>
          <w:rFonts w:eastAsia="Calibri"/>
          <w:color w:val="000000"/>
          <w:sz w:val="20"/>
          <w:szCs w:val="20"/>
        </w:rPr>
        <w:t>ecdysone</w:t>
      </w:r>
      <w:proofErr w:type="spellEnd"/>
      <w:r w:rsidRPr="007F2494">
        <w:rPr>
          <w:rFonts w:eastAsia="Calibri"/>
          <w:color w:val="000000"/>
          <w:sz w:val="20"/>
          <w:szCs w:val="20"/>
        </w:rPr>
        <w:t xml:space="preserve"> in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roots, </w:t>
      </w:r>
      <w:proofErr w:type="spellStart"/>
      <w:r w:rsidRPr="007F2494">
        <w:rPr>
          <w:rFonts w:eastAsia="Calibri"/>
          <w:color w:val="000000"/>
          <w:sz w:val="20"/>
          <w:szCs w:val="20"/>
        </w:rPr>
        <w:t>stem</w:t>
      </w:r>
      <w:proofErr w:type="spellEnd"/>
      <w:r w:rsidRPr="007F2494">
        <w:rPr>
          <w:rFonts w:eastAsia="Calibri"/>
          <w:color w:val="000000"/>
          <w:sz w:val="20"/>
          <w:szCs w:val="20"/>
        </w:rPr>
        <w:t xml:space="preserve">, </w:t>
      </w:r>
      <w:proofErr w:type="spellStart"/>
      <w:r w:rsidRPr="007F2494">
        <w:rPr>
          <w:rFonts w:eastAsia="Calibri"/>
          <w:color w:val="000000"/>
          <w:sz w:val="20"/>
          <w:szCs w:val="20"/>
        </w:rPr>
        <w:t>flowers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leaves</w:t>
      </w:r>
      <w:proofErr w:type="spellEnd"/>
      <w:r w:rsidRPr="007F2494">
        <w:rPr>
          <w:rFonts w:eastAsia="Calibri"/>
          <w:color w:val="000000"/>
          <w:sz w:val="20"/>
          <w:szCs w:val="20"/>
        </w:rPr>
        <w:t xml:space="preserve"> (0.68 ± 0.05, 0.62 ± 0.06, 1.14 ± 0.10,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1.65 ± 0.14, </w:t>
      </w:r>
      <w:proofErr w:type="spellStart"/>
      <w:r w:rsidRPr="007F2494">
        <w:rPr>
          <w:rFonts w:eastAsia="Calibri"/>
          <w:color w:val="000000"/>
          <w:sz w:val="20"/>
          <w:szCs w:val="20"/>
        </w:rPr>
        <w:t>respectively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indicating</w:t>
      </w:r>
      <w:proofErr w:type="spellEnd"/>
      <w:r w:rsidRPr="007F2494">
        <w:rPr>
          <w:rFonts w:eastAsia="Calibri"/>
          <w:color w:val="000000"/>
          <w:sz w:val="20"/>
          <w:szCs w:val="20"/>
        </w:rPr>
        <w:t xml:space="preserve"> its </w:t>
      </w:r>
      <w:proofErr w:type="spellStart"/>
      <w:r w:rsidRPr="007F2494">
        <w:rPr>
          <w:rFonts w:eastAsia="Calibri"/>
          <w:color w:val="000000"/>
          <w:sz w:val="20"/>
          <w:szCs w:val="20"/>
        </w:rPr>
        <w:t>distribution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throughout</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plant</w:t>
      </w:r>
      <w:proofErr w:type="spellEnd"/>
      <w:r w:rsidRPr="007F2494">
        <w:rPr>
          <w:rFonts w:eastAsia="Calibri"/>
          <w:color w:val="000000"/>
          <w:sz w:val="20"/>
          <w:szCs w:val="20"/>
        </w:rPr>
        <w:t xml:space="preserve">. In </w:t>
      </w:r>
      <w:proofErr w:type="spellStart"/>
      <w:r w:rsidRPr="007F2494">
        <w:rPr>
          <w:rFonts w:eastAsia="Calibri"/>
          <w:color w:val="000000"/>
          <w:sz w:val="20"/>
          <w:szCs w:val="20"/>
        </w:rPr>
        <w:t>addition</w:t>
      </w:r>
      <w:proofErr w:type="spellEnd"/>
      <w:r w:rsidRPr="007F2494">
        <w:rPr>
          <w:rFonts w:eastAsia="Calibri"/>
          <w:color w:val="000000"/>
          <w:sz w:val="20"/>
          <w:szCs w:val="20"/>
        </w:rPr>
        <w:t xml:space="preserve">, total </w:t>
      </w:r>
      <w:proofErr w:type="spellStart"/>
      <w:r w:rsidRPr="007F2494">
        <w:rPr>
          <w:rFonts w:eastAsia="Calibri"/>
          <w:color w:val="000000"/>
          <w:sz w:val="20"/>
          <w:szCs w:val="20"/>
        </w:rPr>
        <w:t>phenolic</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content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increased</w:t>
      </w:r>
      <w:proofErr w:type="spellEnd"/>
      <w:r w:rsidRPr="007F2494">
        <w:rPr>
          <w:rFonts w:eastAsia="Calibri"/>
          <w:color w:val="000000"/>
          <w:sz w:val="20"/>
          <w:szCs w:val="20"/>
        </w:rPr>
        <w:t xml:space="preserve"> in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following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order</w:t>
      </w:r>
      <w:proofErr w:type="spellEnd"/>
      <w:r w:rsidRPr="007F2494">
        <w:rPr>
          <w:rFonts w:eastAsia="Calibri"/>
          <w:color w:val="000000"/>
          <w:sz w:val="20"/>
          <w:szCs w:val="20"/>
        </w:rPr>
        <w:t xml:space="preserve">: </w:t>
      </w:r>
      <w:proofErr w:type="spellStart"/>
      <w:r w:rsidRPr="007F2494">
        <w:rPr>
          <w:rFonts w:eastAsia="Calibri"/>
          <w:color w:val="000000"/>
          <w:sz w:val="20"/>
          <w:szCs w:val="20"/>
        </w:rPr>
        <w:t>leaf</w:t>
      </w:r>
      <w:proofErr w:type="spellEnd"/>
      <w:r w:rsidRPr="007F2494">
        <w:rPr>
          <w:rFonts w:eastAsia="Calibri"/>
          <w:color w:val="000000"/>
          <w:sz w:val="20"/>
          <w:szCs w:val="20"/>
        </w:rPr>
        <w:t xml:space="preserve"> &gt; </w:t>
      </w:r>
      <w:proofErr w:type="spellStart"/>
      <w:r w:rsidRPr="007F2494">
        <w:rPr>
          <w:rFonts w:eastAsia="Calibri"/>
          <w:color w:val="000000"/>
          <w:sz w:val="20"/>
          <w:szCs w:val="20"/>
        </w:rPr>
        <w:t>flower</w:t>
      </w:r>
      <w:proofErr w:type="spellEnd"/>
      <w:r w:rsidRPr="007F2494">
        <w:rPr>
          <w:rFonts w:eastAsia="Calibri"/>
          <w:color w:val="000000"/>
          <w:sz w:val="20"/>
          <w:szCs w:val="20"/>
        </w:rPr>
        <w:t xml:space="preserve"> &gt; </w:t>
      </w:r>
      <w:proofErr w:type="spellStart"/>
      <w:r w:rsidRPr="007F2494">
        <w:rPr>
          <w:rFonts w:eastAsia="Calibri"/>
          <w:color w:val="000000"/>
          <w:sz w:val="20"/>
          <w:szCs w:val="20"/>
        </w:rPr>
        <w:t>stem</w:t>
      </w:r>
      <w:proofErr w:type="spellEnd"/>
      <w:r w:rsidRPr="007F2494">
        <w:rPr>
          <w:rFonts w:eastAsia="Calibri"/>
          <w:color w:val="000000"/>
          <w:sz w:val="20"/>
          <w:szCs w:val="20"/>
        </w:rPr>
        <w:t xml:space="preserve"> &gt; root, </w:t>
      </w:r>
      <w:proofErr w:type="spellStart"/>
      <w:r w:rsidRPr="007F2494">
        <w:rPr>
          <w:rFonts w:eastAsia="Calibri"/>
          <w:color w:val="000000"/>
          <w:sz w:val="20"/>
          <w:szCs w:val="20"/>
        </w:rPr>
        <w:t>suggesting</w:t>
      </w:r>
      <w:proofErr w:type="spellEnd"/>
      <w:r w:rsidRPr="007F2494">
        <w:rPr>
          <w:rFonts w:eastAsia="Calibri"/>
          <w:color w:val="000000"/>
          <w:sz w:val="20"/>
          <w:szCs w:val="20"/>
        </w:rPr>
        <w:t xml:space="preserve"> a link </w:t>
      </w:r>
      <w:proofErr w:type="spellStart"/>
      <w:r w:rsidRPr="007F2494">
        <w:rPr>
          <w:rFonts w:eastAsia="Calibri"/>
          <w:color w:val="000000"/>
          <w:sz w:val="20"/>
          <w:szCs w:val="20"/>
        </w:rPr>
        <w:t>between</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these</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compounds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antioxidant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capacity</w:t>
      </w:r>
      <w:proofErr w:type="spellEnd"/>
      <w:r w:rsidRPr="007F2494">
        <w:rPr>
          <w:rFonts w:eastAsia="Calibri"/>
          <w:color w:val="000000"/>
          <w:sz w:val="20"/>
          <w:szCs w:val="20"/>
        </w:rPr>
        <w:t xml:space="preserve">. </w:t>
      </w:r>
      <w:proofErr w:type="spellStart"/>
      <w:r w:rsidRPr="007F2494">
        <w:rPr>
          <w:rFonts w:eastAsia="Calibri"/>
          <w:color w:val="000000"/>
          <w:sz w:val="20"/>
          <w:szCs w:val="20"/>
        </w:rPr>
        <w:t>Specifically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chlorogenic</w:t>
      </w:r>
      <w:proofErr w:type="spellEnd"/>
      <w:r w:rsidRPr="007F2494">
        <w:rPr>
          <w:rFonts w:eastAsia="Calibri"/>
          <w:color w:val="000000"/>
          <w:sz w:val="20"/>
          <w:szCs w:val="20"/>
        </w:rPr>
        <w:t xml:space="preserve">, </w:t>
      </w:r>
      <w:proofErr w:type="spellStart"/>
      <w:r w:rsidRPr="007F2494">
        <w:rPr>
          <w:rFonts w:eastAsia="Calibri"/>
          <w:color w:val="000000"/>
          <w:sz w:val="20"/>
          <w:szCs w:val="20"/>
        </w:rPr>
        <w:t>ferulic</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hydroxybenzoic</w:t>
      </w:r>
      <w:proofErr w:type="spellEnd"/>
      <w:r w:rsidRPr="007F2494">
        <w:rPr>
          <w:rFonts w:eastAsia="Calibri"/>
          <w:color w:val="000000"/>
          <w:sz w:val="20"/>
          <w:szCs w:val="20"/>
        </w:rPr>
        <w:t xml:space="preserve"> </w:t>
      </w:r>
      <w:proofErr w:type="spellStart"/>
      <w:r w:rsidRPr="007F2494">
        <w:rPr>
          <w:rFonts w:eastAsia="Calibri"/>
          <w:color w:val="000000"/>
          <w:sz w:val="20"/>
          <w:szCs w:val="20"/>
        </w:rPr>
        <w:t>acids</w:t>
      </w:r>
      <w:proofErr w:type="spellEnd"/>
      <w:r w:rsidRPr="007F2494">
        <w:rPr>
          <w:rFonts w:eastAsia="Calibri"/>
          <w:color w:val="000000"/>
          <w:sz w:val="20"/>
          <w:szCs w:val="20"/>
        </w:rPr>
        <w:t xml:space="preserve"> in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leaf</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contribute</w:t>
      </w:r>
      <w:proofErr w:type="spellEnd"/>
      <w:r w:rsidRPr="007F2494">
        <w:rPr>
          <w:rFonts w:eastAsia="Calibri"/>
          <w:color w:val="000000"/>
          <w:sz w:val="20"/>
          <w:szCs w:val="20"/>
        </w:rPr>
        <w:t xml:space="preserve"> </w:t>
      </w:r>
      <w:proofErr w:type="spellStart"/>
      <w:r w:rsidRPr="007F2494">
        <w:rPr>
          <w:rFonts w:eastAsia="Calibri"/>
          <w:color w:val="000000"/>
          <w:sz w:val="20"/>
          <w:szCs w:val="20"/>
        </w:rPr>
        <w:t>to</w:t>
      </w:r>
      <w:proofErr w:type="spellEnd"/>
      <w:r w:rsidRPr="007F2494">
        <w:rPr>
          <w:rFonts w:eastAsia="Calibri"/>
          <w:color w:val="000000"/>
          <w:sz w:val="20"/>
          <w:szCs w:val="20"/>
        </w:rPr>
        <w:t xml:space="preserve"> </w:t>
      </w:r>
      <w:proofErr w:type="spellStart"/>
      <w:r w:rsidRPr="007F2494">
        <w:rPr>
          <w:rFonts w:eastAsia="Calibri"/>
          <w:color w:val="000000"/>
          <w:sz w:val="20"/>
          <w:szCs w:val="20"/>
        </w:rPr>
        <w:t>phenolic</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composition</w:t>
      </w:r>
      <w:proofErr w:type="spellEnd"/>
      <w:r w:rsidRPr="007F2494">
        <w:rPr>
          <w:rFonts w:eastAsia="Calibri"/>
          <w:color w:val="000000"/>
          <w:sz w:val="20"/>
          <w:szCs w:val="20"/>
        </w:rPr>
        <w:t xml:space="preserve"> (Martins, 2020).</w:t>
      </w:r>
    </w:p>
    <w:p w14:paraId="75851C05" w14:textId="289FF1C0" w:rsidR="00D511B9" w:rsidRDefault="007F2494" w:rsidP="00D511B9">
      <w:pPr>
        <w:pBdr>
          <w:top w:val="nil"/>
          <w:left w:val="nil"/>
          <w:bottom w:val="nil"/>
          <w:right w:val="nil"/>
          <w:between w:val="nil"/>
        </w:pBdr>
        <w:spacing w:line="276" w:lineRule="auto"/>
        <w:ind w:firstLine="708"/>
        <w:jc w:val="both"/>
        <w:rPr>
          <w:rFonts w:eastAsia="Calibri"/>
          <w:color w:val="000000"/>
          <w:sz w:val="20"/>
          <w:szCs w:val="20"/>
        </w:rPr>
      </w:pPr>
      <w:proofErr w:type="spellStart"/>
      <w:r w:rsidRPr="007F2494">
        <w:rPr>
          <w:rFonts w:eastAsia="Calibri"/>
          <w:color w:val="000000"/>
          <w:sz w:val="20"/>
          <w:szCs w:val="20"/>
        </w:rPr>
        <w:t>Recent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studies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have</w:t>
      </w:r>
      <w:proofErr w:type="spellEnd"/>
      <w:r w:rsidRPr="007F2494">
        <w:rPr>
          <w:rFonts w:eastAsia="Calibri"/>
          <w:color w:val="000000"/>
          <w:sz w:val="20"/>
          <w:szCs w:val="20"/>
        </w:rPr>
        <w:t xml:space="preserve"> </w:t>
      </w:r>
      <w:proofErr w:type="spellStart"/>
      <w:r w:rsidRPr="007F2494">
        <w:rPr>
          <w:rFonts w:eastAsia="Calibri"/>
          <w:color w:val="000000"/>
          <w:sz w:val="20"/>
          <w:szCs w:val="20"/>
        </w:rPr>
        <w:t>deepened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understanding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E231A1">
        <w:rPr>
          <w:rFonts w:eastAsia="Calibri"/>
          <w:i/>
          <w:iCs/>
          <w:color w:val="000000"/>
          <w:sz w:val="20"/>
          <w:szCs w:val="20"/>
        </w:rPr>
        <w:t>Pfaffia</w:t>
      </w:r>
      <w:proofErr w:type="spellEnd"/>
      <w:r w:rsidRPr="00E231A1">
        <w:rPr>
          <w:rFonts w:eastAsia="Calibri"/>
          <w:i/>
          <w:iCs/>
          <w:color w:val="000000"/>
          <w:sz w:val="20"/>
          <w:szCs w:val="20"/>
        </w:rPr>
        <w:t xml:space="preserve"> </w:t>
      </w:r>
      <w:proofErr w:type="spellStart"/>
      <w:r w:rsidRPr="00E231A1">
        <w:rPr>
          <w:rFonts w:eastAsia="Calibri"/>
          <w:i/>
          <w:iCs/>
          <w:color w:val="000000"/>
          <w:sz w:val="20"/>
          <w:szCs w:val="20"/>
        </w:rPr>
        <w:t>glomerata’s</w:t>
      </w:r>
      <w:proofErr w:type="spellEnd"/>
      <w:r w:rsidRPr="007F2494">
        <w:rPr>
          <w:rFonts w:eastAsia="Calibri"/>
          <w:color w:val="000000"/>
          <w:sz w:val="20"/>
          <w:szCs w:val="20"/>
        </w:rPr>
        <w:t xml:space="preserve"> </w:t>
      </w:r>
      <w:proofErr w:type="spellStart"/>
      <w:r w:rsidRPr="007F2494">
        <w:rPr>
          <w:rFonts w:eastAsia="Calibri"/>
          <w:color w:val="000000"/>
          <w:sz w:val="20"/>
          <w:szCs w:val="20"/>
        </w:rPr>
        <w:t>biochemical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composition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environmental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interactions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extraction</w:t>
      </w:r>
      <w:proofErr w:type="spellEnd"/>
      <w:r w:rsidRPr="007F2494">
        <w:rPr>
          <w:rFonts w:eastAsia="Calibri"/>
          <w:color w:val="000000"/>
          <w:sz w:val="20"/>
          <w:szCs w:val="20"/>
        </w:rPr>
        <w:t xml:space="preserve"> processes. </w:t>
      </w:r>
      <w:proofErr w:type="spellStart"/>
      <w:r w:rsidRPr="007F2494">
        <w:rPr>
          <w:rFonts w:eastAsia="Calibri"/>
          <w:color w:val="000000"/>
          <w:sz w:val="20"/>
          <w:szCs w:val="20"/>
        </w:rPr>
        <w:t>Terhaag</w:t>
      </w:r>
      <w:proofErr w:type="spellEnd"/>
      <w:r w:rsidRPr="007F2494">
        <w:rPr>
          <w:rFonts w:eastAsia="Calibri"/>
          <w:color w:val="000000"/>
          <w:sz w:val="20"/>
          <w:szCs w:val="20"/>
        </w:rPr>
        <w:t xml:space="preserve"> et al. (2025) </w:t>
      </w:r>
      <w:proofErr w:type="spellStart"/>
      <w:r w:rsidRPr="007F2494">
        <w:rPr>
          <w:rFonts w:eastAsia="Calibri"/>
          <w:color w:val="000000"/>
          <w:sz w:val="20"/>
          <w:szCs w:val="20"/>
        </w:rPr>
        <w:t>investigated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separation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bioactive</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compounds</w:t>
      </w:r>
      <w:proofErr w:type="spellEnd"/>
      <w:r w:rsidRPr="007F2494">
        <w:rPr>
          <w:rFonts w:eastAsia="Calibri"/>
          <w:color w:val="000000"/>
          <w:sz w:val="20"/>
          <w:szCs w:val="20"/>
        </w:rPr>
        <w:t xml:space="preserve"> </w:t>
      </w:r>
      <w:proofErr w:type="spellStart"/>
      <w:r w:rsidRPr="007F2494">
        <w:rPr>
          <w:rFonts w:eastAsia="Calibri"/>
          <w:color w:val="000000"/>
          <w:sz w:val="20"/>
          <w:szCs w:val="20"/>
        </w:rPr>
        <w:t>from</w:t>
      </w:r>
      <w:proofErr w:type="spellEnd"/>
      <w:r w:rsidRPr="007F2494">
        <w:rPr>
          <w:rFonts w:eastAsia="Calibri"/>
          <w:color w:val="000000"/>
          <w:sz w:val="20"/>
          <w:szCs w:val="20"/>
        </w:rPr>
        <w:t xml:space="preserve"> </w:t>
      </w:r>
      <w:r w:rsidRPr="00E231A1">
        <w:rPr>
          <w:rFonts w:eastAsia="Calibri"/>
          <w:i/>
          <w:iCs/>
          <w:color w:val="000000"/>
          <w:sz w:val="20"/>
          <w:szCs w:val="20"/>
        </w:rPr>
        <w:t xml:space="preserve">P. </w:t>
      </w:r>
      <w:proofErr w:type="spellStart"/>
      <w:r w:rsidRPr="00E231A1">
        <w:rPr>
          <w:rFonts w:eastAsia="Calibri"/>
          <w:i/>
          <w:iCs/>
          <w:color w:val="000000"/>
          <w:sz w:val="20"/>
          <w:szCs w:val="20"/>
        </w:rPr>
        <w:t>glomerata</w:t>
      </w:r>
      <w:proofErr w:type="spellEnd"/>
      <w:r w:rsidRPr="007F2494">
        <w:rPr>
          <w:rFonts w:eastAsia="Calibri"/>
          <w:color w:val="000000"/>
          <w:sz w:val="20"/>
          <w:szCs w:val="20"/>
        </w:rPr>
        <w:t xml:space="preserve"> roots </w:t>
      </w:r>
      <w:proofErr w:type="spellStart"/>
      <w:r w:rsidRPr="007F2494">
        <w:rPr>
          <w:rFonts w:eastAsia="Calibri"/>
          <w:color w:val="000000"/>
          <w:sz w:val="20"/>
          <w:szCs w:val="20"/>
        </w:rPr>
        <w:t>using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various</w:t>
      </w:r>
      <w:proofErr w:type="spellEnd"/>
      <w:r w:rsidRPr="007F2494">
        <w:rPr>
          <w:rFonts w:eastAsia="Calibri"/>
          <w:color w:val="000000"/>
          <w:sz w:val="20"/>
          <w:szCs w:val="20"/>
        </w:rPr>
        <w:t xml:space="preserve"> </w:t>
      </w:r>
      <w:proofErr w:type="spellStart"/>
      <w:r w:rsidRPr="007F2494">
        <w:rPr>
          <w:rFonts w:eastAsia="Calibri"/>
          <w:color w:val="000000"/>
          <w:sz w:val="20"/>
          <w:szCs w:val="20"/>
        </w:rPr>
        <w:t>drying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methods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green</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extraction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technologies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Their</w:t>
      </w:r>
      <w:proofErr w:type="spellEnd"/>
      <w:r w:rsidRPr="007F2494">
        <w:rPr>
          <w:rFonts w:eastAsia="Calibri"/>
          <w:color w:val="000000"/>
          <w:sz w:val="20"/>
          <w:szCs w:val="20"/>
        </w:rPr>
        <w:t xml:space="preserve"> </w:t>
      </w:r>
      <w:proofErr w:type="spellStart"/>
      <w:r w:rsidRPr="007F2494">
        <w:rPr>
          <w:rFonts w:eastAsia="Calibri"/>
          <w:color w:val="000000"/>
          <w:sz w:val="20"/>
          <w:szCs w:val="20"/>
        </w:rPr>
        <w:t>work</w:t>
      </w:r>
      <w:proofErr w:type="spellEnd"/>
      <w:r w:rsidRPr="007F2494">
        <w:rPr>
          <w:rFonts w:eastAsia="Calibri"/>
          <w:color w:val="000000"/>
          <w:sz w:val="20"/>
          <w:szCs w:val="20"/>
        </w:rPr>
        <w:t xml:space="preserve"> </w:t>
      </w:r>
      <w:proofErr w:type="spellStart"/>
      <w:r w:rsidRPr="007F2494">
        <w:rPr>
          <w:rFonts w:eastAsia="Calibri"/>
          <w:color w:val="000000"/>
          <w:sz w:val="20"/>
          <w:szCs w:val="20"/>
        </w:rPr>
        <w:t>demonstrated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that</w:t>
      </w:r>
      <w:proofErr w:type="spellEnd"/>
      <w:r w:rsidRPr="007F2494">
        <w:rPr>
          <w:rFonts w:eastAsia="Calibri"/>
          <w:color w:val="000000"/>
          <w:sz w:val="20"/>
          <w:szCs w:val="20"/>
        </w:rPr>
        <w:t xml:space="preserve"> </w:t>
      </w:r>
      <w:proofErr w:type="spellStart"/>
      <w:r w:rsidRPr="007F2494">
        <w:rPr>
          <w:rFonts w:eastAsia="Calibri"/>
          <w:color w:val="000000"/>
          <w:sz w:val="20"/>
          <w:szCs w:val="20"/>
        </w:rPr>
        <w:t>sustainable</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extraction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techniques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including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ultrasound-assisted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pressurized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liquid</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extraction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significantly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influence</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yields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purities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major </w:t>
      </w:r>
      <w:proofErr w:type="spellStart"/>
      <w:r w:rsidRPr="007F2494">
        <w:rPr>
          <w:rFonts w:eastAsia="Calibri"/>
          <w:color w:val="000000"/>
          <w:sz w:val="20"/>
          <w:szCs w:val="20"/>
        </w:rPr>
        <w:t>compounds</w:t>
      </w:r>
      <w:proofErr w:type="spellEnd"/>
      <w:r w:rsidRPr="007F2494">
        <w:rPr>
          <w:rFonts w:eastAsia="Calibri"/>
          <w:color w:val="000000"/>
          <w:sz w:val="20"/>
          <w:szCs w:val="20"/>
        </w:rPr>
        <w:t xml:space="preserve">, </w:t>
      </w:r>
      <w:proofErr w:type="spellStart"/>
      <w:r w:rsidRPr="007F2494">
        <w:rPr>
          <w:rFonts w:eastAsia="Calibri"/>
          <w:color w:val="000000"/>
          <w:sz w:val="20"/>
          <w:szCs w:val="20"/>
        </w:rPr>
        <w:t>such</w:t>
      </w:r>
      <w:proofErr w:type="spellEnd"/>
      <w:r w:rsidRPr="007F2494">
        <w:rPr>
          <w:rFonts w:eastAsia="Calibri"/>
          <w:color w:val="000000"/>
          <w:sz w:val="20"/>
          <w:szCs w:val="20"/>
        </w:rPr>
        <w:t xml:space="preserve"> as β-</w:t>
      </w:r>
      <w:proofErr w:type="spellStart"/>
      <w:r w:rsidRPr="007F2494">
        <w:rPr>
          <w:rFonts w:eastAsia="Calibri"/>
          <w:color w:val="000000"/>
          <w:sz w:val="20"/>
          <w:szCs w:val="20"/>
        </w:rPr>
        <w:t>ecdysone</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phenolic</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constituents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Additionally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physicochemical</w:t>
      </w:r>
      <w:proofErr w:type="spellEnd"/>
      <w:r w:rsidRPr="007F2494">
        <w:rPr>
          <w:rFonts w:eastAsia="Calibri"/>
          <w:color w:val="000000"/>
          <w:sz w:val="20"/>
          <w:szCs w:val="20"/>
        </w:rPr>
        <w:t xml:space="preserve"> assessment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obtained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extracts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revealed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promising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stability</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antioxidant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potential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emphasizing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importance</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optimizing</w:t>
      </w:r>
      <w:proofErr w:type="spellEnd"/>
      <w:r w:rsidRPr="007F2494">
        <w:rPr>
          <w:rFonts w:eastAsia="Calibri"/>
          <w:color w:val="000000"/>
          <w:sz w:val="20"/>
          <w:szCs w:val="20"/>
        </w:rPr>
        <w:t xml:space="preserve"> post-</w:t>
      </w:r>
      <w:proofErr w:type="spellStart"/>
      <w:r w:rsidRPr="007F2494">
        <w:rPr>
          <w:rFonts w:eastAsia="Calibri"/>
          <w:color w:val="000000"/>
          <w:sz w:val="20"/>
          <w:szCs w:val="20"/>
        </w:rPr>
        <w:t>harvest</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processing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parameters</w:t>
      </w:r>
      <w:proofErr w:type="spellEnd"/>
      <w:r w:rsidRPr="007F2494">
        <w:rPr>
          <w:rFonts w:eastAsia="Calibri"/>
          <w:color w:val="000000"/>
          <w:sz w:val="20"/>
          <w:szCs w:val="20"/>
        </w:rPr>
        <w:t xml:space="preserve"> </w:t>
      </w:r>
      <w:proofErr w:type="spellStart"/>
      <w:r w:rsidRPr="007F2494">
        <w:rPr>
          <w:rFonts w:eastAsia="Calibri"/>
          <w:color w:val="000000"/>
          <w:sz w:val="20"/>
          <w:szCs w:val="20"/>
        </w:rPr>
        <w:t>to</w:t>
      </w:r>
      <w:proofErr w:type="spellEnd"/>
      <w:r w:rsidRPr="007F2494">
        <w:rPr>
          <w:rFonts w:eastAsia="Calibri"/>
          <w:color w:val="000000"/>
          <w:sz w:val="20"/>
          <w:szCs w:val="20"/>
        </w:rPr>
        <w:t xml:space="preserve"> 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plant’s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bioactivity</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Complementarily</w:t>
      </w:r>
      <w:proofErr w:type="spellEnd"/>
      <w:r w:rsidRPr="007F2494">
        <w:rPr>
          <w:rFonts w:eastAsia="Calibri"/>
          <w:color w:val="000000"/>
          <w:sz w:val="20"/>
          <w:szCs w:val="20"/>
        </w:rPr>
        <w:t xml:space="preserve">, Neves et al. (2022) </w:t>
      </w:r>
      <w:proofErr w:type="spellStart"/>
      <w:r w:rsidRPr="007F2494">
        <w:rPr>
          <w:rFonts w:eastAsia="Calibri"/>
          <w:color w:val="000000"/>
          <w:sz w:val="20"/>
          <w:szCs w:val="20"/>
        </w:rPr>
        <w:t>evaluated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effects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lanthanum</w:t>
      </w:r>
      <w:proofErr w:type="spellEnd"/>
      <w:r w:rsidRPr="007F2494">
        <w:rPr>
          <w:rFonts w:eastAsia="Calibri"/>
          <w:color w:val="000000"/>
          <w:sz w:val="20"/>
          <w:szCs w:val="20"/>
        </w:rPr>
        <w:t xml:space="preserve"> oxide </w:t>
      </w:r>
      <w:proofErr w:type="spellStart"/>
      <w:r w:rsidRPr="007F2494">
        <w:rPr>
          <w:rFonts w:eastAsia="Calibri"/>
          <w:color w:val="000000"/>
          <w:sz w:val="20"/>
          <w:szCs w:val="20"/>
        </w:rPr>
        <w:t>nanoparticles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La₂O</w:t>
      </w:r>
      <w:proofErr w:type="spellEnd"/>
      <w:r w:rsidRPr="007F2494">
        <w:rPr>
          <w:rFonts w:eastAsia="Calibri"/>
          <w:color w:val="000000"/>
          <w:sz w:val="20"/>
          <w:szCs w:val="20"/>
        </w:rPr>
        <w:t xml:space="preserve">₃ </w:t>
      </w:r>
      <w:proofErr w:type="spellStart"/>
      <w:r w:rsidRPr="007F2494">
        <w:rPr>
          <w:rFonts w:eastAsia="Calibri"/>
          <w:color w:val="000000"/>
          <w:sz w:val="20"/>
          <w:szCs w:val="20"/>
        </w:rPr>
        <w:t>NPs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their</w:t>
      </w:r>
      <w:proofErr w:type="spellEnd"/>
      <w:r w:rsidRPr="007F2494">
        <w:rPr>
          <w:rFonts w:eastAsia="Calibri"/>
          <w:color w:val="000000"/>
          <w:sz w:val="20"/>
          <w:szCs w:val="20"/>
        </w:rPr>
        <w:t xml:space="preserve"> bulk </w:t>
      </w:r>
      <w:proofErr w:type="spellStart"/>
      <w:r w:rsidRPr="007F2494">
        <w:rPr>
          <w:rFonts w:eastAsia="Calibri"/>
          <w:color w:val="000000"/>
          <w:sz w:val="20"/>
          <w:szCs w:val="20"/>
        </w:rPr>
        <w:t>counterpart</w:t>
      </w:r>
      <w:proofErr w:type="spellEnd"/>
      <w:r w:rsidRPr="007F2494">
        <w:rPr>
          <w:rFonts w:eastAsia="Calibri"/>
          <w:color w:val="000000"/>
          <w:sz w:val="20"/>
          <w:szCs w:val="20"/>
        </w:rPr>
        <w:t xml:space="preserve"> </w:t>
      </w:r>
      <w:proofErr w:type="spellStart"/>
      <w:r w:rsidRPr="007F2494">
        <w:rPr>
          <w:rFonts w:eastAsia="Calibri"/>
          <w:color w:val="000000"/>
          <w:sz w:val="20"/>
          <w:szCs w:val="20"/>
        </w:rPr>
        <w:t>on</w:t>
      </w:r>
      <w:proofErr w:type="spellEnd"/>
      <w:r w:rsidRPr="007F2494">
        <w:rPr>
          <w:rFonts w:eastAsia="Calibri"/>
          <w:color w:val="000000"/>
          <w:sz w:val="20"/>
          <w:szCs w:val="20"/>
        </w:rPr>
        <w:t xml:space="preserve"> </w:t>
      </w:r>
      <w:r w:rsidRPr="00E231A1">
        <w:rPr>
          <w:rFonts w:eastAsia="Calibri"/>
          <w:i/>
          <w:iCs/>
          <w:color w:val="000000"/>
          <w:sz w:val="20"/>
          <w:szCs w:val="20"/>
        </w:rPr>
        <w:t xml:space="preserve">P. </w:t>
      </w:r>
      <w:proofErr w:type="spellStart"/>
      <w:r w:rsidRPr="00E231A1">
        <w:rPr>
          <w:rFonts w:eastAsia="Calibri"/>
          <w:i/>
          <w:iCs/>
          <w:color w:val="000000"/>
          <w:sz w:val="20"/>
          <w:szCs w:val="20"/>
        </w:rPr>
        <w:t>glomerata</w:t>
      </w:r>
      <w:proofErr w:type="spellEnd"/>
      <w:r w:rsidRPr="007F2494">
        <w:rPr>
          <w:rFonts w:eastAsia="Calibri"/>
          <w:color w:val="000000"/>
          <w:sz w:val="20"/>
          <w:szCs w:val="20"/>
        </w:rPr>
        <w:t xml:space="preserve"> </w:t>
      </w:r>
      <w:proofErr w:type="spellStart"/>
      <w:r w:rsidRPr="007F2494">
        <w:rPr>
          <w:rFonts w:eastAsia="Calibri"/>
          <w:color w:val="000000"/>
          <w:sz w:val="20"/>
          <w:szCs w:val="20"/>
        </w:rPr>
        <w:t>development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Their</w:t>
      </w:r>
      <w:proofErr w:type="spellEnd"/>
      <w:r w:rsidRPr="007F2494">
        <w:rPr>
          <w:rFonts w:eastAsia="Calibri"/>
          <w:color w:val="000000"/>
          <w:sz w:val="20"/>
          <w:szCs w:val="20"/>
        </w:rPr>
        <w:t xml:space="preserve"> </w:t>
      </w:r>
      <w:proofErr w:type="spellStart"/>
      <w:r w:rsidRPr="007F2494">
        <w:rPr>
          <w:rFonts w:eastAsia="Calibri"/>
          <w:color w:val="000000"/>
          <w:sz w:val="20"/>
          <w:szCs w:val="20"/>
        </w:rPr>
        <w:t>results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indicated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that</w:t>
      </w:r>
      <w:proofErr w:type="spellEnd"/>
      <w:r w:rsidRPr="007F2494">
        <w:rPr>
          <w:rFonts w:eastAsia="Calibri"/>
          <w:color w:val="000000"/>
          <w:sz w:val="20"/>
          <w:szCs w:val="20"/>
        </w:rPr>
        <w:t xml:space="preserve"> nano-</w:t>
      </w:r>
      <w:proofErr w:type="spellStart"/>
      <w:r w:rsidRPr="007F2494">
        <w:rPr>
          <w:rFonts w:eastAsia="Calibri"/>
          <w:color w:val="000000"/>
          <w:sz w:val="20"/>
          <w:szCs w:val="20"/>
        </w:rPr>
        <w:t>sized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La₂O</w:t>
      </w:r>
      <w:proofErr w:type="spellEnd"/>
      <w:r w:rsidRPr="007F2494">
        <w:rPr>
          <w:rFonts w:eastAsia="Calibri"/>
          <w:color w:val="000000"/>
          <w:sz w:val="20"/>
          <w:szCs w:val="20"/>
        </w:rPr>
        <w:t xml:space="preserve">₃ </w:t>
      </w:r>
      <w:proofErr w:type="spellStart"/>
      <w:r w:rsidRPr="007F2494">
        <w:rPr>
          <w:rFonts w:eastAsia="Calibri"/>
          <w:color w:val="000000"/>
          <w:sz w:val="20"/>
          <w:szCs w:val="20"/>
        </w:rPr>
        <w:t>altered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nutrient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uptake</w:t>
      </w:r>
      <w:proofErr w:type="spellEnd"/>
      <w:r w:rsidRPr="007F2494">
        <w:rPr>
          <w:rFonts w:eastAsia="Calibri"/>
          <w:color w:val="000000"/>
          <w:sz w:val="20"/>
          <w:szCs w:val="20"/>
        </w:rPr>
        <w:t xml:space="preserve"> dynamics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elemental </w:t>
      </w:r>
      <w:proofErr w:type="spellStart"/>
      <w:r w:rsidRPr="007F2494">
        <w:rPr>
          <w:rFonts w:eastAsia="Calibri"/>
          <w:color w:val="000000"/>
          <w:sz w:val="20"/>
          <w:szCs w:val="20"/>
        </w:rPr>
        <w:t>composition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suggesting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enhanced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bioavailability</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certain</w:t>
      </w:r>
      <w:proofErr w:type="spellEnd"/>
      <w:r w:rsidRPr="007F2494">
        <w:rPr>
          <w:rFonts w:eastAsia="Calibri"/>
          <w:color w:val="000000"/>
          <w:sz w:val="20"/>
          <w:szCs w:val="20"/>
        </w:rPr>
        <w:t xml:space="preserve"> </w:t>
      </w:r>
      <w:proofErr w:type="spellStart"/>
      <w:r w:rsidRPr="007F2494">
        <w:rPr>
          <w:rFonts w:eastAsia="Calibri"/>
          <w:color w:val="000000"/>
          <w:sz w:val="20"/>
          <w:szCs w:val="20"/>
        </w:rPr>
        <w:t>micronutrients</w:t>
      </w:r>
      <w:proofErr w:type="spellEnd"/>
      <w:r w:rsidRPr="007F2494">
        <w:rPr>
          <w:rFonts w:eastAsia="Calibri"/>
          <w:color w:val="000000"/>
          <w:sz w:val="20"/>
          <w:szCs w:val="20"/>
        </w:rPr>
        <w:t xml:space="preserve"> </w:t>
      </w:r>
      <w:proofErr w:type="spellStart"/>
      <w:r w:rsidRPr="007F2494">
        <w:rPr>
          <w:rFonts w:eastAsia="Calibri"/>
          <w:color w:val="000000"/>
          <w:sz w:val="20"/>
          <w:szCs w:val="20"/>
        </w:rPr>
        <w:t>but</w:t>
      </w:r>
      <w:proofErr w:type="spellEnd"/>
      <w:r w:rsidRPr="007F2494">
        <w:rPr>
          <w:rFonts w:eastAsia="Calibri"/>
          <w:color w:val="000000"/>
          <w:sz w:val="20"/>
          <w:szCs w:val="20"/>
        </w:rPr>
        <w:t xml:space="preserve"> </w:t>
      </w:r>
      <w:proofErr w:type="spellStart"/>
      <w:r w:rsidRPr="007F2494">
        <w:rPr>
          <w:rFonts w:eastAsia="Calibri"/>
          <w:color w:val="000000"/>
          <w:sz w:val="20"/>
          <w:szCs w:val="20"/>
        </w:rPr>
        <w:t>also</w:t>
      </w:r>
      <w:proofErr w:type="spellEnd"/>
      <w:r w:rsidRPr="007F2494">
        <w:rPr>
          <w:rFonts w:eastAsia="Calibri"/>
          <w:color w:val="000000"/>
          <w:sz w:val="20"/>
          <w:szCs w:val="20"/>
        </w:rPr>
        <w:t xml:space="preserve"> </w:t>
      </w:r>
      <w:proofErr w:type="spellStart"/>
      <w:r w:rsidRPr="007F2494">
        <w:rPr>
          <w:rFonts w:eastAsia="Calibri"/>
          <w:color w:val="000000"/>
          <w:sz w:val="20"/>
          <w:szCs w:val="20"/>
        </w:rPr>
        <w:t>potential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toxicity</w:t>
      </w:r>
      <w:proofErr w:type="spellEnd"/>
      <w:r w:rsidRPr="007F2494">
        <w:rPr>
          <w:rFonts w:eastAsia="Calibri"/>
          <w:color w:val="000000"/>
          <w:sz w:val="20"/>
          <w:szCs w:val="20"/>
        </w:rPr>
        <w:t xml:space="preserve"> </w:t>
      </w:r>
      <w:proofErr w:type="spellStart"/>
      <w:r w:rsidRPr="007F2494">
        <w:rPr>
          <w:rFonts w:eastAsia="Calibri"/>
          <w:color w:val="000000"/>
          <w:sz w:val="20"/>
          <w:szCs w:val="20"/>
        </w:rPr>
        <w:t>at</w:t>
      </w:r>
      <w:proofErr w:type="spellEnd"/>
      <w:r w:rsidRPr="007F2494">
        <w:rPr>
          <w:rFonts w:eastAsia="Calibri"/>
          <w:color w:val="000000"/>
          <w:sz w:val="20"/>
          <w:szCs w:val="20"/>
        </w:rPr>
        <w:t xml:space="preserve"> </w:t>
      </w:r>
      <w:proofErr w:type="spellStart"/>
      <w:r w:rsidRPr="007F2494">
        <w:rPr>
          <w:rFonts w:eastAsia="Calibri"/>
          <w:color w:val="000000"/>
          <w:sz w:val="20"/>
          <w:szCs w:val="20"/>
        </w:rPr>
        <w:t>higher</w:t>
      </w:r>
      <w:proofErr w:type="spellEnd"/>
      <w:r w:rsidRPr="007F2494">
        <w:rPr>
          <w:rFonts w:eastAsia="Calibri"/>
          <w:color w:val="000000"/>
          <w:sz w:val="20"/>
          <w:szCs w:val="20"/>
        </w:rPr>
        <w:t xml:space="preserve"> </w:t>
      </w:r>
      <w:proofErr w:type="spellStart"/>
      <w:r w:rsidRPr="007F2494">
        <w:rPr>
          <w:rFonts w:eastAsia="Calibri"/>
          <w:color w:val="000000"/>
          <w:sz w:val="20"/>
          <w:szCs w:val="20"/>
        </w:rPr>
        <w:t>nanoparticle</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concentrations</w:t>
      </w:r>
      <w:proofErr w:type="spellEnd"/>
      <w:r w:rsidRPr="007F2494">
        <w:rPr>
          <w:rFonts w:eastAsia="Calibri"/>
          <w:color w:val="000000"/>
          <w:sz w:val="20"/>
          <w:szCs w:val="20"/>
        </w:rPr>
        <w:t xml:space="preserve">. The </w:t>
      </w:r>
      <w:proofErr w:type="spellStart"/>
      <w:r w:rsidRPr="007F2494">
        <w:rPr>
          <w:rFonts w:eastAsia="Calibri"/>
          <w:color w:val="000000"/>
          <w:sz w:val="20"/>
          <w:szCs w:val="20"/>
        </w:rPr>
        <w:t>study</w:t>
      </w:r>
      <w:proofErr w:type="spellEnd"/>
      <w:r w:rsidRPr="007F2494">
        <w:rPr>
          <w:rFonts w:eastAsia="Calibri"/>
          <w:color w:val="000000"/>
          <w:sz w:val="20"/>
          <w:szCs w:val="20"/>
        </w:rPr>
        <w:t xml:space="preserve"> </w:t>
      </w:r>
      <w:proofErr w:type="spellStart"/>
      <w:r w:rsidRPr="007F2494">
        <w:rPr>
          <w:rFonts w:eastAsia="Calibri"/>
          <w:color w:val="000000"/>
          <w:sz w:val="20"/>
          <w:szCs w:val="20"/>
        </w:rPr>
        <w:t>provided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valuable</w:t>
      </w:r>
      <w:proofErr w:type="spellEnd"/>
      <w:r w:rsidRPr="007F2494">
        <w:rPr>
          <w:rFonts w:eastAsia="Calibri"/>
          <w:color w:val="000000"/>
          <w:sz w:val="20"/>
          <w:szCs w:val="20"/>
        </w:rPr>
        <w:t xml:space="preserve"> insights </w:t>
      </w:r>
      <w:proofErr w:type="spellStart"/>
      <w:r w:rsidRPr="007F2494">
        <w:rPr>
          <w:rFonts w:eastAsia="Calibri"/>
          <w:color w:val="000000"/>
          <w:sz w:val="20"/>
          <w:szCs w:val="20"/>
        </w:rPr>
        <w:t>into</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physiological</w:t>
      </w:r>
      <w:proofErr w:type="spellEnd"/>
      <w:r w:rsidRPr="007F2494">
        <w:rPr>
          <w:rFonts w:eastAsia="Calibri"/>
          <w:color w:val="000000"/>
          <w:sz w:val="20"/>
          <w:szCs w:val="20"/>
        </w:rPr>
        <w:t xml:space="preserve"> responses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r w:rsidRPr="00E231A1">
        <w:rPr>
          <w:rFonts w:eastAsia="Calibri"/>
          <w:i/>
          <w:iCs/>
          <w:color w:val="000000"/>
          <w:sz w:val="20"/>
          <w:szCs w:val="20"/>
        </w:rPr>
        <w:t xml:space="preserve">P. </w:t>
      </w:r>
      <w:proofErr w:type="spellStart"/>
      <w:r w:rsidRPr="00E231A1">
        <w:rPr>
          <w:rFonts w:eastAsia="Calibri"/>
          <w:i/>
          <w:iCs/>
          <w:color w:val="000000"/>
          <w:sz w:val="20"/>
          <w:szCs w:val="20"/>
        </w:rPr>
        <w:t>glomerata</w:t>
      </w:r>
      <w:proofErr w:type="spellEnd"/>
      <w:r w:rsidRPr="007F2494">
        <w:rPr>
          <w:rFonts w:eastAsia="Calibri"/>
          <w:color w:val="000000"/>
          <w:sz w:val="20"/>
          <w:szCs w:val="20"/>
        </w:rPr>
        <w:t xml:space="preserve"> </w:t>
      </w:r>
      <w:proofErr w:type="spellStart"/>
      <w:r w:rsidRPr="007F2494">
        <w:rPr>
          <w:rFonts w:eastAsia="Calibri"/>
          <w:color w:val="000000"/>
          <w:sz w:val="20"/>
          <w:szCs w:val="20"/>
        </w:rPr>
        <w:t>to</w:t>
      </w:r>
      <w:proofErr w:type="spellEnd"/>
      <w:r w:rsidRPr="007F2494">
        <w:rPr>
          <w:rFonts w:eastAsia="Calibri"/>
          <w:color w:val="000000"/>
          <w:sz w:val="20"/>
          <w:szCs w:val="20"/>
        </w:rPr>
        <w:t xml:space="preserve"> </w:t>
      </w:r>
      <w:proofErr w:type="spellStart"/>
      <w:r w:rsidRPr="007F2494">
        <w:rPr>
          <w:rFonts w:eastAsia="Calibri"/>
          <w:color w:val="000000"/>
          <w:sz w:val="20"/>
          <w:szCs w:val="20"/>
        </w:rPr>
        <w:t>nanoparticle</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exposure</w:t>
      </w:r>
      <w:proofErr w:type="spellEnd"/>
      <w:r w:rsidRPr="007F2494">
        <w:rPr>
          <w:rFonts w:eastAsia="Calibri"/>
          <w:color w:val="000000"/>
          <w:sz w:val="20"/>
          <w:szCs w:val="20"/>
        </w:rPr>
        <w:t xml:space="preserve">, </w:t>
      </w:r>
      <w:proofErr w:type="spellStart"/>
      <w:r w:rsidRPr="007F2494">
        <w:rPr>
          <w:rFonts w:eastAsia="Calibri"/>
          <w:color w:val="000000"/>
          <w:sz w:val="20"/>
          <w:szCs w:val="20"/>
        </w:rPr>
        <w:t>particularly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relevant</w:t>
      </w:r>
      <w:proofErr w:type="spellEnd"/>
      <w:r w:rsidRPr="007F2494">
        <w:rPr>
          <w:rFonts w:eastAsia="Calibri"/>
          <w:color w:val="000000"/>
          <w:sz w:val="20"/>
          <w:szCs w:val="20"/>
        </w:rPr>
        <w:t xml:space="preserve"> for </w:t>
      </w:r>
      <w:proofErr w:type="spellStart"/>
      <w:r w:rsidRPr="007F2494">
        <w:rPr>
          <w:rFonts w:eastAsia="Calibri"/>
          <w:color w:val="000000"/>
          <w:sz w:val="20"/>
          <w:szCs w:val="20"/>
        </w:rPr>
        <w:t>cultivation</w:t>
      </w:r>
      <w:proofErr w:type="spellEnd"/>
      <w:r w:rsidRPr="007F2494">
        <w:rPr>
          <w:rFonts w:eastAsia="Calibri"/>
          <w:color w:val="000000"/>
          <w:sz w:val="20"/>
          <w:szCs w:val="20"/>
        </w:rPr>
        <w:t xml:space="preserve"> in </w:t>
      </w:r>
      <w:proofErr w:type="spellStart"/>
      <w:r w:rsidRPr="007F2494">
        <w:rPr>
          <w:rFonts w:eastAsia="Calibri"/>
          <w:color w:val="000000"/>
          <w:sz w:val="20"/>
          <w:szCs w:val="20"/>
        </w:rPr>
        <w:t>soils</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influenced</w:t>
      </w:r>
      <w:proofErr w:type="spellEnd"/>
      <w:r w:rsidRPr="007F2494">
        <w:rPr>
          <w:rFonts w:eastAsia="Calibri"/>
          <w:color w:val="000000"/>
          <w:sz w:val="20"/>
          <w:szCs w:val="20"/>
        </w:rPr>
        <w:t xml:space="preserve"> </w:t>
      </w:r>
      <w:proofErr w:type="spellStart"/>
      <w:r w:rsidRPr="007F2494">
        <w:rPr>
          <w:rFonts w:eastAsia="Calibri"/>
          <w:color w:val="000000"/>
          <w:sz w:val="20"/>
          <w:szCs w:val="20"/>
        </w:rPr>
        <w:t>by</w:t>
      </w:r>
      <w:proofErr w:type="spellEnd"/>
      <w:r w:rsidRPr="007F2494">
        <w:rPr>
          <w:rFonts w:eastAsia="Calibri"/>
          <w:color w:val="000000"/>
          <w:sz w:val="20"/>
          <w:szCs w:val="20"/>
        </w:rPr>
        <w:t xml:space="preserve"> nanomaterial inputs. </w:t>
      </w:r>
      <w:proofErr w:type="spellStart"/>
      <w:r w:rsidRPr="007F2494">
        <w:rPr>
          <w:rFonts w:eastAsia="Calibri"/>
          <w:color w:val="000000"/>
          <w:sz w:val="20"/>
          <w:szCs w:val="20"/>
        </w:rPr>
        <w:t>Together</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these</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investigations</w:t>
      </w:r>
      <w:proofErr w:type="spellEnd"/>
      <w:r w:rsidRPr="007F2494">
        <w:rPr>
          <w:rFonts w:eastAsia="Calibri"/>
          <w:color w:val="000000"/>
          <w:sz w:val="20"/>
          <w:szCs w:val="20"/>
        </w:rPr>
        <w:t xml:space="preserve"> </w:t>
      </w:r>
      <w:proofErr w:type="spellStart"/>
      <w:r w:rsidRPr="007F2494">
        <w:rPr>
          <w:rFonts w:eastAsia="Calibri"/>
          <w:color w:val="000000"/>
          <w:sz w:val="20"/>
          <w:szCs w:val="20"/>
        </w:rPr>
        <w:t>underline</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dual </w:t>
      </w:r>
      <w:proofErr w:type="spellStart"/>
      <w:r w:rsidRPr="007F2494">
        <w:rPr>
          <w:rFonts w:eastAsia="Calibri"/>
          <w:color w:val="000000"/>
          <w:sz w:val="20"/>
          <w:szCs w:val="20"/>
        </w:rPr>
        <w:t>importance</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sustainable</w:t>
      </w:r>
      <w:proofErr w:type="spellEnd"/>
      <w:r w:rsidRPr="007F2494">
        <w:rPr>
          <w:rFonts w:eastAsia="Calibri"/>
          <w:color w:val="000000"/>
          <w:sz w:val="20"/>
          <w:szCs w:val="20"/>
        </w:rPr>
        <w:t xml:space="preserve"> </w:t>
      </w:r>
      <w:proofErr w:type="spellStart"/>
      <w:r w:rsidRPr="007F2494">
        <w:rPr>
          <w:rFonts w:eastAsia="Calibri"/>
          <w:color w:val="000000"/>
          <w:sz w:val="20"/>
          <w:szCs w:val="20"/>
        </w:rPr>
        <w:t>extraction</w:t>
      </w:r>
      <w:proofErr w:type="spellEnd"/>
      <w:r w:rsidRPr="007F2494">
        <w:rPr>
          <w:rFonts w:eastAsia="Calibri"/>
          <w:color w:val="000000"/>
          <w:sz w:val="20"/>
          <w:szCs w:val="20"/>
        </w:rPr>
        <w:t xml:space="preserve"> </w:t>
      </w:r>
      <w:proofErr w:type="spellStart"/>
      <w:r w:rsidRPr="007F2494">
        <w:rPr>
          <w:rFonts w:eastAsia="Calibri"/>
          <w:color w:val="000000"/>
          <w:sz w:val="20"/>
          <w:szCs w:val="20"/>
        </w:rPr>
        <w:t>strategies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environmental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risk</w:t>
      </w:r>
      <w:proofErr w:type="spellEnd"/>
      <w:r w:rsidRPr="007F2494">
        <w:rPr>
          <w:rFonts w:eastAsia="Calibri"/>
          <w:color w:val="000000"/>
          <w:sz w:val="20"/>
          <w:szCs w:val="20"/>
        </w:rPr>
        <w:t xml:space="preserve"> assessment for </w:t>
      </w:r>
      <w:proofErr w:type="spellStart"/>
      <w:r w:rsidRPr="007F2494">
        <w:rPr>
          <w:rFonts w:eastAsia="Calibri"/>
          <w:color w:val="000000"/>
          <w:sz w:val="20"/>
          <w:szCs w:val="20"/>
        </w:rPr>
        <w:t>maintaining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medicinal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ecological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value</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P. </w:t>
      </w:r>
      <w:proofErr w:type="spellStart"/>
      <w:r w:rsidRPr="007F2494">
        <w:rPr>
          <w:rFonts w:eastAsia="Calibri"/>
          <w:color w:val="000000"/>
          <w:sz w:val="20"/>
          <w:szCs w:val="20"/>
        </w:rPr>
        <w:t>glomerata</w:t>
      </w:r>
      <w:proofErr w:type="spellEnd"/>
      <w:r w:rsidRPr="007F2494">
        <w:rPr>
          <w:rFonts w:eastAsia="Calibri"/>
          <w:color w:val="000000"/>
          <w:sz w:val="20"/>
          <w:szCs w:val="20"/>
        </w:rPr>
        <w:t xml:space="preserve">. </w:t>
      </w:r>
      <w:proofErr w:type="spellStart"/>
      <w:r w:rsidRPr="007F2494">
        <w:rPr>
          <w:rFonts w:eastAsia="Calibri"/>
          <w:color w:val="000000"/>
          <w:sz w:val="20"/>
          <w:szCs w:val="20"/>
        </w:rPr>
        <w:t>By</w:t>
      </w:r>
      <w:proofErr w:type="spellEnd"/>
      <w:r w:rsidRPr="007F2494">
        <w:rPr>
          <w:rFonts w:eastAsia="Calibri"/>
          <w:color w:val="000000"/>
          <w:sz w:val="20"/>
          <w:szCs w:val="20"/>
        </w:rPr>
        <w:t xml:space="preserve"> </w:t>
      </w:r>
      <w:proofErr w:type="spellStart"/>
      <w:r w:rsidRPr="007F2494">
        <w:rPr>
          <w:rFonts w:eastAsia="Calibri"/>
          <w:color w:val="000000"/>
          <w:sz w:val="20"/>
          <w:szCs w:val="20"/>
        </w:rPr>
        <w:t>integrating</w:t>
      </w:r>
      <w:proofErr w:type="spellEnd"/>
      <w:r w:rsidRPr="007F2494">
        <w:rPr>
          <w:rFonts w:eastAsia="Calibri"/>
          <w:color w:val="000000"/>
          <w:sz w:val="20"/>
          <w:szCs w:val="20"/>
        </w:rPr>
        <w:t xml:space="preserve"> </w:t>
      </w:r>
      <w:proofErr w:type="spellStart"/>
      <w:r w:rsidRPr="007F2494">
        <w:rPr>
          <w:rFonts w:eastAsia="Calibri"/>
          <w:color w:val="000000"/>
          <w:sz w:val="20"/>
          <w:szCs w:val="20"/>
        </w:rPr>
        <w:t>such</w:t>
      </w:r>
      <w:proofErr w:type="spellEnd"/>
      <w:r w:rsidRPr="007F2494">
        <w:rPr>
          <w:rFonts w:eastAsia="Calibri"/>
          <w:color w:val="000000"/>
          <w:sz w:val="20"/>
          <w:szCs w:val="20"/>
        </w:rPr>
        <w:t xml:space="preserve"> </w:t>
      </w:r>
      <w:proofErr w:type="spellStart"/>
      <w:r w:rsidRPr="007F2494">
        <w:rPr>
          <w:rFonts w:eastAsia="Calibri"/>
          <w:color w:val="000000"/>
          <w:sz w:val="20"/>
          <w:szCs w:val="20"/>
        </w:rPr>
        <w:t>findings</w:t>
      </w:r>
      <w:proofErr w:type="spellEnd"/>
      <w:r w:rsidRPr="007F2494">
        <w:rPr>
          <w:rFonts w:eastAsia="Calibri"/>
          <w:color w:val="000000"/>
          <w:sz w:val="20"/>
          <w:szCs w:val="20"/>
        </w:rPr>
        <w:t xml:space="preserve">, future </w:t>
      </w:r>
      <w:proofErr w:type="spellStart"/>
      <w:r w:rsidRPr="007F2494">
        <w:rPr>
          <w:rFonts w:eastAsia="Calibri"/>
          <w:color w:val="000000"/>
          <w:sz w:val="20"/>
          <w:szCs w:val="20"/>
        </w:rPr>
        <w:t>studies</w:t>
      </w:r>
      <w:proofErr w:type="spellEnd"/>
      <w:r w:rsidRPr="007F2494">
        <w:rPr>
          <w:rFonts w:eastAsia="Calibri"/>
          <w:color w:val="000000"/>
          <w:sz w:val="20"/>
          <w:szCs w:val="20"/>
        </w:rPr>
        <w:t xml:space="preserve"> </w:t>
      </w:r>
      <w:proofErr w:type="spellStart"/>
      <w:r w:rsidRPr="007F2494">
        <w:rPr>
          <w:rFonts w:eastAsia="Calibri"/>
          <w:color w:val="000000"/>
          <w:sz w:val="20"/>
          <w:szCs w:val="20"/>
        </w:rPr>
        <w:t>can</w:t>
      </w:r>
      <w:proofErr w:type="spellEnd"/>
      <w:r w:rsidRPr="007F2494">
        <w:rPr>
          <w:rFonts w:eastAsia="Calibri"/>
          <w:color w:val="000000"/>
          <w:sz w:val="20"/>
          <w:szCs w:val="20"/>
        </w:rPr>
        <w:t xml:space="preserve"> improve </w:t>
      </w:r>
      <w:proofErr w:type="spellStart"/>
      <w:r w:rsidRPr="007F2494">
        <w:rPr>
          <w:rFonts w:eastAsia="Calibri"/>
          <w:color w:val="000000"/>
          <w:sz w:val="20"/>
          <w:szCs w:val="20"/>
        </w:rPr>
        <w:t>both</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efficiency</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bioactive</w:t>
      </w:r>
      <w:proofErr w:type="spellEnd"/>
      <w:r w:rsidRPr="007F2494">
        <w:rPr>
          <w:rFonts w:eastAsia="Calibri"/>
          <w:color w:val="000000"/>
          <w:sz w:val="20"/>
          <w:szCs w:val="20"/>
        </w:rPr>
        <w:t xml:space="preserve"> </w:t>
      </w:r>
      <w:proofErr w:type="spellStart"/>
      <w:r w:rsidRPr="007F2494">
        <w:rPr>
          <w:rFonts w:eastAsia="Calibri"/>
          <w:color w:val="000000"/>
          <w:sz w:val="20"/>
          <w:szCs w:val="20"/>
        </w:rPr>
        <w:t>compound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recovery</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the</w:t>
      </w:r>
      <w:proofErr w:type="spellEnd"/>
      <w:r w:rsidRPr="007F2494">
        <w:rPr>
          <w:rFonts w:eastAsia="Calibri"/>
          <w:color w:val="000000"/>
          <w:sz w:val="20"/>
          <w:szCs w:val="20"/>
        </w:rPr>
        <w:t xml:space="preserve"> </w:t>
      </w:r>
      <w:proofErr w:type="spellStart"/>
      <w:r w:rsidRPr="007F2494">
        <w:rPr>
          <w:rFonts w:eastAsia="Calibri"/>
          <w:color w:val="000000"/>
          <w:sz w:val="20"/>
          <w:szCs w:val="20"/>
        </w:rPr>
        <w:t>environmental</w:t>
      </w:r>
      <w:proofErr w:type="spellEnd"/>
      <w:r w:rsidRPr="007F2494">
        <w:rPr>
          <w:rFonts w:eastAsia="Calibri"/>
          <w:color w:val="000000"/>
          <w:sz w:val="20"/>
          <w:szCs w:val="20"/>
        </w:rPr>
        <w:t xml:space="preserve"> </w:t>
      </w:r>
      <w:proofErr w:type="spellStart"/>
      <w:r w:rsidRPr="007F2494">
        <w:rPr>
          <w:rFonts w:eastAsia="Calibri"/>
          <w:color w:val="000000"/>
          <w:sz w:val="20"/>
          <w:szCs w:val="20"/>
        </w:rPr>
        <w:t>safety</w:t>
      </w:r>
      <w:proofErr w:type="spellEnd"/>
      <w:r w:rsidRPr="007F2494">
        <w:rPr>
          <w:rFonts w:eastAsia="Calibri"/>
          <w:color w:val="000000"/>
          <w:sz w:val="20"/>
          <w:szCs w:val="20"/>
        </w:rPr>
        <w:t xml:space="preserve"> </w:t>
      </w:r>
      <w:proofErr w:type="spellStart"/>
      <w:r w:rsidRPr="007F2494">
        <w:rPr>
          <w:rFonts w:eastAsia="Calibri"/>
          <w:color w:val="000000"/>
          <w:sz w:val="20"/>
          <w:szCs w:val="20"/>
        </w:rPr>
        <w:t>of</w:t>
      </w:r>
      <w:proofErr w:type="spellEnd"/>
      <w:r w:rsidRPr="007F2494">
        <w:rPr>
          <w:rFonts w:eastAsia="Calibri"/>
          <w:color w:val="000000"/>
          <w:sz w:val="20"/>
          <w:szCs w:val="20"/>
        </w:rPr>
        <w:t xml:space="preserve"> </w:t>
      </w:r>
      <w:proofErr w:type="spellStart"/>
      <w:r w:rsidRPr="007F2494">
        <w:rPr>
          <w:rFonts w:eastAsia="Calibri"/>
          <w:color w:val="000000"/>
          <w:sz w:val="20"/>
          <w:szCs w:val="20"/>
        </w:rPr>
        <w:t>this</w:t>
      </w:r>
      <w:proofErr w:type="spellEnd"/>
      <w:r w:rsidRPr="007F2494">
        <w:rPr>
          <w:rFonts w:eastAsia="Calibri"/>
          <w:color w:val="000000"/>
          <w:sz w:val="20"/>
          <w:szCs w:val="20"/>
        </w:rPr>
        <w:t xml:space="preserve"> </w:t>
      </w:r>
      <w:proofErr w:type="spellStart"/>
      <w:r w:rsidRPr="007F2494">
        <w:rPr>
          <w:rFonts w:eastAsia="Calibri"/>
          <w:color w:val="000000"/>
          <w:sz w:val="20"/>
          <w:szCs w:val="20"/>
        </w:rPr>
        <w:t>culturally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and</w:t>
      </w:r>
      <w:proofErr w:type="spellEnd"/>
      <w:r w:rsidRPr="007F2494">
        <w:rPr>
          <w:rFonts w:eastAsia="Calibri"/>
          <w:color w:val="000000"/>
          <w:sz w:val="20"/>
          <w:szCs w:val="20"/>
        </w:rPr>
        <w:t xml:space="preserve"> </w:t>
      </w:r>
      <w:proofErr w:type="spellStart"/>
      <w:r w:rsidRPr="007F2494">
        <w:rPr>
          <w:rFonts w:eastAsia="Calibri"/>
          <w:color w:val="000000"/>
          <w:sz w:val="20"/>
          <w:szCs w:val="20"/>
        </w:rPr>
        <w:t>economically</w:t>
      </w:r>
      <w:proofErr w:type="spellEnd"/>
      <w:r w:rsidRPr="007F2494">
        <w:rPr>
          <w:rFonts w:eastAsia="Calibri"/>
          <w:color w:val="000000"/>
          <w:sz w:val="20"/>
          <w:szCs w:val="20"/>
        </w:rPr>
        <w:t xml:space="preserve"> </w:t>
      </w:r>
      <w:proofErr w:type="spellStart"/>
      <w:r w:rsidRPr="007F2494">
        <w:rPr>
          <w:rFonts w:eastAsia="Calibri"/>
          <w:color w:val="000000"/>
          <w:sz w:val="20"/>
          <w:szCs w:val="20"/>
        </w:rPr>
        <w:t>significant</w:t>
      </w:r>
      <w:proofErr w:type="spellEnd"/>
      <w:r w:rsidRPr="007F2494">
        <w:rPr>
          <w:rFonts w:eastAsia="Calibri"/>
          <w:color w:val="000000"/>
          <w:sz w:val="20"/>
          <w:szCs w:val="20"/>
        </w:rPr>
        <w:t xml:space="preserve"> </w:t>
      </w:r>
      <w:proofErr w:type="spellStart"/>
      <w:r w:rsidRPr="007F2494">
        <w:rPr>
          <w:rFonts w:eastAsia="Calibri"/>
          <w:color w:val="000000"/>
          <w:sz w:val="20"/>
          <w:szCs w:val="20"/>
        </w:rPr>
        <w:t>Brazilian</w:t>
      </w:r>
      <w:proofErr w:type="spellEnd"/>
      <w:r w:rsidRPr="007F2494">
        <w:rPr>
          <w:rFonts w:eastAsia="Calibri"/>
          <w:color w:val="000000"/>
          <w:sz w:val="20"/>
          <w:szCs w:val="20"/>
        </w:rPr>
        <w:t xml:space="preserve"> </w:t>
      </w:r>
      <w:proofErr w:type="spellStart"/>
      <w:r w:rsidRPr="007F2494">
        <w:rPr>
          <w:rFonts w:eastAsia="Calibri"/>
          <w:color w:val="000000"/>
          <w:sz w:val="20"/>
          <w:szCs w:val="20"/>
        </w:rPr>
        <w:t>species</w:t>
      </w:r>
      <w:proofErr w:type="spellEnd"/>
      <w:r w:rsidRPr="007F2494">
        <w:rPr>
          <w:rFonts w:eastAsia="Calibri"/>
          <w:color w:val="000000"/>
          <w:sz w:val="20"/>
          <w:szCs w:val="20"/>
        </w:rPr>
        <w:t>.</w:t>
      </w:r>
    </w:p>
    <w:p w14:paraId="2F70F85B" w14:textId="77777777" w:rsidR="007F2494" w:rsidRPr="009664EE" w:rsidRDefault="007F2494" w:rsidP="00D511B9">
      <w:pPr>
        <w:pBdr>
          <w:top w:val="nil"/>
          <w:left w:val="nil"/>
          <w:bottom w:val="nil"/>
          <w:right w:val="nil"/>
          <w:between w:val="nil"/>
        </w:pBdr>
        <w:spacing w:line="276" w:lineRule="auto"/>
        <w:ind w:firstLine="708"/>
        <w:jc w:val="both"/>
        <w:rPr>
          <w:rFonts w:eastAsia="Calibri"/>
          <w:color w:val="000000"/>
          <w:sz w:val="20"/>
          <w:szCs w:val="20"/>
        </w:rPr>
      </w:pPr>
    </w:p>
    <w:p w14:paraId="0E90E2F5" w14:textId="77777777" w:rsidR="00E30B0F" w:rsidRPr="009664EE" w:rsidRDefault="008A4894" w:rsidP="000E7590">
      <w:pPr>
        <w:pBdr>
          <w:top w:val="nil"/>
          <w:left w:val="nil"/>
          <w:bottom w:val="nil"/>
          <w:right w:val="nil"/>
          <w:between w:val="nil"/>
        </w:pBdr>
        <w:spacing w:line="276" w:lineRule="auto"/>
        <w:ind w:firstLine="708"/>
        <w:jc w:val="both"/>
        <w:rPr>
          <w:rFonts w:eastAsia="Calibri"/>
          <w:b/>
          <w:color w:val="000000"/>
          <w:sz w:val="20"/>
          <w:szCs w:val="20"/>
        </w:rPr>
      </w:pPr>
      <w:r w:rsidRPr="009664EE">
        <w:rPr>
          <w:rFonts w:eastAsia="Calibri"/>
          <w:b/>
          <w:color w:val="000000"/>
          <w:sz w:val="20"/>
          <w:szCs w:val="20"/>
        </w:rPr>
        <w:t xml:space="preserve">2.3 </w:t>
      </w:r>
      <w:r w:rsidR="000E7590" w:rsidRPr="009664EE">
        <w:rPr>
          <w:rFonts w:eastAsia="Calibri"/>
          <w:b/>
          <w:color w:val="000000"/>
          <w:sz w:val="20"/>
          <w:szCs w:val="20"/>
        </w:rPr>
        <w:t>Green synthesis of metallic nanoparticles</w:t>
      </w:r>
    </w:p>
    <w:p w14:paraId="675F7D49" w14:textId="77777777" w:rsidR="000E7590" w:rsidRPr="009664EE" w:rsidRDefault="000E7590" w:rsidP="000E7590">
      <w:pPr>
        <w:pBdr>
          <w:top w:val="nil"/>
          <w:left w:val="nil"/>
          <w:bottom w:val="nil"/>
          <w:right w:val="nil"/>
          <w:between w:val="nil"/>
        </w:pBdr>
        <w:spacing w:line="276" w:lineRule="auto"/>
        <w:ind w:firstLine="708"/>
        <w:jc w:val="both"/>
        <w:rPr>
          <w:rFonts w:eastAsia="Calibri"/>
          <w:b/>
          <w:color w:val="000000"/>
          <w:sz w:val="20"/>
          <w:szCs w:val="20"/>
        </w:rPr>
      </w:pPr>
    </w:p>
    <w:p w14:paraId="09634398" w14:textId="77777777" w:rsidR="00367C5A" w:rsidRPr="007C589F" w:rsidRDefault="00367C5A" w:rsidP="00E30B0F">
      <w:pPr>
        <w:pBdr>
          <w:top w:val="nil"/>
          <w:left w:val="nil"/>
          <w:bottom w:val="nil"/>
          <w:right w:val="nil"/>
          <w:between w:val="nil"/>
        </w:pBdr>
        <w:spacing w:line="276" w:lineRule="auto"/>
        <w:ind w:firstLine="708"/>
        <w:jc w:val="both"/>
        <w:rPr>
          <w:rFonts w:eastAsia="Calibri"/>
          <w:color w:val="000000"/>
          <w:sz w:val="20"/>
          <w:szCs w:val="20"/>
        </w:rPr>
      </w:pPr>
      <w:r w:rsidRPr="00367C5A">
        <w:rPr>
          <w:rFonts w:eastAsia="Calibri"/>
          <w:color w:val="000000"/>
          <w:sz w:val="20"/>
          <w:szCs w:val="20"/>
        </w:rPr>
        <w:t xml:space="preserve">The </w:t>
      </w:r>
      <w:proofErr w:type="spellStart"/>
      <w:r w:rsidRPr="00367C5A">
        <w:rPr>
          <w:rFonts w:eastAsia="Calibri"/>
          <w:color w:val="000000"/>
          <w:sz w:val="20"/>
          <w:szCs w:val="20"/>
        </w:rPr>
        <w:t>concept</w:t>
      </w:r>
      <w:proofErr w:type="spellEnd"/>
      <w:r w:rsidRPr="00367C5A">
        <w:rPr>
          <w:rFonts w:eastAsia="Calibri"/>
          <w:color w:val="000000"/>
          <w:sz w:val="20"/>
          <w:szCs w:val="20"/>
        </w:rPr>
        <w:t xml:space="preserv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w:t>
      </w:r>
      <w:proofErr w:type="spellStart"/>
      <w:r w:rsidRPr="00367C5A">
        <w:rPr>
          <w:rFonts w:eastAsia="Calibri"/>
          <w:color w:val="000000"/>
          <w:sz w:val="20"/>
          <w:szCs w:val="20"/>
        </w:rPr>
        <w:t>nanotechnology</w:t>
      </w:r>
      <w:proofErr w:type="spellEnd"/>
      <w:r w:rsidRPr="00367C5A">
        <w:rPr>
          <w:rFonts w:eastAsia="Calibri"/>
          <w:color w:val="000000"/>
          <w:sz w:val="20"/>
          <w:szCs w:val="20"/>
        </w:rPr>
        <w:t xml:space="preserve"> </w:t>
      </w:r>
      <w:proofErr w:type="spellStart"/>
      <w:r w:rsidRPr="00367C5A">
        <w:rPr>
          <w:rFonts w:eastAsia="Calibri"/>
          <w:color w:val="000000"/>
          <w:sz w:val="20"/>
          <w:szCs w:val="20"/>
        </w:rPr>
        <w:t>involves</w:t>
      </w:r>
      <w:proofErr w:type="spellEnd"/>
      <w:r w:rsidRPr="00367C5A">
        <w:rPr>
          <w:rFonts w:eastAsia="Calibri"/>
          <w:color w:val="000000"/>
          <w:sz w:val="20"/>
          <w:szCs w:val="20"/>
        </w:rPr>
        <w:t xml:space="preserve"> </w:t>
      </w:r>
      <w:proofErr w:type="spellStart"/>
      <w:r w:rsidRPr="00367C5A">
        <w:rPr>
          <w:rFonts w:eastAsia="Calibri"/>
          <w:color w:val="000000"/>
          <w:sz w:val="20"/>
          <w:szCs w:val="20"/>
        </w:rPr>
        <w:t>physics</w:t>
      </w:r>
      <w:proofErr w:type="spellEnd"/>
      <w:r w:rsidRPr="00367C5A">
        <w:rPr>
          <w:rFonts w:eastAsia="Calibri"/>
          <w:color w:val="000000"/>
          <w:sz w:val="20"/>
          <w:szCs w:val="20"/>
        </w:rPr>
        <w:t xml:space="preserve">, medicine, </w:t>
      </w:r>
      <w:proofErr w:type="spellStart"/>
      <w:r w:rsidRPr="00367C5A">
        <w:rPr>
          <w:rFonts w:eastAsia="Calibri"/>
          <w:color w:val="000000"/>
          <w:sz w:val="20"/>
          <w:szCs w:val="20"/>
        </w:rPr>
        <w:t>chemistry</w:t>
      </w:r>
      <w:proofErr w:type="spellEnd"/>
      <w:r w:rsidRPr="00367C5A">
        <w:rPr>
          <w:rFonts w:eastAsia="Calibri"/>
          <w:color w:val="000000"/>
          <w:sz w:val="20"/>
          <w:szCs w:val="20"/>
        </w:rPr>
        <w:t xml:space="preserve">, </w:t>
      </w:r>
      <w:proofErr w:type="spellStart"/>
      <w:r w:rsidRPr="00367C5A">
        <w:rPr>
          <w:rFonts w:eastAsia="Calibri"/>
          <w:color w:val="000000"/>
          <w:sz w:val="20"/>
          <w:szCs w:val="20"/>
        </w:rPr>
        <w:t>biology</w:t>
      </w:r>
      <w:proofErr w:type="spellEnd"/>
      <w:r w:rsidRPr="00367C5A">
        <w:rPr>
          <w:rFonts w:eastAsia="Calibri"/>
          <w:color w:val="000000"/>
          <w:sz w:val="20"/>
          <w:szCs w:val="20"/>
        </w:rPr>
        <w:t xml:space="preserve">, </w:t>
      </w:r>
      <w:proofErr w:type="spellStart"/>
      <w:r w:rsidRPr="00367C5A">
        <w:rPr>
          <w:rFonts w:eastAsia="Calibri"/>
          <w:color w:val="000000"/>
          <w:sz w:val="20"/>
          <w:szCs w:val="20"/>
        </w:rPr>
        <w:t>and</w:t>
      </w:r>
      <w:proofErr w:type="spellEnd"/>
      <w:r w:rsidRPr="00367C5A">
        <w:rPr>
          <w:rFonts w:eastAsia="Calibri"/>
          <w:color w:val="000000"/>
          <w:sz w:val="20"/>
          <w:szCs w:val="20"/>
        </w:rPr>
        <w:t xml:space="preserve"> </w:t>
      </w:r>
      <w:proofErr w:type="spellStart"/>
      <w:r w:rsidRPr="00367C5A">
        <w:rPr>
          <w:rFonts w:eastAsia="Calibri"/>
          <w:color w:val="000000"/>
          <w:sz w:val="20"/>
          <w:szCs w:val="20"/>
        </w:rPr>
        <w:t>materials</w:t>
      </w:r>
      <w:proofErr w:type="spellEnd"/>
      <w:r w:rsidRPr="00367C5A">
        <w:rPr>
          <w:rFonts w:eastAsia="Calibri"/>
          <w:color w:val="000000"/>
          <w:sz w:val="20"/>
          <w:szCs w:val="20"/>
        </w:rPr>
        <w:t xml:space="preserve"> </w:t>
      </w:r>
      <w:proofErr w:type="spellStart"/>
      <w:r w:rsidRPr="00367C5A">
        <w:rPr>
          <w:rFonts w:eastAsia="Calibri"/>
          <w:color w:val="000000"/>
          <w:sz w:val="20"/>
          <w:szCs w:val="20"/>
        </w:rPr>
        <w:t>science</w:t>
      </w:r>
      <w:proofErr w:type="spellEnd"/>
      <w:r w:rsidRPr="00367C5A">
        <w:rPr>
          <w:rFonts w:eastAsia="Calibri"/>
          <w:color w:val="000000"/>
          <w:sz w:val="20"/>
          <w:szCs w:val="20"/>
        </w:rPr>
        <w:t xml:space="preserve">. The </w:t>
      </w:r>
      <w:proofErr w:type="spellStart"/>
      <w:r w:rsidRPr="00367C5A">
        <w:rPr>
          <w:rFonts w:eastAsia="Calibri"/>
          <w:color w:val="000000"/>
          <w:sz w:val="20"/>
          <w:szCs w:val="20"/>
        </w:rPr>
        <w:t>prefix</w:t>
      </w:r>
      <w:proofErr w:type="spellEnd"/>
      <w:r w:rsidRPr="00367C5A">
        <w:rPr>
          <w:rFonts w:eastAsia="Calibri"/>
          <w:color w:val="000000"/>
          <w:sz w:val="20"/>
          <w:szCs w:val="20"/>
        </w:rPr>
        <w:t xml:space="preserve"> "nano" </w:t>
      </w:r>
      <w:proofErr w:type="spellStart"/>
      <w:r w:rsidRPr="00367C5A">
        <w:rPr>
          <w:rFonts w:eastAsia="Calibri"/>
          <w:color w:val="000000"/>
          <w:sz w:val="20"/>
          <w:szCs w:val="20"/>
        </w:rPr>
        <w:t>is</w:t>
      </w:r>
      <w:proofErr w:type="spellEnd"/>
      <w:r w:rsidRPr="00367C5A">
        <w:rPr>
          <w:rFonts w:eastAsia="Calibri"/>
          <w:color w:val="000000"/>
          <w:sz w:val="20"/>
          <w:szCs w:val="20"/>
        </w:rPr>
        <w:t xml:space="preserve"> </w:t>
      </w:r>
      <w:proofErr w:type="spellStart"/>
      <w:r w:rsidRPr="00367C5A">
        <w:rPr>
          <w:rFonts w:eastAsia="Calibri"/>
          <w:color w:val="000000"/>
          <w:sz w:val="20"/>
          <w:szCs w:val="20"/>
        </w:rPr>
        <w:t>derived</w:t>
      </w:r>
      <w:proofErr w:type="spellEnd"/>
      <w:r w:rsidRPr="00367C5A">
        <w:rPr>
          <w:rFonts w:eastAsia="Calibri"/>
          <w:color w:val="000000"/>
          <w:sz w:val="20"/>
          <w:szCs w:val="20"/>
        </w:rPr>
        <w:t xml:space="preserve"> </w:t>
      </w:r>
      <w:proofErr w:type="spellStart"/>
      <w:r w:rsidRPr="00367C5A">
        <w:rPr>
          <w:rFonts w:eastAsia="Calibri"/>
          <w:color w:val="000000"/>
          <w:sz w:val="20"/>
          <w:szCs w:val="20"/>
        </w:rPr>
        <w:t>from</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w:t>
      </w:r>
      <w:proofErr w:type="spellEnd"/>
      <w:r w:rsidRPr="00367C5A">
        <w:rPr>
          <w:rFonts w:eastAsia="Calibri"/>
          <w:color w:val="000000"/>
          <w:sz w:val="20"/>
          <w:szCs w:val="20"/>
        </w:rPr>
        <w:t xml:space="preserve"> </w:t>
      </w:r>
      <w:proofErr w:type="spellStart"/>
      <w:r w:rsidRPr="00367C5A">
        <w:rPr>
          <w:rFonts w:eastAsia="Calibri"/>
          <w:color w:val="000000"/>
          <w:sz w:val="20"/>
          <w:szCs w:val="20"/>
        </w:rPr>
        <w:t>Greek</w:t>
      </w:r>
      <w:proofErr w:type="spellEnd"/>
      <w:r w:rsidRPr="00367C5A">
        <w:rPr>
          <w:rFonts w:eastAsia="Calibri"/>
          <w:color w:val="000000"/>
          <w:sz w:val="20"/>
          <w:szCs w:val="20"/>
        </w:rPr>
        <w:t xml:space="preserve"> word "</w:t>
      </w:r>
      <w:proofErr w:type="spellStart"/>
      <w:r w:rsidRPr="00367C5A">
        <w:rPr>
          <w:rFonts w:eastAsia="Calibri"/>
          <w:color w:val="000000"/>
          <w:sz w:val="20"/>
          <w:szCs w:val="20"/>
        </w:rPr>
        <w:t>nanos</w:t>
      </w:r>
      <w:proofErr w:type="spellEnd"/>
      <w:r w:rsidRPr="00367C5A">
        <w:rPr>
          <w:rFonts w:eastAsia="Calibri"/>
          <w:color w:val="000000"/>
          <w:sz w:val="20"/>
          <w:szCs w:val="20"/>
        </w:rPr>
        <w:t xml:space="preserve">," </w:t>
      </w:r>
      <w:proofErr w:type="spellStart"/>
      <w:r w:rsidRPr="00367C5A">
        <w:rPr>
          <w:rFonts w:eastAsia="Calibri"/>
          <w:color w:val="000000"/>
          <w:sz w:val="20"/>
          <w:szCs w:val="20"/>
        </w:rPr>
        <w:t>meaning</w:t>
      </w:r>
      <w:proofErr w:type="spellEnd"/>
      <w:r w:rsidRPr="00367C5A">
        <w:rPr>
          <w:rFonts w:eastAsia="Calibri"/>
          <w:color w:val="000000"/>
          <w:sz w:val="20"/>
          <w:szCs w:val="20"/>
        </w:rPr>
        <w:t xml:space="preserve"> </w:t>
      </w:r>
      <w:proofErr w:type="spellStart"/>
      <w:r w:rsidRPr="00367C5A">
        <w:rPr>
          <w:rFonts w:eastAsia="Calibri"/>
          <w:color w:val="000000"/>
          <w:sz w:val="20"/>
          <w:szCs w:val="20"/>
        </w:rPr>
        <w:t>dwarf</w:t>
      </w:r>
      <w:proofErr w:type="spellEnd"/>
      <w:r w:rsidRPr="00367C5A">
        <w:rPr>
          <w:rFonts w:eastAsia="Calibri"/>
          <w:color w:val="000000"/>
          <w:sz w:val="20"/>
          <w:szCs w:val="20"/>
        </w:rPr>
        <w:t xml:space="preserve">. In </w:t>
      </w:r>
      <w:proofErr w:type="spellStart"/>
      <w:r w:rsidRPr="00367C5A">
        <w:rPr>
          <w:rFonts w:eastAsia="Calibri"/>
          <w:color w:val="000000"/>
          <w:sz w:val="20"/>
          <w:szCs w:val="20"/>
        </w:rPr>
        <w:t>engineering</w:t>
      </w:r>
      <w:proofErr w:type="spellEnd"/>
      <w:r w:rsidRPr="00367C5A">
        <w:rPr>
          <w:rFonts w:eastAsia="Calibri"/>
          <w:color w:val="000000"/>
          <w:sz w:val="20"/>
          <w:szCs w:val="20"/>
        </w:rPr>
        <w:t xml:space="preserve"> </w:t>
      </w:r>
      <w:proofErr w:type="spellStart"/>
      <w:r w:rsidRPr="00367C5A">
        <w:rPr>
          <w:rFonts w:eastAsia="Calibri"/>
          <w:color w:val="000000"/>
          <w:sz w:val="20"/>
          <w:szCs w:val="20"/>
        </w:rPr>
        <w:t>terms</w:t>
      </w:r>
      <w:proofErr w:type="spellEnd"/>
      <w:r w:rsidRPr="00367C5A">
        <w:rPr>
          <w:rFonts w:eastAsia="Calibri"/>
          <w:color w:val="000000"/>
          <w:sz w:val="20"/>
          <w:szCs w:val="20"/>
        </w:rPr>
        <w:t xml:space="preserve">, it </w:t>
      </w:r>
      <w:proofErr w:type="spellStart"/>
      <w:r w:rsidRPr="00367C5A">
        <w:rPr>
          <w:rFonts w:eastAsia="Calibri"/>
          <w:color w:val="000000"/>
          <w:sz w:val="20"/>
          <w:szCs w:val="20"/>
        </w:rPr>
        <w:t>represents</w:t>
      </w:r>
      <w:proofErr w:type="spellEnd"/>
      <w:r w:rsidRPr="00367C5A">
        <w:rPr>
          <w:rFonts w:eastAsia="Calibri"/>
          <w:color w:val="000000"/>
          <w:sz w:val="20"/>
          <w:szCs w:val="20"/>
        </w:rPr>
        <w:t xml:space="preserve"> </w:t>
      </w:r>
      <w:proofErr w:type="spellStart"/>
      <w:r w:rsidRPr="00367C5A">
        <w:rPr>
          <w:rFonts w:eastAsia="Calibri"/>
          <w:color w:val="000000"/>
          <w:sz w:val="20"/>
          <w:szCs w:val="20"/>
        </w:rPr>
        <w:t>one</w:t>
      </w:r>
      <w:proofErr w:type="spellEnd"/>
      <w:r w:rsidRPr="00367C5A">
        <w:rPr>
          <w:rFonts w:eastAsia="Calibri"/>
          <w:color w:val="000000"/>
          <w:sz w:val="20"/>
          <w:szCs w:val="20"/>
        </w:rPr>
        <w:t xml:space="preserve"> </w:t>
      </w:r>
      <w:proofErr w:type="spellStart"/>
      <w:r w:rsidRPr="00367C5A">
        <w:rPr>
          <w:rFonts w:eastAsia="Calibri"/>
          <w:color w:val="000000"/>
          <w:sz w:val="20"/>
          <w:szCs w:val="20"/>
        </w:rPr>
        <w:lastRenderedPageBreak/>
        <w:t>billionth</w:t>
      </w:r>
      <w:proofErr w:type="spellEnd"/>
      <w:r w:rsidRPr="00367C5A">
        <w:rPr>
          <w:rFonts w:eastAsia="Calibri"/>
          <w:color w:val="000000"/>
          <w:sz w:val="20"/>
          <w:szCs w:val="20"/>
        </w:rPr>
        <w:t xml:space="preserv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a </w:t>
      </w:r>
      <w:proofErr w:type="spellStart"/>
      <w:r w:rsidRPr="00367C5A">
        <w:rPr>
          <w:rFonts w:eastAsia="Calibri"/>
          <w:color w:val="000000"/>
          <w:sz w:val="20"/>
          <w:szCs w:val="20"/>
        </w:rPr>
        <w:t>size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that</w:t>
      </w:r>
      <w:proofErr w:type="spellEnd"/>
      <w:r w:rsidRPr="00367C5A">
        <w:rPr>
          <w:rFonts w:eastAsia="Calibri"/>
          <w:color w:val="000000"/>
          <w:sz w:val="20"/>
          <w:szCs w:val="20"/>
        </w:rPr>
        <w:t xml:space="preserve"> </w:t>
      </w:r>
      <w:proofErr w:type="spellStart"/>
      <w:r w:rsidRPr="00367C5A">
        <w:rPr>
          <w:rFonts w:eastAsia="Calibri"/>
          <w:color w:val="000000"/>
          <w:sz w:val="20"/>
          <w:szCs w:val="20"/>
        </w:rPr>
        <w:t>is</w:t>
      </w:r>
      <w:proofErr w:type="spellEnd"/>
      <w:r w:rsidRPr="00367C5A">
        <w:rPr>
          <w:rFonts w:eastAsia="Calibri"/>
          <w:color w:val="000000"/>
          <w:sz w:val="20"/>
          <w:szCs w:val="20"/>
        </w:rPr>
        <w:t xml:space="preserve">, (10^-9 m), </w:t>
      </w:r>
      <w:proofErr w:type="spellStart"/>
      <w:r w:rsidRPr="00367C5A">
        <w:rPr>
          <w:rFonts w:eastAsia="Calibri"/>
          <w:color w:val="000000"/>
          <w:sz w:val="20"/>
          <w:szCs w:val="20"/>
        </w:rPr>
        <w:t>with</w:t>
      </w:r>
      <w:proofErr w:type="spellEnd"/>
      <w:r w:rsidRPr="00367C5A">
        <w:rPr>
          <w:rFonts w:eastAsia="Calibri"/>
          <w:color w:val="000000"/>
          <w:sz w:val="20"/>
          <w:szCs w:val="20"/>
        </w:rPr>
        <w:t xml:space="preserve"> a </w:t>
      </w:r>
      <w:proofErr w:type="spellStart"/>
      <w:r w:rsidRPr="00367C5A">
        <w:rPr>
          <w:rFonts w:eastAsia="Calibri"/>
          <w:color w:val="000000"/>
          <w:sz w:val="20"/>
          <w:szCs w:val="20"/>
        </w:rPr>
        <w:t>nanometer</w:t>
      </w:r>
      <w:proofErr w:type="spellEnd"/>
      <w:r w:rsidRPr="00367C5A">
        <w:rPr>
          <w:rFonts w:eastAsia="Calibri"/>
          <w:color w:val="000000"/>
          <w:sz w:val="20"/>
          <w:szCs w:val="20"/>
        </w:rPr>
        <w:t xml:space="preserve"> </w:t>
      </w:r>
      <w:proofErr w:type="spellStart"/>
      <w:r w:rsidRPr="00367C5A">
        <w:rPr>
          <w:rFonts w:eastAsia="Calibri"/>
          <w:color w:val="000000"/>
          <w:sz w:val="20"/>
          <w:szCs w:val="20"/>
        </w:rPr>
        <w:t>considered</w:t>
      </w:r>
      <w:proofErr w:type="spellEnd"/>
      <w:r w:rsidRPr="00367C5A">
        <w:rPr>
          <w:rFonts w:eastAsia="Calibri"/>
          <w:color w:val="000000"/>
          <w:sz w:val="20"/>
          <w:szCs w:val="20"/>
        </w:rPr>
        <w:t xml:space="preserve"> </w:t>
      </w:r>
      <w:proofErr w:type="spellStart"/>
      <w:r w:rsidRPr="00367C5A">
        <w:rPr>
          <w:rFonts w:eastAsia="Calibri"/>
          <w:color w:val="000000"/>
          <w:sz w:val="20"/>
          <w:szCs w:val="20"/>
        </w:rPr>
        <w:t>to</w:t>
      </w:r>
      <w:proofErr w:type="spellEnd"/>
      <w:r w:rsidRPr="00367C5A">
        <w:rPr>
          <w:rFonts w:eastAsia="Calibri"/>
          <w:color w:val="000000"/>
          <w:sz w:val="20"/>
          <w:szCs w:val="20"/>
        </w:rPr>
        <w:t xml:space="preserve"> </w:t>
      </w:r>
      <w:proofErr w:type="spellStart"/>
      <w:r w:rsidRPr="00367C5A">
        <w:rPr>
          <w:rFonts w:eastAsia="Calibri"/>
          <w:color w:val="000000"/>
          <w:sz w:val="20"/>
          <w:szCs w:val="20"/>
        </w:rPr>
        <w:t>be</w:t>
      </w:r>
      <w:proofErr w:type="spellEnd"/>
      <w:r w:rsidRPr="00367C5A">
        <w:rPr>
          <w:rFonts w:eastAsia="Calibri"/>
          <w:color w:val="000000"/>
          <w:sz w:val="20"/>
          <w:szCs w:val="20"/>
        </w:rPr>
        <w:t xml:space="preserve"> in </w:t>
      </w:r>
      <w:proofErr w:type="spellStart"/>
      <w:r w:rsidRPr="00367C5A">
        <w:rPr>
          <w:rFonts w:eastAsia="Calibri"/>
          <w:color w:val="000000"/>
          <w:sz w:val="20"/>
          <w:szCs w:val="20"/>
        </w:rPr>
        <w:t>the</w:t>
      </w:r>
      <w:proofErr w:type="spellEnd"/>
      <w:r w:rsidRPr="00367C5A">
        <w:rPr>
          <w:rFonts w:eastAsia="Calibri"/>
          <w:color w:val="000000"/>
          <w:sz w:val="20"/>
          <w:szCs w:val="20"/>
        </w:rPr>
        <w:t xml:space="preserve"> </w:t>
      </w:r>
      <w:proofErr w:type="spellStart"/>
      <w:r w:rsidRPr="00367C5A">
        <w:rPr>
          <w:rFonts w:eastAsia="Calibri"/>
          <w:color w:val="000000"/>
          <w:sz w:val="20"/>
          <w:szCs w:val="20"/>
        </w:rPr>
        <w:t>order</w:t>
      </w:r>
      <w:proofErr w:type="spellEnd"/>
      <w:r w:rsidRPr="00367C5A">
        <w:rPr>
          <w:rFonts w:eastAsia="Calibri"/>
          <w:color w:val="000000"/>
          <w:sz w:val="20"/>
          <w:szCs w:val="20"/>
        </w:rPr>
        <w:t xml:space="preserv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&lt;100 </w:t>
      </w:r>
      <w:proofErr w:type="spellStart"/>
      <w:r w:rsidRPr="00367C5A">
        <w:rPr>
          <w:rFonts w:eastAsia="Calibri"/>
          <w:color w:val="000000"/>
          <w:sz w:val="20"/>
          <w:szCs w:val="20"/>
        </w:rPr>
        <w:t>nm</w:t>
      </w:r>
      <w:proofErr w:type="spellEnd"/>
      <w:r w:rsidRPr="00367C5A">
        <w:rPr>
          <w:rFonts w:eastAsia="Calibri"/>
          <w:color w:val="000000"/>
          <w:sz w:val="20"/>
          <w:szCs w:val="20"/>
        </w:rPr>
        <w:t xml:space="preserve">. For </w:t>
      </w:r>
      <w:proofErr w:type="spellStart"/>
      <w:r w:rsidRPr="00367C5A">
        <w:rPr>
          <w:rFonts w:eastAsia="Calibri"/>
          <w:color w:val="000000"/>
          <w:sz w:val="20"/>
          <w:szCs w:val="20"/>
        </w:rPr>
        <w:t>instance</w:t>
      </w:r>
      <w:proofErr w:type="spellEnd"/>
      <w:r w:rsidRPr="00367C5A">
        <w:rPr>
          <w:rFonts w:eastAsia="Calibri"/>
          <w:color w:val="000000"/>
          <w:sz w:val="20"/>
          <w:szCs w:val="20"/>
        </w:rPr>
        <w:t xml:space="preserve">, a protein </w:t>
      </w:r>
      <w:proofErr w:type="spellStart"/>
      <w:r w:rsidRPr="00367C5A">
        <w:rPr>
          <w:rFonts w:eastAsia="Calibri"/>
          <w:color w:val="000000"/>
          <w:sz w:val="20"/>
          <w:szCs w:val="20"/>
        </w:rPr>
        <w:t>is</w:t>
      </w:r>
      <w:proofErr w:type="spellEnd"/>
      <w:r w:rsidRPr="00367C5A">
        <w:rPr>
          <w:rFonts w:eastAsia="Calibri"/>
          <w:color w:val="000000"/>
          <w:sz w:val="20"/>
          <w:szCs w:val="20"/>
        </w:rPr>
        <w:t xml:space="preserve"> </w:t>
      </w:r>
      <w:proofErr w:type="spellStart"/>
      <w:r w:rsidRPr="00367C5A">
        <w:rPr>
          <w:rFonts w:eastAsia="Calibri"/>
          <w:color w:val="000000"/>
          <w:sz w:val="20"/>
          <w:szCs w:val="20"/>
        </w:rPr>
        <w:t>approximately</w:t>
      </w:r>
      <w:proofErr w:type="spellEnd"/>
      <w:r w:rsidRPr="00367C5A">
        <w:rPr>
          <w:rFonts w:eastAsia="Calibri"/>
          <w:color w:val="000000"/>
          <w:sz w:val="20"/>
          <w:szCs w:val="20"/>
        </w:rPr>
        <w:t xml:space="preserve"> 50 </w:t>
      </w:r>
      <w:proofErr w:type="spellStart"/>
      <w:r w:rsidRPr="00367C5A">
        <w:rPr>
          <w:rFonts w:eastAsia="Calibri"/>
          <w:color w:val="000000"/>
          <w:sz w:val="20"/>
          <w:szCs w:val="20"/>
        </w:rPr>
        <w:t>nm</w:t>
      </w:r>
      <w:proofErr w:type="spellEnd"/>
      <w:r w:rsidRPr="00367C5A">
        <w:rPr>
          <w:rFonts w:eastAsia="Calibri"/>
          <w:color w:val="000000"/>
          <w:sz w:val="20"/>
          <w:szCs w:val="20"/>
        </w:rPr>
        <w:t xml:space="preserve"> long. Nano-</w:t>
      </w:r>
      <w:proofErr w:type="spellStart"/>
      <w:r w:rsidRPr="00367C5A">
        <w:rPr>
          <w:rFonts w:eastAsia="Calibri"/>
          <w:color w:val="000000"/>
          <w:sz w:val="20"/>
          <w:szCs w:val="20"/>
        </w:rPr>
        <w:t>scale</w:t>
      </w:r>
      <w:proofErr w:type="spellEnd"/>
      <w:r w:rsidRPr="00367C5A">
        <w:rPr>
          <w:rFonts w:eastAsia="Calibri"/>
          <w:color w:val="000000"/>
          <w:sz w:val="20"/>
          <w:szCs w:val="20"/>
        </w:rPr>
        <w:t xml:space="preserve"> </w:t>
      </w:r>
      <w:proofErr w:type="spellStart"/>
      <w:r w:rsidRPr="00367C5A">
        <w:rPr>
          <w:rFonts w:eastAsia="Calibri"/>
          <w:color w:val="000000"/>
          <w:sz w:val="20"/>
          <w:szCs w:val="20"/>
        </w:rPr>
        <w:t>materials</w:t>
      </w:r>
      <w:proofErr w:type="spellEnd"/>
      <w:r w:rsidRPr="00367C5A">
        <w:rPr>
          <w:rFonts w:eastAsia="Calibri"/>
          <w:color w:val="000000"/>
          <w:sz w:val="20"/>
          <w:szCs w:val="20"/>
        </w:rPr>
        <w:t xml:space="preserve"> are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w:t>
      </w:r>
      <w:proofErr w:type="spellStart"/>
      <w:r w:rsidRPr="00367C5A">
        <w:rPr>
          <w:rFonts w:eastAsia="Calibri"/>
          <w:color w:val="000000"/>
          <w:sz w:val="20"/>
          <w:szCs w:val="20"/>
        </w:rPr>
        <w:t>interest</w:t>
      </w:r>
      <w:proofErr w:type="spellEnd"/>
      <w:r w:rsidRPr="00367C5A">
        <w:rPr>
          <w:rFonts w:eastAsia="Calibri"/>
          <w:color w:val="000000"/>
          <w:sz w:val="20"/>
          <w:szCs w:val="20"/>
        </w:rPr>
        <w:t xml:space="preserve"> </w:t>
      </w:r>
      <w:proofErr w:type="spellStart"/>
      <w:r w:rsidRPr="00367C5A">
        <w:rPr>
          <w:rFonts w:eastAsia="Calibri"/>
          <w:color w:val="000000"/>
          <w:sz w:val="20"/>
          <w:szCs w:val="20"/>
        </w:rPr>
        <w:t>because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they</w:t>
      </w:r>
      <w:proofErr w:type="spellEnd"/>
      <w:r w:rsidRPr="00367C5A">
        <w:rPr>
          <w:rFonts w:eastAsia="Calibri"/>
          <w:color w:val="000000"/>
          <w:sz w:val="20"/>
          <w:szCs w:val="20"/>
        </w:rPr>
        <w:t xml:space="preserve"> </w:t>
      </w:r>
      <w:proofErr w:type="spellStart"/>
      <w:r w:rsidRPr="00367C5A">
        <w:rPr>
          <w:rFonts w:eastAsia="Calibri"/>
          <w:color w:val="000000"/>
          <w:sz w:val="20"/>
          <w:szCs w:val="20"/>
        </w:rPr>
        <w:t>can</w:t>
      </w:r>
      <w:proofErr w:type="spellEnd"/>
      <w:r w:rsidRPr="00367C5A">
        <w:rPr>
          <w:rFonts w:eastAsia="Calibri"/>
          <w:color w:val="000000"/>
          <w:sz w:val="20"/>
          <w:szCs w:val="20"/>
        </w:rPr>
        <w:t xml:space="preserve"> </w:t>
      </w:r>
      <w:proofErr w:type="spellStart"/>
      <w:r w:rsidRPr="00367C5A">
        <w:rPr>
          <w:rFonts w:eastAsia="Calibri"/>
          <w:color w:val="000000"/>
          <w:sz w:val="20"/>
          <w:szCs w:val="20"/>
        </w:rPr>
        <w:t>be</w:t>
      </w:r>
      <w:proofErr w:type="spellEnd"/>
      <w:r w:rsidRPr="00367C5A">
        <w:rPr>
          <w:rFonts w:eastAsia="Calibri"/>
          <w:color w:val="000000"/>
          <w:sz w:val="20"/>
          <w:szCs w:val="20"/>
        </w:rPr>
        <w:t xml:space="preserve"> </w:t>
      </w:r>
      <w:proofErr w:type="spellStart"/>
      <w:r w:rsidRPr="00367C5A">
        <w:rPr>
          <w:rFonts w:eastAsia="Calibri"/>
          <w:color w:val="000000"/>
          <w:sz w:val="20"/>
          <w:szCs w:val="20"/>
        </w:rPr>
        <w:t>produced</w:t>
      </w:r>
      <w:proofErr w:type="spellEnd"/>
      <w:r w:rsidRPr="00367C5A">
        <w:rPr>
          <w:rFonts w:eastAsia="Calibri"/>
          <w:color w:val="000000"/>
          <w:sz w:val="20"/>
          <w:szCs w:val="20"/>
        </w:rPr>
        <w:t xml:space="preserve"> in </w:t>
      </w:r>
      <w:proofErr w:type="spellStart"/>
      <w:r w:rsidRPr="00367C5A">
        <w:rPr>
          <w:rFonts w:eastAsia="Calibri"/>
          <w:color w:val="000000"/>
          <w:sz w:val="20"/>
          <w:szCs w:val="20"/>
        </w:rPr>
        <w:t>different</w:t>
      </w:r>
      <w:proofErr w:type="spellEnd"/>
      <w:r w:rsidRPr="00367C5A">
        <w:rPr>
          <w:rFonts w:eastAsia="Calibri"/>
          <w:color w:val="000000"/>
          <w:sz w:val="20"/>
          <w:szCs w:val="20"/>
        </w:rPr>
        <w:t xml:space="preserve"> </w:t>
      </w:r>
      <w:proofErr w:type="spellStart"/>
      <w:r w:rsidRPr="00367C5A">
        <w:rPr>
          <w:rFonts w:eastAsia="Calibri"/>
          <w:color w:val="000000"/>
          <w:sz w:val="20"/>
          <w:szCs w:val="20"/>
        </w:rPr>
        <w:t>forms</w:t>
      </w:r>
      <w:proofErr w:type="spellEnd"/>
      <w:r w:rsidRPr="00367C5A">
        <w:rPr>
          <w:rFonts w:eastAsia="Calibri"/>
          <w:color w:val="000000"/>
          <w:sz w:val="20"/>
          <w:szCs w:val="20"/>
        </w:rPr>
        <w:t xml:space="preserve">. </w:t>
      </w:r>
      <w:proofErr w:type="spellStart"/>
      <w:r w:rsidRPr="00367C5A">
        <w:rPr>
          <w:rFonts w:eastAsia="Calibri"/>
          <w:color w:val="000000"/>
          <w:sz w:val="20"/>
          <w:szCs w:val="20"/>
        </w:rPr>
        <w:t>However</w:t>
      </w:r>
      <w:proofErr w:type="spellEnd"/>
      <w:r w:rsidRPr="00367C5A">
        <w:rPr>
          <w:rFonts w:eastAsia="Calibri"/>
          <w:color w:val="000000"/>
          <w:sz w:val="20"/>
          <w:szCs w:val="20"/>
        </w:rPr>
        <w:t xml:space="preserve">, it </w:t>
      </w:r>
      <w:proofErr w:type="spellStart"/>
      <w:r w:rsidRPr="00367C5A">
        <w:rPr>
          <w:rFonts w:eastAsia="Calibri"/>
          <w:color w:val="000000"/>
          <w:sz w:val="20"/>
          <w:szCs w:val="20"/>
        </w:rPr>
        <w:t>is</w:t>
      </w:r>
      <w:proofErr w:type="spellEnd"/>
      <w:r w:rsidRPr="00367C5A">
        <w:rPr>
          <w:rFonts w:eastAsia="Calibri"/>
          <w:color w:val="000000"/>
          <w:sz w:val="20"/>
          <w:szCs w:val="20"/>
        </w:rPr>
        <w:t xml:space="preserve"> crucial </w:t>
      </w:r>
      <w:proofErr w:type="spellStart"/>
      <w:r w:rsidRPr="00367C5A">
        <w:rPr>
          <w:rFonts w:eastAsia="Calibri"/>
          <w:color w:val="000000"/>
          <w:sz w:val="20"/>
          <w:szCs w:val="20"/>
        </w:rPr>
        <w:t>to</w:t>
      </w:r>
      <w:proofErr w:type="spellEnd"/>
      <w:r w:rsidRPr="00367C5A">
        <w:rPr>
          <w:rFonts w:eastAsia="Calibri"/>
          <w:color w:val="000000"/>
          <w:sz w:val="20"/>
          <w:szCs w:val="20"/>
        </w:rPr>
        <w:t xml:space="preserve"> </w:t>
      </w:r>
      <w:proofErr w:type="spellStart"/>
      <w:r w:rsidRPr="00367C5A">
        <w:rPr>
          <w:rFonts w:eastAsia="Calibri"/>
          <w:color w:val="000000"/>
          <w:sz w:val="20"/>
          <w:szCs w:val="20"/>
        </w:rPr>
        <w:t>produce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them</w:t>
      </w:r>
      <w:proofErr w:type="spellEnd"/>
      <w:r w:rsidRPr="00367C5A">
        <w:rPr>
          <w:rFonts w:eastAsia="Calibri"/>
          <w:color w:val="000000"/>
          <w:sz w:val="20"/>
          <w:szCs w:val="20"/>
        </w:rPr>
        <w:t xml:space="preserve"> in a </w:t>
      </w:r>
      <w:proofErr w:type="spellStart"/>
      <w:r w:rsidRPr="00367C5A">
        <w:rPr>
          <w:rFonts w:eastAsia="Calibri"/>
          <w:color w:val="000000"/>
          <w:sz w:val="20"/>
          <w:szCs w:val="20"/>
        </w:rPr>
        <w:t>reduced</w:t>
      </w:r>
      <w:proofErr w:type="spellEnd"/>
      <w:r w:rsidRPr="00367C5A">
        <w:rPr>
          <w:rFonts w:eastAsia="Calibri"/>
          <w:color w:val="000000"/>
          <w:sz w:val="20"/>
          <w:szCs w:val="20"/>
        </w:rPr>
        <w:t xml:space="preserve"> </w:t>
      </w:r>
      <w:proofErr w:type="spellStart"/>
      <w:r w:rsidRPr="00367C5A">
        <w:rPr>
          <w:rFonts w:eastAsia="Calibri"/>
          <w:color w:val="000000"/>
          <w:sz w:val="20"/>
          <w:szCs w:val="20"/>
        </w:rPr>
        <w:t>timeframe</w:t>
      </w:r>
      <w:proofErr w:type="spellEnd"/>
      <w:r w:rsidRPr="00367C5A">
        <w:rPr>
          <w:rFonts w:eastAsia="Calibri"/>
          <w:color w:val="000000"/>
          <w:sz w:val="20"/>
          <w:szCs w:val="20"/>
        </w:rPr>
        <w:t xml:space="preserve"> </w:t>
      </w:r>
      <w:proofErr w:type="spellStart"/>
      <w:r w:rsidRPr="00367C5A">
        <w:rPr>
          <w:rFonts w:eastAsia="Calibri"/>
          <w:color w:val="000000"/>
          <w:sz w:val="20"/>
          <w:szCs w:val="20"/>
        </w:rPr>
        <w:t>and</w:t>
      </w:r>
      <w:proofErr w:type="spellEnd"/>
      <w:r w:rsidRPr="00367C5A">
        <w:rPr>
          <w:rFonts w:eastAsia="Calibri"/>
          <w:color w:val="000000"/>
          <w:sz w:val="20"/>
          <w:szCs w:val="20"/>
        </w:rPr>
        <w:t xml:space="preserve"> </w:t>
      </w:r>
      <w:proofErr w:type="spellStart"/>
      <w:r w:rsidRPr="00367C5A">
        <w:rPr>
          <w:rFonts w:eastAsia="Calibri"/>
          <w:color w:val="000000"/>
          <w:sz w:val="20"/>
          <w:szCs w:val="20"/>
        </w:rPr>
        <w:t>at</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w:t>
      </w:r>
      <w:proofErr w:type="spellEnd"/>
      <w:r w:rsidRPr="00367C5A">
        <w:rPr>
          <w:rFonts w:eastAsia="Calibri"/>
          <w:color w:val="000000"/>
          <w:sz w:val="20"/>
          <w:szCs w:val="20"/>
        </w:rPr>
        <w:t xml:space="preserve"> </w:t>
      </w:r>
      <w:proofErr w:type="spellStart"/>
      <w:r w:rsidRPr="00367C5A">
        <w:rPr>
          <w:rFonts w:eastAsia="Calibri"/>
          <w:color w:val="000000"/>
          <w:sz w:val="20"/>
          <w:szCs w:val="20"/>
        </w:rPr>
        <w:t>desired</w:t>
      </w:r>
      <w:proofErr w:type="spellEnd"/>
      <w:r w:rsidRPr="00367C5A">
        <w:rPr>
          <w:rFonts w:eastAsia="Calibri"/>
          <w:color w:val="000000"/>
          <w:sz w:val="20"/>
          <w:szCs w:val="20"/>
        </w:rPr>
        <w:t xml:space="preserve"> </w:t>
      </w:r>
      <w:proofErr w:type="spellStart"/>
      <w:r w:rsidRPr="00367C5A">
        <w:rPr>
          <w:rFonts w:eastAsia="Calibri"/>
          <w:color w:val="000000"/>
          <w:sz w:val="20"/>
          <w:szCs w:val="20"/>
        </w:rPr>
        <w:t>size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to</w:t>
      </w:r>
      <w:proofErr w:type="spellEnd"/>
      <w:r w:rsidRPr="00367C5A">
        <w:rPr>
          <w:rFonts w:eastAsia="Calibri"/>
          <w:color w:val="000000"/>
          <w:sz w:val="20"/>
          <w:szCs w:val="20"/>
        </w:rPr>
        <w:t xml:space="preserve"> </w:t>
      </w:r>
      <w:proofErr w:type="spellStart"/>
      <w:r w:rsidRPr="00367C5A">
        <w:rPr>
          <w:rFonts w:eastAsia="Calibri"/>
          <w:color w:val="000000"/>
          <w:sz w:val="20"/>
          <w:szCs w:val="20"/>
        </w:rPr>
        <w:t>enhance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their</w:t>
      </w:r>
      <w:proofErr w:type="spellEnd"/>
      <w:r w:rsidRPr="00367C5A">
        <w:rPr>
          <w:rFonts w:eastAsia="Calibri"/>
          <w:color w:val="000000"/>
          <w:sz w:val="20"/>
          <w:szCs w:val="20"/>
        </w:rPr>
        <w:t xml:space="preserve"> </w:t>
      </w:r>
      <w:proofErr w:type="spellStart"/>
      <w:r w:rsidRPr="00367C5A">
        <w:rPr>
          <w:rFonts w:eastAsia="Calibri"/>
          <w:color w:val="000000"/>
          <w:sz w:val="20"/>
          <w:szCs w:val="20"/>
        </w:rPr>
        <w:t>stability</w:t>
      </w:r>
      <w:proofErr w:type="spellEnd"/>
      <w:r w:rsidRPr="00367C5A">
        <w:rPr>
          <w:rFonts w:eastAsia="Calibri"/>
          <w:color w:val="000000"/>
          <w:sz w:val="20"/>
          <w:szCs w:val="20"/>
        </w:rPr>
        <w:t xml:space="preserve"> (</w:t>
      </w:r>
      <w:proofErr w:type="spellStart"/>
      <w:r w:rsidRPr="00367C5A">
        <w:rPr>
          <w:rFonts w:eastAsia="Calibri"/>
          <w:color w:val="000000"/>
          <w:sz w:val="20"/>
          <w:szCs w:val="20"/>
        </w:rPr>
        <w:t>Hulkoti</w:t>
      </w:r>
      <w:proofErr w:type="spellEnd"/>
      <w:r w:rsidRPr="00367C5A">
        <w:rPr>
          <w:rFonts w:eastAsia="Calibri"/>
          <w:color w:val="000000"/>
          <w:sz w:val="20"/>
          <w:szCs w:val="20"/>
        </w:rPr>
        <w:t xml:space="preserve">; </w:t>
      </w:r>
      <w:proofErr w:type="spellStart"/>
      <w:r w:rsidRPr="00367C5A">
        <w:rPr>
          <w:rFonts w:eastAsia="Calibri"/>
          <w:color w:val="000000"/>
          <w:sz w:val="20"/>
          <w:szCs w:val="20"/>
        </w:rPr>
        <w:t>Taranath</w:t>
      </w:r>
      <w:proofErr w:type="spellEnd"/>
      <w:r w:rsidRPr="00367C5A">
        <w:rPr>
          <w:rFonts w:eastAsia="Calibri"/>
          <w:color w:val="000000"/>
          <w:sz w:val="20"/>
          <w:szCs w:val="20"/>
        </w:rPr>
        <w:t xml:space="preserve">, 2014). In general, </w:t>
      </w:r>
      <w:proofErr w:type="spellStart"/>
      <w:r w:rsidRPr="00367C5A">
        <w:rPr>
          <w:rFonts w:eastAsia="Calibri"/>
          <w:color w:val="000000"/>
          <w:sz w:val="20"/>
          <w:szCs w:val="20"/>
        </w:rPr>
        <w:t>nanoparticles</w:t>
      </w:r>
      <w:proofErr w:type="spellEnd"/>
      <w:r w:rsidRPr="00367C5A">
        <w:rPr>
          <w:rFonts w:eastAsia="Calibri"/>
          <w:color w:val="000000"/>
          <w:sz w:val="20"/>
          <w:szCs w:val="20"/>
        </w:rPr>
        <w:t xml:space="preserve"> </w:t>
      </w:r>
      <w:proofErr w:type="spellStart"/>
      <w:r w:rsidRPr="00367C5A">
        <w:rPr>
          <w:rFonts w:eastAsia="Calibri"/>
          <w:color w:val="000000"/>
          <w:sz w:val="20"/>
          <w:szCs w:val="20"/>
        </w:rPr>
        <w:t>have</w:t>
      </w:r>
      <w:proofErr w:type="spellEnd"/>
      <w:r w:rsidRPr="00367C5A">
        <w:rPr>
          <w:rFonts w:eastAsia="Calibri"/>
          <w:color w:val="000000"/>
          <w:sz w:val="20"/>
          <w:szCs w:val="20"/>
        </w:rPr>
        <w:t xml:space="preserve"> </w:t>
      </w:r>
      <w:proofErr w:type="spellStart"/>
      <w:r w:rsidRPr="00367C5A">
        <w:rPr>
          <w:rFonts w:eastAsia="Calibri"/>
          <w:color w:val="000000"/>
          <w:sz w:val="20"/>
          <w:szCs w:val="20"/>
        </w:rPr>
        <w:t>an</w:t>
      </w:r>
      <w:proofErr w:type="spellEnd"/>
      <w:r w:rsidRPr="00367C5A">
        <w:rPr>
          <w:rFonts w:eastAsia="Calibri"/>
          <w:color w:val="000000"/>
          <w:sz w:val="20"/>
          <w:szCs w:val="20"/>
        </w:rPr>
        <w:t xml:space="preserve"> </w:t>
      </w:r>
      <w:proofErr w:type="spellStart"/>
      <w:r w:rsidRPr="00367C5A">
        <w:rPr>
          <w:rFonts w:eastAsia="Calibri"/>
          <w:color w:val="000000"/>
          <w:sz w:val="20"/>
          <w:szCs w:val="20"/>
        </w:rPr>
        <w:t>approximate</w:t>
      </w:r>
      <w:proofErr w:type="spellEnd"/>
      <w:r w:rsidRPr="00367C5A">
        <w:rPr>
          <w:rFonts w:eastAsia="Calibri"/>
          <w:color w:val="000000"/>
          <w:sz w:val="20"/>
          <w:szCs w:val="20"/>
        </w:rPr>
        <w:t xml:space="preserve"> </w:t>
      </w:r>
      <w:proofErr w:type="spellStart"/>
      <w:r w:rsidRPr="00367C5A">
        <w:rPr>
          <w:rFonts w:eastAsia="Calibri"/>
          <w:color w:val="000000"/>
          <w:sz w:val="20"/>
          <w:szCs w:val="20"/>
        </w:rPr>
        <w:t>size</w:t>
      </w:r>
      <w:proofErr w:type="spellEnd"/>
      <w:r w:rsidRPr="00367C5A">
        <w:rPr>
          <w:rFonts w:eastAsia="Calibri"/>
          <w:color w:val="000000"/>
          <w:sz w:val="20"/>
          <w:szCs w:val="20"/>
        </w:rPr>
        <w:t xml:space="preserv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w:t>
      </w:r>
      <w:proofErr w:type="spellStart"/>
      <w:r w:rsidRPr="00367C5A">
        <w:rPr>
          <w:rFonts w:eastAsia="Calibri"/>
          <w:color w:val="000000"/>
          <w:sz w:val="20"/>
          <w:szCs w:val="20"/>
        </w:rPr>
        <w:t>up</w:t>
      </w:r>
      <w:proofErr w:type="spellEnd"/>
      <w:r w:rsidRPr="00367C5A">
        <w:rPr>
          <w:rFonts w:eastAsia="Calibri"/>
          <w:color w:val="000000"/>
          <w:sz w:val="20"/>
          <w:szCs w:val="20"/>
        </w:rPr>
        <w:t xml:space="preserve"> </w:t>
      </w:r>
      <w:proofErr w:type="spellStart"/>
      <w:r w:rsidRPr="00367C5A">
        <w:rPr>
          <w:rFonts w:eastAsia="Calibri"/>
          <w:color w:val="000000"/>
          <w:sz w:val="20"/>
          <w:szCs w:val="20"/>
        </w:rPr>
        <w:t>to</w:t>
      </w:r>
      <w:proofErr w:type="spellEnd"/>
      <w:r w:rsidRPr="00367C5A">
        <w:rPr>
          <w:rFonts w:eastAsia="Calibri"/>
          <w:color w:val="000000"/>
          <w:sz w:val="20"/>
          <w:szCs w:val="20"/>
        </w:rPr>
        <w:t xml:space="preserve"> 100 </w:t>
      </w:r>
      <w:proofErr w:type="spellStart"/>
      <w:r w:rsidRPr="00367C5A">
        <w:rPr>
          <w:rFonts w:eastAsia="Calibri"/>
          <w:color w:val="000000"/>
          <w:sz w:val="20"/>
          <w:szCs w:val="20"/>
        </w:rPr>
        <w:t>nm</w:t>
      </w:r>
      <w:proofErr w:type="spellEnd"/>
      <w:r w:rsidRPr="00367C5A">
        <w:rPr>
          <w:rFonts w:eastAsia="Calibri"/>
          <w:color w:val="000000"/>
          <w:sz w:val="20"/>
          <w:szCs w:val="20"/>
        </w:rPr>
        <w:t xml:space="preserve"> </w:t>
      </w:r>
      <w:proofErr w:type="spellStart"/>
      <w:r w:rsidRPr="00367C5A">
        <w:rPr>
          <w:rFonts w:eastAsia="Calibri"/>
          <w:color w:val="000000"/>
          <w:sz w:val="20"/>
          <w:szCs w:val="20"/>
        </w:rPr>
        <w:t>and</w:t>
      </w:r>
      <w:proofErr w:type="spellEnd"/>
      <w:r w:rsidRPr="00367C5A">
        <w:rPr>
          <w:rFonts w:eastAsia="Calibri"/>
          <w:color w:val="000000"/>
          <w:sz w:val="20"/>
          <w:szCs w:val="20"/>
        </w:rPr>
        <w:t xml:space="preserve"> a </w:t>
      </w:r>
      <w:proofErr w:type="spellStart"/>
      <w:r w:rsidRPr="00367C5A">
        <w:rPr>
          <w:rFonts w:eastAsia="Calibri"/>
          <w:color w:val="000000"/>
          <w:sz w:val="20"/>
          <w:szCs w:val="20"/>
        </w:rPr>
        <w:t>large</w:t>
      </w:r>
      <w:proofErr w:type="spellEnd"/>
      <w:r w:rsidRPr="00367C5A">
        <w:rPr>
          <w:rFonts w:eastAsia="Calibri"/>
          <w:color w:val="000000"/>
          <w:sz w:val="20"/>
          <w:szCs w:val="20"/>
        </w:rPr>
        <w:t xml:space="preserve"> surface </w:t>
      </w:r>
      <w:proofErr w:type="spellStart"/>
      <w:r w:rsidRPr="00367C5A">
        <w:rPr>
          <w:rFonts w:eastAsia="Calibri"/>
          <w:color w:val="000000"/>
          <w:sz w:val="20"/>
          <w:szCs w:val="20"/>
        </w:rPr>
        <w:t>area</w:t>
      </w:r>
      <w:proofErr w:type="spellEnd"/>
      <w:r w:rsidRPr="00367C5A">
        <w:rPr>
          <w:rFonts w:eastAsia="Calibri"/>
          <w:color w:val="000000"/>
          <w:sz w:val="20"/>
          <w:szCs w:val="20"/>
        </w:rPr>
        <w:t xml:space="preserve"> </w:t>
      </w:r>
      <w:proofErr w:type="spellStart"/>
      <w:r w:rsidRPr="00367C5A">
        <w:rPr>
          <w:rFonts w:eastAsia="Calibri"/>
          <w:color w:val="000000"/>
          <w:sz w:val="20"/>
          <w:szCs w:val="20"/>
        </w:rPr>
        <w:t>relative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to</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their</w:t>
      </w:r>
      <w:proofErr w:type="spellEnd"/>
      <w:r w:rsidRPr="00367C5A">
        <w:rPr>
          <w:rFonts w:eastAsia="Calibri"/>
          <w:color w:val="000000"/>
          <w:sz w:val="20"/>
          <w:szCs w:val="20"/>
        </w:rPr>
        <w:t xml:space="preserve"> volume. </w:t>
      </w:r>
      <w:proofErr w:type="spellStart"/>
      <w:r w:rsidRPr="00367C5A">
        <w:rPr>
          <w:rFonts w:eastAsia="Calibri"/>
          <w:color w:val="000000"/>
          <w:sz w:val="20"/>
          <w:szCs w:val="20"/>
        </w:rPr>
        <w:t>Due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to</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these</w:t>
      </w:r>
      <w:proofErr w:type="spellEnd"/>
      <w:r w:rsidRPr="00367C5A">
        <w:rPr>
          <w:rFonts w:eastAsia="Calibri"/>
          <w:color w:val="000000"/>
          <w:sz w:val="20"/>
          <w:szCs w:val="20"/>
        </w:rPr>
        <w:t xml:space="preserve"> </w:t>
      </w:r>
      <w:proofErr w:type="spellStart"/>
      <w:r w:rsidRPr="00367C5A">
        <w:rPr>
          <w:rFonts w:eastAsia="Calibri"/>
          <w:color w:val="000000"/>
          <w:sz w:val="20"/>
          <w:szCs w:val="20"/>
        </w:rPr>
        <w:t>characteristics</w:t>
      </w:r>
      <w:proofErr w:type="spellEnd"/>
      <w:r w:rsidRPr="00367C5A">
        <w:rPr>
          <w:rFonts w:eastAsia="Calibri"/>
          <w:color w:val="000000"/>
          <w:sz w:val="20"/>
          <w:szCs w:val="20"/>
        </w:rPr>
        <w:t xml:space="preserve">, </w:t>
      </w:r>
      <w:proofErr w:type="spellStart"/>
      <w:r w:rsidRPr="00367C5A">
        <w:rPr>
          <w:rFonts w:eastAsia="Calibri"/>
          <w:color w:val="000000"/>
          <w:sz w:val="20"/>
          <w:szCs w:val="20"/>
        </w:rPr>
        <w:t>nanoparticles</w:t>
      </w:r>
      <w:proofErr w:type="spellEnd"/>
      <w:r w:rsidRPr="00367C5A">
        <w:rPr>
          <w:rFonts w:eastAsia="Calibri"/>
          <w:color w:val="000000"/>
          <w:sz w:val="20"/>
          <w:szCs w:val="20"/>
        </w:rPr>
        <w:t xml:space="preserve"> are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w:t>
      </w:r>
      <w:proofErr w:type="spellStart"/>
      <w:r w:rsidRPr="00367C5A">
        <w:rPr>
          <w:rFonts w:eastAsia="Calibri"/>
          <w:color w:val="000000"/>
          <w:sz w:val="20"/>
          <w:szCs w:val="20"/>
        </w:rPr>
        <w:t>great</w:t>
      </w:r>
      <w:proofErr w:type="spellEnd"/>
      <w:r w:rsidRPr="00367C5A">
        <w:rPr>
          <w:rFonts w:eastAsia="Calibri"/>
          <w:color w:val="000000"/>
          <w:sz w:val="20"/>
          <w:szCs w:val="20"/>
        </w:rPr>
        <w:t xml:space="preserve"> </w:t>
      </w:r>
      <w:proofErr w:type="spellStart"/>
      <w:r w:rsidRPr="00367C5A">
        <w:rPr>
          <w:rFonts w:eastAsia="Calibri"/>
          <w:color w:val="000000"/>
          <w:sz w:val="20"/>
          <w:szCs w:val="20"/>
        </w:rPr>
        <w:t>scientific</w:t>
      </w:r>
      <w:proofErr w:type="spellEnd"/>
      <w:r w:rsidRPr="00367C5A">
        <w:rPr>
          <w:rFonts w:eastAsia="Calibri"/>
          <w:color w:val="000000"/>
          <w:sz w:val="20"/>
          <w:szCs w:val="20"/>
        </w:rPr>
        <w:t xml:space="preserve"> </w:t>
      </w:r>
      <w:proofErr w:type="spellStart"/>
      <w:r w:rsidRPr="00367C5A">
        <w:rPr>
          <w:rFonts w:eastAsia="Calibri"/>
          <w:color w:val="000000"/>
          <w:sz w:val="20"/>
          <w:szCs w:val="20"/>
        </w:rPr>
        <w:t>interest</w:t>
      </w:r>
      <w:proofErr w:type="spellEnd"/>
      <w:r w:rsidRPr="00367C5A">
        <w:rPr>
          <w:rFonts w:eastAsia="Calibri"/>
          <w:color w:val="000000"/>
          <w:sz w:val="20"/>
          <w:szCs w:val="20"/>
        </w:rPr>
        <w:t xml:space="preserve">, as </w:t>
      </w:r>
      <w:proofErr w:type="spellStart"/>
      <w:r w:rsidRPr="00367C5A">
        <w:rPr>
          <w:rFonts w:eastAsia="Calibri"/>
          <w:color w:val="000000"/>
          <w:sz w:val="20"/>
          <w:szCs w:val="20"/>
        </w:rPr>
        <w:t>they</w:t>
      </w:r>
      <w:proofErr w:type="spellEnd"/>
      <w:r w:rsidRPr="00367C5A">
        <w:rPr>
          <w:rFonts w:eastAsia="Calibri"/>
          <w:color w:val="000000"/>
          <w:sz w:val="20"/>
          <w:szCs w:val="20"/>
        </w:rPr>
        <w:t xml:space="preserve"> </w:t>
      </w:r>
      <w:proofErr w:type="spellStart"/>
      <w:r w:rsidRPr="00367C5A">
        <w:rPr>
          <w:rFonts w:eastAsia="Calibri"/>
          <w:color w:val="000000"/>
          <w:sz w:val="20"/>
          <w:szCs w:val="20"/>
        </w:rPr>
        <w:t>can</w:t>
      </w:r>
      <w:proofErr w:type="spellEnd"/>
      <w:r w:rsidRPr="00367C5A">
        <w:rPr>
          <w:rFonts w:eastAsia="Calibri"/>
          <w:color w:val="000000"/>
          <w:sz w:val="20"/>
          <w:szCs w:val="20"/>
        </w:rPr>
        <w:t xml:space="preserve">, for </w:t>
      </w:r>
      <w:proofErr w:type="spellStart"/>
      <w:r w:rsidRPr="00367C5A">
        <w:rPr>
          <w:rFonts w:eastAsia="Calibri"/>
          <w:color w:val="000000"/>
          <w:sz w:val="20"/>
          <w:szCs w:val="20"/>
        </w:rPr>
        <w:t>example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traverse</w:t>
      </w:r>
      <w:proofErr w:type="spellEnd"/>
      <w:r w:rsidRPr="00367C5A">
        <w:rPr>
          <w:rFonts w:eastAsia="Calibri"/>
          <w:color w:val="000000"/>
          <w:sz w:val="20"/>
          <w:szCs w:val="20"/>
        </w:rPr>
        <w:t xml:space="preserve"> </w:t>
      </w:r>
      <w:proofErr w:type="spellStart"/>
      <w:r w:rsidRPr="00367C5A">
        <w:rPr>
          <w:rFonts w:eastAsia="Calibri"/>
          <w:color w:val="000000"/>
          <w:sz w:val="20"/>
          <w:szCs w:val="20"/>
        </w:rPr>
        <w:t>cell</w:t>
      </w:r>
      <w:proofErr w:type="spellEnd"/>
      <w:r w:rsidRPr="00367C5A">
        <w:rPr>
          <w:rFonts w:eastAsia="Calibri"/>
          <w:color w:val="000000"/>
          <w:sz w:val="20"/>
          <w:szCs w:val="20"/>
        </w:rPr>
        <w:t xml:space="preserve"> </w:t>
      </w:r>
      <w:proofErr w:type="spellStart"/>
      <w:r w:rsidRPr="00367C5A">
        <w:rPr>
          <w:rFonts w:eastAsia="Calibri"/>
          <w:color w:val="000000"/>
          <w:sz w:val="20"/>
          <w:szCs w:val="20"/>
        </w:rPr>
        <w:t>membranes</w:t>
      </w:r>
      <w:proofErr w:type="spellEnd"/>
      <w:r w:rsidRPr="00367C5A">
        <w:rPr>
          <w:rFonts w:eastAsia="Calibri"/>
          <w:color w:val="000000"/>
          <w:sz w:val="20"/>
          <w:szCs w:val="20"/>
        </w:rPr>
        <w:t xml:space="preserve"> </w:t>
      </w:r>
      <w:proofErr w:type="spellStart"/>
      <w:r w:rsidRPr="00367C5A">
        <w:rPr>
          <w:rFonts w:eastAsia="Calibri"/>
          <w:color w:val="000000"/>
          <w:sz w:val="20"/>
          <w:szCs w:val="20"/>
        </w:rPr>
        <w:t>and</w:t>
      </w:r>
      <w:proofErr w:type="spellEnd"/>
      <w:r w:rsidRPr="00367C5A">
        <w:rPr>
          <w:rFonts w:eastAsia="Calibri"/>
          <w:color w:val="000000"/>
          <w:sz w:val="20"/>
          <w:szCs w:val="20"/>
        </w:rPr>
        <w:t xml:space="preserve"> </w:t>
      </w:r>
      <w:proofErr w:type="spellStart"/>
      <w:r w:rsidRPr="00367C5A">
        <w:rPr>
          <w:rFonts w:eastAsia="Calibri"/>
          <w:color w:val="000000"/>
          <w:sz w:val="20"/>
          <w:szCs w:val="20"/>
        </w:rPr>
        <w:t>biological</w:t>
      </w:r>
      <w:proofErr w:type="spellEnd"/>
      <w:r w:rsidRPr="00367C5A">
        <w:rPr>
          <w:rFonts w:eastAsia="Calibri"/>
          <w:color w:val="000000"/>
          <w:sz w:val="20"/>
          <w:szCs w:val="20"/>
        </w:rPr>
        <w:t xml:space="preserve"> </w:t>
      </w:r>
      <w:proofErr w:type="spellStart"/>
      <w:r w:rsidRPr="00367C5A">
        <w:rPr>
          <w:rFonts w:eastAsia="Calibri"/>
          <w:color w:val="000000"/>
          <w:sz w:val="20"/>
          <w:szCs w:val="20"/>
        </w:rPr>
        <w:t>barriers</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Therefore</w:t>
      </w:r>
      <w:proofErr w:type="spellEnd"/>
      <w:r w:rsidRPr="00367C5A">
        <w:rPr>
          <w:rFonts w:eastAsia="Calibri"/>
          <w:color w:val="000000"/>
          <w:sz w:val="20"/>
          <w:szCs w:val="20"/>
        </w:rPr>
        <w:t xml:space="preserve">, </w:t>
      </w:r>
      <w:proofErr w:type="spellStart"/>
      <w:r w:rsidRPr="00367C5A">
        <w:rPr>
          <w:rFonts w:eastAsia="Calibri"/>
          <w:color w:val="000000"/>
          <w:sz w:val="20"/>
          <w:szCs w:val="20"/>
        </w:rPr>
        <w:t>the</w:t>
      </w:r>
      <w:proofErr w:type="spellEnd"/>
      <w:r w:rsidRPr="00367C5A">
        <w:rPr>
          <w:rFonts w:eastAsia="Calibri"/>
          <w:color w:val="000000"/>
          <w:sz w:val="20"/>
          <w:szCs w:val="20"/>
        </w:rPr>
        <w:t xml:space="preserve"> </w:t>
      </w:r>
      <w:proofErr w:type="spellStart"/>
      <w:r w:rsidRPr="00367C5A">
        <w:rPr>
          <w:rFonts w:eastAsia="Calibri"/>
          <w:color w:val="000000"/>
          <w:sz w:val="20"/>
          <w:szCs w:val="20"/>
        </w:rPr>
        <w:t>size</w:t>
      </w:r>
      <w:proofErr w:type="spellEnd"/>
      <w:r w:rsidRPr="00367C5A">
        <w:rPr>
          <w:rFonts w:eastAsia="Calibri"/>
          <w:color w:val="000000"/>
          <w:sz w:val="20"/>
          <w:szCs w:val="20"/>
        </w:rPr>
        <w:t xml:space="preserve"> </w:t>
      </w:r>
      <w:proofErr w:type="spellStart"/>
      <w:r w:rsidRPr="00367C5A">
        <w:rPr>
          <w:rFonts w:eastAsia="Calibri"/>
          <w:color w:val="000000"/>
          <w:sz w:val="20"/>
          <w:szCs w:val="20"/>
        </w:rPr>
        <w:t>reduction</w:t>
      </w:r>
      <w:proofErr w:type="spellEnd"/>
      <w:r w:rsidRPr="00367C5A">
        <w:rPr>
          <w:rFonts w:eastAsia="Calibri"/>
          <w:color w:val="000000"/>
          <w:sz w:val="20"/>
          <w:szCs w:val="20"/>
        </w:rPr>
        <w:t xml:space="preserve"> </w:t>
      </w:r>
      <w:proofErr w:type="spellStart"/>
      <w:r w:rsidRPr="00367C5A">
        <w:rPr>
          <w:rFonts w:eastAsia="Calibri"/>
          <w:color w:val="000000"/>
          <w:sz w:val="20"/>
          <w:szCs w:val="20"/>
        </w:rPr>
        <w:t>of</w:t>
      </w:r>
      <w:proofErr w:type="spellEnd"/>
      <w:r w:rsidRPr="00367C5A">
        <w:rPr>
          <w:rFonts w:eastAsia="Calibri"/>
          <w:color w:val="000000"/>
          <w:sz w:val="20"/>
          <w:szCs w:val="20"/>
        </w:rPr>
        <w:t xml:space="preserve"> </w:t>
      </w:r>
      <w:proofErr w:type="spellStart"/>
      <w:r w:rsidRPr="00367C5A">
        <w:rPr>
          <w:rFonts w:eastAsia="Calibri"/>
          <w:color w:val="000000"/>
          <w:sz w:val="20"/>
          <w:szCs w:val="20"/>
        </w:rPr>
        <w:t>nanoparticles</w:t>
      </w:r>
      <w:proofErr w:type="spellEnd"/>
      <w:r w:rsidRPr="00367C5A">
        <w:rPr>
          <w:rFonts w:eastAsia="Calibri"/>
          <w:color w:val="000000"/>
          <w:sz w:val="20"/>
          <w:szCs w:val="20"/>
        </w:rPr>
        <w:t xml:space="preserve"> </w:t>
      </w:r>
      <w:proofErr w:type="spellStart"/>
      <w:r w:rsidRPr="00367C5A">
        <w:rPr>
          <w:rFonts w:eastAsia="Calibri"/>
          <w:color w:val="000000"/>
          <w:sz w:val="20"/>
          <w:szCs w:val="20"/>
        </w:rPr>
        <w:t>has</w:t>
      </w:r>
      <w:proofErr w:type="spellEnd"/>
      <w:r w:rsidRPr="00367C5A">
        <w:rPr>
          <w:rFonts w:eastAsia="Calibri"/>
          <w:color w:val="000000"/>
          <w:sz w:val="20"/>
          <w:szCs w:val="20"/>
        </w:rPr>
        <w:t xml:space="preserve"> </w:t>
      </w:r>
      <w:proofErr w:type="spellStart"/>
      <w:r w:rsidRPr="00367C5A">
        <w:rPr>
          <w:rFonts w:eastAsia="Calibri"/>
          <w:color w:val="000000"/>
          <w:sz w:val="20"/>
          <w:szCs w:val="20"/>
        </w:rPr>
        <w:t>offered</w:t>
      </w:r>
      <w:proofErr w:type="spellEnd"/>
      <w:r w:rsidRPr="00367C5A">
        <w:rPr>
          <w:rFonts w:eastAsia="Calibri"/>
          <w:color w:val="000000"/>
          <w:sz w:val="20"/>
          <w:szCs w:val="20"/>
        </w:rPr>
        <w:t xml:space="preserve"> </w:t>
      </w:r>
      <w:proofErr w:type="spellStart"/>
      <w:r w:rsidRPr="00367C5A">
        <w:rPr>
          <w:rFonts w:eastAsia="Calibri"/>
          <w:color w:val="000000"/>
          <w:sz w:val="20"/>
          <w:szCs w:val="20"/>
        </w:rPr>
        <w:t>significant</w:t>
      </w:r>
      <w:proofErr w:type="spellEnd"/>
      <w:r w:rsidRPr="00367C5A">
        <w:rPr>
          <w:rFonts w:eastAsia="Calibri"/>
          <w:color w:val="000000"/>
          <w:sz w:val="20"/>
          <w:szCs w:val="20"/>
        </w:rPr>
        <w:t xml:space="preserve"> </w:t>
      </w:r>
      <w:proofErr w:type="spellStart"/>
      <w:r w:rsidRPr="00367C5A">
        <w:rPr>
          <w:rFonts w:eastAsia="Calibri"/>
          <w:color w:val="000000"/>
          <w:sz w:val="20"/>
          <w:szCs w:val="20"/>
        </w:rPr>
        <w:t>opportunities</w:t>
      </w:r>
      <w:proofErr w:type="spellEnd"/>
      <w:r w:rsidRPr="00367C5A">
        <w:rPr>
          <w:rFonts w:eastAsia="Calibri"/>
          <w:color w:val="000000"/>
          <w:sz w:val="20"/>
          <w:szCs w:val="20"/>
        </w:rPr>
        <w:t xml:space="preserve"> for </w:t>
      </w:r>
      <w:proofErr w:type="spellStart"/>
      <w:r w:rsidRPr="00367C5A">
        <w:rPr>
          <w:rFonts w:eastAsia="Calibri"/>
          <w:color w:val="000000"/>
          <w:sz w:val="20"/>
          <w:szCs w:val="20"/>
        </w:rPr>
        <w:t>scientific</w:t>
      </w:r>
      <w:proofErr w:type="spellEnd"/>
      <w:r w:rsidRPr="00367C5A">
        <w:rPr>
          <w:rFonts w:eastAsia="Calibri"/>
          <w:color w:val="000000"/>
          <w:sz w:val="20"/>
          <w:szCs w:val="20"/>
        </w:rPr>
        <w:t xml:space="preserve"> </w:t>
      </w:r>
      <w:proofErr w:type="spellStart"/>
      <w:r w:rsidRPr="00367C5A">
        <w:rPr>
          <w:rFonts w:eastAsia="Calibri"/>
          <w:color w:val="000000"/>
          <w:sz w:val="20"/>
          <w:szCs w:val="20"/>
        </w:rPr>
        <w:t>advancements</w:t>
      </w:r>
      <w:proofErr w:type="spellEnd"/>
      <w:r w:rsidRPr="00367C5A">
        <w:rPr>
          <w:rFonts w:eastAsia="Calibri"/>
          <w:color w:val="000000"/>
          <w:sz w:val="20"/>
          <w:szCs w:val="20"/>
        </w:rPr>
        <w:t xml:space="preserve"> in </w:t>
      </w:r>
      <w:proofErr w:type="spellStart"/>
      <w:r w:rsidRPr="00367C5A">
        <w:rPr>
          <w:rFonts w:eastAsia="Calibri"/>
          <w:color w:val="000000"/>
          <w:sz w:val="20"/>
          <w:szCs w:val="20"/>
        </w:rPr>
        <w:t>modern</w:t>
      </w:r>
      <w:proofErr w:type="spellEnd"/>
      <w:r w:rsidRPr="00367C5A">
        <w:rPr>
          <w:rFonts w:eastAsia="Calibri"/>
          <w:color w:val="000000"/>
          <w:sz w:val="20"/>
          <w:szCs w:val="20"/>
        </w:rPr>
        <w:t xml:space="preserve"> </w:t>
      </w:r>
      <w:proofErr w:type="spellStart"/>
      <w:r w:rsidRPr="00367C5A">
        <w:rPr>
          <w:rFonts w:eastAsia="Calibri"/>
          <w:color w:val="000000"/>
          <w:sz w:val="20"/>
          <w:szCs w:val="20"/>
        </w:rPr>
        <w:t>technology</w:t>
      </w:r>
      <w:proofErr w:type="spellEnd"/>
      <w:r w:rsidRPr="00367C5A">
        <w:rPr>
          <w:rFonts w:eastAsia="Calibri"/>
          <w:color w:val="000000"/>
          <w:sz w:val="20"/>
          <w:szCs w:val="20"/>
        </w:rPr>
        <w:t xml:space="preserve">, </w:t>
      </w:r>
      <w:proofErr w:type="spellStart"/>
      <w:r w:rsidRPr="00367C5A">
        <w:rPr>
          <w:rFonts w:eastAsia="Calibri"/>
          <w:color w:val="000000"/>
          <w:sz w:val="20"/>
          <w:szCs w:val="20"/>
        </w:rPr>
        <w:t>with</w:t>
      </w:r>
      <w:proofErr w:type="spellEnd"/>
      <w:r w:rsidRPr="00367C5A">
        <w:rPr>
          <w:rFonts w:eastAsia="Calibri"/>
          <w:color w:val="000000"/>
          <w:sz w:val="20"/>
          <w:szCs w:val="20"/>
        </w:rPr>
        <w:t xml:space="preserve"> </w:t>
      </w:r>
      <w:proofErr w:type="spellStart"/>
      <w:r w:rsidRPr="00367C5A">
        <w:rPr>
          <w:rFonts w:eastAsia="Calibri"/>
          <w:color w:val="000000"/>
          <w:sz w:val="20"/>
          <w:szCs w:val="20"/>
        </w:rPr>
        <w:t>enormous</w:t>
      </w:r>
      <w:proofErr w:type="spellEnd"/>
      <w:r w:rsidRPr="00367C5A">
        <w:rPr>
          <w:rFonts w:eastAsia="Calibri"/>
          <w:color w:val="000000"/>
          <w:sz w:val="20"/>
          <w:szCs w:val="20"/>
        </w:rPr>
        <w:t xml:space="preserve"> </w:t>
      </w:r>
      <w:proofErr w:type="spellStart"/>
      <w:r w:rsidRPr="007C589F">
        <w:rPr>
          <w:rFonts w:eastAsia="Calibri"/>
          <w:color w:val="000000"/>
          <w:sz w:val="20"/>
          <w:szCs w:val="20"/>
        </w:rPr>
        <w:t>potential</w:t>
      </w:r>
      <w:proofErr w:type="spellEnd"/>
      <w:r w:rsidRPr="007C589F">
        <w:rPr>
          <w:rFonts w:eastAsia="Calibri"/>
          <w:color w:val="000000"/>
          <w:sz w:val="20"/>
          <w:szCs w:val="20"/>
        </w:rPr>
        <w:t xml:space="preserve"> for </w:t>
      </w:r>
      <w:proofErr w:type="spellStart"/>
      <w:r w:rsidRPr="007C589F">
        <w:rPr>
          <w:rFonts w:eastAsia="Calibri"/>
          <w:color w:val="000000"/>
          <w:sz w:val="20"/>
          <w:szCs w:val="20"/>
        </w:rPr>
        <w:t>human</w:t>
      </w:r>
      <w:proofErr w:type="spellEnd"/>
      <w:r w:rsidRPr="007C589F">
        <w:rPr>
          <w:rFonts w:eastAsia="Calibri"/>
          <w:color w:val="000000"/>
          <w:sz w:val="20"/>
          <w:szCs w:val="20"/>
        </w:rPr>
        <w:t xml:space="preserve"> </w:t>
      </w:r>
      <w:proofErr w:type="spellStart"/>
      <w:r w:rsidRPr="007C589F">
        <w:rPr>
          <w:rFonts w:eastAsia="Calibri"/>
          <w:color w:val="000000"/>
          <w:sz w:val="20"/>
          <w:szCs w:val="20"/>
        </w:rPr>
        <w:t>well-being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Balakumaran</w:t>
      </w:r>
      <w:proofErr w:type="spellEnd"/>
      <w:r w:rsidRPr="007C589F">
        <w:rPr>
          <w:rFonts w:eastAsia="Calibri"/>
          <w:color w:val="000000"/>
          <w:sz w:val="20"/>
          <w:szCs w:val="20"/>
        </w:rPr>
        <w:t xml:space="preserve"> et al., 2015).</w:t>
      </w:r>
    </w:p>
    <w:p w14:paraId="409E2FD5" w14:textId="77777777" w:rsidR="007C589F" w:rsidRPr="007C589F" w:rsidRDefault="007C589F" w:rsidP="007C589F">
      <w:pPr>
        <w:pBdr>
          <w:top w:val="nil"/>
          <w:left w:val="nil"/>
          <w:bottom w:val="nil"/>
          <w:right w:val="nil"/>
          <w:between w:val="nil"/>
        </w:pBdr>
        <w:ind w:firstLine="708"/>
        <w:jc w:val="both"/>
        <w:rPr>
          <w:rFonts w:eastAsia="Calibri"/>
          <w:color w:val="000000"/>
          <w:sz w:val="20"/>
          <w:szCs w:val="20"/>
        </w:rPr>
      </w:pPr>
      <w:r w:rsidRPr="007C589F">
        <w:rPr>
          <w:rFonts w:eastAsia="Calibri"/>
          <w:color w:val="000000"/>
          <w:sz w:val="20"/>
          <w:szCs w:val="20"/>
        </w:rPr>
        <w:t xml:space="preserve">Chemical, </w:t>
      </w:r>
      <w:proofErr w:type="spellStart"/>
      <w:r w:rsidRPr="007C589F">
        <w:rPr>
          <w:rFonts w:eastAsia="Calibri"/>
          <w:color w:val="000000"/>
          <w:sz w:val="20"/>
          <w:szCs w:val="20"/>
        </w:rPr>
        <w:t>physical</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photochemical</w:t>
      </w:r>
      <w:proofErr w:type="spellEnd"/>
      <w:r w:rsidRPr="007C589F">
        <w:rPr>
          <w:rFonts w:eastAsia="Calibri"/>
          <w:color w:val="000000"/>
          <w:sz w:val="20"/>
          <w:szCs w:val="20"/>
        </w:rPr>
        <w:t xml:space="preserve"> </w:t>
      </w:r>
      <w:proofErr w:type="spellStart"/>
      <w:r w:rsidRPr="007C589F">
        <w:rPr>
          <w:rFonts w:eastAsia="Calibri"/>
          <w:color w:val="000000"/>
          <w:sz w:val="20"/>
          <w:szCs w:val="20"/>
        </w:rPr>
        <w:t>methods</w:t>
      </w:r>
      <w:proofErr w:type="spellEnd"/>
      <w:r w:rsidRPr="007C589F">
        <w:rPr>
          <w:rFonts w:eastAsia="Calibri"/>
          <w:color w:val="000000"/>
          <w:sz w:val="20"/>
          <w:szCs w:val="20"/>
        </w:rPr>
        <w:t xml:space="preserve"> are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most</w:t>
      </w:r>
      <w:proofErr w:type="spellEnd"/>
      <w:r w:rsidRPr="007C589F">
        <w:rPr>
          <w:rFonts w:eastAsia="Calibri"/>
          <w:color w:val="000000"/>
          <w:sz w:val="20"/>
          <w:szCs w:val="20"/>
        </w:rPr>
        <w:t xml:space="preserve"> common approaches for </w:t>
      </w:r>
      <w:proofErr w:type="spellStart"/>
      <w:r w:rsidRPr="007C589F">
        <w:rPr>
          <w:rFonts w:eastAsia="Calibri"/>
          <w:color w:val="000000"/>
          <w:sz w:val="20"/>
          <w:szCs w:val="20"/>
        </w:rPr>
        <w:t>synthesizing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metallic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NPMs</w:t>
      </w:r>
      <w:proofErr w:type="spellEnd"/>
      <w:r w:rsidRPr="007C589F">
        <w:rPr>
          <w:rFonts w:eastAsia="Calibri"/>
          <w:color w:val="000000"/>
          <w:sz w:val="20"/>
          <w:szCs w:val="20"/>
        </w:rPr>
        <w:t>) (</w:t>
      </w:r>
      <w:proofErr w:type="spellStart"/>
      <w:r w:rsidRPr="007C589F">
        <w:rPr>
          <w:rFonts w:eastAsia="Calibri"/>
          <w:color w:val="000000"/>
          <w:sz w:val="20"/>
          <w:szCs w:val="20"/>
        </w:rPr>
        <w:t>Yaqoob</w:t>
      </w:r>
      <w:proofErr w:type="spellEnd"/>
      <w:r w:rsidRPr="007C589F">
        <w:rPr>
          <w:rFonts w:eastAsia="Calibri"/>
          <w:color w:val="000000"/>
          <w:sz w:val="20"/>
          <w:szCs w:val="20"/>
        </w:rPr>
        <w:t xml:space="preserve"> et al. 2020). </w:t>
      </w:r>
      <w:proofErr w:type="spellStart"/>
      <w:r w:rsidRPr="007C589F">
        <w:rPr>
          <w:rFonts w:eastAsia="Calibri"/>
          <w:color w:val="000000"/>
          <w:sz w:val="20"/>
          <w:szCs w:val="20"/>
        </w:rPr>
        <w:t>However</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chemical</w:t>
      </w:r>
      <w:proofErr w:type="spellEnd"/>
      <w:r w:rsidRPr="007C589F">
        <w:rPr>
          <w:rFonts w:eastAsia="Calibri"/>
          <w:color w:val="000000"/>
          <w:sz w:val="20"/>
          <w:szCs w:val="20"/>
        </w:rPr>
        <w:t xml:space="preserve"> </w:t>
      </w:r>
      <w:proofErr w:type="spellStart"/>
      <w:r w:rsidRPr="007C589F">
        <w:rPr>
          <w:rFonts w:eastAsia="Calibri"/>
          <w:color w:val="000000"/>
          <w:sz w:val="20"/>
          <w:szCs w:val="20"/>
        </w:rPr>
        <w:t>routes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commonly</w:t>
      </w:r>
      <w:proofErr w:type="spellEnd"/>
      <w:r w:rsidRPr="007C589F">
        <w:rPr>
          <w:rFonts w:eastAsia="Calibri"/>
          <w:color w:val="000000"/>
          <w:sz w:val="20"/>
          <w:szCs w:val="20"/>
        </w:rPr>
        <w:t xml:space="preserve"> </w:t>
      </w:r>
      <w:proofErr w:type="spellStart"/>
      <w:r w:rsidRPr="007C589F">
        <w:rPr>
          <w:rFonts w:eastAsia="Calibri"/>
          <w:color w:val="000000"/>
          <w:sz w:val="20"/>
          <w:szCs w:val="20"/>
        </w:rPr>
        <w:t>used</w:t>
      </w:r>
      <w:proofErr w:type="spellEnd"/>
      <w:r w:rsidRPr="007C589F">
        <w:rPr>
          <w:rFonts w:eastAsia="Calibri"/>
          <w:color w:val="000000"/>
          <w:sz w:val="20"/>
          <w:szCs w:val="20"/>
        </w:rPr>
        <w:t xml:space="preserve"> for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synthesis</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metallic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NPs</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often</w:t>
      </w:r>
      <w:proofErr w:type="spellEnd"/>
      <w:r w:rsidRPr="007C589F">
        <w:rPr>
          <w:rFonts w:eastAsia="Calibri"/>
          <w:color w:val="000000"/>
          <w:sz w:val="20"/>
          <w:szCs w:val="20"/>
        </w:rPr>
        <w:t xml:space="preserve"> </w:t>
      </w:r>
      <w:proofErr w:type="spellStart"/>
      <w:r w:rsidRPr="007C589F">
        <w:rPr>
          <w:rFonts w:eastAsia="Calibri"/>
          <w:color w:val="000000"/>
          <w:sz w:val="20"/>
          <w:szCs w:val="20"/>
        </w:rPr>
        <w:t>involve</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toxic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solvents</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generation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environmentally</w:t>
      </w:r>
      <w:proofErr w:type="spellEnd"/>
      <w:r w:rsidRPr="007C589F">
        <w:rPr>
          <w:rFonts w:eastAsia="Calibri"/>
          <w:color w:val="000000"/>
          <w:sz w:val="20"/>
          <w:szCs w:val="20"/>
        </w:rPr>
        <w:t xml:space="preserve"> </w:t>
      </w:r>
      <w:proofErr w:type="spellStart"/>
      <w:r w:rsidRPr="007C589F">
        <w:rPr>
          <w:rFonts w:eastAsia="Calibri"/>
          <w:color w:val="000000"/>
          <w:sz w:val="20"/>
          <w:szCs w:val="20"/>
        </w:rPr>
        <w:t>harmful</w:t>
      </w:r>
      <w:proofErr w:type="spellEnd"/>
      <w:r w:rsidRPr="007C589F">
        <w:rPr>
          <w:rFonts w:eastAsia="Calibri"/>
          <w:color w:val="000000"/>
          <w:sz w:val="20"/>
          <w:szCs w:val="20"/>
        </w:rPr>
        <w:t xml:space="preserve"> </w:t>
      </w:r>
      <w:proofErr w:type="spellStart"/>
      <w:r w:rsidRPr="007C589F">
        <w:rPr>
          <w:rFonts w:eastAsia="Calibri"/>
          <w:color w:val="000000"/>
          <w:sz w:val="20"/>
          <w:szCs w:val="20"/>
        </w:rPr>
        <w:t>waste</w:t>
      </w:r>
      <w:proofErr w:type="spellEnd"/>
      <w:r w:rsidRPr="007C589F">
        <w:rPr>
          <w:rFonts w:eastAsia="Calibri"/>
          <w:color w:val="000000"/>
          <w:sz w:val="20"/>
          <w:szCs w:val="20"/>
        </w:rPr>
        <w:t xml:space="preserve"> (Silva et al. 2017).</w:t>
      </w:r>
    </w:p>
    <w:p w14:paraId="0F9DC4BD" w14:textId="77777777" w:rsidR="007C589F" w:rsidRPr="007C589F" w:rsidRDefault="007C589F" w:rsidP="007C589F">
      <w:pPr>
        <w:pBdr>
          <w:top w:val="nil"/>
          <w:left w:val="nil"/>
          <w:bottom w:val="nil"/>
          <w:right w:val="nil"/>
          <w:between w:val="nil"/>
        </w:pBdr>
        <w:ind w:firstLine="708"/>
        <w:jc w:val="both"/>
        <w:rPr>
          <w:rFonts w:eastAsia="Calibri"/>
          <w:color w:val="000000"/>
          <w:sz w:val="20"/>
          <w:szCs w:val="20"/>
        </w:rPr>
      </w:pPr>
    </w:p>
    <w:p w14:paraId="32914FA4" w14:textId="77777777" w:rsidR="007C589F" w:rsidRPr="007C589F" w:rsidRDefault="007C589F" w:rsidP="007C589F">
      <w:pPr>
        <w:pBdr>
          <w:top w:val="nil"/>
          <w:left w:val="nil"/>
          <w:bottom w:val="nil"/>
          <w:right w:val="nil"/>
          <w:between w:val="nil"/>
        </w:pBdr>
        <w:ind w:firstLine="708"/>
        <w:jc w:val="both"/>
        <w:rPr>
          <w:rFonts w:eastAsia="Calibri"/>
          <w:color w:val="000000"/>
          <w:sz w:val="20"/>
          <w:szCs w:val="20"/>
        </w:rPr>
      </w:pPr>
      <w:r w:rsidRPr="007C589F">
        <w:rPr>
          <w:rFonts w:eastAsia="Calibri"/>
          <w:color w:val="000000"/>
          <w:sz w:val="20"/>
          <w:szCs w:val="20"/>
        </w:rPr>
        <w:t xml:space="preserve">The </w:t>
      </w:r>
      <w:proofErr w:type="spellStart"/>
      <w:r w:rsidRPr="007C589F">
        <w:rPr>
          <w:rFonts w:eastAsia="Calibri"/>
          <w:color w:val="000000"/>
          <w:sz w:val="20"/>
          <w:szCs w:val="20"/>
        </w:rPr>
        <w:t>metals</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commonly</w:t>
      </w:r>
      <w:proofErr w:type="spellEnd"/>
      <w:r w:rsidRPr="007C589F">
        <w:rPr>
          <w:rFonts w:eastAsia="Calibri"/>
          <w:color w:val="000000"/>
          <w:sz w:val="20"/>
          <w:szCs w:val="20"/>
        </w:rPr>
        <w:t xml:space="preserve"> </w:t>
      </w:r>
      <w:proofErr w:type="spellStart"/>
      <w:r w:rsidRPr="007C589F">
        <w:rPr>
          <w:rFonts w:eastAsia="Calibri"/>
          <w:color w:val="000000"/>
          <w:sz w:val="20"/>
          <w:szCs w:val="20"/>
        </w:rPr>
        <w:t>used</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w:t>
      </w:r>
      <w:proofErr w:type="spellStart"/>
      <w:r w:rsidRPr="007C589F">
        <w:rPr>
          <w:rFonts w:eastAsia="Calibri"/>
          <w:color w:val="000000"/>
          <w:sz w:val="20"/>
          <w:szCs w:val="20"/>
        </w:rPr>
        <w:t>form</w:t>
      </w:r>
      <w:proofErr w:type="spellEnd"/>
      <w:r w:rsidRPr="007C589F">
        <w:rPr>
          <w:rFonts w:eastAsia="Calibri"/>
          <w:color w:val="000000"/>
          <w:sz w:val="20"/>
          <w:szCs w:val="20"/>
        </w:rPr>
        <w:t xml:space="preserve"> </w:t>
      </w:r>
      <w:proofErr w:type="spellStart"/>
      <w:r w:rsidRPr="007C589F">
        <w:rPr>
          <w:rFonts w:eastAsia="Calibri"/>
          <w:color w:val="000000"/>
          <w:sz w:val="20"/>
          <w:szCs w:val="20"/>
        </w:rPr>
        <w:t>metallic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NPs</w:t>
      </w:r>
      <w:proofErr w:type="spellEnd"/>
      <w:r w:rsidRPr="007C589F">
        <w:rPr>
          <w:rFonts w:eastAsia="Calibri"/>
          <w:color w:val="000000"/>
          <w:sz w:val="20"/>
          <w:szCs w:val="20"/>
        </w:rPr>
        <w:t xml:space="preserve">) include </w:t>
      </w:r>
      <w:proofErr w:type="spellStart"/>
      <w:r w:rsidRPr="007C589F">
        <w:rPr>
          <w:rFonts w:eastAsia="Calibri"/>
          <w:color w:val="000000"/>
          <w:sz w:val="20"/>
          <w:szCs w:val="20"/>
        </w:rPr>
        <w:t>gold</w:t>
      </w:r>
      <w:proofErr w:type="spellEnd"/>
      <w:r w:rsidRPr="007C589F">
        <w:rPr>
          <w:rFonts w:eastAsia="Calibri"/>
          <w:color w:val="000000"/>
          <w:sz w:val="20"/>
          <w:szCs w:val="20"/>
        </w:rPr>
        <w:t xml:space="preserve">, </w:t>
      </w:r>
      <w:proofErr w:type="spellStart"/>
      <w:r w:rsidRPr="007C589F">
        <w:rPr>
          <w:rFonts w:eastAsia="Calibri"/>
          <w:color w:val="000000"/>
          <w:sz w:val="20"/>
          <w:szCs w:val="20"/>
        </w:rPr>
        <w:t>silver</w:t>
      </w:r>
      <w:proofErr w:type="spellEnd"/>
      <w:r w:rsidRPr="007C589F">
        <w:rPr>
          <w:rFonts w:eastAsia="Calibri"/>
          <w:color w:val="000000"/>
          <w:sz w:val="20"/>
          <w:szCs w:val="20"/>
        </w:rPr>
        <w:t xml:space="preserve">, </w:t>
      </w:r>
      <w:proofErr w:type="spellStart"/>
      <w:r w:rsidRPr="007C589F">
        <w:rPr>
          <w:rFonts w:eastAsia="Calibri"/>
          <w:color w:val="000000"/>
          <w:sz w:val="20"/>
          <w:szCs w:val="20"/>
        </w:rPr>
        <w:t>zinc</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copper</w:t>
      </w:r>
      <w:proofErr w:type="spellEnd"/>
      <w:r w:rsidRPr="007C589F">
        <w:rPr>
          <w:rFonts w:eastAsia="Calibri"/>
          <w:color w:val="000000"/>
          <w:sz w:val="20"/>
          <w:szCs w:val="20"/>
        </w:rPr>
        <w:t xml:space="preserve">, iron, platinum, </w:t>
      </w:r>
      <w:proofErr w:type="spellStart"/>
      <w:r w:rsidRPr="007C589F">
        <w:rPr>
          <w:rFonts w:eastAsia="Calibri"/>
          <w:color w:val="000000"/>
          <w:sz w:val="20"/>
          <w:szCs w:val="20"/>
        </w:rPr>
        <w:t>aluminum</w:t>
      </w:r>
      <w:proofErr w:type="spellEnd"/>
      <w:r w:rsidRPr="007C589F">
        <w:rPr>
          <w:rFonts w:eastAsia="Calibri"/>
          <w:color w:val="000000"/>
          <w:sz w:val="20"/>
          <w:szCs w:val="20"/>
        </w:rPr>
        <w:t xml:space="preserve">, </w:t>
      </w:r>
      <w:proofErr w:type="spellStart"/>
      <w:r w:rsidRPr="007C589F">
        <w:rPr>
          <w:rFonts w:eastAsia="Calibri"/>
          <w:color w:val="000000"/>
          <w:sz w:val="20"/>
          <w:szCs w:val="20"/>
        </w:rPr>
        <w:t>titanium</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palladium</w:t>
      </w:r>
      <w:proofErr w:type="spellEnd"/>
      <w:r w:rsidRPr="007C589F">
        <w:rPr>
          <w:rFonts w:eastAsia="Calibri"/>
          <w:color w:val="000000"/>
          <w:sz w:val="20"/>
          <w:szCs w:val="20"/>
        </w:rPr>
        <w:t xml:space="preserve">. The </w:t>
      </w:r>
      <w:proofErr w:type="spellStart"/>
      <w:r w:rsidRPr="007C589F">
        <w:rPr>
          <w:rFonts w:eastAsia="Calibri"/>
          <w:color w:val="000000"/>
          <w:sz w:val="20"/>
          <w:szCs w:val="20"/>
        </w:rPr>
        <w:t>mechanisms</w:t>
      </w:r>
      <w:proofErr w:type="spellEnd"/>
      <w:r w:rsidRPr="007C589F">
        <w:rPr>
          <w:rFonts w:eastAsia="Calibri"/>
          <w:color w:val="000000"/>
          <w:sz w:val="20"/>
          <w:szCs w:val="20"/>
        </w:rPr>
        <w:t xml:space="preserve"> for </w:t>
      </w:r>
      <w:proofErr w:type="spellStart"/>
      <w:r w:rsidRPr="007C589F">
        <w:rPr>
          <w:rFonts w:eastAsia="Calibri"/>
          <w:color w:val="000000"/>
          <w:sz w:val="20"/>
          <w:szCs w:val="20"/>
        </w:rPr>
        <w:t>these</w:t>
      </w:r>
      <w:proofErr w:type="spellEnd"/>
      <w:r w:rsidRPr="007C589F">
        <w:rPr>
          <w:rFonts w:eastAsia="Calibri"/>
          <w:color w:val="000000"/>
          <w:sz w:val="20"/>
          <w:szCs w:val="20"/>
        </w:rPr>
        <w:t xml:space="preserve"> </w:t>
      </w:r>
      <w:proofErr w:type="spellStart"/>
      <w:r w:rsidRPr="007C589F">
        <w:rPr>
          <w:rFonts w:eastAsia="Calibri"/>
          <w:color w:val="000000"/>
          <w:sz w:val="20"/>
          <w:szCs w:val="20"/>
        </w:rPr>
        <w:t>syntheses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have</w:t>
      </w:r>
      <w:proofErr w:type="spellEnd"/>
      <w:r w:rsidRPr="007C589F">
        <w:rPr>
          <w:rFonts w:eastAsia="Calibri"/>
          <w:color w:val="000000"/>
          <w:sz w:val="20"/>
          <w:szCs w:val="20"/>
        </w:rPr>
        <w:t xml:space="preserve"> </w:t>
      </w:r>
      <w:proofErr w:type="spellStart"/>
      <w:r w:rsidRPr="007C589F">
        <w:rPr>
          <w:rFonts w:eastAsia="Calibri"/>
          <w:color w:val="000000"/>
          <w:sz w:val="20"/>
          <w:szCs w:val="20"/>
        </w:rPr>
        <w:t>not</w:t>
      </w:r>
      <w:proofErr w:type="spellEnd"/>
      <w:r w:rsidRPr="007C589F">
        <w:rPr>
          <w:rFonts w:eastAsia="Calibri"/>
          <w:color w:val="000000"/>
          <w:sz w:val="20"/>
          <w:szCs w:val="20"/>
        </w:rPr>
        <w:t xml:space="preserve"> </w:t>
      </w:r>
      <w:proofErr w:type="spellStart"/>
      <w:r w:rsidRPr="007C589F">
        <w:rPr>
          <w:rFonts w:eastAsia="Calibri"/>
          <w:color w:val="000000"/>
          <w:sz w:val="20"/>
          <w:szCs w:val="20"/>
        </w:rPr>
        <w:t>been</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completely</w:t>
      </w:r>
      <w:proofErr w:type="spellEnd"/>
      <w:r w:rsidRPr="007C589F">
        <w:rPr>
          <w:rFonts w:eastAsia="Calibri"/>
          <w:color w:val="000000"/>
          <w:sz w:val="20"/>
          <w:szCs w:val="20"/>
        </w:rPr>
        <w:t xml:space="preserve"> </w:t>
      </w:r>
      <w:proofErr w:type="spellStart"/>
      <w:r w:rsidRPr="007C589F">
        <w:rPr>
          <w:rFonts w:eastAsia="Calibri"/>
          <w:color w:val="000000"/>
          <w:sz w:val="20"/>
          <w:szCs w:val="20"/>
        </w:rPr>
        <w:t>elucidated</w:t>
      </w:r>
      <w:proofErr w:type="spellEnd"/>
      <w:r w:rsidRPr="007C589F">
        <w:rPr>
          <w:rFonts w:eastAsia="Calibri"/>
          <w:color w:val="000000"/>
          <w:sz w:val="20"/>
          <w:szCs w:val="20"/>
        </w:rPr>
        <w:t xml:space="preserve"> </w:t>
      </w:r>
      <w:proofErr w:type="spellStart"/>
      <w:r w:rsidRPr="007C589F">
        <w:rPr>
          <w:rFonts w:eastAsia="Calibri"/>
          <w:color w:val="000000"/>
          <w:sz w:val="20"/>
          <w:szCs w:val="20"/>
        </w:rPr>
        <w:t>due</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complexity</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reaction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medium</w:t>
      </w:r>
      <w:proofErr w:type="spellEnd"/>
      <w:r w:rsidRPr="007C589F">
        <w:rPr>
          <w:rFonts w:eastAsia="Calibri"/>
          <w:color w:val="000000"/>
          <w:sz w:val="20"/>
          <w:szCs w:val="20"/>
        </w:rPr>
        <w:t xml:space="preserve">, </w:t>
      </w:r>
      <w:proofErr w:type="spellStart"/>
      <w:r w:rsidRPr="007C589F">
        <w:rPr>
          <w:rFonts w:eastAsia="Calibri"/>
          <w:color w:val="000000"/>
          <w:sz w:val="20"/>
          <w:szCs w:val="20"/>
        </w:rPr>
        <w:t>which</w:t>
      </w:r>
      <w:proofErr w:type="spellEnd"/>
      <w:r w:rsidRPr="007C589F">
        <w:rPr>
          <w:rFonts w:eastAsia="Calibri"/>
          <w:color w:val="000000"/>
          <w:sz w:val="20"/>
          <w:szCs w:val="20"/>
        </w:rPr>
        <w:t xml:space="preserve"> </w:t>
      </w:r>
      <w:proofErr w:type="spellStart"/>
      <w:r w:rsidRPr="007C589F">
        <w:rPr>
          <w:rFonts w:eastAsia="Calibri"/>
          <w:color w:val="000000"/>
          <w:sz w:val="20"/>
          <w:szCs w:val="20"/>
        </w:rPr>
        <w:t>can</w:t>
      </w:r>
      <w:proofErr w:type="spellEnd"/>
      <w:r w:rsidRPr="007C589F">
        <w:rPr>
          <w:rFonts w:eastAsia="Calibri"/>
          <w:color w:val="000000"/>
          <w:sz w:val="20"/>
          <w:szCs w:val="20"/>
        </w:rPr>
        <w:t xml:space="preserve"> </w:t>
      </w:r>
      <w:proofErr w:type="spellStart"/>
      <w:r w:rsidRPr="007C589F">
        <w:rPr>
          <w:rFonts w:eastAsia="Calibri"/>
          <w:color w:val="000000"/>
          <w:sz w:val="20"/>
          <w:szCs w:val="20"/>
        </w:rPr>
        <w:t>accommodate</w:t>
      </w:r>
      <w:proofErr w:type="spellEnd"/>
      <w:r w:rsidRPr="007C589F">
        <w:rPr>
          <w:rFonts w:eastAsia="Calibri"/>
          <w:color w:val="000000"/>
          <w:sz w:val="20"/>
          <w:szCs w:val="20"/>
        </w:rPr>
        <w:t xml:space="preserve"> </w:t>
      </w:r>
      <w:proofErr w:type="spellStart"/>
      <w:r w:rsidRPr="007C589F">
        <w:rPr>
          <w:rFonts w:eastAsia="Calibri"/>
          <w:color w:val="000000"/>
          <w:sz w:val="20"/>
          <w:szCs w:val="20"/>
        </w:rPr>
        <w:t>additional</w:t>
      </w:r>
      <w:proofErr w:type="spellEnd"/>
      <w:r w:rsidRPr="007C589F">
        <w:rPr>
          <w:rFonts w:eastAsia="Calibri"/>
          <w:color w:val="000000"/>
          <w:sz w:val="20"/>
          <w:szCs w:val="20"/>
        </w:rPr>
        <w:t xml:space="preserve"> </w:t>
      </w:r>
      <w:proofErr w:type="spellStart"/>
      <w:r w:rsidRPr="007C589F">
        <w:rPr>
          <w:rFonts w:eastAsia="Calibri"/>
          <w:color w:val="000000"/>
          <w:sz w:val="20"/>
          <w:szCs w:val="20"/>
        </w:rPr>
        <w:t>reducing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agents</w:t>
      </w:r>
      <w:proofErr w:type="spellEnd"/>
      <w:r w:rsidRPr="007C589F">
        <w:rPr>
          <w:rFonts w:eastAsia="Calibri"/>
          <w:color w:val="000000"/>
          <w:sz w:val="20"/>
          <w:szCs w:val="20"/>
        </w:rPr>
        <w:t xml:space="preserve"> (</w:t>
      </w:r>
      <w:proofErr w:type="spellStart"/>
      <w:r w:rsidRPr="007C589F">
        <w:rPr>
          <w:rFonts w:eastAsia="Calibri"/>
          <w:color w:val="000000"/>
          <w:sz w:val="20"/>
          <w:szCs w:val="20"/>
        </w:rPr>
        <w:t>sodium</w:t>
      </w:r>
      <w:proofErr w:type="spellEnd"/>
      <w:r w:rsidRPr="007C589F">
        <w:rPr>
          <w:rFonts w:eastAsia="Calibri"/>
          <w:color w:val="000000"/>
          <w:sz w:val="20"/>
          <w:szCs w:val="20"/>
        </w:rPr>
        <w:t xml:space="preserve"> </w:t>
      </w:r>
      <w:proofErr w:type="spellStart"/>
      <w:r w:rsidRPr="007C589F">
        <w:rPr>
          <w:rFonts w:eastAsia="Calibri"/>
          <w:color w:val="000000"/>
          <w:sz w:val="20"/>
          <w:szCs w:val="20"/>
        </w:rPr>
        <w:t>borohydride</w:t>
      </w:r>
      <w:proofErr w:type="spellEnd"/>
      <w:r w:rsidRPr="007C589F">
        <w:rPr>
          <w:rFonts w:eastAsia="Calibri"/>
          <w:color w:val="000000"/>
          <w:sz w:val="20"/>
          <w:szCs w:val="20"/>
        </w:rPr>
        <w:t xml:space="preserve">, </w:t>
      </w:r>
      <w:proofErr w:type="spellStart"/>
      <w:r w:rsidRPr="007C589F">
        <w:rPr>
          <w:rFonts w:eastAsia="Calibri"/>
          <w:color w:val="000000"/>
          <w:sz w:val="20"/>
          <w:szCs w:val="20"/>
        </w:rPr>
        <w:t>hydrazine</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other</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stabilizers</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Their</w:t>
      </w:r>
      <w:proofErr w:type="spellEnd"/>
      <w:r w:rsidRPr="007C589F">
        <w:rPr>
          <w:rFonts w:eastAsia="Calibri"/>
          <w:color w:val="000000"/>
          <w:sz w:val="20"/>
          <w:szCs w:val="20"/>
        </w:rPr>
        <w:t xml:space="preserve"> </w:t>
      </w:r>
      <w:proofErr w:type="spellStart"/>
      <w:r w:rsidRPr="007C589F">
        <w:rPr>
          <w:rFonts w:eastAsia="Calibri"/>
          <w:color w:val="000000"/>
          <w:sz w:val="20"/>
          <w:szCs w:val="20"/>
        </w:rPr>
        <w:t>properties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involve</w:t>
      </w:r>
      <w:proofErr w:type="spellEnd"/>
      <w:r w:rsidRPr="007C589F">
        <w:rPr>
          <w:rFonts w:eastAsia="Calibri"/>
          <w:color w:val="000000"/>
          <w:sz w:val="20"/>
          <w:szCs w:val="20"/>
        </w:rPr>
        <w:t xml:space="preserve"> </w:t>
      </w:r>
      <w:proofErr w:type="spellStart"/>
      <w:r w:rsidRPr="007C589F">
        <w:rPr>
          <w:rFonts w:eastAsia="Calibri"/>
          <w:color w:val="000000"/>
          <w:sz w:val="20"/>
          <w:szCs w:val="20"/>
        </w:rPr>
        <w:t>photoelectrochemical</w:t>
      </w:r>
      <w:proofErr w:type="spellEnd"/>
      <w:r w:rsidRPr="007C589F">
        <w:rPr>
          <w:rFonts w:eastAsia="Calibri"/>
          <w:color w:val="000000"/>
          <w:sz w:val="20"/>
          <w:szCs w:val="20"/>
        </w:rPr>
        <w:t xml:space="preserve">, </w:t>
      </w:r>
      <w:proofErr w:type="spellStart"/>
      <w:r w:rsidRPr="007C589F">
        <w:rPr>
          <w:rFonts w:eastAsia="Calibri"/>
          <w:color w:val="000000"/>
          <w:sz w:val="20"/>
          <w:szCs w:val="20"/>
        </w:rPr>
        <w:t>magnetic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electronic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aspects</w:t>
      </w:r>
      <w:proofErr w:type="spellEnd"/>
      <w:r w:rsidRPr="007C589F">
        <w:rPr>
          <w:rFonts w:eastAsia="Calibri"/>
          <w:color w:val="000000"/>
          <w:sz w:val="20"/>
          <w:szCs w:val="20"/>
        </w:rPr>
        <w:t xml:space="preserve">. </w:t>
      </w:r>
      <w:proofErr w:type="spellStart"/>
      <w:r w:rsidRPr="007C589F">
        <w:rPr>
          <w:rFonts w:eastAsia="Calibri"/>
          <w:color w:val="000000"/>
          <w:sz w:val="20"/>
          <w:szCs w:val="20"/>
        </w:rPr>
        <w:t>Infrared</w:t>
      </w:r>
      <w:proofErr w:type="spellEnd"/>
      <w:r w:rsidRPr="007C589F">
        <w:rPr>
          <w:rFonts w:eastAsia="Calibri"/>
          <w:color w:val="000000"/>
          <w:sz w:val="20"/>
          <w:szCs w:val="20"/>
        </w:rPr>
        <w:t xml:space="preserve"> </w:t>
      </w:r>
      <w:proofErr w:type="spellStart"/>
      <w:r w:rsidRPr="007C589F">
        <w:rPr>
          <w:rFonts w:eastAsia="Calibri"/>
          <w:color w:val="000000"/>
          <w:sz w:val="20"/>
          <w:szCs w:val="20"/>
        </w:rPr>
        <w:t>spectroscopy</w:t>
      </w:r>
      <w:proofErr w:type="spellEnd"/>
      <w:r w:rsidRPr="007C589F">
        <w:rPr>
          <w:rFonts w:eastAsia="Calibri"/>
          <w:color w:val="000000"/>
          <w:sz w:val="20"/>
          <w:szCs w:val="20"/>
        </w:rPr>
        <w:t xml:space="preserve"> data </w:t>
      </w:r>
      <w:proofErr w:type="spellStart"/>
      <w:r w:rsidRPr="007C589F">
        <w:rPr>
          <w:rFonts w:eastAsia="Calibri"/>
          <w:color w:val="000000"/>
          <w:sz w:val="20"/>
          <w:szCs w:val="20"/>
        </w:rPr>
        <w:t>have</w:t>
      </w:r>
      <w:proofErr w:type="spellEnd"/>
      <w:r w:rsidRPr="007C589F">
        <w:rPr>
          <w:rFonts w:eastAsia="Calibri"/>
          <w:color w:val="000000"/>
          <w:sz w:val="20"/>
          <w:szCs w:val="20"/>
        </w:rPr>
        <w:t xml:space="preserve"> </w:t>
      </w:r>
      <w:proofErr w:type="spellStart"/>
      <w:r w:rsidRPr="007C589F">
        <w:rPr>
          <w:rFonts w:eastAsia="Calibri"/>
          <w:color w:val="000000"/>
          <w:sz w:val="20"/>
          <w:szCs w:val="20"/>
        </w:rPr>
        <w:t>revealed</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that</w:t>
      </w:r>
      <w:proofErr w:type="spellEnd"/>
      <w:r w:rsidRPr="007C589F">
        <w:rPr>
          <w:rFonts w:eastAsia="Calibri"/>
          <w:color w:val="000000"/>
          <w:sz w:val="20"/>
          <w:szCs w:val="20"/>
        </w:rPr>
        <w:t xml:space="preserve"> bands </w:t>
      </w:r>
      <w:proofErr w:type="spellStart"/>
      <w:r w:rsidRPr="007C589F">
        <w:rPr>
          <w:rFonts w:eastAsia="Calibri"/>
          <w:color w:val="000000"/>
          <w:sz w:val="20"/>
          <w:szCs w:val="20"/>
        </w:rPr>
        <w:t>corresponding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amino </w:t>
      </w:r>
      <w:proofErr w:type="spellStart"/>
      <w:r w:rsidRPr="007C589F">
        <w:rPr>
          <w:rFonts w:eastAsia="Calibri"/>
          <w:color w:val="000000"/>
          <w:sz w:val="20"/>
          <w:szCs w:val="20"/>
        </w:rPr>
        <w:t>groups</w:t>
      </w:r>
      <w:proofErr w:type="spellEnd"/>
      <w:r w:rsidRPr="007C589F">
        <w:rPr>
          <w:rFonts w:eastAsia="Calibri"/>
          <w:color w:val="000000"/>
          <w:sz w:val="20"/>
          <w:szCs w:val="20"/>
        </w:rPr>
        <w:t xml:space="preserve"> in proteins </w:t>
      </w:r>
      <w:proofErr w:type="spellStart"/>
      <w:r w:rsidRPr="007C589F">
        <w:rPr>
          <w:rFonts w:eastAsia="Calibri"/>
          <w:color w:val="000000"/>
          <w:sz w:val="20"/>
          <w:szCs w:val="20"/>
        </w:rPr>
        <w:t>stabilize</w:t>
      </w:r>
      <w:proofErr w:type="spellEnd"/>
      <w:r w:rsidRPr="007C589F">
        <w:rPr>
          <w:rFonts w:eastAsia="Calibri"/>
          <w:color w:val="000000"/>
          <w:sz w:val="20"/>
          <w:szCs w:val="20"/>
        </w:rPr>
        <w:t xml:space="preserve"> </w:t>
      </w:r>
      <w:proofErr w:type="spellStart"/>
      <w:r w:rsidRPr="007C589F">
        <w:rPr>
          <w:rFonts w:eastAsia="Calibri"/>
          <w:color w:val="000000"/>
          <w:sz w:val="20"/>
          <w:szCs w:val="20"/>
        </w:rPr>
        <w:t>particles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prevent</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growth</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NPs</w:t>
      </w:r>
      <w:proofErr w:type="spellEnd"/>
      <w:r w:rsidRPr="007C589F">
        <w:rPr>
          <w:rFonts w:eastAsia="Calibri"/>
          <w:color w:val="000000"/>
          <w:sz w:val="20"/>
          <w:szCs w:val="20"/>
        </w:rPr>
        <w:t>). (</w:t>
      </w:r>
      <w:proofErr w:type="spellStart"/>
      <w:r w:rsidRPr="007C589F">
        <w:rPr>
          <w:rFonts w:eastAsia="Calibri"/>
          <w:color w:val="000000"/>
          <w:sz w:val="20"/>
          <w:szCs w:val="20"/>
        </w:rPr>
        <w:t>Hulkoti</w:t>
      </w:r>
      <w:proofErr w:type="spellEnd"/>
      <w:r w:rsidRPr="007C589F">
        <w:rPr>
          <w:rFonts w:eastAsia="Calibri"/>
          <w:color w:val="000000"/>
          <w:sz w:val="20"/>
          <w:szCs w:val="20"/>
        </w:rPr>
        <w:t xml:space="preserve">; </w:t>
      </w:r>
      <w:proofErr w:type="spellStart"/>
      <w:r w:rsidRPr="007C589F">
        <w:rPr>
          <w:rFonts w:eastAsia="Calibri"/>
          <w:color w:val="000000"/>
          <w:sz w:val="20"/>
          <w:szCs w:val="20"/>
        </w:rPr>
        <w:t>Taranath</w:t>
      </w:r>
      <w:proofErr w:type="spellEnd"/>
      <w:r w:rsidRPr="007C589F">
        <w:rPr>
          <w:rFonts w:eastAsia="Calibri"/>
          <w:color w:val="000000"/>
          <w:sz w:val="20"/>
          <w:szCs w:val="20"/>
        </w:rPr>
        <w:t>, 2014).</w:t>
      </w:r>
    </w:p>
    <w:p w14:paraId="0BA91D46" w14:textId="77777777" w:rsidR="007C589F" w:rsidRPr="007C589F" w:rsidRDefault="007C589F" w:rsidP="007C589F">
      <w:pPr>
        <w:pBdr>
          <w:top w:val="nil"/>
          <w:left w:val="nil"/>
          <w:bottom w:val="nil"/>
          <w:right w:val="nil"/>
          <w:between w:val="nil"/>
        </w:pBdr>
        <w:ind w:firstLine="708"/>
        <w:jc w:val="both"/>
        <w:rPr>
          <w:rFonts w:eastAsia="Calibri"/>
          <w:color w:val="000000"/>
          <w:sz w:val="20"/>
          <w:szCs w:val="20"/>
        </w:rPr>
      </w:pPr>
    </w:p>
    <w:p w14:paraId="5654D7DB" w14:textId="71D4BFF9" w:rsidR="003C578B" w:rsidRDefault="007C589F" w:rsidP="007C589F">
      <w:pPr>
        <w:pBdr>
          <w:top w:val="nil"/>
          <w:left w:val="nil"/>
          <w:bottom w:val="nil"/>
          <w:right w:val="nil"/>
          <w:between w:val="nil"/>
        </w:pBdr>
        <w:ind w:firstLine="708"/>
        <w:jc w:val="both"/>
        <w:rPr>
          <w:rFonts w:ascii="Calibri" w:eastAsia="Calibri" w:hAnsi="Calibri" w:cs="Calibri"/>
          <w:color w:val="000000"/>
          <w:sz w:val="20"/>
          <w:szCs w:val="20"/>
        </w:rPr>
      </w:pPr>
      <w:r w:rsidRPr="007C589F">
        <w:rPr>
          <w:rFonts w:eastAsia="Calibri"/>
          <w:color w:val="000000"/>
          <w:sz w:val="20"/>
          <w:szCs w:val="20"/>
        </w:rPr>
        <w:t xml:space="preserve">The </w:t>
      </w:r>
      <w:proofErr w:type="spellStart"/>
      <w:r w:rsidRPr="007C589F">
        <w:rPr>
          <w:rFonts w:eastAsia="Calibri"/>
          <w:color w:val="000000"/>
          <w:sz w:val="20"/>
          <w:szCs w:val="20"/>
        </w:rPr>
        <w:t>change</w:t>
      </w:r>
      <w:proofErr w:type="spellEnd"/>
      <w:r w:rsidRPr="007C589F">
        <w:rPr>
          <w:rFonts w:eastAsia="Calibri"/>
          <w:color w:val="000000"/>
          <w:sz w:val="20"/>
          <w:szCs w:val="20"/>
        </w:rPr>
        <w:t xml:space="preserve"> in </w:t>
      </w:r>
      <w:proofErr w:type="spellStart"/>
      <w:r w:rsidRPr="007C589F">
        <w:rPr>
          <w:rFonts w:eastAsia="Calibri"/>
          <w:color w:val="000000"/>
          <w:sz w:val="20"/>
          <w:szCs w:val="20"/>
        </w:rPr>
        <w:t>solution</w:t>
      </w:r>
      <w:proofErr w:type="spellEnd"/>
      <w:r w:rsidRPr="007C589F">
        <w:rPr>
          <w:rFonts w:eastAsia="Calibri"/>
          <w:color w:val="000000"/>
          <w:sz w:val="20"/>
          <w:szCs w:val="20"/>
        </w:rPr>
        <w:t xml:space="preserve"> color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w:t>
      </w:r>
      <w:proofErr w:type="spellStart"/>
      <w:r w:rsidRPr="007C589F">
        <w:rPr>
          <w:rFonts w:eastAsia="Calibri"/>
          <w:color w:val="000000"/>
          <w:sz w:val="20"/>
          <w:szCs w:val="20"/>
        </w:rPr>
        <w:t>brown</w:t>
      </w:r>
      <w:proofErr w:type="spellEnd"/>
      <w:r w:rsidRPr="007C589F">
        <w:rPr>
          <w:rFonts w:eastAsia="Calibri"/>
          <w:color w:val="000000"/>
          <w:sz w:val="20"/>
          <w:szCs w:val="20"/>
        </w:rPr>
        <w:t xml:space="preserve"> </w:t>
      </w:r>
      <w:proofErr w:type="spellStart"/>
      <w:r w:rsidRPr="007C589F">
        <w:rPr>
          <w:rFonts w:eastAsia="Calibri"/>
          <w:color w:val="000000"/>
          <w:sz w:val="20"/>
          <w:szCs w:val="20"/>
        </w:rPr>
        <w:t>indicates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formation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AgNPs</w:t>
      </w:r>
      <w:proofErr w:type="spellEnd"/>
      <w:r w:rsidRPr="007C589F">
        <w:rPr>
          <w:rFonts w:eastAsia="Calibri"/>
          <w:color w:val="000000"/>
          <w:sz w:val="20"/>
          <w:szCs w:val="20"/>
        </w:rPr>
        <w:t xml:space="preserve"> (</w:t>
      </w:r>
      <w:proofErr w:type="spellStart"/>
      <w:r w:rsidRPr="007C589F">
        <w:rPr>
          <w:rFonts w:eastAsia="Calibri"/>
          <w:color w:val="000000"/>
          <w:sz w:val="20"/>
          <w:szCs w:val="20"/>
        </w:rPr>
        <w:t>silver</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nanoparticles</w:t>
      </w:r>
      <w:proofErr w:type="spellEnd"/>
      <w:r w:rsidRPr="007C589F">
        <w:rPr>
          <w:rFonts w:eastAsia="Calibri"/>
          <w:color w:val="000000"/>
          <w:sz w:val="20"/>
          <w:szCs w:val="20"/>
        </w:rPr>
        <w:t xml:space="preserve">). For </w:t>
      </w:r>
      <w:proofErr w:type="spellStart"/>
      <w:r w:rsidRPr="007C589F">
        <w:rPr>
          <w:rFonts w:eastAsia="Calibri"/>
          <w:color w:val="000000"/>
          <w:sz w:val="20"/>
          <w:szCs w:val="20"/>
        </w:rPr>
        <w:t>proper</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characterization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researchers</w:t>
      </w:r>
      <w:proofErr w:type="spellEnd"/>
      <w:r w:rsidRPr="007C589F">
        <w:rPr>
          <w:rFonts w:eastAsia="Calibri"/>
          <w:color w:val="000000"/>
          <w:sz w:val="20"/>
          <w:szCs w:val="20"/>
        </w:rPr>
        <w:t xml:space="preserve"> must monitor </w:t>
      </w:r>
      <w:proofErr w:type="spellStart"/>
      <w:r w:rsidRPr="007C589F">
        <w:rPr>
          <w:rFonts w:eastAsia="Calibri"/>
          <w:color w:val="000000"/>
          <w:sz w:val="20"/>
          <w:szCs w:val="20"/>
        </w:rPr>
        <w:t>size</w:t>
      </w:r>
      <w:proofErr w:type="spellEnd"/>
      <w:r w:rsidRPr="007C589F">
        <w:rPr>
          <w:rFonts w:eastAsia="Calibri"/>
          <w:color w:val="000000"/>
          <w:sz w:val="20"/>
          <w:szCs w:val="20"/>
        </w:rPr>
        <w:t xml:space="preserve">, </w:t>
      </w:r>
      <w:proofErr w:type="spellStart"/>
      <w:r w:rsidRPr="007C589F">
        <w:rPr>
          <w:rFonts w:eastAsia="Calibri"/>
          <w:color w:val="000000"/>
          <w:sz w:val="20"/>
          <w:szCs w:val="20"/>
        </w:rPr>
        <w:t>morphology</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shape </w:t>
      </w:r>
      <w:proofErr w:type="spellStart"/>
      <w:r w:rsidRPr="007C589F">
        <w:rPr>
          <w:rFonts w:eastAsia="Calibri"/>
          <w:color w:val="000000"/>
          <w:sz w:val="20"/>
          <w:szCs w:val="20"/>
        </w:rPr>
        <w:t>using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stabilization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various</w:t>
      </w:r>
      <w:proofErr w:type="spellEnd"/>
      <w:r w:rsidRPr="007C589F">
        <w:rPr>
          <w:rFonts w:eastAsia="Calibri"/>
          <w:color w:val="000000"/>
          <w:sz w:val="20"/>
          <w:szCs w:val="20"/>
        </w:rPr>
        <w:t xml:space="preserve"> </w:t>
      </w:r>
      <w:proofErr w:type="spellStart"/>
      <w:r w:rsidRPr="007C589F">
        <w:rPr>
          <w:rFonts w:eastAsia="Calibri"/>
          <w:color w:val="000000"/>
          <w:sz w:val="20"/>
          <w:szCs w:val="20"/>
        </w:rPr>
        <w:t>reducing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agents</w:t>
      </w:r>
      <w:proofErr w:type="spellEnd"/>
      <w:r w:rsidRPr="007C589F">
        <w:rPr>
          <w:rFonts w:eastAsia="Calibri"/>
          <w:color w:val="000000"/>
          <w:sz w:val="20"/>
          <w:szCs w:val="20"/>
        </w:rPr>
        <w:t xml:space="preserve">. Green </w:t>
      </w:r>
      <w:proofErr w:type="spellStart"/>
      <w:r w:rsidRPr="007C589F">
        <w:rPr>
          <w:rFonts w:eastAsia="Calibri"/>
          <w:color w:val="000000"/>
          <w:sz w:val="20"/>
          <w:szCs w:val="20"/>
        </w:rPr>
        <w:t>synthesis</w:t>
      </w:r>
      <w:proofErr w:type="spellEnd"/>
      <w:r w:rsidRPr="007C589F">
        <w:rPr>
          <w:rFonts w:eastAsia="Calibri"/>
          <w:color w:val="000000"/>
          <w:sz w:val="20"/>
          <w:szCs w:val="20"/>
        </w:rPr>
        <w:t xml:space="preserve"> </w:t>
      </w:r>
      <w:proofErr w:type="spellStart"/>
      <w:r w:rsidRPr="007C589F">
        <w:rPr>
          <w:rFonts w:eastAsia="Calibri"/>
          <w:color w:val="000000"/>
          <w:sz w:val="20"/>
          <w:szCs w:val="20"/>
        </w:rPr>
        <w:t>is</w:t>
      </w:r>
      <w:proofErr w:type="spellEnd"/>
      <w:r w:rsidRPr="007C589F">
        <w:rPr>
          <w:rFonts w:eastAsia="Calibri"/>
          <w:color w:val="000000"/>
          <w:sz w:val="20"/>
          <w:szCs w:val="20"/>
        </w:rPr>
        <w:t xml:space="preserve"> popular </w:t>
      </w:r>
      <w:proofErr w:type="spellStart"/>
      <w:r w:rsidRPr="007C589F">
        <w:rPr>
          <w:rFonts w:eastAsia="Calibri"/>
          <w:color w:val="000000"/>
          <w:sz w:val="20"/>
          <w:szCs w:val="20"/>
        </w:rPr>
        <w:t>because</w:t>
      </w:r>
      <w:proofErr w:type="spellEnd"/>
      <w:r w:rsidRPr="007C589F">
        <w:rPr>
          <w:rFonts w:eastAsia="Calibri"/>
          <w:color w:val="000000"/>
          <w:sz w:val="20"/>
          <w:szCs w:val="20"/>
        </w:rPr>
        <w:t xml:space="preserve"> it </w:t>
      </w:r>
      <w:proofErr w:type="spellStart"/>
      <w:r w:rsidRPr="007C589F">
        <w:rPr>
          <w:rFonts w:eastAsia="Calibri"/>
          <w:color w:val="000000"/>
          <w:sz w:val="20"/>
          <w:szCs w:val="20"/>
        </w:rPr>
        <w:t>is</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cost-effective</w:t>
      </w:r>
      <w:proofErr w:type="spellEnd"/>
      <w:r w:rsidRPr="007C589F">
        <w:rPr>
          <w:rFonts w:eastAsia="Calibri"/>
          <w:color w:val="000000"/>
          <w:sz w:val="20"/>
          <w:szCs w:val="20"/>
        </w:rPr>
        <w:t xml:space="preserve">, </w:t>
      </w:r>
      <w:proofErr w:type="spellStart"/>
      <w:r w:rsidRPr="007C589F">
        <w:rPr>
          <w:rFonts w:eastAsia="Calibri"/>
          <w:color w:val="000000"/>
          <w:sz w:val="20"/>
          <w:szCs w:val="20"/>
        </w:rPr>
        <w:t>flexible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w:t>
      </w:r>
      <w:proofErr w:type="spellStart"/>
      <w:r w:rsidRPr="007C589F">
        <w:rPr>
          <w:rFonts w:eastAsia="Calibri"/>
          <w:color w:val="000000"/>
          <w:sz w:val="20"/>
          <w:szCs w:val="20"/>
        </w:rPr>
        <w:t>easy</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prepare (</w:t>
      </w:r>
      <w:proofErr w:type="spellStart"/>
      <w:r w:rsidRPr="007C589F">
        <w:rPr>
          <w:rFonts w:eastAsia="Calibri"/>
          <w:color w:val="000000"/>
          <w:sz w:val="20"/>
          <w:szCs w:val="20"/>
        </w:rPr>
        <w:t>Deshmukh</w:t>
      </w:r>
      <w:proofErr w:type="spellEnd"/>
      <w:r w:rsidRPr="007C589F">
        <w:rPr>
          <w:rFonts w:eastAsia="Calibri"/>
          <w:color w:val="000000"/>
          <w:sz w:val="20"/>
          <w:szCs w:val="20"/>
        </w:rPr>
        <w:t xml:space="preserve">, Gupta, </w:t>
      </w:r>
      <w:proofErr w:type="spellStart"/>
      <w:r w:rsidRPr="007C589F">
        <w:rPr>
          <w:rFonts w:eastAsia="Calibri"/>
          <w:color w:val="000000"/>
          <w:sz w:val="20"/>
          <w:szCs w:val="20"/>
        </w:rPr>
        <w:t>and</w:t>
      </w:r>
      <w:proofErr w:type="spellEnd"/>
      <w:r w:rsidRPr="007C589F">
        <w:rPr>
          <w:rFonts w:eastAsia="Calibri"/>
          <w:color w:val="000000"/>
          <w:sz w:val="20"/>
          <w:szCs w:val="20"/>
        </w:rPr>
        <w:t xml:space="preserve"> KIM, 2019). </w:t>
      </w:r>
      <w:proofErr w:type="spellStart"/>
      <w:r w:rsidRPr="007C589F">
        <w:rPr>
          <w:rFonts w:eastAsia="Calibri"/>
          <w:color w:val="000000"/>
          <w:sz w:val="20"/>
          <w:szCs w:val="20"/>
        </w:rPr>
        <w:t>Barabadi</w:t>
      </w:r>
      <w:proofErr w:type="spellEnd"/>
      <w:r w:rsidRPr="007C589F">
        <w:rPr>
          <w:rFonts w:eastAsia="Calibri"/>
          <w:color w:val="000000"/>
          <w:sz w:val="20"/>
          <w:szCs w:val="20"/>
        </w:rPr>
        <w:t xml:space="preserve"> et al. (2014) note </w:t>
      </w:r>
      <w:proofErr w:type="spellStart"/>
      <w:r w:rsidRPr="007C589F">
        <w:rPr>
          <w:rFonts w:eastAsia="Calibri"/>
          <w:color w:val="000000"/>
          <w:sz w:val="20"/>
          <w:szCs w:val="20"/>
        </w:rPr>
        <w:t>that</w:t>
      </w:r>
      <w:proofErr w:type="spellEnd"/>
      <w:r w:rsidRPr="007C589F">
        <w:rPr>
          <w:rFonts w:eastAsia="Calibri"/>
          <w:color w:val="000000"/>
          <w:sz w:val="20"/>
          <w:szCs w:val="20"/>
        </w:rPr>
        <w:t xml:space="preserve"> </w:t>
      </w:r>
      <w:proofErr w:type="spellStart"/>
      <w:r w:rsidRPr="007C589F">
        <w:rPr>
          <w:rFonts w:eastAsia="Calibri"/>
          <w:color w:val="000000"/>
          <w:sz w:val="20"/>
          <w:szCs w:val="20"/>
        </w:rPr>
        <w:t>during</w:t>
      </w:r>
      <w:proofErr w:type="spellEnd"/>
      <w:r w:rsidRPr="007C589F">
        <w:rPr>
          <w:rFonts w:eastAsia="Calibri"/>
          <w:color w:val="000000"/>
          <w:sz w:val="20"/>
          <w:szCs w:val="20"/>
        </w:rPr>
        <w:t xml:space="preserve"> </w:t>
      </w:r>
      <w:proofErr w:type="spellStart"/>
      <w:r w:rsidRPr="007C589F">
        <w:rPr>
          <w:rFonts w:eastAsia="Calibri"/>
          <w:color w:val="000000"/>
          <w:sz w:val="20"/>
          <w:szCs w:val="20"/>
        </w:rPr>
        <w:t>gold</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AuNP</w:t>
      </w:r>
      <w:proofErr w:type="spellEnd"/>
      <w:r w:rsidRPr="007C589F">
        <w:rPr>
          <w:rFonts w:eastAsia="Calibri"/>
          <w:color w:val="000000"/>
          <w:sz w:val="20"/>
          <w:szCs w:val="20"/>
        </w:rPr>
        <w:t xml:space="preserve">) </w:t>
      </w:r>
      <w:proofErr w:type="spellStart"/>
      <w:r w:rsidRPr="007C589F">
        <w:rPr>
          <w:rFonts w:eastAsia="Calibri"/>
          <w:color w:val="000000"/>
          <w:sz w:val="20"/>
          <w:szCs w:val="20"/>
        </w:rPr>
        <w:t>formation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color shifts </w:t>
      </w:r>
      <w:proofErr w:type="spellStart"/>
      <w:r w:rsidRPr="007C589F">
        <w:rPr>
          <w:rFonts w:eastAsia="Calibri"/>
          <w:color w:val="000000"/>
          <w:sz w:val="20"/>
          <w:szCs w:val="20"/>
        </w:rPr>
        <w:t>from</w:t>
      </w:r>
      <w:proofErr w:type="spellEnd"/>
      <w:r w:rsidRPr="007C589F">
        <w:rPr>
          <w:rFonts w:eastAsia="Calibri"/>
          <w:color w:val="000000"/>
          <w:sz w:val="20"/>
          <w:szCs w:val="20"/>
        </w:rPr>
        <w:t xml:space="preserve"> </w:t>
      </w:r>
      <w:proofErr w:type="spellStart"/>
      <w:r w:rsidRPr="007C589F">
        <w:rPr>
          <w:rFonts w:eastAsia="Calibri"/>
          <w:color w:val="000000"/>
          <w:sz w:val="20"/>
          <w:szCs w:val="20"/>
        </w:rPr>
        <w:t>pale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yellow</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w:t>
      </w:r>
      <w:proofErr w:type="spellStart"/>
      <w:r w:rsidRPr="007C589F">
        <w:rPr>
          <w:rFonts w:eastAsia="Calibri"/>
          <w:color w:val="000000"/>
          <w:sz w:val="20"/>
          <w:szCs w:val="20"/>
        </w:rPr>
        <w:t>dark</w:t>
      </w:r>
      <w:proofErr w:type="spellEnd"/>
      <w:r w:rsidRPr="007C589F">
        <w:rPr>
          <w:rFonts w:eastAsia="Calibri"/>
          <w:color w:val="000000"/>
          <w:sz w:val="20"/>
          <w:szCs w:val="20"/>
        </w:rPr>
        <w:t xml:space="preserve"> </w:t>
      </w:r>
      <w:proofErr w:type="spellStart"/>
      <w:r w:rsidRPr="007C589F">
        <w:rPr>
          <w:rFonts w:eastAsia="Calibri"/>
          <w:color w:val="000000"/>
          <w:sz w:val="20"/>
          <w:szCs w:val="20"/>
        </w:rPr>
        <w:t>purple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This</w:t>
      </w:r>
      <w:proofErr w:type="spellEnd"/>
      <w:r w:rsidRPr="007C589F">
        <w:rPr>
          <w:rFonts w:eastAsia="Calibri"/>
          <w:color w:val="000000"/>
          <w:sz w:val="20"/>
          <w:szCs w:val="20"/>
        </w:rPr>
        <w:t xml:space="preserve"> shift </w:t>
      </w:r>
      <w:proofErr w:type="spellStart"/>
      <w:r w:rsidRPr="007C589F">
        <w:rPr>
          <w:rFonts w:eastAsia="Calibri"/>
          <w:color w:val="000000"/>
          <w:sz w:val="20"/>
          <w:szCs w:val="20"/>
        </w:rPr>
        <w:t>is</w:t>
      </w:r>
      <w:proofErr w:type="spellEnd"/>
      <w:r w:rsidRPr="007C589F">
        <w:rPr>
          <w:rFonts w:eastAsia="Calibri"/>
          <w:color w:val="000000"/>
          <w:sz w:val="20"/>
          <w:szCs w:val="20"/>
        </w:rPr>
        <w:t xml:space="preserve"> </w:t>
      </w:r>
      <w:proofErr w:type="spellStart"/>
      <w:r w:rsidRPr="007C589F">
        <w:rPr>
          <w:rFonts w:eastAsia="Calibri"/>
          <w:color w:val="000000"/>
          <w:sz w:val="20"/>
          <w:szCs w:val="20"/>
        </w:rPr>
        <w:t>due</w:t>
      </w:r>
      <w:proofErr w:type="spellEnd"/>
      <w:r w:rsidRPr="007C589F">
        <w:rPr>
          <w:rFonts w:eastAsia="Calibri"/>
          <w:color w:val="000000"/>
          <w:sz w:val="20"/>
          <w:szCs w:val="20"/>
        </w:rPr>
        <w:t xml:space="preserv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emergence</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surface </w:t>
      </w:r>
      <w:proofErr w:type="spellStart"/>
      <w:r w:rsidRPr="007C589F">
        <w:rPr>
          <w:rFonts w:eastAsia="Calibri"/>
          <w:color w:val="000000"/>
          <w:sz w:val="20"/>
          <w:szCs w:val="20"/>
        </w:rPr>
        <w:t>plasmon</w:t>
      </w:r>
      <w:proofErr w:type="spellEnd"/>
      <w:r w:rsidRPr="007C589F">
        <w:rPr>
          <w:rFonts w:eastAsia="Calibri"/>
          <w:color w:val="000000"/>
          <w:sz w:val="20"/>
          <w:szCs w:val="20"/>
        </w:rPr>
        <w:t xml:space="preserve"> band, </w:t>
      </w:r>
      <w:proofErr w:type="spellStart"/>
      <w:r w:rsidRPr="007C589F">
        <w:rPr>
          <w:rFonts w:eastAsia="Calibri"/>
          <w:color w:val="000000"/>
          <w:sz w:val="20"/>
          <w:szCs w:val="20"/>
        </w:rPr>
        <w:t>which</w:t>
      </w:r>
      <w:proofErr w:type="spellEnd"/>
      <w:r w:rsidRPr="007C589F">
        <w:rPr>
          <w:rFonts w:eastAsia="Calibri"/>
          <w:color w:val="000000"/>
          <w:sz w:val="20"/>
          <w:szCs w:val="20"/>
        </w:rPr>
        <w:t xml:space="preserve"> </w:t>
      </w:r>
      <w:proofErr w:type="spellStart"/>
      <w:r w:rsidRPr="007C589F">
        <w:rPr>
          <w:rFonts w:eastAsia="Calibri"/>
          <w:color w:val="000000"/>
          <w:sz w:val="20"/>
          <w:szCs w:val="20"/>
        </w:rPr>
        <w:t>arises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from</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collective</w:t>
      </w:r>
      <w:proofErr w:type="spellEnd"/>
      <w:r w:rsidRPr="007C589F">
        <w:rPr>
          <w:rFonts w:eastAsia="Calibri"/>
          <w:color w:val="000000"/>
          <w:sz w:val="20"/>
          <w:szCs w:val="20"/>
        </w:rPr>
        <w:t xml:space="preserve"> </w:t>
      </w:r>
      <w:proofErr w:type="spellStart"/>
      <w:r w:rsidRPr="007C589F">
        <w:rPr>
          <w:rFonts w:eastAsia="Calibri"/>
          <w:color w:val="000000"/>
          <w:sz w:val="20"/>
          <w:szCs w:val="20"/>
        </w:rPr>
        <w:t>oscillation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surface </w:t>
      </w:r>
      <w:proofErr w:type="spellStart"/>
      <w:r w:rsidRPr="007C589F">
        <w:rPr>
          <w:rFonts w:eastAsia="Calibri"/>
          <w:color w:val="000000"/>
          <w:sz w:val="20"/>
          <w:szCs w:val="20"/>
        </w:rPr>
        <w:t>electrons</w:t>
      </w:r>
      <w:proofErr w:type="spellEnd"/>
      <w:r w:rsidRPr="007C589F">
        <w:rPr>
          <w:rFonts w:eastAsia="Calibri"/>
          <w:color w:val="000000"/>
          <w:sz w:val="20"/>
          <w:szCs w:val="20"/>
        </w:rPr>
        <w:t xml:space="preserve"> in response </w:t>
      </w:r>
      <w:proofErr w:type="spellStart"/>
      <w:r w:rsidRPr="007C589F">
        <w:rPr>
          <w:rFonts w:eastAsia="Calibri"/>
          <w:color w:val="000000"/>
          <w:sz w:val="20"/>
          <w:szCs w:val="20"/>
        </w:rPr>
        <w:t>to</w:t>
      </w:r>
      <w:proofErr w:type="spellEnd"/>
      <w:r w:rsidRPr="007C589F">
        <w:rPr>
          <w:rFonts w:eastAsia="Calibri"/>
          <w:color w:val="000000"/>
          <w:sz w:val="20"/>
          <w:szCs w:val="20"/>
        </w:rPr>
        <w:t xml:space="preserve"> </w:t>
      </w:r>
      <w:proofErr w:type="spellStart"/>
      <w:r w:rsidRPr="007C589F">
        <w:rPr>
          <w:rFonts w:eastAsia="Calibri"/>
          <w:color w:val="000000"/>
          <w:sz w:val="20"/>
          <w:szCs w:val="20"/>
        </w:rPr>
        <w:t>monochromatic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radiation</w:t>
      </w:r>
      <w:proofErr w:type="spellEnd"/>
      <w:r w:rsidRPr="007C589F">
        <w:rPr>
          <w:rFonts w:eastAsia="Calibri"/>
          <w:color w:val="000000"/>
          <w:sz w:val="20"/>
          <w:szCs w:val="20"/>
        </w:rPr>
        <w:t xml:space="preserve">. </w:t>
      </w:r>
      <w:proofErr w:type="spellStart"/>
      <w:r w:rsidRPr="007C589F">
        <w:rPr>
          <w:rFonts w:eastAsia="Calibri"/>
          <w:color w:val="000000"/>
          <w:sz w:val="20"/>
          <w:szCs w:val="20"/>
        </w:rPr>
        <w:t>An</w:t>
      </w:r>
      <w:proofErr w:type="spellEnd"/>
      <w:r w:rsidRPr="007C589F">
        <w:rPr>
          <w:rFonts w:eastAsia="Calibri"/>
          <w:color w:val="000000"/>
          <w:sz w:val="20"/>
          <w:szCs w:val="20"/>
        </w:rPr>
        <w:t xml:space="preserve"> </w:t>
      </w:r>
      <w:proofErr w:type="spellStart"/>
      <w:r w:rsidRPr="007C589F">
        <w:rPr>
          <w:rFonts w:eastAsia="Calibri"/>
          <w:color w:val="000000"/>
          <w:sz w:val="20"/>
          <w:szCs w:val="20"/>
        </w:rPr>
        <w:t>electronic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transition</w:t>
      </w:r>
      <w:proofErr w:type="spellEnd"/>
      <w:r w:rsidRPr="007C589F">
        <w:rPr>
          <w:rFonts w:eastAsia="Calibri"/>
          <w:color w:val="000000"/>
          <w:sz w:val="20"/>
          <w:szCs w:val="20"/>
        </w:rPr>
        <w:t xml:space="preserve"> in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w:t>
      </w:r>
      <w:proofErr w:type="spellStart"/>
      <w:r w:rsidRPr="007C589F">
        <w:rPr>
          <w:rFonts w:eastAsia="Calibri"/>
          <w:color w:val="000000"/>
          <w:sz w:val="20"/>
          <w:szCs w:val="20"/>
        </w:rPr>
        <w:t>visible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spectrum</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then</w:t>
      </w:r>
      <w:proofErr w:type="spellEnd"/>
      <w:r w:rsidRPr="007C589F">
        <w:rPr>
          <w:rFonts w:eastAsia="Calibri"/>
          <w:color w:val="000000"/>
          <w:sz w:val="20"/>
          <w:szCs w:val="20"/>
        </w:rPr>
        <w:t xml:space="preserve"> </w:t>
      </w:r>
      <w:proofErr w:type="spellStart"/>
      <w:r w:rsidRPr="007C589F">
        <w:rPr>
          <w:rFonts w:eastAsia="Calibri"/>
          <w:color w:val="000000"/>
          <w:sz w:val="20"/>
          <w:szCs w:val="20"/>
        </w:rPr>
        <w:t>indicates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metallic</w:t>
      </w:r>
      <w:proofErr w:type="spellEnd"/>
      <w:r w:rsidRPr="007C589F">
        <w:rPr>
          <w:rFonts w:eastAsia="Calibri"/>
          <w:color w:val="000000"/>
          <w:sz w:val="20"/>
          <w:szCs w:val="20"/>
        </w:rPr>
        <w:t xml:space="preserve"> </w:t>
      </w:r>
      <w:proofErr w:type="spellStart"/>
      <w:r w:rsidRPr="007C589F">
        <w:rPr>
          <w:rFonts w:eastAsia="Calibri"/>
          <w:color w:val="000000"/>
          <w:sz w:val="20"/>
          <w:szCs w:val="20"/>
        </w:rPr>
        <w:t>nanoparticle</w:t>
      </w:r>
      <w:proofErr w:type="spellEnd"/>
      <w:r w:rsidRPr="007C589F">
        <w:rPr>
          <w:rFonts w:eastAsia="Calibri"/>
          <w:color w:val="000000"/>
          <w:sz w:val="20"/>
          <w:szCs w:val="20"/>
        </w:rPr>
        <w:t xml:space="preserve"> </w:t>
      </w:r>
      <w:proofErr w:type="spellStart"/>
      <w:r w:rsidRPr="007C589F">
        <w:rPr>
          <w:rFonts w:eastAsia="Calibri"/>
          <w:color w:val="000000"/>
          <w:sz w:val="20"/>
          <w:szCs w:val="20"/>
        </w:rPr>
        <w:t>formation</w:t>
      </w:r>
      <w:proofErr w:type="spellEnd"/>
      <w:r w:rsidRPr="007C589F">
        <w:rPr>
          <w:rFonts w:eastAsia="Calibri"/>
          <w:color w:val="000000"/>
          <w:sz w:val="20"/>
          <w:szCs w:val="20"/>
        </w:rPr>
        <w:t xml:space="preserve">. Figure 1 </w:t>
      </w:r>
      <w:proofErr w:type="spellStart"/>
      <w:r w:rsidRPr="007C589F">
        <w:rPr>
          <w:rFonts w:eastAsia="Calibri"/>
          <w:color w:val="000000"/>
          <w:sz w:val="20"/>
          <w:szCs w:val="20"/>
        </w:rPr>
        <w:t>describes</w:t>
      </w:r>
      <w:proofErr w:type="spellEnd"/>
      <w:r w:rsidRPr="007C589F">
        <w:rPr>
          <w:rFonts w:eastAsia="Calibri"/>
          <w:color w:val="000000"/>
          <w:sz w:val="20"/>
          <w:szCs w:val="20"/>
        </w:rPr>
        <w:t xml:space="preserve"> </w:t>
      </w:r>
      <w:proofErr w:type="spellStart"/>
      <w:r w:rsidRPr="007C589F">
        <w:rPr>
          <w:rFonts w:eastAsia="Calibri"/>
          <w:color w:val="000000"/>
          <w:sz w:val="20"/>
          <w:szCs w:val="20"/>
        </w:rPr>
        <w:t>the</w:t>
      </w:r>
      <w:proofErr w:type="spellEnd"/>
      <w:r w:rsidRPr="007C589F">
        <w:rPr>
          <w:rFonts w:eastAsia="Calibri"/>
          <w:color w:val="000000"/>
          <w:sz w:val="20"/>
          <w:szCs w:val="20"/>
        </w:rPr>
        <w:t xml:space="preserve"> role </w:t>
      </w:r>
      <w:proofErr w:type="spellStart"/>
      <w:r w:rsidRPr="007C589F">
        <w:rPr>
          <w:rFonts w:eastAsia="Calibri"/>
          <w:color w:val="000000"/>
          <w:sz w:val="20"/>
          <w:szCs w:val="20"/>
        </w:rPr>
        <w:t>of</w:t>
      </w:r>
      <w:proofErr w:type="spellEnd"/>
      <w:r w:rsidRPr="007C589F">
        <w:rPr>
          <w:rFonts w:eastAsia="Calibri"/>
          <w:color w:val="000000"/>
          <w:sz w:val="20"/>
          <w:szCs w:val="20"/>
        </w:rPr>
        <w:t xml:space="preserve"> </w:t>
      </w:r>
      <w:proofErr w:type="spellStart"/>
      <w:r w:rsidRPr="007C589F">
        <w:rPr>
          <w:rFonts w:eastAsia="Calibri"/>
          <w:color w:val="000000"/>
          <w:sz w:val="20"/>
          <w:szCs w:val="20"/>
        </w:rPr>
        <w:t>NPs</w:t>
      </w:r>
      <w:proofErr w:type="spellEnd"/>
      <w:r w:rsidRPr="007C589F">
        <w:rPr>
          <w:rFonts w:eastAsia="Calibri"/>
          <w:color w:val="000000"/>
          <w:sz w:val="20"/>
          <w:szCs w:val="20"/>
        </w:rPr>
        <w:t xml:space="preserve"> in </w:t>
      </w:r>
      <w:proofErr w:type="spellStart"/>
      <w:r w:rsidRPr="007C589F">
        <w:rPr>
          <w:rFonts w:eastAsia="Calibri"/>
          <w:color w:val="000000"/>
          <w:sz w:val="20"/>
          <w:szCs w:val="20"/>
        </w:rPr>
        <w:t>intracellular</w:t>
      </w:r>
      <w:proofErr w:type="spellEnd"/>
      <w:r w:rsidRPr="007C589F">
        <w:rPr>
          <w:rFonts w:eastAsia="Calibri"/>
          <w:color w:val="000000"/>
          <w:sz w:val="20"/>
          <w:szCs w:val="20"/>
        </w:rPr>
        <w:t xml:space="preserve"> </w:t>
      </w:r>
      <w:proofErr w:type="spellStart"/>
      <w:r w:rsidRPr="007C589F">
        <w:rPr>
          <w:rFonts w:eastAsia="Calibri"/>
          <w:color w:val="000000"/>
          <w:sz w:val="20"/>
          <w:szCs w:val="20"/>
        </w:rPr>
        <w:t>synthesis</w:t>
      </w:r>
      <w:proofErr w:type="spellEnd"/>
      <w:r w:rsidRPr="007C589F">
        <w:rPr>
          <w:rFonts w:eastAsia="Calibri"/>
          <w:color w:val="000000"/>
          <w:sz w:val="20"/>
          <w:szCs w:val="20"/>
        </w:rPr>
        <w:t>.</w:t>
      </w:r>
      <w:r w:rsidR="008A4894">
        <w:rPr>
          <w:b/>
          <w:noProof/>
          <w:sz w:val="20"/>
          <w:szCs w:val="20"/>
        </w:rPr>
        <w:drawing>
          <wp:inline distT="0" distB="0" distL="0" distR="0" wp14:anchorId="696A259A" wp14:editId="28317DE2">
            <wp:extent cx="4405025" cy="403623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a:srcRect l="5289" t="4697" r="15374" b="5703"/>
                    <a:stretch>
                      <a:fillRect/>
                    </a:stretch>
                  </pic:blipFill>
                  <pic:spPr>
                    <a:xfrm>
                      <a:off x="0" y="0"/>
                      <a:ext cx="4405025" cy="4036233"/>
                    </a:xfrm>
                    <a:prstGeom prst="rect">
                      <a:avLst/>
                    </a:prstGeom>
                  </pic:spPr>
                </pic:pic>
              </a:graphicData>
            </a:graphic>
          </wp:inline>
        </w:drawing>
      </w:r>
    </w:p>
    <w:p w14:paraId="0FE9D96F" w14:textId="77777777" w:rsidR="003C578B" w:rsidRPr="009664EE" w:rsidRDefault="003C578B" w:rsidP="003C578B">
      <w:pPr>
        <w:pBdr>
          <w:top w:val="nil"/>
          <w:left w:val="nil"/>
          <w:bottom w:val="nil"/>
          <w:right w:val="nil"/>
          <w:between w:val="nil"/>
        </w:pBdr>
        <w:ind w:firstLine="708"/>
        <w:jc w:val="both"/>
        <w:rPr>
          <w:rFonts w:ascii="Calibri" w:eastAsia="Calibri" w:hAnsi="Calibri" w:cs="Calibri"/>
          <w:color w:val="000000"/>
          <w:sz w:val="20"/>
          <w:szCs w:val="20"/>
        </w:rPr>
      </w:pPr>
    </w:p>
    <w:p w14:paraId="194727E1" w14:textId="77777777" w:rsidR="00DF27E3" w:rsidRPr="009664EE" w:rsidRDefault="008A4894" w:rsidP="00334CEB">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Figure 1. Representation of intracellular synthesis of a nanoparticle. N-nucleus, NP-nanoparticle, (+) ions, (-) charges on the cell wall. Source: Authors, 2023.</w:t>
      </w:r>
      <w:r w:rsidR="00DF6C49" w:rsidRPr="009664EE">
        <w:rPr>
          <w:rFonts w:eastAsia="Calibri"/>
          <w:color w:val="000000"/>
          <w:sz w:val="20"/>
          <w:szCs w:val="20"/>
        </w:rPr>
        <w:t xml:space="preserve"> (https://Biorender.com)</w:t>
      </w:r>
    </w:p>
    <w:p w14:paraId="59D1B130" w14:textId="77777777" w:rsidR="00DF27E3" w:rsidRDefault="00DF27E3" w:rsidP="00334CEB">
      <w:pPr>
        <w:pBdr>
          <w:top w:val="nil"/>
          <w:left w:val="nil"/>
          <w:bottom w:val="nil"/>
          <w:right w:val="nil"/>
          <w:between w:val="nil"/>
        </w:pBdr>
        <w:spacing w:line="276" w:lineRule="auto"/>
        <w:ind w:firstLine="708"/>
        <w:jc w:val="both"/>
        <w:rPr>
          <w:rFonts w:ascii="Calibri" w:eastAsia="Calibri" w:hAnsi="Calibri" w:cs="Calibri"/>
          <w:color w:val="000000"/>
          <w:sz w:val="20"/>
          <w:szCs w:val="20"/>
        </w:rPr>
      </w:pPr>
    </w:p>
    <w:p w14:paraId="0A087815" w14:textId="262A36B0" w:rsidR="000E13D3" w:rsidRDefault="000E13D3" w:rsidP="000E13D3">
      <w:pPr>
        <w:pBdr>
          <w:top w:val="nil"/>
          <w:left w:val="nil"/>
          <w:bottom w:val="nil"/>
          <w:right w:val="nil"/>
          <w:between w:val="nil"/>
        </w:pBdr>
        <w:spacing w:line="276" w:lineRule="auto"/>
        <w:ind w:firstLine="708"/>
        <w:jc w:val="both"/>
        <w:rPr>
          <w:rFonts w:eastAsia="Calibri"/>
          <w:color w:val="000000"/>
          <w:sz w:val="20"/>
          <w:szCs w:val="20"/>
        </w:rPr>
      </w:pPr>
      <w:proofErr w:type="spellStart"/>
      <w:r w:rsidRPr="000E13D3">
        <w:rPr>
          <w:rFonts w:eastAsia="Calibri"/>
          <w:color w:val="000000"/>
          <w:sz w:val="20"/>
          <w:szCs w:val="20"/>
        </w:rPr>
        <w:t>Due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growing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concern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about</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development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cleaner</w:t>
      </w:r>
      <w:proofErr w:type="spellEnd"/>
      <w:r w:rsidRPr="000E13D3">
        <w:rPr>
          <w:rFonts w:eastAsia="Calibri"/>
          <w:color w:val="000000"/>
          <w:sz w:val="20"/>
          <w:szCs w:val="20"/>
        </w:rPr>
        <w:t xml:space="preserve">, more </w:t>
      </w:r>
      <w:proofErr w:type="spellStart"/>
      <w:r w:rsidRPr="000E13D3">
        <w:rPr>
          <w:rFonts w:eastAsia="Calibri"/>
          <w:color w:val="000000"/>
          <w:sz w:val="20"/>
          <w:szCs w:val="20"/>
        </w:rPr>
        <w:t>sustainable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technologies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efforts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have</w:t>
      </w:r>
      <w:proofErr w:type="spellEnd"/>
      <w:r w:rsidRPr="000E13D3">
        <w:rPr>
          <w:rFonts w:eastAsia="Calibri"/>
          <w:color w:val="000000"/>
          <w:sz w:val="20"/>
          <w:szCs w:val="20"/>
        </w:rPr>
        <w:t xml:space="preserve"> </w:t>
      </w:r>
      <w:proofErr w:type="spellStart"/>
      <w:r w:rsidRPr="000E13D3">
        <w:rPr>
          <w:rFonts w:eastAsia="Calibri"/>
          <w:color w:val="000000"/>
          <w:sz w:val="20"/>
          <w:szCs w:val="20"/>
        </w:rPr>
        <w:t>been</w:t>
      </w:r>
      <w:proofErr w:type="spellEnd"/>
      <w:r w:rsidRPr="000E13D3">
        <w:rPr>
          <w:rFonts w:eastAsia="Calibri"/>
          <w:color w:val="000000"/>
          <w:sz w:val="20"/>
          <w:szCs w:val="20"/>
        </w:rPr>
        <w:t xml:space="preserve"> </w:t>
      </w:r>
      <w:proofErr w:type="spellStart"/>
      <w:r w:rsidRPr="000E13D3">
        <w:rPr>
          <w:rFonts w:eastAsia="Calibri"/>
          <w:color w:val="000000"/>
          <w:sz w:val="20"/>
          <w:szCs w:val="20"/>
        </w:rPr>
        <w:t>made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develop</w:t>
      </w:r>
      <w:proofErr w:type="spellEnd"/>
      <w:r w:rsidRPr="000E13D3">
        <w:rPr>
          <w:rFonts w:eastAsia="Calibri"/>
          <w:color w:val="000000"/>
          <w:sz w:val="20"/>
          <w:szCs w:val="20"/>
        </w:rPr>
        <w:t xml:space="preserve"> </w:t>
      </w:r>
      <w:proofErr w:type="spellStart"/>
      <w:r w:rsidRPr="000E13D3">
        <w:rPr>
          <w:rFonts w:eastAsia="Calibri"/>
          <w:color w:val="000000"/>
          <w:sz w:val="20"/>
          <w:szCs w:val="20"/>
        </w:rPr>
        <w:t>methods</w:t>
      </w:r>
      <w:proofErr w:type="spellEnd"/>
      <w:r w:rsidRPr="000E13D3">
        <w:rPr>
          <w:rFonts w:eastAsia="Calibri"/>
          <w:color w:val="000000"/>
          <w:sz w:val="20"/>
          <w:szCs w:val="20"/>
        </w:rPr>
        <w:t xml:space="preserve"> for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metallic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NPMs</w:t>
      </w:r>
      <w:proofErr w:type="spellEnd"/>
      <w:r w:rsidRPr="000E13D3">
        <w:rPr>
          <w:rFonts w:eastAsia="Calibri"/>
          <w:color w:val="000000"/>
          <w:sz w:val="20"/>
          <w:szCs w:val="20"/>
        </w:rPr>
        <w:t xml:space="preserve">) </w:t>
      </w:r>
      <w:proofErr w:type="spellStart"/>
      <w:r w:rsidRPr="000E13D3">
        <w:rPr>
          <w:rFonts w:eastAsia="Calibri"/>
          <w:color w:val="000000"/>
          <w:sz w:val="20"/>
          <w:szCs w:val="20"/>
        </w:rPr>
        <w:t>using</w:t>
      </w:r>
      <w:proofErr w:type="spellEnd"/>
      <w:r w:rsidRPr="000E13D3">
        <w:rPr>
          <w:rFonts w:eastAsia="Calibri"/>
          <w:color w:val="000000"/>
          <w:sz w:val="20"/>
          <w:szCs w:val="20"/>
        </w:rPr>
        <w:t xml:space="preserve"> non-</w:t>
      </w:r>
      <w:proofErr w:type="spellStart"/>
      <w:r w:rsidRPr="000E13D3">
        <w:rPr>
          <w:rFonts w:eastAsia="Calibri"/>
          <w:color w:val="000000"/>
          <w:sz w:val="20"/>
          <w:szCs w:val="20"/>
        </w:rPr>
        <w:t>toxic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or</w:t>
      </w:r>
      <w:proofErr w:type="spellEnd"/>
      <w:r w:rsidRPr="000E13D3">
        <w:rPr>
          <w:rFonts w:eastAsia="Calibri"/>
          <w:color w:val="000000"/>
          <w:sz w:val="20"/>
          <w:szCs w:val="20"/>
        </w:rPr>
        <w:t xml:space="preserve"> </w:t>
      </w:r>
      <w:proofErr w:type="spellStart"/>
      <w:r w:rsidRPr="000E13D3">
        <w:rPr>
          <w:rFonts w:eastAsia="Calibri"/>
          <w:color w:val="000000"/>
          <w:sz w:val="20"/>
          <w:szCs w:val="20"/>
        </w:rPr>
        <w:t>less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toxic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reagents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solvents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renewable</w:t>
      </w:r>
      <w:proofErr w:type="spellEnd"/>
      <w:r w:rsidRPr="000E13D3">
        <w:rPr>
          <w:rFonts w:eastAsia="Calibri"/>
          <w:color w:val="000000"/>
          <w:sz w:val="20"/>
          <w:szCs w:val="20"/>
        </w:rPr>
        <w:t xml:space="preserve"> </w:t>
      </w:r>
      <w:proofErr w:type="spellStart"/>
      <w:r w:rsidRPr="000E13D3">
        <w:rPr>
          <w:rFonts w:eastAsia="Calibri"/>
          <w:color w:val="000000"/>
          <w:sz w:val="20"/>
          <w:szCs w:val="20"/>
        </w:rPr>
        <w:t>sources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reduced</w:t>
      </w:r>
      <w:proofErr w:type="spellEnd"/>
      <w:r w:rsidRPr="000E13D3">
        <w:rPr>
          <w:rFonts w:eastAsia="Calibri"/>
          <w:color w:val="000000"/>
          <w:sz w:val="20"/>
          <w:szCs w:val="20"/>
        </w:rPr>
        <w:t xml:space="preserve"> </w:t>
      </w:r>
      <w:proofErr w:type="spellStart"/>
      <w:r w:rsidRPr="000E13D3">
        <w:rPr>
          <w:rFonts w:eastAsia="Calibri"/>
          <w:color w:val="000000"/>
          <w:sz w:val="20"/>
          <w:szCs w:val="20"/>
        </w:rPr>
        <w:t>waste</w:t>
      </w:r>
      <w:proofErr w:type="spellEnd"/>
      <w:r w:rsidRPr="000E13D3">
        <w:rPr>
          <w:rFonts w:eastAsia="Calibri"/>
          <w:color w:val="000000"/>
          <w:sz w:val="20"/>
          <w:szCs w:val="20"/>
        </w:rPr>
        <w:t xml:space="preserve"> </w:t>
      </w:r>
      <w:proofErr w:type="spellStart"/>
      <w:r w:rsidRPr="000E13D3">
        <w:rPr>
          <w:rFonts w:eastAsia="Calibri"/>
          <w:color w:val="000000"/>
          <w:sz w:val="20"/>
          <w:szCs w:val="20"/>
        </w:rPr>
        <w:t>generation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among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other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aspects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Rai</w:t>
      </w:r>
      <w:proofErr w:type="spellEnd"/>
      <w:r w:rsidRPr="000E13D3">
        <w:rPr>
          <w:rFonts w:eastAsia="Calibri"/>
          <w:color w:val="000000"/>
          <w:sz w:val="20"/>
          <w:szCs w:val="20"/>
        </w:rPr>
        <w:t xml:space="preserve"> (2013) </w:t>
      </w:r>
      <w:proofErr w:type="spellStart"/>
      <w:r w:rsidRPr="000E13D3">
        <w:rPr>
          <w:rFonts w:eastAsia="Calibri"/>
          <w:color w:val="000000"/>
          <w:sz w:val="20"/>
          <w:szCs w:val="20"/>
        </w:rPr>
        <w:t>highlights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that</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addition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these</w:t>
      </w:r>
      <w:proofErr w:type="spellEnd"/>
      <w:r w:rsidRPr="000E13D3">
        <w:rPr>
          <w:rFonts w:eastAsia="Calibri"/>
          <w:color w:val="000000"/>
          <w:sz w:val="20"/>
          <w:szCs w:val="20"/>
        </w:rPr>
        <w:t xml:space="preserve"> </w:t>
      </w:r>
      <w:proofErr w:type="spellStart"/>
      <w:r w:rsidRPr="000E13D3">
        <w:rPr>
          <w:rFonts w:eastAsia="Calibri"/>
          <w:color w:val="000000"/>
          <w:sz w:val="20"/>
          <w:szCs w:val="20"/>
        </w:rPr>
        <w:t>aspects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green</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should</w:t>
      </w:r>
      <w:proofErr w:type="spellEnd"/>
      <w:r w:rsidRPr="000E13D3">
        <w:rPr>
          <w:rFonts w:eastAsia="Calibri"/>
          <w:color w:val="000000"/>
          <w:sz w:val="20"/>
          <w:szCs w:val="20"/>
        </w:rPr>
        <w:t xml:space="preserve"> </w:t>
      </w:r>
      <w:proofErr w:type="spellStart"/>
      <w:r w:rsidRPr="000E13D3">
        <w:rPr>
          <w:rFonts w:eastAsia="Calibri"/>
          <w:color w:val="000000"/>
          <w:sz w:val="20"/>
          <w:szCs w:val="20"/>
        </w:rPr>
        <w:t>also</w:t>
      </w:r>
      <w:proofErr w:type="spellEnd"/>
      <w:r w:rsidRPr="000E13D3">
        <w:rPr>
          <w:rFonts w:eastAsia="Calibri"/>
          <w:color w:val="000000"/>
          <w:sz w:val="20"/>
          <w:szCs w:val="20"/>
        </w:rPr>
        <w:t xml:space="preserve"> </w:t>
      </w:r>
      <w:proofErr w:type="spellStart"/>
      <w:r w:rsidRPr="000E13D3">
        <w:rPr>
          <w:rFonts w:eastAsia="Calibri"/>
          <w:color w:val="000000"/>
          <w:sz w:val="20"/>
          <w:szCs w:val="20"/>
        </w:rPr>
        <w:t>be</w:t>
      </w:r>
      <w:proofErr w:type="spellEnd"/>
      <w:r w:rsidRPr="000E13D3">
        <w:rPr>
          <w:rFonts w:eastAsia="Calibri"/>
          <w:color w:val="000000"/>
          <w:sz w:val="20"/>
          <w:szCs w:val="20"/>
        </w:rPr>
        <w:t xml:space="preserve"> clean, </w:t>
      </w:r>
      <w:proofErr w:type="spellStart"/>
      <w:r w:rsidRPr="000E13D3">
        <w:rPr>
          <w:rFonts w:eastAsia="Calibri"/>
          <w:color w:val="000000"/>
          <w:sz w:val="20"/>
          <w:szCs w:val="20"/>
        </w:rPr>
        <w:t>cost-effective</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environmentally</w:t>
      </w:r>
      <w:proofErr w:type="spellEnd"/>
      <w:r w:rsidRPr="000E13D3">
        <w:rPr>
          <w:rFonts w:eastAsia="Calibri"/>
          <w:color w:val="000000"/>
          <w:sz w:val="20"/>
          <w:szCs w:val="20"/>
        </w:rPr>
        <w:t xml:space="preserve"> </w:t>
      </w:r>
      <w:proofErr w:type="spellStart"/>
      <w:r w:rsidRPr="000E13D3">
        <w:rPr>
          <w:rFonts w:eastAsia="Calibri"/>
          <w:color w:val="000000"/>
          <w:sz w:val="20"/>
          <w:szCs w:val="20"/>
        </w:rPr>
        <w:t>friendly</w:t>
      </w:r>
      <w:proofErr w:type="spellEnd"/>
      <w:r w:rsidRPr="000E13D3">
        <w:rPr>
          <w:rFonts w:eastAsia="Calibri"/>
          <w:color w:val="000000"/>
          <w:sz w:val="20"/>
          <w:szCs w:val="20"/>
        </w:rPr>
        <w:t xml:space="preserve">. Green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primarily</w:t>
      </w:r>
      <w:proofErr w:type="spellEnd"/>
      <w:r w:rsidRPr="000E13D3">
        <w:rPr>
          <w:rFonts w:eastAsia="Calibri"/>
          <w:color w:val="000000"/>
          <w:sz w:val="20"/>
          <w:szCs w:val="20"/>
        </w:rPr>
        <w:t xml:space="preserve"> </w:t>
      </w:r>
      <w:proofErr w:type="spellStart"/>
      <w:r w:rsidRPr="000E13D3">
        <w:rPr>
          <w:rFonts w:eastAsia="Calibri"/>
          <w:color w:val="000000"/>
          <w:sz w:val="20"/>
          <w:szCs w:val="20"/>
        </w:rPr>
        <w:t>employs</w:t>
      </w:r>
      <w:proofErr w:type="spellEnd"/>
      <w:r w:rsidRPr="000E13D3">
        <w:rPr>
          <w:rFonts w:eastAsia="Calibri"/>
          <w:color w:val="000000"/>
          <w:sz w:val="20"/>
          <w:szCs w:val="20"/>
        </w:rPr>
        <w:t xml:space="preserve"> fungi, </w:t>
      </w:r>
      <w:proofErr w:type="spellStart"/>
      <w:r w:rsidRPr="000E13D3">
        <w:rPr>
          <w:rFonts w:eastAsia="Calibri"/>
          <w:color w:val="000000"/>
          <w:sz w:val="20"/>
          <w:szCs w:val="20"/>
        </w:rPr>
        <w:t>bacteria</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plant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extracts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reduce</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stabilize</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NPs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advantage</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using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plant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extracts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that</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they</w:t>
      </w:r>
      <w:proofErr w:type="spellEnd"/>
      <w:r w:rsidRPr="000E13D3">
        <w:rPr>
          <w:rFonts w:eastAsia="Calibri"/>
          <w:color w:val="000000"/>
          <w:sz w:val="20"/>
          <w:szCs w:val="20"/>
        </w:rPr>
        <w:t xml:space="preserve"> </w:t>
      </w:r>
      <w:proofErr w:type="spellStart"/>
      <w:r w:rsidRPr="000E13D3">
        <w:rPr>
          <w:rFonts w:eastAsia="Calibri"/>
          <w:color w:val="000000"/>
          <w:sz w:val="20"/>
          <w:szCs w:val="20"/>
        </w:rPr>
        <w:t>can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act</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three</w:t>
      </w:r>
      <w:proofErr w:type="spellEnd"/>
      <w:r w:rsidRPr="000E13D3">
        <w:rPr>
          <w:rFonts w:eastAsia="Calibri"/>
          <w:color w:val="000000"/>
          <w:sz w:val="20"/>
          <w:szCs w:val="20"/>
        </w:rPr>
        <w:t xml:space="preserve"> </w:t>
      </w:r>
      <w:proofErr w:type="spellStart"/>
      <w:r w:rsidRPr="000E13D3">
        <w:rPr>
          <w:rFonts w:eastAsia="Calibri"/>
          <w:color w:val="000000"/>
          <w:sz w:val="20"/>
          <w:szCs w:val="20"/>
        </w:rPr>
        <w:t>ways</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primarily</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reducing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silver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or</w:t>
      </w:r>
      <w:proofErr w:type="spellEnd"/>
      <w:r w:rsidRPr="000E13D3">
        <w:rPr>
          <w:rFonts w:eastAsia="Calibri"/>
          <w:color w:val="000000"/>
          <w:sz w:val="20"/>
          <w:szCs w:val="20"/>
        </w:rPr>
        <w:t xml:space="preserve"> </w:t>
      </w:r>
      <w:proofErr w:type="spellStart"/>
      <w:r w:rsidRPr="000E13D3">
        <w:rPr>
          <w:rFonts w:eastAsia="Calibri"/>
          <w:color w:val="000000"/>
          <w:sz w:val="20"/>
          <w:szCs w:val="20"/>
        </w:rPr>
        <w:t>gold</w:t>
      </w:r>
      <w:proofErr w:type="spellEnd"/>
      <w:r w:rsidRPr="000E13D3">
        <w:rPr>
          <w:rFonts w:eastAsia="Calibri"/>
          <w:color w:val="000000"/>
          <w:sz w:val="20"/>
          <w:szCs w:val="20"/>
        </w:rPr>
        <w:t xml:space="preserve"> </w:t>
      </w:r>
      <w:proofErr w:type="spellStart"/>
      <w:r w:rsidRPr="000E13D3">
        <w:rPr>
          <w:rFonts w:eastAsia="Calibri"/>
          <w:color w:val="000000"/>
          <w:sz w:val="20"/>
          <w:szCs w:val="20"/>
        </w:rPr>
        <w:t>ions</w:t>
      </w:r>
      <w:proofErr w:type="spellEnd"/>
      <w:r w:rsidRPr="000E13D3">
        <w:rPr>
          <w:rFonts w:eastAsia="Calibri"/>
          <w:color w:val="000000"/>
          <w:sz w:val="20"/>
          <w:szCs w:val="20"/>
        </w:rPr>
        <w:t xml:space="preserve">, </w:t>
      </w:r>
      <w:proofErr w:type="spellStart"/>
      <w:r w:rsidRPr="000E13D3">
        <w:rPr>
          <w:rFonts w:eastAsia="Calibri"/>
          <w:color w:val="000000"/>
          <w:sz w:val="20"/>
          <w:szCs w:val="20"/>
        </w:rPr>
        <w:t>metals</w:t>
      </w:r>
      <w:proofErr w:type="spellEnd"/>
      <w:r w:rsidRPr="000E13D3">
        <w:rPr>
          <w:rFonts w:eastAsia="Calibri"/>
          <w:color w:val="000000"/>
          <w:sz w:val="20"/>
          <w:szCs w:val="20"/>
        </w:rPr>
        <w:t xml:space="preserve"> more </w:t>
      </w:r>
      <w:proofErr w:type="spellStart"/>
      <w:r w:rsidRPr="000E13D3">
        <w:rPr>
          <w:rFonts w:eastAsia="Calibri"/>
          <w:color w:val="000000"/>
          <w:sz w:val="20"/>
          <w:szCs w:val="20"/>
        </w:rPr>
        <w:t>commonly</w:t>
      </w:r>
      <w:proofErr w:type="spellEnd"/>
      <w:r w:rsidRPr="000E13D3">
        <w:rPr>
          <w:rFonts w:eastAsia="Calibri"/>
          <w:color w:val="000000"/>
          <w:sz w:val="20"/>
          <w:szCs w:val="20"/>
        </w:rPr>
        <w:t xml:space="preserve"> </w:t>
      </w:r>
      <w:proofErr w:type="spellStart"/>
      <w:r w:rsidRPr="000E13D3">
        <w:rPr>
          <w:rFonts w:eastAsia="Calibri"/>
          <w:color w:val="000000"/>
          <w:sz w:val="20"/>
          <w:szCs w:val="20"/>
        </w:rPr>
        <w:t>employed</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this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type</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because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these</w:t>
      </w:r>
      <w:proofErr w:type="spellEnd"/>
      <w:r w:rsidRPr="000E13D3">
        <w:rPr>
          <w:rFonts w:eastAsia="Calibri"/>
          <w:color w:val="000000"/>
          <w:sz w:val="20"/>
          <w:szCs w:val="20"/>
        </w:rPr>
        <w:t xml:space="preserve"> </w:t>
      </w:r>
      <w:proofErr w:type="spellStart"/>
      <w:r w:rsidRPr="000E13D3">
        <w:rPr>
          <w:rFonts w:eastAsia="Calibri"/>
          <w:color w:val="000000"/>
          <w:sz w:val="20"/>
          <w:szCs w:val="20"/>
        </w:rPr>
        <w:t>matrices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contain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aldehydes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ketones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carboxylic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acids</w:t>
      </w:r>
      <w:proofErr w:type="spellEnd"/>
      <w:r w:rsidRPr="000E13D3">
        <w:rPr>
          <w:rFonts w:eastAsia="Calibri"/>
          <w:color w:val="000000"/>
          <w:sz w:val="20"/>
          <w:szCs w:val="20"/>
        </w:rPr>
        <w:t xml:space="preserve">, </w:t>
      </w:r>
      <w:proofErr w:type="spellStart"/>
      <w:r w:rsidRPr="000E13D3">
        <w:rPr>
          <w:rFonts w:eastAsia="Calibri"/>
          <w:color w:val="000000"/>
          <w:sz w:val="20"/>
          <w:szCs w:val="20"/>
        </w:rPr>
        <w:t>which</w:t>
      </w:r>
      <w:proofErr w:type="spellEnd"/>
      <w:r w:rsidRPr="000E13D3">
        <w:rPr>
          <w:rFonts w:eastAsia="Calibri"/>
          <w:color w:val="000000"/>
          <w:sz w:val="20"/>
          <w:szCs w:val="20"/>
        </w:rPr>
        <w:t xml:space="preserve"> </w:t>
      </w:r>
      <w:proofErr w:type="spellStart"/>
      <w:r w:rsidRPr="000E13D3">
        <w:rPr>
          <w:rFonts w:eastAsia="Calibri"/>
          <w:color w:val="000000"/>
          <w:sz w:val="20"/>
          <w:szCs w:val="20"/>
        </w:rPr>
        <w:t>accelerate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formation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metallic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Another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contribution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extracts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their</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promotion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w:t>
      </w:r>
      <w:proofErr w:type="spellEnd"/>
      <w:r w:rsidRPr="000E13D3">
        <w:rPr>
          <w:rFonts w:eastAsia="Calibri"/>
          <w:color w:val="000000"/>
          <w:sz w:val="20"/>
          <w:szCs w:val="20"/>
        </w:rPr>
        <w:t xml:space="preserve"> </w:t>
      </w:r>
      <w:proofErr w:type="spellStart"/>
      <w:r w:rsidRPr="000E13D3">
        <w:rPr>
          <w:rFonts w:eastAsia="Calibri"/>
          <w:color w:val="000000"/>
          <w:sz w:val="20"/>
          <w:szCs w:val="20"/>
        </w:rPr>
        <w:t>stability</w:t>
      </w:r>
      <w:proofErr w:type="spellEnd"/>
      <w:r w:rsidRPr="000E13D3">
        <w:rPr>
          <w:rFonts w:eastAsia="Calibri"/>
          <w:color w:val="000000"/>
          <w:sz w:val="20"/>
          <w:szCs w:val="20"/>
        </w:rPr>
        <w:t xml:space="preserve">, </w:t>
      </w:r>
      <w:proofErr w:type="spellStart"/>
      <w:r w:rsidRPr="000E13D3">
        <w:rPr>
          <w:rFonts w:eastAsia="Calibri"/>
          <w:color w:val="000000"/>
          <w:sz w:val="20"/>
          <w:szCs w:val="20"/>
        </w:rPr>
        <w:t>eliminating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need</w:t>
      </w:r>
      <w:proofErr w:type="spellEnd"/>
      <w:r w:rsidRPr="000E13D3">
        <w:rPr>
          <w:rFonts w:eastAsia="Calibri"/>
          <w:color w:val="000000"/>
          <w:sz w:val="20"/>
          <w:szCs w:val="20"/>
        </w:rPr>
        <w:t xml:space="preserve"> for surface-</w:t>
      </w:r>
      <w:proofErr w:type="spellStart"/>
      <w:r w:rsidRPr="000E13D3">
        <w:rPr>
          <w:rFonts w:eastAsia="Calibri"/>
          <w:color w:val="000000"/>
          <w:sz w:val="20"/>
          <w:szCs w:val="20"/>
        </w:rPr>
        <w:t>binding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reagents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prevent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agglomeration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precipitation</w:t>
      </w:r>
      <w:proofErr w:type="spellEnd"/>
      <w:r w:rsidRPr="000E13D3">
        <w:rPr>
          <w:rFonts w:eastAsia="Calibri"/>
          <w:color w:val="000000"/>
          <w:sz w:val="20"/>
          <w:szCs w:val="20"/>
        </w:rPr>
        <w:t xml:space="preserve">. The antimicrobial </w:t>
      </w:r>
      <w:proofErr w:type="spellStart"/>
      <w:r w:rsidRPr="000E13D3">
        <w:rPr>
          <w:rFonts w:eastAsia="Calibri"/>
          <w:color w:val="000000"/>
          <w:sz w:val="20"/>
          <w:szCs w:val="20"/>
        </w:rPr>
        <w:t>activity</w:t>
      </w:r>
      <w:proofErr w:type="spellEnd"/>
      <w:r w:rsidRPr="000E13D3">
        <w:rPr>
          <w:rFonts w:eastAsia="Calibri"/>
          <w:color w:val="000000"/>
          <w:sz w:val="20"/>
          <w:szCs w:val="20"/>
        </w:rPr>
        <w:t xml:space="preserve"> </w:t>
      </w:r>
      <w:proofErr w:type="spellStart"/>
      <w:r w:rsidRPr="000E13D3">
        <w:rPr>
          <w:rFonts w:eastAsia="Calibri"/>
          <w:color w:val="000000"/>
          <w:sz w:val="20"/>
          <w:szCs w:val="20"/>
        </w:rPr>
        <w:t>observed</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metallic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NPMs</w:t>
      </w:r>
      <w:proofErr w:type="spellEnd"/>
      <w:r w:rsidRPr="000E13D3">
        <w:rPr>
          <w:rFonts w:eastAsia="Calibri"/>
          <w:color w:val="000000"/>
          <w:sz w:val="20"/>
          <w:szCs w:val="20"/>
        </w:rPr>
        <w:t xml:space="preserve">) </w:t>
      </w:r>
      <w:proofErr w:type="spellStart"/>
      <w:r w:rsidRPr="000E13D3">
        <w:rPr>
          <w:rFonts w:eastAsia="Calibri"/>
          <w:color w:val="000000"/>
          <w:sz w:val="20"/>
          <w:szCs w:val="20"/>
        </w:rPr>
        <w:t>from</w:t>
      </w:r>
      <w:proofErr w:type="spellEnd"/>
      <w:r w:rsidRPr="000E13D3">
        <w:rPr>
          <w:rFonts w:eastAsia="Calibri"/>
          <w:color w:val="000000"/>
          <w:sz w:val="20"/>
          <w:szCs w:val="20"/>
        </w:rPr>
        <w:t xml:space="preserve"> </w:t>
      </w:r>
      <w:proofErr w:type="spellStart"/>
      <w:r w:rsidRPr="000E13D3">
        <w:rPr>
          <w:rFonts w:eastAsia="Calibri"/>
          <w:color w:val="000000"/>
          <w:sz w:val="20"/>
          <w:szCs w:val="20"/>
        </w:rPr>
        <w:t>plant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extracts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primarily</w:t>
      </w:r>
      <w:proofErr w:type="spellEnd"/>
      <w:r w:rsidRPr="000E13D3">
        <w:rPr>
          <w:rFonts w:eastAsia="Calibri"/>
          <w:color w:val="000000"/>
          <w:sz w:val="20"/>
          <w:szCs w:val="20"/>
        </w:rPr>
        <w:t xml:space="preserve"> </w:t>
      </w:r>
      <w:proofErr w:type="spellStart"/>
      <w:r w:rsidRPr="000E13D3">
        <w:rPr>
          <w:rFonts w:eastAsia="Calibri"/>
          <w:color w:val="000000"/>
          <w:sz w:val="20"/>
          <w:szCs w:val="20"/>
        </w:rPr>
        <w:t>arises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from</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quantity</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silver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or</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another</w:t>
      </w:r>
      <w:proofErr w:type="spellEnd"/>
      <w:r w:rsidRPr="000E13D3">
        <w:rPr>
          <w:rFonts w:eastAsia="Calibri"/>
          <w:color w:val="000000"/>
          <w:sz w:val="20"/>
          <w:szCs w:val="20"/>
        </w:rPr>
        <w:t xml:space="preserve"> metal </w:t>
      </w:r>
      <w:proofErr w:type="spellStart"/>
      <w:r w:rsidRPr="000E13D3">
        <w:rPr>
          <w:rFonts w:eastAsia="Calibri"/>
          <w:color w:val="000000"/>
          <w:sz w:val="20"/>
          <w:szCs w:val="20"/>
        </w:rPr>
        <w:t>released</w:t>
      </w:r>
      <w:proofErr w:type="spellEnd"/>
      <w:r w:rsidRPr="000E13D3">
        <w:rPr>
          <w:rFonts w:eastAsia="Calibri"/>
          <w:color w:val="000000"/>
          <w:sz w:val="20"/>
          <w:szCs w:val="20"/>
        </w:rPr>
        <w:t xml:space="preserve">, </w:t>
      </w:r>
      <w:proofErr w:type="spellStart"/>
      <w:r w:rsidRPr="000E13D3">
        <w:rPr>
          <w:rFonts w:eastAsia="Calibri"/>
          <w:color w:val="000000"/>
          <w:sz w:val="20"/>
          <w:szCs w:val="20"/>
        </w:rPr>
        <w:t>which</w:t>
      </w:r>
      <w:proofErr w:type="spellEnd"/>
      <w:r w:rsidRPr="000E13D3">
        <w:rPr>
          <w:rFonts w:eastAsia="Calibri"/>
          <w:color w:val="000000"/>
          <w:sz w:val="20"/>
          <w:szCs w:val="20"/>
        </w:rPr>
        <w:t xml:space="preserve"> </w:t>
      </w:r>
      <w:proofErr w:type="spellStart"/>
      <w:r w:rsidRPr="000E13D3">
        <w:rPr>
          <w:rFonts w:eastAsia="Calibri"/>
          <w:color w:val="000000"/>
          <w:sz w:val="20"/>
          <w:szCs w:val="20"/>
        </w:rPr>
        <w:t>interacts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with</w:t>
      </w:r>
      <w:proofErr w:type="spellEnd"/>
      <w:r w:rsidRPr="000E13D3">
        <w:rPr>
          <w:rFonts w:eastAsia="Calibri"/>
          <w:color w:val="000000"/>
          <w:sz w:val="20"/>
          <w:szCs w:val="20"/>
        </w:rPr>
        <w:t xml:space="preserve"> </w:t>
      </w:r>
      <w:proofErr w:type="spellStart"/>
      <w:r w:rsidRPr="000E13D3">
        <w:rPr>
          <w:rFonts w:eastAsia="Calibri"/>
          <w:color w:val="000000"/>
          <w:sz w:val="20"/>
          <w:szCs w:val="20"/>
        </w:rPr>
        <w:t>fluids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sample's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water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Behravan</w:t>
      </w:r>
      <w:proofErr w:type="spellEnd"/>
      <w:r w:rsidRPr="000E13D3">
        <w:rPr>
          <w:rFonts w:eastAsia="Calibri"/>
          <w:color w:val="000000"/>
          <w:sz w:val="20"/>
          <w:szCs w:val="20"/>
        </w:rPr>
        <w:t xml:space="preserve"> et al., 2018). </w:t>
      </w:r>
      <w:proofErr w:type="spellStart"/>
      <w:r w:rsidRPr="000E13D3">
        <w:rPr>
          <w:rFonts w:eastAsia="Calibri"/>
          <w:color w:val="000000"/>
          <w:sz w:val="20"/>
          <w:szCs w:val="20"/>
        </w:rPr>
        <w:t>However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depending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plant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species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employed</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there</w:t>
      </w:r>
      <w:proofErr w:type="spellEnd"/>
      <w:r w:rsidRPr="000E13D3">
        <w:rPr>
          <w:rFonts w:eastAsia="Calibri"/>
          <w:color w:val="000000"/>
          <w:sz w:val="20"/>
          <w:szCs w:val="20"/>
        </w:rPr>
        <w:t xml:space="preserve"> </w:t>
      </w:r>
      <w:proofErr w:type="spellStart"/>
      <w:r w:rsidRPr="000E13D3">
        <w:rPr>
          <w:rFonts w:eastAsia="Calibri"/>
          <w:color w:val="000000"/>
          <w:sz w:val="20"/>
          <w:szCs w:val="20"/>
        </w:rPr>
        <w:t>may</w:t>
      </w:r>
      <w:proofErr w:type="spellEnd"/>
      <w:r w:rsidRPr="000E13D3">
        <w:rPr>
          <w:rFonts w:eastAsia="Calibri"/>
          <w:color w:val="000000"/>
          <w:sz w:val="20"/>
          <w:szCs w:val="20"/>
        </w:rPr>
        <w:t xml:space="preserve"> </w:t>
      </w:r>
      <w:proofErr w:type="spellStart"/>
      <w:r w:rsidRPr="000E13D3">
        <w:rPr>
          <w:rFonts w:eastAsia="Calibri"/>
          <w:color w:val="000000"/>
          <w:sz w:val="20"/>
          <w:szCs w:val="20"/>
        </w:rPr>
        <w:t>be</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w:t>
      </w:r>
      <w:proofErr w:type="spellEnd"/>
      <w:r w:rsidRPr="000E13D3">
        <w:rPr>
          <w:rFonts w:eastAsia="Calibri"/>
          <w:color w:val="000000"/>
          <w:sz w:val="20"/>
          <w:szCs w:val="20"/>
        </w:rPr>
        <w:t xml:space="preserve"> </w:t>
      </w:r>
      <w:proofErr w:type="spellStart"/>
      <w:r w:rsidRPr="000E13D3">
        <w:rPr>
          <w:rFonts w:eastAsia="Calibri"/>
          <w:color w:val="000000"/>
          <w:sz w:val="20"/>
          <w:szCs w:val="20"/>
        </w:rPr>
        <w:t>enhancement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or</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synergy</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antimicrobial </w:t>
      </w:r>
      <w:proofErr w:type="spellStart"/>
      <w:r w:rsidRPr="000E13D3">
        <w:rPr>
          <w:rFonts w:eastAsia="Calibri"/>
          <w:color w:val="000000"/>
          <w:sz w:val="20"/>
          <w:szCs w:val="20"/>
        </w:rPr>
        <w:t>action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due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combination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with</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metal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w:t>
      </w:r>
      <w:proofErr w:type="spellEnd"/>
      <w:r>
        <w:rPr>
          <w:rFonts w:eastAsia="Calibri"/>
          <w:color w:val="000000"/>
          <w:sz w:val="20"/>
          <w:szCs w:val="20"/>
        </w:rPr>
        <w:t>.</w:t>
      </w:r>
    </w:p>
    <w:p w14:paraId="3E330C47" w14:textId="3C80D322" w:rsidR="000E13D3" w:rsidRPr="000E13D3" w:rsidRDefault="000E13D3" w:rsidP="000E13D3">
      <w:pPr>
        <w:pBdr>
          <w:top w:val="nil"/>
          <w:left w:val="nil"/>
          <w:bottom w:val="nil"/>
          <w:right w:val="nil"/>
          <w:between w:val="nil"/>
        </w:pBdr>
        <w:spacing w:line="276" w:lineRule="auto"/>
        <w:ind w:firstLine="708"/>
        <w:jc w:val="both"/>
        <w:rPr>
          <w:rFonts w:eastAsia="Calibri"/>
          <w:color w:val="000000"/>
          <w:sz w:val="20"/>
          <w:szCs w:val="20"/>
        </w:rPr>
      </w:pPr>
      <w:r w:rsidRPr="000E13D3">
        <w:rPr>
          <w:rFonts w:eastAsia="Calibri"/>
          <w:color w:val="000000"/>
          <w:sz w:val="20"/>
          <w:szCs w:val="20"/>
        </w:rPr>
        <w:t xml:space="preserve">The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these</w:t>
      </w:r>
      <w:proofErr w:type="spellEnd"/>
      <w:r w:rsidRPr="000E13D3">
        <w:rPr>
          <w:rFonts w:eastAsia="Calibri"/>
          <w:color w:val="000000"/>
          <w:sz w:val="20"/>
          <w:szCs w:val="20"/>
        </w:rPr>
        <w:t xml:space="preserve"> </w:t>
      </w:r>
      <w:proofErr w:type="spellStart"/>
      <w:r w:rsidRPr="000E13D3">
        <w:rPr>
          <w:rFonts w:eastAsia="Calibri"/>
          <w:color w:val="000000"/>
          <w:sz w:val="20"/>
          <w:szCs w:val="20"/>
        </w:rPr>
        <w:t>metallic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nanoparticles</w:t>
      </w:r>
      <w:proofErr w:type="spellEnd"/>
      <w:r w:rsidRPr="000E13D3">
        <w:rPr>
          <w:rFonts w:eastAsia="Calibri"/>
          <w:color w:val="000000"/>
          <w:sz w:val="20"/>
          <w:szCs w:val="20"/>
        </w:rPr>
        <w:t xml:space="preserve"> (NPM) </w:t>
      </w:r>
      <w:proofErr w:type="spellStart"/>
      <w:r w:rsidRPr="000E13D3">
        <w:rPr>
          <w:rFonts w:eastAsia="Calibri"/>
          <w:color w:val="000000"/>
          <w:sz w:val="20"/>
          <w:szCs w:val="20"/>
        </w:rPr>
        <w:t>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interest</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biomedicine</w:t>
      </w:r>
      <w:proofErr w:type="spellEnd"/>
      <w:r w:rsidRPr="000E13D3">
        <w:rPr>
          <w:rFonts w:eastAsia="Calibri"/>
          <w:color w:val="000000"/>
          <w:sz w:val="20"/>
          <w:szCs w:val="20"/>
        </w:rPr>
        <w:t xml:space="preserve">, </w:t>
      </w:r>
      <w:proofErr w:type="spellStart"/>
      <w:r w:rsidRPr="000E13D3">
        <w:rPr>
          <w:rFonts w:eastAsia="Calibri"/>
          <w:color w:val="000000"/>
          <w:sz w:val="20"/>
          <w:szCs w:val="20"/>
        </w:rPr>
        <w:t>optics</w:t>
      </w:r>
      <w:proofErr w:type="spellEnd"/>
      <w:r w:rsidRPr="000E13D3">
        <w:rPr>
          <w:rFonts w:eastAsia="Calibri"/>
          <w:color w:val="000000"/>
          <w:sz w:val="20"/>
          <w:szCs w:val="20"/>
        </w:rPr>
        <w:t xml:space="preserve">, </w:t>
      </w:r>
      <w:proofErr w:type="spellStart"/>
      <w:r w:rsidRPr="000E13D3">
        <w:rPr>
          <w:rFonts w:eastAsia="Calibri"/>
          <w:color w:val="000000"/>
          <w:sz w:val="20"/>
          <w:szCs w:val="20"/>
        </w:rPr>
        <w:t>catalysis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photonics</w:t>
      </w:r>
      <w:proofErr w:type="spellEnd"/>
      <w:r w:rsidRPr="000E13D3">
        <w:rPr>
          <w:rFonts w:eastAsia="Calibri"/>
          <w:color w:val="000000"/>
          <w:sz w:val="20"/>
          <w:szCs w:val="20"/>
        </w:rPr>
        <w:t xml:space="preserve">. Gold </w:t>
      </w:r>
      <w:proofErr w:type="spellStart"/>
      <w:r w:rsidRPr="000E13D3">
        <w:rPr>
          <w:rFonts w:eastAsia="Calibri"/>
          <w:color w:val="000000"/>
          <w:sz w:val="20"/>
          <w:szCs w:val="20"/>
        </w:rPr>
        <w:t>NPMs</w:t>
      </w:r>
      <w:proofErr w:type="spellEnd"/>
      <w:r w:rsidRPr="000E13D3">
        <w:rPr>
          <w:rFonts w:eastAsia="Calibri"/>
          <w:color w:val="000000"/>
          <w:sz w:val="20"/>
          <w:szCs w:val="20"/>
        </w:rPr>
        <w:t xml:space="preserve">, </w:t>
      </w:r>
      <w:proofErr w:type="spellStart"/>
      <w:r w:rsidRPr="000E13D3">
        <w:rPr>
          <w:rFonts w:eastAsia="Calibri"/>
          <w:color w:val="000000"/>
          <w:sz w:val="20"/>
          <w:szCs w:val="20"/>
        </w:rPr>
        <w:t>due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their</w:t>
      </w:r>
      <w:proofErr w:type="spellEnd"/>
      <w:r w:rsidRPr="000E13D3">
        <w:rPr>
          <w:rFonts w:eastAsia="Calibri"/>
          <w:color w:val="000000"/>
          <w:sz w:val="20"/>
          <w:szCs w:val="20"/>
        </w:rPr>
        <w:t xml:space="preserve"> </w:t>
      </w:r>
      <w:proofErr w:type="spellStart"/>
      <w:r w:rsidRPr="000E13D3">
        <w:rPr>
          <w:rFonts w:eastAsia="Calibri"/>
          <w:color w:val="000000"/>
          <w:sz w:val="20"/>
          <w:szCs w:val="20"/>
        </w:rPr>
        <w:t>stability</w:t>
      </w:r>
      <w:proofErr w:type="spellEnd"/>
      <w:r w:rsidRPr="000E13D3">
        <w:rPr>
          <w:rFonts w:eastAsia="Calibri"/>
          <w:color w:val="000000"/>
          <w:sz w:val="20"/>
          <w:szCs w:val="20"/>
        </w:rPr>
        <w:t xml:space="preserve"> </w:t>
      </w:r>
      <w:proofErr w:type="spellStart"/>
      <w:r w:rsidRPr="000E13D3">
        <w:rPr>
          <w:rFonts w:eastAsia="Calibri"/>
          <w:color w:val="000000"/>
          <w:sz w:val="20"/>
          <w:szCs w:val="20"/>
        </w:rPr>
        <w:t>under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atmospheric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conditions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oxidation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resistance</w:t>
      </w:r>
      <w:proofErr w:type="spellEnd"/>
      <w:r w:rsidRPr="000E13D3">
        <w:rPr>
          <w:rFonts w:eastAsia="Calibri"/>
          <w:color w:val="000000"/>
          <w:sz w:val="20"/>
          <w:szCs w:val="20"/>
        </w:rPr>
        <w:t xml:space="preserve">, are </w:t>
      </w:r>
      <w:proofErr w:type="spellStart"/>
      <w:r w:rsidRPr="000E13D3">
        <w:rPr>
          <w:rFonts w:eastAsia="Calibri"/>
          <w:color w:val="000000"/>
          <w:sz w:val="20"/>
          <w:szCs w:val="20"/>
        </w:rPr>
        <w:t>used</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pharmaceutical</w:t>
      </w:r>
      <w:proofErr w:type="spellEnd"/>
      <w:r w:rsidRPr="000E13D3">
        <w:rPr>
          <w:rFonts w:eastAsia="Calibri"/>
          <w:color w:val="000000"/>
          <w:sz w:val="20"/>
          <w:szCs w:val="20"/>
        </w:rPr>
        <w:t xml:space="preserve"> </w:t>
      </w:r>
      <w:proofErr w:type="spellStart"/>
      <w:r w:rsidRPr="000E13D3">
        <w:rPr>
          <w:rFonts w:eastAsia="Calibri"/>
          <w:color w:val="000000"/>
          <w:sz w:val="20"/>
          <w:szCs w:val="20"/>
        </w:rPr>
        <w:t>applications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Their</w:t>
      </w:r>
      <w:proofErr w:type="spellEnd"/>
      <w:r w:rsidRPr="000E13D3">
        <w:rPr>
          <w:rFonts w:eastAsia="Calibri"/>
          <w:color w:val="000000"/>
          <w:sz w:val="20"/>
          <w:szCs w:val="20"/>
        </w:rPr>
        <w:t xml:space="preserve"> </w:t>
      </w:r>
      <w:proofErr w:type="spellStart"/>
      <w:r w:rsidRPr="000E13D3">
        <w:rPr>
          <w:rFonts w:eastAsia="Calibri"/>
          <w:color w:val="000000"/>
          <w:sz w:val="20"/>
          <w:szCs w:val="20"/>
        </w:rPr>
        <w:t>average</w:t>
      </w:r>
      <w:proofErr w:type="spellEnd"/>
      <w:r w:rsidRPr="000E13D3">
        <w:rPr>
          <w:rFonts w:eastAsia="Calibri"/>
          <w:color w:val="000000"/>
          <w:sz w:val="20"/>
          <w:szCs w:val="20"/>
        </w:rPr>
        <w:t xml:space="preserve"> </w:t>
      </w:r>
      <w:proofErr w:type="spellStart"/>
      <w:r w:rsidRPr="000E13D3">
        <w:rPr>
          <w:rFonts w:eastAsia="Calibri"/>
          <w:color w:val="000000"/>
          <w:sz w:val="20"/>
          <w:szCs w:val="20"/>
        </w:rPr>
        <w:t>diameter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influenced</w:t>
      </w:r>
      <w:proofErr w:type="spellEnd"/>
      <w:r w:rsidRPr="000E13D3">
        <w:rPr>
          <w:rFonts w:eastAsia="Calibri"/>
          <w:color w:val="000000"/>
          <w:sz w:val="20"/>
          <w:szCs w:val="20"/>
        </w:rPr>
        <w:t xml:space="preserve"> </w:t>
      </w:r>
      <w:proofErr w:type="spellStart"/>
      <w:r w:rsidRPr="000E13D3">
        <w:rPr>
          <w:rFonts w:eastAsia="Calibri"/>
          <w:color w:val="000000"/>
          <w:sz w:val="20"/>
          <w:szCs w:val="20"/>
        </w:rPr>
        <w:t>by</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medium</w:t>
      </w:r>
      <w:proofErr w:type="spellEnd"/>
      <w:r w:rsidRPr="000E13D3">
        <w:rPr>
          <w:rFonts w:eastAsia="Calibri"/>
          <w:color w:val="000000"/>
          <w:sz w:val="20"/>
          <w:szCs w:val="20"/>
        </w:rPr>
        <w:t xml:space="preserve"> pH, </w:t>
      </w:r>
      <w:proofErr w:type="spellStart"/>
      <w:r w:rsidRPr="000E13D3">
        <w:rPr>
          <w:rFonts w:eastAsia="Calibri"/>
          <w:color w:val="000000"/>
          <w:sz w:val="20"/>
          <w:szCs w:val="20"/>
        </w:rPr>
        <w:t>salt</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concentration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incubation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temperature</w:t>
      </w:r>
      <w:proofErr w:type="spellEnd"/>
      <w:r w:rsidRPr="000E13D3">
        <w:rPr>
          <w:rFonts w:eastAsia="Calibri"/>
          <w:color w:val="000000"/>
          <w:sz w:val="20"/>
          <w:szCs w:val="20"/>
        </w:rPr>
        <w:t xml:space="preserve">. The </w:t>
      </w:r>
      <w:proofErr w:type="spellStart"/>
      <w:r w:rsidRPr="000E13D3">
        <w:rPr>
          <w:rFonts w:eastAsia="Calibri"/>
          <w:color w:val="000000"/>
          <w:sz w:val="20"/>
          <w:szCs w:val="20"/>
        </w:rPr>
        <w:t>green</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AgNPs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AuNPs</w:t>
      </w:r>
      <w:proofErr w:type="spellEnd"/>
      <w:r w:rsidRPr="000E13D3">
        <w:rPr>
          <w:rFonts w:eastAsia="Calibri"/>
          <w:color w:val="000000"/>
          <w:sz w:val="20"/>
          <w:szCs w:val="20"/>
        </w:rPr>
        <w:t xml:space="preserve"> requires a </w:t>
      </w:r>
      <w:proofErr w:type="spellStart"/>
      <w:r w:rsidRPr="000E13D3">
        <w:rPr>
          <w:rFonts w:eastAsia="Calibri"/>
          <w:color w:val="000000"/>
          <w:sz w:val="20"/>
          <w:szCs w:val="20"/>
        </w:rPr>
        <w:t>biological</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reducing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agent</w:t>
      </w:r>
      <w:proofErr w:type="spellEnd"/>
      <w:r w:rsidRPr="000E13D3">
        <w:rPr>
          <w:rFonts w:eastAsia="Calibri"/>
          <w:color w:val="000000"/>
          <w:sz w:val="20"/>
          <w:szCs w:val="20"/>
        </w:rPr>
        <w:t xml:space="preserve">, </w:t>
      </w:r>
      <w:proofErr w:type="spellStart"/>
      <w:r w:rsidRPr="000E13D3">
        <w:rPr>
          <w:rFonts w:eastAsia="Calibri"/>
          <w:color w:val="000000"/>
          <w:sz w:val="20"/>
          <w:szCs w:val="20"/>
        </w:rPr>
        <w:t>which</w:t>
      </w:r>
      <w:proofErr w:type="spellEnd"/>
      <w:r w:rsidRPr="000E13D3">
        <w:rPr>
          <w:rFonts w:eastAsia="Calibri"/>
          <w:color w:val="000000"/>
          <w:sz w:val="20"/>
          <w:szCs w:val="20"/>
        </w:rPr>
        <w:t xml:space="preserve"> </w:t>
      </w:r>
      <w:proofErr w:type="spellStart"/>
      <w:r w:rsidRPr="000E13D3">
        <w:rPr>
          <w:rFonts w:eastAsia="Calibri"/>
          <w:color w:val="000000"/>
          <w:sz w:val="20"/>
          <w:szCs w:val="20"/>
        </w:rPr>
        <w:t>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abundant</w:t>
      </w:r>
      <w:proofErr w:type="spellEnd"/>
      <w:r w:rsidRPr="000E13D3">
        <w:rPr>
          <w:rFonts w:eastAsia="Calibri"/>
          <w:color w:val="000000"/>
          <w:sz w:val="20"/>
          <w:szCs w:val="20"/>
        </w:rPr>
        <w:t xml:space="preserve"> in </w:t>
      </w:r>
      <w:proofErr w:type="spellStart"/>
      <w:r w:rsidRPr="000E13D3">
        <w:rPr>
          <w:rFonts w:eastAsia="Calibri"/>
          <w:color w:val="000000"/>
          <w:sz w:val="20"/>
          <w:szCs w:val="20"/>
        </w:rPr>
        <w:t>biological</w:t>
      </w:r>
      <w:proofErr w:type="spellEnd"/>
      <w:r w:rsidRPr="000E13D3">
        <w:rPr>
          <w:rFonts w:eastAsia="Calibri"/>
          <w:color w:val="000000"/>
          <w:sz w:val="20"/>
          <w:szCs w:val="20"/>
        </w:rPr>
        <w:t xml:space="preserve"> systems. </w:t>
      </w:r>
      <w:proofErr w:type="spellStart"/>
      <w:r w:rsidRPr="000E13D3">
        <w:rPr>
          <w:rFonts w:eastAsia="Calibri"/>
          <w:color w:val="000000"/>
          <w:sz w:val="20"/>
          <w:szCs w:val="20"/>
        </w:rPr>
        <w:t>Initially</w:t>
      </w:r>
      <w:proofErr w:type="spellEnd"/>
      <w:r w:rsidRPr="000E13D3">
        <w:rPr>
          <w:rFonts w:eastAsia="Calibri"/>
          <w:color w:val="000000"/>
          <w:sz w:val="20"/>
          <w:szCs w:val="20"/>
        </w:rPr>
        <w:t xml:space="preserve">, </w:t>
      </w:r>
      <w:proofErr w:type="spellStart"/>
      <w:r w:rsidRPr="000E13D3">
        <w:rPr>
          <w:rFonts w:eastAsia="Calibri"/>
          <w:color w:val="000000"/>
          <w:sz w:val="20"/>
          <w:szCs w:val="20"/>
        </w:rPr>
        <w:t>silver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ions</w:t>
      </w:r>
      <w:proofErr w:type="spellEnd"/>
      <w:r w:rsidRPr="000E13D3">
        <w:rPr>
          <w:rFonts w:eastAsia="Calibri"/>
          <w:color w:val="000000"/>
          <w:sz w:val="20"/>
          <w:szCs w:val="20"/>
        </w:rPr>
        <w:t xml:space="preserve"> are </w:t>
      </w:r>
      <w:proofErr w:type="spellStart"/>
      <w:r w:rsidRPr="000E13D3">
        <w:rPr>
          <w:rFonts w:eastAsia="Calibri"/>
          <w:color w:val="000000"/>
          <w:sz w:val="20"/>
          <w:szCs w:val="20"/>
        </w:rPr>
        <w:t>obtained</w:t>
      </w:r>
      <w:proofErr w:type="spellEnd"/>
      <w:r w:rsidRPr="000E13D3">
        <w:rPr>
          <w:rFonts w:eastAsia="Calibri"/>
          <w:color w:val="000000"/>
          <w:sz w:val="20"/>
          <w:szCs w:val="20"/>
        </w:rPr>
        <w:t xml:space="preserve"> </w:t>
      </w:r>
      <w:proofErr w:type="spellStart"/>
      <w:r w:rsidRPr="000E13D3">
        <w:rPr>
          <w:rFonts w:eastAsia="Calibri"/>
          <w:color w:val="000000"/>
          <w:sz w:val="20"/>
          <w:szCs w:val="20"/>
        </w:rPr>
        <w:t>from</w:t>
      </w:r>
      <w:proofErr w:type="spellEnd"/>
      <w:r w:rsidRPr="000E13D3">
        <w:rPr>
          <w:rFonts w:eastAsia="Calibri"/>
          <w:color w:val="000000"/>
          <w:sz w:val="20"/>
          <w:szCs w:val="20"/>
        </w:rPr>
        <w:t xml:space="preserve"> </w:t>
      </w:r>
      <w:proofErr w:type="spellStart"/>
      <w:r w:rsidRPr="000E13D3">
        <w:rPr>
          <w:rFonts w:eastAsia="Calibri"/>
          <w:color w:val="000000"/>
          <w:sz w:val="20"/>
          <w:szCs w:val="20"/>
        </w:rPr>
        <w:t>water-soluble</w:t>
      </w:r>
      <w:proofErr w:type="spellEnd"/>
      <w:r w:rsidRPr="000E13D3">
        <w:rPr>
          <w:rFonts w:eastAsia="Calibri"/>
          <w:color w:val="000000"/>
          <w:sz w:val="20"/>
          <w:szCs w:val="20"/>
        </w:rPr>
        <w:t xml:space="preserve"> </w:t>
      </w:r>
      <w:proofErr w:type="spellStart"/>
      <w:r w:rsidRPr="000E13D3">
        <w:rPr>
          <w:rFonts w:eastAsia="Calibri"/>
          <w:color w:val="000000"/>
          <w:sz w:val="20"/>
          <w:szCs w:val="20"/>
        </w:rPr>
        <w:t>salts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with</w:t>
      </w:r>
      <w:proofErr w:type="spellEnd"/>
      <w:r w:rsidRPr="000E13D3">
        <w:rPr>
          <w:rFonts w:eastAsia="Calibri"/>
          <w:color w:val="000000"/>
          <w:sz w:val="20"/>
          <w:szCs w:val="20"/>
        </w:rPr>
        <w:t xml:space="preserve"> </w:t>
      </w:r>
      <w:proofErr w:type="spellStart"/>
      <w:r w:rsidRPr="000E13D3">
        <w:rPr>
          <w:rFonts w:eastAsia="Calibri"/>
          <w:color w:val="000000"/>
          <w:sz w:val="20"/>
          <w:szCs w:val="20"/>
        </w:rPr>
        <w:t>water</w:t>
      </w:r>
      <w:proofErr w:type="spellEnd"/>
      <w:r w:rsidRPr="000E13D3">
        <w:rPr>
          <w:rFonts w:eastAsia="Calibri"/>
          <w:color w:val="000000"/>
          <w:sz w:val="20"/>
          <w:szCs w:val="20"/>
        </w:rPr>
        <w:t xml:space="preserve"> as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preferred</w:t>
      </w:r>
      <w:proofErr w:type="spellEnd"/>
      <w:r w:rsidRPr="000E13D3">
        <w:rPr>
          <w:rFonts w:eastAsia="Calibri"/>
          <w:color w:val="000000"/>
          <w:sz w:val="20"/>
          <w:szCs w:val="20"/>
        </w:rPr>
        <w:t xml:space="preserve"> </w:t>
      </w:r>
      <w:proofErr w:type="spellStart"/>
      <w:r w:rsidRPr="000E13D3">
        <w:rPr>
          <w:rFonts w:eastAsia="Calibri"/>
          <w:color w:val="000000"/>
          <w:sz w:val="20"/>
          <w:szCs w:val="20"/>
        </w:rPr>
        <w:t>solvent</w:t>
      </w:r>
      <w:proofErr w:type="spellEnd"/>
      <w:r w:rsidRPr="000E13D3">
        <w:rPr>
          <w:rFonts w:eastAsia="Calibri"/>
          <w:color w:val="000000"/>
          <w:sz w:val="20"/>
          <w:szCs w:val="20"/>
        </w:rPr>
        <w:t>. (</w:t>
      </w:r>
      <w:proofErr w:type="spellStart"/>
      <w:r w:rsidRPr="000E13D3">
        <w:rPr>
          <w:rFonts w:eastAsia="Calibri"/>
          <w:color w:val="000000"/>
          <w:sz w:val="20"/>
          <w:szCs w:val="20"/>
        </w:rPr>
        <w:t>Srikar</w:t>
      </w:r>
      <w:proofErr w:type="spellEnd"/>
      <w:r w:rsidRPr="000E13D3">
        <w:rPr>
          <w:rFonts w:eastAsia="Calibri"/>
          <w:color w:val="000000"/>
          <w:sz w:val="20"/>
          <w:szCs w:val="20"/>
        </w:rPr>
        <w:t xml:space="preserve"> et al., 2016).</w:t>
      </w:r>
    </w:p>
    <w:p w14:paraId="72D3EFA7" w14:textId="476AC2EE" w:rsidR="000E13D3" w:rsidRDefault="000E13D3" w:rsidP="000E13D3">
      <w:pPr>
        <w:pBdr>
          <w:top w:val="nil"/>
          <w:left w:val="nil"/>
          <w:bottom w:val="nil"/>
          <w:right w:val="nil"/>
          <w:between w:val="nil"/>
        </w:pBdr>
        <w:spacing w:line="276" w:lineRule="auto"/>
        <w:ind w:firstLine="708"/>
        <w:jc w:val="both"/>
        <w:rPr>
          <w:rFonts w:eastAsia="Calibri"/>
          <w:color w:val="000000"/>
          <w:sz w:val="20"/>
          <w:szCs w:val="20"/>
        </w:rPr>
      </w:pPr>
      <w:r w:rsidRPr="000E13D3">
        <w:rPr>
          <w:rFonts w:eastAsia="Calibri"/>
          <w:color w:val="000000"/>
          <w:sz w:val="20"/>
          <w:szCs w:val="20"/>
        </w:rPr>
        <w:t xml:space="preserve">The </w:t>
      </w:r>
      <w:proofErr w:type="spellStart"/>
      <w:r w:rsidRPr="000E13D3">
        <w:rPr>
          <w:rFonts w:eastAsia="Calibri"/>
          <w:color w:val="000000"/>
          <w:sz w:val="20"/>
          <w:szCs w:val="20"/>
        </w:rPr>
        <w:t>mechanism</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AgNPs</w:t>
      </w:r>
      <w:proofErr w:type="spellEnd"/>
      <w:r w:rsidRPr="000E13D3">
        <w:rPr>
          <w:rFonts w:eastAsia="Calibri"/>
          <w:color w:val="000000"/>
          <w:sz w:val="20"/>
          <w:szCs w:val="20"/>
        </w:rPr>
        <w:t xml:space="preserve"> </w:t>
      </w:r>
      <w:proofErr w:type="spellStart"/>
      <w:r w:rsidRPr="000E13D3">
        <w:rPr>
          <w:rFonts w:eastAsia="Calibri"/>
          <w:color w:val="000000"/>
          <w:sz w:val="20"/>
          <w:szCs w:val="20"/>
        </w:rPr>
        <w:t>synthesis</w:t>
      </w:r>
      <w:proofErr w:type="spellEnd"/>
      <w:r w:rsidRPr="000E13D3">
        <w:rPr>
          <w:rFonts w:eastAsia="Calibri"/>
          <w:color w:val="000000"/>
          <w:sz w:val="20"/>
          <w:szCs w:val="20"/>
        </w:rPr>
        <w:t xml:space="preserve"> </w:t>
      </w:r>
      <w:proofErr w:type="spellStart"/>
      <w:r w:rsidRPr="000E13D3">
        <w:rPr>
          <w:rFonts w:eastAsia="Calibri"/>
          <w:color w:val="000000"/>
          <w:sz w:val="20"/>
          <w:szCs w:val="20"/>
        </w:rPr>
        <w:t>involves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reduction</w:t>
      </w:r>
      <w:proofErr w:type="spellEnd"/>
      <w:r w:rsidRPr="000E13D3">
        <w:rPr>
          <w:rFonts w:eastAsia="Calibri"/>
          <w:color w:val="000000"/>
          <w:sz w:val="20"/>
          <w:szCs w:val="20"/>
        </w:rPr>
        <w:t xml:space="preserve"> </w:t>
      </w:r>
      <w:proofErr w:type="spellStart"/>
      <w:r w:rsidRPr="000E13D3">
        <w:rPr>
          <w:rFonts w:eastAsia="Calibri"/>
          <w:color w:val="000000"/>
          <w:sz w:val="20"/>
          <w:szCs w:val="20"/>
        </w:rPr>
        <w:t>of</w:t>
      </w:r>
      <w:proofErr w:type="spellEnd"/>
      <w:r w:rsidRPr="000E13D3">
        <w:rPr>
          <w:rFonts w:eastAsia="Calibri"/>
          <w:color w:val="000000"/>
          <w:sz w:val="20"/>
          <w:szCs w:val="20"/>
        </w:rPr>
        <w:t xml:space="preserve"> </w:t>
      </w:r>
      <w:proofErr w:type="spellStart"/>
      <w:r w:rsidRPr="000E13D3">
        <w:rPr>
          <w:rFonts w:eastAsia="Calibri"/>
          <w:color w:val="000000"/>
          <w:sz w:val="20"/>
          <w:szCs w:val="20"/>
        </w:rPr>
        <w:t>silver</w:t>
      </w:r>
      <w:proofErr w:type="spellEnd"/>
      <w:r w:rsidRPr="000E13D3">
        <w:rPr>
          <w:rFonts w:eastAsia="Calibri"/>
          <w:color w:val="000000"/>
          <w:sz w:val="20"/>
          <w:szCs w:val="20"/>
        </w:rPr>
        <w:t xml:space="preserve"> </w:t>
      </w:r>
      <w:proofErr w:type="spellStart"/>
      <w:r w:rsidRPr="000E13D3">
        <w:rPr>
          <w:rFonts w:eastAsia="Calibri"/>
          <w:color w:val="000000"/>
          <w:sz w:val="20"/>
          <w:szCs w:val="20"/>
        </w:rPr>
        <w:t>nitrate</w:t>
      </w:r>
      <w:proofErr w:type="spellEnd"/>
      <w:r w:rsidRPr="000E13D3">
        <w:rPr>
          <w:rFonts w:eastAsia="Calibri"/>
          <w:color w:val="000000"/>
          <w:sz w:val="20"/>
          <w:szCs w:val="20"/>
        </w:rPr>
        <w:t xml:space="preserve">, </w:t>
      </w:r>
      <w:proofErr w:type="spellStart"/>
      <w:r w:rsidRPr="000E13D3">
        <w:rPr>
          <w:rFonts w:eastAsia="Calibri"/>
          <w:color w:val="000000"/>
          <w:sz w:val="20"/>
          <w:szCs w:val="20"/>
        </w:rPr>
        <w:t>with</w:t>
      </w:r>
      <w:proofErr w:type="spellEnd"/>
      <w:r w:rsidRPr="000E13D3">
        <w:rPr>
          <w:rFonts w:eastAsia="Calibri"/>
          <w:color w:val="000000"/>
          <w:sz w:val="20"/>
          <w:szCs w:val="20"/>
        </w:rPr>
        <w:t xml:space="preserve"> </w:t>
      </w:r>
      <w:proofErr w:type="spellStart"/>
      <w:r w:rsidRPr="000E13D3">
        <w:rPr>
          <w:rFonts w:eastAsia="Calibri"/>
          <w:color w:val="000000"/>
          <w:sz w:val="20"/>
          <w:szCs w:val="20"/>
        </w:rPr>
        <w:t>bioorganic</w:t>
      </w:r>
      <w:proofErr w:type="spellEnd"/>
      <w:r w:rsidRPr="000E13D3">
        <w:rPr>
          <w:rFonts w:eastAsia="Calibri"/>
          <w:color w:val="000000"/>
          <w:sz w:val="20"/>
          <w:szCs w:val="20"/>
        </w:rPr>
        <w:t xml:space="preserve"> </w:t>
      </w:r>
      <w:proofErr w:type="spellStart"/>
      <w:r w:rsidRPr="000E13D3">
        <w:rPr>
          <w:rFonts w:eastAsia="Calibri"/>
          <w:color w:val="000000"/>
          <w:sz w:val="20"/>
          <w:szCs w:val="20"/>
        </w:rPr>
        <w:t>compounds</w:t>
      </w:r>
      <w:proofErr w:type="spellEnd"/>
      <w:r w:rsidRPr="000E13D3">
        <w:rPr>
          <w:rFonts w:eastAsia="Calibri"/>
          <w:color w:val="000000"/>
          <w:sz w:val="20"/>
          <w:szCs w:val="20"/>
        </w:rPr>
        <w:t xml:space="preserve"> </w:t>
      </w:r>
      <w:proofErr w:type="spellStart"/>
      <w:r w:rsidRPr="000E13D3">
        <w:rPr>
          <w:rFonts w:eastAsia="Calibri"/>
          <w:color w:val="000000"/>
          <w:sz w:val="20"/>
          <w:szCs w:val="20"/>
        </w:rPr>
        <w:t>serving</w:t>
      </w:r>
      <w:proofErr w:type="spellEnd"/>
      <w:r w:rsidRPr="000E13D3">
        <w:rPr>
          <w:rFonts w:eastAsia="Calibri"/>
          <w:color w:val="000000"/>
          <w:sz w:val="20"/>
          <w:szCs w:val="20"/>
        </w:rPr>
        <w:t xml:space="preserve"> as </w:t>
      </w:r>
      <w:proofErr w:type="spellStart"/>
      <w:r w:rsidRPr="000E13D3">
        <w:rPr>
          <w:rFonts w:eastAsia="Calibri"/>
          <w:color w:val="000000"/>
          <w:sz w:val="20"/>
          <w:szCs w:val="20"/>
        </w:rPr>
        <w:t>reducing</w:t>
      </w:r>
      <w:proofErr w:type="spellEnd"/>
      <w:r w:rsidRPr="000E13D3">
        <w:rPr>
          <w:rFonts w:eastAsia="Calibri"/>
          <w:color w:val="000000"/>
          <w:sz w:val="20"/>
          <w:szCs w:val="20"/>
        </w:rPr>
        <w:t xml:space="preserve"> </w:t>
      </w:r>
      <w:proofErr w:type="spellStart"/>
      <w:r w:rsidRPr="000E13D3">
        <w:rPr>
          <w:rFonts w:eastAsia="Calibri"/>
          <w:color w:val="000000"/>
          <w:sz w:val="20"/>
          <w:szCs w:val="20"/>
        </w:rPr>
        <w:t>agents</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playing</w:t>
      </w:r>
      <w:proofErr w:type="spellEnd"/>
      <w:r w:rsidRPr="000E13D3">
        <w:rPr>
          <w:rFonts w:eastAsia="Calibri"/>
          <w:color w:val="000000"/>
          <w:sz w:val="20"/>
          <w:szCs w:val="20"/>
        </w:rPr>
        <w:t xml:space="preserve"> a </w:t>
      </w:r>
      <w:proofErr w:type="spellStart"/>
      <w:r w:rsidRPr="000E13D3">
        <w:rPr>
          <w:rFonts w:eastAsia="Calibri"/>
          <w:color w:val="000000"/>
          <w:sz w:val="20"/>
          <w:szCs w:val="20"/>
        </w:rPr>
        <w:t>significant</w:t>
      </w:r>
      <w:proofErr w:type="spellEnd"/>
      <w:r w:rsidRPr="000E13D3">
        <w:rPr>
          <w:rFonts w:eastAsia="Calibri"/>
          <w:color w:val="000000"/>
          <w:sz w:val="20"/>
          <w:szCs w:val="20"/>
        </w:rPr>
        <w:t xml:space="preserve"> role in </w:t>
      </w:r>
      <w:proofErr w:type="spellStart"/>
      <w:r w:rsidRPr="000E13D3">
        <w:rPr>
          <w:rFonts w:eastAsia="Calibri"/>
          <w:color w:val="000000"/>
          <w:sz w:val="20"/>
          <w:szCs w:val="20"/>
        </w:rPr>
        <w:t>their</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antifungal</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and</w:t>
      </w:r>
      <w:proofErr w:type="spellEnd"/>
      <w:r w:rsidRPr="000E13D3">
        <w:rPr>
          <w:rFonts w:eastAsia="Calibri"/>
          <w:color w:val="000000"/>
          <w:sz w:val="20"/>
          <w:szCs w:val="20"/>
        </w:rPr>
        <w:t xml:space="preserve"> antimicrobial performance. </w:t>
      </w:r>
      <w:proofErr w:type="spellStart"/>
      <w:r w:rsidRPr="000E13D3">
        <w:rPr>
          <w:rFonts w:eastAsia="Calibri"/>
          <w:color w:val="000000"/>
          <w:sz w:val="20"/>
          <w:szCs w:val="20"/>
        </w:rPr>
        <w:t>Nanoparticles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tend</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aggregate</w:t>
      </w:r>
      <w:proofErr w:type="spellEnd"/>
      <w:r w:rsidRPr="000E13D3">
        <w:rPr>
          <w:rFonts w:eastAsia="Calibri"/>
          <w:color w:val="000000"/>
          <w:sz w:val="20"/>
          <w:szCs w:val="20"/>
        </w:rPr>
        <w:t xml:space="preserve"> </w:t>
      </w:r>
      <w:proofErr w:type="spellStart"/>
      <w:r w:rsidRPr="000E13D3">
        <w:rPr>
          <w:rFonts w:eastAsia="Calibri"/>
          <w:color w:val="000000"/>
          <w:sz w:val="20"/>
          <w:szCs w:val="20"/>
        </w:rPr>
        <w:t>to</w:t>
      </w:r>
      <w:proofErr w:type="spellEnd"/>
      <w:r w:rsidRPr="000E13D3">
        <w:rPr>
          <w:rFonts w:eastAsia="Calibri"/>
          <w:color w:val="000000"/>
          <w:sz w:val="20"/>
          <w:szCs w:val="20"/>
        </w:rPr>
        <w:t xml:space="preserve"> </w:t>
      </w:r>
      <w:proofErr w:type="spellStart"/>
      <w:r w:rsidRPr="000E13D3">
        <w:rPr>
          <w:rFonts w:eastAsia="Calibri"/>
          <w:color w:val="000000"/>
          <w:sz w:val="20"/>
          <w:szCs w:val="20"/>
        </w:rPr>
        <w:t>reduce</w:t>
      </w:r>
      <w:proofErr w:type="spellEnd"/>
      <w:r w:rsidRPr="000E13D3">
        <w:rPr>
          <w:rFonts w:eastAsia="Calibri"/>
          <w:color w:val="000000"/>
          <w:sz w:val="20"/>
          <w:szCs w:val="20"/>
        </w:rPr>
        <w:t xml:space="preserve"> surface </w:t>
      </w:r>
      <w:proofErr w:type="spellStart"/>
      <w:r w:rsidRPr="000E13D3">
        <w:rPr>
          <w:rFonts w:eastAsia="Calibri"/>
          <w:color w:val="000000"/>
          <w:sz w:val="20"/>
          <w:szCs w:val="20"/>
        </w:rPr>
        <w:t>energy</w:t>
      </w:r>
      <w:proofErr w:type="spellEnd"/>
      <w:r w:rsidRPr="000E13D3">
        <w:rPr>
          <w:rFonts w:eastAsia="Calibri"/>
          <w:color w:val="000000"/>
          <w:sz w:val="20"/>
          <w:szCs w:val="20"/>
        </w:rPr>
        <w:t xml:space="preserve">, </w:t>
      </w:r>
      <w:proofErr w:type="spellStart"/>
      <w:r w:rsidRPr="000E13D3">
        <w:rPr>
          <w:rFonts w:eastAsia="Calibri"/>
          <w:color w:val="000000"/>
          <w:sz w:val="20"/>
          <w:szCs w:val="20"/>
        </w:rPr>
        <w:t>which</w:t>
      </w:r>
      <w:proofErr w:type="spellEnd"/>
      <w:r w:rsidRPr="000E13D3">
        <w:rPr>
          <w:rFonts w:eastAsia="Calibri"/>
          <w:color w:val="000000"/>
          <w:sz w:val="20"/>
          <w:szCs w:val="20"/>
        </w:rPr>
        <w:t xml:space="preserve"> </w:t>
      </w:r>
      <w:proofErr w:type="spellStart"/>
      <w:r w:rsidRPr="000E13D3">
        <w:rPr>
          <w:rFonts w:eastAsia="Calibri"/>
          <w:color w:val="000000"/>
          <w:sz w:val="20"/>
          <w:szCs w:val="20"/>
        </w:rPr>
        <w:t>diminishes</w:t>
      </w:r>
      <w:proofErr w:type="spellEnd"/>
      <w:r w:rsidRPr="000E13D3">
        <w:rPr>
          <w:rFonts w:eastAsia="Calibri"/>
          <w:color w:val="000000"/>
          <w:sz w:val="20"/>
          <w:szCs w:val="20"/>
        </w:rPr>
        <w:t xml:space="preserve"> </w:t>
      </w:r>
      <w:proofErr w:type="spellStart"/>
      <w:r w:rsidRPr="000E13D3">
        <w:rPr>
          <w:rFonts w:eastAsia="Calibri"/>
          <w:color w:val="000000"/>
          <w:sz w:val="20"/>
          <w:szCs w:val="20"/>
        </w:rPr>
        <w:t>their</w:t>
      </w:r>
      <w:proofErr w:type="spellEnd"/>
      <w:r w:rsidRPr="000E13D3">
        <w:rPr>
          <w:rFonts w:eastAsia="Calibri"/>
          <w:color w:val="000000"/>
          <w:sz w:val="20"/>
          <w:szCs w:val="20"/>
        </w:rPr>
        <w:t xml:space="preserve"> </w:t>
      </w:r>
      <w:proofErr w:type="spellStart"/>
      <w:r w:rsidRPr="000E13D3">
        <w:rPr>
          <w:rFonts w:eastAsia="Calibri"/>
          <w:color w:val="000000"/>
          <w:sz w:val="20"/>
          <w:szCs w:val="20"/>
        </w:rPr>
        <w:t>antibacterial</w:t>
      </w:r>
      <w:proofErr w:type="spellEnd"/>
      <w:r w:rsidRPr="000E13D3">
        <w:rPr>
          <w:rFonts w:eastAsia="Calibri"/>
          <w:color w:val="000000"/>
          <w:sz w:val="20"/>
          <w:szCs w:val="20"/>
        </w:rPr>
        <w:t xml:space="preserve"> </w:t>
      </w:r>
      <w:proofErr w:type="spellStart"/>
      <w:r w:rsidRPr="000E13D3">
        <w:rPr>
          <w:rFonts w:eastAsia="Calibri"/>
          <w:color w:val="000000"/>
          <w:sz w:val="20"/>
          <w:szCs w:val="20"/>
        </w:rPr>
        <w:t>effectiveness</w:t>
      </w:r>
      <w:proofErr w:type="spellEnd"/>
      <w:r w:rsidRPr="000E13D3">
        <w:rPr>
          <w:rFonts w:eastAsia="Calibri"/>
          <w:color w:val="000000"/>
          <w:sz w:val="20"/>
          <w:szCs w:val="20"/>
        </w:rPr>
        <w:t>. (Qasim et al., 2015).</w:t>
      </w:r>
    </w:p>
    <w:p w14:paraId="246EEF71" w14:textId="353086FC" w:rsidR="00AC1FA0" w:rsidRPr="009664EE" w:rsidRDefault="00AC1FA0" w:rsidP="000E13D3">
      <w:pPr>
        <w:pBdr>
          <w:top w:val="nil"/>
          <w:left w:val="nil"/>
          <w:bottom w:val="nil"/>
          <w:right w:val="nil"/>
          <w:between w:val="nil"/>
        </w:pBdr>
        <w:spacing w:line="276" w:lineRule="auto"/>
        <w:jc w:val="both"/>
        <w:rPr>
          <w:rFonts w:eastAsia="Calibri"/>
          <w:color w:val="000000"/>
          <w:sz w:val="20"/>
          <w:szCs w:val="20"/>
        </w:rPr>
      </w:pPr>
    </w:p>
    <w:p w14:paraId="7C15DB6E" w14:textId="77777777" w:rsidR="003469D7" w:rsidRPr="003469D7" w:rsidRDefault="003469D7" w:rsidP="003469D7">
      <w:pPr>
        <w:pBdr>
          <w:top w:val="nil"/>
          <w:left w:val="nil"/>
          <w:bottom w:val="nil"/>
          <w:right w:val="nil"/>
          <w:between w:val="nil"/>
        </w:pBdr>
        <w:spacing w:line="276" w:lineRule="auto"/>
        <w:ind w:firstLine="708"/>
        <w:jc w:val="both"/>
        <w:rPr>
          <w:rFonts w:eastAsia="Calibri"/>
          <w:color w:val="000000"/>
          <w:sz w:val="20"/>
          <w:szCs w:val="20"/>
        </w:rPr>
      </w:pPr>
      <w:proofErr w:type="spellStart"/>
      <w:r w:rsidRPr="003469D7">
        <w:rPr>
          <w:rFonts w:eastAsia="Calibri"/>
          <w:color w:val="000000"/>
          <w:sz w:val="20"/>
          <w:szCs w:val="20"/>
        </w:rPr>
        <w:t>During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AgNP</w:t>
      </w:r>
      <w:proofErr w:type="spellEnd"/>
      <w:r w:rsidRPr="003469D7">
        <w:rPr>
          <w:rFonts w:eastAsia="Calibri"/>
          <w:color w:val="000000"/>
          <w:sz w:val="20"/>
          <w:szCs w:val="20"/>
        </w:rPr>
        <w:t xml:space="preserve"> </w:t>
      </w:r>
      <w:proofErr w:type="spellStart"/>
      <w:r w:rsidRPr="003469D7">
        <w:rPr>
          <w:rFonts w:eastAsia="Calibri"/>
          <w:color w:val="000000"/>
          <w:sz w:val="20"/>
          <w:szCs w:val="20"/>
        </w:rPr>
        <w:t>synthesis</w:t>
      </w:r>
      <w:proofErr w:type="spellEnd"/>
      <w:r w:rsidRPr="003469D7">
        <w:rPr>
          <w:rFonts w:eastAsia="Calibri"/>
          <w:color w:val="000000"/>
          <w:sz w:val="20"/>
          <w:szCs w:val="20"/>
        </w:rPr>
        <w:t xml:space="preserve">,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ions</w:t>
      </w:r>
      <w:proofErr w:type="spellEnd"/>
      <w:r w:rsidRPr="003469D7">
        <w:rPr>
          <w:rFonts w:eastAsia="Calibri"/>
          <w:color w:val="000000"/>
          <w:sz w:val="20"/>
          <w:szCs w:val="20"/>
        </w:rPr>
        <w:t xml:space="preserve"> (Ag+) are </w:t>
      </w:r>
      <w:proofErr w:type="spellStart"/>
      <w:r w:rsidRPr="003469D7">
        <w:rPr>
          <w:rFonts w:eastAsia="Calibri"/>
          <w:color w:val="000000"/>
          <w:sz w:val="20"/>
          <w:szCs w:val="20"/>
        </w:rPr>
        <w:t>sourced</w:t>
      </w:r>
      <w:proofErr w:type="spellEnd"/>
      <w:r w:rsidRPr="003469D7">
        <w:rPr>
          <w:rFonts w:eastAsia="Calibri"/>
          <w:color w:val="000000"/>
          <w:sz w:val="20"/>
          <w:szCs w:val="20"/>
        </w:rPr>
        <w:t xml:space="preserve"> </w:t>
      </w:r>
      <w:proofErr w:type="spellStart"/>
      <w:r w:rsidRPr="003469D7">
        <w:rPr>
          <w:rFonts w:eastAsia="Calibri"/>
          <w:color w:val="000000"/>
          <w:sz w:val="20"/>
          <w:szCs w:val="20"/>
        </w:rPr>
        <w:t>from</w:t>
      </w:r>
      <w:proofErr w:type="spellEnd"/>
      <w:r w:rsidRPr="003469D7">
        <w:rPr>
          <w:rFonts w:eastAsia="Calibri"/>
          <w:color w:val="000000"/>
          <w:sz w:val="20"/>
          <w:szCs w:val="20"/>
        </w:rPr>
        <w:t xml:space="preserve">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salts</w:t>
      </w:r>
      <w:proofErr w:type="spellEnd"/>
      <w:r w:rsidRPr="003469D7">
        <w:rPr>
          <w:rFonts w:eastAsia="Calibri"/>
          <w:color w:val="000000"/>
          <w:sz w:val="20"/>
          <w:szCs w:val="20"/>
        </w:rPr>
        <w:t xml:space="preserve">, </w:t>
      </w:r>
      <w:proofErr w:type="spellStart"/>
      <w:r w:rsidRPr="003469D7">
        <w:rPr>
          <w:rFonts w:eastAsia="Calibri"/>
          <w:color w:val="000000"/>
          <w:sz w:val="20"/>
          <w:szCs w:val="20"/>
        </w:rPr>
        <w:t>such</w:t>
      </w:r>
      <w:proofErr w:type="spellEnd"/>
      <w:r w:rsidRPr="003469D7">
        <w:rPr>
          <w:rFonts w:eastAsia="Calibri"/>
          <w:color w:val="000000"/>
          <w:sz w:val="20"/>
          <w:szCs w:val="20"/>
        </w:rPr>
        <w:t xml:space="preserve"> as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nitrate</w:t>
      </w:r>
      <w:proofErr w:type="spellEnd"/>
      <w:r w:rsidRPr="003469D7">
        <w:rPr>
          <w:rFonts w:eastAsia="Calibri"/>
          <w:color w:val="000000"/>
          <w:sz w:val="20"/>
          <w:szCs w:val="20"/>
        </w:rPr>
        <w:t xml:space="preserve">. In </w:t>
      </w:r>
      <w:proofErr w:type="spellStart"/>
      <w:r w:rsidRPr="003469D7">
        <w:rPr>
          <w:rFonts w:eastAsia="Calibri"/>
          <w:color w:val="000000"/>
          <w:sz w:val="20"/>
          <w:szCs w:val="20"/>
        </w:rPr>
        <w:t>water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these</w:t>
      </w:r>
      <w:proofErr w:type="spellEnd"/>
      <w:r w:rsidRPr="003469D7">
        <w:rPr>
          <w:rFonts w:eastAsia="Calibri"/>
          <w:color w:val="000000"/>
          <w:sz w:val="20"/>
          <w:szCs w:val="20"/>
        </w:rPr>
        <w:t xml:space="preserve"> </w:t>
      </w:r>
      <w:proofErr w:type="spellStart"/>
      <w:r w:rsidRPr="003469D7">
        <w:rPr>
          <w:rFonts w:eastAsia="Calibri"/>
          <w:color w:val="000000"/>
          <w:sz w:val="20"/>
          <w:szCs w:val="20"/>
        </w:rPr>
        <w:t>become</w:t>
      </w:r>
      <w:proofErr w:type="spellEnd"/>
      <w:r w:rsidRPr="003469D7">
        <w:rPr>
          <w:rFonts w:eastAsia="Calibri"/>
          <w:color w:val="000000"/>
          <w:sz w:val="20"/>
          <w:szCs w:val="20"/>
        </w:rPr>
        <w:t xml:space="preserve"> </w:t>
      </w:r>
      <w:proofErr w:type="spellStart"/>
      <w:r w:rsidRPr="003469D7">
        <w:rPr>
          <w:rFonts w:eastAsia="Calibri"/>
          <w:color w:val="000000"/>
          <w:sz w:val="20"/>
          <w:szCs w:val="20"/>
        </w:rPr>
        <w:t>reactive</w:t>
      </w:r>
      <w:proofErr w:type="spellEnd"/>
      <w:r w:rsidRPr="003469D7">
        <w:rPr>
          <w:rFonts w:eastAsia="Calibri"/>
          <w:color w:val="000000"/>
          <w:sz w:val="20"/>
          <w:szCs w:val="20"/>
        </w:rPr>
        <w:t xml:space="preserve"> </w:t>
      </w:r>
      <w:proofErr w:type="spellStart"/>
      <w:r w:rsidRPr="003469D7">
        <w:rPr>
          <w:rFonts w:eastAsia="Calibri"/>
          <w:color w:val="000000"/>
          <w:sz w:val="20"/>
          <w:szCs w:val="20"/>
        </w:rPr>
        <w:t>and</w:t>
      </w:r>
      <w:proofErr w:type="spellEnd"/>
      <w:r w:rsidRPr="003469D7">
        <w:rPr>
          <w:rFonts w:eastAsia="Calibri"/>
          <w:color w:val="000000"/>
          <w:sz w:val="20"/>
          <w:szCs w:val="20"/>
        </w:rPr>
        <w:t xml:space="preserve"> </w:t>
      </w:r>
      <w:proofErr w:type="spellStart"/>
      <w:r w:rsidRPr="003469D7">
        <w:rPr>
          <w:rFonts w:eastAsia="Calibri"/>
          <w:color w:val="000000"/>
          <w:sz w:val="20"/>
          <w:szCs w:val="20"/>
        </w:rPr>
        <w:t>form</w:t>
      </w:r>
      <w:proofErr w:type="spellEnd"/>
      <w:r w:rsidRPr="003469D7">
        <w:rPr>
          <w:rFonts w:eastAsia="Calibri"/>
          <w:color w:val="000000"/>
          <w:sz w:val="20"/>
          <w:szCs w:val="20"/>
        </w:rPr>
        <w:t xml:space="preserve"> </w:t>
      </w:r>
      <w:proofErr w:type="spellStart"/>
      <w:r w:rsidRPr="003469D7">
        <w:rPr>
          <w:rFonts w:eastAsia="Calibri"/>
          <w:color w:val="000000"/>
          <w:sz w:val="20"/>
          <w:szCs w:val="20"/>
        </w:rPr>
        <w:t>other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compounds</w:t>
      </w:r>
      <w:proofErr w:type="spellEnd"/>
      <w:r w:rsidRPr="003469D7">
        <w:rPr>
          <w:rFonts w:eastAsia="Calibri"/>
          <w:color w:val="000000"/>
          <w:sz w:val="20"/>
          <w:szCs w:val="20"/>
        </w:rPr>
        <w:t xml:space="preserve">. Silver </w:t>
      </w:r>
      <w:proofErr w:type="spellStart"/>
      <w:r w:rsidRPr="003469D7">
        <w:rPr>
          <w:rFonts w:eastAsia="Calibri"/>
          <w:color w:val="000000"/>
          <w:sz w:val="20"/>
          <w:szCs w:val="20"/>
        </w:rPr>
        <w:t>nitrate</w:t>
      </w:r>
      <w:proofErr w:type="spellEnd"/>
      <w:r w:rsidRPr="003469D7">
        <w:rPr>
          <w:rFonts w:eastAsia="Calibri"/>
          <w:color w:val="000000"/>
          <w:sz w:val="20"/>
          <w:szCs w:val="20"/>
        </w:rPr>
        <w:t xml:space="preserve"> </w:t>
      </w:r>
      <w:proofErr w:type="spellStart"/>
      <w:r w:rsidRPr="003469D7">
        <w:rPr>
          <w:rFonts w:eastAsia="Calibri"/>
          <w:color w:val="000000"/>
          <w:sz w:val="20"/>
          <w:szCs w:val="20"/>
        </w:rPr>
        <w:t>acts</w:t>
      </w:r>
      <w:proofErr w:type="spellEnd"/>
      <w:r w:rsidRPr="003469D7">
        <w:rPr>
          <w:rFonts w:eastAsia="Calibri"/>
          <w:color w:val="000000"/>
          <w:sz w:val="20"/>
          <w:szCs w:val="20"/>
        </w:rPr>
        <w:t xml:space="preserve"> as </w:t>
      </w:r>
      <w:proofErr w:type="spellStart"/>
      <w:r w:rsidRPr="003469D7">
        <w:rPr>
          <w:rFonts w:eastAsia="Calibri"/>
          <w:color w:val="000000"/>
          <w:sz w:val="20"/>
          <w:szCs w:val="20"/>
        </w:rPr>
        <w:t>an</w:t>
      </w:r>
      <w:proofErr w:type="spellEnd"/>
      <w:r w:rsidRPr="003469D7">
        <w:rPr>
          <w:rFonts w:eastAsia="Calibri"/>
          <w:color w:val="000000"/>
          <w:sz w:val="20"/>
          <w:szCs w:val="20"/>
        </w:rPr>
        <w:t xml:space="preserve"> antimicrobial </w:t>
      </w:r>
      <w:proofErr w:type="spellStart"/>
      <w:r w:rsidRPr="003469D7">
        <w:rPr>
          <w:rFonts w:eastAsia="Calibri"/>
          <w:color w:val="000000"/>
          <w:sz w:val="20"/>
          <w:szCs w:val="20"/>
        </w:rPr>
        <w:t>salt</w:t>
      </w:r>
      <w:proofErr w:type="spellEnd"/>
      <w:r w:rsidRPr="003469D7">
        <w:rPr>
          <w:rFonts w:eastAsia="Calibri"/>
          <w:color w:val="000000"/>
          <w:sz w:val="20"/>
          <w:szCs w:val="20"/>
        </w:rPr>
        <w:t xml:space="preserve">. </w:t>
      </w:r>
      <w:proofErr w:type="spellStart"/>
      <w:r w:rsidRPr="003469D7">
        <w:rPr>
          <w:rFonts w:eastAsia="Calibri"/>
          <w:color w:val="000000"/>
          <w:sz w:val="20"/>
          <w:szCs w:val="20"/>
        </w:rPr>
        <w:t>NPs</w:t>
      </w:r>
      <w:proofErr w:type="spellEnd"/>
      <w:r w:rsidRPr="003469D7">
        <w:rPr>
          <w:rFonts w:eastAsia="Calibri"/>
          <w:color w:val="000000"/>
          <w:sz w:val="20"/>
          <w:szCs w:val="20"/>
        </w:rPr>
        <w:t xml:space="preserve"> are </w:t>
      </w:r>
      <w:proofErr w:type="spellStart"/>
      <w:r w:rsidRPr="003469D7">
        <w:rPr>
          <w:rFonts w:eastAsia="Calibri"/>
          <w:color w:val="000000"/>
          <w:sz w:val="20"/>
          <w:szCs w:val="20"/>
        </w:rPr>
        <w:t>agglomerations</w:t>
      </w:r>
      <w:proofErr w:type="spellEnd"/>
      <w:r w:rsidRPr="003469D7">
        <w:rPr>
          <w:rFonts w:eastAsia="Calibri"/>
          <w:color w:val="000000"/>
          <w:sz w:val="20"/>
          <w:szCs w:val="20"/>
        </w:rPr>
        <w:t xml:space="preserve">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w:t>
      </w:r>
      <w:proofErr w:type="spellStart"/>
      <w:r w:rsidRPr="003469D7">
        <w:rPr>
          <w:rFonts w:eastAsia="Calibri"/>
          <w:color w:val="000000"/>
          <w:sz w:val="20"/>
          <w:szCs w:val="20"/>
        </w:rPr>
        <w:t>reduced</w:t>
      </w:r>
      <w:proofErr w:type="spellEnd"/>
      <w:r w:rsidRPr="003469D7">
        <w:rPr>
          <w:rFonts w:eastAsia="Calibri"/>
          <w:color w:val="000000"/>
          <w:sz w:val="20"/>
          <w:szCs w:val="20"/>
        </w:rPr>
        <w:t xml:space="preserve">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atoms</w:t>
      </w:r>
      <w:proofErr w:type="spellEnd"/>
      <w:r w:rsidRPr="003469D7">
        <w:rPr>
          <w:rFonts w:eastAsia="Calibri"/>
          <w:color w:val="000000"/>
          <w:sz w:val="20"/>
          <w:szCs w:val="20"/>
        </w:rPr>
        <w:t xml:space="preserve">, </w:t>
      </w:r>
      <w:proofErr w:type="spellStart"/>
      <w:r w:rsidRPr="003469D7">
        <w:rPr>
          <w:rFonts w:eastAsia="Calibri"/>
          <w:color w:val="000000"/>
          <w:sz w:val="20"/>
          <w:szCs w:val="20"/>
        </w:rPr>
        <w:t>while</w:t>
      </w:r>
      <w:proofErr w:type="spellEnd"/>
      <w:r w:rsidRPr="003469D7">
        <w:rPr>
          <w:rFonts w:eastAsia="Calibri"/>
          <w:color w:val="000000"/>
          <w:sz w:val="20"/>
          <w:szCs w:val="20"/>
        </w:rPr>
        <w:t xml:space="preserve"> </w:t>
      </w:r>
      <w:proofErr w:type="spellStart"/>
      <w:r w:rsidRPr="003469D7">
        <w:rPr>
          <w:rFonts w:eastAsia="Calibri"/>
          <w:color w:val="000000"/>
          <w:sz w:val="20"/>
          <w:szCs w:val="20"/>
        </w:rPr>
        <w:t>metallic</w:t>
      </w:r>
      <w:proofErr w:type="spellEnd"/>
      <w:r w:rsidRPr="003469D7">
        <w:rPr>
          <w:rFonts w:eastAsia="Calibri"/>
          <w:color w:val="000000"/>
          <w:sz w:val="20"/>
          <w:szCs w:val="20"/>
        </w:rPr>
        <w:t xml:space="preserve"> </w:t>
      </w:r>
      <w:proofErr w:type="spellStart"/>
      <w:r w:rsidRPr="003469D7">
        <w:rPr>
          <w:rFonts w:eastAsia="Calibri"/>
          <w:color w:val="000000"/>
          <w:sz w:val="20"/>
          <w:szCs w:val="20"/>
        </w:rPr>
        <w:t>nanoparticles</w:t>
      </w:r>
      <w:proofErr w:type="spellEnd"/>
      <w:r w:rsidRPr="003469D7">
        <w:rPr>
          <w:rFonts w:eastAsia="Calibri"/>
          <w:color w:val="000000"/>
          <w:sz w:val="20"/>
          <w:szCs w:val="20"/>
        </w:rPr>
        <w:t xml:space="preserve"> (</w:t>
      </w:r>
      <w:proofErr w:type="spellStart"/>
      <w:r w:rsidRPr="003469D7">
        <w:rPr>
          <w:rFonts w:eastAsia="Calibri"/>
          <w:color w:val="000000"/>
          <w:sz w:val="20"/>
          <w:szCs w:val="20"/>
        </w:rPr>
        <w:t>NPMs</w:t>
      </w:r>
      <w:proofErr w:type="spellEnd"/>
      <w:r w:rsidRPr="003469D7">
        <w:rPr>
          <w:rFonts w:eastAsia="Calibri"/>
          <w:color w:val="000000"/>
          <w:sz w:val="20"/>
          <w:szCs w:val="20"/>
        </w:rPr>
        <w:t xml:space="preserve">) </w:t>
      </w:r>
      <w:proofErr w:type="spellStart"/>
      <w:r w:rsidRPr="003469D7">
        <w:rPr>
          <w:rFonts w:eastAsia="Calibri"/>
          <w:color w:val="000000"/>
          <w:sz w:val="20"/>
          <w:szCs w:val="20"/>
        </w:rPr>
        <w:t>with</w:t>
      </w:r>
      <w:proofErr w:type="spellEnd"/>
      <w:r w:rsidRPr="003469D7">
        <w:rPr>
          <w:rFonts w:eastAsia="Calibri"/>
          <w:color w:val="000000"/>
          <w:sz w:val="20"/>
          <w:szCs w:val="20"/>
        </w:rPr>
        <w:t xml:space="preserve"> a precursor </w:t>
      </w:r>
      <w:proofErr w:type="spellStart"/>
      <w:r w:rsidRPr="003469D7">
        <w:rPr>
          <w:rFonts w:eastAsia="Calibri"/>
          <w:color w:val="000000"/>
          <w:sz w:val="20"/>
          <w:szCs w:val="20"/>
        </w:rPr>
        <w:t>salt</w:t>
      </w:r>
      <w:proofErr w:type="spellEnd"/>
      <w:r w:rsidRPr="003469D7">
        <w:rPr>
          <w:rFonts w:eastAsia="Calibri"/>
          <w:color w:val="000000"/>
          <w:sz w:val="20"/>
          <w:szCs w:val="20"/>
        </w:rPr>
        <w:t xml:space="preserve"> </w:t>
      </w:r>
      <w:proofErr w:type="spellStart"/>
      <w:r w:rsidRPr="003469D7">
        <w:rPr>
          <w:rFonts w:eastAsia="Calibri"/>
          <w:color w:val="000000"/>
          <w:sz w:val="20"/>
          <w:szCs w:val="20"/>
        </w:rPr>
        <w:t>stabilize</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suspension</w:t>
      </w:r>
      <w:proofErr w:type="spellEnd"/>
      <w:r w:rsidRPr="003469D7">
        <w:rPr>
          <w:rFonts w:eastAsia="Calibri"/>
          <w:color w:val="000000"/>
          <w:sz w:val="20"/>
          <w:szCs w:val="20"/>
        </w:rPr>
        <w:t xml:space="preserve">. Color </w:t>
      </w:r>
      <w:proofErr w:type="spellStart"/>
      <w:r w:rsidRPr="003469D7">
        <w:rPr>
          <w:rFonts w:eastAsia="Calibri"/>
          <w:color w:val="000000"/>
          <w:sz w:val="20"/>
          <w:szCs w:val="20"/>
        </w:rPr>
        <w:t>intensity</w:t>
      </w:r>
      <w:proofErr w:type="spellEnd"/>
      <w:r w:rsidRPr="003469D7">
        <w:rPr>
          <w:rFonts w:eastAsia="Calibri"/>
          <w:color w:val="000000"/>
          <w:sz w:val="20"/>
          <w:szCs w:val="20"/>
        </w:rPr>
        <w:t xml:space="preserve"> varies </w:t>
      </w:r>
      <w:proofErr w:type="spellStart"/>
      <w:r w:rsidRPr="003469D7">
        <w:rPr>
          <w:rFonts w:eastAsia="Calibri"/>
          <w:color w:val="000000"/>
          <w:sz w:val="20"/>
          <w:szCs w:val="20"/>
        </w:rPr>
        <w:t>with</w:t>
      </w:r>
      <w:proofErr w:type="spellEnd"/>
      <w:r w:rsidRPr="003469D7">
        <w:rPr>
          <w:rFonts w:eastAsia="Calibri"/>
          <w:color w:val="000000"/>
          <w:sz w:val="20"/>
          <w:szCs w:val="20"/>
        </w:rPr>
        <w:t xml:space="preserve"> </w:t>
      </w:r>
      <w:proofErr w:type="spellStart"/>
      <w:r w:rsidRPr="003469D7">
        <w:rPr>
          <w:rFonts w:eastAsia="Calibri"/>
          <w:color w:val="000000"/>
          <w:sz w:val="20"/>
          <w:szCs w:val="20"/>
        </w:rPr>
        <w:t>salt</w:t>
      </w:r>
      <w:proofErr w:type="spellEnd"/>
      <w:r w:rsidRPr="003469D7">
        <w:rPr>
          <w:rFonts w:eastAsia="Calibri"/>
          <w:color w:val="000000"/>
          <w:sz w:val="20"/>
          <w:szCs w:val="20"/>
        </w:rPr>
        <w:t xml:space="preserve"> </w:t>
      </w:r>
      <w:proofErr w:type="spellStart"/>
      <w:r w:rsidRPr="003469D7">
        <w:rPr>
          <w:rFonts w:eastAsia="Calibri"/>
          <w:color w:val="000000"/>
          <w:sz w:val="20"/>
          <w:szCs w:val="20"/>
        </w:rPr>
        <w:t>and</w:t>
      </w:r>
      <w:proofErr w:type="spellEnd"/>
      <w:r w:rsidRPr="003469D7">
        <w:rPr>
          <w:rFonts w:eastAsia="Calibri"/>
          <w:color w:val="000000"/>
          <w:sz w:val="20"/>
          <w:szCs w:val="20"/>
        </w:rPr>
        <w:t xml:space="preserve"> </w:t>
      </w:r>
      <w:proofErr w:type="spellStart"/>
      <w:r w:rsidRPr="003469D7">
        <w:rPr>
          <w:rFonts w:eastAsia="Calibri"/>
          <w:color w:val="000000"/>
          <w:sz w:val="20"/>
          <w:szCs w:val="20"/>
        </w:rPr>
        <w:t>plant</w:t>
      </w:r>
      <w:proofErr w:type="spellEnd"/>
      <w:r w:rsidRPr="003469D7">
        <w:rPr>
          <w:rFonts w:eastAsia="Calibri"/>
          <w:color w:val="000000"/>
          <w:sz w:val="20"/>
          <w:szCs w:val="20"/>
        </w:rPr>
        <w:t xml:space="preserve"> </w:t>
      </w:r>
      <w:proofErr w:type="spellStart"/>
      <w:r w:rsidRPr="003469D7">
        <w:rPr>
          <w:rFonts w:eastAsia="Calibri"/>
          <w:color w:val="000000"/>
          <w:sz w:val="20"/>
          <w:szCs w:val="20"/>
        </w:rPr>
        <w:t>extract</w:t>
      </w:r>
      <w:proofErr w:type="spellEnd"/>
      <w:r w:rsidRPr="003469D7">
        <w:rPr>
          <w:rFonts w:eastAsia="Calibri"/>
          <w:color w:val="000000"/>
          <w:sz w:val="20"/>
          <w:szCs w:val="20"/>
        </w:rPr>
        <w:t xml:space="preserve"> </w:t>
      </w:r>
      <w:proofErr w:type="spellStart"/>
      <w:r w:rsidRPr="003469D7">
        <w:rPr>
          <w:rFonts w:eastAsia="Calibri"/>
          <w:color w:val="000000"/>
          <w:sz w:val="20"/>
          <w:szCs w:val="20"/>
        </w:rPr>
        <w:t>concentrations</w:t>
      </w:r>
      <w:proofErr w:type="spellEnd"/>
      <w:r w:rsidRPr="003469D7">
        <w:rPr>
          <w:rFonts w:eastAsia="Calibri"/>
          <w:color w:val="000000"/>
          <w:sz w:val="20"/>
          <w:szCs w:val="20"/>
        </w:rPr>
        <w:t xml:space="preserve">. The NP </w:t>
      </w:r>
      <w:proofErr w:type="spellStart"/>
      <w:r w:rsidRPr="003469D7">
        <w:rPr>
          <w:rFonts w:eastAsia="Calibri"/>
          <w:color w:val="000000"/>
          <w:sz w:val="20"/>
          <w:szCs w:val="20"/>
        </w:rPr>
        <w:t>size</w:t>
      </w:r>
      <w:proofErr w:type="spellEnd"/>
      <w:r w:rsidRPr="003469D7">
        <w:rPr>
          <w:rFonts w:eastAsia="Calibri"/>
          <w:color w:val="000000"/>
          <w:sz w:val="20"/>
          <w:szCs w:val="20"/>
        </w:rPr>
        <w:t xml:space="preserve"> </w:t>
      </w:r>
      <w:proofErr w:type="spellStart"/>
      <w:r w:rsidRPr="003469D7">
        <w:rPr>
          <w:rFonts w:eastAsia="Calibri"/>
          <w:color w:val="000000"/>
          <w:sz w:val="20"/>
          <w:szCs w:val="20"/>
        </w:rPr>
        <w:t>also</w:t>
      </w:r>
      <w:proofErr w:type="spellEnd"/>
      <w:r w:rsidRPr="003469D7">
        <w:rPr>
          <w:rFonts w:eastAsia="Calibri"/>
          <w:color w:val="000000"/>
          <w:sz w:val="20"/>
          <w:szCs w:val="20"/>
        </w:rPr>
        <w:t xml:space="preserve"> </w:t>
      </w:r>
      <w:proofErr w:type="spellStart"/>
      <w:r w:rsidRPr="003469D7">
        <w:rPr>
          <w:rFonts w:eastAsia="Calibri"/>
          <w:color w:val="000000"/>
          <w:sz w:val="20"/>
          <w:szCs w:val="20"/>
        </w:rPr>
        <w:t>affects</w:t>
      </w:r>
      <w:proofErr w:type="spellEnd"/>
      <w:r w:rsidRPr="003469D7">
        <w:rPr>
          <w:rFonts w:eastAsia="Calibri"/>
          <w:color w:val="000000"/>
          <w:sz w:val="20"/>
          <w:szCs w:val="20"/>
        </w:rPr>
        <w:t xml:space="preserve"> antimicrobial </w:t>
      </w:r>
      <w:proofErr w:type="spellStart"/>
      <w:r w:rsidRPr="003469D7">
        <w:rPr>
          <w:rFonts w:eastAsia="Calibri"/>
          <w:color w:val="000000"/>
          <w:sz w:val="20"/>
          <w:szCs w:val="20"/>
        </w:rPr>
        <w:t>action</w:t>
      </w:r>
      <w:proofErr w:type="spellEnd"/>
      <w:r w:rsidRPr="003469D7">
        <w:rPr>
          <w:rFonts w:eastAsia="Calibri"/>
          <w:color w:val="000000"/>
          <w:sz w:val="20"/>
          <w:szCs w:val="20"/>
        </w:rPr>
        <w:t xml:space="preserve">. Silver </w:t>
      </w:r>
      <w:proofErr w:type="spellStart"/>
      <w:r w:rsidRPr="003469D7">
        <w:rPr>
          <w:rFonts w:eastAsia="Calibri"/>
          <w:color w:val="000000"/>
          <w:sz w:val="20"/>
          <w:szCs w:val="20"/>
        </w:rPr>
        <w:t>nitrate</w:t>
      </w:r>
      <w:proofErr w:type="spellEnd"/>
      <w:r w:rsidRPr="003469D7">
        <w:rPr>
          <w:rFonts w:eastAsia="Calibri"/>
          <w:color w:val="000000"/>
          <w:sz w:val="20"/>
          <w:szCs w:val="20"/>
        </w:rPr>
        <w:t xml:space="preserve"> </w:t>
      </w:r>
      <w:proofErr w:type="spellStart"/>
      <w:r w:rsidRPr="003469D7">
        <w:rPr>
          <w:rFonts w:eastAsia="Calibri"/>
          <w:color w:val="000000"/>
          <w:sz w:val="20"/>
          <w:szCs w:val="20"/>
        </w:rPr>
        <w:t>operates</w:t>
      </w:r>
      <w:proofErr w:type="spellEnd"/>
      <w:r w:rsidRPr="003469D7">
        <w:rPr>
          <w:rFonts w:eastAsia="Calibri"/>
          <w:color w:val="000000"/>
          <w:sz w:val="20"/>
          <w:szCs w:val="20"/>
        </w:rPr>
        <w:t xml:space="preserve"> </w:t>
      </w:r>
      <w:proofErr w:type="spellStart"/>
      <w:r w:rsidRPr="003469D7">
        <w:rPr>
          <w:rFonts w:eastAsia="Calibri"/>
          <w:color w:val="000000"/>
          <w:sz w:val="20"/>
          <w:szCs w:val="20"/>
        </w:rPr>
        <w:t>intracellularly</w:t>
      </w:r>
      <w:proofErr w:type="spellEnd"/>
      <w:r w:rsidRPr="003469D7">
        <w:rPr>
          <w:rFonts w:eastAsia="Calibri"/>
          <w:color w:val="000000"/>
          <w:sz w:val="20"/>
          <w:szCs w:val="20"/>
        </w:rPr>
        <w:t xml:space="preserve">, </w:t>
      </w:r>
      <w:proofErr w:type="spellStart"/>
      <w:r w:rsidRPr="003469D7">
        <w:rPr>
          <w:rFonts w:eastAsia="Calibri"/>
          <w:color w:val="000000"/>
          <w:sz w:val="20"/>
          <w:szCs w:val="20"/>
        </w:rPr>
        <w:t>whereas</w:t>
      </w:r>
      <w:proofErr w:type="spellEnd"/>
      <w:r w:rsidRPr="003469D7">
        <w:rPr>
          <w:rFonts w:eastAsia="Calibri"/>
          <w:color w:val="000000"/>
          <w:sz w:val="20"/>
          <w:szCs w:val="20"/>
        </w:rPr>
        <w:t xml:space="preserve"> </w:t>
      </w:r>
      <w:proofErr w:type="spellStart"/>
      <w:r w:rsidRPr="003469D7">
        <w:rPr>
          <w:rFonts w:eastAsia="Calibri"/>
          <w:color w:val="000000"/>
          <w:sz w:val="20"/>
          <w:szCs w:val="20"/>
        </w:rPr>
        <w:t>NPs</w:t>
      </w:r>
      <w:proofErr w:type="spellEnd"/>
      <w:r w:rsidRPr="003469D7">
        <w:rPr>
          <w:rFonts w:eastAsia="Calibri"/>
          <w:color w:val="000000"/>
          <w:sz w:val="20"/>
          <w:szCs w:val="20"/>
        </w:rPr>
        <w:t xml:space="preserve"> </w:t>
      </w:r>
      <w:proofErr w:type="spellStart"/>
      <w:r w:rsidRPr="003469D7">
        <w:rPr>
          <w:rFonts w:eastAsia="Calibri"/>
          <w:color w:val="000000"/>
          <w:sz w:val="20"/>
          <w:szCs w:val="20"/>
        </w:rPr>
        <w:t>disrupt</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cell</w:t>
      </w:r>
      <w:proofErr w:type="spellEnd"/>
      <w:r w:rsidRPr="003469D7">
        <w:rPr>
          <w:rFonts w:eastAsia="Calibri"/>
          <w:color w:val="000000"/>
          <w:sz w:val="20"/>
          <w:szCs w:val="20"/>
        </w:rPr>
        <w:t xml:space="preserve"> </w:t>
      </w:r>
      <w:proofErr w:type="spellStart"/>
      <w:r w:rsidRPr="003469D7">
        <w:rPr>
          <w:rFonts w:eastAsia="Calibri"/>
          <w:color w:val="000000"/>
          <w:sz w:val="20"/>
          <w:szCs w:val="20"/>
        </w:rPr>
        <w:t>membrane</w:t>
      </w:r>
      <w:proofErr w:type="spellEnd"/>
      <w:r w:rsidRPr="003469D7">
        <w:rPr>
          <w:rFonts w:eastAsia="Calibri"/>
          <w:color w:val="000000"/>
          <w:sz w:val="20"/>
          <w:szCs w:val="20"/>
        </w:rPr>
        <w:t xml:space="preserve"> (Porto, 2012).</w:t>
      </w:r>
    </w:p>
    <w:p w14:paraId="6D900E4F" w14:textId="77777777" w:rsidR="003469D7" w:rsidRPr="003469D7" w:rsidRDefault="003469D7" w:rsidP="003469D7">
      <w:pPr>
        <w:pBdr>
          <w:top w:val="nil"/>
          <w:left w:val="nil"/>
          <w:bottom w:val="nil"/>
          <w:right w:val="nil"/>
          <w:between w:val="nil"/>
        </w:pBdr>
        <w:spacing w:line="276" w:lineRule="auto"/>
        <w:ind w:firstLine="708"/>
        <w:jc w:val="both"/>
        <w:rPr>
          <w:rFonts w:eastAsia="Calibri"/>
          <w:color w:val="000000"/>
          <w:sz w:val="20"/>
          <w:szCs w:val="20"/>
        </w:rPr>
      </w:pPr>
    </w:p>
    <w:p w14:paraId="5E07A53C" w14:textId="4A81D693" w:rsidR="001A25F2" w:rsidRDefault="003469D7" w:rsidP="003469D7">
      <w:pPr>
        <w:pBdr>
          <w:top w:val="nil"/>
          <w:left w:val="nil"/>
          <w:bottom w:val="nil"/>
          <w:right w:val="nil"/>
          <w:between w:val="nil"/>
        </w:pBdr>
        <w:spacing w:line="276" w:lineRule="auto"/>
        <w:ind w:firstLine="708"/>
        <w:jc w:val="both"/>
        <w:rPr>
          <w:rFonts w:ascii="Calibri" w:eastAsia="Calibri" w:hAnsi="Calibri" w:cs="Calibri"/>
          <w:color w:val="000000"/>
          <w:sz w:val="20"/>
          <w:szCs w:val="20"/>
        </w:rPr>
      </w:pPr>
      <w:proofErr w:type="spellStart"/>
      <w:r w:rsidRPr="003469D7">
        <w:rPr>
          <w:rFonts w:eastAsia="Calibri"/>
          <w:color w:val="000000"/>
          <w:sz w:val="20"/>
          <w:szCs w:val="20"/>
        </w:rPr>
        <w:t>According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to</w:t>
      </w:r>
      <w:proofErr w:type="spellEnd"/>
      <w:r w:rsidRPr="003469D7">
        <w:rPr>
          <w:rFonts w:eastAsia="Calibri"/>
          <w:color w:val="000000"/>
          <w:sz w:val="20"/>
          <w:szCs w:val="20"/>
        </w:rPr>
        <w:t xml:space="preserve"> Carmona et al. (2017),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green</w:t>
      </w:r>
      <w:proofErr w:type="spellEnd"/>
      <w:r w:rsidRPr="003469D7">
        <w:rPr>
          <w:rFonts w:eastAsia="Calibri"/>
          <w:color w:val="000000"/>
          <w:sz w:val="20"/>
          <w:szCs w:val="20"/>
        </w:rPr>
        <w:t xml:space="preserve"> </w:t>
      </w:r>
      <w:proofErr w:type="spellStart"/>
      <w:r w:rsidRPr="003469D7">
        <w:rPr>
          <w:rFonts w:eastAsia="Calibri"/>
          <w:color w:val="000000"/>
          <w:sz w:val="20"/>
          <w:szCs w:val="20"/>
        </w:rPr>
        <w:t>synthesis</w:t>
      </w:r>
      <w:proofErr w:type="spellEnd"/>
      <w:r w:rsidRPr="003469D7">
        <w:rPr>
          <w:rFonts w:eastAsia="Calibri"/>
          <w:color w:val="000000"/>
          <w:sz w:val="20"/>
          <w:szCs w:val="20"/>
        </w:rPr>
        <w:t xml:space="preserve">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nanoparticles</w:t>
      </w:r>
      <w:proofErr w:type="spellEnd"/>
      <w:r w:rsidRPr="003469D7">
        <w:rPr>
          <w:rFonts w:eastAsia="Calibri"/>
          <w:color w:val="000000"/>
          <w:sz w:val="20"/>
          <w:szCs w:val="20"/>
        </w:rPr>
        <w:t xml:space="preserve"> </w:t>
      </w:r>
      <w:proofErr w:type="spellStart"/>
      <w:r w:rsidRPr="003469D7">
        <w:rPr>
          <w:rFonts w:eastAsia="Calibri"/>
          <w:color w:val="000000"/>
          <w:sz w:val="20"/>
          <w:szCs w:val="20"/>
        </w:rPr>
        <w:t>involves</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chemical</w:t>
      </w:r>
      <w:proofErr w:type="spellEnd"/>
      <w:r w:rsidRPr="003469D7">
        <w:rPr>
          <w:rFonts w:eastAsia="Calibri"/>
          <w:color w:val="000000"/>
          <w:sz w:val="20"/>
          <w:szCs w:val="20"/>
        </w:rPr>
        <w:t xml:space="preserve"> </w:t>
      </w:r>
      <w:proofErr w:type="spellStart"/>
      <w:r w:rsidRPr="003469D7">
        <w:rPr>
          <w:rFonts w:eastAsia="Calibri"/>
          <w:color w:val="000000"/>
          <w:sz w:val="20"/>
          <w:szCs w:val="20"/>
        </w:rPr>
        <w:t>reduction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from</w:t>
      </w:r>
      <w:proofErr w:type="spellEnd"/>
      <w:r w:rsidRPr="003469D7">
        <w:rPr>
          <w:rFonts w:eastAsia="Calibri"/>
          <w:color w:val="000000"/>
          <w:sz w:val="20"/>
          <w:szCs w:val="20"/>
        </w:rPr>
        <w:t xml:space="preserve"> </w:t>
      </w:r>
      <w:proofErr w:type="spellStart"/>
      <w:r w:rsidRPr="003469D7">
        <w:rPr>
          <w:rFonts w:eastAsia="Calibri"/>
          <w:color w:val="000000"/>
          <w:sz w:val="20"/>
          <w:szCs w:val="20"/>
        </w:rPr>
        <w:t>an</w:t>
      </w:r>
      <w:proofErr w:type="spellEnd"/>
      <w:r w:rsidRPr="003469D7">
        <w:rPr>
          <w:rFonts w:eastAsia="Calibri"/>
          <w:color w:val="000000"/>
          <w:sz w:val="20"/>
          <w:szCs w:val="20"/>
        </w:rPr>
        <w:t xml:space="preserve"> AgNO</w:t>
      </w:r>
      <w:r w:rsidRPr="00E56656">
        <w:rPr>
          <w:rFonts w:eastAsia="Calibri"/>
          <w:color w:val="000000"/>
          <w:sz w:val="20"/>
          <w:szCs w:val="20"/>
          <w:vertAlign w:val="subscript"/>
        </w:rPr>
        <w:t>3</w:t>
      </w:r>
      <w:r w:rsidRPr="003469D7">
        <w:rPr>
          <w:rFonts w:eastAsia="Calibri"/>
          <w:color w:val="000000"/>
          <w:sz w:val="20"/>
          <w:szCs w:val="20"/>
        </w:rPr>
        <w:t xml:space="preserve"> </w:t>
      </w:r>
      <w:proofErr w:type="spellStart"/>
      <w:r w:rsidRPr="003469D7">
        <w:rPr>
          <w:rFonts w:eastAsia="Calibri"/>
          <w:color w:val="000000"/>
          <w:sz w:val="20"/>
          <w:szCs w:val="20"/>
        </w:rPr>
        <w:t>solution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and</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use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a </w:t>
      </w:r>
      <w:proofErr w:type="spellStart"/>
      <w:r w:rsidRPr="003469D7">
        <w:rPr>
          <w:rFonts w:eastAsia="Calibri"/>
          <w:color w:val="000000"/>
          <w:sz w:val="20"/>
          <w:szCs w:val="20"/>
        </w:rPr>
        <w:t>plant</w:t>
      </w:r>
      <w:proofErr w:type="spellEnd"/>
      <w:r w:rsidRPr="003469D7">
        <w:rPr>
          <w:rFonts w:eastAsia="Calibri"/>
          <w:color w:val="000000"/>
          <w:sz w:val="20"/>
          <w:szCs w:val="20"/>
        </w:rPr>
        <w:t xml:space="preserve"> </w:t>
      </w:r>
      <w:proofErr w:type="spellStart"/>
      <w:r w:rsidRPr="003469D7">
        <w:rPr>
          <w:rFonts w:eastAsia="Calibri"/>
          <w:color w:val="000000"/>
          <w:sz w:val="20"/>
          <w:szCs w:val="20"/>
        </w:rPr>
        <w:t>extract</w:t>
      </w:r>
      <w:proofErr w:type="spellEnd"/>
      <w:r w:rsidRPr="003469D7">
        <w:rPr>
          <w:rFonts w:eastAsia="Calibri"/>
          <w:color w:val="000000"/>
          <w:sz w:val="20"/>
          <w:szCs w:val="20"/>
        </w:rPr>
        <w:t xml:space="preserve">, in </w:t>
      </w:r>
      <w:proofErr w:type="spellStart"/>
      <w:r w:rsidRPr="003469D7">
        <w:rPr>
          <w:rFonts w:eastAsia="Calibri"/>
          <w:color w:val="000000"/>
          <w:sz w:val="20"/>
          <w:szCs w:val="20"/>
        </w:rPr>
        <w:t>which</w:t>
      </w:r>
      <w:proofErr w:type="spellEnd"/>
      <w:r w:rsidRPr="003469D7">
        <w:rPr>
          <w:rFonts w:eastAsia="Calibri"/>
          <w:color w:val="000000"/>
          <w:sz w:val="20"/>
          <w:szCs w:val="20"/>
        </w:rPr>
        <w:t xml:space="preserve"> </w:t>
      </w:r>
      <w:proofErr w:type="spellStart"/>
      <w:r w:rsidRPr="003469D7">
        <w:rPr>
          <w:rFonts w:eastAsia="Calibri"/>
          <w:color w:val="000000"/>
          <w:sz w:val="20"/>
          <w:szCs w:val="20"/>
        </w:rPr>
        <w:t>nucleation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occurs</w:t>
      </w:r>
      <w:proofErr w:type="spellEnd"/>
      <w:r w:rsidRPr="003469D7">
        <w:rPr>
          <w:rFonts w:eastAsia="Calibri"/>
          <w:color w:val="000000"/>
          <w:sz w:val="20"/>
          <w:szCs w:val="20"/>
        </w:rPr>
        <w:t xml:space="preserve">: </w:t>
      </w:r>
      <w:proofErr w:type="spellStart"/>
      <w:r w:rsidRPr="003469D7">
        <w:rPr>
          <w:rFonts w:eastAsia="Calibri"/>
          <w:color w:val="000000"/>
          <w:sz w:val="20"/>
          <w:szCs w:val="20"/>
        </w:rPr>
        <w:t>silver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atoms</w:t>
      </w:r>
      <w:proofErr w:type="spellEnd"/>
      <w:r w:rsidRPr="003469D7">
        <w:rPr>
          <w:rFonts w:eastAsia="Calibri"/>
          <w:color w:val="000000"/>
          <w:sz w:val="20"/>
          <w:szCs w:val="20"/>
        </w:rPr>
        <w:t xml:space="preserve"> </w:t>
      </w:r>
      <w:proofErr w:type="spellStart"/>
      <w:r w:rsidRPr="003469D7">
        <w:rPr>
          <w:rFonts w:eastAsia="Calibri"/>
          <w:color w:val="000000"/>
          <w:sz w:val="20"/>
          <w:szCs w:val="20"/>
        </w:rPr>
        <w:t>with</w:t>
      </w:r>
      <w:proofErr w:type="spellEnd"/>
      <w:r w:rsidRPr="003469D7">
        <w:rPr>
          <w:rFonts w:eastAsia="Calibri"/>
          <w:color w:val="000000"/>
          <w:sz w:val="20"/>
          <w:szCs w:val="20"/>
        </w:rPr>
        <w:t xml:space="preserve"> high </w:t>
      </w:r>
      <w:proofErr w:type="spellStart"/>
      <w:r w:rsidRPr="003469D7">
        <w:rPr>
          <w:rFonts w:eastAsia="Calibri"/>
          <w:color w:val="000000"/>
          <w:sz w:val="20"/>
          <w:szCs w:val="20"/>
        </w:rPr>
        <w:t>activation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energy</w:t>
      </w:r>
      <w:proofErr w:type="spellEnd"/>
      <w:r w:rsidRPr="003469D7">
        <w:rPr>
          <w:rFonts w:eastAsia="Calibri"/>
          <w:color w:val="000000"/>
          <w:sz w:val="20"/>
          <w:szCs w:val="20"/>
        </w:rPr>
        <w:t xml:space="preserve"> </w:t>
      </w:r>
      <w:proofErr w:type="spellStart"/>
      <w:r w:rsidRPr="003469D7">
        <w:rPr>
          <w:rFonts w:eastAsia="Calibri"/>
          <w:color w:val="000000"/>
          <w:sz w:val="20"/>
          <w:szCs w:val="20"/>
        </w:rPr>
        <w:t>form</w:t>
      </w:r>
      <w:proofErr w:type="spellEnd"/>
      <w:r w:rsidRPr="003469D7">
        <w:rPr>
          <w:rFonts w:eastAsia="Calibri"/>
          <w:color w:val="000000"/>
          <w:sz w:val="20"/>
          <w:szCs w:val="20"/>
        </w:rPr>
        <w:t xml:space="preserve"> </w:t>
      </w:r>
      <w:proofErr w:type="spellStart"/>
      <w:r w:rsidRPr="003469D7">
        <w:rPr>
          <w:rFonts w:eastAsia="Calibri"/>
          <w:color w:val="000000"/>
          <w:sz w:val="20"/>
          <w:szCs w:val="20"/>
        </w:rPr>
        <w:t>small</w:t>
      </w:r>
      <w:proofErr w:type="spellEnd"/>
      <w:r w:rsidRPr="003469D7">
        <w:rPr>
          <w:rFonts w:eastAsia="Calibri"/>
          <w:color w:val="000000"/>
          <w:sz w:val="20"/>
          <w:szCs w:val="20"/>
        </w:rPr>
        <w:t xml:space="preserve"> </w:t>
      </w:r>
      <w:proofErr w:type="spellStart"/>
      <w:r w:rsidRPr="003469D7">
        <w:rPr>
          <w:rFonts w:eastAsia="Calibri"/>
          <w:color w:val="000000"/>
          <w:sz w:val="20"/>
          <w:szCs w:val="20"/>
        </w:rPr>
        <w:t>nuclei</w:t>
      </w:r>
      <w:proofErr w:type="spellEnd"/>
      <w:r w:rsidRPr="003469D7">
        <w:rPr>
          <w:rFonts w:eastAsia="Calibri"/>
          <w:color w:val="000000"/>
          <w:sz w:val="20"/>
          <w:szCs w:val="20"/>
        </w:rPr>
        <w:t xml:space="preserve">. The </w:t>
      </w:r>
      <w:proofErr w:type="spellStart"/>
      <w:r w:rsidRPr="003469D7">
        <w:rPr>
          <w:rFonts w:eastAsia="Calibri"/>
          <w:color w:val="000000"/>
          <w:sz w:val="20"/>
          <w:szCs w:val="20"/>
        </w:rPr>
        <w:t>phase</w:t>
      </w:r>
      <w:proofErr w:type="spellEnd"/>
      <w:r w:rsidRPr="003469D7">
        <w:rPr>
          <w:rFonts w:eastAsia="Calibri"/>
          <w:color w:val="000000"/>
          <w:sz w:val="20"/>
          <w:szCs w:val="20"/>
        </w:rPr>
        <w:t xml:space="preserve"> in </w:t>
      </w:r>
      <w:proofErr w:type="spellStart"/>
      <w:r w:rsidRPr="003469D7">
        <w:rPr>
          <w:rFonts w:eastAsia="Calibri"/>
          <w:color w:val="000000"/>
          <w:sz w:val="20"/>
          <w:szCs w:val="20"/>
        </w:rPr>
        <w:t>which</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these</w:t>
      </w:r>
      <w:proofErr w:type="spellEnd"/>
      <w:r w:rsidRPr="003469D7">
        <w:rPr>
          <w:rFonts w:eastAsia="Calibri"/>
          <w:color w:val="000000"/>
          <w:sz w:val="20"/>
          <w:szCs w:val="20"/>
        </w:rPr>
        <w:t xml:space="preserve"> </w:t>
      </w:r>
      <w:proofErr w:type="spellStart"/>
      <w:r w:rsidRPr="003469D7">
        <w:rPr>
          <w:rFonts w:eastAsia="Calibri"/>
          <w:color w:val="000000"/>
          <w:sz w:val="20"/>
          <w:szCs w:val="20"/>
        </w:rPr>
        <w:t>nuclei</w:t>
      </w:r>
      <w:proofErr w:type="spellEnd"/>
      <w:r w:rsidRPr="003469D7">
        <w:rPr>
          <w:rFonts w:eastAsia="Calibri"/>
          <w:color w:val="000000"/>
          <w:sz w:val="20"/>
          <w:szCs w:val="20"/>
        </w:rPr>
        <w:t xml:space="preserve"> are </w:t>
      </w:r>
      <w:proofErr w:type="spellStart"/>
      <w:r w:rsidRPr="003469D7">
        <w:rPr>
          <w:rFonts w:eastAsia="Calibri"/>
          <w:color w:val="000000"/>
          <w:sz w:val="20"/>
          <w:szCs w:val="20"/>
        </w:rPr>
        <w:t>grouped</w:t>
      </w:r>
      <w:proofErr w:type="spellEnd"/>
      <w:r w:rsidRPr="003469D7">
        <w:rPr>
          <w:rFonts w:eastAsia="Calibri"/>
          <w:color w:val="000000"/>
          <w:sz w:val="20"/>
          <w:szCs w:val="20"/>
        </w:rPr>
        <w:t xml:space="preserve"> (</w:t>
      </w:r>
      <w:proofErr w:type="spellStart"/>
      <w:r w:rsidRPr="003469D7">
        <w:rPr>
          <w:rFonts w:eastAsia="Calibri"/>
          <w:color w:val="000000"/>
          <w:sz w:val="20"/>
          <w:szCs w:val="20"/>
        </w:rPr>
        <w:t>giving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rise</w:t>
      </w:r>
      <w:proofErr w:type="spellEnd"/>
      <w:r w:rsidRPr="003469D7">
        <w:rPr>
          <w:rFonts w:eastAsia="Calibri"/>
          <w:color w:val="000000"/>
          <w:sz w:val="20"/>
          <w:szCs w:val="20"/>
        </w:rPr>
        <w:t xml:space="preserve"> </w:t>
      </w:r>
      <w:proofErr w:type="spellStart"/>
      <w:r w:rsidRPr="003469D7">
        <w:rPr>
          <w:rFonts w:eastAsia="Calibri"/>
          <w:color w:val="000000"/>
          <w:sz w:val="20"/>
          <w:szCs w:val="20"/>
        </w:rPr>
        <w:t>to</w:t>
      </w:r>
      <w:proofErr w:type="spellEnd"/>
      <w:r w:rsidRPr="003469D7">
        <w:rPr>
          <w:rFonts w:eastAsia="Calibri"/>
          <w:color w:val="000000"/>
          <w:sz w:val="20"/>
          <w:szCs w:val="20"/>
        </w:rPr>
        <w:t xml:space="preserve"> </w:t>
      </w:r>
      <w:proofErr w:type="spellStart"/>
      <w:r w:rsidRPr="003469D7">
        <w:rPr>
          <w:rFonts w:eastAsia="Calibri"/>
          <w:color w:val="000000"/>
          <w:sz w:val="20"/>
          <w:szCs w:val="20"/>
        </w:rPr>
        <w:t>AgNPs</w:t>
      </w:r>
      <w:proofErr w:type="spellEnd"/>
      <w:r w:rsidRPr="003469D7">
        <w:rPr>
          <w:rFonts w:eastAsia="Calibri"/>
          <w:color w:val="000000"/>
          <w:sz w:val="20"/>
          <w:szCs w:val="20"/>
        </w:rPr>
        <w:t xml:space="preserve">) </w:t>
      </w:r>
      <w:proofErr w:type="spellStart"/>
      <w:r w:rsidRPr="003469D7">
        <w:rPr>
          <w:rFonts w:eastAsia="Calibri"/>
          <w:color w:val="000000"/>
          <w:sz w:val="20"/>
          <w:szCs w:val="20"/>
        </w:rPr>
        <w:t>can</w:t>
      </w:r>
      <w:proofErr w:type="spellEnd"/>
      <w:r w:rsidRPr="003469D7">
        <w:rPr>
          <w:rFonts w:eastAsia="Calibri"/>
          <w:color w:val="000000"/>
          <w:sz w:val="20"/>
          <w:szCs w:val="20"/>
        </w:rPr>
        <w:t xml:space="preserve"> </w:t>
      </w:r>
      <w:proofErr w:type="spellStart"/>
      <w:r w:rsidRPr="003469D7">
        <w:rPr>
          <w:rFonts w:eastAsia="Calibri"/>
          <w:color w:val="000000"/>
          <w:sz w:val="20"/>
          <w:szCs w:val="20"/>
        </w:rPr>
        <w:t>be</w:t>
      </w:r>
      <w:proofErr w:type="spellEnd"/>
      <w:r w:rsidRPr="003469D7">
        <w:rPr>
          <w:rFonts w:eastAsia="Calibri"/>
          <w:color w:val="000000"/>
          <w:sz w:val="20"/>
          <w:szCs w:val="20"/>
        </w:rPr>
        <w:t xml:space="preserve"> </w:t>
      </w:r>
      <w:proofErr w:type="spellStart"/>
      <w:r w:rsidRPr="003469D7">
        <w:rPr>
          <w:rFonts w:eastAsia="Calibri"/>
          <w:color w:val="000000"/>
          <w:sz w:val="20"/>
          <w:szCs w:val="20"/>
        </w:rPr>
        <w:t>stable</w:t>
      </w:r>
      <w:proofErr w:type="spellEnd"/>
      <w:r w:rsidRPr="003469D7">
        <w:rPr>
          <w:rFonts w:eastAsia="Calibri"/>
          <w:color w:val="000000"/>
          <w:sz w:val="20"/>
          <w:szCs w:val="20"/>
        </w:rPr>
        <w:t xml:space="preserve"> </w:t>
      </w:r>
      <w:proofErr w:type="spellStart"/>
      <w:r w:rsidRPr="003469D7">
        <w:rPr>
          <w:rFonts w:eastAsia="Calibri"/>
          <w:color w:val="000000"/>
          <w:sz w:val="20"/>
          <w:szCs w:val="20"/>
        </w:rPr>
        <w:t>during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their</w:t>
      </w:r>
      <w:proofErr w:type="spellEnd"/>
      <w:r w:rsidRPr="003469D7">
        <w:rPr>
          <w:rFonts w:eastAsia="Calibri"/>
          <w:color w:val="000000"/>
          <w:sz w:val="20"/>
          <w:szCs w:val="20"/>
        </w:rPr>
        <w:t xml:space="preserve"> </w:t>
      </w:r>
      <w:proofErr w:type="spellStart"/>
      <w:r w:rsidRPr="003469D7">
        <w:rPr>
          <w:rFonts w:eastAsia="Calibri"/>
          <w:color w:val="000000"/>
          <w:sz w:val="20"/>
          <w:szCs w:val="20"/>
        </w:rPr>
        <w:t>creation</w:t>
      </w:r>
      <w:proofErr w:type="spellEnd"/>
      <w:r w:rsidRPr="003469D7">
        <w:rPr>
          <w:rFonts w:eastAsia="Calibri"/>
          <w:color w:val="000000"/>
          <w:sz w:val="20"/>
          <w:szCs w:val="20"/>
        </w:rPr>
        <w:t xml:space="preserve">. The </w:t>
      </w:r>
      <w:proofErr w:type="spellStart"/>
      <w:r w:rsidRPr="003469D7">
        <w:rPr>
          <w:rFonts w:eastAsia="Calibri"/>
          <w:color w:val="000000"/>
          <w:sz w:val="20"/>
          <w:szCs w:val="20"/>
        </w:rPr>
        <w:t>selected</w:t>
      </w:r>
      <w:proofErr w:type="spellEnd"/>
      <w:r w:rsidRPr="003469D7">
        <w:rPr>
          <w:rFonts w:eastAsia="Calibri"/>
          <w:color w:val="000000"/>
          <w:sz w:val="20"/>
          <w:szCs w:val="20"/>
        </w:rPr>
        <w:t xml:space="preserve"> </w:t>
      </w:r>
      <w:proofErr w:type="spellStart"/>
      <w:r w:rsidRPr="003469D7">
        <w:rPr>
          <w:rFonts w:eastAsia="Calibri"/>
          <w:color w:val="000000"/>
          <w:sz w:val="20"/>
          <w:szCs w:val="20"/>
        </w:rPr>
        <w:t>extract</w:t>
      </w:r>
      <w:proofErr w:type="spellEnd"/>
      <w:r w:rsidRPr="003469D7">
        <w:rPr>
          <w:rFonts w:eastAsia="Calibri"/>
          <w:color w:val="000000"/>
          <w:sz w:val="20"/>
          <w:szCs w:val="20"/>
        </w:rPr>
        <w:t xml:space="preserve"> </w:t>
      </w:r>
      <w:proofErr w:type="spellStart"/>
      <w:r w:rsidRPr="003469D7">
        <w:rPr>
          <w:rFonts w:eastAsia="Calibri"/>
          <w:color w:val="000000"/>
          <w:sz w:val="20"/>
          <w:szCs w:val="20"/>
        </w:rPr>
        <w:t>is</w:t>
      </w:r>
      <w:proofErr w:type="spellEnd"/>
      <w:r w:rsidRPr="003469D7">
        <w:rPr>
          <w:rFonts w:eastAsia="Calibri"/>
          <w:color w:val="000000"/>
          <w:sz w:val="20"/>
          <w:szCs w:val="20"/>
        </w:rPr>
        <w:t xml:space="preserve"> ideal </w:t>
      </w:r>
      <w:proofErr w:type="spellStart"/>
      <w:r w:rsidRPr="003469D7">
        <w:rPr>
          <w:rFonts w:eastAsia="Calibri"/>
          <w:color w:val="000000"/>
          <w:sz w:val="20"/>
          <w:szCs w:val="20"/>
        </w:rPr>
        <w:t>because</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biomolecules</w:t>
      </w:r>
      <w:proofErr w:type="spellEnd"/>
      <w:r w:rsidRPr="003469D7">
        <w:rPr>
          <w:rFonts w:eastAsia="Calibri"/>
          <w:color w:val="000000"/>
          <w:sz w:val="20"/>
          <w:szCs w:val="20"/>
        </w:rPr>
        <w:t xml:space="preserve"> it </w:t>
      </w:r>
      <w:proofErr w:type="spellStart"/>
      <w:r w:rsidRPr="003469D7">
        <w:rPr>
          <w:rFonts w:eastAsia="Calibri"/>
          <w:color w:val="000000"/>
          <w:sz w:val="20"/>
          <w:szCs w:val="20"/>
        </w:rPr>
        <w:t>contains</w:t>
      </w:r>
      <w:proofErr w:type="spellEnd"/>
      <w:r w:rsidRPr="003469D7">
        <w:rPr>
          <w:rFonts w:eastAsia="Calibri"/>
          <w:color w:val="000000"/>
          <w:sz w:val="20"/>
          <w:szCs w:val="20"/>
        </w:rPr>
        <w:t xml:space="preserve"> serve as </w:t>
      </w:r>
      <w:proofErr w:type="spellStart"/>
      <w:r w:rsidRPr="003469D7">
        <w:rPr>
          <w:rFonts w:eastAsia="Calibri"/>
          <w:color w:val="000000"/>
          <w:sz w:val="20"/>
          <w:szCs w:val="20"/>
        </w:rPr>
        <w:t>reducing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agents</w:t>
      </w:r>
      <w:proofErr w:type="spellEnd"/>
      <w:r w:rsidRPr="003469D7">
        <w:rPr>
          <w:rFonts w:eastAsia="Calibri"/>
          <w:color w:val="000000"/>
          <w:sz w:val="20"/>
          <w:szCs w:val="20"/>
        </w:rPr>
        <w:t xml:space="preserve"> in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synthesis</w:t>
      </w:r>
      <w:proofErr w:type="spellEnd"/>
      <w:r w:rsidRPr="003469D7">
        <w:rPr>
          <w:rFonts w:eastAsia="Calibri"/>
          <w:color w:val="000000"/>
          <w:sz w:val="20"/>
          <w:szCs w:val="20"/>
        </w:rPr>
        <w:t xml:space="preserve">. Figure 2 </w:t>
      </w:r>
      <w:proofErr w:type="spellStart"/>
      <w:r w:rsidRPr="003469D7">
        <w:rPr>
          <w:rFonts w:eastAsia="Calibri"/>
          <w:color w:val="000000"/>
          <w:sz w:val="20"/>
          <w:szCs w:val="20"/>
        </w:rPr>
        <w:t>illustrates</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mechanism</w:t>
      </w:r>
      <w:proofErr w:type="spellEnd"/>
      <w:r w:rsidRPr="003469D7">
        <w:rPr>
          <w:rFonts w:eastAsia="Calibri"/>
          <w:color w:val="000000"/>
          <w:sz w:val="20"/>
          <w:szCs w:val="20"/>
        </w:rPr>
        <w:t xml:space="preserve">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w:t>
      </w:r>
      <w:proofErr w:type="spellStart"/>
      <w:r w:rsidRPr="003469D7">
        <w:rPr>
          <w:rFonts w:eastAsia="Calibri"/>
          <w:color w:val="000000"/>
          <w:sz w:val="20"/>
          <w:szCs w:val="20"/>
        </w:rPr>
        <w:t>green</w:t>
      </w:r>
      <w:proofErr w:type="spellEnd"/>
      <w:r w:rsidRPr="003469D7">
        <w:rPr>
          <w:rFonts w:eastAsia="Calibri"/>
          <w:color w:val="000000"/>
          <w:sz w:val="20"/>
          <w:szCs w:val="20"/>
        </w:rPr>
        <w:t xml:space="preserve"> </w:t>
      </w:r>
      <w:proofErr w:type="spellStart"/>
      <w:r w:rsidRPr="003469D7">
        <w:rPr>
          <w:rFonts w:eastAsia="Calibri"/>
          <w:color w:val="000000"/>
          <w:sz w:val="20"/>
          <w:szCs w:val="20"/>
        </w:rPr>
        <w:t>synthesis</w:t>
      </w:r>
      <w:proofErr w:type="spellEnd"/>
      <w:r w:rsidRPr="003469D7">
        <w:rPr>
          <w:rFonts w:eastAsia="Calibri"/>
          <w:color w:val="000000"/>
          <w:sz w:val="20"/>
          <w:szCs w:val="20"/>
        </w:rPr>
        <w:t xml:space="preserve"> </w:t>
      </w:r>
      <w:proofErr w:type="spellStart"/>
      <w:r w:rsidRPr="003469D7">
        <w:rPr>
          <w:rFonts w:eastAsia="Calibri"/>
          <w:color w:val="000000"/>
          <w:sz w:val="20"/>
          <w:szCs w:val="20"/>
        </w:rPr>
        <w:t>using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plant</w:t>
      </w:r>
      <w:proofErr w:type="spellEnd"/>
      <w:r w:rsidRPr="003469D7">
        <w:rPr>
          <w:rFonts w:eastAsia="Calibri"/>
          <w:color w:val="000000"/>
          <w:sz w:val="20"/>
          <w:szCs w:val="20"/>
        </w:rPr>
        <w:t xml:space="preserve"> </w:t>
      </w:r>
      <w:proofErr w:type="spellStart"/>
      <w:r w:rsidRPr="003469D7">
        <w:rPr>
          <w:rFonts w:eastAsia="Calibri"/>
          <w:color w:val="000000"/>
          <w:sz w:val="20"/>
          <w:szCs w:val="20"/>
        </w:rPr>
        <w:t>extracts</w:t>
      </w:r>
      <w:proofErr w:type="spellEnd"/>
      <w:r w:rsidRPr="003469D7">
        <w:rPr>
          <w:rFonts w:eastAsia="Calibri"/>
          <w:color w:val="000000"/>
          <w:sz w:val="20"/>
          <w:szCs w:val="20"/>
        </w:rPr>
        <w:t xml:space="preserve">. The </w:t>
      </w:r>
      <w:proofErr w:type="spellStart"/>
      <w:r w:rsidRPr="003469D7">
        <w:rPr>
          <w:rFonts w:eastAsia="Calibri"/>
          <w:color w:val="000000"/>
          <w:sz w:val="20"/>
          <w:szCs w:val="20"/>
        </w:rPr>
        <w:t>plant</w:t>
      </w:r>
      <w:proofErr w:type="spellEnd"/>
      <w:r w:rsidRPr="003469D7">
        <w:rPr>
          <w:rFonts w:eastAsia="Calibri"/>
          <w:color w:val="000000"/>
          <w:sz w:val="20"/>
          <w:szCs w:val="20"/>
        </w:rPr>
        <w:t xml:space="preserve"> </w:t>
      </w:r>
      <w:proofErr w:type="spellStart"/>
      <w:r w:rsidRPr="003469D7">
        <w:rPr>
          <w:rFonts w:eastAsia="Calibri"/>
          <w:color w:val="000000"/>
          <w:sz w:val="20"/>
          <w:szCs w:val="20"/>
        </w:rPr>
        <w:t>extract</w:t>
      </w:r>
      <w:proofErr w:type="spellEnd"/>
      <w:r w:rsidRPr="003469D7">
        <w:rPr>
          <w:rFonts w:eastAsia="Calibri"/>
          <w:color w:val="000000"/>
          <w:sz w:val="20"/>
          <w:szCs w:val="20"/>
        </w:rPr>
        <w:t xml:space="preserve"> </w:t>
      </w:r>
      <w:proofErr w:type="spellStart"/>
      <w:r w:rsidRPr="003469D7">
        <w:rPr>
          <w:rFonts w:eastAsia="Calibri"/>
          <w:color w:val="000000"/>
          <w:sz w:val="20"/>
          <w:szCs w:val="20"/>
        </w:rPr>
        <w:t>is</w:t>
      </w:r>
      <w:proofErr w:type="spellEnd"/>
      <w:r w:rsidRPr="003469D7">
        <w:rPr>
          <w:rFonts w:eastAsia="Calibri"/>
          <w:color w:val="000000"/>
          <w:sz w:val="20"/>
          <w:szCs w:val="20"/>
        </w:rPr>
        <w:t xml:space="preserve"> </w:t>
      </w:r>
      <w:proofErr w:type="spellStart"/>
      <w:r w:rsidRPr="003469D7">
        <w:rPr>
          <w:rFonts w:eastAsia="Calibri"/>
          <w:color w:val="000000"/>
          <w:sz w:val="20"/>
          <w:szCs w:val="20"/>
        </w:rPr>
        <w:t>added</w:t>
      </w:r>
      <w:proofErr w:type="spellEnd"/>
      <w:r w:rsidRPr="003469D7">
        <w:rPr>
          <w:rFonts w:eastAsia="Calibri"/>
          <w:color w:val="000000"/>
          <w:sz w:val="20"/>
          <w:szCs w:val="20"/>
        </w:rPr>
        <w:t xml:space="preserve"> </w:t>
      </w:r>
      <w:proofErr w:type="spellStart"/>
      <w:r w:rsidRPr="003469D7">
        <w:rPr>
          <w:rFonts w:eastAsia="Calibri"/>
          <w:color w:val="000000"/>
          <w:sz w:val="20"/>
          <w:szCs w:val="20"/>
        </w:rPr>
        <w:t>to</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metallic</w:t>
      </w:r>
      <w:proofErr w:type="spellEnd"/>
      <w:r w:rsidRPr="003469D7">
        <w:rPr>
          <w:rFonts w:eastAsia="Calibri"/>
          <w:color w:val="000000"/>
          <w:sz w:val="20"/>
          <w:szCs w:val="20"/>
        </w:rPr>
        <w:t xml:space="preserve"> </w:t>
      </w:r>
      <w:proofErr w:type="spellStart"/>
      <w:r w:rsidRPr="003469D7">
        <w:rPr>
          <w:rFonts w:eastAsia="Calibri"/>
          <w:color w:val="000000"/>
          <w:sz w:val="20"/>
          <w:szCs w:val="20"/>
        </w:rPr>
        <w:t>salt</w:t>
      </w:r>
      <w:proofErr w:type="spellEnd"/>
      <w:r w:rsidRPr="003469D7">
        <w:rPr>
          <w:rFonts w:eastAsia="Calibri"/>
          <w:color w:val="000000"/>
          <w:sz w:val="20"/>
          <w:szCs w:val="20"/>
        </w:rPr>
        <w:t xml:space="preserve"> </w:t>
      </w:r>
      <w:proofErr w:type="spellStart"/>
      <w:r w:rsidRPr="003469D7">
        <w:rPr>
          <w:rFonts w:eastAsia="Calibri"/>
          <w:color w:val="000000"/>
          <w:sz w:val="20"/>
          <w:szCs w:val="20"/>
        </w:rPr>
        <w:t>under</w:t>
      </w:r>
      <w:proofErr w:type="spellEnd"/>
      <w:r w:rsidRPr="003469D7">
        <w:rPr>
          <w:rFonts w:eastAsia="Calibri"/>
          <w:color w:val="000000"/>
          <w:sz w:val="20"/>
          <w:szCs w:val="20"/>
        </w:rPr>
        <w:t xml:space="preserve"> </w:t>
      </w:r>
      <w:proofErr w:type="spellStart"/>
      <w:r w:rsidRPr="003469D7">
        <w:rPr>
          <w:rFonts w:eastAsia="Calibri"/>
          <w:color w:val="000000"/>
          <w:sz w:val="20"/>
          <w:szCs w:val="20"/>
        </w:rPr>
        <w:t>constant</w:t>
      </w:r>
      <w:proofErr w:type="spellEnd"/>
      <w:r w:rsidRPr="003469D7">
        <w:rPr>
          <w:rFonts w:eastAsia="Calibri"/>
          <w:color w:val="000000"/>
          <w:sz w:val="20"/>
          <w:szCs w:val="20"/>
        </w:rPr>
        <w:t xml:space="preserve"> </w:t>
      </w:r>
      <w:proofErr w:type="spellStart"/>
      <w:r w:rsidRPr="003469D7">
        <w:rPr>
          <w:rFonts w:eastAsia="Calibri"/>
          <w:color w:val="000000"/>
          <w:sz w:val="20"/>
          <w:szCs w:val="20"/>
        </w:rPr>
        <w:t>temperature</w:t>
      </w:r>
      <w:proofErr w:type="spellEnd"/>
      <w:r w:rsidRPr="003469D7">
        <w:rPr>
          <w:rFonts w:eastAsia="Calibri"/>
          <w:color w:val="000000"/>
          <w:sz w:val="20"/>
          <w:szCs w:val="20"/>
        </w:rPr>
        <w:t xml:space="preserve"> </w:t>
      </w:r>
      <w:proofErr w:type="spellStart"/>
      <w:r w:rsidRPr="003469D7">
        <w:rPr>
          <w:rFonts w:eastAsia="Calibri"/>
          <w:color w:val="000000"/>
          <w:sz w:val="20"/>
          <w:szCs w:val="20"/>
        </w:rPr>
        <w:t>and</w:t>
      </w:r>
      <w:proofErr w:type="spellEnd"/>
      <w:r w:rsidRPr="003469D7">
        <w:rPr>
          <w:rFonts w:eastAsia="Calibri"/>
          <w:color w:val="000000"/>
          <w:sz w:val="20"/>
          <w:szCs w:val="20"/>
        </w:rPr>
        <w:t xml:space="preserve"> </w:t>
      </w:r>
      <w:proofErr w:type="spellStart"/>
      <w:r w:rsidRPr="003469D7">
        <w:rPr>
          <w:rFonts w:eastAsia="Calibri"/>
          <w:color w:val="000000"/>
          <w:sz w:val="20"/>
          <w:szCs w:val="20"/>
        </w:rPr>
        <w:t>agitation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After</w:t>
      </w:r>
      <w:proofErr w:type="spellEnd"/>
      <w:r w:rsidRPr="003469D7">
        <w:rPr>
          <w:rFonts w:eastAsia="Calibri"/>
          <w:color w:val="000000"/>
          <w:sz w:val="20"/>
          <w:szCs w:val="20"/>
        </w:rPr>
        <w:t xml:space="preserve"> a </w:t>
      </w:r>
      <w:proofErr w:type="spellStart"/>
      <w:r w:rsidRPr="003469D7">
        <w:rPr>
          <w:rFonts w:eastAsia="Calibri"/>
          <w:color w:val="000000"/>
          <w:sz w:val="20"/>
          <w:szCs w:val="20"/>
        </w:rPr>
        <w:t>change</w:t>
      </w:r>
      <w:proofErr w:type="spellEnd"/>
      <w:r w:rsidRPr="003469D7">
        <w:rPr>
          <w:rFonts w:eastAsia="Calibri"/>
          <w:color w:val="000000"/>
          <w:sz w:val="20"/>
          <w:szCs w:val="20"/>
        </w:rPr>
        <w:t xml:space="preserve"> in </w:t>
      </w:r>
      <w:proofErr w:type="spellStart"/>
      <w:r w:rsidRPr="003469D7">
        <w:rPr>
          <w:rFonts w:eastAsia="Calibri"/>
          <w:color w:val="000000"/>
          <w:sz w:val="20"/>
          <w:szCs w:val="20"/>
        </w:rPr>
        <w:t>solution</w:t>
      </w:r>
      <w:proofErr w:type="spellEnd"/>
      <w:r w:rsidRPr="003469D7">
        <w:rPr>
          <w:rFonts w:eastAsia="Calibri"/>
          <w:color w:val="000000"/>
          <w:sz w:val="20"/>
          <w:szCs w:val="20"/>
        </w:rPr>
        <w:t xml:space="preserve"> color,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steps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w:t>
      </w:r>
      <w:proofErr w:type="spellStart"/>
      <w:r w:rsidRPr="003469D7">
        <w:rPr>
          <w:rFonts w:eastAsia="Calibri"/>
          <w:color w:val="000000"/>
          <w:sz w:val="20"/>
          <w:szCs w:val="20"/>
        </w:rPr>
        <w:t>solid</w:t>
      </w:r>
      <w:proofErr w:type="spellEnd"/>
      <w:r w:rsidRPr="003469D7">
        <w:rPr>
          <w:rFonts w:eastAsia="Calibri"/>
          <w:color w:val="000000"/>
          <w:sz w:val="20"/>
          <w:szCs w:val="20"/>
        </w:rPr>
        <w:t xml:space="preserve"> </w:t>
      </w:r>
      <w:proofErr w:type="spellStart"/>
      <w:r w:rsidRPr="003469D7">
        <w:rPr>
          <w:rFonts w:eastAsia="Calibri"/>
          <w:color w:val="000000"/>
          <w:sz w:val="20"/>
          <w:szCs w:val="20"/>
        </w:rPr>
        <w:t>formation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nucleation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and</w:t>
      </w:r>
      <w:proofErr w:type="spellEnd"/>
      <w:r w:rsidRPr="003469D7">
        <w:rPr>
          <w:rFonts w:eastAsia="Calibri"/>
          <w:color w:val="000000"/>
          <w:sz w:val="20"/>
          <w:szCs w:val="20"/>
        </w:rPr>
        <w:t xml:space="preserve"> </w:t>
      </w:r>
      <w:proofErr w:type="spellStart"/>
      <w:r w:rsidRPr="003469D7">
        <w:rPr>
          <w:rFonts w:eastAsia="Calibri"/>
          <w:color w:val="000000"/>
          <w:sz w:val="20"/>
          <w:szCs w:val="20"/>
        </w:rPr>
        <w:t>particle</w:t>
      </w:r>
      <w:proofErr w:type="spellEnd"/>
      <w:r w:rsidRPr="003469D7">
        <w:rPr>
          <w:rFonts w:eastAsia="Calibri"/>
          <w:color w:val="000000"/>
          <w:sz w:val="20"/>
          <w:szCs w:val="20"/>
        </w:rPr>
        <w:t xml:space="preserve"> </w:t>
      </w:r>
      <w:proofErr w:type="spellStart"/>
      <w:r w:rsidRPr="003469D7">
        <w:rPr>
          <w:rFonts w:eastAsia="Calibri"/>
          <w:color w:val="000000"/>
          <w:sz w:val="20"/>
          <w:szCs w:val="20"/>
        </w:rPr>
        <w:t>growth</w:t>
      </w:r>
      <w:proofErr w:type="spellEnd"/>
      <w:r w:rsidRPr="003469D7">
        <w:rPr>
          <w:rFonts w:eastAsia="Calibri"/>
          <w:color w:val="000000"/>
          <w:sz w:val="20"/>
          <w:szCs w:val="20"/>
        </w:rPr>
        <w:t xml:space="preserve"> </w:t>
      </w:r>
      <w:proofErr w:type="spellStart"/>
      <w:r w:rsidRPr="003469D7">
        <w:rPr>
          <w:rFonts w:eastAsia="Calibri"/>
          <w:color w:val="000000"/>
          <w:sz w:val="20"/>
          <w:szCs w:val="20"/>
        </w:rPr>
        <w:t>occur</w:t>
      </w:r>
      <w:proofErr w:type="spellEnd"/>
      <w:r w:rsidRPr="003469D7">
        <w:rPr>
          <w:rFonts w:eastAsia="Calibri"/>
          <w:color w:val="000000"/>
          <w:sz w:val="20"/>
          <w:szCs w:val="20"/>
        </w:rPr>
        <w:t xml:space="preserve">, </w:t>
      </w:r>
      <w:proofErr w:type="spellStart"/>
      <w:r w:rsidRPr="003469D7">
        <w:rPr>
          <w:rFonts w:eastAsia="Calibri"/>
          <w:color w:val="000000"/>
          <w:sz w:val="20"/>
          <w:szCs w:val="20"/>
        </w:rPr>
        <w:t>ultimately</w:t>
      </w:r>
      <w:proofErr w:type="spellEnd"/>
      <w:r w:rsidRPr="003469D7">
        <w:rPr>
          <w:rFonts w:eastAsia="Calibri"/>
          <w:color w:val="000000"/>
          <w:sz w:val="20"/>
          <w:szCs w:val="20"/>
        </w:rPr>
        <w:t xml:space="preserve"> </w:t>
      </w:r>
      <w:proofErr w:type="spellStart"/>
      <w:r w:rsidRPr="003469D7">
        <w:rPr>
          <w:rFonts w:eastAsia="Calibri"/>
          <w:color w:val="000000"/>
          <w:sz w:val="20"/>
          <w:szCs w:val="20"/>
        </w:rPr>
        <w:t>leading</w:t>
      </w:r>
      <w:proofErr w:type="spellEnd"/>
      <w:r w:rsidRPr="003469D7">
        <w:rPr>
          <w:rFonts w:eastAsia="Calibri"/>
          <w:color w:val="000000"/>
          <w:sz w:val="20"/>
          <w:szCs w:val="20"/>
        </w:rPr>
        <w:t xml:space="preserve"> </w:t>
      </w:r>
      <w:proofErr w:type="spellStart"/>
      <w:r w:rsidRPr="003469D7">
        <w:rPr>
          <w:rFonts w:eastAsia="Calibri"/>
          <w:color w:val="000000"/>
          <w:sz w:val="20"/>
          <w:szCs w:val="20"/>
        </w:rPr>
        <w:t>to</w:t>
      </w:r>
      <w:proofErr w:type="spellEnd"/>
      <w:r w:rsidRPr="003469D7">
        <w:rPr>
          <w:rFonts w:eastAsia="Calibri"/>
          <w:color w:val="000000"/>
          <w:sz w:val="20"/>
          <w:szCs w:val="20"/>
        </w:rPr>
        <w:t xml:space="preserve"> </w:t>
      </w:r>
      <w:proofErr w:type="spellStart"/>
      <w:r w:rsidRPr="003469D7">
        <w:rPr>
          <w:rFonts w:eastAsia="Calibri"/>
          <w:color w:val="000000"/>
          <w:sz w:val="20"/>
          <w:szCs w:val="20"/>
        </w:rPr>
        <w:t>the</w:t>
      </w:r>
      <w:proofErr w:type="spellEnd"/>
      <w:r w:rsidRPr="003469D7">
        <w:rPr>
          <w:rFonts w:eastAsia="Calibri"/>
          <w:color w:val="000000"/>
          <w:sz w:val="20"/>
          <w:szCs w:val="20"/>
        </w:rPr>
        <w:t xml:space="preserve"> </w:t>
      </w:r>
      <w:proofErr w:type="spellStart"/>
      <w:r w:rsidRPr="003469D7">
        <w:rPr>
          <w:rFonts w:eastAsia="Calibri"/>
          <w:color w:val="000000"/>
          <w:sz w:val="20"/>
          <w:szCs w:val="20"/>
        </w:rPr>
        <w:t>formation</w:t>
      </w:r>
      <w:proofErr w:type="spellEnd"/>
      <w:r w:rsidRPr="003469D7">
        <w:rPr>
          <w:rFonts w:eastAsia="Calibri"/>
          <w:color w:val="000000"/>
          <w:sz w:val="20"/>
          <w:szCs w:val="20"/>
        </w:rPr>
        <w:t xml:space="preserve"> </w:t>
      </w:r>
      <w:proofErr w:type="spellStart"/>
      <w:r w:rsidRPr="003469D7">
        <w:rPr>
          <w:rFonts w:eastAsia="Calibri"/>
          <w:color w:val="000000"/>
          <w:sz w:val="20"/>
          <w:szCs w:val="20"/>
        </w:rPr>
        <w:t>of</w:t>
      </w:r>
      <w:proofErr w:type="spellEnd"/>
      <w:r w:rsidRPr="003469D7">
        <w:rPr>
          <w:rFonts w:eastAsia="Calibri"/>
          <w:color w:val="000000"/>
          <w:sz w:val="20"/>
          <w:szCs w:val="20"/>
        </w:rPr>
        <w:t xml:space="preserve"> </w:t>
      </w:r>
      <w:proofErr w:type="spellStart"/>
      <w:r w:rsidRPr="003469D7">
        <w:rPr>
          <w:rFonts w:eastAsia="Calibri"/>
          <w:color w:val="000000"/>
          <w:sz w:val="20"/>
          <w:szCs w:val="20"/>
        </w:rPr>
        <w:t>NPMs</w:t>
      </w:r>
      <w:proofErr w:type="spellEnd"/>
      <w:r w:rsidRPr="003469D7">
        <w:rPr>
          <w:rFonts w:eastAsia="Calibri"/>
          <w:color w:val="000000"/>
          <w:sz w:val="20"/>
          <w:szCs w:val="20"/>
        </w:rPr>
        <w:t xml:space="preserve"> in </w:t>
      </w:r>
      <w:proofErr w:type="spellStart"/>
      <w:r w:rsidRPr="003469D7">
        <w:rPr>
          <w:rFonts w:eastAsia="Calibri"/>
          <w:color w:val="000000"/>
          <w:sz w:val="20"/>
          <w:szCs w:val="20"/>
        </w:rPr>
        <w:lastRenderedPageBreak/>
        <w:t>different</w:t>
      </w:r>
      <w:proofErr w:type="spellEnd"/>
      <w:r w:rsidRPr="003469D7">
        <w:rPr>
          <w:rFonts w:eastAsia="Calibri"/>
          <w:color w:val="000000"/>
          <w:sz w:val="20"/>
          <w:szCs w:val="20"/>
        </w:rPr>
        <w:t xml:space="preserve"> shapes.</w:t>
      </w:r>
      <w:r w:rsidR="008A4894">
        <w:rPr>
          <w:rFonts w:ascii="Calibri" w:eastAsia="Calibri" w:hAnsi="Calibri" w:cs="Calibri"/>
          <w:noProof/>
          <w:color w:val="000000"/>
          <w:sz w:val="20"/>
          <w:szCs w:val="20"/>
        </w:rPr>
        <w:drawing>
          <wp:inline distT="0" distB="0" distL="0" distR="0" wp14:anchorId="0DB70106" wp14:editId="40AF0651">
            <wp:extent cx="5760085" cy="4032250"/>
            <wp:effectExtent l="0" t="0" r="0" b="635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ntitled (3).png"/>
                    <pic:cNvPicPr/>
                  </pic:nvPicPr>
                  <pic:blipFill>
                    <a:blip r:embed="rId16">
                      <a:extLst>
                        <a:ext uri="{28A0092B-C50C-407E-A947-70E740481C1C}">
                          <a14:useLocalDpi xmlns:a14="http://schemas.microsoft.com/office/drawing/2010/main" val="0"/>
                        </a:ext>
                      </a:extLst>
                    </a:blip>
                    <a:stretch>
                      <a:fillRect/>
                    </a:stretch>
                  </pic:blipFill>
                  <pic:spPr>
                    <a:xfrm>
                      <a:off x="0" y="0"/>
                      <a:ext cx="5760085" cy="4032250"/>
                    </a:xfrm>
                    <a:prstGeom prst="rect">
                      <a:avLst/>
                    </a:prstGeom>
                  </pic:spPr>
                </pic:pic>
              </a:graphicData>
            </a:graphic>
          </wp:inline>
        </w:drawing>
      </w:r>
    </w:p>
    <w:p w14:paraId="665ACC3B" w14:textId="77777777" w:rsidR="00AC1FA0" w:rsidRDefault="00AC1FA0" w:rsidP="00AC1FA0">
      <w:pPr>
        <w:pBdr>
          <w:top w:val="nil"/>
          <w:left w:val="nil"/>
          <w:bottom w:val="nil"/>
          <w:right w:val="nil"/>
          <w:between w:val="nil"/>
        </w:pBdr>
        <w:ind w:firstLine="708"/>
        <w:jc w:val="both"/>
        <w:rPr>
          <w:rFonts w:ascii="Calibri" w:eastAsia="Calibri" w:hAnsi="Calibri" w:cs="Calibri"/>
          <w:color w:val="000000"/>
          <w:sz w:val="20"/>
          <w:szCs w:val="20"/>
        </w:rPr>
      </w:pPr>
    </w:p>
    <w:p w14:paraId="4459E0AE" w14:textId="42DAF628" w:rsidR="00EA03D5" w:rsidRDefault="008A4894" w:rsidP="00EF6811">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lang w:val="en-US"/>
        </w:rPr>
        <w:t xml:space="preserve">Figure 2. Green synthesis procedure for the formation of metallic nanoparticles. </w:t>
      </w:r>
      <w:r w:rsidRPr="009664EE">
        <w:rPr>
          <w:rFonts w:eastAsia="Calibri"/>
          <w:color w:val="000000"/>
          <w:sz w:val="20"/>
          <w:szCs w:val="20"/>
        </w:rPr>
        <w:t>Source: Authors, 2023.</w:t>
      </w:r>
      <w:r w:rsidR="00DF6C49" w:rsidRPr="009664EE">
        <w:rPr>
          <w:rFonts w:eastAsia="Calibri"/>
          <w:color w:val="000000"/>
          <w:sz w:val="20"/>
          <w:szCs w:val="20"/>
        </w:rPr>
        <w:t xml:space="preserve"> (</w:t>
      </w:r>
      <w:hyperlink r:id="rId17" w:history="1">
        <w:r w:rsidR="009664EE" w:rsidRPr="00E06DB3">
          <w:rPr>
            <w:rStyle w:val="Hyperlink"/>
            <w:rFonts w:eastAsia="Calibri"/>
            <w:sz w:val="20"/>
            <w:szCs w:val="20"/>
          </w:rPr>
          <w:t>https://Biorender.com</w:t>
        </w:r>
      </w:hyperlink>
      <w:r w:rsidR="00DF6C49" w:rsidRPr="009664EE">
        <w:rPr>
          <w:rFonts w:eastAsia="Calibri"/>
          <w:color w:val="000000"/>
          <w:sz w:val="20"/>
          <w:szCs w:val="20"/>
        </w:rPr>
        <w:t>)</w:t>
      </w:r>
    </w:p>
    <w:p w14:paraId="56D4ECC9" w14:textId="77777777" w:rsidR="009664EE" w:rsidRPr="009664EE" w:rsidRDefault="009664EE" w:rsidP="00EF6811">
      <w:pPr>
        <w:pBdr>
          <w:top w:val="nil"/>
          <w:left w:val="nil"/>
          <w:bottom w:val="nil"/>
          <w:right w:val="nil"/>
          <w:between w:val="nil"/>
        </w:pBdr>
        <w:spacing w:line="276" w:lineRule="auto"/>
        <w:ind w:firstLine="708"/>
        <w:jc w:val="both"/>
        <w:rPr>
          <w:rFonts w:eastAsia="Calibri"/>
          <w:color w:val="000000"/>
          <w:sz w:val="20"/>
          <w:szCs w:val="20"/>
        </w:rPr>
      </w:pPr>
    </w:p>
    <w:p w14:paraId="7C3AE961" w14:textId="1A4DF525" w:rsidR="00A905EA" w:rsidRPr="00A905EA" w:rsidRDefault="00A905EA" w:rsidP="00A905EA">
      <w:pPr>
        <w:pBdr>
          <w:top w:val="nil"/>
          <w:left w:val="nil"/>
          <w:bottom w:val="nil"/>
          <w:right w:val="nil"/>
          <w:between w:val="nil"/>
        </w:pBdr>
        <w:spacing w:line="276" w:lineRule="auto"/>
        <w:ind w:firstLine="708"/>
        <w:jc w:val="both"/>
        <w:rPr>
          <w:rFonts w:eastAsia="Calibri"/>
          <w:color w:val="000000"/>
          <w:sz w:val="20"/>
          <w:szCs w:val="20"/>
        </w:rPr>
      </w:pPr>
      <w:proofErr w:type="spellStart"/>
      <w:r w:rsidRPr="00A905EA">
        <w:rPr>
          <w:rFonts w:eastAsia="Calibri"/>
          <w:color w:val="000000"/>
          <w:sz w:val="20"/>
          <w:szCs w:val="20"/>
        </w:rPr>
        <w:t>Several</w:t>
      </w:r>
      <w:proofErr w:type="spellEnd"/>
      <w:r w:rsidRPr="00A905EA">
        <w:rPr>
          <w:rFonts w:eastAsia="Calibri"/>
          <w:color w:val="000000"/>
          <w:sz w:val="20"/>
          <w:szCs w:val="20"/>
        </w:rPr>
        <w:t xml:space="preserve"> </w:t>
      </w:r>
      <w:proofErr w:type="spellStart"/>
      <w:r w:rsidRPr="00A905EA">
        <w:rPr>
          <w:rFonts w:eastAsia="Calibri"/>
          <w:color w:val="000000"/>
          <w:sz w:val="20"/>
          <w:szCs w:val="20"/>
        </w:rPr>
        <w:t>factors</w:t>
      </w:r>
      <w:proofErr w:type="spellEnd"/>
      <w:r w:rsidRPr="00A905EA">
        <w:rPr>
          <w:rFonts w:eastAsia="Calibri"/>
          <w:color w:val="000000"/>
          <w:sz w:val="20"/>
          <w:szCs w:val="20"/>
        </w:rPr>
        <w:t xml:space="preserve">, </w:t>
      </w:r>
      <w:proofErr w:type="spellStart"/>
      <w:r w:rsidRPr="00A905EA">
        <w:rPr>
          <w:rFonts w:eastAsia="Calibri"/>
          <w:color w:val="000000"/>
          <w:sz w:val="20"/>
          <w:szCs w:val="20"/>
        </w:rPr>
        <w:t>such</w:t>
      </w:r>
      <w:proofErr w:type="spellEnd"/>
      <w:r w:rsidRPr="00A905EA">
        <w:rPr>
          <w:rFonts w:eastAsia="Calibri"/>
          <w:color w:val="000000"/>
          <w:sz w:val="20"/>
          <w:szCs w:val="20"/>
        </w:rPr>
        <w:t xml:space="preserve"> as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type</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concentration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metallic</w:t>
      </w:r>
      <w:proofErr w:type="spellEnd"/>
      <w:r w:rsidRPr="00A905EA">
        <w:rPr>
          <w:rFonts w:eastAsia="Calibri"/>
          <w:color w:val="000000"/>
          <w:sz w:val="20"/>
          <w:szCs w:val="20"/>
        </w:rPr>
        <w:t xml:space="preserve"> </w:t>
      </w:r>
      <w:proofErr w:type="spellStart"/>
      <w:r w:rsidRPr="00A905EA">
        <w:rPr>
          <w:rFonts w:eastAsia="Calibri"/>
          <w:color w:val="000000"/>
          <w:sz w:val="20"/>
          <w:szCs w:val="20"/>
        </w:rPr>
        <w:t>salt</w:t>
      </w:r>
      <w:proofErr w:type="spellEnd"/>
      <w:r w:rsidRPr="00A905EA">
        <w:rPr>
          <w:rFonts w:eastAsia="Calibri"/>
          <w:color w:val="000000"/>
          <w:sz w:val="20"/>
          <w:szCs w:val="20"/>
        </w:rPr>
        <w:t xml:space="preserve">, pH,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temperature</w:t>
      </w:r>
      <w:proofErr w:type="spellEnd"/>
      <w:r w:rsidRPr="00A905EA">
        <w:rPr>
          <w:rFonts w:eastAsia="Calibri"/>
          <w:color w:val="000000"/>
          <w:sz w:val="20"/>
          <w:szCs w:val="20"/>
        </w:rPr>
        <w:t xml:space="preserve">, </w:t>
      </w:r>
      <w:proofErr w:type="spellStart"/>
      <w:r w:rsidRPr="00A905EA">
        <w:rPr>
          <w:rFonts w:eastAsia="Calibri"/>
          <w:color w:val="000000"/>
          <w:sz w:val="20"/>
          <w:szCs w:val="20"/>
        </w:rPr>
        <w:t>can</w:t>
      </w:r>
      <w:proofErr w:type="spellEnd"/>
      <w:r w:rsidRPr="00A905EA">
        <w:rPr>
          <w:rFonts w:eastAsia="Calibri"/>
          <w:color w:val="000000"/>
          <w:sz w:val="20"/>
          <w:szCs w:val="20"/>
        </w:rPr>
        <w:t xml:space="preserve"> </w:t>
      </w:r>
      <w:proofErr w:type="spellStart"/>
      <w:r w:rsidRPr="00A905EA">
        <w:rPr>
          <w:rFonts w:eastAsia="Calibri"/>
          <w:color w:val="000000"/>
          <w:sz w:val="20"/>
          <w:szCs w:val="20"/>
        </w:rPr>
        <w:t>influence</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time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morphology</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NPMs</w:t>
      </w:r>
      <w:proofErr w:type="spellEnd"/>
      <w:r w:rsidRPr="00A905EA">
        <w:rPr>
          <w:rFonts w:eastAsia="Calibri"/>
          <w:color w:val="000000"/>
          <w:sz w:val="20"/>
          <w:szCs w:val="20"/>
        </w:rPr>
        <w:t xml:space="preserve">. As a </w:t>
      </w:r>
      <w:proofErr w:type="spellStart"/>
      <w:r w:rsidRPr="00A905EA">
        <w:rPr>
          <w:rFonts w:eastAsia="Calibri"/>
          <w:color w:val="000000"/>
          <w:sz w:val="20"/>
          <w:szCs w:val="20"/>
        </w:rPr>
        <w:t>consequence</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there</w:t>
      </w:r>
      <w:proofErr w:type="spellEnd"/>
      <w:r w:rsidRPr="00A905EA">
        <w:rPr>
          <w:rFonts w:eastAsia="Calibri"/>
          <w:color w:val="000000"/>
          <w:sz w:val="20"/>
          <w:szCs w:val="20"/>
        </w:rPr>
        <w:t xml:space="preserve"> </w:t>
      </w:r>
      <w:proofErr w:type="spellStart"/>
      <w:r w:rsidRPr="00A905EA">
        <w:rPr>
          <w:rFonts w:eastAsia="Calibri"/>
          <w:color w:val="000000"/>
          <w:sz w:val="20"/>
          <w:szCs w:val="20"/>
        </w:rPr>
        <w:t>is</w:t>
      </w:r>
      <w:proofErr w:type="spellEnd"/>
      <w:r w:rsidRPr="00A905EA">
        <w:rPr>
          <w:rFonts w:eastAsia="Calibri"/>
          <w:color w:val="000000"/>
          <w:sz w:val="20"/>
          <w:szCs w:val="20"/>
        </w:rPr>
        <w:t xml:space="preserve"> a </w:t>
      </w:r>
      <w:proofErr w:type="spellStart"/>
      <w:r w:rsidRPr="00A905EA">
        <w:rPr>
          <w:rFonts w:eastAsia="Calibri"/>
          <w:color w:val="000000"/>
          <w:sz w:val="20"/>
          <w:szCs w:val="20"/>
        </w:rPr>
        <w:t>greater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consumption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reagents</w:t>
      </w:r>
      <w:proofErr w:type="spellEnd"/>
      <w:r w:rsidRPr="00A905EA">
        <w:rPr>
          <w:rFonts w:eastAsia="Calibri"/>
          <w:color w:val="000000"/>
          <w:sz w:val="20"/>
          <w:szCs w:val="20"/>
        </w:rPr>
        <w:t xml:space="preserve">, </w:t>
      </w:r>
      <w:proofErr w:type="spellStart"/>
      <w:r w:rsidRPr="00A905EA">
        <w:rPr>
          <w:rFonts w:eastAsia="Calibri"/>
          <w:color w:val="000000"/>
          <w:sz w:val="20"/>
          <w:szCs w:val="20"/>
        </w:rPr>
        <w:t>energy</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working</w:t>
      </w:r>
      <w:proofErr w:type="spellEnd"/>
      <w:r w:rsidRPr="00A905EA">
        <w:rPr>
          <w:rFonts w:eastAsia="Calibri"/>
          <w:color w:val="000000"/>
          <w:sz w:val="20"/>
          <w:szCs w:val="20"/>
        </w:rPr>
        <w:t xml:space="preserve"> time. </w:t>
      </w:r>
      <w:proofErr w:type="spellStart"/>
      <w:r w:rsidRPr="00A905EA">
        <w:rPr>
          <w:rFonts w:eastAsia="Calibri"/>
          <w:color w:val="000000"/>
          <w:sz w:val="20"/>
          <w:szCs w:val="20"/>
        </w:rPr>
        <w:t>However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w:t>
      </w:r>
      <w:proofErr w:type="spellEnd"/>
      <w:r w:rsidRPr="00A905EA">
        <w:rPr>
          <w:rFonts w:eastAsia="Calibri"/>
          <w:color w:val="000000"/>
          <w:sz w:val="20"/>
          <w:szCs w:val="20"/>
        </w:rPr>
        <w:t xml:space="preserve"> </w:t>
      </w:r>
      <w:proofErr w:type="spellStart"/>
      <w:r w:rsidRPr="00A905EA">
        <w:rPr>
          <w:rFonts w:eastAsia="Calibri"/>
          <w:color w:val="000000"/>
          <w:sz w:val="20"/>
          <w:szCs w:val="20"/>
        </w:rPr>
        <w:t>advantage</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green</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that</w:t>
      </w:r>
      <w:proofErr w:type="spellEnd"/>
      <w:r w:rsidRPr="00A905EA">
        <w:rPr>
          <w:rFonts w:eastAsia="Calibri"/>
          <w:color w:val="000000"/>
          <w:sz w:val="20"/>
          <w:szCs w:val="20"/>
        </w:rPr>
        <w:t xml:space="preserve"> it </w:t>
      </w:r>
      <w:proofErr w:type="spellStart"/>
      <w:r w:rsidRPr="00A905EA">
        <w:rPr>
          <w:rFonts w:eastAsia="Calibri"/>
          <w:color w:val="000000"/>
          <w:sz w:val="20"/>
          <w:szCs w:val="20"/>
        </w:rPr>
        <w:t>usually</w:t>
      </w:r>
      <w:proofErr w:type="spellEnd"/>
      <w:r w:rsidRPr="00A905EA">
        <w:rPr>
          <w:rFonts w:eastAsia="Calibri"/>
          <w:color w:val="000000"/>
          <w:sz w:val="20"/>
          <w:szCs w:val="20"/>
        </w:rPr>
        <w:t xml:space="preserve"> does </w:t>
      </w:r>
      <w:proofErr w:type="spellStart"/>
      <w:r w:rsidRPr="00A905EA">
        <w:rPr>
          <w:rFonts w:eastAsia="Calibri"/>
          <w:color w:val="000000"/>
          <w:sz w:val="20"/>
          <w:szCs w:val="20"/>
        </w:rPr>
        <w:t>not</w:t>
      </w:r>
      <w:proofErr w:type="spellEnd"/>
      <w:r w:rsidRPr="00A905EA">
        <w:rPr>
          <w:rFonts w:eastAsia="Calibri"/>
          <w:color w:val="000000"/>
          <w:sz w:val="20"/>
          <w:szCs w:val="20"/>
        </w:rPr>
        <w:t xml:space="preserve"> require </w:t>
      </w:r>
      <w:proofErr w:type="spellStart"/>
      <w:r w:rsidRPr="00A905EA">
        <w:rPr>
          <w:rFonts w:eastAsia="Calibri"/>
          <w:color w:val="000000"/>
          <w:sz w:val="20"/>
          <w:szCs w:val="20"/>
        </w:rPr>
        <w:t>additional</w:t>
      </w:r>
      <w:proofErr w:type="spellEnd"/>
      <w:r w:rsidRPr="00A905EA">
        <w:rPr>
          <w:rFonts w:eastAsia="Calibri"/>
          <w:color w:val="000000"/>
          <w:sz w:val="20"/>
          <w:szCs w:val="20"/>
        </w:rPr>
        <w:t xml:space="preserve"> </w:t>
      </w:r>
      <w:proofErr w:type="spellStart"/>
      <w:r w:rsidRPr="00A905EA">
        <w:rPr>
          <w:rFonts w:eastAsia="Calibri"/>
          <w:color w:val="000000"/>
          <w:sz w:val="20"/>
          <w:szCs w:val="20"/>
        </w:rPr>
        <w:t>stabilizing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additives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which</w:t>
      </w:r>
      <w:proofErr w:type="spellEnd"/>
      <w:r w:rsidRPr="00A905EA">
        <w:rPr>
          <w:rFonts w:eastAsia="Calibri"/>
          <w:color w:val="000000"/>
          <w:sz w:val="20"/>
          <w:szCs w:val="20"/>
        </w:rPr>
        <w:t xml:space="preserve"> </w:t>
      </w:r>
      <w:proofErr w:type="spellStart"/>
      <w:r w:rsidRPr="00A905EA">
        <w:rPr>
          <w:rFonts w:eastAsia="Calibri"/>
          <w:color w:val="000000"/>
          <w:sz w:val="20"/>
          <w:szCs w:val="20"/>
        </w:rPr>
        <w:t>is</w:t>
      </w:r>
      <w:proofErr w:type="spellEnd"/>
      <w:r w:rsidRPr="00A905EA">
        <w:rPr>
          <w:rFonts w:eastAsia="Calibri"/>
          <w:color w:val="000000"/>
          <w:sz w:val="20"/>
          <w:szCs w:val="20"/>
        </w:rPr>
        <w:t xml:space="preserve"> a positive </w:t>
      </w:r>
      <w:proofErr w:type="spellStart"/>
      <w:r w:rsidRPr="00A905EA">
        <w:rPr>
          <w:rFonts w:eastAsia="Calibri"/>
          <w:color w:val="000000"/>
          <w:sz w:val="20"/>
          <w:szCs w:val="20"/>
        </w:rPr>
        <w:t>aspect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compared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chemical</w:t>
      </w:r>
      <w:proofErr w:type="spellEnd"/>
      <w:r w:rsidRPr="00A905EA">
        <w:rPr>
          <w:rFonts w:eastAsia="Calibri"/>
          <w:color w:val="000000"/>
          <w:sz w:val="20"/>
          <w:szCs w:val="20"/>
        </w:rPr>
        <w:t xml:space="preserve"> </w:t>
      </w:r>
      <w:proofErr w:type="spellStart"/>
      <w:r w:rsidRPr="00A905EA">
        <w:rPr>
          <w:rFonts w:eastAsia="Calibri"/>
          <w:color w:val="000000"/>
          <w:sz w:val="20"/>
          <w:szCs w:val="20"/>
        </w:rPr>
        <w:t>methods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Barabadi</w:t>
      </w:r>
      <w:proofErr w:type="spellEnd"/>
      <w:r w:rsidRPr="00A905EA">
        <w:rPr>
          <w:rFonts w:eastAsia="Calibri"/>
          <w:color w:val="000000"/>
          <w:sz w:val="20"/>
          <w:szCs w:val="20"/>
        </w:rPr>
        <w:t xml:space="preserve"> et al., 2014).</w:t>
      </w:r>
    </w:p>
    <w:p w14:paraId="78B386F9" w14:textId="77777777" w:rsidR="00A905EA" w:rsidRDefault="00A905EA" w:rsidP="00A905EA">
      <w:pPr>
        <w:pBdr>
          <w:top w:val="nil"/>
          <w:left w:val="nil"/>
          <w:bottom w:val="nil"/>
          <w:right w:val="nil"/>
          <w:between w:val="nil"/>
        </w:pBdr>
        <w:spacing w:line="276" w:lineRule="auto"/>
        <w:ind w:firstLine="708"/>
        <w:jc w:val="both"/>
        <w:rPr>
          <w:rFonts w:eastAsia="Calibri"/>
          <w:color w:val="000000"/>
          <w:sz w:val="20"/>
          <w:szCs w:val="20"/>
        </w:rPr>
      </w:pPr>
      <w:r w:rsidRPr="00A905EA">
        <w:rPr>
          <w:rFonts w:eastAsia="Calibri"/>
          <w:color w:val="000000"/>
          <w:sz w:val="20"/>
          <w:szCs w:val="20"/>
        </w:rPr>
        <w:t xml:space="preserve">Carmona et al. (2017) </w:t>
      </w:r>
      <w:proofErr w:type="spellStart"/>
      <w:r w:rsidRPr="00A905EA">
        <w:rPr>
          <w:rFonts w:eastAsia="Calibri"/>
          <w:color w:val="000000"/>
          <w:sz w:val="20"/>
          <w:szCs w:val="20"/>
        </w:rPr>
        <w:t>reported</w:t>
      </w:r>
      <w:proofErr w:type="spellEnd"/>
      <w:r w:rsidRPr="00A905EA">
        <w:rPr>
          <w:rFonts w:eastAsia="Calibri"/>
          <w:color w:val="000000"/>
          <w:sz w:val="20"/>
          <w:szCs w:val="20"/>
        </w:rPr>
        <w:t xml:space="preserve"> in </w:t>
      </w:r>
      <w:proofErr w:type="spellStart"/>
      <w:r w:rsidRPr="00A905EA">
        <w:rPr>
          <w:rFonts w:eastAsia="Calibri"/>
          <w:color w:val="000000"/>
          <w:sz w:val="20"/>
          <w:szCs w:val="20"/>
        </w:rPr>
        <w:t>their</w:t>
      </w:r>
      <w:proofErr w:type="spellEnd"/>
      <w:r w:rsidRPr="00A905EA">
        <w:rPr>
          <w:rFonts w:eastAsia="Calibri"/>
          <w:color w:val="000000"/>
          <w:sz w:val="20"/>
          <w:szCs w:val="20"/>
        </w:rPr>
        <w:t xml:space="preserve"> </w:t>
      </w:r>
      <w:proofErr w:type="spellStart"/>
      <w:r w:rsidRPr="00A905EA">
        <w:rPr>
          <w:rFonts w:eastAsia="Calibri"/>
          <w:color w:val="000000"/>
          <w:sz w:val="20"/>
          <w:szCs w:val="20"/>
        </w:rPr>
        <w:t>study</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use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Buddleja</w:t>
      </w:r>
      <w:proofErr w:type="spellEnd"/>
      <w:r w:rsidRPr="00A905EA">
        <w:rPr>
          <w:rFonts w:eastAsia="Calibri"/>
          <w:color w:val="000000"/>
          <w:sz w:val="20"/>
          <w:szCs w:val="20"/>
        </w:rPr>
        <w:t xml:space="preserve"> globosa Hope, </w:t>
      </w:r>
      <w:proofErr w:type="spellStart"/>
      <w:r w:rsidRPr="00A905EA">
        <w:rPr>
          <w:rFonts w:eastAsia="Calibri"/>
          <w:color w:val="000000"/>
          <w:sz w:val="20"/>
          <w:szCs w:val="20"/>
        </w:rPr>
        <w:t>adding</w:t>
      </w:r>
      <w:proofErr w:type="spellEnd"/>
      <w:r w:rsidRPr="00A905EA">
        <w:rPr>
          <w:rFonts w:eastAsia="Calibri"/>
          <w:color w:val="000000"/>
          <w:sz w:val="20"/>
          <w:szCs w:val="20"/>
        </w:rPr>
        <w:t xml:space="preserve"> 5%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plant</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AgNO</w:t>
      </w:r>
      <w:r w:rsidRPr="00E56656">
        <w:rPr>
          <w:rFonts w:eastAsia="Calibri"/>
          <w:color w:val="000000"/>
          <w:sz w:val="20"/>
          <w:szCs w:val="20"/>
          <w:vertAlign w:val="subscript"/>
        </w:rPr>
        <w:t xml:space="preserve">3 </w:t>
      </w:r>
      <w:proofErr w:type="spellStart"/>
      <w:r w:rsidRPr="00A905EA">
        <w:rPr>
          <w:rFonts w:eastAsia="Calibri"/>
          <w:color w:val="000000"/>
          <w:sz w:val="20"/>
          <w:szCs w:val="20"/>
        </w:rPr>
        <w:t>at</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concentrations</w:t>
      </w:r>
      <w:proofErr w:type="spellEnd"/>
      <w:r w:rsidRPr="00A905EA">
        <w:rPr>
          <w:rFonts w:eastAsia="Calibri"/>
          <w:color w:val="000000"/>
          <w:sz w:val="20"/>
          <w:szCs w:val="20"/>
        </w:rPr>
        <w:t xml:space="preserve"> </w:t>
      </w:r>
      <w:proofErr w:type="spellStart"/>
      <w:r w:rsidRPr="00A905EA">
        <w:rPr>
          <w:rFonts w:eastAsia="Calibri"/>
          <w:color w:val="000000"/>
          <w:sz w:val="20"/>
          <w:szCs w:val="20"/>
        </w:rPr>
        <w:t>ranging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from</w:t>
      </w:r>
      <w:proofErr w:type="spellEnd"/>
      <w:r w:rsidRPr="00A905EA">
        <w:rPr>
          <w:rFonts w:eastAsia="Calibri"/>
          <w:color w:val="000000"/>
          <w:sz w:val="20"/>
          <w:szCs w:val="20"/>
        </w:rPr>
        <w:t xml:space="preserve"> 0.1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10 mmol/L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synthesize</w:t>
      </w:r>
      <w:proofErr w:type="spellEnd"/>
      <w:r w:rsidRPr="00A905EA">
        <w:rPr>
          <w:rFonts w:eastAsia="Calibri"/>
          <w:color w:val="000000"/>
          <w:sz w:val="20"/>
          <w:szCs w:val="20"/>
        </w:rPr>
        <w:t xml:space="preserve"> </w:t>
      </w:r>
      <w:proofErr w:type="spellStart"/>
      <w:r w:rsidRPr="00A905EA">
        <w:rPr>
          <w:rFonts w:eastAsia="Calibri"/>
          <w:color w:val="000000"/>
          <w:sz w:val="20"/>
          <w:szCs w:val="20"/>
        </w:rPr>
        <w:t>AgNPs</w:t>
      </w:r>
      <w:proofErr w:type="spellEnd"/>
      <w:r w:rsidRPr="00A905EA">
        <w:rPr>
          <w:rFonts w:eastAsia="Calibri"/>
          <w:color w:val="000000"/>
          <w:sz w:val="20"/>
          <w:szCs w:val="20"/>
        </w:rPr>
        <w:t xml:space="preserve">. They </w:t>
      </w:r>
      <w:proofErr w:type="spellStart"/>
      <w:r w:rsidRPr="00A905EA">
        <w:rPr>
          <w:rFonts w:eastAsia="Calibri"/>
          <w:color w:val="000000"/>
          <w:sz w:val="20"/>
          <w:szCs w:val="20"/>
        </w:rPr>
        <w:t>mentioned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that</w:t>
      </w:r>
      <w:proofErr w:type="spellEnd"/>
      <w:r w:rsidRPr="00A905EA">
        <w:rPr>
          <w:rFonts w:eastAsia="Calibri"/>
          <w:color w:val="000000"/>
          <w:sz w:val="20"/>
          <w:szCs w:val="20"/>
        </w:rPr>
        <w:t xml:space="preserve"> </w:t>
      </w:r>
      <w:proofErr w:type="spellStart"/>
      <w:r w:rsidRPr="00A905EA">
        <w:rPr>
          <w:rFonts w:eastAsia="Calibri"/>
          <w:color w:val="000000"/>
          <w:sz w:val="20"/>
          <w:szCs w:val="20"/>
        </w:rPr>
        <w:t>phenolic</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compounds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terpenoids</w:t>
      </w:r>
      <w:proofErr w:type="spellEnd"/>
      <w:r w:rsidRPr="00A905EA">
        <w:rPr>
          <w:rFonts w:eastAsia="Calibri"/>
          <w:color w:val="000000"/>
          <w:sz w:val="20"/>
          <w:szCs w:val="20"/>
        </w:rPr>
        <w:t xml:space="preserve">, proteins, amino </w:t>
      </w:r>
      <w:proofErr w:type="spellStart"/>
      <w:r w:rsidRPr="00A905EA">
        <w:rPr>
          <w:rFonts w:eastAsia="Calibri"/>
          <w:color w:val="000000"/>
          <w:sz w:val="20"/>
          <w:szCs w:val="20"/>
        </w:rPr>
        <w:t>acids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enzymes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flavonoids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polysaccharides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alkaloids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can</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contribute</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green</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w:t>
      </w:r>
    </w:p>
    <w:p w14:paraId="31444D48" w14:textId="77777777" w:rsidR="00A905EA" w:rsidRPr="00A905EA" w:rsidRDefault="00A905EA" w:rsidP="00A905EA">
      <w:pPr>
        <w:pBdr>
          <w:top w:val="nil"/>
          <w:left w:val="nil"/>
          <w:bottom w:val="nil"/>
          <w:right w:val="nil"/>
          <w:between w:val="nil"/>
        </w:pBdr>
        <w:spacing w:line="276" w:lineRule="auto"/>
        <w:ind w:firstLine="708"/>
        <w:jc w:val="both"/>
        <w:rPr>
          <w:rFonts w:eastAsia="Calibri"/>
          <w:color w:val="000000"/>
          <w:sz w:val="20"/>
          <w:szCs w:val="20"/>
        </w:rPr>
      </w:pPr>
      <w:r w:rsidRPr="00A905EA">
        <w:rPr>
          <w:rFonts w:eastAsia="Calibri"/>
          <w:color w:val="000000"/>
          <w:sz w:val="20"/>
          <w:szCs w:val="20"/>
        </w:rPr>
        <w:t xml:space="preserve">The </w:t>
      </w:r>
      <w:proofErr w:type="spellStart"/>
      <w:r w:rsidRPr="00A905EA">
        <w:rPr>
          <w:rFonts w:eastAsia="Calibri"/>
          <w:color w:val="000000"/>
          <w:sz w:val="20"/>
          <w:szCs w:val="20"/>
        </w:rPr>
        <w:t>study</w:t>
      </w:r>
      <w:proofErr w:type="spellEnd"/>
      <w:r w:rsidRPr="00A905EA">
        <w:rPr>
          <w:rFonts w:eastAsia="Calibri"/>
          <w:color w:val="000000"/>
          <w:sz w:val="20"/>
          <w:szCs w:val="20"/>
        </w:rPr>
        <w:t xml:space="preserve"> </w:t>
      </w:r>
      <w:proofErr w:type="spellStart"/>
      <w:r w:rsidRPr="00A905EA">
        <w:rPr>
          <w:rFonts w:eastAsia="Calibri"/>
          <w:color w:val="000000"/>
          <w:sz w:val="20"/>
          <w:szCs w:val="20"/>
        </w:rPr>
        <w:t>by</w:t>
      </w:r>
      <w:proofErr w:type="spellEnd"/>
      <w:r w:rsidRPr="00A905EA">
        <w:rPr>
          <w:rFonts w:eastAsia="Calibri"/>
          <w:color w:val="000000"/>
          <w:sz w:val="20"/>
          <w:szCs w:val="20"/>
        </w:rPr>
        <w:t xml:space="preserve"> </w:t>
      </w:r>
      <w:proofErr w:type="spellStart"/>
      <w:r w:rsidRPr="00A905EA">
        <w:rPr>
          <w:rFonts w:eastAsia="Calibri"/>
          <w:color w:val="000000"/>
          <w:sz w:val="20"/>
          <w:szCs w:val="20"/>
        </w:rPr>
        <w:t>Sathishkumar</w:t>
      </w:r>
      <w:proofErr w:type="spellEnd"/>
      <w:r w:rsidRPr="00A905EA">
        <w:rPr>
          <w:rFonts w:eastAsia="Calibri"/>
          <w:color w:val="000000"/>
          <w:sz w:val="20"/>
          <w:szCs w:val="20"/>
        </w:rPr>
        <w:t xml:space="preserve"> et al. (2016) </w:t>
      </w:r>
      <w:proofErr w:type="spellStart"/>
      <w:r w:rsidRPr="00A905EA">
        <w:rPr>
          <w:rFonts w:eastAsia="Calibri"/>
          <w:color w:val="000000"/>
          <w:sz w:val="20"/>
          <w:szCs w:val="20"/>
        </w:rPr>
        <w:t>demonstrates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that</w:t>
      </w:r>
      <w:proofErr w:type="spellEnd"/>
      <w:r w:rsidRPr="00A905EA">
        <w:rPr>
          <w:rFonts w:eastAsia="Calibri"/>
          <w:color w:val="000000"/>
          <w:sz w:val="20"/>
          <w:szCs w:val="20"/>
        </w:rPr>
        <w:t xml:space="preserve"> </w:t>
      </w:r>
      <w:proofErr w:type="spellStart"/>
      <w:r w:rsidRPr="00A905EA">
        <w:rPr>
          <w:rFonts w:eastAsia="Calibri"/>
          <w:color w:val="000000"/>
          <w:sz w:val="20"/>
          <w:szCs w:val="20"/>
        </w:rPr>
        <w:t>flavonoids</w:t>
      </w:r>
      <w:proofErr w:type="spellEnd"/>
      <w:r w:rsidRPr="00A905EA">
        <w:rPr>
          <w:rFonts w:eastAsia="Calibri"/>
          <w:color w:val="000000"/>
          <w:sz w:val="20"/>
          <w:szCs w:val="20"/>
        </w:rPr>
        <w:t xml:space="preserve"> in </w:t>
      </w:r>
      <w:proofErr w:type="spellStart"/>
      <w:r w:rsidRPr="00A905EA">
        <w:rPr>
          <w:rFonts w:eastAsia="Calibri"/>
          <w:color w:val="000000"/>
          <w:sz w:val="20"/>
          <w:szCs w:val="20"/>
        </w:rPr>
        <w:t>cut</w:t>
      </w:r>
      <w:proofErr w:type="spellEnd"/>
      <w:r w:rsidRPr="00A905EA">
        <w:rPr>
          <w:rFonts w:eastAsia="Calibri"/>
          <w:color w:val="000000"/>
          <w:sz w:val="20"/>
          <w:szCs w:val="20"/>
        </w:rPr>
        <w:t xml:space="preserve"> </w:t>
      </w:r>
      <w:proofErr w:type="spellStart"/>
      <w:r w:rsidRPr="00A905EA">
        <w:rPr>
          <w:rFonts w:eastAsia="Calibri"/>
          <w:color w:val="000000"/>
          <w:sz w:val="20"/>
          <w:szCs w:val="20"/>
        </w:rPr>
        <w:t>leaves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E56656">
        <w:rPr>
          <w:rFonts w:eastAsia="Calibri"/>
          <w:i/>
          <w:iCs/>
          <w:color w:val="000000"/>
          <w:sz w:val="20"/>
          <w:szCs w:val="20"/>
        </w:rPr>
        <w:t>Alternanthera</w:t>
      </w:r>
      <w:proofErr w:type="spellEnd"/>
      <w:r w:rsidRPr="00E56656">
        <w:rPr>
          <w:rFonts w:eastAsia="Calibri"/>
          <w:i/>
          <w:iCs/>
          <w:color w:val="000000"/>
          <w:sz w:val="20"/>
          <w:szCs w:val="20"/>
        </w:rPr>
        <w:t xml:space="preserve"> tenella</w:t>
      </w:r>
      <w:r w:rsidRPr="00A905EA">
        <w:rPr>
          <w:rFonts w:eastAsia="Calibri"/>
          <w:color w:val="000000"/>
          <w:sz w:val="20"/>
          <w:szCs w:val="20"/>
        </w:rPr>
        <w:t xml:space="preserve"> </w:t>
      </w:r>
      <w:proofErr w:type="spellStart"/>
      <w:r w:rsidRPr="00A905EA">
        <w:rPr>
          <w:rFonts w:eastAsia="Calibri"/>
          <w:color w:val="000000"/>
          <w:sz w:val="20"/>
          <w:szCs w:val="20"/>
        </w:rPr>
        <w:t>stimulate</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silver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nanoparticles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AgNPs</w:t>
      </w:r>
      <w:proofErr w:type="spellEnd"/>
      <w:r w:rsidRPr="00A905EA">
        <w:rPr>
          <w:rFonts w:eastAsia="Calibri"/>
          <w:color w:val="000000"/>
          <w:sz w:val="20"/>
          <w:szCs w:val="20"/>
        </w:rPr>
        <w:t xml:space="preserve">). For </w:t>
      </w:r>
      <w:proofErr w:type="spellStart"/>
      <w:r w:rsidRPr="00E56656">
        <w:rPr>
          <w:rFonts w:eastAsia="Calibri"/>
          <w:i/>
          <w:iCs/>
          <w:color w:val="000000"/>
          <w:sz w:val="20"/>
          <w:szCs w:val="20"/>
        </w:rPr>
        <w:t>Chrysanthemum</w:t>
      </w:r>
      <w:proofErr w:type="spellEnd"/>
      <w:r w:rsidRPr="00E56656">
        <w:rPr>
          <w:rFonts w:eastAsia="Calibri"/>
          <w:i/>
          <w:iCs/>
          <w:color w:val="000000"/>
          <w:sz w:val="20"/>
          <w:szCs w:val="20"/>
        </w:rPr>
        <w:t xml:space="preserve"> </w:t>
      </w:r>
      <w:proofErr w:type="spellStart"/>
      <w:r w:rsidRPr="00E56656">
        <w:rPr>
          <w:rFonts w:eastAsia="Calibri"/>
          <w:i/>
          <w:iCs/>
          <w:color w:val="000000"/>
          <w:sz w:val="20"/>
          <w:szCs w:val="20"/>
        </w:rPr>
        <w:t>indicum</w:t>
      </w:r>
      <w:proofErr w:type="spellEnd"/>
      <w:r w:rsidRPr="00A905EA">
        <w:rPr>
          <w:rFonts w:eastAsia="Calibri"/>
          <w:color w:val="000000"/>
          <w:sz w:val="20"/>
          <w:szCs w:val="20"/>
        </w:rPr>
        <w:t xml:space="preserve">, </w:t>
      </w:r>
      <w:proofErr w:type="spellStart"/>
      <w:r w:rsidRPr="00A905EA">
        <w:rPr>
          <w:rFonts w:eastAsia="Calibri"/>
          <w:color w:val="000000"/>
          <w:sz w:val="20"/>
          <w:szCs w:val="20"/>
        </w:rPr>
        <w:t>nanoparticle</w:t>
      </w:r>
      <w:proofErr w:type="spellEnd"/>
      <w:r w:rsidRPr="00A905EA">
        <w:rPr>
          <w:rFonts w:eastAsia="Calibri"/>
          <w:color w:val="000000"/>
          <w:sz w:val="20"/>
          <w:szCs w:val="20"/>
        </w:rPr>
        <w:t xml:space="preserve"> </w:t>
      </w:r>
      <w:proofErr w:type="spellStart"/>
      <w:r w:rsidRPr="00A905EA">
        <w:rPr>
          <w:rFonts w:eastAsia="Calibri"/>
          <w:color w:val="000000"/>
          <w:sz w:val="20"/>
          <w:szCs w:val="20"/>
        </w:rPr>
        <w:t>formation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was</w:t>
      </w:r>
      <w:proofErr w:type="spellEnd"/>
      <w:r w:rsidRPr="00A905EA">
        <w:rPr>
          <w:rFonts w:eastAsia="Calibri"/>
          <w:color w:val="000000"/>
          <w:sz w:val="20"/>
          <w:szCs w:val="20"/>
        </w:rPr>
        <w:t xml:space="preserve"> </w:t>
      </w:r>
      <w:proofErr w:type="spellStart"/>
      <w:r w:rsidRPr="00A905EA">
        <w:rPr>
          <w:rFonts w:eastAsia="Calibri"/>
          <w:color w:val="000000"/>
          <w:sz w:val="20"/>
          <w:szCs w:val="20"/>
        </w:rPr>
        <w:t>attributed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glycosides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tannins</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flavonoids</w:t>
      </w:r>
      <w:proofErr w:type="spellEnd"/>
      <w:r w:rsidRPr="00A905EA">
        <w:rPr>
          <w:rFonts w:eastAsia="Calibri"/>
          <w:color w:val="000000"/>
          <w:sz w:val="20"/>
          <w:szCs w:val="20"/>
        </w:rPr>
        <w:t xml:space="preserve">. In </w:t>
      </w:r>
      <w:proofErr w:type="spellStart"/>
      <w:r w:rsidRPr="00E56656">
        <w:rPr>
          <w:rFonts w:eastAsia="Calibri"/>
          <w:i/>
          <w:iCs/>
          <w:color w:val="000000"/>
          <w:sz w:val="20"/>
          <w:szCs w:val="20"/>
        </w:rPr>
        <w:t>Potentilla</w:t>
      </w:r>
      <w:proofErr w:type="spellEnd"/>
      <w:r w:rsidRPr="00E56656">
        <w:rPr>
          <w:rFonts w:eastAsia="Calibri"/>
          <w:i/>
          <w:iCs/>
          <w:color w:val="000000"/>
          <w:sz w:val="20"/>
          <w:szCs w:val="20"/>
        </w:rPr>
        <w:t xml:space="preserve"> </w:t>
      </w:r>
      <w:proofErr w:type="spellStart"/>
      <w:r w:rsidRPr="00E56656">
        <w:rPr>
          <w:rFonts w:eastAsia="Calibri"/>
          <w:i/>
          <w:iCs/>
          <w:color w:val="000000"/>
          <w:sz w:val="20"/>
          <w:szCs w:val="20"/>
        </w:rPr>
        <w:t>fulgens</w:t>
      </w:r>
      <w:proofErr w:type="spellEnd"/>
      <w:r w:rsidRPr="00A905EA">
        <w:rPr>
          <w:rFonts w:eastAsia="Calibri"/>
          <w:color w:val="000000"/>
          <w:sz w:val="20"/>
          <w:szCs w:val="20"/>
        </w:rPr>
        <w:t xml:space="preserve">, </w:t>
      </w:r>
      <w:proofErr w:type="spellStart"/>
      <w:r w:rsidRPr="00A905EA">
        <w:rPr>
          <w:rFonts w:eastAsia="Calibri"/>
          <w:color w:val="000000"/>
          <w:sz w:val="20"/>
          <w:szCs w:val="20"/>
        </w:rPr>
        <w:t>flavonoids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were</w:t>
      </w:r>
      <w:proofErr w:type="spellEnd"/>
      <w:r w:rsidRPr="00A905EA">
        <w:rPr>
          <w:rFonts w:eastAsia="Calibri"/>
          <w:color w:val="000000"/>
          <w:sz w:val="20"/>
          <w:szCs w:val="20"/>
        </w:rPr>
        <w:t xml:space="preserve"> </w:t>
      </w:r>
      <w:proofErr w:type="spellStart"/>
      <w:r w:rsidRPr="00A905EA">
        <w:rPr>
          <w:rFonts w:eastAsia="Calibri"/>
          <w:color w:val="000000"/>
          <w:sz w:val="20"/>
          <w:szCs w:val="20"/>
        </w:rPr>
        <w:t>found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be</w:t>
      </w:r>
      <w:proofErr w:type="spellEnd"/>
      <w:r w:rsidRPr="00A905EA">
        <w:rPr>
          <w:rFonts w:eastAsia="Calibri"/>
          <w:color w:val="000000"/>
          <w:sz w:val="20"/>
          <w:szCs w:val="20"/>
        </w:rPr>
        <w:t xml:space="preserve"> four times more </w:t>
      </w:r>
      <w:proofErr w:type="spellStart"/>
      <w:r w:rsidRPr="00A905EA">
        <w:rPr>
          <w:rFonts w:eastAsia="Calibri"/>
          <w:color w:val="000000"/>
          <w:sz w:val="20"/>
          <w:szCs w:val="20"/>
        </w:rPr>
        <w:t>responsible</w:t>
      </w:r>
      <w:proofErr w:type="spellEnd"/>
      <w:r w:rsidRPr="00A905EA">
        <w:rPr>
          <w:rFonts w:eastAsia="Calibri"/>
          <w:color w:val="000000"/>
          <w:sz w:val="20"/>
          <w:szCs w:val="20"/>
        </w:rPr>
        <w:t xml:space="preserve"> for </w:t>
      </w:r>
      <w:proofErr w:type="spellStart"/>
      <w:r w:rsidRPr="00A905EA">
        <w:rPr>
          <w:rFonts w:eastAsia="Calibri"/>
          <w:color w:val="000000"/>
          <w:sz w:val="20"/>
          <w:szCs w:val="20"/>
        </w:rPr>
        <w:t>nanoparticle</w:t>
      </w:r>
      <w:proofErr w:type="spellEnd"/>
      <w:r w:rsidRPr="00A905EA">
        <w:rPr>
          <w:rFonts w:eastAsia="Calibri"/>
          <w:color w:val="000000"/>
          <w:sz w:val="20"/>
          <w:szCs w:val="20"/>
        </w:rPr>
        <w:t xml:space="preserve"> </w:t>
      </w:r>
      <w:proofErr w:type="spellStart"/>
      <w:r w:rsidRPr="00A905EA">
        <w:rPr>
          <w:rFonts w:eastAsia="Calibri"/>
          <w:color w:val="000000"/>
          <w:sz w:val="20"/>
          <w:szCs w:val="20"/>
        </w:rPr>
        <w:t>formation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than</w:t>
      </w:r>
      <w:proofErr w:type="spellEnd"/>
      <w:r w:rsidRPr="00A905EA">
        <w:rPr>
          <w:rFonts w:eastAsia="Calibri"/>
          <w:color w:val="000000"/>
          <w:sz w:val="20"/>
          <w:szCs w:val="20"/>
        </w:rPr>
        <w:t xml:space="preserve"> </w:t>
      </w:r>
      <w:proofErr w:type="spellStart"/>
      <w:r w:rsidRPr="00A905EA">
        <w:rPr>
          <w:rFonts w:eastAsia="Calibri"/>
          <w:color w:val="000000"/>
          <w:sz w:val="20"/>
          <w:szCs w:val="20"/>
        </w:rPr>
        <w:t>phenolics</w:t>
      </w:r>
      <w:proofErr w:type="spellEnd"/>
      <w:r w:rsidRPr="00A905EA">
        <w:rPr>
          <w:rFonts w:eastAsia="Calibri"/>
          <w:color w:val="000000"/>
          <w:sz w:val="20"/>
          <w:szCs w:val="20"/>
        </w:rPr>
        <w:t xml:space="preserve">. For </w:t>
      </w:r>
      <w:proofErr w:type="spellStart"/>
      <w:r w:rsidRPr="00E56656">
        <w:rPr>
          <w:rFonts w:eastAsia="Calibri"/>
          <w:i/>
          <w:iCs/>
          <w:color w:val="000000"/>
          <w:sz w:val="20"/>
          <w:szCs w:val="20"/>
        </w:rPr>
        <w:t>European</w:t>
      </w:r>
      <w:proofErr w:type="spellEnd"/>
      <w:r w:rsidRPr="00E56656">
        <w:rPr>
          <w:rFonts w:eastAsia="Calibri"/>
          <w:i/>
          <w:iCs/>
          <w:color w:val="000000"/>
          <w:sz w:val="20"/>
          <w:szCs w:val="20"/>
        </w:rPr>
        <w:t xml:space="preserve"> black </w:t>
      </w:r>
      <w:proofErr w:type="spellStart"/>
      <w:r w:rsidRPr="00E56656">
        <w:rPr>
          <w:rFonts w:eastAsia="Calibri"/>
          <w:i/>
          <w:iCs/>
          <w:color w:val="000000"/>
          <w:sz w:val="20"/>
          <w:szCs w:val="20"/>
        </w:rPr>
        <w:t>elderberry</w:t>
      </w:r>
      <w:proofErr w:type="spellEnd"/>
      <w:r w:rsidRPr="00A905EA">
        <w:rPr>
          <w:rFonts w:eastAsia="Calibri"/>
          <w:color w:val="000000"/>
          <w:sz w:val="20"/>
          <w:szCs w:val="20"/>
        </w:rPr>
        <w:t xml:space="preserve">, </w:t>
      </w:r>
      <w:proofErr w:type="spellStart"/>
      <w:r w:rsidRPr="00A905EA">
        <w:rPr>
          <w:rFonts w:eastAsia="Calibri"/>
          <w:color w:val="000000"/>
          <w:sz w:val="20"/>
          <w:szCs w:val="20"/>
        </w:rPr>
        <w:t>carbonyl</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hydroxyl</w:t>
      </w:r>
      <w:proofErr w:type="spellEnd"/>
      <w:r w:rsidRPr="00A905EA">
        <w:rPr>
          <w:rFonts w:eastAsia="Calibri"/>
          <w:color w:val="000000"/>
          <w:sz w:val="20"/>
          <w:szCs w:val="20"/>
        </w:rPr>
        <w:t xml:space="preserve"> </w:t>
      </w:r>
      <w:proofErr w:type="spellStart"/>
      <w:r w:rsidRPr="00A905EA">
        <w:rPr>
          <w:rFonts w:eastAsia="Calibri"/>
          <w:color w:val="000000"/>
          <w:sz w:val="20"/>
          <w:szCs w:val="20"/>
        </w:rPr>
        <w:t>groups</w:t>
      </w:r>
      <w:proofErr w:type="spellEnd"/>
      <w:r w:rsidRPr="00A905EA">
        <w:rPr>
          <w:rFonts w:eastAsia="Calibri"/>
          <w:color w:val="000000"/>
          <w:sz w:val="20"/>
          <w:szCs w:val="20"/>
        </w:rPr>
        <w:t xml:space="preserve"> </w:t>
      </w:r>
      <w:proofErr w:type="spellStart"/>
      <w:r w:rsidRPr="00A905EA">
        <w:rPr>
          <w:rFonts w:eastAsia="Calibri"/>
          <w:color w:val="000000"/>
          <w:sz w:val="20"/>
          <w:szCs w:val="20"/>
        </w:rPr>
        <w:t>from</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reduced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silver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ions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metallic</w:t>
      </w:r>
      <w:proofErr w:type="spellEnd"/>
      <w:r w:rsidRPr="00A905EA">
        <w:rPr>
          <w:rFonts w:eastAsia="Calibri"/>
          <w:color w:val="000000"/>
          <w:sz w:val="20"/>
          <w:szCs w:val="20"/>
        </w:rPr>
        <w:t xml:space="preserve"> </w:t>
      </w:r>
      <w:proofErr w:type="spellStart"/>
      <w:r w:rsidRPr="00A905EA">
        <w:rPr>
          <w:rFonts w:eastAsia="Calibri"/>
          <w:color w:val="000000"/>
          <w:sz w:val="20"/>
          <w:szCs w:val="20"/>
        </w:rPr>
        <w:t>silver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nanoparticles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Additionally</w:t>
      </w:r>
      <w:proofErr w:type="spellEnd"/>
      <w:r w:rsidRPr="00A905EA">
        <w:rPr>
          <w:rFonts w:eastAsia="Calibri"/>
          <w:color w:val="000000"/>
          <w:sz w:val="20"/>
          <w:szCs w:val="20"/>
        </w:rPr>
        <w:t xml:space="preserve">, </w:t>
      </w:r>
      <w:proofErr w:type="spellStart"/>
      <w:r w:rsidRPr="00A905EA">
        <w:rPr>
          <w:rFonts w:eastAsia="Calibri"/>
          <w:color w:val="000000"/>
          <w:sz w:val="20"/>
          <w:szCs w:val="20"/>
        </w:rPr>
        <w:t>flavonoids</w:t>
      </w:r>
      <w:proofErr w:type="spellEnd"/>
      <w:r w:rsidRPr="00A905EA">
        <w:rPr>
          <w:rFonts w:eastAsia="Calibri"/>
          <w:color w:val="000000"/>
          <w:sz w:val="20"/>
          <w:szCs w:val="20"/>
        </w:rPr>
        <w:t xml:space="preserve"> </w:t>
      </w:r>
      <w:proofErr w:type="spellStart"/>
      <w:r w:rsidRPr="00A905EA">
        <w:rPr>
          <w:rFonts w:eastAsia="Calibri"/>
          <w:color w:val="000000"/>
          <w:sz w:val="20"/>
          <w:szCs w:val="20"/>
        </w:rPr>
        <w:t>such</w:t>
      </w:r>
      <w:proofErr w:type="spellEnd"/>
      <w:r w:rsidRPr="00A905EA">
        <w:rPr>
          <w:rFonts w:eastAsia="Calibri"/>
          <w:color w:val="000000"/>
          <w:sz w:val="20"/>
          <w:szCs w:val="20"/>
        </w:rPr>
        <w:t xml:space="preserve"> as </w:t>
      </w:r>
      <w:proofErr w:type="spellStart"/>
      <w:r w:rsidRPr="00A905EA">
        <w:rPr>
          <w:rFonts w:eastAsia="Calibri"/>
          <w:color w:val="000000"/>
          <w:sz w:val="20"/>
          <w:szCs w:val="20"/>
        </w:rPr>
        <w:t>hesperidin</w:t>
      </w:r>
      <w:proofErr w:type="spellEnd"/>
      <w:r w:rsidRPr="00A905EA">
        <w:rPr>
          <w:rFonts w:eastAsia="Calibri"/>
          <w:color w:val="000000"/>
          <w:sz w:val="20"/>
          <w:szCs w:val="20"/>
        </w:rPr>
        <w:t xml:space="preserve">, </w:t>
      </w:r>
      <w:proofErr w:type="spellStart"/>
      <w:r w:rsidRPr="00A905EA">
        <w:rPr>
          <w:rFonts w:eastAsia="Calibri"/>
          <w:color w:val="000000"/>
          <w:sz w:val="20"/>
          <w:szCs w:val="20"/>
        </w:rPr>
        <w:t>diosmin</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naringin</w:t>
      </w:r>
      <w:proofErr w:type="spellEnd"/>
      <w:r w:rsidRPr="00A905EA">
        <w:rPr>
          <w:rFonts w:eastAsia="Calibri"/>
          <w:color w:val="000000"/>
          <w:sz w:val="20"/>
          <w:szCs w:val="20"/>
        </w:rPr>
        <w:t xml:space="preserve"> </w:t>
      </w:r>
      <w:proofErr w:type="spellStart"/>
      <w:r w:rsidRPr="00A905EA">
        <w:rPr>
          <w:rFonts w:eastAsia="Calibri"/>
          <w:color w:val="000000"/>
          <w:sz w:val="20"/>
          <w:szCs w:val="20"/>
        </w:rPr>
        <w:t>yielded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silver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nanoparticles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ranging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from</w:t>
      </w:r>
      <w:proofErr w:type="spellEnd"/>
      <w:r w:rsidRPr="00A905EA">
        <w:rPr>
          <w:rFonts w:eastAsia="Calibri"/>
          <w:color w:val="000000"/>
          <w:sz w:val="20"/>
          <w:szCs w:val="20"/>
        </w:rPr>
        <w:t xml:space="preserve"> 5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80 </w:t>
      </w:r>
      <w:proofErr w:type="spellStart"/>
      <w:r w:rsidRPr="00A905EA">
        <w:rPr>
          <w:rFonts w:eastAsia="Calibri"/>
          <w:color w:val="000000"/>
          <w:sz w:val="20"/>
          <w:szCs w:val="20"/>
        </w:rPr>
        <w:t>nm</w:t>
      </w:r>
      <w:proofErr w:type="spellEnd"/>
      <w:r w:rsidRPr="00A905EA">
        <w:rPr>
          <w:rFonts w:eastAsia="Calibri"/>
          <w:color w:val="000000"/>
          <w:sz w:val="20"/>
          <w:szCs w:val="20"/>
        </w:rPr>
        <w:t>.</w:t>
      </w:r>
    </w:p>
    <w:p w14:paraId="2455A3D1" w14:textId="77777777" w:rsidR="00A905EA" w:rsidRPr="00A905EA" w:rsidRDefault="00A905EA" w:rsidP="00A905EA">
      <w:pPr>
        <w:pBdr>
          <w:top w:val="nil"/>
          <w:left w:val="nil"/>
          <w:bottom w:val="nil"/>
          <w:right w:val="nil"/>
          <w:between w:val="nil"/>
        </w:pBdr>
        <w:spacing w:line="276" w:lineRule="auto"/>
        <w:ind w:firstLine="708"/>
        <w:jc w:val="both"/>
        <w:rPr>
          <w:rFonts w:eastAsia="Calibri"/>
          <w:color w:val="000000"/>
          <w:sz w:val="20"/>
          <w:szCs w:val="20"/>
        </w:rPr>
      </w:pPr>
    </w:p>
    <w:p w14:paraId="42BD5C16" w14:textId="4A4656E5" w:rsidR="00EF6811" w:rsidRPr="00A905EA" w:rsidRDefault="00A905EA" w:rsidP="00A905EA">
      <w:pPr>
        <w:pBdr>
          <w:top w:val="nil"/>
          <w:left w:val="nil"/>
          <w:bottom w:val="nil"/>
          <w:right w:val="nil"/>
          <w:between w:val="nil"/>
        </w:pBdr>
        <w:spacing w:line="276" w:lineRule="auto"/>
        <w:ind w:firstLine="708"/>
        <w:jc w:val="both"/>
        <w:rPr>
          <w:rFonts w:eastAsia="Calibri"/>
          <w:color w:val="000000"/>
          <w:sz w:val="20"/>
          <w:szCs w:val="20"/>
        </w:rPr>
      </w:pPr>
      <w:proofErr w:type="spellStart"/>
      <w:r w:rsidRPr="00A905EA">
        <w:rPr>
          <w:rFonts w:eastAsia="Calibri"/>
          <w:color w:val="000000"/>
          <w:sz w:val="20"/>
          <w:szCs w:val="20"/>
        </w:rPr>
        <w:t>According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Siakavella</w:t>
      </w:r>
      <w:proofErr w:type="spellEnd"/>
      <w:r w:rsidRPr="00A905EA">
        <w:rPr>
          <w:rFonts w:eastAsia="Calibri"/>
          <w:color w:val="000000"/>
          <w:sz w:val="20"/>
          <w:szCs w:val="20"/>
        </w:rPr>
        <w:t xml:space="preserve"> et al. (2020),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biological</w:t>
      </w:r>
      <w:proofErr w:type="spellEnd"/>
      <w:r w:rsidRPr="00A905EA">
        <w:rPr>
          <w:rFonts w:eastAsia="Calibri"/>
          <w:color w:val="000000"/>
          <w:sz w:val="20"/>
          <w:szCs w:val="20"/>
        </w:rPr>
        <w:t xml:space="preserve"> </w:t>
      </w:r>
      <w:proofErr w:type="spellStart"/>
      <w:r w:rsidRPr="00A905EA">
        <w:rPr>
          <w:rFonts w:eastAsia="Calibri"/>
          <w:color w:val="000000"/>
          <w:sz w:val="20"/>
          <w:szCs w:val="20"/>
        </w:rPr>
        <w:t>basis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using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plant</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extracts</w:t>
      </w:r>
      <w:proofErr w:type="spellEnd"/>
      <w:r w:rsidRPr="00A905EA">
        <w:rPr>
          <w:rFonts w:eastAsia="Calibri"/>
          <w:color w:val="000000"/>
          <w:sz w:val="20"/>
          <w:szCs w:val="20"/>
        </w:rPr>
        <w:t xml:space="preserve"> </w:t>
      </w:r>
      <w:proofErr w:type="spellStart"/>
      <w:r w:rsidRPr="00A905EA">
        <w:rPr>
          <w:rFonts w:eastAsia="Calibri"/>
          <w:color w:val="000000"/>
          <w:sz w:val="20"/>
          <w:szCs w:val="20"/>
        </w:rPr>
        <w:t>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considered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best</w:t>
      </w:r>
      <w:proofErr w:type="spellEnd"/>
      <w:r w:rsidRPr="00A905EA">
        <w:rPr>
          <w:rFonts w:eastAsia="Calibri"/>
          <w:color w:val="000000"/>
          <w:sz w:val="20"/>
          <w:szCs w:val="20"/>
        </w:rPr>
        <w:t xml:space="preserve"> </w:t>
      </w:r>
      <w:proofErr w:type="spellStart"/>
      <w:r w:rsidRPr="00A905EA">
        <w:rPr>
          <w:rFonts w:eastAsia="Calibri"/>
          <w:color w:val="000000"/>
          <w:sz w:val="20"/>
          <w:szCs w:val="20"/>
        </w:rPr>
        <w:t>method</w:t>
      </w:r>
      <w:proofErr w:type="spellEnd"/>
      <w:r w:rsidRPr="00A905EA">
        <w:rPr>
          <w:rFonts w:eastAsia="Calibri"/>
          <w:color w:val="000000"/>
          <w:sz w:val="20"/>
          <w:szCs w:val="20"/>
        </w:rPr>
        <w:t xml:space="preserve">. </w:t>
      </w:r>
      <w:proofErr w:type="spellStart"/>
      <w:r w:rsidRPr="00A905EA">
        <w:rPr>
          <w:rFonts w:eastAsia="Calibri"/>
          <w:color w:val="000000"/>
          <w:sz w:val="20"/>
          <w:szCs w:val="20"/>
        </w:rPr>
        <w:t>Since</w:t>
      </w:r>
      <w:proofErr w:type="spellEnd"/>
      <w:r w:rsidRPr="00A905EA">
        <w:rPr>
          <w:rFonts w:eastAsia="Calibri"/>
          <w:color w:val="000000"/>
          <w:sz w:val="20"/>
          <w:szCs w:val="20"/>
        </w:rPr>
        <w:t xml:space="preserve"> 1900,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characteristic</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these</w:t>
      </w:r>
      <w:proofErr w:type="spellEnd"/>
      <w:r w:rsidRPr="00A905EA">
        <w:rPr>
          <w:rFonts w:eastAsia="Calibri"/>
          <w:color w:val="000000"/>
          <w:sz w:val="20"/>
          <w:szCs w:val="20"/>
        </w:rPr>
        <w:t xml:space="preserve"> </w:t>
      </w:r>
      <w:proofErr w:type="spellStart"/>
      <w:r w:rsidRPr="00A905EA">
        <w:rPr>
          <w:rFonts w:eastAsia="Calibri"/>
          <w:color w:val="000000"/>
          <w:sz w:val="20"/>
          <w:szCs w:val="20"/>
        </w:rPr>
        <w:t>materials</w:t>
      </w:r>
      <w:proofErr w:type="spellEnd"/>
      <w:r w:rsidRPr="00A905EA">
        <w:rPr>
          <w:rFonts w:eastAsia="Calibri"/>
          <w:color w:val="000000"/>
          <w:sz w:val="20"/>
          <w:szCs w:val="20"/>
        </w:rPr>
        <w:t xml:space="preserve"> in </w:t>
      </w:r>
      <w:proofErr w:type="spellStart"/>
      <w:r w:rsidRPr="00A905EA">
        <w:rPr>
          <w:rFonts w:eastAsia="Calibri"/>
          <w:color w:val="000000"/>
          <w:sz w:val="20"/>
          <w:szCs w:val="20"/>
        </w:rPr>
        <w:t>reducing</w:t>
      </w:r>
      <w:proofErr w:type="spellEnd"/>
      <w:r w:rsidRPr="00A905EA">
        <w:rPr>
          <w:rFonts w:eastAsia="Calibri"/>
          <w:color w:val="000000"/>
          <w:sz w:val="20"/>
          <w:szCs w:val="20"/>
        </w:rPr>
        <w:t xml:space="preserve"> metal </w:t>
      </w:r>
      <w:proofErr w:type="spellStart"/>
      <w:r w:rsidRPr="00A905EA">
        <w:rPr>
          <w:rFonts w:eastAsia="Calibri"/>
          <w:color w:val="000000"/>
          <w:sz w:val="20"/>
          <w:szCs w:val="20"/>
        </w:rPr>
        <w:t>ions</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also</w:t>
      </w:r>
      <w:proofErr w:type="spellEnd"/>
      <w:r w:rsidRPr="00A905EA">
        <w:rPr>
          <w:rFonts w:eastAsia="Calibri"/>
          <w:color w:val="000000"/>
          <w:sz w:val="20"/>
          <w:szCs w:val="20"/>
        </w:rPr>
        <w:t xml:space="preserve"> </w:t>
      </w:r>
      <w:proofErr w:type="spellStart"/>
      <w:r w:rsidRPr="00A905EA">
        <w:rPr>
          <w:rFonts w:eastAsia="Calibri"/>
          <w:color w:val="000000"/>
          <w:sz w:val="20"/>
          <w:szCs w:val="20"/>
        </w:rPr>
        <w:t>acting</w:t>
      </w:r>
      <w:proofErr w:type="spellEnd"/>
      <w:r w:rsidRPr="00A905EA">
        <w:rPr>
          <w:rFonts w:eastAsia="Calibri"/>
          <w:color w:val="000000"/>
          <w:sz w:val="20"/>
          <w:szCs w:val="20"/>
        </w:rPr>
        <w:t xml:space="preserve"> as </w:t>
      </w:r>
      <w:proofErr w:type="spellStart"/>
      <w:r w:rsidRPr="00A905EA">
        <w:rPr>
          <w:rFonts w:eastAsia="Calibri"/>
          <w:color w:val="000000"/>
          <w:sz w:val="20"/>
          <w:szCs w:val="20"/>
        </w:rPr>
        <w:t>stabilizing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agents</w:t>
      </w:r>
      <w:proofErr w:type="spellEnd"/>
      <w:r w:rsidRPr="00A905EA">
        <w:rPr>
          <w:rFonts w:eastAsia="Calibri"/>
          <w:color w:val="000000"/>
          <w:sz w:val="20"/>
          <w:szCs w:val="20"/>
        </w:rPr>
        <w:t xml:space="preserve"> </w:t>
      </w:r>
      <w:proofErr w:type="spellStart"/>
      <w:r w:rsidRPr="00A905EA">
        <w:rPr>
          <w:rFonts w:eastAsia="Calibri"/>
          <w:color w:val="000000"/>
          <w:sz w:val="20"/>
          <w:szCs w:val="20"/>
        </w:rPr>
        <w:t>has</w:t>
      </w:r>
      <w:proofErr w:type="spellEnd"/>
      <w:r w:rsidRPr="00A905EA">
        <w:rPr>
          <w:rFonts w:eastAsia="Calibri"/>
          <w:color w:val="000000"/>
          <w:sz w:val="20"/>
          <w:szCs w:val="20"/>
        </w:rPr>
        <w:t xml:space="preserve"> </w:t>
      </w:r>
      <w:proofErr w:type="spellStart"/>
      <w:r w:rsidRPr="00A905EA">
        <w:rPr>
          <w:rFonts w:eastAsia="Calibri"/>
          <w:color w:val="000000"/>
          <w:sz w:val="20"/>
          <w:szCs w:val="20"/>
        </w:rPr>
        <w:t>been</w:t>
      </w:r>
      <w:proofErr w:type="spellEnd"/>
      <w:r w:rsidRPr="00A905EA">
        <w:rPr>
          <w:rFonts w:eastAsia="Calibri"/>
          <w:color w:val="000000"/>
          <w:sz w:val="20"/>
          <w:szCs w:val="20"/>
        </w:rPr>
        <w:t xml:space="preserve"> </w:t>
      </w:r>
      <w:proofErr w:type="spellStart"/>
      <w:r w:rsidRPr="00A905EA">
        <w:rPr>
          <w:rFonts w:eastAsia="Calibri"/>
          <w:color w:val="000000"/>
          <w:sz w:val="20"/>
          <w:szCs w:val="20"/>
        </w:rPr>
        <w:t>known</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prevents</w:t>
      </w:r>
      <w:proofErr w:type="spellEnd"/>
      <w:r w:rsidRPr="00A905EA">
        <w:rPr>
          <w:rFonts w:eastAsia="Calibri"/>
          <w:color w:val="000000"/>
          <w:sz w:val="20"/>
          <w:szCs w:val="20"/>
        </w:rPr>
        <w:t xml:space="preserve"> </w:t>
      </w:r>
      <w:proofErr w:type="spellStart"/>
      <w:r w:rsidRPr="00A905EA">
        <w:rPr>
          <w:rFonts w:eastAsia="Calibri"/>
          <w:color w:val="000000"/>
          <w:sz w:val="20"/>
          <w:szCs w:val="20"/>
        </w:rPr>
        <w:t>particles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from</w:t>
      </w:r>
      <w:proofErr w:type="spellEnd"/>
      <w:r w:rsidRPr="00A905EA">
        <w:rPr>
          <w:rFonts w:eastAsia="Calibri"/>
          <w:color w:val="000000"/>
          <w:sz w:val="20"/>
          <w:szCs w:val="20"/>
        </w:rPr>
        <w:t xml:space="preserve"> </w:t>
      </w:r>
      <w:proofErr w:type="spellStart"/>
      <w:r w:rsidRPr="00A905EA">
        <w:rPr>
          <w:rFonts w:eastAsia="Calibri"/>
          <w:color w:val="000000"/>
          <w:sz w:val="20"/>
          <w:szCs w:val="20"/>
        </w:rPr>
        <w:t>aggregating</w:t>
      </w:r>
      <w:proofErr w:type="spellEnd"/>
      <w:r w:rsidRPr="00A905EA">
        <w:rPr>
          <w:rFonts w:eastAsia="Calibri"/>
          <w:color w:val="000000"/>
          <w:sz w:val="20"/>
          <w:szCs w:val="20"/>
        </w:rPr>
        <w:t xml:space="preserve"> in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plant</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Different</w:t>
      </w:r>
      <w:proofErr w:type="spellEnd"/>
      <w:r w:rsidRPr="00A905EA">
        <w:rPr>
          <w:rFonts w:eastAsia="Calibri"/>
          <w:color w:val="000000"/>
          <w:sz w:val="20"/>
          <w:szCs w:val="20"/>
        </w:rPr>
        <w:t xml:space="preserve"> </w:t>
      </w:r>
      <w:proofErr w:type="spellStart"/>
      <w:r w:rsidRPr="00A905EA">
        <w:rPr>
          <w:rFonts w:eastAsia="Calibri"/>
          <w:color w:val="000000"/>
          <w:sz w:val="20"/>
          <w:szCs w:val="20"/>
        </w:rPr>
        <w:t>reports</w:t>
      </w:r>
      <w:proofErr w:type="spellEnd"/>
      <w:r w:rsidRPr="00A905EA">
        <w:rPr>
          <w:rFonts w:eastAsia="Calibri"/>
          <w:color w:val="000000"/>
          <w:sz w:val="20"/>
          <w:szCs w:val="20"/>
        </w:rPr>
        <w:t xml:space="preserve"> </w:t>
      </w:r>
      <w:proofErr w:type="spellStart"/>
      <w:r w:rsidRPr="00A905EA">
        <w:rPr>
          <w:rFonts w:eastAsia="Calibri"/>
          <w:color w:val="000000"/>
          <w:sz w:val="20"/>
          <w:szCs w:val="20"/>
        </w:rPr>
        <w:t>describe</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preparation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conditions</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thus</w:t>
      </w:r>
      <w:proofErr w:type="spellEnd"/>
      <w:r w:rsidRPr="00A905EA">
        <w:rPr>
          <w:rFonts w:eastAsia="Calibri"/>
          <w:color w:val="000000"/>
          <w:sz w:val="20"/>
          <w:szCs w:val="20"/>
        </w:rPr>
        <w:t xml:space="preserve">, it </w:t>
      </w:r>
      <w:proofErr w:type="spellStart"/>
      <w:r w:rsidRPr="00A905EA">
        <w:rPr>
          <w:rFonts w:eastAsia="Calibri"/>
          <w:color w:val="000000"/>
          <w:sz w:val="20"/>
          <w:szCs w:val="20"/>
        </w:rPr>
        <w:t>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valid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examine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impact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each</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w:t>
      </w:r>
      <w:proofErr w:type="spellEnd"/>
      <w:r w:rsidRPr="00A905EA">
        <w:rPr>
          <w:rFonts w:eastAsia="Calibri"/>
          <w:color w:val="000000"/>
          <w:sz w:val="20"/>
          <w:szCs w:val="20"/>
        </w:rPr>
        <w:t xml:space="preserve"> </w:t>
      </w:r>
      <w:proofErr w:type="spellStart"/>
      <w:r w:rsidRPr="00A905EA">
        <w:rPr>
          <w:rFonts w:eastAsia="Calibri"/>
          <w:color w:val="000000"/>
          <w:sz w:val="20"/>
          <w:szCs w:val="20"/>
        </w:rPr>
        <w:t>on</w:t>
      </w:r>
      <w:proofErr w:type="spellEnd"/>
      <w:r w:rsidRPr="00A905EA">
        <w:rPr>
          <w:rFonts w:eastAsia="Calibri"/>
          <w:color w:val="000000"/>
          <w:sz w:val="20"/>
          <w:szCs w:val="20"/>
        </w:rPr>
        <w:t xml:space="preserve"> NP </w:t>
      </w:r>
      <w:proofErr w:type="spellStart"/>
      <w:r w:rsidRPr="00A905EA">
        <w:rPr>
          <w:rFonts w:eastAsia="Calibri"/>
          <w:color w:val="000000"/>
          <w:sz w:val="20"/>
          <w:szCs w:val="20"/>
        </w:rPr>
        <w:t>preparation</w:t>
      </w:r>
      <w:proofErr w:type="spellEnd"/>
      <w:r w:rsidRPr="00A905EA">
        <w:rPr>
          <w:rFonts w:eastAsia="Calibri"/>
          <w:color w:val="000000"/>
          <w:sz w:val="20"/>
          <w:szCs w:val="20"/>
        </w:rPr>
        <w:t xml:space="preserve">. For </w:t>
      </w:r>
      <w:proofErr w:type="spellStart"/>
      <w:r w:rsidRPr="00A905EA">
        <w:rPr>
          <w:rFonts w:eastAsia="Calibri"/>
          <w:color w:val="000000"/>
          <w:sz w:val="20"/>
          <w:szCs w:val="20"/>
        </w:rPr>
        <w:t>example</w:t>
      </w:r>
      <w:proofErr w:type="spellEnd"/>
      <w:r w:rsidRPr="00A905EA">
        <w:rPr>
          <w:rFonts w:eastAsia="Calibri"/>
          <w:color w:val="000000"/>
          <w:sz w:val="20"/>
          <w:szCs w:val="20"/>
        </w:rPr>
        <w:t xml:space="preserve">, Rajan et al. (2018) </w:t>
      </w:r>
      <w:proofErr w:type="spellStart"/>
      <w:r w:rsidRPr="00A905EA">
        <w:rPr>
          <w:rFonts w:eastAsia="Calibri"/>
          <w:color w:val="000000"/>
          <w:sz w:val="20"/>
          <w:szCs w:val="20"/>
        </w:rPr>
        <w:t>conducted</w:t>
      </w:r>
      <w:proofErr w:type="spellEnd"/>
      <w:r w:rsidRPr="00A905EA">
        <w:rPr>
          <w:rFonts w:eastAsia="Calibri"/>
          <w:color w:val="000000"/>
          <w:sz w:val="20"/>
          <w:szCs w:val="20"/>
        </w:rPr>
        <w:t xml:space="preserve"> a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using</w:t>
      </w:r>
      <w:proofErr w:type="spellEnd"/>
      <w:r w:rsidRPr="00A905EA">
        <w:rPr>
          <w:rFonts w:eastAsia="Calibri"/>
          <w:color w:val="000000"/>
          <w:sz w:val="20"/>
          <w:szCs w:val="20"/>
        </w:rPr>
        <w:t xml:space="preserve"> henna </w:t>
      </w:r>
      <w:proofErr w:type="spellStart"/>
      <w:r w:rsidRPr="00A905EA">
        <w:rPr>
          <w:rFonts w:eastAsia="Calibri"/>
          <w:color w:val="000000"/>
          <w:sz w:val="20"/>
          <w:szCs w:val="20"/>
        </w:rPr>
        <w:t>leaves</w:t>
      </w:r>
      <w:proofErr w:type="spellEnd"/>
      <w:r w:rsidRPr="00A905EA">
        <w:rPr>
          <w:rFonts w:eastAsia="Calibri"/>
          <w:color w:val="000000"/>
          <w:sz w:val="20"/>
          <w:szCs w:val="20"/>
        </w:rPr>
        <w:t xml:space="preserve"> (</w:t>
      </w:r>
      <w:proofErr w:type="spellStart"/>
      <w:r w:rsidRPr="00E56656">
        <w:rPr>
          <w:rFonts w:eastAsia="Calibri"/>
          <w:i/>
          <w:iCs/>
          <w:color w:val="000000"/>
          <w:sz w:val="20"/>
          <w:szCs w:val="20"/>
        </w:rPr>
        <w:t>Lawsonia</w:t>
      </w:r>
      <w:proofErr w:type="spellEnd"/>
      <w:r w:rsidRPr="00E56656">
        <w:rPr>
          <w:rFonts w:eastAsia="Calibri"/>
          <w:i/>
          <w:iCs/>
          <w:color w:val="000000"/>
          <w:sz w:val="20"/>
          <w:szCs w:val="20"/>
        </w:rPr>
        <w:t xml:space="preserve"> </w:t>
      </w:r>
      <w:proofErr w:type="spellStart"/>
      <w:r w:rsidRPr="00E56656">
        <w:rPr>
          <w:rFonts w:eastAsia="Calibri"/>
          <w:i/>
          <w:iCs/>
          <w:color w:val="000000"/>
          <w:sz w:val="20"/>
          <w:szCs w:val="20"/>
        </w:rPr>
        <w:t>inermis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with</w:t>
      </w:r>
      <w:proofErr w:type="spellEnd"/>
      <w:r w:rsidRPr="00A905EA">
        <w:rPr>
          <w:rFonts w:eastAsia="Calibri"/>
          <w:color w:val="000000"/>
          <w:sz w:val="20"/>
          <w:szCs w:val="20"/>
        </w:rPr>
        <w:t xml:space="preserve"> </w:t>
      </w:r>
      <w:proofErr w:type="spellStart"/>
      <w:r w:rsidRPr="00A905EA">
        <w:rPr>
          <w:rFonts w:eastAsia="Calibri"/>
          <w:color w:val="000000"/>
          <w:sz w:val="20"/>
          <w:szCs w:val="20"/>
        </w:rPr>
        <w:t>cadmium</w:t>
      </w:r>
      <w:proofErr w:type="spellEnd"/>
      <w:r w:rsidRPr="00A905EA">
        <w:rPr>
          <w:rFonts w:eastAsia="Calibri"/>
          <w:color w:val="000000"/>
          <w:sz w:val="20"/>
          <w:szCs w:val="20"/>
        </w:rPr>
        <w:t xml:space="preserve"> </w:t>
      </w:r>
      <w:proofErr w:type="spellStart"/>
      <w:r w:rsidRPr="00A905EA">
        <w:rPr>
          <w:rFonts w:eastAsia="Calibri"/>
          <w:color w:val="000000"/>
          <w:sz w:val="20"/>
          <w:szCs w:val="20"/>
        </w:rPr>
        <w:t>chloride</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selenium</w:t>
      </w:r>
      <w:proofErr w:type="spellEnd"/>
      <w:r w:rsidRPr="00A905EA">
        <w:rPr>
          <w:rFonts w:eastAsia="Calibri"/>
          <w:color w:val="000000"/>
          <w:sz w:val="20"/>
          <w:szCs w:val="20"/>
        </w:rPr>
        <w:t xml:space="preserve"> (</w:t>
      </w:r>
      <w:proofErr w:type="spellStart"/>
      <w:r w:rsidRPr="00A905EA">
        <w:rPr>
          <w:rFonts w:eastAsia="Calibri"/>
          <w:color w:val="000000"/>
          <w:sz w:val="20"/>
          <w:szCs w:val="20"/>
        </w:rPr>
        <w:t>separately</w:t>
      </w:r>
      <w:proofErr w:type="spellEnd"/>
      <w:r w:rsidRPr="00A905EA">
        <w:rPr>
          <w:rFonts w:eastAsia="Calibri"/>
          <w:color w:val="000000"/>
          <w:sz w:val="20"/>
          <w:szCs w:val="20"/>
        </w:rPr>
        <w:t xml:space="preserve">). </w:t>
      </w:r>
      <w:proofErr w:type="spellStart"/>
      <w:r w:rsidRPr="00A905EA">
        <w:rPr>
          <w:rFonts w:eastAsia="Calibri"/>
          <w:color w:val="000000"/>
          <w:sz w:val="20"/>
          <w:szCs w:val="20"/>
        </w:rPr>
        <w:t>After</w:t>
      </w:r>
      <w:proofErr w:type="spellEnd"/>
      <w:r w:rsidRPr="00A905EA">
        <w:rPr>
          <w:rFonts w:eastAsia="Calibri"/>
          <w:color w:val="000000"/>
          <w:sz w:val="20"/>
          <w:szCs w:val="20"/>
        </w:rPr>
        <w:t xml:space="preserve"> 1 minute,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light </w:t>
      </w:r>
      <w:proofErr w:type="spellStart"/>
      <w:r w:rsidRPr="00A905EA">
        <w:rPr>
          <w:rFonts w:eastAsia="Calibri"/>
          <w:color w:val="000000"/>
          <w:sz w:val="20"/>
          <w:szCs w:val="20"/>
        </w:rPr>
        <w:t>yellow</w:t>
      </w:r>
      <w:proofErr w:type="spellEnd"/>
      <w:r w:rsidRPr="00A905EA">
        <w:rPr>
          <w:rFonts w:eastAsia="Calibri"/>
          <w:color w:val="000000"/>
          <w:sz w:val="20"/>
          <w:szCs w:val="20"/>
        </w:rPr>
        <w:t xml:space="preserve"> color </w:t>
      </w:r>
      <w:proofErr w:type="spellStart"/>
      <w:r w:rsidRPr="00A905EA">
        <w:rPr>
          <w:rFonts w:eastAsia="Calibri"/>
          <w:color w:val="000000"/>
          <w:sz w:val="20"/>
          <w:szCs w:val="20"/>
        </w:rPr>
        <w:t>turned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brown</w:t>
      </w:r>
      <w:proofErr w:type="spellEnd"/>
      <w:r w:rsidRPr="00A905EA">
        <w:rPr>
          <w:rFonts w:eastAsia="Calibri"/>
          <w:color w:val="000000"/>
          <w:sz w:val="20"/>
          <w:szCs w:val="20"/>
        </w:rPr>
        <w:t xml:space="preserve">, </w:t>
      </w:r>
      <w:proofErr w:type="spellStart"/>
      <w:r w:rsidRPr="00A905EA">
        <w:rPr>
          <w:rFonts w:eastAsia="Calibri"/>
          <w:color w:val="000000"/>
          <w:sz w:val="20"/>
          <w:szCs w:val="20"/>
        </w:rPr>
        <w:t>indicating</w:t>
      </w:r>
      <w:proofErr w:type="spellEnd"/>
      <w:r w:rsidRPr="00A905EA">
        <w:rPr>
          <w:rFonts w:eastAsia="Calibri"/>
          <w:color w:val="000000"/>
          <w:sz w:val="20"/>
          <w:szCs w:val="20"/>
        </w:rPr>
        <w:t xml:space="preserve"> a </w:t>
      </w:r>
      <w:proofErr w:type="spellStart"/>
      <w:r w:rsidRPr="00A905EA">
        <w:rPr>
          <w:rFonts w:eastAsia="Calibri"/>
          <w:color w:val="000000"/>
          <w:sz w:val="20"/>
          <w:szCs w:val="20"/>
        </w:rPr>
        <w:t>reaction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that</w:t>
      </w:r>
      <w:proofErr w:type="spellEnd"/>
      <w:r w:rsidRPr="00A905EA">
        <w:rPr>
          <w:rFonts w:eastAsia="Calibri"/>
          <w:color w:val="000000"/>
          <w:sz w:val="20"/>
          <w:szCs w:val="20"/>
        </w:rPr>
        <w:t xml:space="preserve"> </w:t>
      </w:r>
      <w:proofErr w:type="spellStart"/>
      <w:r w:rsidRPr="00A905EA">
        <w:rPr>
          <w:rFonts w:eastAsia="Calibri"/>
          <w:color w:val="000000"/>
          <w:sz w:val="20"/>
          <w:szCs w:val="20"/>
        </w:rPr>
        <w:t>remained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stable</w:t>
      </w:r>
      <w:proofErr w:type="spellEnd"/>
      <w:r w:rsidRPr="00A905EA">
        <w:rPr>
          <w:rFonts w:eastAsia="Calibri"/>
          <w:color w:val="000000"/>
          <w:sz w:val="20"/>
          <w:szCs w:val="20"/>
        </w:rPr>
        <w:t xml:space="preserve"> for over 2 </w:t>
      </w:r>
      <w:proofErr w:type="spellStart"/>
      <w:r w:rsidRPr="00A905EA">
        <w:rPr>
          <w:rFonts w:eastAsia="Calibri"/>
          <w:color w:val="000000"/>
          <w:sz w:val="20"/>
          <w:szCs w:val="20"/>
        </w:rPr>
        <w:t>days</w:t>
      </w:r>
      <w:proofErr w:type="spellEnd"/>
      <w:r w:rsidRPr="00A905EA">
        <w:rPr>
          <w:rFonts w:eastAsia="Calibri"/>
          <w:color w:val="000000"/>
          <w:sz w:val="20"/>
          <w:szCs w:val="20"/>
        </w:rPr>
        <w:t xml:space="preserve"> </w:t>
      </w:r>
      <w:proofErr w:type="spellStart"/>
      <w:r w:rsidRPr="00A905EA">
        <w:rPr>
          <w:rFonts w:eastAsia="Calibri"/>
          <w:color w:val="000000"/>
          <w:sz w:val="20"/>
          <w:szCs w:val="20"/>
        </w:rPr>
        <w:t>without</w:t>
      </w:r>
      <w:proofErr w:type="spellEnd"/>
      <w:r w:rsidRPr="00A905EA">
        <w:rPr>
          <w:rFonts w:eastAsia="Calibri"/>
          <w:color w:val="000000"/>
          <w:sz w:val="20"/>
          <w:szCs w:val="20"/>
        </w:rPr>
        <w:t xml:space="preserve"> </w:t>
      </w:r>
      <w:proofErr w:type="spellStart"/>
      <w:r w:rsidRPr="00A905EA">
        <w:rPr>
          <w:rFonts w:eastAsia="Calibri"/>
          <w:color w:val="000000"/>
          <w:sz w:val="20"/>
          <w:szCs w:val="20"/>
        </w:rPr>
        <w:t>alteration</w:t>
      </w:r>
      <w:proofErr w:type="spellEnd"/>
      <w:r w:rsidRPr="00A905EA">
        <w:rPr>
          <w:rFonts w:eastAsia="Calibri"/>
          <w:color w:val="000000"/>
          <w:sz w:val="20"/>
          <w:szCs w:val="20"/>
        </w:rPr>
        <w:t xml:space="preserve">. </w:t>
      </w:r>
      <w:proofErr w:type="spellStart"/>
      <w:r w:rsidRPr="00A905EA">
        <w:rPr>
          <w:rFonts w:eastAsia="Calibri"/>
          <w:color w:val="000000"/>
          <w:sz w:val="20"/>
          <w:szCs w:val="20"/>
        </w:rPr>
        <w:t>One</w:t>
      </w:r>
      <w:proofErr w:type="spellEnd"/>
      <w:r w:rsidRPr="00A905EA">
        <w:rPr>
          <w:rFonts w:eastAsia="Calibri"/>
          <w:color w:val="000000"/>
          <w:sz w:val="20"/>
          <w:szCs w:val="20"/>
        </w:rPr>
        <w:t xml:space="preserve"> </w:t>
      </w:r>
      <w:proofErr w:type="spellStart"/>
      <w:r w:rsidRPr="00A905EA">
        <w:rPr>
          <w:rFonts w:eastAsia="Calibri"/>
          <w:color w:val="000000"/>
          <w:sz w:val="20"/>
          <w:szCs w:val="20"/>
        </w:rPr>
        <w:t>possible</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explanation</w:t>
      </w:r>
      <w:proofErr w:type="spellEnd"/>
      <w:r w:rsidRPr="00A905EA">
        <w:rPr>
          <w:rFonts w:eastAsia="Calibri"/>
          <w:color w:val="000000"/>
          <w:sz w:val="20"/>
          <w:szCs w:val="20"/>
        </w:rPr>
        <w:t xml:space="preserve"> for </w:t>
      </w:r>
      <w:proofErr w:type="spellStart"/>
      <w:r w:rsidRPr="00A905EA">
        <w:rPr>
          <w:rFonts w:eastAsia="Calibri"/>
          <w:color w:val="000000"/>
          <w:sz w:val="20"/>
          <w:szCs w:val="20"/>
        </w:rPr>
        <w:t>this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synthesis</w:t>
      </w:r>
      <w:proofErr w:type="spellEnd"/>
      <w:r w:rsidRPr="00A905EA">
        <w:rPr>
          <w:rFonts w:eastAsia="Calibri"/>
          <w:color w:val="000000"/>
          <w:sz w:val="20"/>
          <w:szCs w:val="20"/>
        </w:rPr>
        <w:t xml:space="preserve"> </w:t>
      </w:r>
      <w:proofErr w:type="spellStart"/>
      <w:r w:rsidRPr="00A905EA">
        <w:rPr>
          <w:rFonts w:eastAsia="Calibri"/>
          <w:color w:val="000000"/>
          <w:sz w:val="20"/>
          <w:szCs w:val="20"/>
        </w:rPr>
        <w:t>involved</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secondary</w:t>
      </w:r>
      <w:proofErr w:type="spellEnd"/>
      <w:r w:rsidRPr="00A905EA">
        <w:rPr>
          <w:rFonts w:eastAsia="Calibri"/>
          <w:color w:val="000000"/>
          <w:sz w:val="20"/>
          <w:szCs w:val="20"/>
        </w:rPr>
        <w:t xml:space="preserve"> </w:t>
      </w:r>
      <w:proofErr w:type="spellStart"/>
      <w:r w:rsidRPr="00A905EA">
        <w:rPr>
          <w:rFonts w:eastAsia="Calibri"/>
          <w:color w:val="000000"/>
          <w:sz w:val="20"/>
          <w:szCs w:val="20"/>
        </w:rPr>
        <w:lastRenderedPageBreak/>
        <w:t>metabolites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present</w:t>
      </w:r>
      <w:proofErr w:type="spellEnd"/>
      <w:r w:rsidRPr="00A905EA">
        <w:rPr>
          <w:rFonts w:eastAsia="Calibri"/>
          <w:color w:val="000000"/>
          <w:sz w:val="20"/>
          <w:szCs w:val="20"/>
        </w:rPr>
        <w:t xml:space="preserve"> in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A905EA">
        <w:rPr>
          <w:rFonts w:eastAsia="Calibri"/>
          <w:color w:val="000000"/>
          <w:sz w:val="20"/>
          <w:szCs w:val="20"/>
        </w:rPr>
        <w:t>green</w:t>
      </w:r>
      <w:proofErr w:type="spellEnd"/>
      <w:r w:rsidRPr="00A905EA">
        <w:rPr>
          <w:rFonts w:eastAsia="Calibri"/>
          <w:color w:val="000000"/>
          <w:sz w:val="20"/>
          <w:szCs w:val="20"/>
        </w:rPr>
        <w:t xml:space="preserve"> </w:t>
      </w:r>
      <w:proofErr w:type="spellStart"/>
      <w:r w:rsidRPr="00A905EA">
        <w:rPr>
          <w:rFonts w:eastAsia="Calibri"/>
          <w:color w:val="000000"/>
          <w:sz w:val="20"/>
          <w:szCs w:val="20"/>
        </w:rPr>
        <w:t>extract</w:t>
      </w:r>
      <w:proofErr w:type="spellEnd"/>
      <w:r w:rsidRPr="00A905EA">
        <w:rPr>
          <w:rFonts w:eastAsia="Calibri"/>
          <w:color w:val="000000"/>
          <w:sz w:val="20"/>
          <w:szCs w:val="20"/>
        </w:rPr>
        <w:t>.</w:t>
      </w:r>
      <w:r>
        <w:rPr>
          <w:rFonts w:eastAsia="Calibri"/>
          <w:color w:val="000000"/>
          <w:sz w:val="20"/>
          <w:szCs w:val="20"/>
        </w:rPr>
        <w:t xml:space="preserve"> </w:t>
      </w:r>
      <w:proofErr w:type="spellStart"/>
      <w:r w:rsidRPr="00A905EA">
        <w:rPr>
          <w:rFonts w:eastAsia="Calibri"/>
          <w:color w:val="000000"/>
          <w:sz w:val="20"/>
          <w:szCs w:val="20"/>
        </w:rPr>
        <w:t>According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to</w:t>
      </w:r>
      <w:proofErr w:type="spellEnd"/>
      <w:r w:rsidRPr="00A905EA">
        <w:rPr>
          <w:rFonts w:eastAsia="Calibri"/>
          <w:color w:val="000000"/>
          <w:sz w:val="20"/>
          <w:szCs w:val="20"/>
        </w:rPr>
        <w:t xml:space="preserve"> </w:t>
      </w:r>
      <w:proofErr w:type="spellStart"/>
      <w:r w:rsidRPr="00A905EA">
        <w:rPr>
          <w:rFonts w:eastAsia="Calibri"/>
          <w:color w:val="000000"/>
          <w:sz w:val="20"/>
          <w:szCs w:val="20"/>
        </w:rPr>
        <w:t>Barabadi</w:t>
      </w:r>
      <w:proofErr w:type="spellEnd"/>
      <w:r w:rsidRPr="00A905EA">
        <w:rPr>
          <w:rFonts w:eastAsia="Calibri"/>
          <w:color w:val="000000"/>
          <w:sz w:val="20"/>
          <w:szCs w:val="20"/>
        </w:rPr>
        <w:t xml:space="preserve"> et al. (2014), in a </w:t>
      </w:r>
      <w:proofErr w:type="spellStart"/>
      <w:r w:rsidRPr="00A905EA">
        <w:rPr>
          <w:rFonts w:eastAsia="Calibri"/>
          <w:color w:val="000000"/>
          <w:sz w:val="20"/>
          <w:szCs w:val="20"/>
        </w:rPr>
        <w:t>study</w:t>
      </w:r>
      <w:proofErr w:type="spellEnd"/>
      <w:r w:rsidRPr="00A905EA">
        <w:rPr>
          <w:rFonts w:eastAsia="Calibri"/>
          <w:color w:val="000000"/>
          <w:sz w:val="20"/>
          <w:szCs w:val="20"/>
        </w:rPr>
        <w:t xml:space="preserve"> </w:t>
      </w:r>
      <w:proofErr w:type="spellStart"/>
      <w:r w:rsidRPr="00A905EA">
        <w:rPr>
          <w:rFonts w:eastAsia="Calibri"/>
          <w:color w:val="000000"/>
          <w:sz w:val="20"/>
          <w:szCs w:val="20"/>
        </w:rPr>
        <w:t>using</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E56656">
        <w:rPr>
          <w:rFonts w:eastAsia="Calibri"/>
          <w:i/>
          <w:iCs/>
          <w:color w:val="000000"/>
          <w:sz w:val="20"/>
          <w:szCs w:val="20"/>
        </w:rPr>
        <w:t>fungus</w:t>
      </w:r>
      <w:proofErr w:type="spellEnd"/>
      <w:r w:rsidRPr="00E56656">
        <w:rPr>
          <w:rFonts w:eastAsia="Calibri"/>
          <w:i/>
          <w:iCs/>
          <w:color w:val="000000"/>
          <w:sz w:val="20"/>
          <w:szCs w:val="20"/>
        </w:rPr>
        <w:t xml:space="preserve"> </w:t>
      </w:r>
      <w:proofErr w:type="spellStart"/>
      <w:r w:rsidRPr="00E56656">
        <w:rPr>
          <w:rFonts w:eastAsia="Calibri"/>
          <w:i/>
          <w:iCs/>
          <w:color w:val="000000"/>
          <w:sz w:val="20"/>
          <w:szCs w:val="20"/>
        </w:rPr>
        <w:t>Penicillium</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bacteria</w:t>
      </w:r>
      <w:proofErr w:type="spellEnd"/>
      <w:r w:rsidRPr="00A905EA">
        <w:rPr>
          <w:rFonts w:eastAsia="Calibri"/>
          <w:color w:val="000000"/>
          <w:sz w:val="20"/>
          <w:szCs w:val="20"/>
        </w:rPr>
        <w:t xml:space="preserve"> </w:t>
      </w:r>
      <w:proofErr w:type="spellStart"/>
      <w:r w:rsidRPr="00A905EA">
        <w:rPr>
          <w:rFonts w:eastAsia="Calibri"/>
          <w:color w:val="000000"/>
          <w:sz w:val="20"/>
          <w:szCs w:val="20"/>
        </w:rPr>
        <w:t>from</w:t>
      </w:r>
      <w:proofErr w:type="spellEnd"/>
      <w:r w:rsidRPr="00A905EA">
        <w:rPr>
          <w:rFonts w:eastAsia="Calibri"/>
          <w:color w:val="000000"/>
          <w:sz w:val="20"/>
          <w:szCs w:val="20"/>
        </w:rPr>
        <w:t xml:space="preserve"> </w:t>
      </w:r>
      <w:proofErr w:type="spellStart"/>
      <w:r w:rsidRPr="00A905EA">
        <w:rPr>
          <w:rFonts w:eastAsia="Calibri"/>
          <w:color w:val="000000"/>
          <w:sz w:val="20"/>
          <w:szCs w:val="20"/>
        </w:rPr>
        <w:t>the</w:t>
      </w:r>
      <w:proofErr w:type="spellEnd"/>
      <w:r w:rsidRPr="00A905EA">
        <w:rPr>
          <w:rFonts w:eastAsia="Calibri"/>
          <w:color w:val="000000"/>
          <w:sz w:val="20"/>
          <w:szCs w:val="20"/>
        </w:rPr>
        <w:t xml:space="preserve"> </w:t>
      </w:r>
      <w:proofErr w:type="spellStart"/>
      <w:r w:rsidRPr="00E56656">
        <w:rPr>
          <w:rFonts w:eastAsia="Calibri"/>
          <w:i/>
          <w:iCs/>
          <w:color w:val="000000"/>
          <w:sz w:val="20"/>
          <w:szCs w:val="20"/>
        </w:rPr>
        <w:t>Enterobacteriaceae</w:t>
      </w:r>
      <w:proofErr w:type="spellEnd"/>
      <w:r w:rsidRPr="00A905EA">
        <w:rPr>
          <w:rFonts w:eastAsia="Calibri"/>
          <w:color w:val="000000"/>
          <w:sz w:val="20"/>
          <w:szCs w:val="20"/>
        </w:rPr>
        <w:t xml:space="preserve"> </w:t>
      </w:r>
      <w:proofErr w:type="spellStart"/>
      <w:r w:rsidRPr="00A905EA">
        <w:rPr>
          <w:rFonts w:eastAsia="Calibri"/>
          <w:color w:val="000000"/>
          <w:sz w:val="20"/>
          <w:szCs w:val="20"/>
        </w:rPr>
        <w:t>family</w:t>
      </w:r>
      <w:proofErr w:type="spellEnd"/>
      <w:r w:rsidRPr="00A905EA">
        <w:rPr>
          <w:rFonts w:eastAsia="Calibri"/>
          <w:color w:val="000000"/>
          <w:sz w:val="20"/>
          <w:szCs w:val="20"/>
        </w:rPr>
        <w:t xml:space="preserve">, </w:t>
      </w:r>
      <w:proofErr w:type="spellStart"/>
      <w:r w:rsidRPr="00A905EA">
        <w:rPr>
          <w:rFonts w:eastAsia="Calibri"/>
          <w:color w:val="000000"/>
          <w:sz w:val="20"/>
          <w:szCs w:val="20"/>
        </w:rPr>
        <w:t>nanoparticles</w:t>
      </w:r>
      <w:proofErr w:type="spellEnd"/>
      <w:r w:rsidRPr="00A905EA">
        <w:rPr>
          <w:rFonts w:eastAsia="Calibri"/>
          <w:color w:val="000000"/>
          <w:sz w:val="20"/>
          <w:szCs w:val="20"/>
        </w:rPr>
        <w:t xml:space="preserve"> </w:t>
      </w:r>
      <w:proofErr w:type="spellStart"/>
      <w:r w:rsidRPr="00A905EA">
        <w:rPr>
          <w:rFonts w:eastAsia="Calibri"/>
          <w:color w:val="000000"/>
          <w:sz w:val="20"/>
          <w:szCs w:val="20"/>
        </w:rPr>
        <w:t>of</w:t>
      </w:r>
      <w:proofErr w:type="spellEnd"/>
      <w:r w:rsidRPr="00A905EA">
        <w:rPr>
          <w:rFonts w:eastAsia="Calibri"/>
          <w:color w:val="000000"/>
          <w:sz w:val="20"/>
          <w:szCs w:val="20"/>
        </w:rPr>
        <w:t xml:space="preserve"> </w:t>
      </w:r>
      <w:proofErr w:type="spellStart"/>
      <w:r w:rsidRPr="00A905EA">
        <w:rPr>
          <w:rFonts w:eastAsia="Calibri"/>
          <w:color w:val="000000"/>
          <w:sz w:val="20"/>
          <w:szCs w:val="20"/>
        </w:rPr>
        <w:t>copper</w:t>
      </w:r>
      <w:proofErr w:type="spellEnd"/>
      <w:r w:rsidRPr="00A905EA">
        <w:rPr>
          <w:rFonts w:eastAsia="Calibri"/>
          <w:color w:val="000000"/>
          <w:sz w:val="20"/>
          <w:szCs w:val="20"/>
        </w:rPr>
        <w:t xml:space="preserve"> oxide, </w:t>
      </w:r>
      <w:proofErr w:type="spellStart"/>
      <w:r w:rsidRPr="00A905EA">
        <w:rPr>
          <w:rFonts w:eastAsia="Calibri"/>
          <w:color w:val="000000"/>
          <w:sz w:val="20"/>
          <w:szCs w:val="20"/>
        </w:rPr>
        <w:t>silver</w:t>
      </w:r>
      <w:proofErr w:type="spellEnd"/>
      <w:r w:rsidRPr="00A905EA">
        <w:rPr>
          <w:rFonts w:eastAsia="Calibri"/>
          <w:color w:val="000000"/>
          <w:sz w:val="20"/>
          <w:szCs w:val="20"/>
        </w:rPr>
        <w:t xml:space="preserve">, </w:t>
      </w:r>
      <w:proofErr w:type="spellStart"/>
      <w:r w:rsidRPr="00A905EA">
        <w:rPr>
          <w:rFonts w:eastAsia="Calibri"/>
          <w:color w:val="000000"/>
          <w:sz w:val="20"/>
          <w:szCs w:val="20"/>
        </w:rPr>
        <w:t>and</w:t>
      </w:r>
      <w:proofErr w:type="spellEnd"/>
      <w:r w:rsidRPr="00A905EA">
        <w:rPr>
          <w:rFonts w:eastAsia="Calibri"/>
          <w:color w:val="000000"/>
          <w:sz w:val="20"/>
          <w:szCs w:val="20"/>
        </w:rPr>
        <w:t xml:space="preserve"> </w:t>
      </w:r>
      <w:proofErr w:type="spellStart"/>
      <w:r w:rsidRPr="00A905EA">
        <w:rPr>
          <w:rFonts w:eastAsia="Calibri"/>
          <w:color w:val="000000"/>
          <w:sz w:val="20"/>
          <w:szCs w:val="20"/>
        </w:rPr>
        <w:t>gold</w:t>
      </w:r>
      <w:proofErr w:type="spellEnd"/>
      <w:r w:rsidRPr="00A905EA">
        <w:rPr>
          <w:rFonts w:eastAsia="Calibri"/>
          <w:color w:val="000000"/>
          <w:sz w:val="20"/>
          <w:szCs w:val="20"/>
        </w:rPr>
        <w:t xml:space="preserve"> </w:t>
      </w:r>
      <w:proofErr w:type="spellStart"/>
      <w:r w:rsidRPr="00A905EA">
        <w:rPr>
          <w:rFonts w:eastAsia="Calibri"/>
          <w:color w:val="000000"/>
          <w:sz w:val="20"/>
          <w:szCs w:val="20"/>
        </w:rPr>
        <w:t>were</w:t>
      </w:r>
      <w:proofErr w:type="spellEnd"/>
      <w:r w:rsidRPr="00A905EA">
        <w:rPr>
          <w:rFonts w:eastAsia="Calibri"/>
          <w:color w:val="000000"/>
          <w:sz w:val="20"/>
          <w:szCs w:val="20"/>
        </w:rPr>
        <w:t xml:space="preserve"> </w:t>
      </w:r>
      <w:proofErr w:type="spellStart"/>
      <w:r w:rsidRPr="00A905EA">
        <w:rPr>
          <w:rFonts w:eastAsia="Calibri"/>
          <w:color w:val="000000"/>
          <w:sz w:val="20"/>
          <w:szCs w:val="20"/>
        </w:rPr>
        <w:t>synthesized</w:t>
      </w:r>
      <w:proofErr w:type="spellEnd"/>
      <w:r w:rsidRPr="00A905EA">
        <w:rPr>
          <w:rFonts w:eastAsia="Calibri"/>
          <w:color w:val="000000"/>
          <w:sz w:val="20"/>
          <w:szCs w:val="20"/>
        </w:rPr>
        <w:t>.</w:t>
      </w:r>
    </w:p>
    <w:p w14:paraId="6D4F2B54" w14:textId="3C34BEFB" w:rsidR="00344C23" w:rsidRPr="00EF6811" w:rsidRDefault="00344C23" w:rsidP="00F10800">
      <w:pPr>
        <w:pBdr>
          <w:top w:val="nil"/>
          <w:left w:val="nil"/>
          <w:bottom w:val="nil"/>
          <w:right w:val="nil"/>
          <w:between w:val="nil"/>
        </w:pBdr>
        <w:jc w:val="both"/>
        <w:rPr>
          <w:rFonts w:ascii="Calibri" w:eastAsia="Calibri" w:hAnsi="Calibri" w:cs="Calibri"/>
          <w:color w:val="000000"/>
        </w:rPr>
      </w:pPr>
    </w:p>
    <w:p w14:paraId="7582913B" w14:textId="5E5CA6D3" w:rsidR="008A2ED7" w:rsidRPr="00323025" w:rsidRDefault="008A4894" w:rsidP="008A2ED7">
      <w:pPr>
        <w:pBdr>
          <w:top w:val="nil"/>
          <w:left w:val="nil"/>
          <w:bottom w:val="nil"/>
          <w:right w:val="nil"/>
          <w:between w:val="nil"/>
        </w:pBdr>
        <w:ind w:firstLine="708"/>
        <w:jc w:val="both"/>
        <w:rPr>
          <w:rFonts w:eastAsia="Calibri"/>
          <w:b/>
          <w:color w:val="000000"/>
          <w:sz w:val="20"/>
          <w:szCs w:val="20"/>
        </w:rPr>
      </w:pPr>
      <w:r w:rsidRPr="00323025">
        <w:rPr>
          <w:rFonts w:eastAsia="Calibri"/>
          <w:b/>
          <w:color w:val="000000"/>
          <w:sz w:val="20"/>
          <w:szCs w:val="20"/>
        </w:rPr>
        <w:t>2.</w:t>
      </w:r>
      <w:r w:rsidR="00344C23">
        <w:rPr>
          <w:rFonts w:eastAsia="Calibri"/>
          <w:b/>
          <w:color w:val="000000"/>
          <w:sz w:val="20"/>
          <w:szCs w:val="20"/>
        </w:rPr>
        <w:t>4</w:t>
      </w:r>
      <w:r w:rsidRPr="00323025">
        <w:rPr>
          <w:rFonts w:eastAsia="Calibri"/>
          <w:b/>
          <w:color w:val="000000"/>
          <w:sz w:val="20"/>
          <w:szCs w:val="20"/>
        </w:rPr>
        <w:t xml:space="preserve"> </w:t>
      </w:r>
      <w:proofErr w:type="spellStart"/>
      <w:r w:rsidR="00F10800" w:rsidRPr="00323025">
        <w:rPr>
          <w:rFonts w:eastAsia="Calibri"/>
          <w:b/>
          <w:color w:val="000000"/>
          <w:sz w:val="20"/>
          <w:szCs w:val="20"/>
        </w:rPr>
        <w:t>Microorganisms</w:t>
      </w:r>
      <w:proofErr w:type="spellEnd"/>
      <w:r w:rsidR="00F10800" w:rsidRPr="00323025">
        <w:rPr>
          <w:rFonts w:eastAsia="Calibri"/>
          <w:b/>
          <w:color w:val="000000"/>
          <w:sz w:val="20"/>
          <w:szCs w:val="20"/>
        </w:rPr>
        <w:t xml:space="preserve"> </w:t>
      </w:r>
      <w:proofErr w:type="spellStart"/>
      <w:r w:rsidR="00F10800" w:rsidRPr="00323025">
        <w:rPr>
          <w:rFonts w:eastAsia="Calibri"/>
          <w:b/>
          <w:color w:val="000000"/>
          <w:sz w:val="20"/>
          <w:szCs w:val="20"/>
        </w:rPr>
        <w:t>of</w:t>
      </w:r>
      <w:proofErr w:type="spellEnd"/>
      <w:r w:rsidR="00F10800" w:rsidRPr="00323025">
        <w:rPr>
          <w:rFonts w:eastAsia="Calibri"/>
          <w:b/>
          <w:color w:val="000000"/>
          <w:sz w:val="20"/>
          <w:szCs w:val="20"/>
        </w:rPr>
        <w:t xml:space="preserve"> </w:t>
      </w:r>
      <w:proofErr w:type="spellStart"/>
      <w:r w:rsidR="00F10800" w:rsidRPr="00323025">
        <w:rPr>
          <w:rFonts w:eastAsia="Calibri"/>
          <w:b/>
          <w:color w:val="000000"/>
          <w:sz w:val="20"/>
          <w:szCs w:val="20"/>
        </w:rPr>
        <w:t>interest</w:t>
      </w:r>
      <w:proofErr w:type="spellEnd"/>
    </w:p>
    <w:p w14:paraId="2D0A6B16" w14:textId="77777777" w:rsidR="00FE0E85" w:rsidRPr="00FE0E85" w:rsidRDefault="00FE0E85" w:rsidP="008A2ED7">
      <w:pPr>
        <w:pBdr>
          <w:top w:val="nil"/>
          <w:left w:val="nil"/>
          <w:bottom w:val="nil"/>
          <w:right w:val="nil"/>
          <w:between w:val="nil"/>
        </w:pBdr>
        <w:ind w:firstLine="708"/>
        <w:jc w:val="both"/>
        <w:rPr>
          <w:rFonts w:ascii="Calibri" w:eastAsia="Calibri" w:hAnsi="Calibri" w:cs="Calibri"/>
          <w:b/>
          <w:color w:val="000000"/>
          <w:sz w:val="28"/>
          <w:szCs w:val="28"/>
        </w:rPr>
      </w:pPr>
    </w:p>
    <w:p w14:paraId="23AAE7DE" w14:textId="77777777" w:rsidR="00115695" w:rsidRDefault="00115695" w:rsidP="008D1CE4">
      <w:pPr>
        <w:pBdr>
          <w:top w:val="nil"/>
          <w:left w:val="nil"/>
          <w:bottom w:val="nil"/>
          <w:right w:val="nil"/>
          <w:between w:val="nil"/>
        </w:pBdr>
        <w:spacing w:line="276" w:lineRule="auto"/>
        <w:ind w:firstLine="708"/>
        <w:jc w:val="both"/>
        <w:rPr>
          <w:rFonts w:eastAsia="Calibri"/>
          <w:color w:val="000000"/>
          <w:sz w:val="20"/>
          <w:szCs w:val="20"/>
        </w:rPr>
      </w:pPr>
      <w:proofErr w:type="spellStart"/>
      <w:r w:rsidRPr="00115695">
        <w:rPr>
          <w:rFonts w:eastAsia="Calibri"/>
          <w:color w:val="000000"/>
          <w:sz w:val="20"/>
          <w:szCs w:val="20"/>
        </w:rPr>
        <w:t>Bacteria</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fungi are </w:t>
      </w:r>
      <w:proofErr w:type="spellStart"/>
      <w:r w:rsidRPr="00115695">
        <w:rPr>
          <w:rFonts w:eastAsia="Calibri"/>
          <w:color w:val="000000"/>
          <w:sz w:val="20"/>
          <w:szCs w:val="20"/>
        </w:rPr>
        <w:t>microorganisms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that</w:t>
      </w:r>
      <w:proofErr w:type="spellEnd"/>
      <w:r w:rsidRPr="00115695">
        <w:rPr>
          <w:rFonts w:eastAsia="Calibri"/>
          <w:color w:val="000000"/>
          <w:sz w:val="20"/>
          <w:szCs w:val="20"/>
        </w:rPr>
        <w:t xml:space="preserve"> </w:t>
      </w:r>
      <w:proofErr w:type="spellStart"/>
      <w:r w:rsidRPr="00115695">
        <w:rPr>
          <w:rFonts w:eastAsia="Calibri"/>
          <w:color w:val="000000"/>
          <w:sz w:val="20"/>
          <w:szCs w:val="20"/>
        </w:rPr>
        <w:t>belong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Monera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Fungi </w:t>
      </w:r>
      <w:proofErr w:type="spellStart"/>
      <w:r w:rsidRPr="00115695">
        <w:rPr>
          <w:rFonts w:eastAsia="Calibri"/>
          <w:color w:val="000000"/>
          <w:sz w:val="20"/>
          <w:szCs w:val="20"/>
        </w:rPr>
        <w:t>kingdoms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respectively</w:t>
      </w:r>
      <w:proofErr w:type="spellEnd"/>
      <w:r w:rsidRPr="00115695">
        <w:rPr>
          <w:rFonts w:eastAsia="Calibri"/>
          <w:color w:val="000000"/>
          <w:sz w:val="20"/>
          <w:szCs w:val="20"/>
        </w:rPr>
        <w:t xml:space="preserve">. The </w:t>
      </w:r>
      <w:proofErr w:type="spellStart"/>
      <w:r w:rsidRPr="00115695">
        <w:rPr>
          <w:rFonts w:eastAsia="Calibri"/>
          <w:color w:val="000000"/>
          <w:sz w:val="20"/>
          <w:szCs w:val="20"/>
        </w:rPr>
        <w:t>former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can</w:t>
      </w:r>
      <w:proofErr w:type="spellEnd"/>
      <w:r w:rsidRPr="00115695">
        <w:rPr>
          <w:rFonts w:eastAsia="Calibri"/>
          <w:color w:val="000000"/>
          <w:sz w:val="20"/>
          <w:szCs w:val="20"/>
        </w:rPr>
        <w:t xml:space="preserve"> </w:t>
      </w:r>
      <w:proofErr w:type="spellStart"/>
      <w:r w:rsidRPr="00115695">
        <w:rPr>
          <w:rFonts w:eastAsia="Calibri"/>
          <w:color w:val="000000"/>
          <w:sz w:val="20"/>
          <w:szCs w:val="20"/>
        </w:rPr>
        <w:t>be</w:t>
      </w:r>
      <w:proofErr w:type="spellEnd"/>
      <w:r w:rsidRPr="00115695">
        <w:rPr>
          <w:rFonts w:eastAsia="Calibri"/>
          <w:color w:val="000000"/>
          <w:sz w:val="20"/>
          <w:szCs w:val="20"/>
        </w:rPr>
        <w:t xml:space="preserve"> </w:t>
      </w:r>
      <w:proofErr w:type="spellStart"/>
      <w:r w:rsidRPr="00115695">
        <w:rPr>
          <w:rFonts w:eastAsia="Calibri"/>
          <w:color w:val="000000"/>
          <w:sz w:val="20"/>
          <w:szCs w:val="20"/>
        </w:rPr>
        <w:t>found</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environment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human</w:t>
      </w:r>
      <w:proofErr w:type="spellEnd"/>
      <w:r w:rsidRPr="00115695">
        <w:rPr>
          <w:rFonts w:eastAsia="Calibri"/>
          <w:color w:val="000000"/>
          <w:sz w:val="20"/>
          <w:szCs w:val="20"/>
        </w:rPr>
        <w:t xml:space="preserve"> body; some cause </w:t>
      </w:r>
      <w:proofErr w:type="spellStart"/>
      <w:r w:rsidRPr="00115695">
        <w:rPr>
          <w:rFonts w:eastAsia="Calibri"/>
          <w:color w:val="000000"/>
          <w:sz w:val="20"/>
          <w:szCs w:val="20"/>
        </w:rPr>
        <w:t>diseases</w:t>
      </w:r>
      <w:proofErr w:type="spellEnd"/>
      <w:r w:rsidRPr="00115695">
        <w:rPr>
          <w:rFonts w:eastAsia="Calibri"/>
          <w:color w:val="000000"/>
          <w:sz w:val="20"/>
          <w:szCs w:val="20"/>
        </w:rPr>
        <w:t xml:space="preserve">. Fungi are </w:t>
      </w:r>
      <w:proofErr w:type="spellStart"/>
      <w:r w:rsidRPr="00115695">
        <w:rPr>
          <w:rFonts w:eastAsia="Calibri"/>
          <w:color w:val="000000"/>
          <w:sz w:val="20"/>
          <w:szCs w:val="20"/>
        </w:rPr>
        <w:t>also</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commonly</w:t>
      </w:r>
      <w:proofErr w:type="spellEnd"/>
      <w:r w:rsidRPr="00115695">
        <w:rPr>
          <w:rFonts w:eastAsia="Calibri"/>
          <w:color w:val="000000"/>
          <w:sz w:val="20"/>
          <w:szCs w:val="20"/>
        </w:rPr>
        <w:t xml:space="preserve"> </w:t>
      </w:r>
      <w:proofErr w:type="spellStart"/>
      <w:r w:rsidRPr="00115695">
        <w:rPr>
          <w:rFonts w:eastAsia="Calibri"/>
          <w:color w:val="000000"/>
          <w:sz w:val="20"/>
          <w:szCs w:val="20"/>
        </w:rPr>
        <w:t>found</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nature</w:t>
      </w:r>
      <w:proofErr w:type="spellEnd"/>
      <w:r w:rsidRPr="00115695">
        <w:rPr>
          <w:rFonts w:eastAsia="Calibri"/>
          <w:color w:val="000000"/>
          <w:sz w:val="20"/>
          <w:szCs w:val="20"/>
        </w:rPr>
        <w:t xml:space="preserve">; some, </w:t>
      </w:r>
      <w:proofErr w:type="spellStart"/>
      <w:r w:rsidRPr="00115695">
        <w:rPr>
          <w:rFonts w:eastAsia="Calibri"/>
          <w:color w:val="000000"/>
          <w:sz w:val="20"/>
          <w:szCs w:val="20"/>
        </w:rPr>
        <w:t>such</w:t>
      </w:r>
      <w:proofErr w:type="spellEnd"/>
      <w:r w:rsidRPr="00115695">
        <w:rPr>
          <w:rFonts w:eastAsia="Calibri"/>
          <w:color w:val="000000"/>
          <w:sz w:val="20"/>
          <w:szCs w:val="20"/>
        </w:rPr>
        <w:t xml:space="preserve"> as </w:t>
      </w:r>
      <w:proofErr w:type="spellStart"/>
      <w:r w:rsidRPr="00115695">
        <w:rPr>
          <w:rFonts w:eastAsia="Calibri"/>
          <w:color w:val="000000"/>
          <w:sz w:val="20"/>
          <w:szCs w:val="20"/>
        </w:rPr>
        <w:t>those</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causing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candidiasis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can</w:t>
      </w:r>
      <w:proofErr w:type="spellEnd"/>
      <w:r w:rsidRPr="00115695">
        <w:rPr>
          <w:rFonts w:eastAsia="Calibri"/>
          <w:color w:val="000000"/>
          <w:sz w:val="20"/>
          <w:szCs w:val="20"/>
        </w:rPr>
        <w:t xml:space="preserve"> </w:t>
      </w:r>
      <w:proofErr w:type="spellStart"/>
      <w:r w:rsidRPr="00115695">
        <w:rPr>
          <w:rFonts w:eastAsia="Calibri"/>
          <w:color w:val="000000"/>
          <w:sz w:val="20"/>
          <w:szCs w:val="20"/>
        </w:rPr>
        <w:t>harm</w:t>
      </w:r>
      <w:proofErr w:type="spellEnd"/>
      <w:r w:rsidRPr="00115695">
        <w:rPr>
          <w:rFonts w:eastAsia="Calibri"/>
          <w:color w:val="000000"/>
          <w:sz w:val="20"/>
          <w:szCs w:val="20"/>
        </w:rPr>
        <w:t xml:space="preserve"> </w:t>
      </w:r>
      <w:proofErr w:type="spellStart"/>
      <w:r w:rsidRPr="00115695">
        <w:rPr>
          <w:rFonts w:eastAsia="Calibri"/>
          <w:color w:val="000000"/>
          <w:sz w:val="20"/>
          <w:szCs w:val="20"/>
        </w:rPr>
        <w:t>humans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Treating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certain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bacteria</w:t>
      </w:r>
      <w:proofErr w:type="spellEnd"/>
      <w:r w:rsidRPr="00115695">
        <w:rPr>
          <w:rFonts w:eastAsia="Calibri"/>
          <w:color w:val="000000"/>
          <w:sz w:val="20"/>
          <w:szCs w:val="20"/>
        </w:rPr>
        <w:t xml:space="preserve">, like </w:t>
      </w:r>
      <w:proofErr w:type="spellStart"/>
      <w:r w:rsidRPr="00E56656">
        <w:rPr>
          <w:rFonts w:eastAsia="Calibri"/>
          <w:i/>
          <w:iCs/>
          <w:color w:val="000000"/>
          <w:sz w:val="20"/>
          <w:szCs w:val="20"/>
        </w:rPr>
        <w:t>Staphylococcus</w:t>
      </w:r>
      <w:proofErr w:type="spellEnd"/>
      <w:r w:rsidRPr="00E56656">
        <w:rPr>
          <w:rFonts w:eastAsia="Calibri"/>
          <w:i/>
          <w:iCs/>
          <w:color w:val="000000"/>
          <w:sz w:val="20"/>
          <w:szCs w:val="20"/>
        </w:rPr>
        <w:t xml:space="preserve"> aureus</w:t>
      </w:r>
      <w:r w:rsidRPr="00115695">
        <w:rPr>
          <w:rFonts w:eastAsia="Calibri"/>
          <w:color w:val="000000"/>
          <w:sz w:val="20"/>
          <w:szCs w:val="20"/>
        </w:rPr>
        <w:t xml:space="preserve">, </w:t>
      </w:r>
      <w:proofErr w:type="spellStart"/>
      <w:r w:rsidRPr="00115695">
        <w:rPr>
          <w:rFonts w:eastAsia="Calibri"/>
          <w:color w:val="000000"/>
          <w:sz w:val="20"/>
          <w:szCs w:val="20"/>
        </w:rPr>
        <w:t>can</w:t>
      </w:r>
      <w:proofErr w:type="spellEnd"/>
      <w:r w:rsidRPr="00115695">
        <w:rPr>
          <w:rFonts w:eastAsia="Calibri"/>
          <w:color w:val="000000"/>
          <w:sz w:val="20"/>
          <w:szCs w:val="20"/>
        </w:rPr>
        <w:t xml:space="preserve"> </w:t>
      </w:r>
      <w:proofErr w:type="spellStart"/>
      <w:r w:rsidRPr="00115695">
        <w:rPr>
          <w:rFonts w:eastAsia="Calibri"/>
          <w:color w:val="000000"/>
          <w:sz w:val="20"/>
          <w:szCs w:val="20"/>
        </w:rPr>
        <w:t>be</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costly</w:t>
      </w:r>
      <w:proofErr w:type="spellEnd"/>
      <w:r w:rsidRPr="00115695">
        <w:rPr>
          <w:rFonts w:eastAsia="Calibri"/>
          <w:color w:val="000000"/>
          <w:sz w:val="20"/>
          <w:szCs w:val="20"/>
        </w:rPr>
        <w:t xml:space="preserve"> </w:t>
      </w:r>
      <w:proofErr w:type="spellStart"/>
      <w:r w:rsidRPr="00115695">
        <w:rPr>
          <w:rFonts w:eastAsia="Calibri"/>
          <w:color w:val="000000"/>
          <w:sz w:val="20"/>
          <w:szCs w:val="20"/>
        </w:rPr>
        <w:t>due</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potential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need</w:t>
      </w:r>
      <w:proofErr w:type="spellEnd"/>
      <w:r w:rsidRPr="00115695">
        <w:rPr>
          <w:rFonts w:eastAsia="Calibri"/>
          <w:color w:val="000000"/>
          <w:sz w:val="20"/>
          <w:szCs w:val="20"/>
        </w:rPr>
        <w:t xml:space="preserve"> for </w:t>
      </w:r>
      <w:proofErr w:type="spellStart"/>
      <w:r w:rsidRPr="00115695">
        <w:rPr>
          <w:rFonts w:eastAsia="Calibri"/>
          <w:color w:val="000000"/>
          <w:sz w:val="20"/>
          <w:szCs w:val="20"/>
        </w:rPr>
        <w:t>prolonged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antibiotic</w:t>
      </w:r>
      <w:proofErr w:type="spellEnd"/>
      <w:r w:rsidRPr="00115695">
        <w:rPr>
          <w:rFonts w:eastAsia="Calibri"/>
          <w:color w:val="000000"/>
          <w:sz w:val="20"/>
          <w:szCs w:val="20"/>
        </w:rPr>
        <w:t xml:space="preserve"> use. Some </w:t>
      </w:r>
      <w:proofErr w:type="spellStart"/>
      <w:r w:rsidRPr="00115695">
        <w:rPr>
          <w:rFonts w:eastAsia="Calibri"/>
          <w:color w:val="000000"/>
          <w:sz w:val="20"/>
          <w:szCs w:val="20"/>
        </w:rPr>
        <w:t>microorganisms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have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developed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resistance</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most</w:t>
      </w:r>
      <w:proofErr w:type="spellEnd"/>
      <w:r w:rsidRPr="00115695">
        <w:rPr>
          <w:rFonts w:eastAsia="Calibri"/>
          <w:color w:val="000000"/>
          <w:sz w:val="20"/>
          <w:szCs w:val="20"/>
        </w:rPr>
        <w:t xml:space="preserve"> </w:t>
      </w:r>
      <w:proofErr w:type="spellStart"/>
      <w:r w:rsidRPr="00115695">
        <w:rPr>
          <w:rFonts w:eastAsia="Calibri"/>
          <w:color w:val="000000"/>
          <w:sz w:val="20"/>
          <w:szCs w:val="20"/>
        </w:rPr>
        <w:t>available</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antimicrobials</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including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oxacillin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methicillin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cephalosporins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resistance</w:t>
      </w:r>
      <w:proofErr w:type="spellEnd"/>
      <w:r w:rsidRPr="00115695">
        <w:rPr>
          <w:rFonts w:eastAsia="Calibri"/>
          <w:color w:val="000000"/>
          <w:sz w:val="20"/>
          <w:szCs w:val="20"/>
        </w:rPr>
        <w:t xml:space="preserve"> poses a </w:t>
      </w:r>
      <w:proofErr w:type="spellStart"/>
      <w:r w:rsidRPr="00115695">
        <w:rPr>
          <w:rFonts w:eastAsia="Calibri"/>
          <w:color w:val="000000"/>
          <w:sz w:val="20"/>
          <w:szCs w:val="20"/>
        </w:rPr>
        <w:t>significant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threat</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global </w:t>
      </w:r>
      <w:proofErr w:type="spellStart"/>
      <w:r w:rsidRPr="00115695">
        <w:rPr>
          <w:rFonts w:eastAsia="Calibri"/>
          <w:color w:val="000000"/>
          <w:sz w:val="20"/>
          <w:szCs w:val="20"/>
        </w:rPr>
        <w:t>health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Nanoparticles</w:t>
      </w:r>
      <w:proofErr w:type="spellEnd"/>
      <w:r w:rsidRPr="00115695">
        <w:rPr>
          <w:rFonts w:eastAsia="Calibri"/>
          <w:color w:val="000000"/>
          <w:sz w:val="20"/>
          <w:szCs w:val="20"/>
        </w:rPr>
        <w:t xml:space="preserve"> are </w:t>
      </w:r>
      <w:proofErr w:type="spellStart"/>
      <w:r w:rsidRPr="00115695">
        <w:rPr>
          <w:rFonts w:eastAsia="Calibri"/>
          <w:color w:val="000000"/>
          <w:sz w:val="20"/>
          <w:szCs w:val="20"/>
        </w:rPr>
        <w:t>being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explored</w:t>
      </w:r>
      <w:proofErr w:type="spellEnd"/>
      <w:r w:rsidRPr="00115695">
        <w:rPr>
          <w:rFonts w:eastAsia="Calibri"/>
          <w:color w:val="000000"/>
          <w:sz w:val="20"/>
          <w:szCs w:val="20"/>
        </w:rPr>
        <w:t xml:space="preserve"> as </w:t>
      </w:r>
      <w:proofErr w:type="spellStart"/>
      <w:r w:rsidRPr="00115695">
        <w:rPr>
          <w:rFonts w:eastAsia="Calibri"/>
          <w:color w:val="000000"/>
          <w:sz w:val="20"/>
          <w:szCs w:val="20"/>
        </w:rPr>
        <w:t>alternative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treatments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that</w:t>
      </w:r>
      <w:proofErr w:type="spellEnd"/>
      <w:r w:rsidRPr="00115695">
        <w:rPr>
          <w:rFonts w:eastAsia="Calibri"/>
          <w:color w:val="000000"/>
          <w:sz w:val="20"/>
          <w:szCs w:val="20"/>
        </w:rPr>
        <w:t xml:space="preserve"> </w:t>
      </w:r>
      <w:proofErr w:type="spellStart"/>
      <w:r w:rsidRPr="00115695">
        <w:rPr>
          <w:rFonts w:eastAsia="Calibri"/>
          <w:color w:val="000000"/>
          <w:sz w:val="20"/>
          <w:szCs w:val="20"/>
        </w:rPr>
        <w:t>exert</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toxicity</w:t>
      </w:r>
      <w:proofErr w:type="spellEnd"/>
      <w:r w:rsidRPr="00115695">
        <w:rPr>
          <w:rFonts w:eastAsia="Calibri"/>
          <w:color w:val="000000"/>
          <w:sz w:val="20"/>
          <w:szCs w:val="20"/>
        </w:rPr>
        <w:t xml:space="preserve"> </w:t>
      </w:r>
      <w:proofErr w:type="spellStart"/>
      <w:r w:rsidRPr="00115695">
        <w:rPr>
          <w:rFonts w:eastAsia="Calibri"/>
          <w:color w:val="000000"/>
          <w:sz w:val="20"/>
          <w:szCs w:val="20"/>
        </w:rPr>
        <w:t>against</w:t>
      </w:r>
      <w:proofErr w:type="spellEnd"/>
      <w:r w:rsidRPr="00115695">
        <w:rPr>
          <w:rFonts w:eastAsia="Calibri"/>
          <w:color w:val="000000"/>
          <w:sz w:val="20"/>
          <w:szCs w:val="20"/>
        </w:rPr>
        <w:t xml:space="preserve"> </w:t>
      </w:r>
      <w:proofErr w:type="spellStart"/>
      <w:r w:rsidRPr="00115695">
        <w:rPr>
          <w:rFonts w:eastAsia="Calibri"/>
          <w:color w:val="000000"/>
          <w:sz w:val="20"/>
          <w:szCs w:val="20"/>
        </w:rPr>
        <w:t>bacteria</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through</w:t>
      </w:r>
      <w:proofErr w:type="spellEnd"/>
      <w:r w:rsidRPr="00115695">
        <w:rPr>
          <w:rFonts w:eastAsia="Calibri"/>
          <w:color w:val="000000"/>
          <w:sz w:val="20"/>
          <w:szCs w:val="20"/>
        </w:rPr>
        <w:t xml:space="preserve"> </w:t>
      </w:r>
      <w:proofErr w:type="spellStart"/>
      <w:r w:rsidRPr="00115695">
        <w:rPr>
          <w:rFonts w:eastAsia="Calibri"/>
          <w:color w:val="000000"/>
          <w:sz w:val="20"/>
          <w:szCs w:val="20"/>
        </w:rPr>
        <w:t>mechanisms</w:t>
      </w:r>
      <w:proofErr w:type="spellEnd"/>
      <w:r w:rsidRPr="00115695">
        <w:rPr>
          <w:rFonts w:eastAsia="Calibri"/>
          <w:color w:val="000000"/>
          <w:sz w:val="20"/>
          <w:szCs w:val="20"/>
        </w:rPr>
        <w:t xml:space="preserve"> similar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those</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conventional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antibiotics</w:t>
      </w:r>
      <w:proofErr w:type="spellEnd"/>
      <w:r w:rsidRPr="00115695">
        <w:rPr>
          <w:rFonts w:eastAsia="Calibri"/>
          <w:color w:val="000000"/>
          <w:sz w:val="20"/>
          <w:szCs w:val="20"/>
        </w:rPr>
        <w:t xml:space="preserve">. For </w:t>
      </w:r>
      <w:proofErr w:type="spellStart"/>
      <w:r w:rsidRPr="00115695">
        <w:rPr>
          <w:rFonts w:eastAsia="Calibri"/>
          <w:color w:val="000000"/>
          <w:sz w:val="20"/>
          <w:szCs w:val="20"/>
        </w:rPr>
        <w:t>example</w:t>
      </w:r>
      <w:proofErr w:type="spellEnd"/>
      <w:r w:rsidRPr="00115695">
        <w:rPr>
          <w:rFonts w:eastAsia="Calibri"/>
          <w:color w:val="000000"/>
          <w:sz w:val="20"/>
          <w:szCs w:val="20"/>
        </w:rPr>
        <w:t xml:space="preserve">, </w:t>
      </w:r>
      <w:proofErr w:type="spellStart"/>
      <w:r w:rsidRPr="00115695">
        <w:rPr>
          <w:rFonts w:eastAsia="Calibri"/>
          <w:color w:val="000000"/>
          <w:sz w:val="20"/>
          <w:szCs w:val="20"/>
        </w:rPr>
        <w:t>silver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nanoparticles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AgNPs</w:t>
      </w:r>
      <w:proofErr w:type="spellEnd"/>
      <w:r w:rsidRPr="00115695">
        <w:rPr>
          <w:rFonts w:eastAsia="Calibri"/>
          <w:color w:val="000000"/>
          <w:sz w:val="20"/>
          <w:szCs w:val="20"/>
        </w:rPr>
        <w:t xml:space="preserve">) </w:t>
      </w:r>
      <w:proofErr w:type="spellStart"/>
      <w:r w:rsidRPr="00115695">
        <w:rPr>
          <w:rFonts w:eastAsia="Calibri"/>
          <w:color w:val="000000"/>
          <w:sz w:val="20"/>
          <w:szCs w:val="20"/>
        </w:rPr>
        <w:t>disrupt</w:t>
      </w:r>
      <w:proofErr w:type="spellEnd"/>
      <w:r w:rsidRPr="00115695">
        <w:rPr>
          <w:rFonts w:eastAsia="Calibri"/>
          <w:color w:val="000000"/>
          <w:sz w:val="20"/>
          <w:szCs w:val="20"/>
        </w:rPr>
        <w:t xml:space="preserve"> </w:t>
      </w:r>
      <w:proofErr w:type="spellStart"/>
      <w:r w:rsidRPr="00115695">
        <w:rPr>
          <w:rFonts w:eastAsia="Calibri"/>
          <w:color w:val="000000"/>
          <w:sz w:val="20"/>
          <w:szCs w:val="20"/>
        </w:rPr>
        <w:t>cellular</w:t>
      </w:r>
      <w:proofErr w:type="spellEnd"/>
      <w:r w:rsidRPr="00115695">
        <w:rPr>
          <w:rFonts w:eastAsia="Calibri"/>
          <w:color w:val="000000"/>
          <w:sz w:val="20"/>
          <w:szCs w:val="20"/>
        </w:rPr>
        <w:t xml:space="preserve"> </w:t>
      </w:r>
      <w:proofErr w:type="spellStart"/>
      <w:r w:rsidRPr="00115695">
        <w:rPr>
          <w:rFonts w:eastAsia="Calibri"/>
          <w:color w:val="000000"/>
          <w:sz w:val="20"/>
          <w:szCs w:val="20"/>
        </w:rPr>
        <w:t>morphology</w:t>
      </w:r>
      <w:proofErr w:type="spellEnd"/>
      <w:r w:rsidRPr="00115695">
        <w:rPr>
          <w:rFonts w:eastAsia="Calibri"/>
          <w:color w:val="000000"/>
          <w:sz w:val="20"/>
          <w:szCs w:val="20"/>
        </w:rPr>
        <w:t xml:space="preserve">, </w:t>
      </w:r>
      <w:proofErr w:type="spellStart"/>
      <w:r w:rsidRPr="00115695">
        <w:rPr>
          <w:rFonts w:eastAsia="Calibri"/>
          <w:color w:val="000000"/>
          <w:sz w:val="20"/>
          <w:szCs w:val="20"/>
        </w:rPr>
        <w:t>impair</w:t>
      </w:r>
      <w:proofErr w:type="spellEnd"/>
      <w:r w:rsidRPr="00115695">
        <w:rPr>
          <w:rFonts w:eastAsia="Calibri"/>
          <w:color w:val="000000"/>
          <w:sz w:val="20"/>
          <w:szCs w:val="20"/>
        </w:rPr>
        <w:t xml:space="preserve"> </w:t>
      </w:r>
      <w:proofErr w:type="spellStart"/>
      <w:r w:rsidRPr="00115695">
        <w:rPr>
          <w:rFonts w:eastAsia="Calibri"/>
          <w:color w:val="000000"/>
          <w:sz w:val="20"/>
          <w:szCs w:val="20"/>
        </w:rPr>
        <w:t>ribosome</w:t>
      </w:r>
      <w:proofErr w:type="spellEnd"/>
      <w:r w:rsidRPr="00115695">
        <w:rPr>
          <w:rFonts w:eastAsia="Calibri"/>
          <w:color w:val="000000"/>
          <w:sz w:val="20"/>
          <w:szCs w:val="20"/>
        </w:rPr>
        <w:t xml:space="preserve"> </w:t>
      </w:r>
      <w:proofErr w:type="spellStart"/>
      <w:r w:rsidRPr="00115695">
        <w:rPr>
          <w:rFonts w:eastAsia="Calibri"/>
          <w:color w:val="000000"/>
          <w:sz w:val="20"/>
          <w:szCs w:val="20"/>
        </w:rPr>
        <w:t>function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deactivate</w:t>
      </w:r>
      <w:proofErr w:type="spellEnd"/>
      <w:r w:rsidRPr="00115695">
        <w:rPr>
          <w:rFonts w:eastAsia="Calibri"/>
          <w:color w:val="000000"/>
          <w:sz w:val="20"/>
          <w:szCs w:val="20"/>
        </w:rPr>
        <w:t xml:space="preserve"> proteins,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accumulate</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lethal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levels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within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cells</w:t>
      </w:r>
      <w:proofErr w:type="spellEnd"/>
      <w:r w:rsidRPr="00115695">
        <w:rPr>
          <w:rFonts w:eastAsia="Calibri"/>
          <w:color w:val="000000"/>
          <w:sz w:val="20"/>
          <w:szCs w:val="20"/>
        </w:rPr>
        <w:t xml:space="preserve"> (</w:t>
      </w:r>
      <w:proofErr w:type="spellStart"/>
      <w:r w:rsidRPr="00115695">
        <w:rPr>
          <w:rFonts w:eastAsia="Calibri"/>
          <w:color w:val="000000"/>
          <w:sz w:val="20"/>
          <w:szCs w:val="20"/>
        </w:rPr>
        <w:t>Jankauskaite</w:t>
      </w:r>
      <w:proofErr w:type="spellEnd"/>
      <w:r w:rsidRPr="00115695">
        <w:rPr>
          <w:rFonts w:eastAsia="Calibri"/>
          <w:color w:val="000000"/>
          <w:sz w:val="20"/>
          <w:szCs w:val="20"/>
        </w:rPr>
        <w:t xml:space="preserve"> et al., 2016).</w:t>
      </w:r>
    </w:p>
    <w:p w14:paraId="71684D35" w14:textId="77777777" w:rsidR="00115695" w:rsidRDefault="00115695" w:rsidP="008D1CE4">
      <w:pPr>
        <w:pBdr>
          <w:top w:val="nil"/>
          <w:left w:val="nil"/>
          <w:bottom w:val="nil"/>
          <w:right w:val="nil"/>
          <w:between w:val="nil"/>
        </w:pBdr>
        <w:spacing w:line="276" w:lineRule="auto"/>
        <w:ind w:firstLine="708"/>
        <w:jc w:val="both"/>
        <w:rPr>
          <w:rFonts w:eastAsia="Calibri"/>
          <w:color w:val="000000"/>
          <w:sz w:val="20"/>
          <w:szCs w:val="20"/>
        </w:rPr>
      </w:pPr>
      <w:proofErr w:type="spellStart"/>
      <w:r w:rsidRPr="00115695">
        <w:rPr>
          <w:rFonts w:eastAsia="Calibri"/>
          <w:color w:val="000000"/>
          <w:sz w:val="20"/>
          <w:szCs w:val="20"/>
        </w:rPr>
        <w:t>According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Correa et al. (2020), </w:t>
      </w:r>
      <w:proofErr w:type="spellStart"/>
      <w:r w:rsidRPr="00115695">
        <w:rPr>
          <w:rFonts w:eastAsia="Calibri"/>
          <w:color w:val="000000"/>
          <w:sz w:val="20"/>
          <w:szCs w:val="20"/>
        </w:rPr>
        <w:t>one</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most</w:t>
      </w:r>
      <w:proofErr w:type="spellEnd"/>
      <w:r w:rsidRPr="00115695">
        <w:rPr>
          <w:rFonts w:eastAsia="Calibri"/>
          <w:color w:val="000000"/>
          <w:sz w:val="20"/>
          <w:szCs w:val="20"/>
        </w:rPr>
        <w:t xml:space="preserve"> </w:t>
      </w:r>
      <w:proofErr w:type="spellStart"/>
      <w:r w:rsidRPr="00115695">
        <w:rPr>
          <w:rFonts w:eastAsia="Calibri"/>
          <w:color w:val="000000"/>
          <w:sz w:val="20"/>
          <w:szCs w:val="20"/>
        </w:rPr>
        <w:t>significant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microorganisms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causing</w:t>
      </w:r>
      <w:proofErr w:type="spellEnd"/>
      <w:r w:rsidRPr="00115695">
        <w:rPr>
          <w:rFonts w:eastAsia="Calibri"/>
          <w:color w:val="000000"/>
          <w:sz w:val="20"/>
          <w:szCs w:val="20"/>
        </w:rPr>
        <w:t xml:space="preserve"> hospital, </w:t>
      </w:r>
      <w:proofErr w:type="spellStart"/>
      <w:r w:rsidRPr="00115695">
        <w:rPr>
          <w:rFonts w:eastAsia="Calibri"/>
          <w:color w:val="000000"/>
          <w:sz w:val="20"/>
          <w:szCs w:val="20"/>
        </w:rPr>
        <w:t>urinary</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intestinal </w:t>
      </w:r>
      <w:proofErr w:type="spellStart"/>
      <w:r w:rsidRPr="00115695">
        <w:rPr>
          <w:rFonts w:eastAsia="Calibri"/>
          <w:color w:val="000000"/>
          <w:sz w:val="20"/>
          <w:szCs w:val="20"/>
        </w:rPr>
        <w:t>infections</w:t>
      </w:r>
      <w:proofErr w:type="spellEnd"/>
      <w:r w:rsidRPr="00115695">
        <w:rPr>
          <w:rFonts w:eastAsia="Calibri"/>
          <w:color w:val="000000"/>
          <w:sz w:val="20"/>
          <w:szCs w:val="20"/>
        </w:rPr>
        <w:t xml:space="preserve">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w:t>
      </w:r>
      <w:r w:rsidRPr="00E56656">
        <w:rPr>
          <w:rFonts w:eastAsia="Calibri"/>
          <w:i/>
          <w:iCs/>
          <w:color w:val="000000"/>
          <w:sz w:val="20"/>
          <w:szCs w:val="20"/>
        </w:rPr>
        <w:t>Escherichia coli</w:t>
      </w:r>
      <w:r w:rsidRPr="00115695">
        <w:rPr>
          <w:rFonts w:eastAsia="Calibri"/>
          <w:color w:val="000000"/>
          <w:sz w:val="20"/>
          <w:szCs w:val="20"/>
        </w:rPr>
        <w:t xml:space="preserve"> (E. coli). It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a </w:t>
      </w:r>
      <w:proofErr w:type="spellStart"/>
      <w:r w:rsidRPr="00115695">
        <w:rPr>
          <w:rFonts w:eastAsia="Calibri"/>
          <w:color w:val="000000"/>
          <w:sz w:val="20"/>
          <w:szCs w:val="20"/>
        </w:rPr>
        <w:t>Gram-negative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facultative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anaerobic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bacterium</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that</w:t>
      </w:r>
      <w:proofErr w:type="spellEnd"/>
      <w:r w:rsidRPr="00115695">
        <w:rPr>
          <w:rFonts w:eastAsia="Calibri"/>
          <w:color w:val="000000"/>
          <w:sz w:val="20"/>
          <w:szCs w:val="20"/>
        </w:rPr>
        <w:t xml:space="preserve">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a natural </w:t>
      </w:r>
      <w:proofErr w:type="spellStart"/>
      <w:r w:rsidRPr="00115695">
        <w:rPr>
          <w:rFonts w:eastAsia="Calibri"/>
          <w:color w:val="000000"/>
          <w:sz w:val="20"/>
          <w:szCs w:val="20"/>
        </w:rPr>
        <w:t>part</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human</w:t>
      </w:r>
      <w:proofErr w:type="spellEnd"/>
      <w:r w:rsidRPr="00115695">
        <w:rPr>
          <w:rFonts w:eastAsia="Calibri"/>
          <w:color w:val="000000"/>
          <w:sz w:val="20"/>
          <w:szCs w:val="20"/>
        </w:rPr>
        <w:t xml:space="preserve"> intestinal microbiota. </w:t>
      </w:r>
      <w:proofErr w:type="spellStart"/>
      <w:r w:rsidRPr="00115695">
        <w:rPr>
          <w:rFonts w:eastAsia="Calibri"/>
          <w:color w:val="000000"/>
          <w:sz w:val="20"/>
          <w:szCs w:val="20"/>
        </w:rPr>
        <w:t>This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bacterium</w:t>
      </w:r>
      <w:proofErr w:type="spellEnd"/>
      <w:r w:rsidRPr="00115695">
        <w:rPr>
          <w:rFonts w:eastAsia="Calibri"/>
          <w:color w:val="000000"/>
          <w:sz w:val="20"/>
          <w:szCs w:val="20"/>
        </w:rPr>
        <w:t xml:space="preserve"> causes </w:t>
      </w:r>
      <w:proofErr w:type="spellStart"/>
      <w:r w:rsidRPr="00115695">
        <w:rPr>
          <w:rFonts w:eastAsia="Calibri"/>
          <w:color w:val="000000"/>
          <w:sz w:val="20"/>
          <w:szCs w:val="20"/>
        </w:rPr>
        <w:t>urinary</w:t>
      </w:r>
      <w:proofErr w:type="spellEnd"/>
      <w:r w:rsidRPr="00115695">
        <w:rPr>
          <w:rFonts w:eastAsia="Calibri"/>
          <w:color w:val="000000"/>
          <w:sz w:val="20"/>
          <w:szCs w:val="20"/>
        </w:rPr>
        <w:t xml:space="preserve"> </w:t>
      </w:r>
      <w:proofErr w:type="spellStart"/>
      <w:r w:rsidRPr="00115695">
        <w:rPr>
          <w:rFonts w:eastAsia="Calibri"/>
          <w:color w:val="000000"/>
          <w:sz w:val="20"/>
          <w:szCs w:val="20"/>
        </w:rPr>
        <w:t>tract</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infections</w:t>
      </w:r>
      <w:proofErr w:type="spellEnd"/>
      <w:r w:rsidRPr="00115695">
        <w:rPr>
          <w:rFonts w:eastAsia="Calibri"/>
          <w:color w:val="000000"/>
          <w:sz w:val="20"/>
          <w:szCs w:val="20"/>
        </w:rPr>
        <w:t xml:space="preserve"> (UTIs) in a </w:t>
      </w:r>
      <w:proofErr w:type="spellStart"/>
      <w:r w:rsidRPr="00115695">
        <w:rPr>
          <w:rFonts w:eastAsia="Calibri"/>
          <w:color w:val="000000"/>
          <w:sz w:val="20"/>
          <w:szCs w:val="20"/>
        </w:rPr>
        <w:t>considerable</w:t>
      </w:r>
      <w:proofErr w:type="spellEnd"/>
      <w:r w:rsidRPr="00115695">
        <w:rPr>
          <w:rFonts w:eastAsia="Calibri"/>
          <w:color w:val="000000"/>
          <w:sz w:val="20"/>
          <w:szCs w:val="20"/>
        </w:rPr>
        <w:t xml:space="preserve"> </w:t>
      </w:r>
      <w:proofErr w:type="spellStart"/>
      <w:r w:rsidRPr="00115695">
        <w:rPr>
          <w:rFonts w:eastAsia="Calibri"/>
          <w:color w:val="000000"/>
          <w:sz w:val="20"/>
          <w:szCs w:val="20"/>
        </w:rPr>
        <w:t>number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individuals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Another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category</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microorganisms</w:t>
      </w:r>
      <w:proofErr w:type="spellEnd"/>
      <w:r w:rsidRPr="00115695">
        <w:rPr>
          <w:rFonts w:eastAsia="Calibri"/>
          <w:color w:val="000000"/>
          <w:sz w:val="20"/>
          <w:szCs w:val="20"/>
        </w:rPr>
        <w:t xml:space="preserve">, </w:t>
      </w:r>
      <w:proofErr w:type="spellStart"/>
      <w:r w:rsidRPr="00E56656">
        <w:rPr>
          <w:rFonts w:eastAsia="Calibri"/>
          <w:i/>
          <w:iCs/>
          <w:color w:val="000000"/>
          <w:sz w:val="20"/>
          <w:szCs w:val="20"/>
        </w:rPr>
        <w:t>staphylococci</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consists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Gram-positive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cocci</w:t>
      </w:r>
      <w:proofErr w:type="spellEnd"/>
      <w:r w:rsidRPr="00115695">
        <w:rPr>
          <w:rFonts w:eastAsia="Calibri"/>
          <w:color w:val="000000"/>
          <w:sz w:val="20"/>
          <w:szCs w:val="20"/>
        </w:rPr>
        <w:t xml:space="preserve"> </w:t>
      </w:r>
      <w:proofErr w:type="spellStart"/>
      <w:r w:rsidRPr="00115695">
        <w:rPr>
          <w:rFonts w:eastAsia="Calibri"/>
          <w:color w:val="000000"/>
          <w:sz w:val="20"/>
          <w:szCs w:val="20"/>
        </w:rPr>
        <w:t>found</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human</w:t>
      </w:r>
      <w:proofErr w:type="spellEnd"/>
      <w:r w:rsidRPr="00115695">
        <w:rPr>
          <w:rFonts w:eastAsia="Calibri"/>
          <w:color w:val="000000"/>
          <w:sz w:val="20"/>
          <w:szCs w:val="20"/>
        </w:rPr>
        <w:t xml:space="preserve"> microbiota. </w:t>
      </w:r>
      <w:proofErr w:type="spellStart"/>
      <w:r w:rsidRPr="00E56656">
        <w:rPr>
          <w:rFonts w:eastAsia="Calibri"/>
          <w:i/>
          <w:iCs/>
          <w:color w:val="000000"/>
          <w:sz w:val="20"/>
          <w:szCs w:val="20"/>
        </w:rPr>
        <w:t>Staphylococcus</w:t>
      </w:r>
      <w:proofErr w:type="spellEnd"/>
      <w:r w:rsidRPr="00E56656">
        <w:rPr>
          <w:rFonts w:eastAsia="Calibri"/>
          <w:i/>
          <w:iCs/>
          <w:color w:val="000000"/>
          <w:sz w:val="20"/>
          <w:szCs w:val="20"/>
        </w:rPr>
        <w:t xml:space="preserve"> aureus</w:t>
      </w:r>
      <w:r w:rsidRPr="00115695">
        <w:rPr>
          <w:rFonts w:eastAsia="Calibri"/>
          <w:color w:val="000000"/>
          <w:sz w:val="20"/>
          <w:szCs w:val="20"/>
        </w:rPr>
        <w:t xml:space="preserve">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w:t>
      </w:r>
      <w:proofErr w:type="spellEnd"/>
      <w:r w:rsidRPr="00115695">
        <w:rPr>
          <w:rFonts w:eastAsia="Calibri"/>
          <w:color w:val="000000"/>
          <w:sz w:val="20"/>
          <w:szCs w:val="20"/>
        </w:rPr>
        <w:t xml:space="preserve"> </w:t>
      </w:r>
      <w:proofErr w:type="spellStart"/>
      <w:r w:rsidRPr="00115695">
        <w:rPr>
          <w:rFonts w:eastAsia="Calibri"/>
          <w:color w:val="000000"/>
          <w:sz w:val="20"/>
          <w:szCs w:val="20"/>
        </w:rPr>
        <w:t>opportunistic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pathogen</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capable</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causing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deep</w:t>
      </w:r>
      <w:proofErr w:type="spellEnd"/>
      <w:r w:rsidRPr="00115695">
        <w:rPr>
          <w:rFonts w:eastAsia="Calibri"/>
          <w:color w:val="000000"/>
          <w:sz w:val="20"/>
          <w:szCs w:val="20"/>
        </w:rPr>
        <w:t xml:space="preserve">, superficial,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toxigenic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infections</w:t>
      </w:r>
      <w:proofErr w:type="spellEnd"/>
      <w:r w:rsidRPr="00115695">
        <w:rPr>
          <w:rFonts w:eastAsia="Calibri"/>
          <w:color w:val="000000"/>
          <w:sz w:val="20"/>
          <w:szCs w:val="20"/>
        </w:rPr>
        <w:t xml:space="preserve"> (Correa et al., 2020). </w:t>
      </w:r>
      <w:proofErr w:type="spellStart"/>
      <w:r w:rsidRPr="00115695">
        <w:rPr>
          <w:rFonts w:eastAsia="Calibri"/>
          <w:color w:val="000000"/>
          <w:sz w:val="20"/>
          <w:szCs w:val="20"/>
        </w:rPr>
        <w:t>Methicillin-resistant</w:t>
      </w:r>
      <w:proofErr w:type="spellEnd"/>
      <w:r w:rsidRPr="00115695">
        <w:rPr>
          <w:rFonts w:eastAsia="Calibri"/>
          <w:color w:val="000000"/>
          <w:sz w:val="20"/>
          <w:szCs w:val="20"/>
        </w:rPr>
        <w:t xml:space="preserve"> </w:t>
      </w:r>
      <w:proofErr w:type="spellStart"/>
      <w:r w:rsidRPr="00E56656">
        <w:rPr>
          <w:rFonts w:eastAsia="Calibri"/>
          <w:i/>
          <w:iCs/>
          <w:color w:val="000000"/>
          <w:sz w:val="20"/>
          <w:szCs w:val="20"/>
        </w:rPr>
        <w:t>Staphylococcus</w:t>
      </w:r>
      <w:proofErr w:type="spellEnd"/>
      <w:r w:rsidRPr="00E56656">
        <w:rPr>
          <w:rFonts w:eastAsia="Calibri"/>
          <w:i/>
          <w:iCs/>
          <w:color w:val="000000"/>
          <w:sz w:val="20"/>
          <w:szCs w:val="20"/>
        </w:rPr>
        <w:t xml:space="preserve"> aureus</w:t>
      </w:r>
      <w:r w:rsidRPr="00115695">
        <w:rPr>
          <w:rFonts w:eastAsia="Calibri"/>
          <w:color w:val="000000"/>
          <w:sz w:val="20"/>
          <w:szCs w:val="20"/>
        </w:rPr>
        <w:t xml:space="preserve"> (MRSA)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resistant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all</w:t>
      </w:r>
      <w:proofErr w:type="spellEnd"/>
      <w:r w:rsidRPr="00115695">
        <w:rPr>
          <w:rFonts w:eastAsia="Calibri"/>
          <w:color w:val="000000"/>
          <w:sz w:val="20"/>
          <w:szCs w:val="20"/>
        </w:rPr>
        <w:t xml:space="preserve"> β-lactam </w:t>
      </w:r>
      <w:proofErr w:type="spellStart"/>
      <w:r w:rsidRPr="00115695">
        <w:rPr>
          <w:rFonts w:eastAsia="Calibri"/>
          <w:color w:val="000000"/>
          <w:sz w:val="20"/>
          <w:szCs w:val="20"/>
        </w:rPr>
        <w:t>antimicrobials</w:t>
      </w:r>
      <w:proofErr w:type="spellEnd"/>
      <w:r w:rsidRPr="00115695">
        <w:rPr>
          <w:rFonts w:eastAsia="Calibri"/>
          <w:color w:val="000000"/>
          <w:sz w:val="20"/>
          <w:szCs w:val="20"/>
        </w:rPr>
        <w:t xml:space="preserve">. It </w:t>
      </w:r>
      <w:proofErr w:type="spellStart"/>
      <w:r w:rsidRPr="00115695">
        <w:rPr>
          <w:rFonts w:eastAsia="Calibri"/>
          <w:color w:val="000000"/>
          <w:sz w:val="20"/>
          <w:szCs w:val="20"/>
        </w:rPr>
        <w:t>infects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colonizes </w:t>
      </w:r>
      <w:proofErr w:type="spellStart"/>
      <w:r w:rsidRPr="00115695">
        <w:rPr>
          <w:rFonts w:eastAsia="Calibri"/>
          <w:color w:val="000000"/>
          <w:sz w:val="20"/>
          <w:szCs w:val="20"/>
        </w:rPr>
        <w:t>animals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humans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who</w:t>
      </w:r>
      <w:proofErr w:type="spellEnd"/>
      <w:r w:rsidRPr="00115695">
        <w:rPr>
          <w:rFonts w:eastAsia="Calibri"/>
          <w:color w:val="000000"/>
          <w:sz w:val="20"/>
          <w:szCs w:val="20"/>
        </w:rPr>
        <w:t xml:space="preserve"> are </w:t>
      </w:r>
      <w:proofErr w:type="spellStart"/>
      <w:r w:rsidRPr="00115695">
        <w:rPr>
          <w:rFonts w:eastAsia="Calibri"/>
          <w:color w:val="000000"/>
          <w:sz w:val="20"/>
          <w:szCs w:val="20"/>
        </w:rPr>
        <w:t>considered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main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reservoirs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these</w:t>
      </w:r>
      <w:proofErr w:type="spellEnd"/>
      <w:r w:rsidRPr="00115695">
        <w:rPr>
          <w:rFonts w:eastAsia="Calibri"/>
          <w:color w:val="000000"/>
          <w:sz w:val="20"/>
          <w:szCs w:val="20"/>
        </w:rPr>
        <w:t xml:space="preserve"> </w:t>
      </w:r>
      <w:proofErr w:type="spellStart"/>
      <w:r w:rsidRPr="00115695">
        <w:rPr>
          <w:rFonts w:eastAsia="Calibri"/>
          <w:color w:val="000000"/>
          <w:sz w:val="20"/>
          <w:szCs w:val="20"/>
        </w:rPr>
        <w:t>microorganisms</w:t>
      </w:r>
      <w:proofErr w:type="spellEnd"/>
      <w:r w:rsidRPr="00115695">
        <w:rPr>
          <w:rFonts w:eastAsia="Calibri"/>
          <w:color w:val="000000"/>
          <w:sz w:val="20"/>
          <w:szCs w:val="20"/>
        </w:rPr>
        <w:t>. MRSA-</w:t>
      </w:r>
      <w:proofErr w:type="spellStart"/>
      <w:r w:rsidRPr="00115695">
        <w:rPr>
          <w:rFonts w:eastAsia="Calibri"/>
          <w:color w:val="000000"/>
          <w:sz w:val="20"/>
          <w:szCs w:val="20"/>
        </w:rPr>
        <w:t>infected</w:t>
      </w:r>
      <w:proofErr w:type="spellEnd"/>
      <w:r w:rsidRPr="00115695">
        <w:rPr>
          <w:rFonts w:eastAsia="Calibri"/>
          <w:color w:val="000000"/>
          <w:sz w:val="20"/>
          <w:szCs w:val="20"/>
        </w:rPr>
        <w:t xml:space="preserve"> animal-</w:t>
      </w:r>
      <w:proofErr w:type="spellStart"/>
      <w:r w:rsidRPr="00115695">
        <w:rPr>
          <w:rFonts w:eastAsia="Calibri"/>
          <w:color w:val="000000"/>
          <w:sz w:val="20"/>
          <w:szCs w:val="20"/>
        </w:rPr>
        <w:t>origin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foods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also</w:t>
      </w:r>
      <w:proofErr w:type="spellEnd"/>
      <w:r w:rsidRPr="00115695">
        <w:rPr>
          <w:rFonts w:eastAsia="Calibri"/>
          <w:color w:val="000000"/>
          <w:sz w:val="20"/>
          <w:szCs w:val="20"/>
        </w:rPr>
        <w:t xml:space="preserve"> serve as a </w:t>
      </w:r>
      <w:proofErr w:type="spellStart"/>
      <w:r w:rsidRPr="00115695">
        <w:rPr>
          <w:rFonts w:eastAsia="Calibri"/>
          <w:color w:val="000000"/>
          <w:sz w:val="20"/>
          <w:szCs w:val="20"/>
        </w:rPr>
        <w:t>transmission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vehicle</w:t>
      </w:r>
      <w:proofErr w:type="spellEnd"/>
      <w:r w:rsidRPr="00115695">
        <w:rPr>
          <w:rFonts w:eastAsia="Calibri"/>
          <w:color w:val="000000"/>
          <w:sz w:val="20"/>
          <w:szCs w:val="20"/>
        </w:rPr>
        <w:t xml:space="preserve">, </w:t>
      </w:r>
      <w:proofErr w:type="spellStart"/>
      <w:r w:rsidRPr="00115695">
        <w:rPr>
          <w:rFonts w:eastAsia="Calibri"/>
          <w:color w:val="000000"/>
          <w:sz w:val="20"/>
          <w:szCs w:val="20"/>
        </w:rPr>
        <w:t>with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prevalence</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production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chain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from</w:t>
      </w:r>
      <w:proofErr w:type="spellEnd"/>
      <w:r w:rsidRPr="00115695">
        <w:rPr>
          <w:rFonts w:eastAsia="Calibri"/>
          <w:color w:val="000000"/>
          <w:sz w:val="20"/>
          <w:szCs w:val="20"/>
        </w:rPr>
        <w:t xml:space="preserve"> </w:t>
      </w:r>
      <w:proofErr w:type="spellStart"/>
      <w:r w:rsidRPr="00115695">
        <w:rPr>
          <w:rFonts w:eastAsia="Calibri"/>
          <w:color w:val="000000"/>
          <w:sz w:val="20"/>
          <w:szCs w:val="20"/>
        </w:rPr>
        <w:t>ruminants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dairy</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products</w:t>
      </w:r>
      <w:proofErr w:type="spellEnd"/>
      <w:r w:rsidRPr="00115695">
        <w:rPr>
          <w:rFonts w:eastAsia="Calibri"/>
          <w:color w:val="000000"/>
          <w:sz w:val="20"/>
          <w:szCs w:val="20"/>
        </w:rPr>
        <w:t xml:space="preserve"> (Papadopoulos et al., 2018). </w:t>
      </w:r>
      <w:proofErr w:type="spellStart"/>
      <w:r w:rsidRPr="00115695">
        <w:rPr>
          <w:rFonts w:eastAsia="Calibri"/>
          <w:color w:val="000000"/>
          <w:sz w:val="20"/>
          <w:szCs w:val="20"/>
        </w:rPr>
        <w:t>Within</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realm</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significant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microorganisms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bacterium</w:t>
      </w:r>
      <w:proofErr w:type="spellEnd"/>
      <w:r w:rsidRPr="00115695">
        <w:rPr>
          <w:rFonts w:eastAsia="Calibri"/>
          <w:color w:val="000000"/>
          <w:sz w:val="20"/>
          <w:szCs w:val="20"/>
        </w:rPr>
        <w:t xml:space="preserve"> </w:t>
      </w:r>
      <w:proofErr w:type="spellStart"/>
      <w:r w:rsidRPr="00E56656">
        <w:rPr>
          <w:rFonts w:eastAsia="Calibri"/>
          <w:i/>
          <w:iCs/>
          <w:color w:val="000000"/>
          <w:sz w:val="20"/>
          <w:szCs w:val="20"/>
        </w:rPr>
        <w:t>Klebsiella</w:t>
      </w:r>
      <w:proofErr w:type="spellEnd"/>
      <w:r w:rsidRPr="00115695">
        <w:rPr>
          <w:rFonts w:eastAsia="Calibri"/>
          <w:color w:val="000000"/>
          <w:sz w:val="20"/>
          <w:szCs w:val="20"/>
        </w:rPr>
        <w:t xml:space="preserve"> </w:t>
      </w:r>
      <w:proofErr w:type="spellStart"/>
      <w:r w:rsidRPr="00E56656">
        <w:rPr>
          <w:rFonts w:eastAsia="Calibri"/>
          <w:i/>
          <w:iCs/>
          <w:color w:val="000000"/>
          <w:sz w:val="20"/>
          <w:szCs w:val="20"/>
        </w:rPr>
        <w:t>pneumoniae</w:t>
      </w:r>
      <w:proofErr w:type="spellEnd"/>
      <w:r w:rsidRPr="00115695">
        <w:rPr>
          <w:rFonts w:eastAsia="Calibri"/>
          <w:color w:val="000000"/>
          <w:sz w:val="20"/>
          <w:szCs w:val="20"/>
        </w:rPr>
        <w:t xml:space="preserve"> carbapenemase (KPC) </w:t>
      </w:r>
      <w:proofErr w:type="spellStart"/>
      <w:r w:rsidRPr="00115695">
        <w:rPr>
          <w:rFonts w:eastAsia="Calibri"/>
          <w:color w:val="000000"/>
          <w:sz w:val="20"/>
          <w:szCs w:val="20"/>
        </w:rPr>
        <w:t>was</w:t>
      </w:r>
      <w:proofErr w:type="spellEnd"/>
      <w:r w:rsidRPr="00115695">
        <w:rPr>
          <w:rFonts w:eastAsia="Calibri"/>
          <w:color w:val="000000"/>
          <w:sz w:val="20"/>
          <w:szCs w:val="20"/>
        </w:rPr>
        <w:t xml:space="preserve"> </w:t>
      </w:r>
      <w:proofErr w:type="spellStart"/>
      <w:r w:rsidRPr="00115695">
        <w:rPr>
          <w:rFonts w:eastAsia="Calibri"/>
          <w:color w:val="000000"/>
          <w:sz w:val="20"/>
          <w:szCs w:val="20"/>
        </w:rPr>
        <w:t>discovered</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United States in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2000s. It </w:t>
      </w:r>
      <w:proofErr w:type="spellStart"/>
      <w:r w:rsidRPr="00115695">
        <w:rPr>
          <w:rFonts w:eastAsia="Calibri"/>
          <w:color w:val="000000"/>
          <w:sz w:val="20"/>
          <w:szCs w:val="20"/>
        </w:rPr>
        <w:t>has</w:t>
      </w:r>
      <w:proofErr w:type="spellEnd"/>
      <w:r w:rsidRPr="00115695">
        <w:rPr>
          <w:rFonts w:eastAsia="Calibri"/>
          <w:color w:val="000000"/>
          <w:sz w:val="20"/>
          <w:szCs w:val="20"/>
        </w:rPr>
        <w:t xml:space="preserve"> </w:t>
      </w:r>
      <w:proofErr w:type="spellStart"/>
      <w:r w:rsidRPr="00115695">
        <w:rPr>
          <w:rFonts w:eastAsia="Calibri"/>
          <w:color w:val="000000"/>
          <w:sz w:val="20"/>
          <w:szCs w:val="20"/>
        </w:rPr>
        <w:t>become</w:t>
      </w:r>
      <w:proofErr w:type="spellEnd"/>
      <w:r w:rsidRPr="00115695">
        <w:rPr>
          <w:rFonts w:eastAsia="Calibri"/>
          <w:color w:val="000000"/>
          <w:sz w:val="20"/>
          <w:szCs w:val="20"/>
        </w:rPr>
        <w:t xml:space="preserve"> a </w:t>
      </w:r>
      <w:proofErr w:type="spellStart"/>
      <w:r w:rsidRPr="00115695">
        <w:rPr>
          <w:rFonts w:eastAsia="Calibri"/>
          <w:color w:val="000000"/>
          <w:sz w:val="20"/>
          <w:szCs w:val="20"/>
        </w:rPr>
        <w:t>microorganism</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resistant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antibiotics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a </w:t>
      </w:r>
      <w:proofErr w:type="spellStart"/>
      <w:r w:rsidRPr="00115695">
        <w:rPr>
          <w:rFonts w:eastAsia="Calibri"/>
          <w:color w:val="000000"/>
          <w:sz w:val="20"/>
          <w:szCs w:val="20"/>
        </w:rPr>
        <w:t>public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health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problem</w:t>
      </w:r>
      <w:proofErr w:type="spellEnd"/>
      <w:r w:rsidRPr="00115695">
        <w:rPr>
          <w:rFonts w:eastAsia="Calibri"/>
          <w:color w:val="000000"/>
          <w:sz w:val="20"/>
          <w:szCs w:val="20"/>
        </w:rPr>
        <w:t xml:space="preserve"> </w:t>
      </w:r>
      <w:proofErr w:type="spellStart"/>
      <w:r w:rsidRPr="00115695">
        <w:rPr>
          <w:rFonts w:eastAsia="Calibri"/>
          <w:color w:val="000000"/>
          <w:sz w:val="20"/>
          <w:szCs w:val="20"/>
        </w:rPr>
        <w:t>due</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gramStart"/>
      <w:r w:rsidRPr="00115695">
        <w:rPr>
          <w:rFonts w:eastAsia="Calibri"/>
          <w:color w:val="000000"/>
          <w:sz w:val="20"/>
          <w:szCs w:val="20"/>
        </w:rPr>
        <w:t>its global</w:t>
      </w:r>
      <w:proofErr w:type="gramEnd"/>
      <w:r w:rsidRPr="00115695">
        <w:rPr>
          <w:rFonts w:eastAsia="Calibri"/>
          <w:color w:val="000000"/>
          <w:sz w:val="20"/>
          <w:szCs w:val="20"/>
        </w:rPr>
        <w:t xml:space="preserve"> spread. </w:t>
      </w:r>
      <w:proofErr w:type="spellStart"/>
      <w:r w:rsidRPr="00115695">
        <w:rPr>
          <w:rFonts w:eastAsia="Calibri"/>
          <w:color w:val="000000"/>
          <w:sz w:val="20"/>
          <w:szCs w:val="20"/>
        </w:rPr>
        <w:t>This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issue</w:t>
      </w:r>
      <w:proofErr w:type="spellEnd"/>
      <w:r w:rsidRPr="00115695">
        <w:rPr>
          <w:rFonts w:eastAsia="Calibri"/>
          <w:color w:val="000000"/>
          <w:sz w:val="20"/>
          <w:szCs w:val="20"/>
        </w:rPr>
        <w:t xml:space="preserve"> leads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hospital </w:t>
      </w:r>
      <w:proofErr w:type="spellStart"/>
      <w:r w:rsidRPr="00115695">
        <w:rPr>
          <w:rFonts w:eastAsia="Calibri"/>
          <w:color w:val="000000"/>
          <w:sz w:val="20"/>
          <w:szCs w:val="20"/>
        </w:rPr>
        <w:t>costs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mortality</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presents</w:t>
      </w:r>
      <w:proofErr w:type="spellEnd"/>
      <w:r w:rsidRPr="00115695">
        <w:rPr>
          <w:rFonts w:eastAsia="Calibri"/>
          <w:color w:val="000000"/>
          <w:sz w:val="20"/>
          <w:szCs w:val="20"/>
        </w:rPr>
        <w:t xml:space="preserve"> adverse </w:t>
      </w:r>
      <w:proofErr w:type="spellStart"/>
      <w:r w:rsidRPr="00115695">
        <w:rPr>
          <w:rFonts w:eastAsia="Calibri"/>
          <w:color w:val="000000"/>
          <w:sz w:val="20"/>
          <w:szCs w:val="20"/>
        </w:rPr>
        <w:t>effects</w:t>
      </w:r>
      <w:proofErr w:type="spellEnd"/>
      <w:r w:rsidRPr="00115695">
        <w:rPr>
          <w:rFonts w:eastAsia="Calibri"/>
          <w:color w:val="000000"/>
          <w:sz w:val="20"/>
          <w:szCs w:val="20"/>
        </w:rPr>
        <w:t xml:space="preserve"> in its </w:t>
      </w:r>
      <w:proofErr w:type="spellStart"/>
      <w:r w:rsidRPr="00115695">
        <w:rPr>
          <w:rFonts w:eastAsia="Calibri"/>
          <w:color w:val="000000"/>
          <w:sz w:val="20"/>
          <w:szCs w:val="20"/>
        </w:rPr>
        <w:t>treatment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such</w:t>
      </w:r>
      <w:proofErr w:type="spellEnd"/>
      <w:r w:rsidRPr="00115695">
        <w:rPr>
          <w:rFonts w:eastAsia="Calibri"/>
          <w:color w:val="000000"/>
          <w:sz w:val="20"/>
          <w:szCs w:val="20"/>
        </w:rPr>
        <w:t xml:space="preserve"> as </w:t>
      </w:r>
      <w:proofErr w:type="spellStart"/>
      <w:r w:rsidRPr="00115695">
        <w:rPr>
          <w:rFonts w:eastAsia="Calibri"/>
          <w:color w:val="000000"/>
          <w:sz w:val="20"/>
          <w:szCs w:val="20"/>
        </w:rPr>
        <w:t>hepatotoxicity</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nephrotoxicity</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underscores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need</w:t>
      </w:r>
      <w:proofErr w:type="spellEnd"/>
      <w:r w:rsidRPr="00115695">
        <w:rPr>
          <w:rFonts w:eastAsia="Calibri"/>
          <w:color w:val="000000"/>
          <w:sz w:val="20"/>
          <w:szCs w:val="20"/>
        </w:rPr>
        <w:t xml:space="preserve"> for </w:t>
      </w:r>
      <w:proofErr w:type="spellStart"/>
      <w:r w:rsidRPr="00115695">
        <w:rPr>
          <w:rFonts w:eastAsia="Calibri"/>
          <w:color w:val="000000"/>
          <w:sz w:val="20"/>
          <w:szCs w:val="20"/>
        </w:rPr>
        <w:t>studies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discover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effective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methods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combat</w:t>
      </w:r>
      <w:proofErr w:type="spellEnd"/>
      <w:r w:rsidRPr="00115695">
        <w:rPr>
          <w:rFonts w:eastAsia="Calibri"/>
          <w:color w:val="000000"/>
          <w:sz w:val="20"/>
          <w:szCs w:val="20"/>
        </w:rPr>
        <w:t xml:space="preserve"> it (Castañeda et al., 2018).</w:t>
      </w:r>
    </w:p>
    <w:p w14:paraId="20A92B18" w14:textId="77777777" w:rsidR="00115695" w:rsidRDefault="00115695" w:rsidP="0030120E">
      <w:pPr>
        <w:pBdr>
          <w:top w:val="nil"/>
          <w:left w:val="nil"/>
          <w:bottom w:val="nil"/>
          <w:right w:val="nil"/>
          <w:between w:val="nil"/>
        </w:pBdr>
        <w:ind w:firstLine="708"/>
        <w:jc w:val="both"/>
        <w:rPr>
          <w:rFonts w:eastAsia="Calibri"/>
          <w:color w:val="000000"/>
          <w:sz w:val="20"/>
          <w:szCs w:val="20"/>
        </w:rPr>
      </w:pPr>
      <w:proofErr w:type="spellStart"/>
      <w:r w:rsidRPr="00115695">
        <w:rPr>
          <w:rFonts w:eastAsia="Calibri"/>
          <w:color w:val="000000"/>
          <w:sz w:val="20"/>
          <w:szCs w:val="20"/>
        </w:rPr>
        <w:t>Among</w:t>
      </w:r>
      <w:proofErr w:type="spellEnd"/>
      <w:r w:rsidRPr="00115695">
        <w:rPr>
          <w:rFonts w:eastAsia="Calibri"/>
          <w:color w:val="000000"/>
          <w:sz w:val="20"/>
          <w:szCs w:val="20"/>
        </w:rPr>
        <w:t xml:space="preserve"> fungi, </w:t>
      </w:r>
      <w:proofErr w:type="spellStart"/>
      <w:r w:rsidRPr="00115695">
        <w:rPr>
          <w:rFonts w:eastAsia="Calibri"/>
          <w:i/>
          <w:iCs/>
          <w:color w:val="000000"/>
          <w:sz w:val="20"/>
          <w:szCs w:val="20"/>
        </w:rPr>
        <w:t>Candida</w:t>
      </w:r>
      <w:proofErr w:type="spellEnd"/>
      <w:r w:rsidRPr="00115695">
        <w:rPr>
          <w:rFonts w:eastAsia="Calibri"/>
          <w:i/>
          <w:iCs/>
          <w:color w:val="000000"/>
          <w:sz w:val="20"/>
          <w:szCs w:val="20"/>
        </w:rPr>
        <w:t xml:space="preserve"> </w:t>
      </w:r>
      <w:proofErr w:type="spellStart"/>
      <w:r w:rsidRPr="00115695">
        <w:rPr>
          <w:rFonts w:eastAsia="Calibri"/>
          <w:i/>
          <w:iCs/>
          <w:color w:val="000000"/>
          <w:sz w:val="20"/>
          <w:szCs w:val="20"/>
        </w:rPr>
        <w:t>albicans</w:t>
      </w:r>
      <w:proofErr w:type="spellEnd"/>
      <w:r w:rsidRPr="00115695">
        <w:rPr>
          <w:rFonts w:eastAsia="Calibri"/>
          <w:color w:val="000000"/>
          <w:sz w:val="20"/>
          <w:szCs w:val="20"/>
        </w:rPr>
        <w:t xml:space="preserve"> </w:t>
      </w:r>
      <w:proofErr w:type="spellStart"/>
      <w:r w:rsidRPr="00115695">
        <w:rPr>
          <w:rFonts w:eastAsia="Calibri"/>
          <w:color w:val="000000"/>
          <w:sz w:val="20"/>
          <w:szCs w:val="20"/>
        </w:rPr>
        <w:t>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causative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agent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candidiasis</w:t>
      </w:r>
      <w:proofErr w:type="spellEnd"/>
      <w:r w:rsidRPr="00115695">
        <w:rPr>
          <w:rFonts w:eastAsia="Calibri"/>
          <w:color w:val="000000"/>
          <w:sz w:val="20"/>
          <w:szCs w:val="20"/>
        </w:rPr>
        <w:t xml:space="preserve">. It </w:t>
      </w:r>
      <w:proofErr w:type="spellStart"/>
      <w:r w:rsidRPr="00115695">
        <w:rPr>
          <w:rFonts w:eastAsia="Calibri"/>
          <w:color w:val="000000"/>
          <w:sz w:val="20"/>
          <w:szCs w:val="20"/>
        </w:rPr>
        <w:t>can</w:t>
      </w:r>
      <w:proofErr w:type="spellEnd"/>
      <w:r w:rsidRPr="00115695">
        <w:rPr>
          <w:rFonts w:eastAsia="Calibri"/>
          <w:color w:val="000000"/>
          <w:sz w:val="20"/>
          <w:szCs w:val="20"/>
        </w:rPr>
        <w:t xml:space="preserve"> </w:t>
      </w:r>
      <w:proofErr w:type="spellStart"/>
      <w:r w:rsidRPr="00115695">
        <w:rPr>
          <w:rFonts w:eastAsia="Calibri"/>
          <w:color w:val="000000"/>
          <w:sz w:val="20"/>
          <w:szCs w:val="20"/>
        </w:rPr>
        <w:t>affect</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mouth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oropharynx</w:t>
      </w:r>
      <w:proofErr w:type="spellEnd"/>
      <w:r w:rsidRPr="00115695">
        <w:rPr>
          <w:rFonts w:eastAsia="Calibri"/>
          <w:color w:val="000000"/>
          <w:sz w:val="20"/>
          <w:szCs w:val="20"/>
        </w:rPr>
        <w:t xml:space="preserve">, vagina, gastrointestinal </w:t>
      </w:r>
      <w:proofErr w:type="spellStart"/>
      <w:r w:rsidRPr="00115695">
        <w:rPr>
          <w:rFonts w:eastAsia="Calibri"/>
          <w:color w:val="000000"/>
          <w:sz w:val="20"/>
          <w:szCs w:val="20"/>
        </w:rPr>
        <w:t>tract</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skin</w:t>
      </w:r>
      <w:proofErr w:type="spellEnd"/>
      <w:r w:rsidRPr="00115695">
        <w:rPr>
          <w:rFonts w:eastAsia="Calibri"/>
          <w:color w:val="000000"/>
          <w:sz w:val="20"/>
          <w:szCs w:val="20"/>
        </w:rPr>
        <w:t xml:space="preserve">. It </w:t>
      </w:r>
      <w:proofErr w:type="spellStart"/>
      <w:r w:rsidRPr="00115695">
        <w:rPr>
          <w:rFonts w:eastAsia="Calibri"/>
          <w:color w:val="000000"/>
          <w:sz w:val="20"/>
          <w:szCs w:val="20"/>
        </w:rPr>
        <w:t>can</w:t>
      </w:r>
      <w:proofErr w:type="spellEnd"/>
      <w:r w:rsidRPr="00115695">
        <w:rPr>
          <w:rFonts w:eastAsia="Calibri"/>
          <w:color w:val="000000"/>
          <w:sz w:val="20"/>
          <w:szCs w:val="20"/>
        </w:rPr>
        <w:t xml:space="preserve"> </w:t>
      </w:r>
      <w:proofErr w:type="spellStart"/>
      <w:r w:rsidRPr="00115695">
        <w:rPr>
          <w:rFonts w:eastAsia="Calibri"/>
          <w:color w:val="000000"/>
          <w:sz w:val="20"/>
          <w:szCs w:val="20"/>
        </w:rPr>
        <w:t>occur</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both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healthy</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individuals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those</w:t>
      </w:r>
      <w:proofErr w:type="spellEnd"/>
      <w:r w:rsidRPr="00115695">
        <w:rPr>
          <w:rFonts w:eastAsia="Calibri"/>
          <w:color w:val="000000"/>
          <w:sz w:val="20"/>
          <w:szCs w:val="20"/>
        </w:rPr>
        <w:t xml:space="preserve"> </w:t>
      </w:r>
      <w:proofErr w:type="spellStart"/>
      <w:r w:rsidRPr="00115695">
        <w:rPr>
          <w:rFonts w:eastAsia="Calibri"/>
          <w:color w:val="000000"/>
          <w:sz w:val="20"/>
          <w:szCs w:val="20"/>
        </w:rPr>
        <w:t>weakened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by</w:t>
      </w:r>
      <w:proofErr w:type="spellEnd"/>
      <w:r w:rsidRPr="00115695">
        <w:rPr>
          <w:rFonts w:eastAsia="Calibri"/>
          <w:color w:val="000000"/>
          <w:sz w:val="20"/>
          <w:szCs w:val="20"/>
        </w:rPr>
        <w:t xml:space="preserve"> </w:t>
      </w:r>
      <w:proofErr w:type="spellStart"/>
      <w:r w:rsidRPr="00115695">
        <w:rPr>
          <w:rFonts w:eastAsia="Calibri"/>
          <w:color w:val="000000"/>
          <w:sz w:val="20"/>
          <w:szCs w:val="20"/>
        </w:rPr>
        <w:t>chronic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diseases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antibiotic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or</w:t>
      </w:r>
      <w:proofErr w:type="spellEnd"/>
      <w:r w:rsidRPr="00115695">
        <w:rPr>
          <w:rFonts w:eastAsia="Calibri"/>
          <w:color w:val="000000"/>
          <w:sz w:val="20"/>
          <w:szCs w:val="20"/>
        </w:rPr>
        <w:t xml:space="preserve"> </w:t>
      </w:r>
      <w:proofErr w:type="spellStart"/>
      <w:r w:rsidRPr="00115695">
        <w:rPr>
          <w:rFonts w:eastAsia="Calibri"/>
          <w:color w:val="000000"/>
          <w:sz w:val="20"/>
          <w:szCs w:val="20"/>
        </w:rPr>
        <w:t>catheter</w:t>
      </w:r>
      <w:proofErr w:type="spellEnd"/>
      <w:r w:rsidRPr="00115695">
        <w:rPr>
          <w:rFonts w:eastAsia="Calibri"/>
          <w:color w:val="000000"/>
          <w:sz w:val="20"/>
          <w:szCs w:val="20"/>
        </w:rPr>
        <w:t xml:space="preserve"> use, </w:t>
      </w:r>
      <w:proofErr w:type="spellStart"/>
      <w:r w:rsidRPr="00115695">
        <w:rPr>
          <w:rFonts w:eastAsia="Calibri"/>
          <w:color w:val="000000"/>
          <w:sz w:val="20"/>
          <w:szCs w:val="20"/>
        </w:rPr>
        <w:t>neoplasms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as a </w:t>
      </w:r>
      <w:proofErr w:type="spellStart"/>
      <w:r w:rsidRPr="00115695">
        <w:rPr>
          <w:rFonts w:eastAsia="Calibri"/>
          <w:color w:val="000000"/>
          <w:sz w:val="20"/>
          <w:szCs w:val="20"/>
        </w:rPr>
        <w:t>result</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illness</w:t>
      </w:r>
      <w:proofErr w:type="spellEnd"/>
      <w:r w:rsidRPr="00115695">
        <w:rPr>
          <w:rFonts w:eastAsia="Calibri"/>
          <w:color w:val="000000"/>
          <w:sz w:val="20"/>
          <w:szCs w:val="20"/>
        </w:rPr>
        <w:t xml:space="preserve">, </w:t>
      </w:r>
      <w:proofErr w:type="spellStart"/>
      <w:r w:rsidRPr="00115695">
        <w:rPr>
          <w:rFonts w:eastAsia="Calibri"/>
          <w:color w:val="000000"/>
          <w:sz w:val="20"/>
          <w:szCs w:val="20"/>
        </w:rPr>
        <w:t>decreased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immunity</w:t>
      </w:r>
      <w:proofErr w:type="spellEnd"/>
      <w:r w:rsidRPr="00115695">
        <w:rPr>
          <w:rFonts w:eastAsia="Calibri"/>
          <w:color w:val="000000"/>
          <w:sz w:val="20"/>
          <w:szCs w:val="20"/>
        </w:rPr>
        <w:t xml:space="preserve"> (Correa et al., 2020).</w:t>
      </w:r>
    </w:p>
    <w:p w14:paraId="0181EC5B" w14:textId="5265A649" w:rsidR="0030120E" w:rsidRPr="00323025" w:rsidRDefault="008A4894" w:rsidP="0030120E">
      <w:pPr>
        <w:pBdr>
          <w:top w:val="nil"/>
          <w:left w:val="nil"/>
          <w:bottom w:val="nil"/>
          <w:right w:val="nil"/>
          <w:between w:val="nil"/>
        </w:pBdr>
        <w:ind w:firstLine="708"/>
        <w:jc w:val="both"/>
        <w:rPr>
          <w:rFonts w:eastAsia="Calibri"/>
          <w:b/>
          <w:color w:val="000000"/>
          <w:sz w:val="20"/>
          <w:szCs w:val="20"/>
        </w:rPr>
      </w:pPr>
      <w:r w:rsidRPr="00323025">
        <w:rPr>
          <w:rFonts w:eastAsia="Calibri"/>
          <w:b/>
          <w:color w:val="000000"/>
          <w:sz w:val="20"/>
          <w:szCs w:val="20"/>
        </w:rPr>
        <w:t xml:space="preserve">3 </w:t>
      </w:r>
      <w:proofErr w:type="spellStart"/>
      <w:r w:rsidRPr="00323025">
        <w:rPr>
          <w:rFonts w:eastAsia="Calibri"/>
          <w:b/>
          <w:color w:val="000000"/>
          <w:sz w:val="20"/>
          <w:szCs w:val="20"/>
        </w:rPr>
        <w:t>M</w:t>
      </w:r>
      <w:r w:rsidR="00323025" w:rsidRPr="00323025">
        <w:rPr>
          <w:rFonts w:eastAsia="Calibri"/>
          <w:b/>
          <w:color w:val="000000"/>
          <w:sz w:val="20"/>
          <w:szCs w:val="20"/>
        </w:rPr>
        <w:t>ethodology</w:t>
      </w:r>
      <w:proofErr w:type="spellEnd"/>
      <w:r w:rsidR="00323025" w:rsidRPr="00323025">
        <w:rPr>
          <w:rFonts w:eastAsia="Calibri"/>
          <w:b/>
          <w:color w:val="000000"/>
          <w:sz w:val="20"/>
          <w:szCs w:val="20"/>
        </w:rPr>
        <w:t xml:space="preserve"> </w:t>
      </w:r>
    </w:p>
    <w:p w14:paraId="0875FD50" w14:textId="0CB1FB71" w:rsidR="0030120E" w:rsidRDefault="00115695">
      <w:pPr>
        <w:pBdr>
          <w:top w:val="nil"/>
          <w:left w:val="nil"/>
          <w:bottom w:val="nil"/>
          <w:right w:val="nil"/>
          <w:between w:val="nil"/>
        </w:pBdr>
        <w:ind w:firstLine="708"/>
        <w:jc w:val="both"/>
        <w:rPr>
          <w:rFonts w:ascii="Calibri" w:eastAsia="Calibri" w:hAnsi="Calibri" w:cs="Calibri"/>
          <w:color w:val="000000"/>
          <w:sz w:val="20"/>
          <w:szCs w:val="20"/>
        </w:rPr>
      </w:pPr>
      <w:r w:rsidRPr="00115695">
        <w:rPr>
          <w:rFonts w:eastAsia="Calibri"/>
          <w:color w:val="000000"/>
          <w:sz w:val="20"/>
          <w:szCs w:val="20"/>
        </w:rPr>
        <w:t xml:space="preserve">For </w:t>
      </w:r>
      <w:proofErr w:type="spellStart"/>
      <w:r w:rsidRPr="00115695">
        <w:rPr>
          <w:rFonts w:eastAsia="Calibri"/>
          <w:color w:val="000000"/>
          <w:sz w:val="20"/>
          <w:szCs w:val="20"/>
        </w:rPr>
        <w:t>this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bibliographic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research</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search</w:t>
      </w:r>
      <w:proofErr w:type="spellEnd"/>
      <w:r w:rsidRPr="00115695">
        <w:rPr>
          <w:rFonts w:eastAsia="Calibri"/>
          <w:color w:val="000000"/>
          <w:sz w:val="20"/>
          <w:szCs w:val="20"/>
        </w:rPr>
        <w:t xml:space="preserve"> </w:t>
      </w:r>
      <w:proofErr w:type="spellStart"/>
      <w:r w:rsidRPr="00115695">
        <w:rPr>
          <w:rFonts w:eastAsia="Calibri"/>
          <w:color w:val="000000"/>
          <w:sz w:val="20"/>
          <w:szCs w:val="20"/>
        </w:rPr>
        <w:t>covered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studies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published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from</w:t>
      </w:r>
      <w:proofErr w:type="spellEnd"/>
      <w:r w:rsidRPr="00115695">
        <w:rPr>
          <w:rFonts w:eastAsia="Calibri"/>
          <w:color w:val="000000"/>
          <w:sz w:val="20"/>
          <w:szCs w:val="20"/>
        </w:rPr>
        <w:t xml:space="preserve"> 2014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2023. Figure 3 </w:t>
      </w:r>
      <w:proofErr w:type="spellStart"/>
      <w:r w:rsidRPr="00115695">
        <w:rPr>
          <w:rFonts w:eastAsia="Calibri"/>
          <w:color w:val="000000"/>
          <w:sz w:val="20"/>
          <w:szCs w:val="20"/>
        </w:rPr>
        <w:t>illustrates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research</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process</w:t>
      </w:r>
      <w:proofErr w:type="spellEnd"/>
      <w:r w:rsidRPr="00115695">
        <w:rPr>
          <w:rFonts w:eastAsia="Calibri"/>
          <w:color w:val="000000"/>
          <w:sz w:val="20"/>
          <w:szCs w:val="20"/>
        </w:rPr>
        <w:t xml:space="preserve"> flowchart. In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identification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process</w:t>
      </w:r>
      <w:proofErr w:type="spellEnd"/>
      <w:r w:rsidRPr="00115695">
        <w:rPr>
          <w:rFonts w:eastAsia="Calibri"/>
          <w:color w:val="000000"/>
          <w:sz w:val="20"/>
          <w:szCs w:val="20"/>
        </w:rPr>
        <w:t xml:space="preserve">, </w:t>
      </w:r>
      <w:proofErr w:type="spellStart"/>
      <w:r w:rsidRPr="00115695">
        <w:rPr>
          <w:rFonts w:eastAsia="Calibri"/>
          <w:color w:val="000000"/>
          <w:sz w:val="20"/>
          <w:szCs w:val="20"/>
        </w:rPr>
        <w:t>various</w:t>
      </w:r>
      <w:proofErr w:type="spellEnd"/>
      <w:r w:rsidRPr="00115695">
        <w:rPr>
          <w:rFonts w:eastAsia="Calibri"/>
          <w:color w:val="000000"/>
          <w:sz w:val="20"/>
          <w:szCs w:val="20"/>
        </w:rPr>
        <w:t xml:space="preserve"> </w:t>
      </w:r>
      <w:proofErr w:type="spellStart"/>
      <w:r w:rsidRPr="00115695">
        <w:rPr>
          <w:rFonts w:eastAsia="Calibri"/>
          <w:color w:val="000000"/>
          <w:sz w:val="20"/>
          <w:szCs w:val="20"/>
        </w:rPr>
        <w:t>databases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were</w:t>
      </w:r>
      <w:proofErr w:type="spellEnd"/>
      <w:r w:rsidRPr="00115695">
        <w:rPr>
          <w:rFonts w:eastAsia="Calibri"/>
          <w:color w:val="000000"/>
          <w:sz w:val="20"/>
          <w:szCs w:val="20"/>
        </w:rPr>
        <w:t xml:space="preserve"> </w:t>
      </w:r>
      <w:proofErr w:type="spellStart"/>
      <w:r w:rsidRPr="00115695">
        <w:rPr>
          <w:rFonts w:eastAsia="Calibri"/>
          <w:color w:val="000000"/>
          <w:sz w:val="20"/>
          <w:szCs w:val="20"/>
        </w:rPr>
        <w:t>used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including</w:t>
      </w:r>
      <w:proofErr w:type="spellEnd"/>
      <w:r w:rsidRPr="00115695">
        <w:rPr>
          <w:rFonts w:eastAsia="Calibri"/>
          <w:color w:val="000000"/>
          <w:sz w:val="20"/>
          <w:szCs w:val="20"/>
        </w:rPr>
        <w:t xml:space="preserve"> </w:t>
      </w:r>
      <w:r w:rsidRPr="00E56656">
        <w:rPr>
          <w:rFonts w:eastAsia="Calibri"/>
          <w:i/>
          <w:iCs/>
          <w:color w:val="000000"/>
          <w:sz w:val="20"/>
          <w:szCs w:val="20"/>
        </w:rPr>
        <w:t xml:space="preserve">Portal Capes, Scopus, </w:t>
      </w:r>
      <w:proofErr w:type="spellStart"/>
      <w:r w:rsidRPr="00E56656">
        <w:rPr>
          <w:rFonts w:eastAsia="Calibri"/>
          <w:i/>
          <w:iCs/>
          <w:color w:val="000000"/>
          <w:sz w:val="20"/>
          <w:szCs w:val="20"/>
        </w:rPr>
        <w:t>ScienceDirect</w:t>
      </w:r>
      <w:proofErr w:type="spellEnd"/>
      <w:r w:rsidRPr="00E56656">
        <w:rPr>
          <w:rFonts w:eastAsia="Calibri"/>
          <w:i/>
          <w:iCs/>
          <w:color w:val="000000"/>
          <w:sz w:val="20"/>
          <w:szCs w:val="20"/>
        </w:rPr>
        <w:t>,</w:t>
      </w:r>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r w:rsidRPr="00E56656">
        <w:rPr>
          <w:rFonts w:eastAsia="Calibri"/>
          <w:i/>
          <w:iCs/>
          <w:color w:val="000000"/>
          <w:sz w:val="20"/>
          <w:szCs w:val="20"/>
        </w:rPr>
        <w:t>Google Scholar.</w:t>
      </w:r>
      <w:r w:rsidRPr="00115695">
        <w:rPr>
          <w:rFonts w:eastAsia="Calibri"/>
          <w:color w:val="000000"/>
          <w:sz w:val="20"/>
          <w:szCs w:val="20"/>
        </w:rPr>
        <w:t xml:space="preserve"> </w:t>
      </w:r>
      <w:proofErr w:type="spellStart"/>
      <w:r w:rsidRPr="00115695">
        <w:rPr>
          <w:rFonts w:eastAsia="Calibri"/>
          <w:color w:val="000000"/>
          <w:sz w:val="20"/>
          <w:szCs w:val="20"/>
        </w:rPr>
        <w:t>English</w:t>
      </w:r>
      <w:proofErr w:type="spellEnd"/>
      <w:r w:rsidRPr="00115695">
        <w:rPr>
          <w:rFonts w:eastAsia="Calibri"/>
          <w:color w:val="000000"/>
          <w:sz w:val="20"/>
          <w:szCs w:val="20"/>
        </w:rPr>
        <w:t xml:space="preserve"> </w:t>
      </w:r>
      <w:proofErr w:type="spellStart"/>
      <w:r w:rsidRPr="00115695">
        <w:rPr>
          <w:rFonts w:eastAsia="Calibri"/>
          <w:color w:val="000000"/>
          <w:sz w:val="20"/>
          <w:szCs w:val="20"/>
        </w:rPr>
        <w:t>keywords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were</w:t>
      </w:r>
      <w:proofErr w:type="spellEnd"/>
      <w:r w:rsidRPr="00115695">
        <w:rPr>
          <w:rFonts w:eastAsia="Calibri"/>
          <w:color w:val="000000"/>
          <w:sz w:val="20"/>
          <w:szCs w:val="20"/>
        </w:rPr>
        <w:t xml:space="preserve"> </w:t>
      </w:r>
      <w:proofErr w:type="spellStart"/>
      <w:r w:rsidRPr="00115695">
        <w:rPr>
          <w:rFonts w:eastAsia="Calibri"/>
          <w:color w:val="000000"/>
          <w:sz w:val="20"/>
          <w:szCs w:val="20"/>
        </w:rPr>
        <w:t>used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select</w:t>
      </w:r>
      <w:proofErr w:type="spellEnd"/>
      <w:r w:rsidRPr="00115695">
        <w:rPr>
          <w:rFonts w:eastAsia="Calibri"/>
          <w:color w:val="000000"/>
          <w:sz w:val="20"/>
          <w:szCs w:val="20"/>
        </w:rPr>
        <w:t xml:space="preserve"> </w:t>
      </w:r>
      <w:proofErr w:type="spellStart"/>
      <w:r w:rsidRPr="00115695">
        <w:rPr>
          <w:rFonts w:eastAsia="Calibri"/>
          <w:color w:val="000000"/>
          <w:sz w:val="20"/>
          <w:szCs w:val="20"/>
        </w:rPr>
        <w:t>articles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Exclusion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criteria</w:t>
      </w:r>
      <w:proofErr w:type="spellEnd"/>
      <w:r w:rsidRPr="00115695">
        <w:rPr>
          <w:rFonts w:eastAsia="Calibri"/>
          <w:color w:val="000000"/>
          <w:sz w:val="20"/>
          <w:szCs w:val="20"/>
        </w:rPr>
        <w:t xml:space="preserve"> </w:t>
      </w:r>
      <w:proofErr w:type="spellStart"/>
      <w:r w:rsidRPr="00115695">
        <w:rPr>
          <w:rFonts w:eastAsia="Calibri"/>
          <w:color w:val="000000"/>
          <w:sz w:val="20"/>
          <w:szCs w:val="20"/>
        </w:rPr>
        <w:t>involved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work</w:t>
      </w:r>
      <w:proofErr w:type="spellEnd"/>
      <w:r w:rsidRPr="00115695">
        <w:rPr>
          <w:rFonts w:eastAsia="Calibri"/>
          <w:color w:val="000000"/>
          <w:sz w:val="20"/>
          <w:szCs w:val="20"/>
        </w:rPr>
        <w:t xml:space="preserve"> </w:t>
      </w:r>
      <w:proofErr w:type="spellStart"/>
      <w:r w:rsidRPr="00115695">
        <w:rPr>
          <w:rFonts w:eastAsia="Calibri"/>
          <w:color w:val="000000"/>
          <w:sz w:val="20"/>
          <w:szCs w:val="20"/>
        </w:rPr>
        <w:t>unrelated</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biological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activities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or</w:t>
      </w:r>
      <w:proofErr w:type="spellEnd"/>
      <w:r w:rsidRPr="00115695">
        <w:rPr>
          <w:rFonts w:eastAsia="Calibri"/>
          <w:color w:val="000000"/>
          <w:sz w:val="20"/>
          <w:szCs w:val="20"/>
        </w:rPr>
        <w:t xml:space="preserve"> </w:t>
      </w:r>
      <w:proofErr w:type="spellStart"/>
      <w:r w:rsidRPr="00115695">
        <w:rPr>
          <w:rFonts w:eastAsia="Calibri"/>
          <w:color w:val="000000"/>
          <w:sz w:val="20"/>
          <w:szCs w:val="20"/>
        </w:rPr>
        <w:t>where</w:t>
      </w:r>
      <w:proofErr w:type="spellEnd"/>
      <w:r w:rsidRPr="00115695">
        <w:rPr>
          <w:rFonts w:eastAsia="Calibri"/>
          <w:color w:val="000000"/>
          <w:sz w:val="20"/>
          <w:szCs w:val="20"/>
        </w:rPr>
        <w:t xml:space="preserve"> </w:t>
      </w:r>
      <w:proofErr w:type="spellStart"/>
      <w:r w:rsidRPr="00115695">
        <w:rPr>
          <w:rFonts w:eastAsia="Calibri"/>
          <w:color w:val="000000"/>
          <w:sz w:val="20"/>
          <w:szCs w:val="20"/>
        </w:rPr>
        <w:t>access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to</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complete </w:t>
      </w:r>
      <w:proofErr w:type="spellStart"/>
      <w:r w:rsidRPr="00115695">
        <w:rPr>
          <w:rFonts w:eastAsia="Calibri"/>
          <w:color w:val="000000"/>
          <w:sz w:val="20"/>
          <w:szCs w:val="20"/>
        </w:rPr>
        <w:t>work</w:t>
      </w:r>
      <w:proofErr w:type="spellEnd"/>
      <w:r w:rsidRPr="00115695">
        <w:rPr>
          <w:rFonts w:eastAsia="Calibri"/>
          <w:color w:val="000000"/>
          <w:sz w:val="20"/>
          <w:szCs w:val="20"/>
        </w:rPr>
        <w:t xml:space="preserve"> </w:t>
      </w:r>
      <w:proofErr w:type="spellStart"/>
      <w:r w:rsidRPr="00115695">
        <w:rPr>
          <w:rFonts w:eastAsia="Calibri"/>
          <w:color w:val="000000"/>
          <w:sz w:val="20"/>
          <w:szCs w:val="20"/>
        </w:rPr>
        <w:t>was</w:t>
      </w:r>
      <w:proofErr w:type="spellEnd"/>
      <w:r w:rsidRPr="00115695">
        <w:rPr>
          <w:rFonts w:eastAsia="Calibri"/>
          <w:color w:val="000000"/>
          <w:sz w:val="20"/>
          <w:szCs w:val="20"/>
        </w:rPr>
        <w:t xml:space="preserve"> </w:t>
      </w:r>
      <w:proofErr w:type="spellStart"/>
      <w:r w:rsidRPr="00115695">
        <w:rPr>
          <w:rFonts w:eastAsia="Calibri"/>
          <w:color w:val="000000"/>
          <w:sz w:val="20"/>
          <w:szCs w:val="20"/>
        </w:rPr>
        <w:t>not</w:t>
      </w:r>
      <w:proofErr w:type="spellEnd"/>
      <w:r w:rsidRPr="00115695">
        <w:rPr>
          <w:rFonts w:eastAsia="Calibri"/>
          <w:color w:val="000000"/>
          <w:sz w:val="20"/>
          <w:szCs w:val="20"/>
        </w:rPr>
        <w:t xml:space="preserve"> </w:t>
      </w:r>
      <w:proofErr w:type="spellStart"/>
      <w:r w:rsidRPr="00115695">
        <w:rPr>
          <w:rFonts w:eastAsia="Calibri"/>
          <w:color w:val="000000"/>
          <w:sz w:val="20"/>
          <w:szCs w:val="20"/>
        </w:rPr>
        <w:lastRenderedPageBreak/>
        <w:t>permitted</w:t>
      </w:r>
      <w:proofErr w:type="spellEnd"/>
      <w:r w:rsidRPr="00115695">
        <w:rPr>
          <w:rFonts w:eastAsia="Calibri"/>
          <w:color w:val="000000"/>
          <w:sz w:val="20"/>
          <w:szCs w:val="20"/>
        </w:rPr>
        <w:t>.</w:t>
      </w:r>
      <w:r w:rsidR="008A4894">
        <w:rPr>
          <w:noProof/>
        </w:rPr>
        <mc:AlternateContent>
          <mc:Choice Requires="wpg">
            <w:drawing>
              <wp:inline distT="0" distB="0" distL="0" distR="0" wp14:anchorId="159221AD" wp14:editId="2222B1EE">
                <wp:extent cx="5400040" cy="3362325"/>
                <wp:effectExtent l="0" t="0" r="0" b="0"/>
                <wp:docPr id="1" name="Grupo 1"/>
                <wp:cNvGraphicFramePr/>
                <a:graphic xmlns:a="http://schemas.openxmlformats.org/drawingml/2006/main">
                  <a:graphicData uri="http://schemas.microsoft.com/office/word/2010/wordprocessingGroup">
                    <wpg:wgp>
                      <wpg:cNvGrpSpPr/>
                      <wpg:grpSpPr>
                        <a:xfrm>
                          <a:off x="0" y="0"/>
                          <a:ext cx="5400040" cy="3362325"/>
                          <a:chOff x="0" y="0"/>
                          <a:chExt cx="5400050" cy="3362325"/>
                        </a:xfrm>
                      </wpg:grpSpPr>
                      <wpg:grpSp>
                        <wpg:cNvPr id="4" name="Grupo 4"/>
                        <wpg:cNvGrpSpPr/>
                        <wpg:grpSpPr>
                          <a:xfrm>
                            <a:off x="0" y="0"/>
                            <a:ext cx="5400039" cy="3362325"/>
                            <a:chOff x="0" y="0"/>
                            <a:chExt cx="5400039" cy="3362325"/>
                          </a:xfrm>
                        </wpg:grpSpPr>
                        <wps:wsp>
                          <wps:cNvPr id="5" name="Retângulo 5"/>
                          <wps:cNvSpPr/>
                          <wps:spPr>
                            <a:xfrm>
                              <a:off x="0" y="0"/>
                              <a:ext cx="5400025" cy="3362325"/>
                            </a:xfrm>
                            <a:prstGeom prst="rect">
                              <a:avLst/>
                            </a:prstGeom>
                            <a:noFill/>
                            <a:ln>
                              <a:noFill/>
                            </a:ln>
                          </wps:spPr>
                          <wps:txbx>
                            <w:txbxContent>
                              <w:p w14:paraId="305583F7" w14:textId="77777777" w:rsidR="00D35DF1" w:rsidRDefault="00D35DF1" w:rsidP="00CA738D"/>
                            </w:txbxContent>
                          </wps:txbx>
                          <wps:bodyPr spcFirstLastPara="1" wrap="square" lIns="91425" tIns="91425" rIns="91425" bIns="91425" anchor="ctr" anchorCtr="0"/>
                        </wps:wsp>
                        <wps:wsp>
                          <wps:cNvPr id="6" name="Retângulo de cantos arredondados 6"/>
                          <wps:cNvSpPr/>
                          <wps:spPr>
                            <a:xfrm>
                              <a:off x="0" y="2260171"/>
                              <a:ext cx="5400039" cy="744136"/>
                            </a:xfrm>
                            <a:prstGeom prst="roundRect">
                              <a:avLst>
                                <a:gd name="adj" fmla="val 10000"/>
                              </a:avLst>
                            </a:prstGeom>
                            <a:solidFill>
                              <a:srgbClr val="A8D08C"/>
                            </a:solidFill>
                            <a:ln>
                              <a:noFill/>
                            </a:ln>
                          </wps:spPr>
                          <wps:txbx>
                            <w:txbxContent>
                              <w:p w14:paraId="352DD39C" w14:textId="77777777" w:rsidR="00D35DF1" w:rsidRDefault="00D35DF1" w:rsidP="00CA738D"/>
                            </w:txbxContent>
                          </wps:txbx>
                          <wps:bodyPr spcFirstLastPara="1" wrap="square" lIns="91425" tIns="91425" rIns="91425" bIns="91425" anchor="ctr" anchorCtr="0"/>
                        </wps:wsp>
                        <wps:wsp>
                          <wps:cNvPr id="7" name="Caixa de texto 7"/>
                          <wps:cNvSpPr txBox="1"/>
                          <wps:spPr>
                            <a:xfrm>
                              <a:off x="0" y="2260171"/>
                              <a:ext cx="1620012" cy="744136"/>
                            </a:xfrm>
                            <a:prstGeom prst="rect">
                              <a:avLst/>
                            </a:prstGeom>
                            <a:noFill/>
                            <a:ln>
                              <a:noFill/>
                            </a:ln>
                          </wps:spPr>
                          <wps:txbx>
                            <w:txbxContent>
                              <w:p w14:paraId="57431751" w14:textId="77777777" w:rsidR="00D35DF1" w:rsidRPr="009E1FFC" w:rsidRDefault="008A4894" w:rsidP="00CA738D">
                                <w:pPr>
                                  <w:spacing w:line="215" w:lineRule="auto"/>
                                  <w:jc w:val="center"/>
                                </w:pPr>
                                <w:r w:rsidRPr="00866DDC">
                                  <w:rPr>
                                    <w:color w:val="000000"/>
                                  </w:rPr>
                                  <w:t>Eligibility and Inclusion</w:t>
                                </w:r>
                              </w:p>
                            </w:txbxContent>
                          </wps:txbx>
                          <wps:bodyPr spcFirstLastPara="1" wrap="square" lIns="85325" tIns="85325" rIns="85325" bIns="85325" anchor="ctr" anchorCtr="0"/>
                        </wps:wsp>
                        <wps:wsp>
                          <wps:cNvPr id="8" name="Retângulo de cantos arredondados 8"/>
                          <wps:cNvSpPr/>
                          <wps:spPr>
                            <a:xfrm>
                              <a:off x="0" y="1032782"/>
                              <a:ext cx="5400039" cy="1214776"/>
                            </a:xfrm>
                            <a:prstGeom prst="roundRect">
                              <a:avLst>
                                <a:gd name="adj" fmla="val 10000"/>
                              </a:avLst>
                            </a:prstGeom>
                            <a:solidFill>
                              <a:srgbClr val="A8D08C"/>
                            </a:solidFill>
                            <a:ln>
                              <a:noFill/>
                            </a:ln>
                          </wps:spPr>
                          <wps:txbx>
                            <w:txbxContent>
                              <w:p w14:paraId="5FD95DEC" w14:textId="77777777" w:rsidR="00D35DF1" w:rsidRDefault="00D35DF1" w:rsidP="00CA738D"/>
                            </w:txbxContent>
                          </wps:txbx>
                          <wps:bodyPr spcFirstLastPara="1" wrap="square" lIns="91425" tIns="91425" rIns="91425" bIns="91425" anchor="ctr" anchorCtr="0"/>
                        </wps:wsp>
                        <wps:wsp>
                          <wps:cNvPr id="9" name="Caixa de texto 9"/>
                          <wps:cNvSpPr txBox="1"/>
                          <wps:spPr>
                            <a:xfrm>
                              <a:off x="0" y="1032782"/>
                              <a:ext cx="1620012" cy="1214776"/>
                            </a:xfrm>
                            <a:prstGeom prst="rect">
                              <a:avLst/>
                            </a:prstGeom>
                            <a:noFill/>
                            <a:ln>
                              <a:noFill/>
                            </a:ln>
                          </wps:spPr>
                          <wps:txbx>
                            <w:txbxContent>
                              <w:p w14:paraId="442F0189" w14:textId="77777777" w:rsidR="0030210D" w:rsidRDefault="008A4894" w:rsidP="00CA738D">
                                <w:pPr>
                                  <w:spacing w:before="83" w:line="215" w:lineRule="auto"/>
                                  <w:jc w:val="center"/>
                                </w:pPr>
                                <w:r w:rsidRPr="0030210D">
                                  <w:t xml:space="preserve">Article </w:t>
                                </w:r>
                              </w:p>
                              <w:p w14:paraId="5A5ACF64" w14:textId="77777777" w:rsidR="00D35DF1" w:rsidRDefault="008A4894" w:rsidP="00CA738D">
                                <w:pPr>
                                  <w:spacing w:before="83" w:line="215" w:lineRule="auto"/>
                                  <w:jc w:val="center"/>
                                </w:pPr>
                                <w:r w:rsidRPr="0030210D">
                                  <w:t>selection</w:t>
                                </w:r>
                              </w:p>
                            </w:txbxContent>
                          </wps:txbx>
                          <wps:bodyPr spcFirstLastPara="1" wrap="square" lIns="85325" tIns="85325" rIns="85325" bIns="85325" anchor="ctr" anchorCtr="0"/>
                        </wps:wsp>
                        <wps:wsp>
                          <wps:cNvPr id="10" name="Retângulo de cantos arredondados 10"/>
                          <wps:cNvSpPr/>
                          <wps:spPr>
                            <a:xfrm>
                              <a:off x="0" y="358016"/>
                              <a:ext cx="5400039" cy="662153"/>
                            </a:xfrm>
                            <a:prstGeom prst="roundRect">
                              <a:avLst>
                                <a:gd name="adj" fmla="val 10000"/>
                              </a:avLst>
                            </a:prstGeom>
                            <a:solidFill>
                              <a:srgbClr val="A8D08C"/>
                            </a:solidFill>
                            <a:ln>
                              <a:noFill/>
                            </a:ln>
                          </wps:spPr>
                          <wps:txbx>
                            <w:txbxContent>
                              <w:p w14:paraId="05CE08DF" w14:textId="77777777" w:rsidR="00D35DF1" w:rsidRDefault="00D35DF1" w:rsidP="00CA738D"/>
                            </w:txbxContent>
                          </wps:txbx>
                          <wps:bodyPr spcFirstLastPara="1" wrap="square" lIns="91425" tIns="91425" rIns="91425" bIns="91425" anchor="ctr" anchorCtr="0"/>
                        </wps:wsp>
                        <wps:wsp>
                          <wps:cNvPr id="11" name="Caixa de texto 11"/>
                          <wps:cNvSpPr txBox="1"/>
                          <wps:spPr>
                            <a:xfrm>
                              <a:off x="0" y="358016"/>
                              <a:ext cx="1620012" cy="662153"/>
                            </a:xfrm>
                            <a:prstGeom prst="rect">
                              <a:avLst/>
                            </a:prstGeom>
                            <a:noFill/>
                            <a:ln>
                              <a:noFill/>
                            </a:ln>
                          </wps:spPr>
                          <wps:txbx>
                            <w:txbxContent>
                              <w:p w14:paraId="755722B6" w14:textId="77777777" w:rsidR="00D35DF1" w:rsidRPr="009E1FFC" w:rsidRDefault="008A4894" w:rsidP="00CA738D">
                                <w:pPr>
                                  <w:spacing w:line="215" w:lineRule="auto"/>
                                  <w:jc w:val="center"/>
                                </w:pPr>
                                <w:r w:rsidRPr="009E1FFC">
                                  <w:rPr>
                                    <w:color w:val="000000"/>
                                  </w:rPr>
                                  <w:t>Identification Process</w:t>
                                </w:r>
                              </w:p>
                            </w:txbxContent>
                          </wps:txbx>
                          <wps:bodyPr spcFirstLastPara="1" wrap="square" lIns="85325" tIns="85325" rIns="85325" bIns="85325" anchor="ctr" anchorCtr="0"/>
                        </wps:wsp>
                        <wps:wsp>
                          <wps:cNvPr id="12" name="Retângulo de cantos arredondados 12"/>
                          <wps:cNvSpPr/>
                          <wps:spPr>
                            <a:xfrm>
                              <a:off x="2282732" y="438436"/>
                              <a:ext cx="1891859" cy="492183"/>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42C2883A" w14:textId="77777777" w:rsidR="00D35DF1" w:rsidRDefault="00D35DF1" w:rsidP="00CA738D"/>
                            </w:txbxContent>
                          </wps:txbx>
                          <wps:bodyPr spcFirstLastPara="1" wrap="square" lIns="91425" tIns="91425" rIns="91425" bIns="91425" anchor="ctr" anchorCtr="0"/>
                        </wps:wsp>
                        <wps:wsp>
                          <wps:cNvPr id="13" name="Caixa de texto 13"/>
                          <wps:cNvSpPr txBox="1"/>
                          <wps:spPr>
                            <a:xfrm>
                              <a:off x="2297148" y="452852"/>
                              <a:ext cx="1863027" cy="463351"/>
                            </a:xfrm>
                            <a:prstGeom prst="rect">
                              <a:avLst/>
                            </a:prstGeom>
                            <a:noFill/>
                            <a:ln>
                              <a:noFill/>
                            </a:ln>
                          </wps:spPr>
                          <wps:txbx>
                            <w:txbxContent>
                              <w:p w14:paraId="28022B08" w14:textId="77777777" w:rsidR="00D35DF1" w:rsidRPr="00CA738D" w:rsidRDefault="008A4894" w:rsidP="00CA738D">
                                <w:pPr>
                                  <w:spacing w:line="215" w:lineRule="auto"/>
                                  <w:jc w:val="center"/>
                                  <w:rPr>
                                    <w:sz w:val="20"/>
                                    <w:szCs w:val="20"/>
                                  </w:rPr>
                                </w:pPr>
                                <w:r w:rsidRPr="00CA738D">
                                  <w:rPr>
                                    <w:color w:val="000000"/>
                                    <w:sz w:val="20"/>
                                    <w:szCs w:val="20"/>
                                  </w:rPr>
                                  <w:t>Portal Capes, Scopus, Science direct, google acadêmico</w:t>
                                </w:r>
                              </w:p>
                            </w:txbxContent>
                          </wps:txbx>
                          <wps:bodyPr spcFirstLastPara="1" wrap="square" lIns="45700" tIns="45700" rIns="45700" bIns="45700" anchor="ctr" anchorCtr="0"/>
                        </wps:wsp>
                        <wps:wsp>
                          <wps:cNvPr id="14" name="Forma livre 14"/>
                          <wps:cNvSpPr/>
                          <wps:spPr>
                            <a:xfrm>
                              <a:off x="2167943" y="930619"/>
                              <a:ext cx="1060718" cy="258142"/>
                            </a:xfrm>
                            <a:custGeom>
                              <a:avLst/>
                              <a:gdLst/>
                              <a:ahLst/>
                              <a:cxnLst/>
                              <a:rect l="l" t="t" r="r" b="b"/>
                              <a:pathLst>
                                <a:path w="120000" h="120000">
                                  <a:moveTo>
                                    <a:pt x="120000" y="0"/>
                                  </a:moveTo>
                                  <a:lnTo>
                                    <a:pt x="120000" y="60000"/>
                                  </a:lnTo>
                                  <a:lnTo>
                                    <a:pt x="0" y="60000"/>
                                  </a:lnTo>
                                  <a:lnTo>
                                    <a:pt x="0" y="120000"/>
                                  </a:lnTo>
                                </a:path>
                              </a:pathLst>
                            </a:custGeom>
                            <a:noFill/>
                            <a:ln w="12700">
                              <a:solidFill>
                                <a:srgbClr val="345A99"/>
                              </a:solidFill>
                              <a:prstDash val="solid"/>
                              <a:miter lim="800000"/>
                              <a:headEnd w="sm" len="sm"/>
                              <a:tailEnd w="sm" len="sm"/>
                            </a:ln>
                          </wps:spPr>
                          <wps:bodyPr spcFirstLastPara="1" wrap="square" lIns="91425" tIns="91425" rIns="91425" bIns="91425" anchor="ctr" anchorCtr="0"/>
                        </wps:wsp>
                        <wps:wsp>
                          <wps:cNvPr id="15" name="Retângulo de cantos arredondados 15"/>
                          <wps:cNvSpPr/>
                          <wps:spPr>
                            <a:xfrm>
                              <a:off x="1292526" y="1188762"/>
                              <a:ext cx="1750833" cy="884349"/>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19991CF0" w14:textId="77777777" w:rsidR="00D35DF1" w:rsidRDefault="00D35DF1" w:rsidP="00CA738D"/>
                            </w:txbxContent>
                          </wps:txbx>
                          <wps:bodyPr spcFirstLastPara="1" wrap="square" lIns="91425" tIns="91425" rIns="91425" bIns="91425" anchor="ctr" anchorCtr="0"/>
                        </wps:wsp>
                        <wps:wsp>
                          <wps:cNvPr id="16" name="Caixa de texto 16"/>
                          <wps:cNvSpPr txBox="1"/>
                          <wps:spPr>
                            <a:xfrm>
                              <a:off x="1318428" y="1214664"/>
                              <a:ext cx="1699029" cy="832545"/>
                            </a:xfrm>
                            <a:prstGeom prst="rect">
                              <a:avLst/>
                            </a:prstGeom>
                            <a:noFill/>
                            <a:ln>
                              <a:noFill/>
                            </a:ln>
                          </wps:spPr>
                          <wps:txbx>
                            <w:txbxContent>
                              <w:p w14:paraId="3D79F7D8" w14:textId="77777777" w:rsidR="00D35DF1" w:rsidRPr="00BA111C" w:rsidRDefault="008A4894" w:rsidP="00CA738D">
                                <w:pPr>
                                  <w:spacing w:line="215" w:lineRule="auto"/>
                                  <w:jc w:val="center"/>
                                  <w:rPr>
                                    <w:sz w:val="22"/>
                                    <w:szCs w:val="22"/>
                                  </w:rPr>
                                </w:pPr>
                                <w:r w:rsidRPr="00BA111C">
                                  <w:rPr>
                                    <w:color w:val="000000"/>
                                    <w:sz w:val="22"/>
                                    <w:szCs w:val="22"/>
                                  </w:rPr>
                                  <w:t>150 articles were consulted using the database and selected based on searches in abstracts, titles, and/or keywords</w:t>
                                </w:r>
                              </w:p>
                            </w:txbxContent>
                          </wps:txbx>
                          <wps:bodyPr spcFirstLastPara="1" wrap="square" lIns="45700" tIns="45700" rIns="45700" bIns="45700" anchor="ctr" anchorCtr="0"/>
                        </wps:wsp>
                        <wps:wsp>
                          <wps:cNvPr id="17" name="Forma livre 17"/>
                          <wps:cNvSpPr/>
                          <wps:spPr>
                            <a:xfrm>
                              <a:off x="1923876" y="2073111"/>
                              <a:ext cx="244066" cy="243395"/>
                            </a:xfrm>
                            <a:custGeom>
                              <a:avLst/>
                              <a:gdLst/>
                              <a:ahLst/>
                              <a:cxnLst/>
                              <a:rect l="l" t="t" r="r" b="b"/>
                              <a:pathLst>
                                <a:path w="120000" h="120000">
                                  <a:moveTo>
                                    <a:pt x="120000" y="0"/>
                                  </a:moveTo>
                                  <a:lnTo>
                                    <a:pt x="120000" y="60000"/>
                                  </a:lnTo>
                                  <a:lnTo>
                                    <a:pt x="0" y="60000"/>
                                  </a:lnTo>
                                  <a:lnTo>
                                    <a:pt x="0" y="120000"/>
                                  </a:lnTo>
                                </a:path>
                              </a:pathLst>
                            </a:custGeom>
                            <a:noFill/>
                            <a:ln w="12700">
                              <a:solidFill>
                                <a:srgbClr val="3A66B1"/>
                              </a:solidFill>
                              <a:prstDash val="solid"/>
                              <a:miter lim="800000"/>
                              <a:headEnd w="sm" len="sm"/>
                              <a:tailEnd w="sm" len="sm"/>
                            </a:ln>
                          </wps:spPr>
                          <wps:bodyPr spcFirstLastPara="1" wrap="square" lIns="91425" tIns="91425" rIns="91425" bIns="91425" anchor="ctr" anchorCtr="0"/>
                        </wps:wsp>
                        <wps:wsp>
                          <wps:cNvPr id="18" name="Retângulo de cantos arredondados 18"/>
                          <wps:cNvSpPr/>
                          <wps:spPr>
                            <a:xfrm>
                              <a:off x="1465535" y="2316507"/>
                              <a:ext cx="916682" cy="605437"/>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4661D87F" w14:textId="77777777" w:rsidR="00D35DF1" w:rsidRDefault="00D35DF1" w:rsidP="00CA738D"/>
                            </w:txbxContent>
                          </wps:txbx>
                          <wps:bodyPr spcFirstLastPara="1" wrap="square" lIns="91425" tIns="91425" rIns="91425" bIns="91425" anchor="ctr" anchorCtr="0"/>
                        </wps:wsp>
                        <wps:wsp>
                          <wps:cNvPr id="19" name="Caixa de texto 19"/>
                          <wps:cNvSpPr txBox="1"/>
                          <wps:spPr>
                            <a:xfrm>
                              <a:off x="1483268" y="2334240"/>
                              <a:ext cx="881216" cy="569971"/>
                            </a:xfrm>
                            <a:prstGeom prst="rect">
                              <a:avLst/>
                            </a:prstGeom>
                            <a:noFill/>
                            <a:ln>
                              <a:noFill/>
                            </a:ln>
                          </wps:spPr>
                          <wps:txbx>
                            <w:txbxContent>
                              <w:p w14:paraId="595213AA" w14:textId="77777777" w:rsidR="00D35DF1" w:rsidRDefault="008A4894" w:rsidP="00CA738D">
                                <w:pPr>
                                  <w:spacing w:line="215" w:lineRule="auto"/>
                                  <w:jc w:val="center"/>
                                </w:pPr>
                                <w:r w:rsidRPr="0030210D">
                                  <w:rPr>
                                    <w:color w:val="000000"/>
                                  </w:rPr>
                                  <w:t>75 articles used</w:t>
                                </w:r>
                              </w:p>
                            </w:txbxContent>
                          </wps:txbx>
                          <wps:bodyPr spcFirstLastPara="1" wrap="square" lIns="45700" tIns="45700" rIns="45700" bIns="45700" anchor="ctr" anchorCtr="0"/>
                        </wps:wsp>
                        <wps:wsp>
                          <wps:cNvPr id="20" name="Forma livre 20"/>
                          <wps:cNvSpPr/>
                          <wps:spPr>
                            <a:xfrm>
                              <a:off x="2167943" y="2073111"/>
                              <a:ext cx="850034" cy="250557"/>
                            </a:xfrm>
                            <a:custGeom>
                              <a:avLst/>
                              <a:gdLst/>
                              <a:ahLst/>
                              <a:cxnLst/>
                              <a:rect l="l" t="t" r="r" b="b"/>
                              <a:pathLst>
                                <a:path w="120000" h="120000">
                                  <a:moveTo>
                                    <a:pt x="0" y="0"/>
                                  </a:moveTo>
                                  <a:lnTo>
                                    <a:pt x="0" y="60000"/>
                                  </a:lnTo>
                                  <a:lnTo>
                                    <a:pt x="120000" y="60000"/>
                                  </a:lnTo>
                                  <a:lnTo>
                                    <a:pt x="120000" y="120000"/>
                                  </a:lnTo>
                                </a:path>
                              </a:pathLst>
                            </a:custGeom>
                            <a:noFill/>
                            <a:ln w="12700">
                              <a:solidFill>
                                <a:srgbClr val="3A66B1"/>
                              </a:solidFill>
                              <a:prstDash val="solid"/>
                              <a:miter lim="800000"/>
                              <a:headEnd w="sm" len="sm"/>
                              <a:tailEnd w="sm" len="sm"/>
                            </a:ln>
                          </wps:spPr>
                          <wps:bodyPr spcFirstLastPara="1" wrap="square" lIns="91425" tIns="91425" rIns="91425" bIns="91425" anchor="ctr" anchorCtr="0"/>
                        </wps:wsp>
                        <wps:wsp>
                          <wps:cNvPr id="21" name="Retângulo de cantos arredondados 21"/>
                          <wps:cNvSpPr/>
                          <wps:spPr>
                            <a:xfrm>
                              <a:off x="2647966" y="2323669"/>
                              <a:ext cx="740023" cy="630906"/>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0DD71CE6" w14:textId="77777777" w:rsidR="00D35DF1" w:rsidRDefault="00D35DF1" w:rsidP="00CA738D"/>
                            </w:txbxContent>
                          </wps:txbx>
                          <wps:bodyPr spcFirstLastPara="1" wrap="square" lIns="91425" tIns="91425" rIns="91425" bIns="91425" anchor="ctr" anchorCtr="0"/>
                        </wps:wsp>
                        <wps:wsp>
                          <wps:cNvPr id="22" name="Caixa de texto 22"/>
                          <wps:cNvSpPr txBox="1"/>
                          <wps:spPr>
                            <a:xfrm>
                              <a:off x="2666445" y="2342148"/>
                              <a:ext cx="703065" cy="593948"/>
                            </a:xfrm>
                            <a:prstGeom prst="rect">
                              <a:avLst/>
                            </a:prstGeom>
                            <a:noFill/>
                            <a:ln>
                              <a:noFill/>
                            </a:ln>
                          </wps:spPr>
                          <wps:txbx>
                            <w:txbxContent>
                              <w:p w14:paraId="0B29B658" w14:textId="77777777" w:rsidR="00D35DF1" w:rsidRDefault="008A4894" w:rsidP="00CA738D">
                                <w:pPr>
                                  <w:spacing w:line="215" w:lineRule="auto"/>
                                  <w:jc w:val="center"/>
                                </w:pPr>
                                <w:r w:rsidRPr="0030210D">
                                  <w:rPr>
                                    <w:color w:val="000000"/>
                                  </w:rPr>
                                  <w:t>10 articles excluded</w:t>
                                </w:r>
                              </w:p>
                            </w:txbxContent>
                          </wps:txbx>
                          <wps:bodyPr spcFirstLastPara="1" wrap="square" lIns="45700" tIns="45700" rIns="45700" bIns="45700" anchor="ctr" anchorCtr="0"/>
                        </wps:wsp>
                        <wps:wsp>
                          <wps:cNvPr id="23" name="Forma livre 23"/>
                          <wps:cNvSpPr/>
                          <wps:spPr>
                            <a:xfrm>
                              <a:off x="3228661" y="930619"/>
                              <a:ext cx="1029317" cy="280897"/>
                            </a:xfrm>
                            <a:custGeom>
                              <a:avLst/>
                              <a:gdLst/>
                              <a:ahLst/>
                              <a:cxnLst/>
                              <a:rect l="l" t="t" r="r" b="b"/>
                              <a:pathLst>
                                <a:path w="120000" h="120000">
                                  <a:moveTo>
                                    <a:pt x="0" y="0"/>
                                  </a:moveTo>
                                  <a:lnTo>
                                    <a:pt x="0" y="60000"/>
                                  </a:lnTo>
                                  <a:lnTo>
                                    <a:pt x="120000" y="60000"/>
                                  </a:lnTo>
                                  <a:lnTo>
                                    <a:pt x="120000" y="120000"/>
                                  </a:lnTo>
                                </a:path>
                              </a:pathLst>
                            </a:custGeom>
                            <a:noFill/>
                            <a:ln w="12700">
                              <a:solidFill>
                                <a:srgbClr val="345A99"/>
                              </a:solidFill>
                              <a:prstDash val="solid"/>
                              <a:miter lim="800000"/>
                              <a:headEnd w="sm" len="sm"/>
                              <a:tailEnd w="sm" len="sm"/>
                            </a:ln>
                          </wps:spPr>
                          <wps:bodyPr spcFirstLastPara="1" wrap="square" lIns="91425" tIns="91425" rIns="91425" bIns="91425" anchor="ctr" anchorCtr="0"/>
                        </wps:wsp>
                        <wps:wsp>
                          <wps:cNvPr id="38" name="Retângulo de cantos arredondados 38"/>
                          <wps:cNvSpPr/>
                          <wps:spPr>
                            <a:xfrm>
                              <a:off x="3312049" y="1211516"/>
                              <a:ext cx="1891859" cy="939610"/>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23BA0B12" w14:textId="77777777" w:rsidR="00D35DF1" w:rsidRDefault="00D35DF1" w:rsidP="00CA738D"/>
                            </w:txbxContent>
                          </wps:txbx>
                          <wps:bodyPr spcFirstLastPara="1" wrap="square" lIns="91425" tIns="91425" rIns="91425" bIns="91425" anchor="ctr" anchorCtr="0"/>
                        </wps:wsp>
                        <wps:wsp>
                          <wps:cNvPr id="39" name="Caixa de texto 39"/>
                          <wps:cNvSpPr txBox="1"/>
                          <wps:spPr>
                            <a:xfrm>
                              <a:off x="3339569" y="1239036"/>
                              <a:ext cx="1836819" cy="884570"/>
                            </a:xfrm>
                            <a:prstGeom prst="rect">
                              <a:avLst/>
                            </a:prstGeom>
                            <a:noFill/>
                            <a:ln>
                              <a:noFill/>
                            </a:ln>
                          </wps:spPr>
                          <wps:txbx>
                            <w:txbxContent>
                              <w:p w14:paraId="598467E0" w14:textId="77777777" w:rsidR="00D35DF1" w:rsidRDefault="008A4894" w:rsidP="00CA738D">
                                <w:pPr>
                                  <w:spacing w:line="215" w:lineRule="auto"/>
                                  <w:jc w:val="center"/>
                                </w:pPr>
                                <w:r>
                                  <w:rPr>
                                    <w:color w:val="000000"/>
                                  </w:rPr>
                                  <w:t>“green synthesis”, “gold and silver nanoparticles”, “plant extract root flower leaf stalk”, “brazilian ginseng”, “antimicrobial activity”, “Pfaffia”, “sustainability”</w:t>
                                </w:r>
                              </w:p>
                            </w:txbxContent>
                          </wps:txbx>
                          <wps:bodyPr spcFirstLastPara="1" wrap="square" lIns="45700" tIns="45700" rIns="45700" bIns="45700" anchor="ctr" anchorCtr="0"/>
                        </wps:wsp>
                        <wps:wsp>
                          <wps:cNvPr id="40" name="Forma livre 40"/>
                          <wps:cNvSpPr/>
                          <wps:spPr>
                            <a:xfrm>
                              <a:off x="4212259" y="2151127"/>
                              <a:ext cx="91440" cy="137884"/>
                            </a:xfrm>
                            <a:custGeom>
                              <a:avLst/>
                              <a:gdLst/>
                              <a:ahLst/>
                              <a:cxnLst/>
                              <a:rect l="l" t="t" r="r" b="b"/>
                              <a:pathLst>
                                <a:path w="120000" h="120000">
                                  <a:moveTo>
                                    <a:pt x="60000" y="0"/>
                                  </a:moveTo>
                                  <a:lnTo>
                                    <a:pt x="60000" y="60000"/>
                                  </a:lnTo>
                                  <a:lnTo>
                                    <a:pt x="104580" y="60000"/>
                                  </a:lnTo>
                                  <a:lnTo>
                                    <a:pt x="104580" y="120000"/>
                                  </a:lnTo>
                                </a:path>
                              </a:pathLst>
                            </a:custGeom>
                            <a:noFill/>
                            <a:ln w="12700">
                              <a:solidFill>
                                <a:srgbClr val="3A66B1"/>
                              </a:solidFill>
                              <a:prstDash val="solid"/>
                              <a:miter lim="800000"/>
                              <a:headEnd w="sm" len="sm"/>
                              <a:tailEnd w="sm" len="sm"/>
                            </a:ln>
                          </wps:spPr>
                          <wps:bodyPr spcFirstLastPara="1" wrap="square" lIns="91425" tIns="91425" rIns="91425" bIns="91425" anchor="ctr" anchorCtr="0"/>
                        </wps:wsp>
                        <wps:wsp>
                          <wps:cNvPr id="41" name="Retângulo de cantos arredondados 41"/>
                          <wps:cNvSpPr/>
                          <wps:spPr>
                            <a:xfrm>
                              <a:off x="3680015" y="2289011"/>
                              <a:ext cx="1223869" cy="652098"/>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4437E699" w14:textId="77777777" w:rsidR="00D35DF1" w:rsidRDefault="00D35DF1" w:rsidP="00CA738D"/>
                            </w:txbxContent>
                          </wps:txbx>
                          <wps:bodyPr spcFirstLastPara="1" wrap="square" lIns="91425" tIns="91425" rIns="91425" bIns="91425" anchor="ctr" anchorCtr="0"/>
                        </wps:wsp>
                        <wps:wsp>
                          <wps:cNvPr id="42" name="Caixa de texto 42"/>
                          <wps:cNvSpPr txBox="1"/>
                          <wps:spPr>
                            <a:xfrm>
                              <a:off x="3699114" y="2308110"/>
                              <a:ext cx="1185671" cy="613900"/>
                            </a:xfrm>
                            <a:prstGeom prst="rect">
                              <a:avLst/>
                            </a:prstGeom>
                            <a:noFill/>
                            <a:ln>
                              <a:noFill/>
                            </a:ln>
                          </wps:spPr>
                          <wps:txbx>
                            <w:txbxContent>
                              <w:p w14:paraId="32BCFFE9" w14:textId="77777777" w:rsidR="00D35DF1" w:rsidRDefault="008A4894" w:rsidP="00CA738D">
                                <w:pPr>
                                  <w:spacing w:line="215" w:lineRule="auto"/>
                                  <w:jc w:val="center"/>
                                </w:pPr>
                                <w:r w:rsidRPr="0030210D">
                                  <w:rPr>
                                    <w:color w:val="000000"/>
                                    <w:sz w:val="20"/>
                                  </w:rPr>
                                  <w:t>22 articles included in the literature review</w:t>
                                </w:r>
                              </w:p>
                            </w:txbxContent>
                          </wps:txbx>
                          <wps:bodyPr spcFirstLastPara="1" wrap="square" lIns="38100" tIns="38100" rIns="38100" bIns="38100" anchor="ctr" anchorCtr="0"/>
                        </wps:wsp>
                      </wpg:grpSp>
                    </wpg:wgp>
                  </a:graphicData>
                </a:graphic>
              </wp:inline>
            </w:drawing>
          </mc:Choice>
          <mc:Fallback>
            <w:pict>
              <v:group w14:anchorId="159221AD" id="Grupo 1" o:spid="_x0000_s1026" style="width:425.2pt;height:264.75pt;mso-position-horizontal-relative:char;mso-position-vertical-relative:line" coordsize="54000,3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">
                <v:group id="Grupo 4" o:spid="_x0000_s1027" style="position:absolute;width:54000;height:33623" coordsize="54000,3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ângulo 5" o:spid="_x0000_s1028" style="position:absolute;width:54000;height:33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05583F7" w14:textId="77777777" w:rsidR="00D35DF1" w:rsidRDefault="00D35DF1" w:rsidP="00CA738D"/>
                      </w:txbxContent>
                    </v:textbox>
                  </v:rect>
                  <v:roundrect id="Retângulo de cantos arredondados 6" o:spid="_x0000_s1029" style="position:absolute;top:22601;width:54000;height:744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" fillcolor="#a8d08c" stroked="f">
                    <v:textbox inset="2.53958mm,2.53958mm,2.53958mm,2.53958mm">
                      <w:txbxContent>
                        <w:p w14:paraId="352DD39C" w14:textId="77777777" w:rsidR="00D35DF1" w:rsidRDefault="00D35DF1" w:rsidP="00CA738D"/>
                      </w:txbxContent>
                    </v:textbox>
                  </v:roundrect>
                  <v:shapetype id="_x0000_t202" coordsize="21600,21600" o:spt="202" path="m,l,21600r21600,l21600,xe">
                    <v:stroke joinstyle="miter"/>
                    <v:path gradientshapeok="t" o:connecttype="rect"/>
                  </v:shapetype>
                  <v:shape id="Caixa de texto 7" o:spid="_x0000_s1030" type="#_x0000_t202" style="position:absolute;top:22601;width:16200;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" filled="f" stroked="f">
                    <v:textbox inset="2.37014mm,2.37014mm,2.37014mm,2.37014mm">
                      <w:txbxContent>
                        <w:p w14:paraId="57431751" w14:textId="77777777" w:rsidR="00D35DF1" w:rsidRPr="009E1FFC" w:rsidRDefault="008A4894" w:rsidP="00CA738D">
                          <w:pPr>
                            <w:spacing w:line="215" w:lineRule="auto"/>
                            <w:jc w:val="center"/>
                          </w:pPr>
                          <w:r w:rsidRPr="00866DDC">
                            <w:rPr>
                              <w:color w:val="000000"/>
                            </w:rPr>
                            <w:t>Eligibility and Inclusion</w:t>
                          </w:r>
                        </w:p>
                      </w:txbxContent>
                    </v:textbox>
                  </v:shape>
                  <v:roundrect id="Retângulo de cantos arredondados 8" o:spid="_x0000_s1031" style="position:absolute;top:10327;width:54000;height:12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" fillcolor="#a8d08c" stroked="f">
                    <v:textbox inset="2.53958mm,2.53958mm,2.53958mm,2.53958mm">
                      <w:txbxContent>
                        <w:p w14:paraId="5FD95DEC" w14:textId="77777777" w:rsidR="00D35DF1" w:rsidRDefault="00D35DF1" w:rsidP="00CA738D"/>
                      </w:txbxContent>
                    </v:textbox>
                  </v:roundrect>
                  <v:shape id="Caixa de texto 9" o:spid="_x0000_s1032" type="#_x0000_t202" style="position:absolute;top:10327;width:16200;height:12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" filled="f" stroked="f">
                    <v:textbox inset="2.37014mm,2.37014mm,2.37014mm,2.37014mm">
                      <w:txbxContent>
                        <w:p w14:paraId="442F0189" w14:textId="77777777" w:rsidR="0030210D" w:rsidRDefault="008A4894" w:rsidP="00CA738D">
                          <w:pPr>
                            <w:spacing w:before="83" w:line="215" w:lineRule="auto"/>
                            <w:jc w:val="center"/>
                          </w:pPr>
                          <w:r w:rsidRPr="0030210D">
                            <w:t xml:space="preserve">Article </w:t>
                          </w:r>
                        </w:p>
                        <w:p w14:paraId="5A5ACF64" w14:textId="77777777" w:rsidR="00D35DF1" w:rsidRDefault="008A4894" w:rsidP="00CA738D">
                          <w:pPr>
                            <w:spacing w:before="83" w:line="215" w:lineRule="auto"/>
                            <w:jc w:val="center"/>
                          </w:pPr>
                          <w:r w:rsidRPr="0030210D">
                            <w:t>selection</w:t>
                          </w:r>
                        </w:p>
                      </w:txbxContent>
                    </v:textbox>
                  </v:shape>
                  <v:roundrect id="Retângulo de cantos arredondados 10" o:spid="_x0000_s1033" style="position:absolute;top:3580;width:54000;height:662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" fillcolor="#a8d08c" stroked="f">
                    <v:textbox inset="2.53958mm,2.53958mm,2.53958mm,2.53958mm">
                      <w:txbxContent>
                        <w:p w14:paraId="05CE08DF" w14:textId="77777777" w:rsidR="00D35DF1" w:rsidRDefault="00D35DF1" w:rsidP="00CA738D"/>
                      </w:txbxContent>
                    </v:textbox>
                  </v:roundrect>
                  <v:shape id="Caixa de texto 11" o:spid="_x0000_s1034" type="#_x0000_t202" style="position:absolute;top:3580;width:16200;height:6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" filled="f" stroked="f">
                    <v:textbox inset="2.37014mm,2.37014mm,2.37014mm,2.37014mm">
                      <w:txbxContent>
                        <w:p w14:paraId="755722B6" w14:textId="77777777" w:rsidR="00D35DF1" w:rsidRPr="009E1FFC" w:rsidRDefault="008A4894" w:rsidP="00CA738D">
                          <w:pPr>
                            <w:spacing w:line="215" w:lineRule="auto"/>
                            <w:jc w:val="center"/>
                          </w:pPr>
                          <w:r w:rsidRPr="009E1FFC">
                            <w:rPr>
                              <w:color w:val="000000"/>
                            </w:rPr>
                            <w:t>Identification Process</w:t>
                          </w:r>
                        </w:p>
                      </w:txbxContent>
                    </v:textbox>
                  </v:shape>
                  <v:roundrect id="Retângulo de cantos arredondados 12" o:spid="_x0000_s1035" style="position:absolute;left:22827;top:4384;width:18918;height:492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" fillcolor="#548135" strokecolor="white [3201]" strokeweight="1pt">
                    <v:stroke startarrowwidth="narrow" startarrowlength="short" endarrowwidth="narrow" endarrowlength="short" joinstyle="miter"/>
                    <v:textbox inset="2.53958mm,2.53958mm,2.53958mm,2.53958mm">
                      <w:txbxContent>
                        <w:p w14:paraId="42C2883A" w14:textId="77777777" w:rsidR="00D35DF1" w:rsidRDefault="00D35DF1" w:rsidP="00CA738D"/>
                      </w:txbxContent>
                    </v:textbox>
                  </v:roundrect>
                  <v:shape id="Caixa de texto 13" o:spid="_x0000_s1036" type="#_x0000_t202" style="position:absolute;left:22971;top:4528;width:18630;height:4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" filled="f" stroked="f">
                    <v:textbox inset="1.2694mm,1.2694mm,1.2694mm,1.2694mm">
                      <w:txbxContent>
                        <w:p w14:paraId="28022B08" w14:textId="77777777" w:rsidR="00D35DF1" w:rsidRPr="00CA738D" w:rsidRDefault="008A4894" w:rsidP="00CA738D">
                          <w:pPr>
                            <w:spacing w:line="215" w:lineRule="auto"/>
                            <w:jc w:val="center"/>
                            <w:rPr>
                              <w:sz w:val="20"/>
                              <w:szCs w:val="20"/>
                            </w:rPr>
                          </w:pPr>
                          <w:r w:rsidRPr="00CA738D">
                            <w:rPr>
                              <w:color w:val="000000"/>
                              <w:sz w:val="20"/>
                              <w:szCs w:val="20"/>
                            </w:rPr>
                            <w:t>Portal Capes, Scopus, Science direct, google acadêmico</w:t>
                          </w:r>
                        </w:p>
                      </w:txbxContent>
                    </v:textbox>
                  </v:shape>
                  <v:shape id="Forma livre 14" o:spid="_x0000_s1037" style="position:absolute;left:21679;top:9306;width:10607;height:2581;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" path="m120000,r,60000l,60000r,60000e" filled="f" strokecolor="#345a99" strokeweight="1pt">
                    <v:stroke startarrowwidth="narrow" startarrowlength="short" endarrowwidth="narrow" endarrowlength="short" joinstyle="miter"/>
                    <v:path arrowok="t"/>
                  </v:shape>
                  <v:roundrect id="Retângulo de cantos arredondados 15" o:spid="_x0000_s1038" style="position:absolute;left:12925;top:11887;width:17508;height:884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" fillcolor="#548135" strokecolor="white [3201]" strokeweight="1pt">
                    <v:stroke startarrowwidth="narrow" startarrowlength="short" endarrowwidth="narrow" endarrowlength="short" joinstyle="miter"/>
                    <v:textbox inset="2.53958mm,2.53958mm,2.53958mm,2.53958mm">
                      <w:txbxContent>
                        <w:p w14:paraId="19991CF0" w14:textId="77777777" w:rsidR="00D35DF1" w:rsidRDefault="00D35DF1" w:rsidP="00CA738D"/>
                      </w:txbxContent>
                    </v:textbox>
                  </v:roundrect>
                  <v:shape id="Caixa de texto 16" o:spid="_x0000_s1039" type="#_x0000_t202" style="position:absolute;left:13184;top:12146;width:16990;height:8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" filled="f" stroked="f">
                    <v:textbox inset="1.2694mm,1.2694mm,1.2694mm,1.2694mm">
                      <w:txbxContent>
                        <w:p w14:paraId="3D79F7D8" w14:textId="77777777" w:rsidR="00D35DF1" w:rsidRPr="00BA111C" w:rsidRDefault="008A4894" w:rsidP="00CA738D">
                          <w:pPr>
                            <w:spacing w:line="215" w:lineRule="auto"/>
                            <w:jc w:val="center"/>
                            <w:rPr>
                              <w:sz w:val="22"/>
                              <w:szCs w:val="22"/>
                            </w:rPr>
                          </w:pPr>
                          <w:r w:rsidRPr="00BA111C">
                            <w:rPr>
                              <w:color w:val="000000"/>
                              <w:sz w:val="22"/>
                              <w:szCs w:val="22"/>
                            </w:rPr>
                            <w:t>150 articles were consulted using the database and selected based on searches in abstracts, titles, and/or keywords</w:t>
                          </w:r>
                        </w:p>
                      </w:txbxContent>
                    </v:textbox>
                  </v:shape>
                  <v:shape id="Forma livre 17" o:spid="_x0000_s1040" style="position:absolute;left:19238;top:20731;width:2441;height:243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" path="m120000,r,60000l,60000r,60000e" filled="f" strokecolor="#3a66b1" strokeweight="1pt">
                    <v:stroke startarrowwidth="narrow" startarrowlength="short" endarrowwidth="narrow" endarrowlength="short" joinstyle="miter"/>
                    <v:path arrowok="t"/>
                  </v:shape>
                  <v:roundrect id="Retângulo de cantos arredondados 18" o:spid="_x0000_s1041" style="position:absolute;left:14655;top:23165;width:9167;height:605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" fillcolor="#548135" strokecolor="white [3201]" strokeweight="1pt">
                    <v:stroke startarrowwidth="narrow" startarrowlength="short" endarrowwidth="narrow" endarrowlength="short" joinstyle="miter"/>
                    <v:textbox inset="2.53958mm,2.53958mm,2.53958mm,2.53958mm">
                      <w:txbxContent>
                        <w:p w14:paraId="4661D87F" w14:textId="77777777" w:rsidR="00D35DF1" w:rsidRDefault="00D35DF1" w:rsidP="00CA738D"/>
                      </w:txbxContent>
                    </v:textbox>
                  </v:roundrect>
                  <v:shape id="Caixa de texto 19" o:spid="_x0000_s1042" type="#_x0000_t202" style="position:absolute;left:14832;top:23342;width:8812;height:5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" filled="f" stroked="f">
                    <v:textbox inset="1.2694mm,1.2694mm,1.2694mm,1.2694mm">
                      <w:txbxContent>
                        <w:p w14:paraId="595213AA" w14:textId="77777777" w:rsidR="00D35DF1" w:rsidRDefault="008A4894" w:rsidP="00CA738D">
                          <w:pPr>
                            <w:spacing w:line="215" w:lineRule="auto"/>
                            <w:jc w:val="center"/>
                          </w:pPr>
                          <w:r w:rsidRPr="0030210D">
                            <w:rPr>
                              <w:color w:val="000000"/>
                            </w:rPr>
                            <w:t>75 articles used</w:t>
                          </w:r>
                        </w:p>
                      </w:txbxContent>
                    </v:textbox>
                  </v:shape>
                  <v:shape id="Forma livre 20" o:spid="_x0000_s1043" style="position:absolute;left:21679;top:20731;width:8500;height:250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" path="m,l,60000r120000,l120000,120000e" filled="f" strokecolor="#3a66b1" strokeweight="1pt">
                    <v:stroke startarrowwidth="narrow" startarrowlength="short" endarrowwidth="narrow" endarrowlength="short" joinstyle="miter"/>
                    <v:path arrowok="t"/>
                  </v:shape>
                  <v:roundrect id="Retângulo de cantos arredondados 21" o:spid="_x0000_s1044" style="position:absolute;left:26479;top:23236;width:7400;height:630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" fillcolor="#548135" strokecolor="white [3201]" strokeweight="1pt">
                    <v:stroke startarrowwidth="narrow" startarrowlength="short" endarrowwidth="narrow" endarrowlength="short" joinstyle="miter"/>
                    <v:textbox inset="2.53958mm,2.53958mm,2.53958mm,2.53958mm">
                      <w:txbxContent>
                        <w:p w14:paraId="0DD71CE6" w14:textId="77777777" w:rsidR="00D35DF1" w:rsidRDefault="00D35DF1" w:rsidP="00CA738D"/>
                      </w:txbxContent>
                    </v:textbox>
                  </v:roundrect>
                  <v:shape id="Caixa de texto 22" o:spid="_x0000_s1045" type="#_x0000_t202" style="position:absolute;left:26664;top:23421;width:7031;height:5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" filled="f" stroked="f">
                    <v:textbox inset="1.2694mm,1.2694mm,1.2694mm,1.2694mm">
                      <w:txbxContent>
                        <w:p w14:paraId="0B29B658" w14:textId="77777777" w:rsidR="00D35DF1" w:rsidRDefault="008A4894" w:rsidP="00CA738D">
                          <w:pPr>
                            <w:spacing w:line="215" w:lineRule="auto"/>
                            <w:jc w:val="center"/>
                          </w:pPr>
                          <w:r w:rsidRPr="0030210D">
                            <w:rPr>
                              <w:color w:val="000000"/>
                            </w:rPr>
                            <w:t>10 articles excluded</w:t>
                          </w:r>
                        </w:p>
                      </w:txbxContent>
                    </v:textbox>
                  </v:shape>
                  <v:shape id="Forma livre 23" o:spid="_x0000_s1046" style="position:absolute;left:32286;top:9306;width:10293;height:280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" path="m,l,60000r120000,l120000,120000e" filled="f" strokecolor="#345a99" strokeweight="1pt">
                    <v:stroke startarrowwidth="narrow" startarrowlength="short" endarrowwidth="narrow" endarrowlength="short" joinstyle="miter"/>
                    <v:path arrowok="t"/>
                  </v:shape>
                  <v:roundrect id="Retângulo de cantos arredondados 38" o:spid="_x0000_s1047" style="position:absolute;left:33120;top:12115;width:18919;height:939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" fillcolor="#548135" strokecolor="white [3201]" strokeweight="1pt">
                    <v:stroke startarrowwidth="narrow" startarrowlength="short" endarrowwidth="narrow" endarrowlength="short" joinstyle="miter"/>
                    <v:textbox inset="2.53958mm,2.53958mm,2.53958mm,2.53958mm">
                      <w:txbxContent>
                        <w:p w14:paraId="23BA0B12" w14:textId="77777777" w:rsidR="00D35DF1" w:rsidRDefault="00D35DF1" w:rsidP="00CA738D"/>
                      </w:txbxContent>
                    </v:textbox>
                  </v:roundrect>
                  <v:shape id="Caixa de texto 39" o:spid="_x0000_s1048" type="#_x0000_t202" style="position:absolute;left:33395;top:12390;width:18368;height:8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" filled="f" stroked="f">
                    <v:textbox inset="1.2694mm,1.2694mm,1.2694mm,1.2694mm">
                      <w:txbxContent>
                        <w:p w14:paraId="598467E0" w14:textId="77777777" w:rsidR="00D35DF1" w:rsidRDefault="008A4894" w:rsidP="00CA738D">
                          <w:pPr>
                            <w:spacing w:line="215" w:lineRule="auto"/>
                            <w:jc w:val="center"/>
                          </w:pPr>
                          <w:r>
                            <w:rPr>
                              <w:color w:val="000000"/>
                            </w:rPr>
                            <w:t>“green synthesis”, “gold and silver nanoparticles”, “plant extract root flower leaf stalk”, “brazilian ginseng”, “antimicrobial activity”, “Pfaffia”, “sustainability”</w:t>
                          </w:r>
                        </w:p>
                      </w:txbxContent>
                    </v:textbox>
                  </v:shape>
                  <v:shape id="Forma livre 40" o:spid="_x0000_s1049" style="position:absolute;left:42122;top:21511;width:914;height:137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" path="m60000,r,60000l104580,60000r,60000e" filled="f" strokecolor="#3a66b1" strokeweight="1pt">
                    <v:stroke startarrowwidth="narrow" startarrowlength="short" endarrowwidth="narrow" endarrowlength="short" joinstyle="miter"/>
                    <v:path arrowok="t"/>
                  </v:shape>
                  <v:roundrect id="Retângulo de cantos arredondados 41" o:spid="_x0000_s1050" style="position:absolute;left:36800;top:22890;width:12238;height:652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" fillcolor="#548135" strokecolor="white [3201]" strokeweight="1pt">
                    <v:stroke startarrowwidth="narrow" startarrowlength="short" endarrowwidth="narrow" endarrowlength="short" joinstyle="miter"/>
                    <v:textbox inset="2.53958mm,2.53958mm,2.53958mm,2.53958mm">
                      <w:txbxContent>
                        <w:p w14:paraId="4437E699" w14:textId="77777777" w:rsidR="00D35DF1" w:rsidRDefault="00D35DF1" w:rsidP="00CA738D"/>
                      </w:txbxContent>
                    </v:textbox>
                  </v:roundrect>
                  <v:shape id="Caixa de texto 42" o:spid="_x0000_s1051" type="#_x0000_t202" style="position:absolute;left:36991;top:23081;width:11856;height:6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" filled="f" stroked="f">
                    <v:textbox inset="3pt,3pt,3pt,3pt">
                      <w:txbxContent>
                        <w:p w14:paraId="32BCFFE9" w14:textId="77777777" w:rsidR="00D35DF1" w:rsidRDefault="008A4894" w:rsidP="00CA738D">
                          <w:pPr>
                            <w:spacing w:line="215" w:lineRule="auto"/>
                            <w:jc w:val="center"/>
                          </w:pPr>
                          <w:r w:rsidRPr="0030210D">
                            <w:rPr>
                              <w:color w:val="000000"/>
                              <w:sz w:val="20"/>
                            </w:rPr>
                            <w:t>22 articles included in the literature review</w:t>
                          </w:r>
                        </w:p>
                      </w:txbxContent>
                    </v:textbox>
                  </v:shape>
                </v:group>
                <w10:anchorlock/>
              </v:group>
            </w:pict>
          </mc:Fallback>
        </mc:AlternateContent>
      </w:r>
    </w:p>
    <w:p w14:paraId="318390D9" w14:textId="4BD6CB9C" w:rsidR="00D04FE9" w:rsidRPr="00732207" w:rsidRDefault="008A4894" w:rsidP="00D04FE9">
      <w:pPr>
        <w:pBdr>
          <w:top w:val="nil"/>
          <w:left w:val="nil"/>
          <w:bottom w:val="nil"/>
          <w:right w:val="nil"/>
          <w:between w:val="nil"/>
        </w:pBdr>
        <w:ind w:firstLine="708"/>
        <w:jc w:val="both"/>
        <w:rPr>
          <w:rFonts w:eastAsia="Calibri"/>
          <w:color w:val="000000"/>
          <w:sz w:val="20"/>
          <w:szCs w:val="20"/>
        </w:rPr>
      </w:pPr>
      <w:r w:rsidRPr="00732207">
        <w:rPr>
          <w:rFonts w:eastAsia="Calibri"/>
          <w:color w:val="000000"/>
          <w:sz w:val="20"/>
          <w:szCs w:val="20"/>
        </w:rPr>
        <w:t xml:space="preserve">Figure 3. </w:t>
      </w:r>
      <w:r w:rsidR="0030210D" w:rsidRPr="00732207">
        <w:rPr>
          <w:rFonts w:eastAsia="Calibri"/>
          <w:color w:val="000000"/>
          <w:sz w:val="20"/>
          <w:szCs w:val="20"/>
        </w:rPr>
        <w:t>Methodology flowchart. Source: Authors, 2023</w:t>
      </w:r>
    </w:p>
    <w:p w14:paraId="1F58A3CF" w14:textId="77777777" w:rsidR="0000542C" w:rsidRPr="000504D0" w:rsidRDefault="0000542C" w:rsidP="00E56656">
      <w:pPr>
        <w:pBdr>
          <w:top w:val="nil"/>
          <w:left w:val="nil"/>
          <w:bottom w:val="nil"/>
          <w:right w:val="nil"/>
          <w:between w:val="nil"/>
        </w:pBdr>
        <w:jc w:val="both"/>
        <w:rPr>
          <w:rFonts w:ascii="Calibri" w:eastAsia="Calibri" w:hAnsi="Calibri" w:cs="Calibri"/>
          <w:b/>
          <w:color w:val="000000"/>
          <w:sz w:val="20"/>
          <w:szCs w:val="20"/>
        </w:rPr>
      </w:pPr>
    </w:p>
    <w:p w14:paraId="269100E9" w14:textId="77777777" w:rsidR="00CA738D" w:rsidRDefault="00CA738D">
      <w:pPr>
        <w:pBdr>
          <w:top w:val="nil"/>
          <w:left w:val="nil"/>
          <w:bottom w:val="nil"/>
          <w:right w:val="nil"/>
          <w:between w:val="nil"/>
        </w:pBdr>
        <w:ind w:firstLine="708"/>
        <w:jc w:val="both"/>
        <w:rPr>
          <w:rFonts w:ascii="Calibri" w:eastAsia="Calibri" w:hAnsi="Calibri" w:cs="Calibri"/>
          <w:color w:val="000000"/>
          <w:sz w:val="20"/>
          <w:szCs w:val="20"/>
        </w:rPr>
      </w:pPr>
    </w:p>
    <w:p w14:paraId="23DCB3C7" w14:textId="5A8861AE" w:rsidR="00D04FE9" w:rsidRPr="00732207" w:rsidRDefault="008A4894" w:rsidP="00D04FE9">
      <w:pPr>
        <w:pBdr>
          <w:top w:val="nil"/>
          <w:left w:val="nil"/>
          <w:bottom w:val="nil"/>
          <w:right w:val="nil"/>
          <w:between w:val="nil"/>
        </w:pBdr>
        <w:ind w:firstLine="708"/>
        <w:jc w:val="both"/>
        <w:rPr>
          <w:rFonts w:eastAsia="Calibri"/>
          <w:b/>
          <w:color w:val="000000"/>
          <w:sz w:val="20"/>
          <w:szCs w:val="20"/>
        </w:rPr>
      </w:pPr>
      <w:r w:rsidRPr="00732207">
        <w:rPr>
          <w:rFonts w:eastAsia="Calibri"/>
          <w:b/>
          <w:color w:val="000000"/>
          <w:sz w:val="20"/>
          <w:szCs w:val="20"/>
        </w:rPr>
        <w:t xml:space="preserve">4 </w:t>
      </w:r>
      <w:r w:rsidR="00732207" w:rsidRPr="00732207">
        <w:rPr>
          <w:rFonts w:eastAsia="Calibri"/>
          <w:b/>
          <w:color w:val="000000"/>
          <w:sz w:val="20"/>
          <w:szCs w:val="20"/>
        </w:rPr>
        <w:t>Results and Discussion</w:t>
      </w:r>
    </w:p>
    <w:p w14:paraId="7068209D" w14:textId="30743B94" w:rsidR="00F835C4" w:rsidRDefault="00115695" w:rsidP="000504D0">
      <w:pPr>
        <w:pBdr>
          <w:top w:val="nil"/>
          <w:left w:val="nil"/>
          <w:bottom w:val="nil"/>
          <w:right w:val="nil"/>
          <w:between w:val="nil"/>
        </w:pBdr>
        <w:spacing w:line="276" w:lineRule="auto"/>
        <w:ind w:firstLine="708"/>
        <w:jc w:val="both"/>
        <w:rPr>
          <w:rFonts w:eastAsia="Calibri"/>
          <w:color w:val="000000"/>
          <w:sz w:val="20"/>
          <w:szCs w:val="20"/>
        </w:rPr>
      </w:pPr>
      <w:proofErr w:type="spellStart"/>
      <w:r w:rsidRPr="00115695">
        <w:rPr>
          <w:rFonts w:eastAsia="Calibri"/>
          <w:color w:val="000000"/>
          <w:sz w:val="20"/>
          <w:szCs w:val="20"/>
        </w:rPr>
        <w:t>After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extensive</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research</w:t>
      </w:r>
      <w:proofErr w:type="spellEnd"/>
      <w:r w:rsidRPr="00115695">
        <w:rPr>
          <w:rFonts w:eastAsia="Calibri"/>
          <w:color w:val="000000"/>
          <w:sz w:val="20"/>
          <w:szCs w:val="20"/>
        </w:rPr>
        <w:t xml:space="preserve">, </w:t>
      </w:r>
      <w:proofErr w:type="spellStart"/>
      <w:r w:rsidRPr="00115695">
        <w:rPr>
          <w:rFonts w:eastAsia="Calibri"/>
          <w:color w:val="000000"/>
          <w:sz w:val="20"/>
          <w:szCs w:val="20"/>
        </w:rPr>
        <w:t>several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scientific</w:t>
      </w:r>
      <w:proofErr w:type="spellEnd"/>
      <w:r w:rsidRPr="00115695">
        <w:rPr>
          <w:rFonts w:eastAsia="Calibri"/>
          <w:color w:val="000000"/>
          <w:sz w:val="20"/>
          <w:szCs w:val="20"/>
        </w:rPr>
        <w:t xml:space="preserve"> </w:t>
      </w:r>
      <w:proofErr w:type="spellStart"/>
      <w:r w:rsidRPr="00115695">
        <w:rPr>
          <w:rFonts w:eastAsia="Calibri"/>
          <w:color w:val="000000"/>
          <w:sz w:val="20"/>
          <w:szCs w:val="20"/>
        </w:rPr>
        <w:t>articles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various</w:t>
      </w:r>
      <w:proofErr w:type="spellEnd"/>
      <w:r w:rsidRPr="00115695">
        <w:rPr>
          <w:rFonts w:eastAsia="Calibri"/>
          <w:color w:val="000000"/>
          <w:sz w:val="20"/>
          <w:szCs w:val="20"/>
        </w:rPr>
        <w:t xml:space="preserve"> </w:t>
      </w:r>
      <w:proofErr w:type="spellStart"/>
      <w:r w:rsidRPr="00115695">
        <w:rPr>
          <w:rFonts w:eastAsia="Calibri"/>
          <w:color w:val="000000"/>
          <w:sz w:val="20"/>
          <w:szCs w:val="20"/>
        </w:rPr>
        <w:t>types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ginseng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were</w:t>
      </w:r>
      <w:proofErr w:type="spellEnd"/>
      <w:r w:rsidRPr="00115695">
        <w:rPr>
          <w:rFonts w:eastAsia="Calibri"/>
          <w:color w:val="000000"/>
          <w:sz w:val="20"/>
          <w:szCs w:val="20"/>
        </w:rPr>
        <w:t xml:space="preserve"> </w:t>
      </w:r>
      <w:proofErr w:type="spellStart"/>
      <w:r w:rsidRPr="00115695">
        <w:rPr>
          <w:rFonts w:eastAsia="Calibri"/>
          <w:color w:val="000000"/>
          <w:sz w:val="20"/>
          <w:szCs w:val="20"/>
        </w:rPr>
        <w:t>found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with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special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emphasis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on</w:t>
      </w:r>
      <w:proofErr w:type="spellEnd"/>
      <w:r w:rsidRPr="00115695">
        <w:rPr>
          <w:rFonts w:eastAsia="Calibri"/>
          <w:color w:val="000000"/>
          <w:sz w:val="20"/>
          <w:szCs w:val="20"/>
        </w:rPr>
        <w:t xml:space="preserve"> P. </w:t>
      </w:r>
      <w:proofErr w:type="spellStart"/>
      <w:r w:rsidRPr="00115695">
        <w:rPr>
          <w:rFonts w:eastAsia="Calibri"/>
          <w:color w:val="000000"/>
          <w:sz w:val="20"/>
          <w:szCs w:val="20"/>
        </w:rPr>
        <w:t>ginseng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Regarding</w:t>
      </w:r>
      <w:proofErr w:type="spellEnd"/>
      <w:r w:rsidRPr="00115695">
        <w:rPr>
          <w:rFonts w:eastAsia="Calibri"/>
          <w:color w:val="000000"/>
          <w:sz w:val="20"/>
          <w:szCs w:val="20"/>
        </w:rPr>
        <w:t xml:space="preserve"> P. </w:t>
      </w:r>
      <w:proofErr w:type="spellStart"/>
      <w:r w:rsidRPr="00115695">
        <w:rPr>
          <w:rFonts w:eastAsia="Calibri"/>
          <w:color w:val="000000"/>
          <w:sz w:val="20"/>
          <w:szCs w:val="20"/>
        </w:rPr>
        <w:t>glomerata</w:t>
      </w:r>
      <w:proofErr w:type="spellEnd"/>
      <w:r w:rsidRPr="00115695">
        <w:rPr>
          <w:rFonts w:eastAsia="Calibri"/>
          <w:color w:val="000000"/>
          <w:sz w:val="20"/>
          <w:szCs w:val="20"/>
        </w:rPr>
        <w:t xml:space="preserve">, no </w:t>
      </w:r>
      <w:proofErr w:type="spellStart"/>
      <w:r w:rsidRPr="00115695">
        <w:rPr>
          <w:rFonts w:eastAsia="Calibri"/>
          <w:color w:val="000000"/>
          <w:sz w:val="20"/>
          <w:szCs w:val="20"/>
        </w:rPr>
        <w:t>studies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were</w:t>
      </w:r>
      <w:proofErr w:type="spellEnd"/>
      <w:r w:rsidRPr="00115695">
        <w:rPr>
          <w:rFonts w:eastAsia="Calibri"/>
          <w:color w:val="000000"/>
          <w:sz w:val="20"/>
          <w:szCs w:val="20"/>
        </w:rPr>
        <w:t xml:space="preserve"> </w:t>
      </w:r>
      <w:proofErr w:type="spellStart"/>
      <w:r w:rsidRPr="00115695">
        <w:rPr>
          <w:rFonts w:eastAsia="Calibri"/>
          <w:color w:val="000000"/>
          <w:sz w:val="20"/>
          <w:szCs w:val="20"/>
        </w:rPr>
        <w:t>found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use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plant</w:t>
      </w:r>
      <w:proofErr w:type="spellEnd"/>
      <w:r w:rsidRPr="00115695">
        <w:rPr>
          <w:rFonts w:eastAsia="Calibri"/>
          <w:color w:val="000000"/>
          <w:sz w:val="20"/>
          <w:szCs w:val="20"/>
        </w:rPr>
        <w:t xml:space="preserve"> for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green</w:t>
      </w:r>
      <w:proofErr w:type="spellEnd"/>
      <w:r w:rsidRPr="00115695">
        <w:rPr>
          <w:rFonts w:eastAsia="Calibri"/>
          <w:color w:val="000000"/>
          <w:sz w:val="20"/>
          <w:szCs w:val="20"/>
        </w:rPr>
        <w:t xml:space="preserve"> </w:t>
      </w:r>
      <w:proofErr w:type="spellStart"/>
      <w:r w:rsidRPr="00115695">
        <w:rPr>
          <w:rFonts w:eastAsia="Calibri"/>
          <w:color w:val="000000"/>
          <w:sz w:val="20"/>
          <w:szCs w:val="20"/>
        </w:rPr>
        <w:t>synthesis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NPMs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with</w:t>
      </w:r>
      <w:proofErr w:type="spellEnd"/>
      <w:r w:rsidRPr="00115695">
        <w:rPr>
          <w:rFonts w:eastAsia="Calibri"/>
          <w:color w:val="000000"/>
          <w:sz w:val="20"/>
          <w:szCs w:val="20"/>
        </w:rPr>
        <w:t xml:space="preserve"> </w:t>
      </w:r>
      <w:proofErr w:type="spellStart"/>
      <w:r w:rsidRPr="00115695">
        <w:rPr>
          <w:rFonts w:eastAsia="Calibri"/>
          <w:color w:val="000000"/>
          <w:sz w:val="20"/>
          <w:szCs w:val="20"/>
        </w:rPr>
        <w:t>biological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activity</w:t>
      </w:r>
      <w:proofErr w:type="spellEnd"/>
      <w:r w:rsidRPr="00115695">
        <w:rPr>
          <w:rFonts w:eastAsia="Calibri"/>
          <w:color w:val="000000"/>
          <w:sz w:val="20"/>
          <w:szCs w:val="20"/>
        </w:rPr>
        <w:t xml:space="preserve">. The data </w:t>
      </w:r>
      <w:proofErr w:type="spellStart"/>
      <w:r w:rsidRPr="00115695">
        <w:rPr>
          <w:rFonts w:eastAsia="Calibri"/>
          <w:color w:val="000000"/>
          <w:sz w:val="20"/>
          <w:szCs w:val="20"/>
        </w:rPr>
        <w:t>on</w:t>
      </w:r>
      <w:proofErr w:type="spellEnd"/>
      <w:r w:rsidRPr="00115695">
        <w:rPr>
          <w:rFonts w:eastAsia="Calibri"/>
          <w:color w:val="000000"/>
          <w:sz w:val="20"/>
          <w:szCs w:val="20"/>
        </w:rPr>
        <w:t xml:space="preserve"> </w:t>
      </w:r>
      <w:proofErr w:type="spellStart"/>
      <w:r w:rsidRPr="00115695">
        <w:rPr>
          <w:rFonts w:eastAsia="Calibri"/>
          <w:color w:val="000000"/>
          <w:sz w:val="20"/>
          <w:szCs w:val="20"/>
        </w:rPr>
        <w:t>the</w:t>
      </w:r>
      <w:proofErr w:type="spellEnd"/>
      <w:r w:rsidRPr="00115695">
        <w:rPr>
          <w:rFonts w:eastAsia="Calibri"/>
          <w:color w:val="000000"/>
          <w:sz w:val="20"/>
          <w:szCs w:val="20"/>
        </w:rPr>
        <w:t xml:space="preserve"> </w:t>
      </w:r>
      <w:proofErr w:type="spellStart"/>
      <w:r w:rsidRPr="00115695">
        <w:rPr>
          <w:rFonts w:eastAsia="Calibri"/>
          <w:color w:val="000000"/>
          <w:sz w:val="20"/>
          <w:szCs w:val="20"/>
        </w:rPr>
        <w:t>parameters</w:t>
      </w:r>
      <w:proofErr w:type="spellEnd"/>
      <w:r w:rsidRPr="00115695">
        <w:rPr>
          <w:rFonts w:eastAsia="Calibri"/>
          <w:color w:val="000000"/>
          <w:sz w:val="20"/>
          <w:szCs w:val="20"/>
        </w:rPr>
        <w:t xml:space="preserve">, time, </w:t>
      </w:r>
      <w:proofErr w:type="spellStart"/>
      <w:r w:rsidRPr="00115695">
        <w:rPr>
          <w:rFonts w:eastAsia="Calibri"/>
          <w:color w:val="000000"/>
          <w:sz w:val="20"/>
          <w:szCs w:val="20"/>
        </w:rPr>
        <w:t>morphology</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biological</w:t>
      </w:r>
      <w:proofErr w:type="spellEnd"/>
      <w:r w:rsidRPr="00115695">
        <w:rPr>
          <w:rFonts w:eastAsia="Calibri"/>
          <w:color w:val="000000"/>
          <w:sz w:val="20"/>
          <w:szCs w:val="20"/>
        </w:rPr>
        <w:t xml:space="preserve"> </w:t>
      </w:r>
      <w:proofErr w:type="spellStart"/>
      <w:r w:rsidRPr="00115695">
        <w:rPr>
          <w:rFonts w:eastAsia="Calibri"/>
          <w:color w:val="000000"/>
          <w:sz w:val="20"/>
          <w:szCs w:val="20"/>
        </w:rPr>
        <w:t>activity</w:t>
      </w:r>
      <w:proofErr w:type="spellEnd"/>
      <w:r w:rsidRPr="00115695">
        <w:rPr>
          <w:rFonts w:eastAsia="Calibri"/>
          <w:color w:val="000000"/>
          <w:sz w:val="20"/>
          <w:szCs w:val="20"/>
        </w:rPr>
        <w:t xml:space="preserve"> </w:t>
      </w:r>
      <w:proofErr w:type="spellStart"/>
      <w:r w:rsidRPr="00115695">
        <w:rPr>
          <w:rFonts w:eastAsia="Calibri"/>
          <w:color w:val="000000"/>
          <w:sz w:val="20"/>
          <w:szCs w:val="20"/>
        </w:rPr>
        <w:t>of</w:t>
      </w:r>
      <w:proofErr w:type="spellEnd"/>
      <w:r w:rsidRPr="00115695">
        <w:rPr>
          <w:rFonts w:eastAsia="Calibri"/>
          <w:color w:val="000000"/>
          <w:sz w:val="20"/>
          <w:szCs w:val="20"/>
        </w:rPr>
        <w:t xml:space="preserve"> </w:t>
      </w:r>
      <w:proofErr w:type="spellStart"/>
      <w:r w:rsidRPr="00115695">
        <w:rPr>
          <w:rFonts w:eastAsia="Calibri"/>
          <w:color w:val="000000"/>
          <w:sz w:val="20"/>
          <w:szCs w:val="20"/>
        </w:rPr>
        <w:t>silver</w:t>
      </w:r>
      <w:proofErr w:type="spellEnd"/>
      <w:r w:rsidRPr="00115695">
        <w:rPr>
          <w:rFonts w:eastAsia="Calibri"/>
          <w:color w:val="000000"/>
          <w:sz w:val="20"/>
          <w:szCs w:val="20"/>
        </w:rPr>
        <w:t xml:space="preserve"> </w:t>
      </w:r>
      <w:proofErr w:type="spellStart"/>
      <w:r w:rsidRPr="00115695">
        <w:rPr>
          <w:rFonts w:eastAsia="Calibri"/>
          <w:color w:val="000000"/>
          <w:sz w:val="20"/>
          <w:szCs w:val="20"/>
        </w:rPr>
        <w:t>and</w:t>
      </w:r>
      <w:proofErr w:type="spellEnd"/>
      <w:r w:rsidRPr="00115695">
        <w:rPr>
          <w:rFonts w:eastAsia="Calibri"/>
          <w:color w:val="000000"/>
          <w:sz w:val="20"/>
          <w:szCs w:val="20"/>
        </w:rPr>
        <w:t xml:space="preserve"> </w:t>
      </w:r>
      <w:proofErr w:type="spellStart"/>
      <w:r w:rsidRPr="00115695">
        <w:rPr>
          <w:rFonts w:eastAsia="Calibri"/>
          <w:color w:val="000000"/>
          <w:sz w:val="20"/>
          <w:szCs w:val="20"/>
        </w:rPr>
        <w:t>gold</w:t>
      </w:r>
      <w:proofErr w:type="spellEnd"/>
      <w:r w:rsidRPr="00115695">
        <w:rPr>
          <w:rFonts w:eastAsia="Calibri"/>
          <w:color w:val="000000"/>
          <w:sz w:val="20"/>
          <w:szCs w:val="20"/>
        </w:rPr>
        <w:t xml:space="preserve"> </w:t>
      </w:r>
      <w:proofErr w:type="spellStart"/>
      <w:r w:rsidRPr="00115695">
        <w:rPr>
          <w:rFonts w:eastAsia="Calibri"/>
          <w:color w:val="000000"/>
          <w:sz w:val="20"/>
          <w:szCs w:val="20"/>
        </w:rPr>
        <w:t>nanoparticles</w:t>
      </w:r>
      <w:proofErr w:type="spellEnd"/>
      <w:r w:rsidRPr="00115695">
        <w:rPr>
          <w:rFonts w:eastAsia="Calibri"/>
          <w:color w:val="000000"/>
          <w:sz w:val="20"/>
          <w:szCs w:val="20"/>
        </w:rPr>
        <w:t xml:space="preserve"> </w:t>
      </w:r>
      <w:proofErr w:type="spellStart"/>
      <w:r w:rsidRPr="00115695">
        <w:rPr>
          <w:rFonts w:eastAsia="Calibri"/>
          <w:color w:val="000000"/>
          <w:sz w:val="20"/>
          <w:szCs w:val="20"/>
        </w:rPr>
        <w:t>obtained</w:t>
      </w:r>
      <w:proofErr w:type="spellEnd"/>
      <w:r w:rsidRPr="00115695">
        <w:rPr>
          <w:rFonts w:eastAsia="Calibri"/>
          <w:color w:val="000000"/>
          <w:sz w:val="20"/>
          <w:szCs w:val="20"/>
        </w:rPr>
        <w:t xml:space="preserve"> via </w:t>
      </w:r>
      <w:proofErr w:type="spellStart"/>
      <w:r w:rsidRPr="00115695">
        <w:rPr>
          <w:rFonts w:eastAsia="Calibri"/>
          <w:color w:val="000000"/>
          <w:sz w:val="20"/>
          <w:szCs w:val="20"/>
        </w:rPr>
        <w:t>green</w:t>
      </w:r>
      <w:proofErr w:type="spellEnd"/>
      <w:r w:rsidRPr="00115695">
        <w:rPr>
          <w:rFonts w:eastAsia="Calibri"/>
          <w:color w:val="000000"/>
          <w:sz w:val="20"/>
          <w:szCs w:val="20"/>
        </w:rPr>
        <w:t xml:space="preserve"> </w:t>
      </w:r>
      <w:proofErr w:type="spellStart"/>
      <w:r w:rsidRPr="00115695">
        <w:rPr>
          <w:rFonts w:eastAsia="Calibri"/>
          <w:color w:val="000000"/>
          <w:sz w:val="20"/>
          <w:szCs w:val="20"/>
        </w:rPr>
        <w:t>synthesis</w:t>
      </w:r>
      <w:proofErr w:type="spellEnd"/>
      <w:r w:rsidRPr="00115695">
        <w:rPr>
          <w:rFonts w:eastAsia="Calibri"/>
          <w:color w:val="000000"/>
          <w:sz w:val="20"/>
          <w:szCs w:val="20"/>
        </w:rPr>
        <w:t xml:space="preserve"> </w:t>
      </w:r>
      <w:proofErr w:type="spellStart"/>
      <w:r w:rsidRPr="00115695">
        <w:rPr>
          <w:rFonts w:eastAsia="Calibri"/>
          <w:color w:val="000000"/>
          <w:sz w:val="20"/>
          <w:szCs w:val="20"/>
        </w:rPr>
        <w:t>using</w:t>
      </w:r>
      <w:proofErr w:type="spellEnd"/>
      <w:r w:rsidRPr="00115695">
        <w:rPr>
          <w:rFonts w:eastAsia="Calibri"/>
          <w:color w:val="000000"/>
          <w:sz w:val="20"/>
          <w:szCs w:val="20"/>
        </w:rPr>
        <w:t xml:space="preserve"> </w:t>
      </w:r>
      <w:proofErr w:type="spellStart"/>
      <w:r w:rsidRPr="00115695">
        <w:rPr>
          <w:rFonts w:eastAsia="Calibri"/>
          <w:color w:val="000000"/>
          <w:sz w:val="20"/>
          <w:szCs w:val="20"/>
        </w:rPr>
        <w:t>plant</w:t>
      </w:r>
      <w:proofErr w:type="spellEnd"/>
      <w:r w:rsidRPr="00115695">
        <w:rPr>
          <w:rFonts w:eastAsia="Calibri"/>
          <w:color w:val="000000"/>
          <w:sz w:val="20"/>
          <w:szCs w:val="20"/>
        </w:rPr>
        <w:t xml:space="preserve"> </w:t>
      </w:r>
      <w:proofErr w:type="spellStart"/>
      <w:r w:rsidRPr="00115695">
        <w:rPr>
          <w:rFonts w:eastAsia="Calibri"/>
          <w:color w:val="000000"/>
          <w:sz w:val="20"/>
          <w:szCs w:val="20"/>
        </w:rPr>
        <w:t>extracts</w:t>
      </w:r>
      <w:proofErr w:type="spellEnd"/>
      <w:r w:rsidRPr="00115695">
        <w:rPr>
          <w:rFonts w:eastAsia="Calibri"/>
          <w:color w:val="000000"/>
          <w:sz w:val="20"/>
          <w:szCs w:val="20"/>
        </w:rPr>
        <w:t xml:space="preserve"> </w:t>
      </w:r>
      <w:proofErr w:type="spellStart"/>
      <w:r w:rsidRPr="00115695">
        <w:rPr>
          <w:rFonts w:eastAsia="Calibri"/>
          <w:color w:val="000000"/>
          <w:sz w:val="20"/>
          <w:szCs w:val="20"/>
        </w:rPr>
        <w:t>were</w:t>
      </w:r>
      <w:proofErr w:type="spellEnd"/>
      <w:r w:rsidRPr="00115695">
        <w:rPr>
          <w:rFonts w:eastAsia="Calibri"/>
          <w:color w:val="000000"/>
          <w:sz w:val="20"/>
          <w:szCs w:val="20"/>
        </w:rPr>
        <w:t xml:space="preserve"> </w:t>
      </w:r>
      <w:proofErr w:type="spellStart"/>
      <w:r w:rsidRPr="00115695">
        <w:rPr>
          <w:rFonts w:eastAsia="Calibri"/>
          <w:color w:val="000000"/>
          <w:sz w:val="20"/>
          <w:szCs w:val="20"/>
        </w:rPr>
        <w:t>summarized</w:t>
      </w:r>
      <w:proofErr w:type="spellEnd"/>
      <w:r w:rsidRPr="00115695">
        <w:rPr>
          <w:rFonts w:eastAsia="Calibri"/>
          <w:color w:val="000000"/>
          <w:sz w:val="20"/>
          <w:szCs w:val="20"/>
        </w:rPr>
        <w:t xml:space="preserve"> in </w:t>
      </w:r>
      <w:proofErr w:type="spellStart"/>
      <w:r w:rsidRPr="00115695">
        <w:rPr>
          <w:rFonts w:eastAsia="Calibri"/>
          <w:color w:val="000000"/>
          <w:sz w:val="20"/>
          <w:szCs w:val="20"/>
        </w:rPr>
        <w:t>Table</w:t>
      </w:r>
      <w:proofErr w:type="spellEnd"/>
      <w:r w:rsidRPr="00115695">
        <w:rPr>
          <w:rFonts w:eastAsia="Calibri"/>
          <w:color w:val="000000"/>
          <w:sz w:val="20"/>
          <w:szCs w:val="20"/>
        </w:rPr>
        <w:t xml:space="preserve"> 1.</w:t>
      </w:r>
    </w:p>
    <w:p w14:paraId="2965C562" w14:textId="77777777" w:rsidR="00115695" w:rsidRPr="000504D0" w:rsidRDefault="00115695" w:rsidP="000504D0">
      <w:pPr>
        <w:pBdr>
          <w:top w:val="nil"/>
          <w:left w:val="nil"/>
          <w:bottom w:val="nil"/>
          <w:right w:val="nil"/>
          <w:between w:val="nil"/>
        </w:pBdr>
        <w:spacing w:line="276" w:lineRule="auto"/>
        <w:ind w:firstLine="708"/>
        <w:jc w:val="both"/>
        <w:rPr>
          <w:rFonts w:ascii="Calibri" w:eastAsia="Calibri" w:hAnsi="Calibri" w:cs="Calibri"/>
          <w:color w:val="000000"/>
        </w:rPr>
      </w:pPr>
    </w:p>
    <w:p w14:paraId="620300B8" w14:textId="29E9CC54" w:rsidR="00883F1C" w:rsidRDefault="00115695" w:rsidP="00F835C4">
      <w:pPr>
        <w:rPr>
          <w:sz w:val="20"/>
          <w:szCs w:val="20"/>
        </w:rPr>
      </w:pPr>
      <w:proofErr w:type="spellStart"/>
      <w:r w:rsidRPr="00115695">
        <w:rPr>
          <w:sz w:val="20"/>
          <w:szCs w:val="20"/>
        </w:rPr>
        <w:t>Table</w:t>
      </w:r>
      <w:proofErr w:type="spellEnd"/>
      <w:r w:rsidRPr="00115695">
        <w:rPr>
          <w:sz w:val="20"/>
          <w:szCs w:val="20"/>
        </w:rPr>
        <w:t xml:space="preserve"> 1. </w:t>
      </w:r>
      <w:proofErr w:type="spellStart"/>
      <w:r w:rsidRPr="00115695">
        <w:rPr>
          <w:sz w:val="20"/>
          <w:szCs w:val="20"/>
        </w:rPr>
        <w:t>Comparative</w:t>
      </w:r>
      <w:proofErr w:type="spellEnd"/>
      <w:r w:rsidRPr="00115695">
        <w:rPr>
          <w:sz w:val="20"/>
          <w:szCs w:val="20"/>
        </w:rPr>
        <w:t xml:space="preserve"> </w:t>
      </w:r>
      <w:proofErr w:type="spellStart"/>
      <w:r w:rsidRPr="00115695">
        <w:rPr>
          <w:sz w:val="20"/>
          <w:szCs w:val="20"/>
        </w:rPr>
        <w:t>study</w:t>
      </w:r>
      <w:proofErr w:type="spellEnd"/>
      <w:r w:rsidRPr="00115695">
        <w:rPr>
          <w:sz w:val="20"/>
          <w:szCs w:val="20"/>
        </w:rPr>
        <w:t xml:space="preserve"> </w:t>
      </w:r>
      <w:proofErr w:type="spellStart"/>
      <w:r w:rsidRPr="00115695">
        <w:rPr>
          <w:sz w:val="20"/>
          <w:szCs w:val="20"/>
        </w:rPr>
        <w:t>of</w:t>
      </w:r>
      <w:proofErr w:type="spellEnd"/>
      <w:r w:rsidRPr="00115695">
        <w:rPr>
          <w:sz w:val="20"/>
          <w:szCs w:val="20"/>
        </w:rPr>
        <w:t xml:space="preserve"> </w:t>
      </w:r>
      <w:proofErr w:type="spellStart"/>
      <w:r w:rsidRPr="00115695">
        <w:rPr>
          <w:sz w:val="20"/>
          <w:szCs w:val="20"/>
        </w:rPr>
        <w:t>green</w:t>
      </w:r>
      <w:proofErr w:type="spellEnd"/>
      <w:r w:rsidRPr="00115695">
        <w:rPr>
          <w:sz w:val="20"/>
          <w:szCs w:val="20"/>
        </w:rPr>
        <w:t xml:space="preserve"> </w:t>
      </w:r>
      <w:proofErr w:type="spellStart"/>
      <w:r w:rsidRPr="00115695">
        <w:rPr>
          <w:sz w:val="20"/>
          <w:szCs w:val="20"/>
        </w:rPr>
        <w:t>synthesis</w:t>
      </w:r>
      <w:proofErr w:type="spellEnd"/>
      <w:r w:rsidRPr="00115695">
        <w:rPr>
          <w:sz w:val="20"/>
          <w:szCs w:val="20"/>
        </w:rPr>
        <w:t xml:space="preserve"> </w:t>
      </w:r>
      <w:proofErr w:type="spellStart"/>
      <w:r w:rsidRPr="00115695">
        <w:rPr>
          <w:sz w:val="20"/>
          <w:szCs w:val="20"/>
        </w:rPr>
        <w:t>parameters</w:t>
      </w:r>
      <w:proofErr w:type="spellEnd"/>
      <w:r w:rsidRPr="00115695">
        <w:rPr>
          <w:sz w:val="20"/>
          <w:szCs w:val="20"/>
        </w:rPr>
        <w:t xml:space="preserve"> for </w:t>
      </w:r>
      <w:proofErr w:type="spellStart"/>
      <w:r w:rsidRPr="00115695">
        <w:rPr>
          <w:sz w:val="20"/>
          <w:szCs w:val="20"/>
        </w:rPr>
        <w:t>silver</w:t>
      </w:r>
      <w:proofErr w:type="spellEnd"/>
      <w:r w:rsidRPr="00115695">
        <w:rPr>
          <w:sz w:val="20"/>
          <w:szCs w:val="20"/>
        </w:rPr>
        <w:t xml:space="preserve"> </w:t>
      </w:r>
      <w:proofErr w:type="spellStart"/>
      <w:r w:rsidRPr="00115695">
        <w:rPr>
          <w:sz w:val="20"/>
          <w:szCs w:val="20"/>
        </w:rPr>
        <w:t>and</w:t>
      </w:r>
      <w:proofErr w:type="spellEnd"/>
      <w:r w:rsidRPr="00115695">
        <w:rPr>
          <w:sz w:val="20"/>
          <w:szCs w:val="20"/>
        </w:rPr>
        <w:t xml:space="preserve"> </w:t>
      </w:r>
      <w:proofErr w:type="spellStart"/>
      <w:r w:rsidRPr="00115695">
        <w:rPr>
          <w:sz w:val="20"/>
          <w:szCs w:val="20"/>
        </w:rPr>
        <w:t>gold</w:t>
      </w:r>
      <w:proofErr w:type="spellEnd"/>
      <w:r w:rsidRPr="00115695">
        <w:rPr>
          <w:sz w:val="20"/>
          <w:szCs w:val="20"/>
        </w:rPr>
        <w:t xml:space="preserve"> </w:t>
      </w:r>
      <w:proofErr w:type="spellStart"/>
      <w:r w:rsidRPr="00115695">
        <w:rPr>
          <w:sz w:val="20"/>
          <w:szCs w:val="20"/>
        </w:rPr>
        <w:t>nanoparticles</w:t>
      </w:r>
      <w:proofErr w:type="spellEnd"/>
      <w:r w:rsidRPr="00115695">
        <w:rPr>
          <w:sz w:val="20"/>
          <w:szCs w:val="20"/>
        </w:rPr>
        <w:t xml:space="preserve"> </w:t>
      </w:r>
      <w:proofErr w:type="spellStart"/>
      <w:r w:rsidRPr="00115695">
        <w:rPr>
          <w:sz w:val="20"/>
          <w:szCs w:val="20"/>
        </w:rPr>
        <w:t>using</w:t>
      </w:r>
      <w:proofErr w:type="spellEnd"/>
      <w:r w:rsidRPr="00115695">
        <w:rPr>
          <w:sz w:val="20"/>
          <w:szCs w:val="20"/>
        </w:rPr>
        <w:t xml:space="preserve"> </w:t>
      </w:r>
      <w:proofErr w:type="spellStart"/>
      <w:r w:rsidRPr="00115695">
        <w:rPr>
          <w:sz w:val="20"/>
          <w:szCs w:val="20"/>
        </w:rPr>
        <w:t>extracts</w:t>
      </w:r>
      <w:proofErr w:type="spellEnd"/>
      <w:r w:rsidRPr="00115695">
        <w:rPr>
          <w:sz w:val="20"/>
          <w:szCs w:val="20"/>
        </w:rPr>
        <w:t xml:space="preserve"> </w:t>
      </w:r>
      <w:proofErr w:type="spellStart"/>
      <w:r w:rsidRPr="00115695">
        <w:rPr>
          <w:sz w:val="20"/>
          <w:szCs w:val="20"/>
        </w:rPr>
        <w:t>from</w:t>
      </w:r>
      <w:proofErr w:type="spellEnd"/>
      <w:r w:rsidRPr="00115695">
        <w:rPr>
          <w:sz w:val="20"/>
          <w:szCs w:val="20"/>
        </w:rPr>
        <w:t xml:space="preserve"> </w:t>
      </w:r>
      <w:proofErr w:type="spellStart"/>
      <w:r w:rsidRPr="00115695">
        <w:rPr>
          <w:sz w:val="20"/>
          <w:szCs w:val="20"/>
        </w:rPr>
        <w:t>different</w:t>
      </w:r>
      <w:proofErr w:type="spellEnd"/>
      <w:r w:rsidRPr="00115695">
        <w:rPr>
          <w:sz w:val="20"/>
          <w:szCs w:val="20"/>
        </w:rPr>
        <w:t xml:space="preserve"> </w:t>
      </w:r>
      <w:proofErr w:type="spellStart"/>
      <w:r w:rsidRPr="00115695">
        <w:rPr>
          <w:sz w:val="20"/>
          <w:szCs w:val="20"/>
        </w:rPr>
        <w:t>ginseng</w:t>
      </w:r>
      <w:proofErr w:type="spellEnd"/>
      <w:r w:rsidRPr="00115695">
        <w:rPr>
          <w:sz w:val="20"/>
          <w:szCs w:val="20"/>
        </w:rPr>
        <w:t xml:space="preserve"> </w:t>
      </w:r>
      <w:proofErr w:type="spellStart"/>
      <w:r w:rsidRPr="00115695">
        <w:rPr>
          <w:sz w:val="20"/>
          <w:szCs w:val="20"/>
        </w:rPr>
        <w:t>species</w:t>
      </w:r>
      <w:proofErr w:type="spellEnd"/>
      <w:r w:rsidRPr="00115695">
        <w:rPr>
          <w:sz w:val="20"/>
          <w:szCs w:val="20"/>
        </w:rPr>
        <w:t xml:space="preserve">. Where: </w:t>
      </w:r>
      <w:proofErr w:type="spellStart"/>
      <w:r w:rsidRPr="00115695">
        <w:rPr>
          <w:sz w:val="20"/>
          <w:szCs w:val="20"/>
        </w:rPr>
        <w:t>NPs</w:t>
      </w:r>
      <w:proofErr w:type="spellEnd"/>
      <w:r w:rsidRPr="00115695">
        <w:rPr>
          <w:sz w:val="20"/>
          <w:szCs w:val="20"/>
        </w:rPr>
        <w:t xml:space="preserve"> – </w:t>
      </w:r>
      <w:proofErr w:type="spellStart"/>
      <w:r w:rsidRPr="00115695">
        <w:rPr>
          <w:sz w:val="20"/>
          <w:szCs w:val="20"/>
        </w:rPr>
        <w:t>Nanoparticles</w:t>
      </w:r>
      <w:proofErr w:type="spellEnd"/>
      <w:r w:rsidRPr="00115695">
        <w:rPr>
          <w:sz w:val="20"/>
          <w:szCs w:val="20"/>
        </w:rPr>
        <w:t xml:space="preserve">; M/E – </w:t>
      </w:r>
      <w:proofErr w:type="spellStart"/>
      <w:r w:rsidRPr="00115695">
        <w:rPr>
          <w:sz w:val="20"/>
          <w:szCs w:val="20"/>
        </w:rPr>
        <w:t>ratio</w:t>
      </w:r>
      <w:proofErr w:type="spellEnd"/>
      <w:r w:rsidRPr="00115695">
        <w:rPr>
          <w:sz w:val="20"/>
          <w:szCs w:val="20"/>
        </w:rPr>
        <w:t xml:space="preserve"> </w:t>
      </w:r>
      <w:proofErr w:type="spellStart"/>
      <w:r w:rsidRPr="00115695">
        <w:rPr>
          <w:sz w:val="20"/>
          <w:szCs w:val="20"/>
        </w:rPr>
        <w:t>of</w:t>
      </w:r>
      <w:proofErr w:type="spellEnd"/>
      <w:r w:rsidRPr="00115695">
        <w:rPr>
          <w:sz w:val="20"/>
          <w:szCs w:val="20"/>
        </w:rPr>
        <w:t xml:space="preserve"> metal </w:t>
      </w:r>
      <w:proofErr w:type="spellStart"/>
      <w:r w:rsidRPr="00115695">
        <w:rPr>
          <w:sz w:val="20"/>
          <w:szCs w:val="20"/>
        </w:rPr>
        <w:t>salt</w:t>
      </w:r>
      <w:proofErr w:type="spellEnd"/>
      <w:r w:rsidRPr="00115695">
        <w:rPr>
          <w:sz w:val="20"/>
          <w:szCs w:val="20"/>
        </w:rPr>
        <w:t xml:space="preserve"> </w:t>
      </w:r>
      <w:proofErr w:type="spellStart"/>
      <w:r w:rsidRPr="00115695">
        <w:rPr>
          <w:sz w:val="20"/>
          <w:szCs w:val="20"/>
        </w:rPr>
        <w:t>to</w:t>
      </w:r>
      <w:proofErr w:type="spellEnd"/>
      <w:r w:rsidRPr="00115695">
        <w:rPr>
          <w:sz w:val="20"/>
          <w:szCs w:val="20"/>
        </w:rPr>
        <w:t xml:space="preserve"> </w:t>
      </w:r>
      <w:proofErr w:type="spellStart"/>
      <w:r w:rsidRPr="00115695">
        <w:rPr>
          <w:sz w:val="20"/>
          <w:szCs w:val="20"/>
        </w:rPr>
        <w:t>plant</w:t>
      </w:r>
      <w:proofErr w:type="spellEnd"/>
      <w:r w:rsidRPr="00115695">
        <w:rPr>
          <w:sz w:val="20"/>
          <w:szCs w:val="20"/>
        </w:rPr>
        <w:t xml:space="preserve"> </w:t>
      </w:r>
      <w:proofErr w:type="spellStart"/>
      <w:r w:rsidRPr="00115695">
        <w:rPr>
          <w:sz w:val="20"/>
          <w:szCs w:val="20"/>
        </w:rPr>
        <w:t>extract</w:t>
      </w:r>
      <w:proofErr w:type="spellEnd"/>
      <w:r w:rsidRPr="00115695">
        <w:rPr>
          <w:sz w:val="20"/>
          <w:szCs w:val="20"/>
        </w:rPr>
        <w:t xml:space="preserve">; </w:t>
      </w:r>
      <w:proofErr w:type="spellStart"/>
      <w:r w:rsidRPr="00115695">
        <w:rPr>
          <w:sz w:val="20"/>
          <w:szCs w:val="20"/>
        </w:rPr>
        <w:t>Au</w:t>
      </w:r>
      <w:proofErr w:type="spellEnd"/>
      <w:r w:rsidRPr="00115695">
        <w:rPr>
          <w:sz w:val="20"/>
          <w:szCs w:val="20"/>
        </w:rPr>
        <w:t xml:space="preserve"> – Gold; Ag – Silver</w:t>
      </w:r>
      <w:r>
        <w:rPr>
          <w:sz w:val="20"/>
          <w:szCs w:val="20"/>
        </w:rPr>
        <w:t>.</w:t>
      </w:r>
    </w:p>
    <w:p w14:paraId="283F838A" w14:textId="77777777" w:rsidR="00883F1C" w:rsidRDefault="00883F1C" w:rsidP="00F835C4">
      <w:pPr>
        <w:rPr>
          <w:sz w:val="20"/>
          <w:szCs w:val="20"/>
        </w:rPr>
      </w:pPr>
    </w:p>
    <w:p w14:paraId="27A5FFCE" w14:textId="77777777" w:rsidR="00B12CCE" w:rsidRDefault="00B12CCE" w:rsidP="00F835C4">
      <w:pPr>
        <w:rPr>
          <w:sz w:val="20"/>
          <w:szCs w:val="20"/>
        </w:rPr>
        <w:sectPr w:rsidR="00B12CCE" w:rsidSect="0040478F">
          <w:headerReference w:type="even" r:id="rId18"/>
          <w:headerReference w:type="default" r:id="rId19"/>
          <w:footerReference w:type="default" r:id="rId20"/>
          <w:headerReference w:type="first" r:id="rId21"/>
          <w:type w:val="continuous"/>
          <w:pgSz w:w="11906" w:h="16838"/>
          <w:pgMar w:top="1701" w:right="1134" w:bottom="1134" w:left="1701" w:header="709" w:footer="709" w:gutter="0"/>
          <w:pgNumType w:start="1"/>
          <w:cols w:space="720"/>
          <w:docGrid w:linePitch="326"/>
        </w:sectPr>
      </w:pPr>
    </w:p>
    <w:tbl>
      <w:tblPr>
        <w:tblW w:w="15088" w:type="dxa"/>
        <w:tblInd w:w="-971"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7"/>
        <w:gridCol w:w="866"/>
        <w:gridCol w:w="863"/>
        <w:gridCol w:w="1439"/>
        <w:gridCol w:w="1726"/>
        <w:gridCol w:w="1153"/>
        <w:gridCol w:w="1446"/>
        <w:gridCol w:w="1871"/>
        <w:gridCol w:w="2016"/>
        <w:gridCol w:w="2411"/>
      </w:tblGrid>
      <w:tr w:rsidR="006474C7" w:rsidRPr="008C2D2F" w14:paraId="67E6067C" w14:textId="77777777" w:rsidTr="001A5E78">
        <w:trPr>
          <w:trHeight w:val="158"/>
        </w:trPr>
        <w:tc>
          <w:tcPr>
            <w:tcW w:w="1297" w:type="dxa"/>
            <w:vMerge w:val="restart"/>
            <w:tcBorders>
              <w:top w:val="single" w:sz="4" w:space="0" w:color="000000"/>
              <w:left w:val="nil"/>
              <w:bottom w:val="single" w:sz="4" w:space="0" w:color="000000"/>
              <w:right w:val="nil"/>
            </w:tcBorders>
          </w:tcPr>
          <w:p w14:paraId="26533DEE" w14:textId="77777777" w:rsidR="000C1BC5" w:rsidRPr="008C2D2F" w:rsidRDefault="008A4894" w:rsidP="004F582C">
            <w:pPr>
              <w:rPr>
                <w:b/>
                <w:sz w:val="20"/>
                <w:szCs w:val="20"/>
              </w:rPr>
            </w:pPr>
            <w:r w:rsidRPr="008C2D2F">
              <w:rPr>
                <w:b/>
                <w:sz w:val="20"/>
                <w:szCs w:val="20"/>
              </w:rPr>
              <w:lastRenderedPageBreak/>
              <w:t>Plant Species</w:t>
            </w:r>
          </w:p>
        </w:tc>
        <w:tc>
          <w:tcPr>
            <w:tcW w:w="866" w:type="dxa"/>
            <w:vMerge w:val="restart"/>
            <w:tcBorders>
              <w:top w:val="single" w:sz="4" w:space="0" w:color="000000"/>
              <w:left w:val="nil"/>
              <w:bottom w:val="single" w:sz="4" w:space="0" w:color="000000"/>
              <w:right w:val="nil"/>
            </w:tcBorders>
          </w:tcPr>
          <w:p w14:paraId="627BA0DC" w14:textId="77777777" w:rsidR="000C1BC5" w:rsidRPr="008C2D2F" w:rsidRDefault="008A4894" w:rsidP="004F582C">
            <w:pPr>
              <w:rPr>
                <w:b/>
                <w:sz w:val="20"/>
                <w:szCs w:val="20"/>
              </w:rPr>
            </w:pPr>
            <w:r w:rsidRPr="008C2D2F">
              <w:rPr>
                <w:b/>
                <w:sz w:val="20"/>
                <w:szCs w:val="20"/>
              </w:rPr>
              <w:t>Part</w:t>
            </w:r>
          </w:p>
        </w:tc>
        <w:tc>
          <w:tcPr>
            <w:tcW w:w="863" w:type="dxa"/>
            <w:vMerge w:val="restart"/>
            <w:tcBorders>
              <w:top w:val="single" w:sz="4" w:space="0" w:color="000000"/>
              <w:left w:val="nil"/>
              <w:bottom w:val="single" w:sz="4" w:space="0" w:color="000000"/>
              <w:right w:val="nil"/>
            </w:tcBorders>
          </w:tcPr>
          <w:p w14:paraId="3BD70A1D" w14:textId="77777777" w:rsidR="000C1BC5" w:rsidRPr="008C2D2F" w:rsidRDefault="008A4894" w:rsidP="004F582C">
            <w:pPr>
              <w:rPr>
                <w:b/>
                <w:sz w:val="20"/>
                <w:szCs w:val="20"/>
              </w:rPr>
            </w:pPr>
            <w:r w:rsidRPr="008C2D2F">
              <w:rPr>
                <w:b/>
                <w:sz w:val="20"/>
                <w:szCs w:val="20"/>
              </w:rPr>
              <w:t>Type of NPs</w:t>
            </w:r>
          </w:p>
        </w:tc>
        <w:tc>
          <w:tcPr>
            <w:tcW w:w="1439" w:type="dxa"/>
            <w:tcBorders>
              <w:top w:val="single" w:sz="4" w:space="0" w:color="000000"/>
              <w:left w:val="nil"/>
              <w:bottom w:val="single" w:sz="4" w:space="0" w:color="000000"/>
              <w:right w:val="nil"/>
            </w:tcBorders>
          </w:tcPr>
          <w:p w14:paraId="43ABCD7B" w14:textId="77777777" w:rsidR="000C1BC5" w:rsidRPr="008C2D2F" w:rsidRDefault="000C1BC5" w:rsidP="004F582C">
            <w:pPr>
              <w:rPr>
                <w:sz w:val="20"/>
                <w:szCs w:val="20"/>
              </w:rPr>
            </w:pPr>
          </w:p>
        </w:tc>
        <w:tc>
          <w:tcPr>
            <w:tcW w:w="4325" w:type="dxa"/>
            <w:gridSpan w:val="3"/>
            <w:tcBorders>
              <w:top w:val="single" w:sz="4" w:space="0" w:color="000000"/>
              <w:left w:val="nil"/>
              <w:bottom w:val="single" w:sz="4" w:space="0" w:color="000000"/>
              <w:right w:val="nil"/>
            </w:tcBorders>
          </w:tcPr>
          <w:p w14:paraId="30F6C472" w14:textId="77777777" w:rsidR="000C1BC5" w:rsidRPr="008C2D2F" w:rsidRDefault="008A4894" w:rsidP="004F582C">
            <w:pPr>
              <w:rPr>
                <w:b/>
                <w:sz w:val="20"/>
                <w:szCs w:val="20"/>
              </w:rPr>
            </w:pPr>
            <w:r w:rsidRPr="008C2D2F">
              <w:rPr>
                <w:b/>
                <w:sz w:val="20"/>
                <w:szCs w:val="20"/>
              </w:rPr>
              <w:t>Synthesis Conditions</w:t>
            </w:r>
          </w:p>
        </w:tc>
        <w:tc>
          <w:tcPr>
            <w:tcW w:w="1871" w:type="dxa"/>
            <w:tcBorders>
              <w:top w:val="single" w:sz="4" w:space="0" w:color="000000"/>
              <w:left w:val="nil"/>
              <w:bottom w:val="single" w:sz="4" w:space="0" w:color="000000"/>
              <w:right w:val="nil"/>
            </w:tcBorders>
          </w:tcPr>
          <w:p w14:paraId="05DB1E50" w14:textId="77777777" w:rsidR="000C1BC5" w:rsidRPr="008C2D2F" w:rsidRDefault="008A4894" w:rsidP="004F582C">
            <w:pPr>
              <w:rPr>
                <w:b/>
                <w:sz w:val="20"/>
                <w:szCs w:val="20"/>
              </w:rPr>
            </w:pPr>
            <w:r w:rsidRPr="008C2D2F">
              <w:rPr>
                <w:b/>
                <w:sz w:val="20"/>
                <w:szCs w:val="20"/>
              </w:rPr>
              <w:t>Characterization</w:t>
            </w:r>
          </w:p>
        </w:tc>
        <w:tc>
          <w:tcPr>
            <w:tcW w:w="2016" w:type="dxa"/>
            <w:vMerge w:val="restart"/>
            <w:tcBorders>
              <w:top w:val="single" w:sz="4" w:space="0" w:color="000000"/>
              <w:left w:val="nil"/>
              <w:bottom w:val="single" w:sz="4" w:space="0" w:color="000000"/>
              <w:right w:val="nil"/>
            </w:tcBorders>
          </w:tcPr>
          <w:p w14:paraId="42268ED2" w14:textId="77777777" w:rsidR="000C1BC5" w:rsidRPr="008C2D2F" w:rsidRDefault="008A4894" w:rsidP="004F582C">
            <w:pPr>
              <w:rPr>
                <w:b/>
                <w:sz w:val="20"/>
                <w:szCs w:val="20"/>
              </w:rPr>
            </w:pPr>
            <w:r w:rsidRPr="008C2D2F">
              <w:rPr>
                <w:b/>
                <w:sz w:val="20"/>
                <w:szCs w:val="20"/>
              </w:rPr>
              <w:t>Microorganism</w:t>
            </w:r>
          </w:p>
        </w:tc>
        <w:tc>
          <w:tcPr>
            <w:tcW w:w="2411" w:type="dxa"/>
            <w:vMerge w:val="restart"/>
            <w:tcBorders>
              <w:top w:val="single" w:sz="4" w:space="0" w:color="000000"/>
              <w:left w:val="nil"/>
              <w:bottom w:val="single" w:sz="4" w:space="0" w:color="000000"/>
              <w:right w:val="nil"/>
            </w:tcBorders>
          </w:tcPr>
          <w:p w14:paraId="5C41EB20" w14:textId="77777777" w:rsidR="000C1BC5" w:rsidRPr="008C2D2F" w:rsidRDefault="008A4894" w:rsidP="004F582C">
            <w:pPr>
              <w:rPr>
                <w:b/>
                <w:sz w:val="20"/>
                <w:szCs w:val="20"/>
              </w:rPr>
            </w:pPr>
            <w:r w:rsidRPr="008C2D2F">
              <w:rPr>
                <w:b/>
                <w:sz w:val="20"/>
                <w:szCs w:val="20"/>
              </w:rPr>
              <w:t>Reference</w:t>
            </w:r>
          </w:p>
        </w:tc>
      </w:tr>
      <w:tr w:rsidR="006474C7" w:rsidRPr="008C2D2F" w14:paraId="05E3311F" w14:textId="77777777" w:rsidTr="001A5E78">
        <w:trPr>
          <w:trHeight w:val="157"/>
        </w:trPr>
        <w:tc>
          <w:tcPr>
            <w:tcW w:w="1297" w:type="dxa"/>
            <w:vMerge/>
            <w:tcBorders>
              <w:top w:val="single" w:sz="4" w:space="0" w:color="000000"/>
              <w:left w:val="nil"/>
              <w:bottom w:val="single" w:sz="4" w:space="0" w:color="000000"/>
              <w:right w:val="nil"/>
            </w:tcBorders>
          </w:tcPr>
          <w:p w14:paraId="7E93B768"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866" w:type="dxa"/>
            <w:vMerge/>
            <w:tcBorders>
              <w:top w:val="single" w:sz="4" w:space="0" w:color="000000"/>
              <w:left w:val="nil"/>
              <w:bottom w:val="single" w:sz="4" w:space="0" w:color="000000"/>
              <w:right w:val="nil"/>
            </w:tcBorders>
          </w:tcPr>
          <w:p w14:paraId="03F0145C"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863" w:type="dxa"/>
            <w:vMerge/>
            <w:tcBorders>
              <w:top w:val="single" w:sz="4" w:space="0" w:color="000000"/>
              <w:left w:val="nil"/>
              <w:bottom w:val="single" w:sz="4" w:space="0" w:color="000000"/>
              <w:right w:val="nil"/>
            </w:tcBorders>
          </w:tcPr>
          <w:p w14:paraId="2C49BF67"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1439" w:type="dxa"/>
            <w:tcBorders>
              <w:top w:val="single" w:sz="4" w:space="0" w:color="000000"/>
              <w:left w:val="nil"/>
              <w:bottom w:val="single" w:sz="4" w:space="0" w:color="000000"/>
              <w:right w:val="nil"/>
            </w:tcBorders>
          </w:tcPr>
          <w:p w14:paraId="24408BD1" w14:textId="77777777" w:rsidR="000C1BC5" w:rsidRPr="008C2D2F" w:rsidRDefault="008A4894" w:rsidP="004F582C">
            <w:pPr>
              <w:rPr>
                <w:b/>
                <w:sz w:val="20"/>
                <w:szCs w:val="20"/>
              </w:rPr>
            </w:pPr>
            <w:r w:rsidRPr="008C2D2F">
              <w:rPr>
                <w:b/>
                <w:sz w:val="20"/>
                <w:szCs w:val="20"/>
              </w:rPr>
              <w:t>Formation Time</w:t>
            </w:r>
          </w:p>
        </w:tc>
        <w:tc>
          <w:tcPr>
            <w:tcW w:w="1726" w:type="dxa"/>
            <w:tcBorders>
              <w:top w:val="single" w:sz="4" w:space="0" w:color="000000"/>
              <w:left w:val="nil"/>
              <w:bottom w:val="single" w:sz="4" w:space="0" w:color="000000"/>
              <w:right w:val="nil"/>
            </w:tcBorders>
          </w:tcPr>
          <w:p w14:paraId="5B4089A5" w14:textId="77777777" w:rsidR="000C1BC5" w:rsidRPr="008C2D2F" w:rsidRDefault="008A4894" w:rsidP="004F582C">
            <w:pPr>
              <w:rPr>
                <w:b/>
                <w:sz w:val="20"/>
                <w:szCs w:val="20"/>
              </w:rPr>
            </w:pPr>
            <w:r w:rsidRPr="008C2D2F">
              <w:rPr>
                <w:b/>
                <w:sz w:val="20"/>
                <w:szCs w:val="20"/>
              </w:rPr>
              <w:t>Temperature (</w:t>
            </w:r>
            <w:r w:rsidRPr="008C2D2F">
              <w:rPr>
                <w:b/>
                <w:sz w:val="20"/>
                <w:szCs w:val="20"/>
                <w:vertAlign w:val="superscript"/>
              </w:rPr>
              <w:t>0</w:t>
            </w:r>
            <w:r w:rsidRPr="008C2D2F">
              <w:rPr>
                <w:b/>
                <w:sz w:val="20"/>
                <w:szCs w:val="20"/>
              </w:rPr>
              <w:t>C)</w:t>
            </w:r>
          </w:p>
        </w:tc>
        <w:tc>
          <w:tcPr>
            <w:tcW w:w="1153" w:type="dxa"/>
            <w:tcBorders>
              <w:top w:val="single" w:sz="4" w:space="0" w:color="000000"/>
              <w:left w:val="nil"/>
              <w:bottom w:val="single" w:sz="4" w:space="0" w:color="000000"/>
              <w:right w:val="nil"/>
            </w:tcBorders>
          </w:tcPr>
          <w:p w14:paraId="55ED6C09" w14:textId="77777777" w:rsidR="000C1BC5" w:rsidRPr="008C2D2F" w:rsidRDefault="008A4894" w:rsidP="004F582C">
            <w:pPr>
              <w:rPr>
                <w:b/>
                <w:sz w:val="20"/>
                <w:szCs w:val="20"/>
              </w:rPr>
            </w:pPr>
            <w:r w:rsidRPr="008C2D2F">
              <w:rPr>
                <w:b/>
                <w:sz w:val="20"/>
                <w:szCs w:val="20"/>
              </w:rPr>
              <w:t>S/E</w:t>
            </w:r>
          </w:p>
        </w:tc>
        <w:tc>
          <w:tcPr>
            <w:tcW w:w="1446" w:type="dxa"/>
            <w:tcBorders>
              <w:top w:val="single" w:sz="4" w:space="0" w:color="000000"/>
              <w:left w:val="nil"/>
              <w:bottom w:val="single" w:sz="4" w:space="0" w:color="000000"/>
              <w:right w:val="nil"/>
            </w:tcBorders>
          </w:tcPr>
          <w:p w14:paraId="10568118" w14:textId="77777777" w:rsidR="000C1BC5" w:rsidRPr="008C2D2F" w:rsidRDefault="008A4894" w:rsidP="004F582C">
            <w:pPr>
              <w:rPr>
                <w:b/>
                <w:sz w:val="20"/>
                <w:szCs w:val="20"/>
              </w:rPr>
            </w:pPr>
            <w:r w:rsidRPr="008C2D2F">
              <w:rPr>
                <w:b/>
                <w:sz w:val="20"/>
                <w:szCs w:val="20"/>
              </w:rPr>
              <w:t>Size (nm)</w:t>
            </w:r>
          </w:p>
        </w:tc>
        <w:tc>
          <w:tcPr>
            <w:tcW w:w="1871" w:type="dxa"/>
            <w:tcBorders>
              <w:top w:val="single" w:sz="4" w:space="0" w:color="000000"/>
              <w:left w:val="nil"/>
              <w:bottom w:val="single" w:sz="4" w:space="0" w:color="000000"/>
              <w:right w:val="nil"/>
            </w:tcBorders>
          </w:tcPr>
          <w:p w14:paraId="61A337CE" w14:textId="77777777" w:rsidR="000C1BC5" w:rsidRPr="008C2D2F" w:rsidRDefault="008A4894" w:rsidP="004F582C">
            <w:pPr>
              <w:rPr>
                <w:b/>
                <w:sz w:val="20"/>
                <w:szCs w:val="20"/>
              </w:rPr>
            </w:pPr>
            <w:r w:rsidRPr="008C2D2F">
              <w:rPr>
                <w:b/>
                <w:sz w:val="20"/>
                <w:szCs w:val="20"/>
              </w:rPr>
              <w:t>Morphology</w:t>
            </w:r>
          </w:p>
        </w:tc>
        <w:tc>
          <w:tcPr>
            <w:tcW w:w="2016" w:type="dxa"/>
            <w:vMerge/>
            <w:tcBorders>
              <w:top w:val="single" w:sz="4" w:space="0" w:color="000000"/>
              <w:left w:val="nil"/>
              <w:bottom w:val="single" w:sz="4" w:space="0" w:color="000000"/>
              <w:right w:val="nil"/>
            </w:tcBorders>
          </w:tcPr>
          <w:p w14:paraId="4DA0BB9E"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2411" w:type="dxa"/>
            <w:vMerge/>
            <w:tcBorders>
              <w:top w:val="single" w:sz="4" w:space="0" w:color="000000"/>
              <w:left w:val="nil"/>
              <w:bottom w:val="single" w:sz="4" w:space="0" w:color="000000"/>
              <w:right w:val="nil"/>
            </w:tcBorders>
          </w:tcPr>
          <w:p w14:paraId="2A4A77D0"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r>
      <w:tr w:rsidR="006474C7" w:rsidRPr="008C2D2F" w14:paraId="08616C7A" w14:textId="77777777" w:rsidTr="001A5E78">
        <w:tc>
          <w:tcPr>
            <w:tcW w:w="1297" w:type="dxa"/>
            <w:tcBorders>
              <w:top w:val="nil"/>
              <w:left w:val="nil"/>
              <w:bottom w:val="nil"/>
              <w:right w:val="nil"/>
            </w:tcBorders>
          </w:tcPr>
          <w:p w14:paraId="77E01B78" w14:textId="77777777" w:rsidR="000C1BC5" w:rsidRPr="008C2D2F" w:rsidRDefault="008A4894" w:rsidP="004F582C">
            <w:pPr>
              <w:rPr>
                <w:sz w:val="20"/>
                <w:szCs w:val="20"/>
              </w:rPr>
            </w:pPr>
            <w:r w:rsidRPr="008C2D2F">
              <w:rPr>
                <w:sz w:val="20"/>
                <w:szCs w:val="20"/>
              </w:rPr>
              <w:t>Ginseng Siberian</w:t>
            </w:r>
          </w:p>
        </w:tc>
        <w:tc>
          <w:tcPr>
            <w:tcW w:w="866" w:type="dxa"/>
            <w:tcBorders>
              <w:top w:val="nil"/>
              <w:left w:val="nil"/>
              <w:bottom w:val="nil"/>
              <w:right w:val="nil"/>
            </w:tcBorders>
          </w:tcPr>
          <w:p w14:paraId="6B8AC70C" w14:textId="77777777" w:rsidR="000C1BC5" w:rsidRPr="008C2D2F" w:rsidRDefault="008A4894" w:rsidP="004F582C">
            <w:pPr>
              <w:rPr>
                <w:sz w:val="20"/>
                <w:szCs w:val="20"/>
              </w:rPr>
            </w:pPr>
            <w:r w:rsidRPr="008C2D2F">
              <w:rPr>
                <w:sz w:val="20"/>
                <w:szCs w:val="20"/>
              </w:rPr>
              <w:t>Leaf and Root</w:t>
            </w:r>
          </w:p>
        </w:tc>
        <w:tc>
          <w:tcPr>
            <w:tcW w:w="863" w:type="dxa"/>
            <w:tcBorders>
              <w:top w:val="nil"/>
              <w:left w:val="nil"/>
              <w:bottom w:val="nil"/>
              <w:right w:val="nil"/>
            </w:tcBorders>
          </w:tcPr>
          <w:p w14:paraId="46030C53" w14:textId="77777777" w:rsidR="000C1BC5" w:rsidRPr="008C2D2F" w:rsidRDefault="008A4894" w:rsidP="004F582C">
            <w:pPr>
              <w:rPr>
                <w:sz w:val="20"/>
                <w:szCs w:val="20"/>
              </w:rPr>
            </w:pPr>
            <w:r w:rsidRPr="008C2D2F">
              <w:rPr>
                <w:sz w:val="20"/>
                <w:szCs w:val="20"/>
              </w:rPr>
              <w:t>Au</w:t>
            </w:r>
          </w:p>
        </w:tc>
        <w:tc>
          <w:tcPr>
            <w:tcW w:w="1439" w:type="dxa"/>
            <w:tcBorders>
              <w:top w:val="single" w:sz="4" w:space="0" w:color="000000"/>
              <w:left w:val="nil"/>
              <w:bottom w:val="nil"/>
              <w:right w:val="nil"/>
            </w:tcBorders>
          </w:tcPr>
          <w:p w14:paraId="7DFC9474" w14:textId="77777777" w:rsidR="000C1BC5" w:rsidRPr="008C2D2F" w:rsidRDefault="008A4894" w:rsidP="004F582C">
            <w:pPr>
              <w:rPr>
                <w:sz w:val="20"/>
                <w:szCs w:val="20"/>
              </w:rPr>
            </w:pPr>
            <w:r w:rsidRPr="008C2D2F">
              <w:rPr>
                <w:sz w:val="20"/>
                <w:szCs w:val="20"/>
              </w:rPr>
              <w:t>24 hours to 30 days</w:t>
            </w:r>
          </w:p>
        </w:tc>
        <w:tc>
          <w:tcPr>
            <w:tcW w:w="1726" w:type="dxa"/>
            <w:tcBorders>
              <w:top w:val="single" w:sz="4" w:space="0" w:color="000000"/>
              <w:left w:val="nil"/>
              <w:bottom w:val="nil"/>
              <w:right w:val="nil"/>
            </w:tcBorders>
          </w:tcPr>
          <w:p w14:paraId="5DD83135" w14:textId="77777777" w:rsidR="000C1BC5" w:rsidRPr="008C2D2F" w:rsidRDefault="008A4894" w:rsidP="004F582C">
            <w:pPr>
              <w:rPr>
                <w:sz w:val="20"/>
                <w:szCs w:val="20"/>
              </w:rPr>
            </w:pPr>
            <w:r w:rsidRPr="008C2D2F">
              <w:rPr>
                <w:sz w:val="20"/>
                <w:szCs w:val="20"/>
              </w:rPr>
              <w:t>28</w:t>
            </w:r>
          </w:p>
        </w:tc>
        <w:tc>
          <w:tcPr>
            <w:tcW w:w="1153" w:type="dxa"/>
            <w:tcBorders>
              <w:top w:val="single" w:sz="4" w:space="0" w:color="000000"/>
              <w:left w:val="nil"/>
              <w:bottom w:val="nil"/>
              <w:right w:val="nil"/>
            </w:tcBorders>
          </w:tcPr>
          <w:p w14:paraId="49E49CE3" w14:textId="77777777" w:rsidR="000C1BC5" w:rsidRPr="008C2D2F" w:rsidRDefault="008A4894" w:rsidP="004F582C">
            <w:pPr>
              <w:rPr>
                <w:sz w:val="20"/>
                <w:szCs w:val="20"/>
              </w:rPr>
            </w:pPr>
            <w:r w:rsidRPr="008C2D2F">
              <w:rPr>
                <w:sz w:val="20"/>
                <w:szCs w:val="20"/>
              </w:rPr>
              <w:t>20 ml of solution (4 mM HAuCl4) / 1.5 mL extract</w:t>
            </w:r>
          </w:p>
          <w:p w14:paraId="62639A1D" w14:textId="77777777" w:rsidR="003563D1" w:rsidRPr="008C2D2F" w:rsidRDefault="003563D1" w:rsidP="004F582C">
            <w:pPr>
              <w:rPr>
                <w:sz w:val="20"/>
                <w:szCs w:val="20"/>
              </w:rPr>
            </w:pPr>
          </w:p>
        </w:tc>
        <w:tc>
          <w:tcPr>
            <w:tcW w:w="1446" w:type="dxa"/>
            <w:tcBorders>
              <w:top w:val="single" w:sz="4" w:space="0" w:color="000000"/>
              <w:left w:val="nil"/>
              <w:bottom w:val="nil"/>
              <w:right w:val="nil"/>
            </w:tcBorders>
          </w:tcPr>
          <w:p w14:paraId="221C28B9" w14:textId="77777777" w:rsidR="000C1BC5" w:rsidRPr="008C2D2F" w:rsidRDefault="008A4894" w:rsidP="004F582C">
            <w:pPr>
              <w:rPr>
                <w:sz w:val="20"/>
                <w:szCs w:val="20"/>
              </w:rPr>
            </w:pPr>
            <w:r w:rsidRPr="008C2D2F">
              <w:rPr>
                <w:sz w:val="20"/>
                <w:szCs w:val="20"/>
              </w:rPr>
              <w:t>200</w:t>
            </w:r>
          </w:p>
        </w:tc>
        <w:tc>
          <w:tcPr>
            <w:tcW w:w="1871" w:type="dxa"/>
            <w:tcBorders>
              <w:top w:val="single" w:sz="4" w:space="0" w:color="000000"/>
              <w:left w:val="nil"/>
              <w:bottom w:val="nil"/>
              <w:right w:val="nil"/>
            </w:tcBorders>
          </w:tcPr>
          <w:p w14:paraId="2D53010C" w14:textId="77777777" w:rsidR="000C1BC5" w:rsidRPr="008C2D2F" w:rsidRDefault="008A4894" w:rsidP="004F582C">
            <w:pPr>
              <w:rPr>
                <w:sz w:val="20"/>
                <w:szCs w:val="20"/>
              </w:rPr>
            </w:pPr>
            <w:r w:rsidRPr="008C2D2F">
              <w:rPr>
                <w:sz w:val="20"/>
                <w:szCs w:val="20"/>
              </w:rPr>
              <w:t>Spherical</w:t>
            </w:r>
          </w:p>
        </w:tc>
        <w:tc>
          <w:tcPr>
            <w:tcW w:w="2016" w:type="dxa"/>
            <w:tcBorders>
              <w:top w:val="nil"/>
              <w:left w:val="nil"/>
              <w:bottom w:val="nil"/>
              <w:right w:val="nil"/>
            </w:tcBorders>
          </w:tcPr>
          <w:p w14:paraId="645BF9E8" w14:textId="77777777" w:rsidR="000C1BC5" w:rsidRPr="008C2D2F" w:rsidRDefault="008A4894" w:rsidP="004F582C">
            <w:pPr>
              <w:rPr>
                <w:sz w:val="20"/>
                <w:szCs w:val="20"/>
              </w:rPr>
            </w:pPr>
            <w:r w:rsidRPr="008C2D2F">
              <w:rPr>
                <w:sz w:val="20"/>
                <w:szCs w:val="20"/>
              </w:rPr>
              <w:t>Murine B16 melanoma cells</w:t>
            </w:r>
          </w:p>
        </w:tc>
        <w:tc>
          <w:tcPr>
            <w:tcW w:w="2411" w:type="dxa"/>
            <w:tcBorders>
              <w:top w:val="nil"/>
              <w:left w:val="nil"/>
              <w:bottom w:val="nil"/>
              <w:right w:val="nil"/>
            </w:tcBorders>
          </w:tcPr>
          <w:p w14:paraId="378F1D3D" w14:textId="77777777" w:rsidR="000C1BC5" w:rsidRPr="008C2D2F" w:rsidRDefault="008A4894" w:rsidP="004F582C">
            <w:pPr>
              <w:rPr>
                <w:sz w:val="20"/>
                <w:szCs w:val="20"/>
              </w:rPr>
            </w:pPr>
            <w:r w:rsidRPr="008C2D2F">
              <w:rPr>
                <w:sz w:val="20"/>
                <w:szCs w:val="20"/>
              </w:rPr>
              <w:t>Fenglian et al. (2019)</w:t>
            </w:r>
          </w:p>
        </w:tc>
      </w:tr>
      <w:tr w:rsidR="006474C7" w:rsidRPr="008C2D2F" w14:paraId="754FA42A" w14:textId="77777777" w:rsidTr="001A5E78">
        <w:tc>
          <w:tcPr>
            <w:tcW w:w="1297" w:type="dxa"/>
            <w:tcBorders>
              <w:top w:val="nil"/>
              <w:left w:val="nil"/>
              <w:bottom w:val="nil"/>
              <w:right w:val="nil"/>
            </w:tcBorders>
          </w:tcPr>
          <w:p w14:paraId="1C8B4A75" w14:textId="77777777" w:rsidR="003563D1" w:rsidRPr="008C2D2F" w:rsidRDefault="008A4894" w:rsidP="003563D1">
            <w:pPr>
              <w:rPr>
                <w:sz w:val="20"/>
                <w:szCs w:val="20"/>
              </w:rPr>
            </w:pPr>
            <w:r w:rsidRPr="008C2D2F">
              <w:rPr>
                <w:i/>
                <w:sz w:val="20"/>
                <w:szCs w:val="20"/>
              </w:rPr>
              <w:t>Panax ginseng</w:t>
            </w:r>
          </w:p>
        </w:tc>
        <w:tc>
          <w:tcPr>
            <w:tcW w:w="866" w:type="dxa"/>
            <w:tcBorders>
              <w:top w:val="nil"/>
              <w:left w:val="nil"/>
              <w:bottom w:val="nil"/>
              <w:right w:val="nil"/>
            </w:tcBorders>
          </w:tcPr>
          <w:p w14:paraId="26B41E95" w14:textId="77777777" w:rsidR="003563D1" w:rsidRPr="008C2D2F" w:rsidRDefault="008A4894" w:rsidP="003563D1">
            <w:pPr>
              <w:rPr>
                <w:sz w:val="20"/>
                <w:szCs w:val="20"/>
              </w:rPr>
            </w:pPr>
            <w:r w:rsidRPr="008C2D2F">
              <w:rPr>
                <w:sz w:val="20"/>
                <w:szCs w:val="20"/>
              </w:rPr>
              <w:t>Leaf and Root</w:t>
            </w:r>
          </w:p>
        </w:tc>
        <w:tc>
          <w:tcPr>
            <w:tcW w:w="863" w:type="dxa"/>
            <w:tcBorders>
              <w:top w:val="nil"/>
              <w:left w:val="nil"/>
              <w:bottom w:val="nil"/>
              <w:right w:val="nil"/>
            </w:tcBorders>
          </w:tcPr>
          <w:p w14:paraId="6705F6D2" w14:textId="77777777" w:rsidR="003563D1" w:rsidRPr="008C2D2F" w:rsidRDefault="008A4894" w:rsidP="003563D1">
            <w:pPr>
              <w:rPr>
                <w:sz w:val="20"/>
                <w:szCs w:val="20"/>
              </w:rPr>
            </w:pPr>
            <w:r w:rsidRPr="008C2D2F">
              <w:rPr>
                <w:sz w:val="20"/>
                <w:szCs w:val="20"/>
              </w:rPr>
              <w:t>Au and Ag</w:t>
            </w:r>
          </w:p>
        </w:tc>
        <w:tc>
          <w:tcPr>
            <w:tcW w:w="1439" w:type="dxa"/>
            <w:tcBorders>
              <w:top w:val="nil"/>
              <w:left w:val="nil"/>
              <w:bottom w:val="nil"/>
              <w:right w:val="nil"/>
            </w:tcBorders>
          </w:tcPr>
          <w:p w14:paraId="6ADAB512" w14:textId="77777777" w:rsidR="003563D1" w:rsidRPr="008C2D2F" w:rsidRDefault="008A4894" w:rsidP="003563D1">
            <w:pPr>
              <w:rPr>
                <w:sz w:val="20"/>
                <w:szCs w:val="20"/>
              </w:rPr>
            </w:pPr>
            <w:r w:rsidRPr="008C2D2F">
              <w:rPr>
                <w:sz w:val="20"/>
                <w:szCs w:val="20"/>
              </w:rPr>
              <w:t>Au - 3 min</w:t>
            </w:r>
          </w:p>
          <w:p w14:paraId="63616B1F" w14:textId="77777777" w:rsidR="003563D1" w:rsidRPr="008C2D2F" w:rsidRDefault="008A4894" w:rsidP="003563D1">
            <w:pPr>
              <w:rPr>
                <w:sz w:val="20"/>
                <w:szCs w:val="20"/>
              </w:rPr>
            </w:pPr>
            <w:r w:rsidRPr="008C2D2F">
              <w:rPr>
                <w:sz w:val="20"/>
                <w:szCs w:val="20"/>
              </w:rPr>
              <w:t>Ag - 45 min</w:t>
            </w:r>
          </w:p>
        </w:tc>
        <w:tc>
          <w:tcPr>
            <w:tcW w:w="1726" w:type="dxa"/>
            <w:tcBorders>
              <w:top w:val="nil"/>
              <w:left w:val="nil"/>
              <w:bottom w:val="nil"/>
              <w:right w:val="nil"/>
            </w:tcBorders>
          </w:tcPr>
          <w:p w14:paraId="2B578092" w14:textId="77777777" w:rsidR="003563D1" w:rsidRPr="008C2D2F" w:rsidRDefault="008A4894" w:rsidP="003563D1">
            <w:pPr>
              <w:rPr>
                <w:sz w:val="20"/>
                <w:szCs w:val="20"/>
              </w:rPr>
            </w:pPr>
            <w:r w:rsidRPr="008C2D2F">
              <w:rPr>
                <w:sz w:val="20"/>
                <w:szCs w:val="20"/>
              </w:rPr>
              <w:t>80</w:t>
            </w:r>
          </w:p>
        </w:tc>
        <w:tc>
          <w:tcPr>
            <w:tcW w:w="1153" w:type="dxa"/>
            <w:tcBorders>
              <w:top w:val="nil"/>
              <w:left w:val="nil"/>
              <w:bottom w:val="nil"/>
              <w:right w:val="nil"/>
            </w:tcBorders>
          </w:tcPr>
          <w:p w14:paraId="56EC21A0" w14:textId="77777777" w:rsidR="003563D1" w:rsidRPr="008C2D2F" w:rsidRDefault="008A4894" w:rsidP="00890DA6">
            <w:pPr>
              <w:rPr>
                <w:sz w:val="20"/>
                <w:szCs w:val="20"/>
                <w:lang w:val="en-US"/>
              </w:rPr>
            </w:pPr>
            <w:r w:rsidRPr="008C2D2F">
              <w:rPr>
                <w:sz w:val="20"/>
                <w:szCs w:val="20"/>
                <w:lang w:val="en-US"/>
              </w:rPr>
              <w:t>1mL (0.1 mM HAuCl</w:t>
            </w:r>
            <w:r w:rsidRPr="008C2D2F">
              <w:rPr>
                <w:sz w:val="20"/>
                <w:szCs w:val="20"/>
                <w:vertAlign w:val="subscript"/>
                <w:lang w:val="en-US"/>
              </w:rPr>
              <w:t>4</w:t>
            </w:r>
            <w:r w:rsidRPr="008C2D2F">
              <w:rPr>
                <w:sz w:val="20"/>
                <w:szCs w:val="20"/>
                <w:lang w:val="en-US"/>
              </w:rPr>
              <w:t>)/1g of the powder</w:t>
            </w:r>
          </w:p>
        </w:tc>
        <w:tc>
          <w:tcPr>
            <w:tcW w:w="1446" w:type="dxa"/>
            <w:tcBorders>
              <w:top w:val="nil"/>
              <w:left w:val="nil"/>
              <w:bottom w:val="nil"/>
              <w:right w:val="nil"/>
            </w:tcBorders>
          </w:tcPr>
          <w:p w14:paraId="3BD2E6FE" w14:textId="77777777" w:rsidR="003563D1" w:rsidRPr="008C2D2F" w:rsidRDefault="008A4894" w:rsidP="003563D1">
            <w:pPr>
              <w:rPr>
                <w:sz w:val="20"/>
                <w:szCs w:val="20"/>
              </w:rPr>
            </w:pPr>
            <w:r w:rsidRPr="008C2D2F">
              <w:rPr>
                <w:sz w:val="20"/>
                <w:szCs w:val="20"/>
              </w:rPr>
              <w:t xml:space="preserve">AuNP – 10 to 20 </w:t>
            </w:r>
          </w:p>
          <w:p w14:paraId="24F47F62" w14:textId="77777777" w:rsidR="003563D1" w:rsidRPr="008C2D2F" w:rsidRDefault="008A4894" w:rsidP="003563D1">
            <w:pPr>
              <w:rPr>
                <w:sz w:val="20"/>
                <w:szCs w:val="20"/>
              </w:rPr>
            </w:pPr>
            <w:r w:rsidRPr="008C2D2F">
              <w:rPr>
                <w:sz w:val="20"/>
                <w:szCs w:val="20"/>
              </w:rPr>
              <w:t>Ag NP – 5 to 15</w:t>
            </w:r>
          </w:p>
        </w:tc>
        <w:tc>
          <w:tcPr>
            <w:tcW w:w="1871" w:type="dxa"/>
            <w:tcBorders>
              <w:top w:val="nil"/>
              <w:left w:val="nil"/>
              <w:bottom w:val="nil"/>
              <w:right w:val="nil"/>
            </w:tcBorders>
          </w:tcPr>
          <w:p w14:paraId="52C795A9" w14:textId="77777777" w:rsidR="003563D1" w:rsidRPr="008C2D2F" w:rsidRDefault="008A4894" w:rsidP="003563D1">
            <w:pPr>
              <w:rPr>
                <w:sz w:val="20"/>
                <w:szCs w:val="20"/>
              </w:rPr>
            </w:pPr>
            <w:r w:rsidRPr="008C2D2F">
              <w:rPr>
                <w:sz w:val="20"/>
                <w:szCs w:val="20"/>
              </w:rPr>
              <w:t>AuNP - Spherical</w:t>
            </w:r>
          </w:p>
        </w:tc>
        <w:tc>
          <w:tcPr>
            <w:tcW w:w="2016" w:type="dxa"/>
            <w:tcBorders>
              <w:top w:val="nil"/>
              <w:left w:val="nil"/>
              <w:bottom w:val="nil"/>
              <w:right w:val="nil"/>
            </w:tcBorders>
          </w:tcPr>
          <w:p w14:paraId="4DC5640A" w14:textId="77777777" w:rsidR="003563D1" w:rsidRPr="008C2D2F" w:rsidRDefault="008A4894" w:rsidP="003563D1">
            <w:pPr>
              <w:rPr>
                <w:sz w:val="20"/>
                <w:szCs w:val="20"/>
              </w:rPr>
            </w:pPr>
            <w:r w:rsidRPr="008C2D2F">
              <w:rPr>
                <w:i/>
                <w:sz w:val="20"/>
                <w:szCs w:val="20"/>
              </w:rPr>
              <w:t>E.coli</w:t>
            </w:r>
            <w:r w:rsidRPr="008C2D2F">
              <w:rPr>
                <w:sz w:val="20"/>
                <w:szCs w:val="20"/>
              </w:rPr>
              <w:t>, </w:t>
            </w:r>
            <w:r w:rsidRPr="008C2D2F">
              <w:rPr>
                <w:i/>
                <w:sz w:val="20"/>
                <w:szCs w:val="20"/>
              </w:rPr>
              <w:t>S.enterica</w:t>
            </w:r>
            <w:r w:rsidRPr="008C2D2F">
              <w:rPr>
                <w:sz w:val="20"/>
                <w:szCs w:val="20"/>
              </w:rPr>
              <w:t>,</w:t>
            </w:r>
            <w:r w:rsidRPr="008C2D2F">
              <w:rPr>
                <w:i/>
                <w:sz w:val="20"/>
                <w:szCs w:val="20"/>
              </w:rPr>
              <w:t xml:space="preserve"> Vibrio parahaemolyticus</w:t>
            </w:r>
            <w:r w:rsidRPr="008C2D2F">
              <w:rPr>
                <w:sz w:val="20"/>
                <w:szCs w:val="20"/>
              </w:rPr>
              <w:t>, </w:t>
            </w:r>
            <w:r w:rsidRPr="008C2D2F">
              <w:rPr>
                <w:i/>
                <w:sz w:val="20"/>
                <w:szCs w:val="20"/>
              </w:rPr>
              <w:t>S.aureus</w:t>
            </w:r>
            <w:r w:rsidRPr="008C2D2F">
              <w:rPr>
                <w:sz w:val="20"/>
                <w:szCs w:val="20"/>
              </w:rPr>
              <w:t>, </w:t>
            </w:r>
            <w:r w:rsidRPr="008C2D2F">
              <w:rPr>
                <w:i/>
                <w:sz w:val="20"/>
                <w:szCs w:val="20"/>
              </w:rPr>
              <w:t>Bacillus anthracis</w:t>
            </w:r>
            <w:r w:rsidRPr="008C2D2F">
              <w:rPr>
                <w:sz w:val="20"/>
                <w:szCs w:val="20"/>
              </w:rPr>
              <w:t> e </w:t>
            </w:r>
            <w:r w:rsidRPr="008C2D2F">
              <w:rPr>
                <w:i/>
                <w:sz w:val="20"/>
                <w:szCs w:val="20"/>
              </w:rPr>
              <w:t>Bacillus cereus</w:t>
            </w:r>
          </w:p>
        </w:tc>
        <w:tc>
          <w:tcPr>
            <w:tcW w:w="2411" w:type="dxa"/>
            <w:tcBorders>
              <w:top w:val="nil"/>
              <w:left w:val="nil"/>
              <w:bottom w:val="nil"/>
              <w:right w:val="nil"/>
            </w:tcBorders>
          </w:tcPr>
          <w:p w14:paraId="289B9FD6" w14:textId="77777777" w:rsidR="003563D1" w:rsidRPr="008C2D2F" w:rsidRDefault="008A4894" w:rsidP="003563D1">
            <w:pPr>
              <w:rPr>
                <w:sz w:val="20"/>
                <w:szCs w:val="20"/>
              </w:rPr>
            </w:pPr>
            <w:r w:rsidRPr="008C2D2F">
              <w:rPr>
                <w:sz w:val="20"/>
                <w:szCs w:val="20"/>
              </w:rPr>
              <w:t>Singh; Kim; Yang (2015)</w:t>
            </w:r>
          </w:p>
        </w:tc>
      </w:tr>
      <w:tr w:rsidR="006474C7" w:rsidRPr="008C2D2F" w14:paraId="46A8A7EA" w14:textId="77777777" w:rsidTr="001A5E78">
        <w:tc>
          <w:tcPr>
            <w:tcW w:w="1297" w:type="dxa"/>
            <w:tcBorders>
              <w:top w:val="nil"/>
              <w:left w:val="nil"/>
              <w:bottom w:val="nil"/>
              <w:right w:val="nil"/>
            </w:tcBorders>
          </w:tcPr>
          <w:p w14:paraId="0B59CDC8" w14:textId="77777777" w:rsidR="003563D1" w:rsidRPr="008C2D2F" w:rsidRDefault="008A4894" w:rsidP="003563D1">
            <w:pPr>
              <w:rPr>
                <w:sz w:val="20"/>
                <w:szCs w:val="20"/>
              </w:rPr>
            </w:pPr>
            <w:r w:rsidRPr="008C2D2F">
              <w:rPr>
                <w:i/>
                <w:sz w:val="20"/>
                <w:szCs w:val="20"/>
              </w:rPr>
              <w:t>Panax ginseng</w:t>
            </w:r>
            <w:r w:rsidRPr="008C2D2F">
              <w:rPr>
                <w:sz w:val="20"/>
                <w:szCs w:val="20"/>
              </w:rPr>
              <w:t xml:space="preserve"> Meyer</w:t>
            </w:r>
          </w:p>
          <w:p w14:paraId="0F382223" w14:textId="77777777" w:rsidR="003563D1" w:rsidRPr="008C2D2F" w:rsidRDefault="008A4894" w:rsidP="003563D1">
            <w:pPr>
              <w:rPr>
                <w:sz w:val="20"/>
                <w:szCs w:val="20"/>
              </w:rPr>
            </w:pPr>
            <w:r w:rsidRPr="008C2D2F">
              <w:rPr>
                <w:sz w:val="20"/>
                <w:szCs w:val="20"/>
              </w:rPr>
              <w:t>(White Ginseng)</w:t>
            </w:r>
          </w:p>
        </w:tc>
        <w:tc>
          <w:tcPr>
            <w:tcW w:w="866" w:type="dxa"/>
            <w:tcBorders>
              <w:top w:val="nil"/>
              <w:left w:val="nil"/>
              <w:bottom w:val="nil"/>
              <w:right w:val="nil"/>
            </w:tcBorders>
          </w:tcPr>
          <w:p w14:paraId="77826032" w14:textId="77777777" w:rsidR="003563D1" w:rsidRPr="008C2D2F" w:rsidRDefault="008A4894" w:rsidP="003563D1">
            <w:pPr>
              <w:rPr>
                <w:sz w:val="20"/>
                <w:szCs w:val="20"/>
              </w:rPr>
            </w:pPr>
            <w:r w:rsidRPr="008C2D2F">
              <w:rPr>
                <w:sz w:val="20"/>
                <w:szCs w:val="20"/>
              </w:rPr>
              <w:t>Raiz</w:t>
            </w:r>
          </w:p>
        </w:tc>
        <w:tc>
          <w:tcPr>
            <w:tcW w:w="863" w:type="dxa"/>
            <w:tcBorders>
              <w:top w:val="nil"/>
              <w:left w:val="nil"/>
              <w:bottom w:val="nil"/>
              <w:right w:val="nil"/>
            </w:tcBorders>
          </w:tcPr>
          <w:p w14:paraId="5FB142F1" w14:textId="77777777" w:rsidR="003563D1" w:rsidRPr="008C2D2F" w:rsidRDefault="008A4894" w:rsidP="003563D1">
            <w:pPr>
              <w:rPr>
                <w:sz w:val="20"/>
                <w:szCs w:val="20"/>
              </w:rPr>
            </w:pPr>
            <w:r w:rsidRPr="008C2D2F">
              <w:rPr>
                <w:sz w:val="20"/>
                <w:szCs w:val="20"/>
              </w:rPr>
              <w:t>Au and Ag</w:t>
            </w:r>
          </w:p>
        </w:tc>
        <w:tc>
          <w:tcPr>
            <w:tcW w:w="1439" w:type="dxa"/>
            <w:tcBorders>
              <w:top w:val="nil"/>
              <w:left w:val="nil"/>
              <w:bottom w:val="nil"/>
              <w:right w:val="nil"/>
            </w:tcBorders>
          </w:tcPr>
          <w:p w14:paraId="2E61FD3B" w14:textId="77777777" w:rsidR="003563D1" w:rsidRPr="008C2D2F" w:rsidRDefault="008A4894" w:rsidP="003563D1">
            <w:pPr>
              <w:rPr>
                <w:sz w:val="20"/>
                <w:szCs w:val="20"/>
              </w:rPr>
            </w:pPr>
            <w:r w:rsidRPr="008C2D2F">
              <w:rPr>
                <w:sz w:val="20"/>
                <w:szCs w:val="20"/>
              </w:rPr>
              <w:t>Ag -120min</w:t>
            </w:r>
          </w:p>
          <w:p w14:paraId="003C8692" w14:textId="77777777" w:rsidR="003563D1" w:rsidRPr="008C2D2F" w:rsidRDefault="008A4894" w:rsidP="003563D1">
            <w:pPr>
              <w:rPr>
                <w:sz w:val="20"/>
                <w:szCs w:val="20"/>
              </w:rPr>
            </w:pPr>
            <w:r w:rsidRPr="008C2D2F">
              <w:rPr>
                <w:sz w:val="20"/>
                <w:szCs w:val="20"/>
              </w:rPr>
              <w:t>Au – 5min</w:t>
            </w:r>
          </w:p>
        </w:tc>
        <w:tc>
          <w:tcPr>
            <w:tcW w:w="1726" w:type="dxa"/>
            <w:tcBorders>
              <w:top w:val="nil"/>
              <w:left w:val="nil"/>
              <w:bottom w:val="nil"/>
              <w:right w:val="nil"/>
            </w:tcBorders>
          </w:tcPr>
          <w:p w14:paraId="2D03431E" w14:textId="77777777" w:rsidR="003563D1" w:rsidRPr="008C2D2F" w:rsidRDefault="008A4894" w:rsidP="003563D1">
            <w:pPr>
              <w:rPr>
                <w:sz w:val="20"/>
                <w:szCs w:val="20"/>
              </w:rPr>
            </w:pPr>
            <w:r w:rsidRPr="008C2D2F">
              <w:rPr>
                <w:sz w:val="20"/>
                <w:szCs w:val="20"/>
              </w:rPr>
              <w:t>80</w:t>
            </w:r>
          </w:p>
        </w:tc>
        <w:tc>
          <w:tcPr>
            <w:tcW w:w="1153" w:type="dxa"/>
            <w:tcBorders>
              <w:top w:val="nil"/>
              <w:left w:val="nil"/>
              <w:bottom w:val="nil"/>
              <w:right w:val="nil"/>
            </w:tcBorders>
          </w:tcPr>
          <w:p w14:paraId="71329297" w14:textId="77777777" w:rsidR="007A020B" w:rsidRPr="008C2D2F" w:rsidRDefault="008A4894" w:rsidP="003563D1">
            <w:pPr>
              <w:rPr>
                <w:sz w:val="20"/>
                <w:szCs w:val="20"/>
              </w:rPr>
            </w:pPr>
            <w:r w:rsidRPr="008C2D2F">
              <w:rPr>
                <w:sz w:val="20"/>
                <w:szCs w:val="20"/>
              </w:rPr>
              <w:t xml:space="preserve">1mM of (Ag or Au) for 50mg/mL of the extract </w:t>
            </w:r>
          </w:p>
          <w:p w14:paraId="3C2E9807" w14:textId="77777777" w:rsidR="007A020B" w:rsidRPr="008C2D2F" w:rsidRDefault="007A020B" w:rsidP="003563D1">
            <w:pPr>
              <w:rPr>
                <w:sz w:val="20"/>
                <w:szCs w:val="20"/>
              </w:rPr>
            </w:pPr>
          </w:p>
          <w:p w14:paraId="628B110B" w14:textId="77777777" w:rsidR="003563D1" w:rsidRPr="008C2D2F" w:rsidRDefault="003563D1" w:rsidP="003563D1">
            <w:pPr>
              <w:rPr>
                <w:sz w:val="20"/>
                <w:szCs w:val="20"/>
              </w:rPr>
            </w:pPr>
          </w:p>
        </w:tc>
        <w:tc>
          <w:tcPr>
            <w:tcW w:w="1446" w:type="dxa"/>
            <w:tcBorders>
              <w:top w:val="nil"/>
              <w:left w:val="nil"/>
              <w:bottom w:val="nil"/>
              <w:right w:val="nil"/>
            </w:tcBorders>
          </w:tcPr>
          <w:p w14:paraId="0C19BE4C" w14:textId="77777777" w:rsidR="003563D1" w:rsidRPr="008C2D2F" w:rsidRDefault="008A4894" w:rsidP="003563D1">
            <w:pPr>
              <w:rPr>
                <w:sz w:val="20"/>
                <w:szCs w:val="20"/>
              </w:rPr>
            </w:pPr>
            <w:r w:rsidRPr="008C2D2F">
              <w:rPr>
                <w:sz w:val="20"/>
                <w:szCs w:val="20"/>
              </w:rPr>
              <w:t>AuNPs: 10-40</w:t>
            </w:r>
          </w:p>
          <w:p w14:paraId="52A62148" w14:textId="77777777" w:rsidR="003563D1" w:rsidRPr="008C2D2F" w:rsidRDefault="008A4894" w:rsidP="003563D1">
            <w:pPr>
              <w:rPr>
                <w:sz w:val="20"/>
                <w:szCs w:val="20"/>
              </w:rPr>
            </w:pPr>
            <w:r w:rsidRPr="008C2D2F">
              <w:rPr>
                <w:sz w:val="20"/>
                <w:szCs w:val="20"/>
              </w:rPr>
              <w:t>AgNPs: 10-30</w:t>
            </w:r>
          </w:p>
        </w:tc>
        <w:tc>
          <w:tcPr>
            <w:tcW w:w="1871" w:type="dxa"/>
            <w:tcBorders>
              <w:top w:val="nil"/>
              <w:left w:val="nil"/>
              <w:bottom w:val="nil"/>
              <w:right w:val="nil"/>
            </w:tcBorders>
          </w:tcPr>
          <w:p w14:paraId="4A579F6C" w14:textId="77777777" w:rsidR="003563D1" w:rsidRPr="008C2D2F" w:rsidRDefault="003563D1" w:rsidP="003563D1">
            <w:pPr>
              <w:rPr>
                <w:sz w:val="20"/>
                <w:szCs w:val="20"/>
              </w:rPr>
            </w:pPr>
          </w:p>
        </w:tc>
        <w:tc>
          <w:tcPr>
            <w:tcW w:w="2016" w:type="dxa"/>
            <w:tcBorders>
              <w:top w:val="nil"/>
              <w:left w:val="nil"/>
              <w:bottom w:val="nil"/>
              <w:right w:val="nil"/>
            </w:tcBorders>
          </w:tcPr>
          <w:p w14:paraId="1E8BCB07" w14:textId="77777777" w:rsidR="003563D1" w:rsidRPr="008C2D2F" w:rsidRDefault="003563D1" w:rsidP="003563D1">
            <w:pPr>
              <w:rPr>
                <w:i/>
                <w:sz w:val="20"/>
                <w:szCs w:val="20"/>
              </w:rPr>
            </w:pPr>
          </w:p>
          <w:p w14:paraId="73F88862" w14:textId="77777777" w:rsidR="003563D1" w:rsidRPr="008C2D2F" w:rsidRDefault="008A4894" w:rsidP="003563D1">
            <w:pPr>
              <w:rPr>
                <w:i/>
                <w:sz w:val="20"/>
                <w:szCs w:val="20"/>
              </w:rPr>
            </w:pPr>
            <w:r w:rsidRPr="008C2D2F">
              <w:rPr>
                <w:i/>
                <w:sz w:val="20"/>
                <w:szCs w:val="20"/>
              </w:rPr>
              <w:t>E. coli e S. aureus</w:t>
            </w:r>
          </w:p>
        </w:tc>
        <w:tc>
          <w:tcPr>
            <w:tcW w:w="2411" w:type="dxa"/>
            <w:tcBorders>
              <w:top w:val="nil"/>
              <w:left w:val="nil"/>
              <w:bottom w:val="nil"/>
              <w:right w:val="nil"/>
            </w:tcBorders>
          </w:tcPr>
          <w:p w14:paraId="20950453" w14:textId="77777777" w:rsidR="003563D1" w:rsidRPr="008C2D2F" w:rsidRDefault="003563D1" w:rsidP="003563D1">
            <w:pPr>
              <w:rPr>
                <w:sz w:val="20"/>
                <w:szCs w:val="20"/>
              </w:rPr>
            </w:pPr>
          </w:p>
          <w:p w14:paraId="0FD3AD36" w14:textId="77777777" w:rsidR="003563D1" w:rsidRPr="008C2D2F" w:rsidRDefault="008A4894" w:rsidP="003563D1">
            <w:pPr>
              <w:rPr>
                <w:sz w:val="20"/>
                <w:szCs w:val="20"/>
              </w:rPr>
            </w:pPr>
            <w:r w:rsidRPr="008C2D2F">
              <w:rPr>
                <w:sz w:val="20"/>
                <w:szCs w:val="20"/>
              </w:rPr>
              <w:t>Wang et al. (2016)</w:t>
            </w:r>
          </w:p>
        </w:tc>
      </w:tr>
      <w:tr w:rsidR="006474C7" w:rsidRPr="008C2D2F" w14:paraId="35680425" w14:textId="77777777" w:rsidTr="001A5E78">
        <w:tc>
          <w:tcPr>
            <w:tcW w:w="1297" w:type="dxa"/>
            <w:tcBorders>
              <w:top w:val="nil"/>
              <w:left w:val="nil"/>
              <w:bottom w:val="nil"/>
              <w:right w:val="nil"/>
            </w:tcBorders>
          </w:tcPr>
          <w:p w14:paraId="4F3E97CB" w14:textId="77777777" w:rsidR="000C1BC5" w:rsidRPr="008C2D2F" w:rsidRDefault="008A4894" w:rsidP="004F582C">
            <w:pPr>
              <w:rPr>
                <w:sz w:val="20"/>
                <w:szCs w:val="20"/>
              </w:rPr>
            </w:pPr>
            <w:r w:rsidRPr="008C2D2F">
              <w:rPr>
                <w:i/>
                <w:sz w:val="20"/>
                <w:szCs w:val="20"/>
              </w:rPr>
              <w:t>Panax ginseng</w:t>
            </w:r>
            <w:r w:rsidRPr="008C2D2F">
              <w:rPr>
                <w:sz w:val="20"/>
                <w:szCs w:val="20"/>
              </w:rPr>
              <w:t xml:space="preserve"> Meyer</w:t>
            </w:r>
          </w:p>
          <w:p w14:paraId="2F523425" w14:textId="77777777" w:rsidR="000C1BC5" w:rsidRPr="008C2D2F" w:rsidRDefault="008A4894" w:rsidP="004F582C">
            <w:pPr>
              <w:rPr>
                <w:sz w:val="20"/>
                <w:szCs w:val="20"/>
              </w:rPr>
            </w:pPr>
            <w:r w:rsidRPr="008C2D2F">
              <w:rPr>
                <w:sz w:val="20"/>
                <w:szCs w:val="20"/>
              </w:rPr>
              <w:t>(</w:t>
            </w:r>
            <w:r w:rsidR="00123D3B" w:rsidRPr="008C2D2F">
              <w:rPr>
                <w:sz w:val="20"/>
                <w:szCs w:val="20"/>
              </w:rPr>
              <w:t>Red Ginseng</w:t>
            </w:r>
            <w:r w:rsidRPr="008C2D2F">
              <w:rPr>
                <w:sz w:val="20"/>
                <w:szCs w:val="20"/>
              </w:rPr>
              <w:t>)</w:t>
            </w:r>
          </w:p>
        </w:tc>
        <w:tc>
          <w:tcPr>
            <w:tcW w:w="866" w:type="dxa"/>
            <w:tcBorders>
              <w:top w:val="nil"/>
              <w:left w:val="nil"/>
              <w:bottom w:val="nil"/>
              <w:right w:val="nil"/>
            </w:tcBorders>
          </w:tcPr>
          <w:p w14:paraId="7FA72A68" w14:textId="77777777" w:rsidR="000C1BC5" w:rsidRPr="008C2D2F" w:rsidRDefault="008A4894" w:rsidP="004F582C">
            <w:pPr>
              <w:rPr>
                <w:sz w:val="20"/>
                <w:szCs w:val="20"/>
              </w:rPr>
            </w:pPr>
            <w:r w:rsidRPr="008C2D2F">
              <w:rPr>
                <w:sz w:val="20"/>
                <w:szCs w:val="20"/>
              </w:rPr>
              <w:t>Raiz</w:t>
            </w:r>
          </w:p>
        </w:tc>
        <w:tc>
          <w:tcPr>
            <w:tcW w:w="863" w:type="dxa"/>
            <w:tcBorders>
              <w:top w:val="nil"/>
              <w:left w:val="nil"/>
              <w:bottom w:val="nil"/>
              <w:right w:val="nil"/>
            </w:tcBorders>
          </w:tcPr>
          <w:p w14:paraId="4B12D61C" w14:textId="77777777" w:rsidR="000C1BC5" w:rsidRPr="008C2D2F" w:rsidRDefault="008A4894" w:rsidP="004F582C">
            <w:pPr>
              <w:rPr>
                <w:sz w:val="20"/>
                <w:szCs w:val="20"/>
              </w:rPr>
            </w:pPr>
            <w:r w:rsidRPr="008C2D2F">
              <w:rPr>
                <w:sz w:val="20"/>
                <w:szCs w:val="20"/>
              </w:rPr>
              <w:t>Au and Ag</w:t>
            </w:r>
          </w:p>
        </w:tc>
        <w:tc>
          <w:tcPr>
            <w:tcW w:w="1439" w:type="dxa"/>
            <w:tcBorders>
              <w:top w:val="nil"/>
              <w:left w:val="nil"/>
              <w:bottom w:val="nil"/>
              <w:right w:val="nil"/>
            </w:tcBorders>
          </w:tcPr>
          <w:p w14:paraId="2CACD39A" w14:textId="77777777" w:rsidR="000C1BC5" w:rsidRPr="008C2D2F" w:rsidRDefault="008A4894" w:rsidP="004F582C">
            <w:pPr>
              <w:rPr>
                <w:sz w:val="20"/>
                <w:szCs w:val="20"/>
              </w:rPr>
            </w:pPr>
            <w:r w:rsidRPr="008C2D2F">
              <w:rPr>
                <w:sz w:val="20"/>
                <w:szCs w:val="20"/>
              </w:rPr>
              <w:t>Ag -60 min</w:t>
            </w:r>
          </w:p>
          <w:p w14:paraId="7D3E9634" w14:textId="77777777" w:rsidR="000C1BC5" w:rsidRPr="008C2D2F" w:rsidRDefault="008A4894" w:rsidP="004F582C">
            <w:pPr>
              <w:rPr>
                <w:sz w:val="20"/>
                <w:szCs w:val="20"/>
              </w:rPr>
            </w:pPr>
            <w:r w:rsidRPr="008C2D2F">
              <w:rPr>
                <w:sz w:val="20"/>
                <w:szCs w:val="20"/>
              </w:rPr>
              <w:t>Au -10 min</w:t>
            </w:r>
          </w:p>
        </w:tc>
        <w:tc>
          <w:tcPr>
            <w:tcW w:w="1726" w:type="dxa"/>
            <w:tcBorders>
              <w:top w:val="nil"/>
              <w:left w:val="nil"/>
              <w:bottom w:val="nil"/>
              <w:right w:val="nil"/>
            </w:tcBorders>
          </w:tcPr>
          <w:p w14:paraId="6515523B"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7E009FAF" w14:textId="77777777" w:rsidR="000C1BC5" w:rsidRPr="008C2D2F" w:rsidRDefault="008A4894" w:rsidP="004F582C">
            <w:pPr>
              <w:rPr>
                <w:sz w:val="20"/>
                <w:szCs w:val="20"/>
                <w:lang w:val="en-US"/>
              </w:rPr>
            </w:pPr>
            <w:r w:rsidRPr="008C2D2F">
              <w:rPr>
                <w:sz w:val="20"/>
                <w:szCs w:val="20"/>
                <w:lang w:val="en-US"/>
              </w:rPr>
              <w:t>1mM of (Ag or Au)/50mg/mL of the extract</w:t>
            </w:r>
          </w:p>
        </w:tc>
        <w:tc>
          <w:tcPr>
            <w:tcW w:w="1446" w:type="dxa"/>
            <w:tcBorders>
              <w:top w:val="nil"/>
              <w:left w:val="nil"/>
              <w:bottom w:val="nil"/>
              <w:right w:val="nil"/>
            </w:tcBorders>
          </w:tcPr>
          <w:p w14:paraId="78FAFF3F" w14:textId="77777777" w:rsidR="000C1BC5" w:rsidRPr="008C2D2F" w:rsidRDefault="008A4894" w:rsidP="004F582C">
            <w:pPr>
              <w:rPr>
                <w:sz w:val="20"/>
                <w:szCs w:val="20"/>
              </w:rPr>
            </w:pPr>
            <w:r w:rsidRPr="008C2D2F">
              <w:rPr>
                <w:sz w:val="20"/>
                <w:szCs w:val="20"/>
              </w:rPr>
              <w:t>AuNPs: 10-30</w:t>
            </w:r>
          </w:p>
          <w:p w14:paraId="501F0BB2" w14:textId="77777777" w:rsidR="000C1BC5" w:rsidRPr="008C2D2F" w:rsidRDefault="008A4894" w:rsidP="004F582C">
            <w:pPr>
              <w:rPr>
                <w:sz w:val="20"/>
                <w:szCs w:val="20"/>
              </w:rPr>
            </w:pPr>
            <w:r w:rsidRPr="008C2D2F">
              <w:rPr>
                <w:sz w:val="20"/>
                <w:szCs w:val="20"/>
              </w:rPr>
              <w:t>AgNPs: 10-30</w:t>
            </w:r>
          </w:p>
        </w:tc>
        <w:tc>
          <w:tcPr>
            <w:tcW w:w="1871" w:type="dxa"/>
            <w:tcBorders>
              <w:top w:val="nil"/>
              <w:left w:val="nil"/>
              <w:bottom w:val="nil"/>
              <w:right w:val="nil"/>
            </w:tcBorders>
          </w:tcPr>
          <w:p w14:paraId="52109696" w14:textId="77777777" w:rsidR="000C1BC5" w:rsidRPr="008C2D2F" w:rsidRDefault="008A4894" w:rsidP="004F582C">
            <w:pPr>
              <w:rPr>
                <w:sz w:val="20"/>
                <w:szCs w:val="20"/>
              </w:rPr>
            </w:pPr>
            <w:r w:rsidRPr="008C2D2F">
              <w:rPr>
                <w:sz w:val="20"/>
                <w:szCs w:val="20"/>
              </w:rPr>
              <w:t>AuNPs -</w:t>
            </w:r>
            <w:r w:rsidR="00CB5884" w:rsidRPr="008C2D2F">
              <w:rPr>
                <w:sz w:val="20"/>
                <w:szCs w:val="20"/>
              </w:rPr>
              <w:t xml:space="preserve"> Spherical</w:t>
            </w:r>
          </w:p>
          <w:p w14:paraId="616DDA0C" w14:textId="77777777" w:rsidR="000C1BC5" w:rsidRPr="008C2D2F" w:rsidRDefault="008A4894" w:rsidP="004F582C">
            <w:pPr>
              <w:rPr>
                <w:sz w:val="20"/>
                <w:szCs w:val="20"/>
              </w:rPr>
            </w:pPr>
            <w:r w:rsidRPr="008C2D2F">
              <w:rPr>
                <w:sz w:val="20"/>
                <w:szCs w:val="20"/>
              </w:rPr>
              <w:t>AgNPs -</w:t>
            </w:r>
            <w:r w:rsidR="00CB5884" w:rsidRPr="008C2D2F">
              <w:rPr>
                <w:sz w:val="20"/>
                <w:szCs w:val="20"/>
              </w:rPr>
              <w:t xml:space="preserve"> Spherical</w:t>
            </w:r>
          </w:p>
        </w:tc>
        <w:tc>
          <w:tcPr>
            <w:tcW w:w="2016" w:type="dxa"/>
            <w:tcBorders>
              <w:top w:val="nil"/>
              <w:left w:val="nil"/>
              <w:bottom w:val="nil"/>
              <w:right w:val="nil"/>
            </w:tcBorders>
          </w:tcPr>
          <w:p w14:paraId="4E52EB3B" w14:textId="77777777" w:rsidR="000C1BC5" w:rsidRPr="008C2D2F" w:rsidRDefault="008A4894" w:rsidP="004F582C">
            <w:pPr>
              <w:rPr>
                <w:i/>
                <w:sz w:val="20"/>
                <w:szCs w:val="20"/>
              </w:rPr>
            </w:pPr>
            <w:r w:rsidRPr="008C2D2F">
              <w:rPr>
                <w:i/>
                <w:sz w:val="20"/>
                <w:szCs w:val="20"/>
              </w:rPr>
              <w:t>E. coli e S. aureus</w:t>
            </w:r>
          </w:p>
        </w:tc>
        <w:tc>
          <w:tcPr>
            <w:tcW w:w="2411" w:type="dxa"/>
            <w:tcBorders>
              <w:top w:val="nil"/>
              <w:left w:val="nil"/>
              <w:bottom w:val="nil"/>
              <w:right w:val="nil"/>
            </w:tcBorders>
          </w:tcPr>
          <w:p w14:paraId="5E170D59" w14:textId="77777777" w:rsidR="000C1BC5" w:rsidRPr="008C2D2F" w:rsidRDefault="008A4894" w:rsidP="004F582C">
            <w:pPr>
              <w:rPr>
                <w:sz w:val="20"/>
                <w:szCs w:val="20"/>
              </w:rPr>
            </w:pPr>
            <w:r w:rsidRPr="008C2D2F">
              <w:rPr>
                <w:sz w:val="20"/>
                <w:szCs w:val="20"/>
              </w:rPr>
              <w:t>Wang et al. (2016)</w:t>
            </w:r>
          </w:p>
        </w:tc>
      </w:tr>
      <w:tr w:rsidR="006474C7" w:rsidRPr="008C2D2F" w14:paraId="02B0EAE9" w14:textId="77777777" w:rsidTr="001A5E78">
        <w:tc>
          <w:tcPr>
            <w:tcW w:w="1297" w:type="dxa"/>
            <w:tcBorders>
              <w:top w:val="nil"/>
              <w:left w:val="nil"/>
              <w:bottom w:val="nil"/>
              <w:right w:val="nil"/>
            </w:tcBorders>
          </w:tcPr>
          <w:p w14:paraId="7273E019" w14:textId="77777777" w:rsidR="000C1BC5" w:rsidRPr="008C2D2F" w:rsidRDefault="000C1BC5" w:rsidP="004F582C">
            <w:pPr>
              <w:rPr>
                <w:i/>
                <w:sz w:val="20"/>
                <w:szCs w:val="20"/>
              </w:rPr>
            </w:pPr>
          </w:p>
          <w:p w14:paraId="6269050F" w14:textId="77777777" w:rsidR="000C1BC5" w:rsidRPr="008C2D2F" w:rsidRDefault="008A4894" w:rsidP="004F582C">
            <w:pPr>
              <w:rPr>
                <w:sz w:val="20"/>
                <w:szCs w:val="20"/>
              </w:rPr>
            </w:pPr>
            <w:r w:rsidRPr="008C2D2F">
              <w:rPr>
                <w:i/>
                <w:sz w:val="20"/>
                <w:szCs w:val="20"/>
              </w:rPr>
              <w:t>Panax ginseng</w:t>
            </w:r>
            <w:r w:rsidRPr="008C2D2F">
              <w:rPr>
                <w:sz w:val="20"/>
                <w:szCs w:val="20"/>
              </w:rPr>
              <w:t xml:space="preserve"> Meyer</w:t>
            </w:r>
          </w:p>
          <w:p w14:paraId="71F3F287" w14:textId="77777777" w:rsidR="000C1BC5" w:rsidRPr="008C2D2F" w:rsidRDefault="008A4894" w:rsidP="004F582C">
            <w:pPr>
              <w:rPr>
                <w:sz w:val="20"/>
                <w:szCs w:val="20"/>
              </w:rPr>
            </w:pPr>
            <w:r w:rsidRPr="008C2D2F">
              <w:rPr>
                <w:sz w:val="20"/>
                <w:szCs w:val="20"/>
              </w:rPr>
              <w:t>(</w:t>
            </w:r>
            <w:r w:rsidR="003E52EC" w:rsidRPr="008C2D2F">
              <w:rPr>
                <w:sz w:val="20"/>
                <w:szCs w:val="20"/>
              </w:rPr>
              <w:t>Black Ginseng</w:t>
            </w:r>
            <w:r w:rsidRPr="008C2D2F">
              <w:rPr>
                <w:sz w:val="20"/>
                <w:szCs w:val="20"/>
              </w:rPr>
              <w:t>)</w:t>
            </w:r>
          </w:p>
        </w:tc>
        <w:tc>
          <w:tcPr>
            <w:tcW w:w="866" w:type="dxa"/>
            <w:tcBorders>
              <w:top w:val="nil"/>
              <w:left w:val="nil"/>
              <w:bottom w:val="nil"/>
              <w:right w:val="nil"/>
            </w:tcBorders>
          </w:tcPr>
          <w:p w14:paraId="36AC1C54" w14:textId="77777777" w:rsidR="000C1BC5" w:rsidRPr="008C2D2F" w:rsidRDefault="000C1BC5" w:rsidP="004F582C">
            <w:pPr>
              <w:rPr>
                <w:sz w:val="20"/>
                <w:szCs w:val="20"/>
              </w:rPr>
            </w:pPr>
          </w:p>
          <w:p w14:paraId="03C7A2F4" w14:textId="77777777" w:rsidR="000C1BC5" w:rsidRPr="008C2D2F" w:rsidRDefault="008A4894" w:rsidP="004F582C">
            <w:pPr>
              <w:rPr>
                <w:sz w:val="20"/>
                <w:szCs w:val="20"/>
              </w:rPr>
            </w:pPr>
            <w:r w:rsidRPr="008C2D2F">
              <w:rPr>
                <w:sz w:val="20"/>
                <w:szCs w:val="20"/>
              </w:rPr>
              <w:t>Raiz</w:t>
            </w:r>
          </w:p>
        </w:tc>
        <w:tc>
          <w:tcPr>
            <w:tcW w:w="863" w:type="dxa"/>
            <w:tcBorders>
              <w:top w:val="nil"/>
              <w:left w:val="nil"/>
              <w:bottom w:val="nil"/>
              <w:right w:val="nil"/>
            </w:tcBorders>
          </w:tcPr>
          <w:p w14:paraId="1CC3155A" w14:textId="77777777" w:rsidR="000C1BC5" w:rsidRPr="008C2D2F" w:rsidRDefault="000C1BC5" w:rsidP="004F582C">
            <w:pPr>
              <w:rPr>
                <w:sz w:val="20"/>
                <w:szCs w:val="20"/>
              </w:rPr>
            </w:pPr>
          </w:p>
          <w:p w14:paraId="0316E5B5" w14:textId="77777777" w:rsidR="000C1BC5" w:rsidRPr="008C2D2F" w:rsidRDefault="008A4894" w:rsidP="004F582C">
            <w:pPr>
              <w:rPr>
                <w:sz w:val="20"/>
                <w:szCs w:val="20"/>
              </w:rPr>
            </w:pPr>
            <w:r w:rsidRPr="008C2D2F">
              <w:rPr>
                <w:sz w:val="20"/>
                <w:szCs w:val="20"/>
              </w:rPr>
              <w:t>Au and Ag</w:t>
            </w:r>
          </w:p>
        </w:tc>
        <w:tc>
          <w:tcPr>
            <w:tcW w:w="1439" w:type="dxa"/>
            <w:tcBorders>
              <w:top w:val="nil"/>
              <w:left w:val="nil"/>
              <w:bottom w:val="nil"/>
              <w:right w:val="nil"/>
            </w:tcBorders>
          </w:tcPr>
          <w:p w14:paraId="2076F339" w14:textId="77777777" w:rsidR="000C1BC5" w:rsidRPr="008C2D2F" w:rsidRDefault="000C1BC5" w:rsidP="004F582C">
            <w:pPr>
              <w:rPr>
                <w:sz w:val="20"/>
                <w:szCs w:val="20"/>
              </w:rPr>
            </w:pPr>
          </w:p>
          <w:p w14:paraId="0E5D9A78" w14:textId="77777777" w:rsidR="000C1BC5" w:rsidRPr="008C2D2F" w:rsidRDefault="008A4894" w:rsidP="004F582C">
            <w:pPr>
              <w:rPr>
                <w:sz w:val="20"/>
                <w:szCs w:val="20"/>
              </w:rPr>
            </w:pPr>
            <w:r w:rsidRPr="008C2D2F">
              <w:rPr>
                <w:sz w:val="20"/>
                <w:szCs w:val="20"/>
              </w:rPr>
              <w:t>Ag -60 min</w:t>
            </w:r>
          </w:p>
          <w:p w14:paraId="37FBA005" w14:textId="77777777" w:rsidR="000C1BC5" w:rsidRPr="008C2D2F" w:rsidRDefault="008A4894" w:rsidP="004F582C">
            <w:pPr>
              <w:rPr>
                <w:sz w:val="20"/>
                <w:szCs w:val="20"/>
              </w:rPr>
            </w:pPr>
            <w:r w:rsidRPr="008C2D2F">
              <w:rPr>
                <w:sz w:val="20"/>
                <w:szCs w:val="20"/>
              </w:rPr>
              <w:t>Au - 3 min</w:t>
            </w:r>
          </w:p>
        </w:tc>
        <w:tc>
          <w:tcPr>
            <w:tcW w:w="1726" w:type="dxa"/>
            <w:tcBorders>
              <w:top w:val="nil"/>
              <w:left w:val="nil"/>
              <w:bottom w:val="nil"/>
              <w:right w:val="nil"/>
            </w:tcBorders>
          </w:tcPr>
          <w:p w14:paraId="4B36C305" w14:textId="77777777" w:rsidR="000C1BC5" w:rsidRPr="008C2D2F" w:rsidRDefault="000C1BC5" w:rsidP="004F582C">
            <w:pPr>
              <w:rPr>
                <w:sz w:val="20"/>
                <w:szCs w:val="20"/>
              </w:rPr>
            </w:pPr>
          </w:p>
          <w:p w14:paraId="0EE4838A" w14:textId="77777777" w:rsidR="000C1BC5" w:rsidRPr="008C2D2F" w:rsidRDefault="008A4894" w:rsidP="004F582C">
            <w:pPr>
              <w:rPr>
                <w:sz w:val="20"/>
                <w:szCs w:val="20"/>
              </w:rPr>
            </w:pPr>
            <w:r w:rsidRPr="008C2D2F">
              <w:rPr>
                <w:sz w:val="20"/>
                <w:szCs w:val="20"/>
              </w:rPr>
              <w:t>90</w:t>
            </w:r>
          </w:p>
        </w:tc>
        <w:tc>
          <w:tcPr>
            <w:tcW w:w="1153" w:type="dxa"/>
            <w:tcBorders>
              <w:top w:val="nil"/>
              <w:left w:val="nil"/>
              <w:bottom w:val="nil"/>
              <w:right w:val="nil"/>
            </w:tcBorders>
          </w:tcPr>
          <w:p w14:paraId="6F970E1C" w14:textId="77777777" w:rsidR="000C1BC5" w:rsidRPr="008C2D2F" w:rsidRDefault="000C1BC5" w:rsidP="004F582C">
            <w:pPr>
              <w:rPr>
                <w:sz w:val="20"/>
                <w:szCs w:val="20"/>
              </w:rPr>
            </w:pPr>
          </w:p>
          <w:p w14:paraId="1105453B" w14:textId="77777777" w:rsidR="000C1BC5" w:rsidRPr="008C2D2F" w:rsidRDefault="008A4894" w:rsidP="004F582C">
            <w:pPr>
              <w:rPr>
                <w:sz w:val="20"/>
                <w:szCs w:val="20"/>
                <w:lang w:val="en-US"/>
              </w:rPr>
            </w:pPr>
            <w:r w:rsidRPr="008C2D2F">
              <w:rPr>
                <w:sz w:val="20"/>
                <w:szCs w:val="20"/>
                <w:lang w:val="en-US"/>
              </w:rPr>
              <w:t xml:space="preserve">1mM of (Ag or Au)/50mg/mL of the extract </w:t>
            </w:r>
          </w:p>
        </w:tc>
        <w:tc>
          <w:tcPr>
            <w:tcW w:w="1446" w:type="dxa"/>
            <w:tcBorders>
              <w:top w:val="nil"/>
              <w:left w:val="nil"/>
              <w:bottom w:val="nil"/>
              <w:right w:val="nil"/>
            </w:tcBorders>
          </w:tcPr>
          <w:p w14:paraId="123DA20E" w14:textId="77777777" w:rsidR="000C1BC5" w:rsidRPr="008C2D2F" w:rsidRDefault="000C1BC5" w:rsidP="004F582C">
            <w:pPr>
              <w:rPr>
                <w:sz w:val="20"/>
                <w:szCs w:val="20"/>
                <w:lang w:val="en-US"/>
              </w:rPr>
            </w:pPr>
          </w:p>
          <w:p w14:paraId="617EC0B6" w14:textId="77777777" w:rsidR="000C1BC5" w:rsidRPr="008C2D2F" w:rsidRDefault="008A4894" w:rsidP="004F582C">
            <w:pPr>
              <w:rPr>
                <w:sz w:val="20"/>
                <w:szCs w:val="20"/>
              </w:rPr>
            </w:pPr>
            <w:r w:rsidRPr="008C2D2F">
              <w:rPr>
                <w:sz w:val="20"/>
                <w:szCs w:val="20"/>
              </w:rPr>
              <w:t>AuNPs: 5-30</w:t>
            </w:r>
          </w:p>
          <w:p w14:paraId="56B3E6D9" w14:textId="77777777" w:rsidR="000C1BC5" w:rsidRPr="008C2D2F" w:rsidRDefault="008A4894" w:rsidP="004F582C">
            <w:pPr>
              <w:rPr>
                <w:sz w:val="20"/>
                <w:szCs w:val="20"/>
              </w:rPr>
            </w:pPr>
            <w:r w:rsidRPr="008C2D2F">
              <w:rPr>
                <w:sz w:val="20"/>
                <w:szCs w:val="20"/>
              </w:rPr>
              <w:t>AgNPs: 5-30</w:t>
            </w:r>
          </w:p>
        </w:tc>
        <w:tc>
          <w:tcPr>
            <w:tcW w:w="1871" w:type="dxa"/>
            <w:tcBorders>
              <w:top w:val="nil"/>
              <w:left w:val="nil"/>
              <w:bottom w:val="nil"/>
              <w:right w:val="nil"/>
            </w:tcBorders>
          </w:tcPr>
          <w:p w14:paraId="4EABFFC7" w14:textId="77777777" w:rsidR="000C1BC5" w:rsidRPr="008C2D2F" w:rsidRDefault="000C1BC5" w:rsidP="004F582C">
            <w:pPr>
              <w:rPr>
                <w:sz w:val="20"/>
                <w:szCs w:val="20"/>
              </w:rPr>
            </w:pPr>
          </w:p>
          <w:p w14:paraId="3780532E" w14:textId="77777777" w:rsidR="000C1BC5" w:rsidRPr="008C2D2F" w:rsidRDefault="008A4894" w:rsidP="004F582C">
            <w:pPr>
              <w:rPr>
                <w:sz w:val="20"/>
                <w:szCs w:val="20"/>
              </w:rPr>
            </w:pPr>
            <w:r w:rsidRPr="008C2D2F">
              <w:rPr>
                <w:sz w:val="20"/>
                <w:szCs w:val="20"/>
              </w:rPr>
              <w:t>AuNPs -</w:t>
            </w:r>
            <w:r w:rsidR="00CB5884" w:rsidRPr="008C2D2F">
              <w:rPr>
                <w:sz w:val="20"/>
                <w:szCs w:val="20"/>
              </w:rPr>
              <w:t xml:space="preserve"> Icosahedral</w:t>
            </w:r>
          </w:p>
          <w:p w14:paraId="5103D60A" w14:textId="77777777" w:rsidR="000C1BC5" w:rsidRPr="008C2D2F" w:rsidRDefault="008A4894" w:rsidP="004F582C">
            <w:pPr>
              <w:rPr>
                <w:sz w:val="20"/>
                <w:szCs w:val="20"/>
              </w:rPr>
            </w:pPr>
            <w:r w:rsidRPr="008C2D2F">
              <w:rPr>
                <w:sz w:val="20"/>
                <w:szCs w:val="20"/>
              </w:rPr>
              <w:t xml:space="preserve">AgNPs - </w:t>
            </w:r>
            <w:r w:rsidR="00CB5884" w:rsidRPr="008C2D2F">
              <w:rPr>
                <w:sz w:val="20"/>
                <w:szCs w:val="20"/>
              </w:rPr>
              <w:t>Spherical</w:t>
            </w:r>
          </w:p>
        </w:tc>
        <w:tc>
          <w:tcPr>
            <w:tcW w:w="2016" w:type="dxa"/>
            <w:tcBorders>
              <w:top w:val="nil"/>
              <w:left w:val="nil"/>
              <w:bottom w:val="nil"/>
              <w:right w:val="nil"/>
            </w:tcBorders>
          </w:tcPr>
          <w:p w14:paraId="1B371EAB" w14:textId="77777777" w:rsidR="000C1BC5" w:rsidRPr="008C2D2F" w:rsidRDefault="000C1BC5" w:rsidP="004F582C">
            <w:pPr>
              <w:rPr>
                <w:i/>
                <w:sz w:val="20"/>
                <w:szCs w:val="20"/>
              </w:rPr>
            </w:pPr>
          </w:p>
          <w:p w14:paraId="2CA04237" w14:textId="77777777" w:rsidR="000C1BC5" w:rsidRPr="008C2D2F" w:rsidRDefault="008A4894" w:rsidP="004F582C">
            <w:pPr>
              <w:rPr>
                <w:i/>
                <w:sz w:val="20"/>
                <w:szCs w:val="20"/>
              </w:rPr>
            </w:pPr>
            <w:r w:rsidRPr="008C2D2F">
              <w:rPr>
                <w:i/>
                <w:sz w:val="20"/>
                <w:szCs w:val="20"/>
              </w:rPr>
              <w:t>E. coli e S. aureus</w:t>
            </w:r>
          </w:p>
        </w:tc>
        <w:tc>
          <w:tcPr>
            <w:tcW w:w="2411" w:type="dxa"/>
            <w:tcBorders>
              <w:top w:val="nil"/>
              <w:left w:val="nil"/>
              <w:bottom w:val="nil"/>
              <w:right w:val="nil"/>
            </w:tcBorders>
          </w:tcPr>
          <w:p w14:paraId="1B190562" w14:textId="77777777" w:rsidR="000C1BC5" w:rsidRPr="008C2D2F" w:rsidRDefault="000C1BC5" w:rsidP="004F582C">
            <w:pPr>
              <w:rPr>
                <w:sz w:val="20"/>
                <w:szCs w:val="20"/>
              </w:rPr>
            </w:pPr>
          </w:p>
          <w:p w14:paraId="29F04C6E" w14:textId="77777777" w:rsidR="000C1BC5" w:rsidRPr="008C2D2F" w:rsidRDefault="008A4894" w:rsidP="004F582C">
            <w:pPr>
              <w:rPr>
                <w:sz w:val="20"/>
                <w:szCs w:val="20"/>
              </w:rPr>
            </w:pPr>
            <w:r w:rsidRPr="008C2D2F">
              <w:rPr>
                <w:sz w:val="20"/>
                <w:szCs w:val="20"/>
              </w:rPr>
              <w:t>Wang et al. (2016)</w:t>
            </w:r>
          </w:p>
        </w:tc>
      </w:tr>
      <w:tr w:rsidR="006474C7" w:rsidRPr="008C2D2F" w14:paraId="04AD3615" w14:textId="77777777" w:rsidTr="001A5E78">
        <w:tc>
          <w:tcPr>
            <w:tcW w:w="1297" w:type="dxa"/>
            <w:tcBorders>
              <w:top w:val="nil"/>
              <w:left w:val="nil"/>
              <w:bottom w:val="nil"/>
              <w:right w:val="nil"/>
            </w:tcBorders>
          </w:tcPr>
          <w:p w14:paraId="5830A30B" w14:textId="77777777" w:rsidR="000C1BC5" w:rsidRPr="008C2D2F" w:rsidRDefault="000C1BC5" w:rsidP="004F582C">
            <w:pPr>
              <w:rPr>
                <w:i/>
                <w:sz w:val="20"/>
                <w:szCs w:val="20"/>
              </w:rPr>
            </w:pPr>
          </w:p>
          <w:p w14:paraId="5CEBB1E4" w14:textId="77777777" w:rsidR="000C1BC5" w:rsidRPr="008C2D2F" w:rsidRDefault="008A4894" w:rsidP="004F582C">
            <w:pPr>
              <w:rPr>
                <w:sz w:val="20"/>
                <w:szCs w:val="20"/>
              </w:rPr>
            </w:pPr>
            <w:r w:rsidRPr="008C2D2F">
              <w:rPr>
                <w:i/>
                <w:sz w:val="20"/>
                <w:szCs w:val="20"/>
              </w:rPr>
              <w:t>Panax ginseng</w:t>
            </w:r>
          </w:p>
        </w:tc>
        <w:tc>
          <w:tcPr>
            <w:tcW w:w="866" w:type="dxa"/>
            <w:tcBorders>
              <w:top w:val="nil"/>
              <w:left w:val="nil"/>
              <w:bottom w:val="nil"/>
              <w:right w:val="nil"/>
            </w:tcBorders>
          </w:tcPr>
          <w:p w14:paraId="591460F4" w14:textId="77777777" w:rsidR="000C1BC5" w:rsidRPr="008C2D2F" w:rsidRDefault="000C1BC5" w:rsidP="004F582C">
            <w:pPr>
              <w:rPr>
                <w:sz w:val="20"/>
                <w:szCs w:val="20"/>
              </w:rPr>
            </w:pPr>
          </w:p>
          <w:p w14:paraId="7DD84468" w14:textId="77777777" w:rsidR="000C1BC5" w:rsidRPr="008C2D2F" w:rsidRDefault="008A4894" w:rsidP="004F582C">
            <w:pPr>
              <w:rPr>
                <w:sz w:val="20"/>
                <w:szCs w:val="20"/>
              </w:rPr>
            </w:pPr>
            <w:r w:rsidRPr="008C2D2F">
              <w:rPr>
                <w:sz w:val="20"/>
                <w:szCs w:val="20"/>
              </w:rPr>
              <w:t>Leaf</w:t>
            </w:r>
          </w:p>
        </w:tc>
        <w:tc>
          <w:tcPr>
            <w:tcW w:w="863" w:type="dxa"/>
            <w:tcBorders>
              <w:top w:val="nil"/>
              <w:left w:val="nil"/>
              <w:bottom w:val="nil"/>
              <w:right w:val="nil"/>
            </w:tcBorders>
          </w:tcPr>
          <w:p w14:paraId="6CC54CD4" w14:textId="77777777" w:rsidR="000C1BC5" w:rsidRPr="008C2D2F" w:rsidRDefault="000C1BC5" w:rsidP="004F582C">
            <w:pPr>
              <w:rPr>
                <w:sz w:val="20"/>
                <w:szCs w:val="20"/>
              </w:rPr>
            </w:pPr>
          </w:p>
          <w:p w14:paraId="68215561" w14:textId="77777777" w:rsidR="000C1BC5" w:rsidRPr="008C2D2F" w:rsidRDefault="008A4894" w:rsidP="004F582C">
            <w:pPr>
              <w:rPr>
                <w:sz w:val="20"/>
                <w:szCs w:val="20"/>
              </w:rPr>
            </w:pPr>
            <w:r w:rsidRPr="008C2D2F">
              <w:rPr>
                <w:sz w:val="20"/>
                <w:szCs w:val="20"/>
              </w:rPr>
              <w:t>Ag</w:t>
            </w:r>
          </w:p>
        </w:tc>
        <w:tc>
          <w:tcPr>
            <w:tcW w:w="1439" w:type="dxa"/>
            <w:tcBorders>
              <w:top w:val="nil"/>
              <w:left w:val="nil"/>
              <w:bottom w:val="nil"/>
              <w:right w:val="nil"/>
            </w:tcBorders>
          </w:tcPr>
          <w:p w14:paraId="61D54786" w14:textId="77777777" w:rsidR="000C1BC5" w:rsidRPr="008C2D2F" w:rsidRDefault="000C1BC5" w:rsidP="004F582C">
            <w:pPr>
              <w:rPr>
                <w:sz w:val="20"/>
                <w:szCs w:val="20"/>
              </w:rPr>
            </w:pPr>
          </w:p>
          <w:p w14:paraId="4E25BEFD" w14:textId="77777777" w:rsidR="000C1BC5" w:rsidRPr="008C2D2F" w:rsidRDefault="008A4894" w:rsidP="004F582C">
            <w:pPr>
              <w:rPr>
                <w:sz w:val="20"/>
                <w:szCs w:val="20"/>
              </w:rPr>
            </w:pPr>
            <w:r w:rsidRPr="008C2D2F">
              <w:rPr>
                <w:sz w:val="20"/>
                <w:szCs w:val="20"/>
              </w:rPr>
              <w:t>-</w:t>
            </w:r>
          </w:p>
        </w:tc>
        <w:tc>
          <w:tcPr>
            <w:tcW w:w="1726" w:type="dxa"/>
            <w:tcBorders>
              <w:top w:val="nil"/>
              <w:left w:val="nil"/>
              <w:bottom w:val="nil"/>
              <w:right w:val="nil"/>
            </w:tcBorders>
          </w:tcPr>
          <w:p w14:paraId="191CCB8D" w14:textId="77777777" w:rsidR="000C1BC5" w:rsidRPr="008C2D2F" w:rsidRDefault="000C1BC5" w:rsidP="004F582C">
            <w:pPr>
              <w:rPr>
                <w:sz w:val="20"/>
                <w:szCs w:val="20"/>
              </w:rPr>
            </w:pPr>
          </w:p>
          <w:p w14:paraId="00B99952"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6B3BA1FF" w14:textId="77777777" w:rsidR="000C1BC5" w:rsidRPr="008C2D2F" w:rsidRDefault="000C1BC5" w:rsidP="004F582C">
            <w:pPr>
              <w:rPr>
                <w:sz w:val="20"/>
                <w:szCs w:val="20"/>
              </w:rPr>
            </w:pPr>
          </w:p>
          <w:p w14:paraId="69C2B137" w14:textId="77777777" w:rsidR="000C1BC5" w:rsidRPr="008C2D2F" w:rsidRDefault="008A4894" w:rsidP="004F582C">
            <w:pPr>
              <w:rPr>
                <w:sz w:val="20"/>
                <w:szCs w:val="20"/>
              </w:rPr>
            </w:pPr>
            <w:r w:rsidRPr="008C2D2F">
              <w:rPr>
                <w:sz w:val="20"/>
                <w:szCs w:val="20"/>
              </w:rPr>
              <w:t>5 mM (Ag)/0.1</w:t>
            </w:r>
            <w:r w:rsidR="003E52EC" w:rsidRPr="008C2D2F">
              <w:rPr>
                <w:sz w:val="20"/>
                <w:szCs w:val="20"/>
              </w:rPr>
              <w:t xml:space="preserve">5 </w:t>
            </w:r>
            <w:r w:rsidR="003E52EC" w:rsidRPr="008C2D2F">
              <w:rPr>
                <w:sz w:val="20"/>
                <w:szCs w:val="20"/>
              </w:rPr>
              <w:lastRenderedPageBreak/>
              <w:t>g/mL of extract</w:t>
            </w:r>
          </w:p>
        </w:tc>
        <w:tc>
          <w:tcPr>
            <w:tcW w:w="1446" w:type="dxa"/>
            <w:tcBorders>
              <w:top w:val="nil"/>
              <w:left w:val="nil"/>
              <w:bottom w:val="nil"/>
              <w:right w:val="nil"/>
            </w:tcBorders>
          </w:tcPr>
          <w:p w14:paraId="6D1580D7" w14:textId="77777777" w:rsidR="000C1BC5" w:rsidRPr="008C2D2F" w:rsidRDefault="008A4894" w:rsidP="004F582C">
            <w:pPr>
              <w:rPr>
                <w:sz w:val="20"/>
                <w:szCs w:val="20"/>
              </w:rPr>
            </w:pPr>
            <w:r w:rsidRPr="008C2D2F">
              <w:rPr>
                <w:sz w:val="20"/>
                <w:szCs w:val="20"/>
              </w:rPr>
              <w:lastRenderedPageBreak/>
              <w:t>-</w:t>
            </w:r>
          </w:p>
        </w:tc>
        <w:tc>
          <w:tcPr>
            <w:tcW w:w="1871" w:type="dxa"/>
            <w:tcBorders>
              <w:top w:val="nil"/>
              <w:left w:val="nil"/>
              <w:bottom w:val="nil"/>
              <w:right w:val="nil"/>
            </w:tcBorders>
          </w:tcPr>
          <w:p w14:paraId="6CFCAD97" w14:textId="77777777" w:rsidR="000C1BC5" w:rsidRPr="008C2D2F" w:rsidRDefault="008A4894" w:rsidP="004F582C">
            <w:pPr>
              <w:rPr>
                <w:sz w:val="20"/>
                <w:szCs w:val="20"/>
              </w:rPr>
            </w:pPr>
            <w:r w:rsidRPr="008C2D2F">
              <w:rPr>
                <w:sz w:val="20"/>
                <w:szCs w:val="20"/>
              </w:rPr>
              <w:t>-</w:t>
            </w:r>
          </w:p>
        </w:tc>
        <w:tc>
          <w:tcPr>
            <w:tcW w:w="2016" w:type="dxa"/>
            <w:tcBorders>
              <w:top w:val="nil"/>
              <w:left w:val="nil"/>
              <w:bottom w:val="nil"/>
              <w:right w:val="nil"/>
            </w:tcBorders>
          </w:tcPr>
          <w:p w14:paraId="349C72DE" w14:textId="77777777" w:rsidR="000C1BC5" w:rsidRPr="008C2D2F" w:rsidRDefault="000C1BC5" w:rsidP="004F582C">
            <w:pPr>
              <w:rPr>
                <w:sz w:val="20"/>
                <w:szCs w:val="20"/>
              </w:rPr>
            </w:pPr>
          </w:p>
          <w:p w14:paraId="70EF6F9C" w14:textId="77777777" w:rsidR="003E52EC" w:rsidRPr="008C2D2F" w:rsidRDefault="008A4894" w:rsidP="003E52EC">
            <w:pPr>
              <w:rPr>
                <w:sz w:val="20"/>
                <w:szCs w:val="20"/>
              </w:rPr>
            </w:pPr>
            <w:r w:rsidRPr="008C2D2F">
              <w:rPr>
                <w:sz w:val="20"/>
                <w:szCs w:val="20"/>
              </w:rPr>
              <w:t>A549 lung cancer cell</w:t>
            </w:r>
          </w:p>
          <w:p w14:paraId="2C99A005" w14:textId="77777777" w:rsidR="003E52EC" w:rsidRPr="008C2D2F" w:rsidRDefault="008A4894" w:rsidP="003E52EC">
            <w:pPr>
              <w:rPr>
                <w:sz w:val="20"/>
                <w:szCs w:val="20"/>
              </w:rPr>
            </w:pPr>
            <w:r w:rsidRPr="008C2D2F">
              <w:rPr>
                <w:sz w:val="20"/>
                <w:szCs w:val="20"/>
              </w:rPr>
              <w:t>MCF7 breast cancer cell</w:t>
            </w:r>
          </w:p>
          <w:p w14:paraId="1C9CAC78" w14:textId="77777777" w:rsidR="000C1BC5" w:rsidRPr="008C2D2F" w:rsidRDefault="008A4894" w:rsidP="003E52EC">
            <w:pPr>
              <w:rPr>
                <w:sz w:val="20"/>
                <w:szCs w:val="20"/>
              </w:rPr>
            </w:pPr>
            <w:r w:rsidRPr="008C2D2F">
              <w:rPr>
                <w:sz w:val="20"/>
                <w:szCs w:val="20"/>
              </w:rPr>
              <w:lastRenderedPageBreak/>
              <w:t xml:space="preserve">HepG2 hepatocellular carcinoma cell </w:t>
            </w:r>
          </w:p>
          <w:p w14:paraId="41914A77" w14:textId="77777777" w:rsidR="000C1BC5" w:rsidRPr="008C2D2F" w:rsidRDefault="000C1BC5" w:rsidP="004F582C">
            <w:pPr>
              <w:rPr>
                <w:sz w:val="20"/>
                <w:szCs w:val="20"/>
              </w:rPr>
            </w:pPr>
          </w:p>
          <w:p w14:paraId="7DE28D05" w14:textId="77777777" w:rsidR="000C1BC5" w:rsidRPr="008C2D2F" w:rsidRDefault="000C1BC5" w:rsidP="004F582C">
            <w:pPr>
              <w:rPr>
                <w:sz w:val="20"/>
                <w:szCs w:val="20"/>
              </w:rPr>
            </w:pPr>
          </w:p>
        </w:tc>
        <w:tc>
          <w:tcPr>
            <w:tcW w:w="2411" w:type="dxa"/>
            <w:tcBorders>
              <w:top w:val="nil"/>
              <w:left w:val="nil"/>
              <w:bottom w:val="nil"/>
              <w:right w:val="nil"/>
            </w:tcBorders>
          </w:tcPr>
          <w:p w14:paraId="7748F831" w14:textId="77777777" w:rsidR="000C1BC5" w:rsidRPr="008C2D2F" w:rsidRDefault="000C1BC5" w:rsidP="004F582C">
            <w:pPr>
              <w:rPr>
                <w:sz w:val="20"/>
                <w:szCs w:val="20"/>
              </w:rPr>
            </w:pPr>
          </w:p>
          <w:p w14:paraId="456667E9" w14:textId="77777777" w:rsidR="000C1BC5" w:rsidRPr="008C2D2F" w:rsidRDefault="008A4894" w:rsidP="004F582C">
            <w:pPr>
              <w:rPr>
                <w:sz w:val="20"/>
                <w:szCs w:val="20"/>
              </w:rPr>
            </w:pPr>
            <w:r w:rsidRPr="008C2D2F">
              <w:rPr>
                <w:sz w:val="20"/>
                <w:szCs w:val="20"/>
              </w:rPr>
              <w:t>Castro-Aceituno, Verónica et al. (2016)</w:t>
            </w:r>
          </w:p>
        </w:tc>
      </w:tr>
      <w:tr w:rsidR="006474C7" w:rsidRPr="008C2D2F" w14:paraId="18F67D52" w14:textId="77777777" w:rsidTr="001A5E78">
        <w:tc>
          <w:tcPr>
            <w:tcW w:w="1297" w:type="dxa"/>
            <w:tcBorders>
              <w:top w:val="nil"/>
              <w:left w:val="nil"/>
              <w:bottom w:val="nil"/>
              <w:right w:val="nil"/>
            </w:tcBorders>
          </w:tcPr>
          <w:p w14:paraId="04006E58" w14:textId="77777777" w:rsidR="000C1BC5" w:rsidRPr="008C2D2F" w:rsidRDefault="008A4894" w:rsidP="004F582C">
            <w:pPr>
              <w:rPr>
                <w:sz w:val="20"/>
                <w:szCs w:val="20"/>
              </w:rPr>
            </w:pPr>
            <w:r w:rsidRPr="008C2D2F">
              <w:rPr>
                <w:i/>
                <w:sz w:val="20"/>
                <w:szCs w:val="20"/>
              </w:rPr>
              <w:t>Panax ginseng</w:t>
            </w:r>
          </w:p>
        </w:tc>
        <w:tc>
          <w:tcPr>
            <w:tcW w:w="866" w:type="dxa"/>
            <w:tcBorders>
              <w:top w:val="nil"/>
              <w:left w:val="nil"/>
              <w:bottom w:val="nil"/>
              <w:right w:val="nil"/>
            </w:tcBorders>
          </w:tcPr>
          <w:p w14:paraId="1F95C79D" w14:textId="77777777" w:rsidR="000C1BC5" w:rsidRPr="008C2D2F" w:rsidRDefault="008A4894" w:rsidP="004F582C">
            <w:pPr>
              <w:rPr>
                <w:sz w:val="20"/>
                <w:szCs w:val="20"/>
              </w:rPr>
            </w:pPr>
            <w:r w:rsidRPr="008C2D2F">
              <w:rPr>
                <w:sz w:val="20"/>
                <w:szCs w:val="20"/>
              </w:rPr>
              <w:t>Leaf</w:t>
            </w:r>
          </w:p>
        </w:tc>
        <w:tc>
          <w:tcPr>
            <w:tcW w:w="863" w:type="dxa"/>
            <w:tcBorders>
              <w:top w:val="nil"/>
              <w:left w:val="nil"/>
              <w:bottom w:val="nil"/>
              <w:right w:val="nil"/>
            </w:tcBorders>
          </w:tcPr>
          <w:p w14:paraId="50179ADD" w14:textId="77777777" w:rsidR="000C1BC5" w:rsidRPr="008C2D2F" w:rsidRDefault="008A4894" w:rsidP="004F582C">
            <w:pPr>
              <w:rPr>
                <w:sz w:val="20"/>
                <w:szCs w:val="20"/>
              </w:rPr>
            </w:pPr>
            <w:r w:rsidRPr="008C2D2F">
              <w:rPr>
                <w:sz w:val="20"/>
                <w:szCs w:val="20"/>
              </w:rPr>
              <w:t>Au</w:t>
            </w:r>
          </w:p>
        </w:tc>
        <w:tc>
          <w:tcPr>
            <w:tcW w:w="1439" w:type="dxa"/>
            <w:tcBorders>
              <w:top w:val="nil"/>
              <w:left w:val="nil"/>
              <w:bottom w:val="nil"/>
              <w:right w:val="nil"/>
            </w:tcBorders>
          </w:tcPr>
          <w:p w14:paraId="349CFF68" w14:textId="77777777" w:rsidR="000C1BC5" w:rsidRPr="008C2D2F" w:rsidRDefault="008A4894" w:rsidP="004F582C">
            <w:pPr>
              <w:rPr>
                <w:sz w:val="20"/>
                <w:szCs w:val="20"/>
              </w:rPr>
            </w:pPr>
            <w:r w:rsidRPr="008C2D2F">
              <w:rPr>
                <w:sz w:val="20"/>
                <w:szCs w:val="20"/>
              </w:rPr>
              <w:t>3 min</w:t>
            </w:r>
          </w:p>
        </w:tc>
        <w:tc>
          <w:tcPr>
            <w:tcW w:w="1726" w:type="dxa"/>
            <w:tcBorders>
              <w:top w:val="nil"/>
              <w:left w:val="nil"/>
              <w:bottom w:val="nil"/>
              <w:right w:val="nil"/>
            </w:tcBorders>
          </w:tcPr>
          <w:p w14:paraId="05FEFA92"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21DF78F3" w14:textId="77777777" w:rsidR="000C1BC5" w:rsidRPr="008C2D2F" w:rsidRDefault="008A4894" w:rsidP="004F582C">
            <w:pPr>
              <w:rPr>
                <w:sz w:val="20"/>
                <w:szCs w:val="20"/>
              </w:rPr>
            </w:pPr>
            <w:r w:rsidRPr="008C2D2F">
              <w:rPr>
                <w:sz w:val="20"/>
                <w:szCs w:val="20"/>
              </w:rPr>
              <w:t>1mM (Au)/150mg/mL of extract</w:t>
            </w:r>
          </w:p>
        </w:tc>
        <w:tc>
          <w:tcPr>
            <w:tcW w:w="1446" w:type="dxa"/>
            <w:tcBorders>
              <w:top w:val="nil"/>
              <w:left w:val="nil"/>
              <w:bottom w:val="nil"/>
              <w:right w:val="nil"/>
            </w:tcBorders>
          </w:tcPr>
          <w:p w14:paraId="152FC7D0" w14:textId="77777777" w:rsidR="000C1BC5" w:rsidRPr="008C2D2F" w:rsidRDefault="008A4894" w:rsidP="004F582C">
            <w:pPr>
              <w:rPr>
                <w:sz w:val="20"/>
                <w:szCs w:val="20"/>
              </w:rPr>
            </w:pPr>
            <w:r w:rsidRPr="008C2D2F">
              <w:rPr>
                <w:sz w:val="20"/>
                <w:szCs w:val="20"/>
              </w:rPr>
              <w:t>10-20 nm</w:t>
            </w:r>
          </w:p>
        </w:tc>
        <w:tc>
          <w:tcPr>
            <w:tcW w:w="1871" w:type="dxa"/>
            <w:tcBorders>
              <w:top w:val="nil"/>
              <w:left w:val="nil"/>
              <w:bottom w:val="nil"/>
              <w:right w:val="nil"/>
            </w:tcBorders>
          </w:tcPr>
          <w:p w14:paraId="65113F9E" w14:textId="77777777" w:rsidR="000C1BC5" w:rsidRPr="008C2D2F" w:rsidRDefault="000C1BC5" w:rsidP="004F582C">
            <w:pPr>
              <w:rPr>
                <w:sz w:val="20"/>
                <w:szCs w:val="20"/>
              </w:rPr>
            </w:pPr>
          </w:p>
        </w:tc>
        <w:tc>
          <w:tcPr>
            <w:tcW w:w="2016" w:type="dxa"/>
            <w:tcBorders>
              <w:top w:val="nil"/>
              <w:left w:val="nil"/>
              <w:bottom w:val="nil"/>
              <w:right w:val="nil"/>
            </w:tcBorders>
          </w:tcPr>
          <w:p w14:paraId="61C26E0F" w14:textId="77777777" w:rsidR="000C1BC5" w:rsidRPr="008C2D2F" w:rsidRDefault="008A4894" w:rsidP="004F582C">
            <w:pPr>
              <w:rPr>
                <w:sz w:val="20"/>
                <w:szCs w:val="20"/>
              </w:rPr>
            </w:pPr>
            <w:r w:rsidRPr="008C2D2F">
              <w:rPr>
                <w:sz w:val="20"/>
                <w:szCs w:val="20"/>
              </w:rPr>
              <w:t>Human dermal fibroblast and murine B16BL6 melanoma cell lines</w:t>
            </w:r>
          </w:p>
          <w:p w14:paraId="7B05113C" w14:textId="77777777" w:rsidR="003E52EC" w:rsidRPr="008C2D2F" w:rsidRDefault="003E52EC" w:rsidP="004F582C">
            <w:pPr>
              <w:rPr>
                <w:sz w:val="20"/>
                <w:szCs w:val="20"/>
              </w:rPr>
            </w:pPr>
          </w:p>
        </w:tc>
        <w:tc>
          <w:tcPr>
            <w:tcW w:w="2411" w:type="dxa"/>
            <w:tcBorders>
              <w:top w:val="nil"/>
              <w:left w:val="nil"/>
              <w:bottom w:val="nil"/>
              <w:right w:val="nil"/>
            </w:tcBorders>
          </w:tcPr>
          <w:p w14:paraId="0C731832" w14:textId="77777777" w:rsidR="000C1BC5" w:rsidRPr="008C2D2F" w:rsidRDefault="000C1BC5" w:rsidP="004F582C">
            <w:pPr>
              <w:rPr>
                <w:sz w:val="20"/>
                <w:szCs w:val="20"/>
              </w:rPr>
            </w:pPr>
          </w:p>
          <w:p w14:paraId="3673F122" w14:textId="77777777" w:rsidR="000C1BC5" w:rsidRPr="008C2D2F" w:rsidRDefault="008A4894" w:rsidP="004F582C">
            <w:pPr>
              <w:rPr>
                <w:sz w:val="20"/>
                <w:szCs w:val="20"/>
              </w:rPr>
            </w:pPr>
            <w:r w:rsidRPr="008C2D2F">
              <w:rPr>
                <w:sz w:val="20"/>
                <w:szCs w:val="20"/>
              </w:rPr>
              <w:t>Jiménez-Pérez, Zuly Elizabeth et al. (2018)</w:t>
            </w:r>
          </w:p>
        </w:tc>
      </w:tr>
      <w:tr w:rsidR="006474C7" w:rsidRPr="008C2D2F" w14:paraId="4C3B2254" w14:textId="77777777" w:rsidTr="001A5E78">
        <w:tc>
          <w:tcPr>
            <w:tcW w:w="1297" w:type="dxa"/>
            <w:tcBorders>
              <w:top w:val="nil"/>
              <w:left w:val="nil"/>
              <w:bottom w:val="nil"/>
              <w:right w:val="nil"/>
            </w:tcBorders>
          </w:tcPr>
          <w:p w14:paraId="43326FB5" w14:textId="77777777" w:rsidR="000C1BC5" w:rsidRPr="008C2D2F" w:rsidRDefault="008A4894" w:rsidP="004F582C">
            <w:pPr>
              <w:rPr>
                <w:sz w:val="20"/>
                <w:szCs w:val="20"/>
              </w:rPr>
            </w:pPr>
            <w:r w:rsidRPr="008C2D2F">
              <w:rPr>
                <w:sz w:val="20"/>
                <w:szCs w:val="20"/>
              </w:rPr>
              <w:t xml:space="preserve">Red Ginseng </w:t>
            </w:r>
          </w:p>
        </w:tc>
        <w:tc>
          <w:tcPr>
            <w:tcW w:w="866" w:type="dxa"/>
            <w:tcBorders>
              <w:top w:val="nil"/>
              <w:left w:val="nil"/>
              <w:bottom w:val="nil"/>
              <w:right w:val="nil"/>
            </w:tcBorders>
          </w:tcPr>
          <w:p w14:paraId="00F44016" w14:textId="77777777" w:rsidR="000C1BC5" w:rsidRPr="008C2D2F" w:rsidRDefault="008A4894" w:rsidP="004F582C">
            <w:pPr>
              <w:rPr>
                <w:sz w:val="20"/>
                <w:szCs w:val="20"/>
              </w:rPr>
            </w:pPr>
            <w:r w:rsidRPr="008C2D2F">
              <w:rPr>
                <w:sz w:val="20"/>
                <w:szCs w:val="20"/>
              </w:rPr>
              <w:t>Root</w:t>
            </w:r>
          </w:p>
        </w:tc>
        <w:tc>
          <w:tcPr>
            <w:tcW w:w="863" w:type="dxa"/>
            <w:tcBorders>
              <w:top w:val="nil"/>
              <w:left w:val="nil"/>
              <w:bottom w:val="nil"/>
              <w:right w:val="nil"/>
            </w:tcBorders>
          </w:tcPr>
          <w:p w14:paraId="354B2A7D" w14:textId="77777777" w:rsidR="000C1BC5" w:rsidRPr="008C2D2F" w:rsidRDefault="008A4894" w:rsidP="004F582C">
            <w:pPr>
              <w:rPr>
                <w:sz w:val="20"/>
                <w:szCs w:val="20"/>
              </w:rPr>
            </w:pPr>
            <w:r w:rsidRPr="008C2D2F">
              <w:rPr>
                <w:sz w:val="20"/>
                <w:szCs w:val="20"/>
              </w:rPr>
              <w:t>Ag and Au</w:t>
            </w:r>
          </w:p>
        </w:tc>
        <w:tc>
          <w:tcPr>
            <w:tcW w:w="1439" w:type="dxa"/>
            <w:tcBorders>
              <w:top w:val="nil"/>
              <w:left w:val="nil"/>
              <w:bottom w:val="nil"/>
              <w:right w:val="nil"/>
            </w:tcBorders>
          </w:tcPr>
          <w:p w14:paraId="1FA9D47B" w14:textId="77777777" w:rsidR="000C1BC5" w:rsidRPr="008C2D2F" w:rsidRDefault="008A4894" w:rsidP="004F582C">
            <w:pPr>
              <w:rPr>
                <w:sz w:val="20"/>
                <w:szCs w:val="20"/>
              </w:rPr>
            </w:pPr>
            <w:r w:rsidRPr="008C2D2F">
              <w:rPr>
                <w:sz w:val="20"/>
                <w:szCs w:val="20"/>
              </w:rPr>
              <w:t xml:space="preserve"> – </w:t>
            </w:r>
          </w:p>
          <w:p w14:paraId="51493435" w14:textId="77777777" w:rsidR="000C1BC5" w:rsidRPr="008C2D2F" w:rsidRDefault="000C1BC5" w:rsidP="004F582C">
            <w:pPr>
              <w:rPr>
                <w:sz w:val="20"/>
                <w:szCs w:val="20"/>
              </w:rPr>
            </w:pPr>
          </w:p>
        </w:tc>
        <w:tc>
          <w:tcPr>
            <w:tcW w:w="1726" w:type="dxa"/>
            <w:tcBorders>
              <w:top w:val="nil"/>
              <w:left w:val="nil"/>
              <w:bottom w:val="nil"/>
              <w:right w:val="nil"/>
            </w:tcBorders>
          </w:tcPr>
          <w:p w14:paraId="0064BC52"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33995687" w14:textId="77777777" w:rsidR="000C1BC5" w:rsidRPr="008C2D2F" w:rsidRDefault="008A4894" w:rsidP="004F582C">
            <w:pPr>
              <w:rPr>
                <w:sz w:val="20"/>
                <w:szCs w:val="20"/>
              </w:rPr>
            </w:pPr>
            <w:r w:rsidRPr="008C2D2F">
              <w:rPr>
                <w:sz w:val="20"/>
                <w:szCs w:val="20"/>
              </w:rPr>
              <w:t>1mM of (Ag or Au) / 100mg/mL extract</w:t>
            </w:r>
          </w:p>
        </w:tc>
        <w:tc>
          <w:tcPr>
            <w:tcW w:w="1446" w:type="dxa"/>
            <w:tcBorders>
              <w:top w:val="nil"/>
              <w:left w:val="nil"/>
              <w:bottom w:val="nil"/>
              <w:right w:val="nil"/>
            </w:tcBorders>
          </w:tcPr>
          <w:p w14:paraId="1C99507D" w14:textId="77777777" w:rsidR="000C1BC5" w:rsidRPr="008C2D2F" w:rsidRDefault="008A4894" w:rsidP="004F582C">
            <w:pPr>
              <w:rPr>
                <w:sz w:val="20"/>
                <w:szCs w:val="20"/>
              </w:rPr>
            </w:pPr>
            <w:r w:rsidRPr="008C2D2F">
              <w:rPr>
                <w:sz w:val="20"/>
                <w:szCs w:val="20"/>
              </w:rPr>
              <w:t>10–30 nm</w:t>
            </w:r>
          </w:p>
        </w:tc>
        <w:tc>
          <w:tcPr>
            <w:tcW w:w="1871" w:type="dxa"/>
            <w:tcBorders>
              <w:top w:val="nil"/>
              <w:left w:val="nil"/>
              <w:bottom w:val="nil"/>
              <w:right w:val="nil"/>
            </w:tcBorders>
          </w:tcPr>
          <w:p w14:paraId="40B18C4C" w14:textId="77777777" w:rsidR="000C1BC5" w:rsidRPr="008C2D2F" w:rsidRDefault="008A4894" w:rsidP="004F582C">
            <w:pPr>
              <w:rPr>
                <w:sz w:val="20"/>
                <w:szCs w:val="20"/>
              </w:rPr>
            </w:pPr>
            <w:r w:rsidRPr="008C2D2F">
              <w:rPr>
                <w:sz w:val="20"/>
                <w:szCs w:val="20"/>
              </w:rPr>
              <w:t>Spherical</w:t>
            </w:r>
          </w:p>
        </w:tc>
        <w:tc>
          <w:tcPr>
            <w:tcW w:w="2016" w:type="dxa"/>
            <w:tcBorders>
              <w:top w:val="nil"/>
              <w:left w:val="nil"/>
              <w:bottom w:val="nil"/>
              <w:right w:val="nil"/>
            </w:tcBorders>
          </w:tcPr>
          <w:p w14:paraId="766024FC" w14:textId="77777777" w:rsidR="000C1BC5" w:rsidRPr="008C2D2F" w:rsidRDefault="008A4894" w:rsidP="004F582C">
            <w:pPr>
              <w:rPr>
                <w:sz w:val="20"/>
                <w:szCs w:val="20"/>
              </w:rPr>
            </w:pPr>
            <w:r w:rsidRPr="008C2D2F">
              <w:rPr>
                <w:i/>
                <w:sz w:val="20"/>
                <w:szCs w:val="20"/>
              </w:rPr>
              <w:t>Vibrio parahaemolyticu,</w:t>
            </w:r>
            <w:r w:rsidRPr="008C2D2F">
              <w:rPr>
                <w:sz w:val="20"/>
                <w:szCs w:val="20"/>
              </w:rPr>
              <w:t xml:space="preserve"> </w:t>
            </w:r>
            <w:r w:rsidRPr="008C2D2F">
              <w:rPr>
                <w:i/>
                <w:sz w:val="20"/>
                <w:szCs w:val="20"/>
              </w:rPr>
              <w:t>S. aureus</w:t>
            </w:r>
            <w:r w:rsidRPr="008C2D2F">
              <w:rPr>
                <w:sz w:val="20"/>
                <w:szCs w:val="20"/>
              </w:rPr>
              <w:t xml:space="preserve">, </w:t>
            </w:r>
            <w:r w:rsidRPr="008C2D2F">
              <w:rPr>
                <w:i/>
                <w:sz w:val="20"/>
                <w:szCs w:val="20"/>
              </w:rPr>
              <w:t>Bacillus cereus</w:t>
            </w:r>
            <w:r w:rsidRPr="008C2D2F">
              <w:rPr>
                <w:sz w:val="20"/>
                <w:szCs w:val="20"/>
              </w:rPr>
              <w:t xml:space="preserve">, </w:t>
            </w:r>
            <w:r w:rsidRPr="008C2D2F">
              <w:rPr>
                <w:i/>
                <w:sz w:val="20"/>
                <w:szCs w:val="20"/>
              </w:rPr>
              <w:t>Candida albicans</w:t>
            </w:r>
            <w:r w:rsidR="001A5E78" w:rsidRPr="008C2D2F">
              <w:rPr>
                <w:sz w:val="20"/>
                <w:szCs w:val="20"/>
              </w:rPr>
              <w:t xml:space="preserve"> and</w:t>
            </w:r>
            <w:r w:rsidRPr="008C2D2F">
              <w:rPr>
                <w:sz w:val="20"/>
                <w:szCs w:val="20"/>
              </w:rPr>
              <w:t xml:space="preserve"> </w:t>
            </w:r>
            <w:r w:rsidRPr="008C2D2F">
              <w:rPr>
                <w:i/>
                <w:sz w:val="20"/>
                <w:szCs w:val="20"/>
              </w:rPr>
              <w:t xml:space="preserve">Pseudomonas aeruginosa. </w:t>
            </w:r>
          </w:p>
        </w:tc>
        <w:tc>
          <w:tcPr>
            <w:tcW w:w="2411" w:type="dxa"/>
            <w:tcBorders>
              <w:top w:val="nil"/>
              <w:left w:val="nil"/>
              <w:bottom w:val="nil"/>
              <w:right w:val="nil"/>
            </w:tcBorders>
          </w:tcPr>
          <w:p w14:paraId="6177CE88" w14:textId="77777777" w:rsidR="000C1BC5" w:rsidRPr="008C2D2F" w:rsidRDefault="008A4894" w:rsidP="004F582C">
            <w:pPr>
              <w:rPr>
                <w:sz w:val="20"/>
                <w:szCs w:val="20"/>
              </w:rPr>
            </w:pPr>
            <w:r w:rsidRPr="008C2D2F">
              <w:rPr>
                <w:sz w:val="20"/>
                <w:szCs w:val="20"/>
              </w:rPr>
              <w:t xml:space="preserve">Priyanka Singh et. al (2016) </w:t>
            </w:r>
          </w:p>
        </w:tc>
      </w:tr>
      <w:tr w:rsidR="006474C7" w:rsidRPr="008C2D2F" w14:paraId="025B7ACC" w14:textId="77777777" w:rsidTr="001A5E78">
        <w:tc>
          <w:tcPr>
            <w:tcW w:w="1297" w:type="dxa"/>
            <w:tcBorders>
              <w:top w:val="nil"/>
              <w:left w:val="nil"/>
              <w:bottom w:val="nil"/>
              <w:right w:val="nil"/>
            </w:tcBorders>
          </w:tcPr>
          <w:p w14:paraId="13A0D213" w14:textId="77777777" w:rsidR="001A5E78" w:rsidRPr="008C2D2F" w:rsidRDefault="008A4894" w:rsidP="001A5E78">
            <w:pPr>
              <w:rPr>
                <w:sz w:val="20"/>
                <w:szCs w:val="20"/>
              </w:rPr>
            </w:pPr>
            <w:r w:rsidRPr="008C2D2F">
              <w:rPr>
                <w:sz w:val="20"/>
                <w:szCs w:val="20"/>
              </w:rPr>
              <w:t>Ginseng siberiano</w:t>
            </w:r>
          </w:p>
        </w:tc>
        <w:tc>
          <w:tcPr>
            <w:tcW w:w="866" w:type="dxa"/>
            <w:tcBorders>
              <w:top w:val="nil"/>
              <w:left w:val="nil"/>
              <w:bottom w:val="nil"/>
              <w:right w:val="nil"/>
            </w:tcBorders>
          </w:tcPr>
          <w:p w14:paraId="1BA7E96A" w14:textId="77777777" w:rsidR="001A5E78" w:rsidRPr="008C2D2F" w:rsidRDefault="008A4894" w:rsidP="001A5E78">
            <w:pPr>
              <w:rPr>
                <w:sz w:val="20"/>
                <w:szCs w:val="20"/>
              </w:rPr>
            </w:pPr>
            <w:r w:rsidRPr="008C2D2F">
              <w:rPr>
                <w:sz w:val="20"/>
                <w:szCs w:val="20"/>
              </w:rPr>
              <w:t>Leaf and Stem</w:t>
            </w:r>
          </w:p>
        </w:tc>
        <w:tc>
          <w:tcPr>
            <w:tcW w:w="863" w:type="dxa"/>
            <w:tcBorders>
              <w:top w:val="nil"/>
              <w:left w:val="nil"/>
              <w:bottom w:val="nil"/>
              <w:right w:val="nil"/>
            </w:tcBorders>
          </w:tcPr>
          <w:p w14:paraId="13B23810" w14:textId="77777777" w:rsidR="001A5E78" w:rsidRPr="008C2D2F" w:rsidRDefault="008A4894" w:rsidP="001A5E78">
            <w:pPr>
              <w:rPr>
                <w:sz w:val="20"/>
                <w:szCs w:val="20"/>
              </w:rPr>
            </w:pPr>
            <w:r w:rsidRPr="008C2D2F">
              <w:rPr>
                <w:sz w:val="20"/>
                <w:szCs w:val="20"/>
              </w:rPr>
              <w:t>Au</w:t>
            </w:r>
          </w:p>
        </w:tc>
        <w:tc>
          <w:tcPr>
            <w:tcW w:w="1439" w:type="dxa"/>
            <w:tcBorders>
              <w:top w:val="nil"/>
              <w:left w:val="nil"/>
              <w:bottom w:val="nil"/>
              <w:right w:val="nil"/>
            </w:tcBorders>
          </w:tcPr>
          <w:p w14:paraId="371D8C43" w14:textId="77777777" w:rsidR="001A5E78" w:rsidRPr="008C2D2F" w:rsidRDefault="008A4894" w:rsidP="001A5E78">
            <w:pPr>
              <w:rPr>
                <w:sz w:val="20"/>
                <w:szCs w:val="20"/>
              </w:rPr>
            </w:pPr>
            <w:r w:rsidRPr="008C2D2F">
              <w:rPr>
                <w:sz w:val="20"/>
                <w:szCs w:val="20"/>
              </w:rPr>
              <w:t>-</w:t>
            </w:r>
          </w:p>
        </w:tc>
        <w:tc>
          <w:tcPr>
            <w:tcW w:w="1726" w:type="dxa"/>
            <w:tcBorders>
              <w:top w:val="nil"/>
              <w:left w:val="nil"/>
              <w:bottom w:val="nil"/>
              <w:right w:val="nil"/>
            </w:tcBorders>
          </w:tcPr>
          <w:p w14:paraId="039AC700" w14:textId="77777777" w:rsidR="001A5E78" w:rsidRPr="008C2D2F" w:rsidRDefault="008A4894" w:rsidP="001A5E78">
            <w:pPr>
              <w:rPr>
                <w:sz w:val="20"/>
                <w:szCs w:val="20"/>
              </w:rPr>
            </w:pPr>
            <w:r w:rsidRPr="008C2D2F">
              <w:rPr>
                <w:sz w:val="20"/>
                <w:szCs w:val="20"/>
              </w:rPr>
              <w:t>-</w:t>
            </w:r>
          </w:p>
        </w:tc>
        <w:tc>
          <w:tcPr>
            <w:tcW w:w="1153" w:type="dxa"/>
            <w:tcBorders>
              <w:top w:val="nil"/>
              <w:left w:val="nil"/>
              <w:bottom w:val="nil"/>
              <w:right w:val="nil"/>
            </w:tcBorders>
          </w:tcPr>
          <w:p w14:paraId="63D10A9D" w14:textId="77777777" w:rsidR="001A5E78" w:rsidRPr="008C2D2F" w:rsidRDefault="008A4894" w:rsidP="001A5E78">
            <w:pPr>
              <w:rPr>
                <w:sz w:val="20"/>
                <w:szCs w:val="20"/>
              </w:rPr>
            </w:pPr>
            <w:r w:rsidRPr="008C2D2F">
              <w:rPr>
                <w:sz w:val="20"/>
                <w:szCs w:val="20"/>
              </w:rPr>
              <w:t>4 mM (Au)/1000 mg/mL of extract</w:t>
            </w:r>
          </w:p>
        </w:tc>
        <w:tc>
          <w:tcPr>
            <w:tcW w:w="1446" w:type="dxa"/>
            <w:tcBorders>
              <w:top w:val="nil"/>
              <w:left w:val="nil"/>
              <w:bottom w:val="nil"/>
              <w:right w:val="nil"/>
            </w:tcBorders>
          </w:tcPr>
          <w:p w14:paraId="65910B0A" w14:textId="77777777" w:rsidR="001A5E78" w:rsidRPr="008C2D2F" w:rsidRDefault="008A4894" w:rsidP="001A5E78">
            <w:pPr>
              <w:rPr>
                <w:sz w:val="20"/>
                <w:szCs w:val="20"/>
              </w:rPr>
            </w:pPr>
            <w:r w:rsidRPr="008C2D2F">
              <w:rPr>
                <w:sz w:val="20"/>
                <w:szCs w:val="20"/>
              </w:rPr>
              <w:t>200 nm</w:t>
            </w:r>
          </w:p>
        </w:tc>
        <w:tc>
          <w:tcPr>
            <w:tcW w:w="1871" w:type="dxa"/>
            <w:tcBorders>
              <w:top w:val="nil"/>
              <w:left w:val="nil"/>
              <w:bottom w:val="nil"/>
              <w:right w:val="nil"/>
            </w:tcBorders>
          </w:tcPr>
          <w:p w14:paraId="08616EF4" w14:textId="77777777" w:rsidR="001A5E78" w:rsidRPr="008C2D2F" w:rsidRDefault="008A4894" w:rsidP="001A5E78">
            <w:pPr>
              <w:rPr>
                <w:sz w:val="20"/>
                <w:szCs w:val="20"/>
              </w:rPr>
            </w:pPr>
            <w:r w:rsidRPr="008C2D2F">
              <w:rPr>
                <w:sz w:val="20"/>
                <w:szCs w:val="20"/>
              </w:rPr>
              <w:t>Spherical</w:t>
            </w:r>
          </w:p>
        </w:tc>
        <w:tc>
          <w:tcPr>
            <w:tcW w:w="2016" w:type="dxa"/>
            <w:tcBorders>
              <w:top w:val="nil"/>
              <w:left w:val="nil"/>
              <w:bottom w:val="nil"/>
              <w:right w:val="nil"/>
            </w:tcBorders>
          </w:tcPr>
          <w:p w14:paraId="1CEA44D5" w14:textId="77777777" w:rsidR="001A5E78" w:rsidRPr="008C2D2F" w:rsidRDefault="008A4894" w:rsidP="001A5E78">
            <w:pPr>
              <w:rPr>
                <w:sz w:val="20"/>
                <w:szCs w:val="20"/>
              </w:rPr>
            </w:pPr>
            <w:r w:rsidRPr="008C2D2F">
              <w:rPr>
                <w:sz w:val="20"/>
                <w:szCs w:val="20"/>
              </w:rPr>
              <w:t>B16 melanoma cells</w:t>
            </w:r>
          </w:p>
        </w:tc>
        <w:tc>
          <w:tcPr>
            <w:tcW w:w="2411" w:type="dxa"/>
            <w:tcBorders>
              <w:top w:val="nil"/>
              <w:left w:val="nil"/>
              <w:bottom w:val="nil"/>
              <w:right w:val="nil"/>
            </w:tcBorders>
          </w:tcPr>
          <w:p w14:paraId="625F7013" w14:textId="77777777" w:rsidR="001A5E78" w:rsidRPr="008C2D2F" w:rsidRDefault="001A5E78" w:rsidP="001A5E78">
            <w:pPr>
              <w:rPr>
                <w:sz w:val="20"/>
                <w:szCs w:val="20"/>
              </w:rPr>
            </w:pPr>
          </w:p>
        </w:tc>
      </w:tr>
      <w:tr w:rsidR="006474C7" w:rsidRPr="008C2D2F" w14:paraId="56C5F451" w14:textId="77777777" w:rsidTr="001A5E78">
        <w:tc>
          <w:tcPr>
            <w:tcW w:w="1297" w:type="dxa"/>
            <w:tcBorders>
              <w:top w:val="nil"/>
              <w:left w:val="nil"/>
              <w:bottom w:val="nil"/>
              <w:right w:val="nil"/>
            </w:tcBorders>
          </w:tcPr>
          <w:p w14:paraId="0A829B2F" w14:textId="77777777" w:rsidR="001A5E78" w:rsidRPr="008C2D2F" w:rsidRDefault="001A5E78" w:rsidP="001A5E78">
            <w:pPr>
              <w:rPr>
                <w:sz w:val="20"/>
                <w:szCs w:val="20"/>
              </w:rPr>
            </w:pPr>
          </w:p>
          <w:p w14:paraId="4F8820F5" w14:textId="77777777" w:rsidR="001A5E78" w:rsidRPr="008C2D2F" w:rsidRDefault="008A4894" w:rsidP="001A5E78">
            <w:pPr>
              <w:rPr>
                <w:sz w:val="20"/>
                <w:szCs w:val="20"/>
              </w:rPr>
            </w:pPr>
            <w:r w:rsidRPr="008C2D2F">
              <w:rPr>
                <w:sz w:val="20"/>
                <w:szCs w:val="20"/>
              </w:rPr>
              <w:t xml:space="preserve"> </w:t>
            </w:r>
            <w:r w:rsidRPr="008C2D2F">
              <w:rPr>
                <w:i/>
                <w:sz w:val="20"/>
                <w:szCs w:val="20"/>
              </w:rPr>
              <w:t>Panax ginseng</w:t>
            </w:r>
          </w:p>
        </w:tc>
        <w:tc>
          <w:tcPr>
            <w:tcW w:w="866" w:type="dxa"/>
            <w:tcBorders>
              <w:top w:val="nil"/>
              <w:left w:val="nil"/>
              <w:bottom w:val="nil"/>
              <w:right w:val="nil"/>
            </w:tcBorders>
          </w:tcPr>
          <w:p w14:paraId="34654165" w14:textId="77777777" w:rsidR="001A5E78" w:rsidRPr="008C2D2F" w:rsidRDefault="001A5E78" w:rsidP="001A5E78">
            <w:pPr>
              <w:rPr>
                <w:sz w:val="20"/>
                <w:szCs w:val="20"/>
              </w:rPr>
            </w:pPr>
          </w:p>
          <w:p w14:paraId="2B8A878D" w14:textId="77777777" w:rsidR="001A5E78" w:rsidRPr="008C2D2F" w:rsidRDefault="008A4894" w:rsidP="001A5E78">
            <w:pPr>
              <w:rPr>
                <w:sz w:val="20"/>
                <w:szCs w:val="20"/>
              </w:rPr>
            </w:pPr>
            <w:r w:rsidRPr="008C2D2F">
              <w:rPr>
                <w:sz w:val="20"/>
                <w:szCs w:val="20"/>
              </w:rPr>
              <w:t>Root</w:t>
            </w:r>
          </w:p>
        </w:tc>
        <w:tc>
          <w:tcPr>
            <w:tcW w:w="863" w:type="dxa"/>
            <w:tcBorders>
              <w:top w:val="nil"/>
              <w:left w:val="nil"/>
              <w:bottom w:val="nil"/>
              <w:right w:val="nil"/>
            </w:tcBorders>
          </w:tcPr>
          <w:p w14:paraId="7C7EE71D" w14:textId="77777777" w:rsidR="001A5E78" w:rsidRPr="008C2D2F" w:rsidRDefault="001A5E78" w:rsidP="001A5E78">
            <w:pPr>
              <w:rPr>
                <w:sz w:val="20"/>
                <w:szCs w:val="20"/>
              </w:rPr>
            </w:pPr>
          </w:p>
          <w:p w14:paraId="2B753AE6" w14:textId="77777777" w:rsidR="001A5E78" w:rsidRPr="008C2D2F" w:rsidRDefault="008A4894" w:rsidP="001A5E78">
            <w:pPr>
              <w:rPr>
                <w:sz w:val="20"/>
                <w:szCs w:val="20"/>
              </w:rPr>
            </w:pPr>
            <w:r w:rsidRPr="008C2D2F">
              <w:rPr>
                <w:sz w:val="20"/>
                <w:szCs w:val="20"/>
              </w:rPr>
              <w:t>Ag</w:t>
            </w:r>
          </w:p>
        </w:tc>
        <w:tc>
          <w:tcPr>
            <w:tcW w:w="1439" w:type="dxa"/>
            <w:tcBorders>
              <w:top w:val="nil"/>
              <w:left w:val="nil"/>
              <w:bottom w:val="nil"/>
              <w:right w:val="nil"/>
            </w:tcBorders>
          </w:tcPr>
          <w:p w14:paraId="4B614AAB" w14:textId="77777777" w:rsidR="001A5E78" w:rsidRPr="008C2D2F" w:rsidRDefault="001A5E78" w:rsidP="001A5E78">
            <w:pPr>
              <w:rPr>
                <w:sz w:val="20"/>
                <w:szCs w:val="20"/>
              </w:rPr>
            </w:pPr>
          </w:p>
          <w:p w14:paraId="6E7A560A" w14:textId="77777777" w:rsidR="001A5E78" w:rsidRPr="008C2D2F" w:rsidRDefault="008A4894" w:rsidP="001A5E78">
            <w:pPr>
              <w:rPr>
                <w:sz w:val="20"/>
                <w:szCs w:val="20"/>
              </w:rPr>
            </w:pPr>
            <w:r w:rsidRPr="008C2D2F">
              <w:rPr>
                <w:sz w:val="20"/>
                <w:szCs w:val="20"/>
              </w:rPr>
              <w:t>24h</w:t>
            </w:r>
          </w:p>
        </w:tc>
        <w:tc>
          <w:tcPr>
            <w:tcW w:w="1726" w:type="dxa"/>
            <w:tcBorders>
              <w:top w:val="nil"/>
              <w:left w:val="nil"/>
              <w:bottom w:val="nil"/>
              <w:right w:val="nil"/>
            </w:tcBorders>
          </w:tcPr>
          <w:p w14:paraId="6643A841" w14:textId="77777777" w:rsidR="001A5E78" w:rsidRPr="008C2D2F" w:rsidRDefault="001A5E78" w:rsidP="001A5E78">
            <w:pPr>
              <w:rPr>
                <w:sz w:val="20"/>
                <w:szCs w:val="20"/>
              </w:rPr>
            </w:pPr>
          </w:p>
          <w:p w14:paraId="4C9AB1BC" w14:textId="77777777" w:rsidR="001A5E78" w:rsidRPr="008C2D2F" w:rsidRDefault="008A4894" w:rsidP="001A5E78">
            <w:pPr>
              <w:rPr>
                <w:sz w:val="20"/>
                <w:szCs w:val="20"/>
              </w:rPr>
            </w:pPr>
            <w:r w:rsidRPr="008C2D2F">
              <w:rPr>
                <w:sz w:val="20"/>
                <w:szCs w:val="20"/>
              </w:rPr>
              <w:t>25</w:t>
            </w:r>
          </w:p>
        </w:tc>
        <w:tc>
          <w:tcPr>
            <w:tcW w:w="1153" w:type="dxa"/>
            <w:tcBorders>
              <w:top w:val="nil"/>
              <w:left w:val="nil"/>
              <w:bottom w:val="nil"/>
              <w:right w:val="nil"/>
            </w:tcBorders>
          </w:tcPr>
          <w:p w14:paraId="65A15741" w14:textId="77777777" w:rsidR="001A5E78" w:rsidRPr="008C2D2F" w:rsidRDefault="008A4894" w:rsidP="001A5E78">
            <w:pPr>
              <w:rPr>
                <w:sz w:val="20"/>
                <w:szCs w:val="20"/>
              </w:rPr>
            </w:pPr>
            <w:r w:rsidRPr="008C2D2F">
              <w:rPr>
                <w:sz w:val="20"/>
                <w:szCs w:val="20"/>
              </w:rPr>
              <w:t>9volumes of 1 mM (Ag)/1 volume of extract, 1 g/5 mL of water</w:t>
            </w:r>
          </w:p>
        </w:tc>
        <w:tc>
          <w:tcPr>
            <w:tcW w:w="1446" w:type="dxa"/>
            <w:tcBorders>
              <w:top w:val="nil"/>
              <w:left w:val="nil"/>
              <w:bottom w:val="nil"/>
              <w:right w:val="nil"/>
            </w:tcBorders>
          </w:tcPr>
          <w:p w14:paraId="799D5045" w14:textId="77777777" w:rsidR="001A5E78" w:rsidRPr="008C2D2F" w:rsidRDefault="001A5E78" w:rsidP="001A5E78">
            <w:pPr>
              <w:rPr>
                <w:sz w:val="20"/>
                <w:szCs w:val="20"/>
              </w:rPr>
            </w:pPr>
          </w:p>
          <w:p w14:paraId="231D6A58" w14:textId="77777777" w:rsidR="001A5E78" w:rsidRPr="008C2D2F" w:rsidRDefault="008A4894" w:rsidP="001A5E78">
            <w:pPr>
              <w:rPr>
                <w:sz w:val="20"/>
                <w:szCs w:val="20"/>
              </w:rPr>
            </w:pPr>
            <w:r w:rsidRPr="008C2D2F">
              <w:rPr>
                <w:sz w:val="20"/>
                <w:szCs w:val="20"/>
              </w:rPr>
              <w:t xml:space="preserve"> 50–90 nm</w:t>
            </w:r>
          </w:p>
        </w:tc>
        <w:tc>
          <w:tcPr>
            <w:tcW w:w="1871" w:type="dxa"/>
            <w:tcBorders>
              <w:top w:val="nil"/>
              <w:left w:val="nil"/>
              <w:bottom w:val="nil"/>
              <w:right w:val="nil"/>
            </w:tcBorders>
          </w:tcPr>
          <w:p w14:paraId="3A856E70" w14:textId="77777777" w:rsidR="001A5E78" w:rsidRPr="008C2D2F" w:rsidRDefault="001A5E78" w:rsidP="001A5E78">
            <w:pPr>
              <w:rPr>
                <w:sz w:val="20"/>
                <w:szCs w:val="20"/>
              </w:rPr>
            </w:pPr>
          </w:p>
          <w:p w14:paraId="2BEA8891" w14:textId="77777777" w:rsidR="001A5E78" w:rsidRPr="008C2D2F" w:rsidRDefault="008A4894" w:rsidP="001A5E78">
            <w:pPr>
              <w:rPr>
                <w:sz w:val="20"/>
                <w:szCs w:val="20"/>
              </w:rPr>
            </w:pPr>
            <w:r w:rsidRPr="008C2D2F">
              <w:rPr>
                <w:sz w:val="20"/>
                <w:szCs w:val="20"/>
              </w:rPr>
              <w:t>Spherical</w:t>
            </w:r>
          </w:p>
        </w:tc>
        <w:tc>
          <w:tcPr>
            <w:tcW w:w="2016" w:type="dxa"/>
            <w:tcBorders>
              <w:top w:val="nil"/>
              <w:left w:val="nil"/>
              <w:bottom w:val="nil"/>
              <w:right w:val="nil"/>
            </w:tcBorders>
          </w:tcPr>
          <w:p w14:paraId="5F860042" w14:textId="77777777" w:rsidR="001A5E78" w:rsidRPr="008C2D2F" w:rsidRDefault="001A5E78" w:rsidP="001A5E78">
            <w:pPr>
              <w:rPr>
                <w:sz w:val="20"/>
                <w:szCs w:val="20"/>
              </w:rPr>
            </w:pPr>
          </w:p>
          <w:p w14:paraId="32C4DF29" w14:textId="77777777" w:rsidR="001A5E78" w:rsidRPr="008C2D2F" w:rsidRDefault="008A4894" w:rsidP="001A5E78">
            <w:pPr>
              <w:rPr>
                <w:sz w:val="20"/>
                <w:szCs w:val="20"/>
              </w:rPr>
            </w:pPr>
            <w:r w:rsidRPr="008C2D2F">
              <w:rPr>
                <w:i/>
                <w:sz w:val="20"/>
                <w:szCs w:val="20"/>
              </w:rPr>
              <w:t>F. graminearum</w:t>
            </w:r>
            <w:r w:rsidRPr="008C2D2F">
              <w:rPr>
                <w:sz w:val="20"/>
                <w:szCs w:val="20"/>
              </w:rPr>
              <w:t xml:space="preserve">, </w:t>
            </w:r>
            <w:r w:rsidRPr="008C2D2F">
              <w:rPr>
                <w:i/>
                <w:sz w:val="20"/>
                <w:szCs w:val="20"/>
              </w:rPr>
              <w:t>F. avenaceum</w:t>
            </w:r>
            <w:r w:rsidRPr="008C2D2F">
              <w:rPr>
                <w:sz w:val="20"/>
                <w:szCs w:val="20"/>
              </w:rPr>
              <w:t xml:space="preserve">, </w:t>
            </w:r>
            <w:r w:rsidRPr="008C2D2F">
              <w:rPr>
                <w:i/>
                <w:sz w:val="20"/>
                <w:szCs w:val="20"/>
              </w:rPr>
              <w:t>F. poae</w:t>
            </w:r>
            <w:r w:rsidRPr="008C2D2F">
              <w:rPr>
                <w:sz w:val="20"/>
                <w:szCs w:val="20"/>
              </w:rPr>
              <w:t xml:space="preserve">, and </w:t>
            </w:r>
            <w:r w:rsidRPr="008C2D2F">
              <w:rPr>
                <w:i/>
                <w:sz w:val="20"/>
                <w:szCs w:val="20"/>
              </w:rPr>
              <w:t>F. sporotrichioides</w:t>
            </w:r>
          </w:p>
        </w:tc>
        <w:tc>
          <w:tcPr>
            <w:tcW w:w="2411" w:type="dxa"/>
            <w:tcBorders>
              <w:top w:val="nil"/>
              <w:left w:val="nil"/>
              <w:bottom w:val="nil"/>
              <w:right w:val="nil"/>
            </w:tcBorders>
          </w:tcPr>
          <w:p w14:paraId="45B1F30C" w14:textId="77777777" w:rsidR="001A5E78" w:rsidRPr="008C2D2F" w:rsidRDefault="008A4894" w:rsidP="001A5E78">
            <w:pPr>
              <w:rPr>
                <w:sz w:val="20"/>
                <w:szCs w:val="20"/>
              </w:rPr>
            </w:pPr>
            <w:r w:rsidRPr="008C2D2F">
              <w:rPr>
                <w:sz w:val="20"/>
                <w:szCs w:val="20"/>
              </w:rPr>
              <w:t>Yugay, Yulia et al. (2021)</w:t>
            </w:r>
          </w:p>
        </w:tc>
      </w:tr>
    </w:tbl>
    <w:p w14:paraId="033AA2EB" w14:textId="77777777" w:rsidR="0040478F" w:rsidRDefault="0040478F" w:rsidP="000C1BC5">
      <w:pPr>
        <w:pBdr>
          <w:top w:val="nil"/>
          <w:left w:val="nil"/>
          <w:bottom w:val="nil"/>
          <w:right w:val="nil"/>
          <w:between w:val="nil"/>
        </w:pBdr>
        <w:jc w:val="both"/>
        <w:rPr>
          <w:rFonts w:ascii="Calibri" w:eastAsia="Calibri" w:hAnsi="Calibri" w:cs="Calibri"/>
          <w:color w:val="000000"/>
          <w:sz w:val="20"/>
          <w:szCs w:val="20"/>
        </w:rPr>
      </w:pPr>
    </w:p>
    <w:p w14:paraId="7B88BC87"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47B578DC"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17EA7D65"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19D94DA2"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4083ED55"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2034B989"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03BDBBFA" w14:textId="77777777"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pPr>
    </w:p>
    <w:p w14:paraId="20E1193A" w14:textId="77777777"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pPr>
    </w:p>
    <w:p w14:paraId="6AE57702" w14:textId="170A964D"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sectPr w:rsidR="00230D4E" w:rsidSect="00B12CCE">
          <w:pgSz w:w="16838" w:h="11906" w:orient="landscape"/>
          <w:pgMar w:top="1134" w:right="1134" w:bottom="1701" w:left="1701" w:header="709" w:footer="709" w:gutter="0"/>
          <w:pgNumType w:start="1"/>
          <w:cols w:space="720"/>
          <w:docGrid w:linePitch="326"/>
        </w:sectPr>
      </w:pPr>
      <w:r>
        <w:rPr>
          <w:rFonts w:ascii="Calibri" w:eastAsia="Calibri" w:hAnsi="Calibri" w:cs="Calibri"/>
          <w:color w:val="000000"/>
          <w:sz w:val="20"/>
          <w:szCs w:val="20"/>
        </w:rPr>
        <w:br w:type="textWrapping" w:clear="all"/>
      </w:r>
    </w:p>
    <w:p w14:paraId="3E3B05C5" w14:textId="79591E1F"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sectPr w:rsidR="00230D4E" w:rsidSect="00230D4E">
          <w:type w:val="continuous"/>
          <w:pgSz w:w="16838" w:h="11906" w:orient="landscape"/>
          <w:pgMar w:top="1134" w:right="1134" w:bottom="1701" w:left="1701" w:header="709" w:footer="709" w:gutter="0"/>
          <w:pgNumType w:start="1"/>
          <w:cols w:space="720"/>
          <w:docGrid w:linePitch="326"/>
        </w:sectPr>
      </w:pPr>
    </w:p>
    <w:p w14:paraId="223A67CE" w14:textId="77777777"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roofErr w:type="spellStart"/>
      <w:r w:rsidRPr="00B630BE">
        <w:rPr>
          <w:rFonts w:eastAsia="Calibri"/>
          <w:color w:val="000000"/>
          <w:sz w:val="20"/>
          <w:szCs w:val="20"/>
        </w:rPr>
        <w:lastRenderedPageBreak/>
        <w:t>Fenglian</w:t>
      </w:r>
      <w:proofErr w:type="spellEnd"/>
      <w:r w:rsidRPr="00B630BE">
        <w:rPr>
          <w:rFonts w:eastAsia="Calibri"/>
          <w:color w:val="000000"/>
          <w:sz w:val="20"/>
          <w:szCs w:val="20"/>
        </w:rPr>
        <w:t xml:space="preserve"> et al. (2019) </w:t>
      </w:r>
      <w:proofErr w:type="spellStart"/>
      <w:r w:rsidRPr="00B630BE">
        <w:rPr>
          <w:rFonts w:eastAsia="Calibri"/>
          <w:color w:val="000000"/>
          <w:sz w:val="20"/>
          <w:szCs w:val="20"/>
        </w:rPr>
        <w:t>synthesized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Siberian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characterization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through</w:t>
      </w:r>
      <w:proofErr w:type="spellEnd"/>
      <w:r w:rsidRPr="00B630BE">
        <w:rPr>
          <w:rFonts w:eastAsia="Calibri"/>
          <w:color w:val="000000"/>
          <w:sz w:val="20"/>
          <w:szCs w:val="20"/>
        </w:rPr>
        <w:t xml:space="preserve"> UV-vis, FTIR,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TEM </w:t>
      </w:r>
      <w:proofErr w:type="spellStart"/>
      <w:r w:rsidRPr="00B630BE">
        <w:rPr>
          <w:rFonts w:eastAsia="Calibri"/>
          <w:color w:val="000000"/>
          <w:sz w:val="20"/>
          <w:szCs w:val="20"/>
        </w:rPr>
        <w:t>revealed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formation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spherical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average</w:t>
      </w:r>
      <w:proofErr w:type="spellEnd"/>
      <w:r w:rsidRPr="00B630BE">
        <w:rPr>
          <w:rFonts w:eastAsia="Calibri"/>
          <w:color w:val="000000"/>
          <w:sz w:val="20"/>
          <w:szCs w:val="20"/>
        </w:rPr>
        <w:t xml:space="preserve"> </w:t>
      </w:r>
      <w:proofErr w:type="spellStart"/>
      <w:r w:rsidRPr="00B630BE">
        <w:rPr>
          <w:rFonts w:eastAsia="Calibri"/>
          <w:color w:val="000000"/>
          <w:sz w:val="20"/>
          <w:szCs w:val="20"/>
        </w:rPr>
        <w:t>diameter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200 </w:t>
      </w:r>
      <w:proofErr w:type="spellStart"/>
      <w:r w:rsidRPr="00B630BE">
        <w:rPr>
          <w:rFonts w:eastAsia="Calibri"/>
          <w:color w:val="000000"/>
          <w:sz w:val="20"/>
          <w:szCs w:val="20"/>
        </w:rPr>
        <w:t>nm</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encapsulated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polyphenolic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compounds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anticancer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properties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melanoma </w:t>
      </w:r>
      <w:proofErr w:type="spellStart"/>
      <w:r w:rsidRPr="00B630BE">
        <w:rPr>
          <w:rFonts w:eastAsia="Calibri"/>
          <w:color w:val="000000"/>
          <w:sz w:val="20"/>
          <w:szCs w:val="20"/>
        </w:rPr>
        <w:t>cells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studied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cytotoxicity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obtained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minimal</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report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further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studies</w:t>
      </w:r>
      <w:proofErr w:type="spellEnd"/>
      <w:r w:rsidRPr="00B630BE">
        <w:rPr>
          <w:rFonts w:eastAsia="Calibri"/>
          <w:color w:val="000000"/>
          <w:sz w:val="20"/>
          <w:szCs w:val="20"/>
        </w:rPr>
        <w:t xml:space="preserve"> are </w:t>
      </w:r>
      <w:proofErr w:type="spellStart"/>
      <w:r w:rsidRPr="00B630BE">
        <w:rPr>
          <w:rFonts w:eastAsia="Calibri"/>
          <w:color w:val="000000"/>
          <w:sz w:val="20"/>
          <w:szCs w:val="20"/>
        </w:rPr>
        <w:t>needed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particularly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evaluate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metallic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human</w:t>
      </w:r>
      <w:proofErr w:type="spellEnd"/>
      <w:r w:rsidRPr="00B630BE">
        <w:rPr>
          <w:rFonts w:eastAsia="Calibri"/>
          <w:color w:val="000000"/>
          <w:sz w:val="20"/>
          <w:szCs w:val="20"/>
        </w:rPr>
        <w:t xml:space="preserve"> body.</w:t>
      </w:r>
    </w:p>
    <w:p w14:paraId="35AD040E" w14:textId="77777777"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
    <w:p w14:paraId="01339721" w14:textId="49816C18" w:rsidR="00230D4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w:t>
      </w:r>
      <w:proofErr w:type="spellStart"/>
      <w:r w:rsidRPr="00B630BE">
        <w:rPr>
          <w:rFonts w:eastAsia="Calibri"/>
          <w:color w:val="000000"/>
          <w:sz w:val="20"/>
          <w:szCs w:val="20"/>
        </w:rPr>
        <w:t>studies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Singh et al. (2015),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successfully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synthesized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without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additional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stabilizing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agents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obtained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ranged</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size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10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30 </w:t>
      </w:r>
      <w:proofErr w:type="spellStart"/>
      <w:r w:rsidRPr="00B630BE">
        <w:rPr>
          <w:rFonts w:eastAsia="Calibri"/>
          <w:color w:val="000000"/>
          <w:sz w:val="20"/>
          <w:szCs w:val="20"/>
        </w:rPr>
        <w:t>nm</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monodispersity</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research</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obtained</w:t>
      </w:r>
      <w:proofErr w:type="spellEnd"/>
      <w:r w:rsidRPr="00B630BE">
        <w:rPr>
          <w:rFonts w:eastAsia="Calibri"/>
          <w:color w:val="000000"/>
          <w:sz w:val="20"/>
          <w:szCs w:val="20"/>
        </w:rPr>
        <w:t xml:space="preserve"> NMPs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considered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after</w:t>
      </w:r>
      <w:proofErr w:type="spellEnd"/>
      <w:r w:rsidRPr="00B630BE">
        <w:rPr>
          <w:rFonts w:eastAsia="Calibri"/>
          <w:color w:val="000000"/>
          <w:sz w:val="20"/>
          <w:szCs w:val="20"/>
        </w:rPr>
        <w:t xml:space="preserve"> 1 </w:t>
      </w:r>
      <w:proofErr w:type="spellStart"/>
      <w:r w:rsidRPr="00B630BE">
        <w:rPr>
          <w:rFonts w:eastAsia="Calibri"/>
          <w:color w:val="000000"/>
          <w:sz w:val="20"/>
          <w:szCs w:val="20"/>
        </w:rPr>
        <w:t>month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as UV-Vis </w:t>
      </w:r>
      <w:proofErr w:type="spellStart"/>
      <w:r w:rsidRPr="00B630BE">
        <w:rPr>
          <w:rFonts w:eastAsia="Calibri"/>
          <w:color w:val="000000"/>
          <w:sz w:val="20"/>
          <w:szCs w:val="20"/>
        </w:rPr>
        <w:t>spectra</w:t>
      </w:r>
      <w:proofErr w:type="spellEnd"/>
      <w:r w:rsidRPr="00B630BE">
        <w:rPr>
          <w:rFonts w:eastAsia="Calibri"/>
          <w:color w:val="000000"/>
          <w:sz w:val="20"/>
          <w:szCs w:val="20"/>
        </w:rPr>
        <w:t xml:space="preserve"> </w:t>
      </w:r>
      <w:proofErr w:type="spellStart"/>
      <w:r w:rsidRPr="00B630BE">
        <w:rPr>
          <w:rFonts w:eastAsia="Calibri"/>
          <w:color w:val="000000"/>
          <w:sz w:val="20"/>
          <w:szCs w:val="20"/>
        </w:rPr>
        <w:t>showed</w:t>
      </w:r>
      <w:proofErr w:type="spellEnd"/>
      <w:r w:rsidRPr="00B630BE">
        <w:rPr>
          <w:rFonts w:eastAsia="Calibri"/>
          <w:color w:val="000000"/>
          <w:sz w:val="20"/>
          <w:szCs w:val="20"/>
        </w:rPr>
        <w:t xml:space="preserve"> no </w:t>
      </w:r>
      <w:proofErr w:type="spellStart"/>
      <w:r w:rsidRPr="00B630BE">
        <w:rPr>
          <w:rFonts w:eastAsia="Calibri"/>
          <w:color w:val="000000"/>
          <w:sz w:val="20"/>
          <w:szCs w:val="20"/>
        </w:rPr>
        <w:t>significant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changes</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bands </w:t>
      </w:r>
      <w:proofErr w:type="spellStart"/>
      <w:r w:rsidRPr="00B630BE">
        <w:rPr>
          <w:rFonts w:eastAsia="Calibri"/>
          <w:color w:val="000000"/>
          <w:sz w:val="20"/>
          <w:szCs w:val="20"/>
        </w:rPr>
        <w:t>associated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NMPs. The antimicrobial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evaluated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r w:rsidRPr="0091120C">
        <w:rPr>
          <w:rFonts w:eastAsia="Calibri"/>
          <w:i/>
          <w:iCs/>
          <w:color w:val="000000"/>
          <w:sz w:val="20"/>
          <w:szCs w:val="20"/>
        </w:rPr>
        <w:t>E. coli,</w:t>
      </w:r>
      <w:r w:rsidRPr="00B630BE">
        <w:rPr>
          <w:rFonts w:eastAsia="Calibri"/>
          <w:color w:val="000000"/>
          <w:sz w:val="20"/>
          <w:szCs w:val="20"/>
        </w:rPr>
        <w:t xml:space="preserve"> </w:t>
      </w:r>
      <w:r w:rsidRPr="0091120C">
        <w:rPr>
          <w:rFonts w:eastAsia="Calibri"/>
          <w:i/>
          <w:iCs/>
          <w:color w:val="000000"/>
          <w:sz w:val="20"/>
          <w:szCs w:val="20"/>
        </w:rPr>
        <w:t xml:space="preserve">S. </w:t>
      </w:r>
      <w:proofErr w:type="spellStart"/>
      <w:r w:rsidRPr="0091120C">
        <w:rPr>
          <w:rFonts w:eastAsia="Calibri"/>
          <w:i/>
          <w:iCs/>
          <w:color w:val="000000"/>
          <w:sz w:val="20"/>
          <w:szCs w:val="20"/>
        </w:rPr>
        <w:t>enterica</w:t>
      </w:r>
      <w:proofErr w:type="spellEnd"/>
      <w:r w:rsidRPr="00B630BE">
        <w:rPr>
          <w:rFonts w:eastAsia="Calibri"/>
          <w:color w:val="000000"/>
          <w:sz w:val="20"/>
          <w:szCs w:val="20"/>
        </w:rPr>
        <w:t xml:space="preserve">, </w:t>
      </w:r>
      <w:proofErr w:type="spellStart"/>
      <w:r w:rsidRPr="0091120C">
        <w:rPr>
          <w:rFonts w:eastAsia="Calibri"/>
          <w:i/>
          <w:iCs/>
          <w:color w:val="000000"/>
          <w:sz w:val="20"/>
          <w:szCs w:val="20"/>
        </w:rPr>
        <w:t>Vibrio</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parahaemolyticus</w:t>
      </w:r>
      <w:proofErr w:type="spellEnd"/>
      <w:r w:rsidRPr="00B630BE">
        <w:rPr>
          <w:rFonts w:eastAsia="Calibri"/>
          <w:color w:val="000000"/>
          <w:sz w:val="20"/>
          <w:szCs w:val="20"/>
        </w:rPr>
        <w:t xml:space="preserve">, </w:t>
      </w:r>
      <w:r w:rsidRPr="0091120C">
        <w:rPr>
          <w:rFonts w:eastAsia="Calibri"/>
          <w:i/>
          <w:iCs/>
          <w:color w:val="000000"/>
          <w:sz w:val="20"/>
          <w:szCs w:val="20"/>
        </w:rPr>
        <w:t>S. aureus</w:t>
      </w:r>
      <w:r w:rsidRPr="00B630BE">
        <w:rPr>
          <w:rFonts w:eastAsia="Calibri"/>
          <w:color w:val="000000"/>
          <w:sz w:val="20"/>
          <w:szCs w:val="20"/>
        </w:rPr>
        <w:t xml:space="preserve">, </w:t>
      </w:r>
      <w:r w:rsidRPr="0091120C">
        <w:rPr>
          <w:rFonts w:eastAsia="Calibri"/>
          <w:i/>
          <w:iCs/>
          <w:color w:val="000000"/>
          <w:sz w:val="20"/>
          <w:szCs w:val="20"/>
        </w:rPr>
        <w:t xml:space="preserve">Bacillus </w:t>
      </w:r>
      <w:proofErr w:type="spellStart"/>
      <w:r w:rsidRPr="0091120C">
        <w:rPr>
          <w:rFonts w:eastAsia="Calibri"/>
          <w:i/>
          <w:iCs/>
          <w:color w:val="000000"/>
          <w:sz w:val="20"/>
          <w:szCs w:val="20"/>
        </w:rPr>
        <w:t>anthracis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r w:rsidRPr="0091120C">
        <w:rPr>
          <w:rFonts w:eastAsia="Calibri"/>
          <w:i/>
          <w:iCs/>
          <w:color w:val="000000"/>
          <w:sz w:val="20"/>
          <w:szCs w:val="20"/>
        </w:rPr>
        <w:t xml:space="preserve">Bacillus </w:t>
      </w:r>
      <w:proofErr w:type="spellStart"/>
      <w:r w:rsidRPr="0091120C">
        <w:rPr>
          <w:rFonts w:eastAsia="Calibri"/>
          <w:i/>
          <w:iCs/>
          <w:color w:val="000000"/>
          <w:sz w:val="20"/>
          <w:szCs w:val="20"/>
        </w:rPr>
        <w:t>cereus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also</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demonstrated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potential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inhibit</w:t>
      </w:r>
      <w:proofErr w:type="spellEnd"/>
      <w:r w:rsidRPr="00B630BE">
        <w:rPr>
          <w:rFonts w:eastAsia="Calibri"/>
          <w:color w:val="000000"/>
          <w:sz w:val="20"/>
          <w:szCs w:val="20"/>
        </w:rPr>
        <w:t xml:space="preserve"> </w:t>
      </w:r>
      <w:proofErr w:type="spellStart"/>
      <w:r w:rsidRPr="00B630BE">
        <w:rPr>
          <w:rFonts w:eastAsia="Calibri"/>
          <w:color w:val="000000"/>
          <w:sz w:val="20"/>
          <w:szCs w:val="20"/>
        </w:rPr>
        <w:t>biofilm</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formation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r w:rsidRPr="00B630BE">
        <w:rPr>
          <w:rFonts w:eastAsia="Calibri"/>
          <w:i/>
          <w:iCs/>
          <w:color w:val="000000"/>
          <w:sz w:val="20"/>
          <w:szCs w:val="20"/>
        </w:rPr>
        <w:t>S. aureus</w:t>
      </w:r>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r w:rsidRPr="00B630BE">
        <w:rPr>
          <w:rFonts w:eastAsia="Calibri"/>
          <w:i/>
          <w:iCs/>
          <w:color w:val="000000"/>
          <w:sz w:val="20"/>
          <w:szCs w:val="20"/>
        </w:rPr>
        <w:t>P. aeruginosa</w:t>
      </w:r>
      <w:r w:rsidRPr="00B630BE">
        <w:rPr>
          <w:rFonts w:eastAsia="Calibri"/>
          <w:color w:val="000000"/>
          <w:sz w:val="20"/>
          <w:szCs w:val="20"/>
        </w:rPr>
        <w:t>.</w:t>
      </w:r>
    </w:p>
    <w:p w14:paraId="12667DAC" w14:textId="1D72A3BE"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a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Castro-</w:t>
      </w:r>
      <w:proofErr w:type="spellStart"/>
      <w:r w:rsidRPr="00B630BE">
        <w:rPr>
          <w:rFonts w:eastAsia="Calibri"/>
          <w:color w:val="000000"/>
          <w:sz w:val="20"/>
          <w:szCs w:val="20"/>
        </w:rPr>
        <w:t>Aceituno</w:t>
      </w:r>
      <w:proofErr w:type="spellEnd"/>
      <w:r w:rsidRPr="00B630BE">
        <w:rPr>
          <w:rFonts w:eastAsia="Calibri"/>
          <w:color w:val="000000"/>
          <w:sz w:val="20"/>
          <w:szCs w:val="20"/>
        </w:rPr>
        <w:t xml:space="preserve"> et al. (2016),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investigated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anticancer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potential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synthesized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91120C">
        <w:rPr>
          <w:rFonts w:eastAsia="Calibri"/>
          <w:i/>
          <w:iCs/>
          <w:color w:val="000000"/>
          <w:sz w:val="20"/>
          <w:szCs w:val="20"/>
        </w:rPr>
        <w:t>Dendropanax</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morbifera</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Léveille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assessed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their</w:t>
      </w:r>
      <w:proofErr w:type="spellEnd"/>
      <w:r w:rsidRPr="00B630BE">
        <w:rPr>
          <w:rFonts w:eastAsia="Calibri"/>
          <w:color w:val="000000"/>
          <w:sz w:val="20"/>
          <w:szCs w:val="20"/>
        </w:rPr>
        <w:t xml:space="preserve"> </w:t>
      </w:r>
      <w:proofErr w:type="spellStart"/>
      <w:r w:rsidRPr="00B630BE">
        <w:rPr>
          <w:rFonts w:eastAsia="Calibri"/>
          <w:color w:val="000000"/>
          <w:sz w:val="20"/>
          <w:szCs w:val="20"/>
        </w:rPr>
        <w:t>cytotoxicity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However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did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not</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provide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specific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details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regarding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characterization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nanomaterial. The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examined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various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cancer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w:t>
      </w:r>
      <w:proofErr w:type="spellEnd"/>
      <w:r w:rsidRPr="00B630BE">
        <w:rPr>
          <w:rFonts w:eastAsia="Calibri"/>
          <w:color w:val="000000"/>
          <w:sz w:val="20"/>
          <w:szCs w:val="20"/>
        </w:rPr>
        <w:t xml:space="preserve"> </w:t>
      </w:r>
      <w:proofErr w:type="spellStart"/>
      <w:r w:rsidRPr="00B630BE">
        <w:rPr>
          <w:rFonts w:eastAsia="Calibri"/>
          <w:color w:val="000000"/>
          <w:sz w:val="20"/>
          <w:szCs w:val="20"/>
        </w:rPr>
        <w:t>types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observed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reduced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w:t>
      </w:r>
      <w:proofErr w:type="spellEnd"/>
      <w:r w:rsidRPr="00B630BE">
        <w:rPr>
          <w:rFonts w:eastAsia="Calibri"/>
          <w:color w:val="000000"/>
          <w:sz w:val="20"/>
          <w:szCs w:val="20"/>
        </w:rPr>
        <w:t xml:space="preserve"> </w:t>
      </w:r>
      <w:proofErr w:type="spellStart"/>
      <w:r w:rsidRPr="00B630BE">
        <w:rPr>
          <w:rFonts w:eastAsia="Calibri"/>
          <w:color w:val="000000"/>
          <w:sz w:val="20"/>
          <w:szCs w:val="20"/>
        </w:rPr>
        <w:t>viability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inhibited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migration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induced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cellular</w:t>
      </w:r>
      <w:proofErr w:type="spellEnd"/>
      <w:r w:rsidRPr="00B630BE">
        <w:rPr>
          <w:rFonts w:eastAsia="Calibri"/>
          <w:color w:val="000000"/>
          <w:sz w:val="20"/>
          <w:szCs w:val="20"/>
        </w:rPr>
        <w:t xml:space="preserve"> </w:t>
      </w:r>
      <w:proofErr w:type="spellStart"/>
      <w:r w:rsidRPr="00B630BE">
        <w:rPr>
          <w:rFonts w:eastAsia="Calibri"/>
          <w:color w:val="000000"/>
          <w:sz w:val="20"/>
          <w:szCs w:val="20"/>
        </w:rPr>
        <w:t>apoptosis</w:t>
      </w:r>
      <w:proofErr w:type="spellEnd"/>
      <w:r w:rsidRPr="00B630BE">
        <w:rPr>
          <w:rFonts w:eastAsia="Calibri"/>
          <w:color w:val="000000"/>
          <w:sz w:val="20"/>
          <w:szCs w:val="20"/>
        </w:rPr>
        <w:t xml:space="preserve">. At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researchers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suggested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mechanism</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action</w:t>
      </w:r>
      <w:proofErr w:type="spellEnd"/>
      <w:r w:rsidRPr="00B630BE">
        <w:rPr>
          <w:rFonts w:eastAsia="Calibri"/>
          <w:color w:val="000000"/>
          <w:sz w:val="20"/>
          <w:szCs w:val="20"/>
        </w:rPr>
        <w:t xml:space="preserve"> still requires </w:t>
      </w:r>
      <w:proofErr w:type="spellStart"/>
      <w:r w:rsidRPr="00B630BE">
        <w:rPr>
          <w:rFonts w:eastAsia="Calibri"/>
          <w:color w:val="000000"/>
          <w:sz w:val="20"/>
          <w:szCs w:val="20"/>
        </w:rPr>
        <w:t>further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investigation</w:t>
      </w:r>
      <w:proofErr w:type="spellEnd"/>
      <w:r w:rsidRPr="00B630BE">
        <w:rPr>
          <w:rFonts w:eastAsia="Calibri"/>
          <w:color w:val="000000"/>
          <w:sz w:val="20"/>
          <w:szCs w:val="20"/>
        </w:rPr>
        <w:t>.</w:t>
      </w:r>
    </w:p>
    <w:p w14:paraId="12067992" w14:textId="77777777" w:rsid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Jiménez-Peres et al. (2017) </w:t>
      </w:r>
      <w:proofErr w:type="spellStart"/>
      <w:r w:rsidRPr="00B630BE">
        <w:rPr>
          <w:rFonts w:eastAsia="Calibri"/>
          <w:color w:val="000000"/>
          <w:sz w:val="20"/>
          <w:szCs w:val="20"/>
        </w:rPr>
        <w:t>investigated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various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properties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including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antioxidant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moisture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retention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capacity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mushroom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tyrosinase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melanin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observed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antioxidant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properties</w:t>
      </w:r>
      <w:proofErr w:type="spellEnd"/>
      <w:r w:rsidRPr="00B630BE">
        <w:rPr>
          <w:rFonts w:eastAsia="Calibri"/>
          <w:color w:val="000000"/>
          <w:sz w:val="20"/>
          <w:szCs w:val="20"/>
        </w:rPr>
        <w:t xml:space="preserve"> are </w:t>
      </w:r>
      <w:proofErr w:type="spellStart"/>
      <w:r w:rsidRPr="00B630BE">
        <w:rPr>
          <w:rFonts w:eastAsia="Calibri"/>
          <w:color w:val="000000"/>
          <w:sz w:val="20"/>
          <w:szCs w:val="20"/>
        </w:rPr>
        <w:t>enhanced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presence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which</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stabilizes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particles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moisturizing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properties</w:t>
      </w:r>
      <w:proofErr w:type="spellEnd"/>
      <w:r w:rsidRPr="00B630BE">
        <w:rPr>
          <w:rFonts w:eastAsia="Calibri"/>
          <w:color w:val="000000"/>
          <w:sz w:val="20"/>
          <w:szCs w:val="20"/>
        </w:rPr>
        <w:t xml:space="preserve"> similar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glycerin</w:t>
      </w:r>
      <w:proofErr w:type="spellEnd"/>
      <w:r w:rsidRPr="00B630BE">
        <w:rPr>
          <w:rFonts w:eastAsia="Calibri"/>
          <w:color w:val="000000"/>
          <w:sz w:val="20"/>
          <w:szCs w:val="20"/>
        </w:rPr>
        <w:t xml:space="preserve"> standard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also</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demonstrated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inhibitory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proofErr w:type="spellStart"/>
      <w:r w:rsidRPr="00B630BE">
        <w:rPr>
          <w:rFonts w:eastAsia="Calibri"/>
          <w:color w:val="000000"/>
          <w:sz w:val="20"/>
          <w:szCs w:val="20"/>
        </w:rPr>
        <w:t>mushroom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tyrosinase</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results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indicated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could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be</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promising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multifunctional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component</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cosmetics</w:t>
      </w:r>
      <w:proofErr w:type="spellEnd"/>
      <w:r w:rsidRPr="00B630BE">
        <w:rPr>
          <w:rFonts w:eastAsia="Calibri"/>
          <w:color w:val="000000"/>
          <w:sz w:val="20"/>
          <w:szCs w:val="20"/>
        </w:rPr>
        <w:t>.</w:t>
      </w:r>
    </w:p>
    <w:p w14:paraId="32AB83F2" w14:textId="5D43FEC1"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research</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conducted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Yugay</w:t>
      </w:r>
      <w:proofErr w:type="spellEnd"/>
      <w:r w:rsidRPr="00B630BE">
        <w:rPr>
          <w:rFonts w:eastAsia="Calibri"/>
          <w:color w:val="000000"/>
          <w:sz w:val="20"/>
          <w:szCs w:val="20"/>
        </w:rPr>
        <w:t xml:space="preserve"> et al. (2021), 24 hours </w:t>
      </w:r>
      <w:proofErr w:type="spellStart"/>
      <w:r w:rsidRPr="00B630BE">
        <w:rPr>
          <w:rFonts w:eastAsia="Calibri"/>
          <w:color w:val="000000"/>
          <w:sz w:val="20"/>
          <w:szCs w:val="20"/>
        </w:rPr>
        <w:t>at</w:t>
      </w:r>
      <w:proofErr w:type="spellEnd"/>
      <w:r w:rsidRPr="00B630BE">
        <w:rPr>
          <w:rFonts w:eastAsia="Calibri"/>
          <w:color w:val="000000"/>
          <w:sz w:val="20"/>
          <w:szCs w:val="20"/>
        </w:rPr>
        <w:t xml:space="preserve"> 25 °C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required</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formation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After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physicochemical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characterization</w:t>
      </w:r>
      <w:proofErr w:type="spellEnd"/>
      <w:r w:rsidRPr="00B630BE">
        <w:rPr>
          <w:rFonts w:eastAsia="Calibri"/>
          <w:color w:val="000000"/>
          <w:sz w:val="20"/>
          <w:szCs w:val="20"/>
        </w:rPr>
        <w:t xml:space="preserve">, it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determined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spherical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sizes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ranging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50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90 </w:t>
      </w:r>
      <w:proofErr w:type="spellStart"/>
      <w:r w:rsidRPr="00B630BE">
        <w:rPr>
          <w:rFonts w:eastAsia="Calibri"/>
          <w:color w:val="000000"/>
          <w:sz w:val="20"/>
          <w:szCs w:val="20"/>
        </w:rPr>
        <w:t>nm</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their</w:t>
      </w:r>
      <w:proofErr w:type="spellEnd"/>
      <w:r w:rsidRPr="00B630BE">
        <w:rPr>
          <w:rFonts w:eastAsia="Calibri"/>
          <w:color w:val="000000"/>
          <w:sz w:val="20"/>
          <w:szCs w:val="20"/>
        </w:rPr>
        <w:t xml:space="preserve"> surfaces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protected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compounds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derived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demonstrating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ability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reduce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stabilize</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metallic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nanomaterials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obtained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antifungal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r w:rsidRPr="0091120C">
        <w:rPr>
          <w:rFonts w:eastAsia="Calibri"/>
          <w:i/>
          <w:iCs/>
          <w:color w:val="000000"/>
          <w:sz w:val="20"/>
          <w:szCs w:val="20"/>
        </w:rPr>
        <w:t xml:space="preserve">F. </w:t>
      </w:r>
      <w:proofErr w:type="spellStart"/>
      <w:r w:rsidRPr="0091120C">
        <w:rPr>
          <w:rFonts w:eastAsia="Calibri"/>
          <w:i/>
          <w:iCs/>
          <w:color w:val="000000"/>
          <w:sz w:val="20"/>
          <w:szCs w:val="20"/>
        </w:rPr>
        <w:t>graminearum</w:t>
      </w:r>
      <w:proofErr w:type="spellEnd"/>
      <w:r w:rsidRPr="0091120C">
        <w:rPr>
          <w:rFonts w:eastAsia="Calibri"/>
          <w:i/>
          <w:iCs/>
          <w:color w:val="000000"/>
          <w:sz w:val="20"/>
          <w:szCs w:val="20"/>
        </w:rPr>
        <w:t xml:space="preserve">, F. </w:t>
      </w:r>
      <w:proofErr w:type="spellStart"/>
      <w:r w:rsidRPr="0091120C">
        <w:rPr>
          <w:rFonts w:eastAsia="Calibri"/>
          <w:i/>
          <w:iCs/>
          <w:color w:val="000000"/>
          <w:sz w:val="20"/>
          <w:szCs w:val="20"/>
        </w:rPr>
        <w:t>avenaceum</w:t>
      </w:r>
      <w:proofErr w:type="spellEnd"/>
      <w:r w:rsidRPr="0091120C">
        <w:rPr>
          <w:rFonts w:eastAsia="Calibri"/>
          <w:i/>
          <w:iCs/>
          <w:color w:val="000000"/>
          <w:sz w:val="20"/>
          <w:szCs w:val="20"/>
        </w:rPr>
        <w:t xml:space="preserve">, F. </w:t>
      </w:r>
      <w:proofErr w:type="spellStart"/>
      <w:r w:rsidRPr="0091120C">
        <w:rPr>
          <w:rFonts w:eastAsia="Calibri"/>
          <w:i/>
          <w:iCs/>
          <w:color w:val="000000"/>
          <w:sz w:val="20"/>
          <w:szCs w:val="20"/>
        </w:rPr>
        <w:t>poae</w:t>
      </w:r>
      <w:proofErr w:type="spellEnd"/>
      <w:r w:rsidRPr="0091120C">
        <w:rPr>
          <w:rFonts w:eastAsia="Calibri"/>
          <w:i/>
          <w:iCs/>
          <w:color w:val="000000"/>
          <w:sz w:val="20"/>
          <w:szCs w:val="20"/>
        </w:rPr>
        <w:t xml:space="preserve">, </w:t>
      </w:r>
      <w:proofErr w:type="spellStart"/>
      <w:r w:rsidRPr="0091120C">
        <w:rPr>
          <w:rFonts w:eastAsia="Calibri"/>
          <w:color w:val="000000"/>
          <w:sz w:val="20"/>
          <w:szCs w:val="20"/>
        </w:rPr>
        <w:t>and</w:t>
      </w:r>
      <w:proofErr w:type="spellEnd"/>
      <w:r w:rsidRPr="0091120C">
        <w:rPr>
          <w:rFonts w:eastAsia="Calibri"/>
          <w:i/>
          <w:iCs/>
          <w:color w:val="000000"/>
          <w:sz w:val="20"/>
          <w:szCs w:val="20"/>
        </w:rPr>
        <w:t xml:space="preserve"> F. </w:t>
      </w:r>
      <w:proofErr w:type="spellStart"/>
      <w:r w:rsidRPr="0091120C">
        <w:rPr>
          <w:rFonts w:eastAsia="Calibri"/>
          <w:i/>
          <w:iCs/>
          <w:color w:val="000000"/>
          <w:sz w:val="20"/>
          <w:szCs w:val="20"/>
        </w:rPr>
        <w:t>sporotrichioides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Additionally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demonstrated</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fungistatic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inhibiting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fungal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growth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wheat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grains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preventing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issues</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plant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growth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morphology</w:t>
      </w:r>
      <w:proofErr w:type="spellEnd"/>
      <w:r w:rsidRPr="00B630BE">
        <w:rPr>
          <w:rFonts w:eastAsia="Calibri"/>
          <w:color w:val="000000"/>
          <w:sz w:val="20"/>
          <w:szCs w:val="20"/>
        </w:rPr>
        <w:t>.</w:t>
      </w:r>
    </w:p>
    <w:p w14:paraId="1EA28E90" w14:textId="77777777" w:rsid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Wang et al. (2019), </w:t>
      </w:r>
      <w:proofErr w:type="spellStart"/>
      <w:r w:rsidRPr="00B630BE">
        <w:rPr>
          <w:rFonts w:eastAsia="Calibri"/>
          <w:color w:val="000000"/>
          <w:sz w:val="20"/>
          <w:szCs w:val="20"/>
        </w:rPr>
        <w:t>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ethanolic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91120C">
        <w:rPr>
          <w:rFonts w:eastAsia="Calibri"/>
          <w:i/>
          <w:iCs/>
          <w:color w:val="000000"/>
          <w:sz w:val="20"/>
          <w:szCs w:val="20"/>
        </w:rPr>
        <w:t>Panax</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notoginseng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leaves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synthesize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AuNPs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obtained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remained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stable</w:t>
      </w:r>
      <w:proofErr w:type="spellEnd"/>
      <w:r w:rsidRPr="00B630BE">
        <w:rPr>
          <w:rFonts w:eastAsia="Calibri"/>
          <w:color w:val="000000"/>
          <w:sz w:val="20"/>
          <w:szCs w:val="20"/>
        </w:rPr>
        <w:t xml:space="preserve"> for 30 </w:t>
      </w:r>
      <w:proofErr w:type="spellStart"/>
      <w:r w:rsidRPr="00B630BE">
        <w:rPr>
          <w:rFonts w:eastAsia="Calibri"/>
          <w:color w:val="000000"/>
          <w:sz w:val="20"/>
          <w:szCs w:val="20"/>
        </w:rPr>
        <w:t>days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no </w:t>
      </w:r>
      <w:proofErr w:type="spellStart"/>
      <w:r w:rsidRPr="00B630BE">
        <w:rPr>
          <w:rFonts w:eastAsia="Calibri"/>
          <w:color w:val="000000"/>
          <w:sz w:val="20"/>
          <w:szCs w:val="20"/>
        </w:rPr>
        <w:t>significant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changes</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UV-Vis data. The </w:t>
      </w:r>
      <w:proofErr w:type="spellStart"/>
      <w:r w:rsidRPr="00B630BE">
        <w:rPr>
          <w:rFonts w:eastAsia="Calibri"/>
          <w:color w:val="000000"/>
          <w:sz w:val="20"/>
          <w:szCs w:val="20"/>
        </w:rPr>
        <w:t>observed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morphology</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included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spherical</w:t>
      </w:r>
      <w:proofErr w:type="spellEnd"/>
      <w:r w:rsidRPr="00B630BE">
        <w:rPr>
          <w:rFonts w:eastAsia="Calibri"/>
          <w:color w:val="000000"/>
          <w:sz w:val="20"/>
          <w:szCs w:val="20"/>
        </w:rPr>
        <w:t xml:space="preserve">, oval, hexagonal,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triangular shapes,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average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sizes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ranging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80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12 </w:t>
      </w:r>
      <w:proofErr w:type="spellStart"/>
      <w:r w:rsidRPr="00B630BE">
        <w:rPr>
          <w:rFonts w:eastAsia="Calibri"/>
          <w:color w:val="000000"/>
          <w:sz w:val="20"/>
          <w:szCs w:val="20"/>
        </w:rPr>
        <w:t>nm</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infrared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spectroscopy</w:t>
      </w:r>
      <w:proofErr w:type="spellEnd"/>
      <w:r w:rsidRPr="00B630BE">
        <w:rPr>
          <w:rFonts w:eastAsia="Calibri"/>
          <w:color w:val="000000"/>
          <w:sz w:val="20"/>
          <w:szCs w:val="20"/>
        </w:rPr>
        <w:t xml:space="preserve">, </w:t>
      </w:r>
      <w:proofErr w:type="spellStart"/>
      <w:r w:rsidRPr="00B630BE">
        <w:rPr>
          <w:rFonts w:eastAsia="Calibri"/>
          <w:color w:val="000000"/>
          <w:sz w:val="20"/>
          <w:szCs w:val="20"/>
        </w:rPr>
        <w:t>various</w:t>
      </w:r>
      <w:proofErr w:type="spellEnd"/>
      <w:r w:rsidRPr="00B630BE">
        <w:rPr>
          <w:rFonts w:eastAsia="Calibri"/>
          <w:color w:val="000000"/>
          <w:sz w:val="20"/>
          <w:szCs w:val="20"/>
        </w:rPr>
        <w:t xml:space="preserve"> bands </w:t>
      </w:r>
      <w:proofErr w:type="spellStart"/>
      <w:r w:rsidRPr="00B630BE">
        <w:rPr>
          <w:rFonts w:eastAsia="Calibri"/>
          <w:color w:val="000000"/>
          <w:sz w:val="20"/>
          <w:szCs w:val="20"/>
        </w:rPr>
        <w:t>related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compounds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present</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r w:rsidRPr="0091120C">
        <w:rPr>
          <w:rFonts w:eastAsia="Calibri"/>
          <w:i/>
          <w:iCs/>
          <w:color w:val="000000"/>
          <w:sz w:val="20"/>
          <w:szCs w:val="20"/>
        </w:rPr>
        <w:t xml:space="preserve">P. </w:t>
      </w:r>
      <w:proofErr w:type="spellStart"/>
      <w:r w:rsidRPr="0091120C">
        <w:rPr>
          <w:rFonts w:eastAsia="Calibri"/>
          <w:i/>
          <w:iCs/>
          <w:color w:val="000000"/>
          <w:sz w:val="20"/>
          <w:szCs w:val="20"/>
        </w:rPr>
        <w:t>notoginseng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observed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Antitumor</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cytotoxicity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tests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also</w:t>
      </w:r>
      <w:proofErr w:type="spellEnd"/>
      <w:r w:rsidRPr="00B630BE">
        <w:rPr>
          <w:rFonts w:eastAsia="Calibri"/>
          <w:color w:val="000000"/>
          <w:sz w:val="20"/>
          <w:szCs w:val="20"/>
        </w:rPr>
        <w:t xml:space="preserve"> </w:t>
      </w:r>
      <w:proofErr w:type="spellStart"/>
      <w:r w:rsidRPr="00B630BE">
        <w:rPr>
          <w:rFonts w:eastAsia="Calibri"/>
          <w:color w:val="000000"/>
          <w:sz w:val="20"/>
          <w:szCs w:val="20"/>
        </w:rPr>
        <w:t>performed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pancreatic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revealing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anticancer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effects</w:t>
      </w:r>
      <w:proofErr w:type="spellEnd"/>
      <w:r w:rsidRPr="00B630BE">
        <w:rPr>
          <w:rFonts w:eastAsia="Calibri"/>
          <w:color w:val="000000"/>
          <w:sz w:val="20"/>
          <w:szCs w:val="20"/>
        </w:rPr>
        <w:t>.</w:t>
      </w:r>
    </w:p>
    <w:p w14:paraId="577D3CB0" w14:textId="7960AABB"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Singh et </w:t>
      </w:r>
      <w:proofErr w:type="spellStart"/>
      <w:r w:rsidRPr="00B630BE">
        <w:rPr>
          <w:rFonts w:eastAsia="Calibri"/>
          <w:color w:val="000000"/>
          <w:sz w:val="20"/>
          <w:szCs w:val="20"/>
        </w:rPr>
        <w:t>al.'s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work</w:t>
      </w:r>
      <w:proofErr w:type="spellEnd"/>
      <w:r w:rsidRPr="00B630BE">
        <w:rPr>
          <w:rFonts w:eastAsia="Calibri"/>
          <w:color w:val="000000"/>
          <w:sz w:val="20"/>
          <w:szCs w:val="20"/>
        </w:rPr>
        <w:t xml:space="preserve"> (2017), </w:t>
      </w:r>
      <w:proofErr w:type="spellStart"/>
      <w:r w:rsidRPr="00B630BE">
        <w:rPr>
          <w:rFonts w:eastAsia="Calibri"/>
          <w:color w:val="000000"/>
          <w:sz w:val="20"/>
          <w:szCs w:val="20"/>
        </w:rPr>
        <w:t>although</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not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primary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objective</w:t>
      </w:r>
      <w:proofErr w:type="spellEnd"/>
      <w:r w:rsidRPr="00B630BE">
        <w:rPr>
          <w:rFonts w:eastAsia="Calibri"/>
          <w:color w:val="000000"/>
          <w:sz w:val="20"/>
          <w:szCs w:val="20"/>
        </w:rPr>
        <w:t xml:space="preserve">, some </w:t>
      </w:r>
      <w:proofErr w:type="spellStart"/>
      <w:r w:rsidRPr="00B630BE">
        <w:rPr>
          <w:rFonts w:eastAsia="Calibri"/>
          <w:color w:val="000000"/>
          <w:sz w:val="20"/>
          <w:szCs w:val="20"/>
        </w:rPr>
        <w:t>properties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evaluated</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comparison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precursor </w:t>
      </w:r>
      <w:proofErr w:type="spellStart"/>
      <w:r w:rsidRPr="00B630BE">
        <w:rPr>
          <w:rFonts w:eastAsia="Calibri"/>
          <w:color w:val="000000"/>
          <w:sz w:val="20"/>
          <w:szCs w:val="20"/>
        </w:rPr>
        <w:t>salts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revealing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higher</w:t>
      </w:r>
      <w:proofErr w:type="spellEnd"/>
      <w:r w:rsidRPr="00B630BE">
        <w:rPr>
          <w:rFonts w:eastAsia="Calibri"/>
          <w:color w:val="000000"/>
          <w:sz w:val="20"/>
          <w:szCs w:val="20"/>
        </w:rPr>
        <w:t xml:space="preserve"> DPPH </w:t>
      </w:r>
      <w:proofErr w:type="spellStart"/>
      <w:r w:rsidRPr="00B630BE">
        <w:rPr>
          <w:rFonts w:eastAsia="Calibri"/>
          <w:color w:val="000000"/>
          <w:sz w:val="20"/>
          <w:szCs w:val="20"/>
        </w:rPr>
        <w:t>antioxidant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According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enhancement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attributed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presence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91120C">
        <w:rPr>
          <w:rFonts w:eastAsia="Calibri"/>
          <w:i/>
          <w:iCs/>
          <w:color w:val="000000"/>
          <w:sz w:val="20"/>
          <w:szCs w:val="20"/>
        </w:rPr>
        <w:t>Panax</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leaf</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also</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investigated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w:t>
      </w:r>
      <w:proofErr w:type="spellEnd"/>
      <w:r w:rsidRPr="00B630BE">
        <w:rPr>
          <w:rFonts w:eastAsia="Calibri"/>
          <w:color w:val="000000"/>
          <w:sz w:val="20"/>
          <w:szCs w:val="20"/>
        </w:rPr>
        <w:t xml:space="preserve"> </w:t>
      </w:r>
      <w:proofErr w:type="spellStart"/>
      <w:r w:rsidRPr="00B630BE">
        <w:rPr>
          <w:rFonts w:eastAsia="Calibri"/>
          <w:color w:val="000000"/>
          <w:sz w:val="20"/>
          <w:szCs w:val="20"/>
        </w:rPr>
        <w:t>viability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anticancer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nitric</w:t>
      </w:r>
      <w:proofErr w:type="spellEnd"/>
      <w:r w:rsidRPr="00B630BE">
        <w:rPr>
          <w:rFonts w:eastAsia="Calibri"/>
          <w:color w:val="000000"/>
          <w:sz w:val="20"/>
          <w:szCs w:val="20"/>
        </w:rPr>
        <w:t xml:space="preserve"> oxide </w:t>
      </w:r>
      <w:proofErr w:type="spellStart"/>
      <w:r w:rsidRPr="00B630BE">
        <w:rPr>
          <w:rFonts w:eastAsia="Calibri"/>
          <w:color w:val="000000"/>
          <w:sz w:val="20"/>
          <w:szCs w:val="20"/>
        </w:rPr>
        <w:t>production</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results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demonstrated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derived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w:t>
      </w:r>
      <w:proofErr w:type="spellEnd"/>
      <w:r w:rsidRPr="00B630BE">
        <w:rPr>
          <w:rFonts w:eastAsia="Calibri"/>
          <w:color w:val="000000"/>
          <w:sz w:val="20"/>
          <w:szCs w:val="20"/>
        </w:rPr>
        <w:t xml:space="preserve"> </w:t>
      </w:r>
      <w:proofErr w:type="spellStart"/>
      <w:r w:rsidRPr="00B630BE">
        <w:rPr>
          <w:rFonts w:eastAsia="Calibri"/>
          <w:color w:val="000000"/>
          <w:sz w:val="20"/>
          <w:szCs w:val="20"/>
        </w:rPr>
        <w:t>important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characteristics</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biomedical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applications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Therefore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green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considered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both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cost-effective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advantageous</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development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herbal </w:t>
      </w:r>
      <w:proofErr w:type="spellStart"/>
      <w:r w:rsidRPr="00B630BE">
        <w:rPr>
          <w:rFonts w:eastAsia="Calibri"/>
          <w:color w:val="000000"/>
          <w:sz w:val="20"/>
          <w:szCs w:val="20"/>
        </w:rPr>
        <w:t>remedies</w:t>
      </w:r>
      <w:proofErr w:type="spellEnd"/>
      <w:r w:rsidRPr="00B630BE">
        <w:rPr>
          <w:rFonts w:eastAsia="Calibri"/>
          <w:color w:val="000000"/>
          <w:sz w:val="20"/>
          <w:szCs w:val="20"/>
        </w:rPr>
        <w:t>.</w:t>
      </w:r>
    </w:p>
    <w:p w14:paraId="53DA50F5" w14:textId="77777777" w:rsid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research</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Gouyau</w:t>
      </w:r>
      <w:proofErr w:type="spellEnd"/>
      <w:r w:rsidRPr="00B630BE">
        <w:rPr>
          <w:rFonts w:eastAsia="Calibri"/>
          <w:color w:val="000000"/>
          <w:sz w:val="20"/>
          <w:szCs w:val="20"/>
        </w:rPr>
        <w:t xml:space="preserve"> et al. (2021), </w:t>
      </w:r>
      <w:proofErr w:type="spellStart"/>
      <w:r w:rsidRPr="00B630BE">
        <w:rPr>
          <w:rFonts w:eastAsia="Calibri"/>
          <w:color w:val="000000"/>
          <w:sz w:val="20"/>
          <w:szCs w:val="20"/>
        </w:rPr>
        <w:t>citrate-coated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metallic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(NMPs)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synthesized</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found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antibacterial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r w:rsidRPr="0091120C">
        <w:rPr>
          <w:rFonts w:eastAsia="Calibri"/>
          <w:i/>
          <w:iCs/>
          <w:color w:val="000000"/>
          <w:sz w:val="20"/>
          <w:szCs w:val="20"/>
        </w:rPr>
        <w:t xml:space="preserve">E. coli </w:t>
      </w:r>
      <w:proofErr w:type="spellStart"/>
      <w:r w:rsidRPr="0091120C">
        <w:rPr>
          <w:rFonts w:eastAsia="Calibri"/>
          <w:color w:val="000000"/>
          <w:sz w:val="20"/>
          <w:szCs w:val="20"/>
        </w:rPr>
        <w:t>and</w:t>
      </w:r>
      <w:proofErr w:type="spellEnd"/>
      <w:r w:rsidRPr="0091120C">
        <w:rPr>
          <w:rFonts w:eastAsia="Calibri"/>
          <w:i/>
          <w:iCs/>
          <w:color w:val="000000"/>
          <w:sz w:val="20"/>
          <w:szCs w:val="20"/>
        </w:rPr>
        <w:t xml:space="preserve"> S. aureus</w:t>
      </w:r>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other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hand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high </w:t>
      </w:r>
      <w:proofErr w:type="spellStart"/>
      <w:r w:rsidRPr="00B630BE">
        <w:rPr>
          <w:rFonts w:eastAsia="Calibri"/>
          <w:color w:val="000000"/>
          <w:sz w:val="20"/>
          <w:szCs w:val="20"/>
        </w:rPr>
        <w:t>antibacterial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r w:rsidRPr="0091120C">
        <w:rPr>
          <w:rFonts w:eastAsia="Calibri"/>
          <w:i/>
          <w:iCs/>
          <w:color w:val="000000"/>
          <w:sz w:val="20"/>
          <w:szCs w:val="20"/>
        </w:rPr>
        <w:t>E. coli</w:t>
      </w:r>
      <w:r w:rsidRPr="00B630BE">
        <w:rPr>
          <w:rFonts w:eastAsia="Calibri"/>
          <w:color w:val="000000"/>
          <w:sz w:val="20"/>
          <w:szCs w:val="20"/>
        </w:rPr>
        <w:t xml:space="preserve">, </w:t>
      </w:r>
      <w:proofErr w:type="spellStart"/>
      <w:r w:rsidRPr="00B630BE">
        <w:rPr>
          <w:rFonts w:eastAsia="Calibri"/>
          <w:color w:val="000000"/>
          <w:sz w:val="20"/>
          <w:szCs w:val="20"/>
        </w:rPr>
        <w:t>including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multidrug-resistant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strains</w:t>
      </w:r>
      <w:proofErr w:type="spellEnd"/>
      <w:r w:rsidRPr="00B630BE">
        <w:rPr>
          <w:rFonts w:eastAsia="Calibri"/>
          <w:color w:val="000000"/>
          <w:sz w:val="20"/>
          <w:szCs w:val="20"/>
        </w:rPr>
        <w:t>.</w:t>
      </w:r>
    </w:p>
    <w:p w14:paraId="02CEE36D" w14:textId="1DA808F1"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roofErr w:type="spellStart"/>
      <w:r w:rsidRPr="00B630BE">
        <w:rPr>
          <w:rFonts w:eastAsia="Calibri"/>
          <w:color w:val="000000"/>
          <w:sz w:val="20"/>
          <w:szCs w:val="20"/>
        </w:rPr>
        <w:t>Naik</w:t>
      </w:r>
      <w:proofErr w:type="spellEnd"/>
      <w:r w:rsidRPr="00B630BE">
        <w:rPr>
          <w:rFonts w:eastAsia="Calibri"/>
          <w:color w:val="000000"/>
          <w:sz w:val="20"/>
          <w:szCs w:val="20"/>
        </w:rPr>
        <w:t xml:space="preserve">, Devi (2021) </w:t>
      </w:r>
      <w:proofErr w:type="spellStart"/>
      <w:r w:rsidRPr="00B630BE">
        <w:rPr>
          <w:rFonts w:eastAsia="Calibri"/>
          <w:color w:val="000000"/>
          <w:sz w:val="20"/>
          <w:szCs w:val="20"/>
        </w:rPr>
        <w:t>compared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antimicrobial </w:t>
      </w:r>
      <w:proofErr w:type="spellStart"/>
      <w:r w:rsidRPr="00B630BE">
        <w:rPr>
          <w:rFonts w:eastAsia="Calibri"/>
          <w:color w:val="000000"/>
          <w:sz w:val="20"/>
          <w:szCs w:val="20"/>
        </w:rPr>
        <w:t>action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Momordica</w:t>
      </w:r>
      <w:proofErr w:type="spellEnd"/>
      <w:r w:rsidRPr="00B630BE">
        <w:rPr>
          <w:rFonts w:eastAsia="Calibri"/>
          <w:color w:val="000000"/>
          <w:sz w:val="20"/>
          <w:szCs w:val="20"/>
        </w:rPr>
        <w:t xml:space="preserve"> dioica-</w:t>
      </w:r>
      <w:proofErr w:type="spellStart"/>
      <w:r w:rsidRPr="00B630BE">
        <w:rPr>
          <w:rFonts w:eastAsia="Calibri"/>
          <w:color w:val="000000"/>
          <w:sz w:val="20"/>
          <w:szCs w:val="20"/>
        </w:rPr>
        <w:t>based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r w:rsidRPr="0091120C">
        <w:rPr>
          <w:rFonts w:eastAsia="Calibri"/>
          <w:i/>
          <w:iCs/>
          <w:color w:val="000000"/>
          <w:sz w:val="20"/>
          <w:szCs w:val="20"/>
        </w:rPr>
        <w:t xml:space="preserve">S. aureus, B. </w:t>
      </w:r>
      <w:proofErr w:type="spellStart"/>
      <w:r w:rsidRPr="0091120C">
        <w:rPr>
          <w:rFonts w:eastAsia="Calibri"/>
          <w:i/>
          <w:iCs/>
          <w:color w:val="000000"/>
          <w:sz w:val="20"/>
          <w:szCs w:val="20"/>
        </w:rPr>
        <w:t>subtilis</w:t>
      </w:r>
      <w:proofErr w:type="spellEnd"/>
      <w:r w:rsidRPr="0091120C">
        <w:rPr>
          <w:rFonts w:eastAsia="Calibri"/>
          <w:i/>
          <w:iCs/>
          <w:color w:val="000000"/>
          <w:sz w:val="20"/>
          <w:szCs w:val="20"/>
        </w:rPr>
        <w:t xml:space="preserve">, E. coli, P. aeruginosa, K. </w:t>
      </w:r>
      <w:proofErr w:type="spellStart"/>
      <w:r w:rsidRPr="0091120C">
        <w:rPr>
          <w:rFonts w:eastAsia="Calibri"/>
          <w:i/>
          <w:iCs/>
          <w:color w:val="000000"/>
          <w:sz w:val="20"/>
          <w:szCs w:val="20"/>
        </w:rPr>
        <w:t>planticola</w:t>
      </w:r>
      <w:proofErr w:type="spellEnd"/>
      <w:r w:rsidRPr="0091120C">
        <w:rPr>
          <w:rFonts w:eastAsia="Calibri"/>
          <w:i/>
          <w:iCs/>
          <w:color w:val="000000"/>
          <w:sz w:val="20"/>
          <w:szCs w:val="20"/>
        </w:rPr>
        <w:t xml:space="preserve">, </w:t>
      </w:r>
      <w:proofErr w:type="spellStart"/>
      <w:r w:rsidRPr="0091120C">
        <w:rPr>
          <w:rFonts w:eastAsia="Calibri"/>
          <w:color w:val="000000"/>
          <w:sz w:val="20"/>
          <w:szCs w:val="20"/>
        </w:rPr>
        <w:t>and</w:t>
      </w:r>
      <w:proofErr w:type="spellEnd"/>
      <w:r w:rsidRPr="0091120C">
        <w:rPr>
          <w:rFonts w:eastAsia="Calibri"/>
          <w:color w:val="000000"/>
          <w:sz w:val="20"/>
          <w:szCs w:val="20"/>
        </w:rPr>
        <w:t xml:space="preserve"> </w:t>
      </w:r>
      <w:r w:rsidRPr="0091120C">
        <w:rPr>
          <w:rFonts w:eastAsia="Calibri"/>
          <w:i/>
          <w:iCs/>
          <w:color w:val="000000"/>
          <w:sz w:val="20"/>
          <w:szCs w:val="20"/>
        </w:rPr>
        <w:t xml:space="preserve">C. </w:t>
      </w:r>
      <w:proofErr w:type="spellStart"/>
      <w:r w:rsidRPr="0091120C">
        <w:rPr>
          <w:rFonts w:eastAsia="Calibri"/>
          <w:i/>
          <w:iCs/>
          <w:color w:val="000000"/>
          <w:sz w:val="20"/>
          <w:szCs w:val="20"/>
        </w:rPr>
        <w:t>albicans</w:t>
      </w:r>
      <w:proofErr w:type="spellEnd"/>
      <w:r w:rsidRPr="00B630BE">
        <w:rPr>
          <w:rFonts w:eastAsia="Calibri"/>
          <w:color w:val="000000"/>
          <w:sz w:val="20"/>
          <w:szCs w:val="20"/>
        </w:rPr>
        <w:t xml:space="preserve">. It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observed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intracellular</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contents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leaked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evaluated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microorganisms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after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exposure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leading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microbial </w:t>
      </w:r>
      <w:proofErr w:type="spellStart"/>
      <w:r w:rsidRPr="00B630BE">
        <w:rPr>
          <w:rFonts w:eastAsia="Calibri"/>
          <w:color w:val="000000"/>
          <w:sz w:val="20"/>
          <w:szCs w:val="20"/>
        </w:rPr>
        <w:t>cell</w:t>
      </w:r>
      <w:proofErr w:type="spellEnd"/>
      <w:r w:rsidRPr="00B630BE">
        <w:rPr>
          <w:rFonts w:eastAsia="Calibri"/>
          <w:color w:val="000000"/>
          <w:sz w:val="20"/>
          <w:szCs w:val="20"/>
        </w:rPr>
        <w:t xml:space="preserve"> death </w:t>
      </w:r>
      <w:proofErr w:type="spellStart"/>
      <w:r w:rsidRPr="00B630BE">
        <w:rPr>
          <w:rFonts w:eastAsia="Calibri"/>
          <w:color w:val="000000"/>
          <w:sz w:val="20"/>
          <w:szCs w:val="20"/>
        </w:rPr>
        <w:t>due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lastRenderedPageBreak/>
        <w:t>membrane</w:t>
      </w:r>
      <w:proofErr w:type="spellEnd"/>
      <w:r w:rsidRPr="00B630BE">
        <w:rPr>
          <w:rFonts w:eastAsia="Calibri"/>
          <w:color w:val="000000"/>
          <w:sz w:val="20"/>
          <w:szCs w:val="20"/>
        </w:rPr>
        <w:t xml:space="preserve"> </w:t>
      </w:r>
      <w:proofErr w:type="spellStart"/>
      <w:r w:rsidRPr="00B630BE">
        <w:rPr>
          <w:rFonts w:eastAsia="Calibri"/>
          <w:color w:val="000000"/>
          <w:sz w:val="20"/>
          <w:szCs w:val="20"/>
        </w:rPr>
        <w:t>damage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According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w:t>
      </w:r>
      <w:proofErr w:type="spellEnd"/>
      <w:r w:rsidRPr="00B630BE">
        <w:rPr>
          <w:rFonts w:eastAsia="Calibri"/>
          <w:color w:val="000000"/>
          <w:sz w:val="20"/>
          <w:szCs w:val="20"/>
        </w:rPr>
        <w:t xml:space="preserve"> </w:t>
      </w:r>
      <w:proofErr w:type="spellStart"/>
      <w:r w:rsidRPr="00B630BE">
        <w:rPr>
          <w:rFonts w:eastAsia="Calibri"/>
          <w:color w:val="000000"/>
          <w:sz w:val="20"/>
          <w:szCs w:val="20"/>
        </w:rPr>
        <w:t>occurs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inducing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oxidative</w:t>
      </w:r>
      <w:proofErr w:type="spellEnd"/>
      <w:r w:rsidRPr="00B630BE">
        <w:rPr>
          <w:rFonts w:eastAsia="Calibri"/>
          <w:color w:val="000000"/>
          <w:sz w:val="20"/>
          <w:szCs w:val="20"/>
        </w:rPr>
        <w:t xml:space="preserve"> stress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pathogens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confirming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their</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potential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applicability</w:t>
      </w:r>
      <w:proofErr w:type="spellEnd"/>
      <w:r w:rsidRPr="00B630BE">
        <w:rPr>
          <w:rFonts w:eastAsia="Calibri"/>
          <w:color w:val="000000"/>
          <w:sz w:val="20"/>
          <w:szCs w:val="20"/>
        </w:rPr>
        <w:t xml:space="preserve"> as </w:t>
      </w:r>
      <w:proofErr w:type="spellStart"/>
      <w:r w:rsidRPr="00B630BE">
        <w:rPr>
          <w:rFonts w:eastAsia="Calibri"/>
          <w:color w:val="000000"/>
          <w:sz w:val="20"/>
          <w:szCs w:val="20"/>
        </w:rPr>
        <w:t>therapeutic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agents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pharmaceutical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industry</w:t>
      </w:r>
      <w:proofErr w:type="spellEnd"/>
      <w:r w:rsidRPr="00B630BE">
        <w:rPr>
          <w:rFonts w:eastAsia="Calibri"/>
          <w:color w:val="000000"/>
          <w:sz w:val="20"/>
          <w:szCs w:val="20"/>
        </w:rPr>
        <w:t>.</w:t>
      </w:r>
    </w:p>
    <w:p w14:paraId="32706A3A" w14:textId="77777777" w:rsid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roofErr w:type="spellStart"/>
      <w:r w:rsidRPr="00B630BE">
        <w:rPr>
          <w:rFonts w:eastAsia="Calibri"/>
          <w:color w:val="000000"/>
          <w:sz w:val="20"/>
          <w:szCs w:val="20"/>
        </w:rPr>
        <w:t>According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Sharma et al. (2015),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varies </w:t>
      </w:r>
      <w:proofErr w:type="spellStart"/>
      <w:r w:rsidRPr="00B630BE">
        <w:rPr>
          <w:rFonts w:eastAsia="Calibri"/>
          <w:color w:val="000000"/>
          <w:sz w:val="20"/>
          <w:szCs w:val="20"/>
        </w:rPr>
        <w:t>depending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their</w:t>
      </w:r>
      <w:proofErr w:type="spellEnd"/>
      <w:r w:rsidRPr="00B630BE">
        <w:rPr>
          <w:rFonts w:eastAsia="Calibri"/>
          <w:color w:val="000000"/>
          <w:sz w:val="20"/>
          <w:szCs w:val="20"/>
        </w:rPr>
        <w:t xml:space="preserve"> charge, </w:t>
      </w:r>
      <w:proofErr w:type="spellStart"/>
      <w:r w:rsidRPr="00B630BE">
        <w:rPr>
          <w:rFonts w:eastAsia="Calibri"/>
          <w:color w:val="000000"/>
          <w:sz w:val="20"/>
          <w:szCs w:val="20"/>
        </w:rPr>
        <w:t>chemical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composition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surface </w:t>
      </w:r>
      <w:proofErr w:type="spellStart"/>
      <w:r w:rsidRPr="00B630BE">
        <w:rPr>
          <w:rFonts w:eastAsia="Calibri"/>
          <w:color w:val="000000"/>
          <w:sz w:val="20"/>
          <w:szCs w:val="20"/>
        </w:rPr>
        <w:t>organic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coating</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fate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humans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ecosystem</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remain</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poorly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understood</w:t>
      </w:r>
      <w:proofErr w:type="spellEnd"/>
      <w:r w:rsidRPr="00B630BE">
        <w:rPr>
          <w:rFonts w:eastAsia="Calibri"/>
          <w:color w:val="000000"/>
          <w:sz w:val="20"/>
          <w:szCs w:val="20"/>
        </w:rPr>
        <w:t xml:space="preserve">. </w:t>
      </w:r>
      <w:proofErr w:type="spellStart"/>
      <w:r w:rsidRPr="00B630BE">
        <w:rPr>
          <w:rFonts w:eastAsia="Calibri"/>
          <w:color w:val="000000"/>
          <w:sz w:val="20"/>
          <w:szCs w:val="20"/>
        </w:rPr>
        <w:t>Generally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w:t>
      </w:r>
      <w:proofErr w:type="spellEnd"/>
      <w:r w:rsidRPr="00B630BE">
        <w:rPr>
          <w:rFonts w:eastAsia="Calibri"/>
          <w:color w:val="000000"/>
          <w:sz w:val="20"/>
          <w:szCs w:val="20"/>
        </w:rPr>
        <w:t xml:space="preserve"> </w:t>
      </w:r>
      <w:proofErr w:type="spellStart"/>
      <w:r w:rsidRPr="00B630BE">
        <w:rPr>
          <w:rFonts w:eastAsia="Calibri"/>
          <w:color w:val="000000"/>
          <w:sz w:val="20"/>
          <w:szCs w:val="20"/>
        </w:rPr>
        <w:t>cytotoxicity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ecotoxicity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proofErr w:type="spellStart"/>
      <w:r w:rsidRPr="00B630BE">
        <w:rPr>
          <w:rFonts w:eastAsia="Calibri"/>
          <w:color w:val="000000"/>
          <w:sz w:val="20"/>
          <w:szCs w:val="20"/>
        </w:rPr>
        <w:t>bacteria</w:t>
      </w:r>
      <w:proofErr w:type="spellEnd"/>
      <w:r w:rsidRPr="00B630BE">
        <w:rPr>
          <w:rFonts w:eastAsia="Calibri"/>
          <w:color w:val="000000"/>
          <w:sz w:val="20"/>
          <w:szCs w:val="20"/>
        </w:rPr>
        <w:t xml:space="preserve">, </w:t>
      </w:r>
      <w:proofErr w:type="spellStart"/>
      <w:r w:rsidRPr="00B630BE">
        <w:rPr>
          <w:rFonts w:eastAsia="Calibri"/>
          <w:color w:val="000000"/>
          <w:sz w:val="20"/>
          <w:szCs w:val="20"/>
        </w:rPr>
        <w:t>aquatic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organisms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plants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toxic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mechanism</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involves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generation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reactive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oxygen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species</w:t>
      </w:r>
      <w:proofErr w:type="spellEnd"/>
      <w:r w:rsidRPr="00B630BE">
        <w:rPr>
          <w:rFonts w:eastAsia="Calibri"/>
          <w:color w:val="000000"/>
          <w:sz w:val="20"/>
          <w:szCs w:val="20"/>
        </w:rPr>
        <w:t xml:space="preserve"> (ROS)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DNA </w:t>
      </w:r>
      <w:proofErr w:type="spellStart"/>
      <w:r w:rsidRPr="00B630BE">
        <w:rPr>
          <w:rFonts w:eastAsia="Calibri"/>
          <w:color w:val="000000"/>
          <w:sz w:val="20"/>
          <w:szCs w:val="20"/>
        </w:rPr>
        <w:t>damage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caused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or</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released</w:t>
      </w:r>
      <w:proofErr w:type="spellEnd"/>
      <w:r w:rsidRPr="00B630BE">
        <w:rPr>
          <w:rFonts w:eastAsia="Calibri"/>
          <w:color w:val="000000"/>
          <w:sz w:val="20"/>
          <w:szCs w:val="20"/>
        </w:rPr>
        <w:t xml:space="preserve"> Ag+ </w:t>
      </w:r>
      <w:proofErr w:type="spellStart"/>
      <w:r w:rsidRPr="00B630BE">
        <w:rPr>
          <w:rFonts w:eastAsia="Calibri"/>
          <w:color w:val="000000"/>
          <w:sz w:val="20"/>
          <w:szCs w:val="20"/>
        </w:rPr>
        <w:t>ions</w:t>
      </w:r>
      <w:proofErr w:type="spellEnd"/>
      <w:r w:rsidRPr="00B630BE">
        <w:rPr>
          <w:rFonts w:eastAsia="Calibri"/>
          <w:color w:val="000000"/>
          <w:sz w:val="20"/>
          <w:szCs w:val="20"/>
        </w:rPr>
        <w:t xml:space="preserve">, as </w:t>
      </w:r>
      <w:proofErr w:type="spellStart"/>
      <w:r w:rsidRPr="00B630BE">
        <w:rPr>
          <w:rFonts w:eastAsia="Calibri"/>
          <w:color w:val="000000"/>
          <w:sz w:val="20"/>
          <w:szCs w:val="20"/>
        </w:rPr>
        <w:t>exemplified</w:t>
      </w:r>
      <w:proofErr w:type="spellEnd"/>
      <w:r w:rsidRPr="00B630BE">
        <w:rPr>
          <w:rFonts w:eastAsia="Calibri"/>
          <w:color w:val="000000"/>
          <w:sz w:val="20"/>
          <w:szCs w:val="20"/>
        </w:rPr>
        <w:t xml:space="preserve"> in </w:t>
      </w:r>
      <w:proofErr w:type="spellStart"/>
      <w:r w:rsidRPr="0091120C">
        <w:rPr>
          <w:rFonts w:eastAsia="Calibri"/>
          <w:i/>
          <w:iCs/>
          <w:color w:val="000000"/>
          <w:sz w:val="20"/>
          <w:szCs w:val="20"/>
        </w:rPr>
        <w:t>Drosophila</w:t>
      </w:r>
      <w:proofErr w:type="spellEnd"/>
      <w:r w:rsidRPr="0091120C">
        <w:rPr>
          <w:rFonts w:eastAsia="Calibri"/>
          <w:i/>
          <w:iCs/>
          <w:color w:val="000000"/>
          <w:sz w:val="20"/>
          <w:szCs w:val="20"/>
        </w:rPr>
        <w:t xml:space="preserve"> melanogaster</w:t>
      </w:r>
      <w:r w:rsidRPr="00B630BE">
        <w:rPr>
          <w:rFonts w:eastAsia="Calibri"/>
          <w:color w:val="000000"/>
          <w:sz w:val="20"/>
          <w:szCs w:val="20"/>
        </w:rPr>
        <w:t>.</w:t>
      </w:r>
    </w:p>
    <w:p w14:paraId="78743756" w14:textId="77777777"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A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investigated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naturally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formed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found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encapsulating</w:t>
      </w:r>
      <w:proofErr w:type="spellEnd"/>
      <w:r w:rsidRPr="00B630BE">
        <w:rPr>
          <w:rFonts w:eastAsia="Calibri"/>
          <w:color w:val="000000"/>
          <w:sz w:val="20"/>
          <w:szCs w:val="20"/>
        </w:rPr>
        <w:t xml:space="preserve"> material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influences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Minimum</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Inhibitory</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Concentration</w:t>
      </w:r>
      <w:proofErr w:type="spellEnd"/>
      <w:r w:rsidRPr="00B630BE">
        <w:rPr>
          <w:rFonts w:eastAsia="Calibri"/>
          <w:color w:val="000000"/>
          <w:sz w:val="20"/>
          <w:szCs w:val="20"/>
        </w:rPr>
        <w:t xml:space="preserve"> (MIC) (Sharma et al., 2015). In </w:t>
      </w:r>
      <w:proofErr w:type="spellStart"/>
      <w:r w:rsidRPr="00B630BE">
        <w:rPr>
          <w:rFonts w:eastAsia="Calibri"/>
          <w:color w:val="000000"/>
          <w:sz w:val="20"/>
          <w:szCs w:val="20"/>
        </w:rPr>
        <w:t>other</w:t>
      </w:r>
      <w:proofErr w:type="spellEnd"/>
      <w:r w:rsidRPr="00B630BE">
        <w:rPr>
          <w:rFonts w:eastAsia="Calibri"/>
          <w:color w:val="000000"/>
          <w:sz w:val="20"/>
          <w:szCs w:val="20"/>
        </w:rPr>
        <w:t xml:space="preserve"> words, </w:t>
      </w:r>
      <w:proofErr w:type="spellStart"/>
      <w:r w:rsidRPr="00B630BE">
        <w:rPr>
          <w:rFonts w:eastAsia="Calibri"/>
          <w:color w:val="000000"/>
          <w:sz w:val="20"/>
          <w:szCs w:val="20"/>
        </w:rPr>
        <w:t>regardless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metal </w:t>
      </w:r>
      <w:proofErr w:type="spellStart"/>
      <w:r w:rsidRPr="00B630BE">
        <w:rPr>
          <w:rFonts w:eastAsia="Calibri"/>
          <w:color w:val="000000"/>
          <w:sz w:val="20"/>
          <w:szCs w:val="20"/>
        </w:rPr>
        <w:t>used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encapsulating</w:t>
      </w:r>
      <w:proofErr w:type="spellEnd"/>
      <w:r w:rsidRPr="00B630BE">
        <w:rPr>
          <w:rFonts w:eastAsia="Calibri"/>
          <w:color w:val="000000"/>
          <w:sz w:val="20"/>
          <w:szCs w:val="20"/>
        </w:rPr>
        <w:t xml:space="preserve"> material plays a crucial role 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antimicrobial </w:t>
      </w:r>
      <w:proofErr w:type="spellStart"/>
      <w:r w:rsidRPr="00B630BE">
        <w:rPr>
          <w:rFonts w:eastAsia="Calibri"/>
          <w:color w:val="000000"/>
          <w:sz w:val="20"/>
          <w:szCs w:val="20"/>
        </w:rPr>
        <w:t>activity</w:t>
      </w:r>
      <w:proofErr w:type="spellEnd"/>
      <w:r w:rsidRPr="00B630BE">
        <w:rPr>
          <w:rFonts w:eastAsia="Calibri"/>
          <w:color w:val="000000"/>
          <w:sz w:val="20"/>
          <w:szCs w:val="20"/>
        </w:rPr>
        <w:t>.</w:t>
      </w:r>
    </w:p>
    <w:p w14:paraId="1D7BD010" w14:textId="77777777"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
    <w:p w14:paraId="6F177387" w14:textId="77777777" w:rsid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Singh et al. (2015) </w:t>
      </w:r>
      <w:proofErr w:type="spellStart"/>
      <w:r w:rsidRPr="00B630BE">
        <w:rPr>
          <w:rFonts w:eastAsia="Calibri"/>
          <w:color w:val="000000"/>
          <w:sz w:val="20"/>
          <w:szCs w:val="20"/>
        </w:rPr>
        <w:t>found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91120C">
        <w:rPr>
          <w:rFonts w:eastAsia="Calibri"/>
          <w:i/>
          <w:iCs/>
          <w:color w:val="000000"/>
          <w:sz w:val="20"/>
          <w:szCs w:val="20"/>
        </w:rPr>
        <w:t>Panax</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ginseng</w:t>
      </w:r>
      <w:proofErr w:type="spellEnd"/>
      <w:r w:rsidRPr="00B630BE">
        <w:rPr>
          <w:rFonts w:eastAsia="Calibri"/>
          <w:color w:val="000000"/>
          <w:sz w:val="20"/>
          <w:szCs w:val="20"/>
        </w:rPr>
        <w:t xml:space="preserve"> roots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antimicrobial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w:t>
      </w:r>
      <w:r w:rsidRPr="0091120C">
        <w:rPr>
          <w:rFonts w:eastAsia="Calibri"/>
          <w:i/>
          <w:iCs/>
          <w:color w:val="000000"/>
          <w:sz w:val="20"/>
          <w:szCs w:val="20"/>
        </w:rPr>
        <w:t xml:space="preserve">Escherichia coli, Salmonella </w:t>
      </w:r>
      <w:proofErr w:type="spellStart"/>
      <w:r w:rsidRPr="0091120C">
        <w:rPr>
          <w:rFonts w:eastAsia="Calibri"/>
          <w:i/>
          <w:iCs/>
          <w:color w:val="000000"/>
          <w:sz w:val="20"/>
          <w:szCs w:val="20"/>
        </w:rPr>
        <w:t>enterica</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Vibrio</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parahaemolyticus</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Staphylococcus</w:t>
      </w:r>
      <w:proofErr w:type="spellEnd"/>
      <w:r w:rsidRPr="0091120C">
        <w:rPr>
          <w:rFonts w:eastAsia="Calibri"/>
          <w:i/>
          <w:iCs/>
          <w:color w:val="000000"/>
          <w:sz w:val="20"/>
          <w:szCs w:val="20"/>
        </w:rPr>
        <w:t xml:space="preserve"> aureus, Bacillus </w:t>
      </w:r>
      <w:proofErr w:type="spellStart"/>
      <w:r w:rsidRPr="0091120C">
        <w:rPr>
          <w:rFonts w:eastAsia="Calibri"/>
          <w:i/>
          <w:iCs/>
          <w:color w:val="000000"/>
          <w:sz w:val="20"/>
          <w:szCs w:val="20"/>
        </w:rPr>
        <w:t>anthracis</w:t>
      </w:r>
      <w:proofErr w:type="spellEnd"/>
      <w:r w:rsidRPr="0091120C">
        <w:rPr>
          <w:rFonts w:eastAsia="Calibri"/>
          <w:i/>
          <w:iCs/>
          <w:color w:val="000000"/>
          <w:sz w:val="20"/>
          <w:szCs w:val="20"/>
        </w:rPr>
        <w:t xml:space="preserve">, </w:t>
      </w:r>
      <w:proofErr w:type="spellStart"/>
      <w:r w:rsidRPr="0091120C">
        <w:rPr>
          <w:rFonts w:eastAsia="Calibri"/>
          <w:color w:val="000000"/>
          <w:sz w:val="20"/>
          <w:szCs w:val="20"/>
        </w:rPr>
        <w:t>and</w:t>
      </w:r>
      <w:proofErr w:type="spellEnd"/>
      <w:r w:rsidRPr="0091120C">
        <w:rPr>
          <w:rFonts w:eastAsia="Calibri"/>
          <w:i/>
          <w:iCs/>
          <w:color w:val="000000"/>
          <w:sz w:val="20"/>
          <w:szCs w:val="20"/>
        </w:rPr>
        <w:t xml:space="preserve"> Bacillus </w:t>
      </w:r>
      <w:proofErr w:type="spellStart"/>
      <w:r w:rsidRPr="0091120C">
        <w:rPr>
          <w:rFonts w:eastAsia="Calibri"/>
          <w:i/>
          <w:iCs/>
          <w:color w:val="000000"/>
          <w:sz w:val="20"/>
          <w:szCs w:val="20"/>
        </w:rPr>
        <w:t>cereus</w:t>
      </w:r>
      <w:proofErr w:type="spellEnd"/>
      <w:r w:rsidRPr="00B630BE">
        <w:rPr>
          <w:rFonts w:eastAsia="Calibri"/>
          <w:color w:val="000000"/>
          <w:sz w:val="20"/>
          <w:szCs w:val="20"/>
        </w:rPr>
        <w:t xml:space="preserve">. Both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proposed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demonstrated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anticoagulant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action</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considered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proposed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methodology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be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rapid</w:t>
      </w:r>
      <w:proofErr w:type="spellEnd"/>
      <w:r w:rsidRPr="00B630BE">
        <w:rPr>
          <w:rFonts w:eastAsia="Calibri"/>
          <w:color w:val="000000"/>
          <w:sz w:val="20"/>
          <w:szCs w:val="20"/>
        </w:rPr>
        <w:t xml:space="preserve">, </w:t>
      </w:r>
      <w:proofErr w:type="spellStart"/>
      <w:r w:rsidRPr="00B630BE">
        <w:rPr>
          <w:rFonts w:eastAsia="Calibri"/>
          <w:color w:val="000000"/>
          <w:sz w:val="20"/>
          <w:szCs w:val="20"/>
        </w:rPr>
        <w:t>easy</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environmentally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friendly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highly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economical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potential</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application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across</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wide</w:t>
      </w:r>
      <w:proofErr w:type="spellEnd"/>
      <w:r w:rsidRPr="00B630BE">
        <w:rPr>
          <w:rFonts w:eastAsia="Calibri"/>
          <w:color w:val="000000"/>
          <w:sz w:val="20"/>
          <w:szCs w:val="20"/>
        </w:rPr>
        <w:t xml:space="preserve"> </w:t>
      </w:r>
      <w:proofErr w:type="spellStart"/>
      <w:r w:rsidRPr="00B630BE">
        <w:rPr>
          <w:rFonts w:eastAsia="Calibri"/>
          <w:color w:val="000000"/>
          <w:sz w:val="20"/>
          <w:szCs w:val="20"/>
        </w:rPr>
        <w:t>biological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spectrum</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large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scale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suggests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possibility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future </w:t>
      </w:r>
      <w:proofErr w:type="spellStart"/>
      <w:r w:rsidRPr="00B630BE">
        <w:rPr>
          <w:rFonts w:eastAsia="Calibri"/>
          <w:color w:val="000000"/>
          <w:sz w:val="20"/>
          <w:szCs w:val="20"/>
        </w:rPr>
        <w:t>innovations</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these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syntheses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AuNPs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produced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91120C">
        <w:rPr>
          <w:rFonts w:eastAsia="Calibri"/>
          <w:i/>
          <w:iCs/>
          <w:color w:val="000000"/>
          <w:sz w:val="20"/>
          <w:szCs w:val="20"/>
        </w:rPr>
        <w:t>Penicillium</w:t>
      </w:r>
      <w:proofErr w:type="spellEnd"/>
      <w:r w:rsidRPr="0091120C">
        <w:rPr>
          <w:rFonts w:eastAsia="Calibri"/>
          <w:i/>
          <w:iCs/>
          <w:color w:val="000000"/>
          <w:sz w:val="20"/>
          <w:szCs w:val="20"/>
        </w:rPr>
        <w:t xml:space="preserve"> </w:t>
      </w:r>
      <w:proofErr w:type="spellStart"/>
      <w:r w:rsidRPr="0091120C">
        <w:rPr>
          <w:rFonts w:eastAsia="Calibri"/>
          <w:i/>
          <w:iCs/>
          <w:color w:val="000000"/>
          <w:sz w:val="20"/>
          <w:szCs w:val="20"/>
        </w:rPr>
        <w:t>crustosum</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Barabadi</w:t>
      </w:r>
      <w:proofErr w:type="spellEnd"/>
      <w:r w:rsidRPr="00B630BE">
        <w:rPr>
          <w:rFonts w:eastAsia="Calibri"/>
          <w:color w:val="000000"/>
          <w:sz w:val="20"/>
          <w:szCs w:val="20"/>
        </w:rPr>
        <w:t xml:space="preserve"> et al. (2014)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a UV-Vis </w:t>
      </w:r>
      <w:proofErr w:type="spellStart"/>
      <w:r w:rsidRPr="00B630BE">
        <w:rPr>
          <w:rFonts w:eastAsia="Calibri"/>
          <w:color w:val="000000"/>
          <w:sz w:val="20"/>
          <w:szCs w:val="20"/>
        </w:rPr>
        <w:t>absorption</w:t>
      </w:r>
      <w:proofErr w:type="spellEnd"/>
      <w:r w:rsidRPr="00B630BE">
        <w:rPr>
          <w:rFonts w:eastAsia="Calibri"/>
          <w:color w:val="000000"/>
          <w:sz w:val="20"/>
          <w:szCs w:val="20"/>
        </w:rPr>
        <w:t xml:space="preserve"> band </w:t>
      </w:r>
      <w:proofErr w:type="spellStart"/>
      <w:r w:rsidRPr="00B630BE">
        <w:rPr>
          <w:rFonts w:eastAsia="Calibri"/>
          <w:color w:val="000000"/>
          <w:sz w:val="20"/>
          <w:szCs w:val="20"/>
        </w:rPr>
        <w:t>resulting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aromatic</w:t>
      </w:r>
      <w:proofErr w:type="spellEnd"/>
      <w:r w:rsidRPr="00B630BE">
        <w:rPr>
          <w:rFonts w:eastAsia="Calibri"/>
          <w:color w:val="000000"/>
          <w:sz w:val="20"/>
          <w:szCs w:val="20"/>
        </w:rPr>
        <w:t xml:space="preserve"> amino </w:t>
      </w:r>
      <w:proofErr w:type="spellStart"/>
      <w:r w:rsidRPr="00B630BE">
        <w:rPr>
          <w:rFonts w:eastAsia="Calibri"/>
          <w:color w:val="000000"/>
          <w:sz w:val="20"/>
          <w:szCs w:val="20"/>
        </w:rPr>
        <w:t>acids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proteins. The FTIR </w:t>
      </w:r>
      <w:proofErr w:type="spellStart"/>
      <w:r w:rsidRPr="00B630BE">
        <w:rPr>
          <w:rFonts w:eastAsia="Calibri"/>
          <w:color w:val="000000"/>
          <w:sz w:val="20"/>
          <w:szCs w:val="20"/>
        </w:rPr>
        <w:t>spectrum</w:t>
      </w:r>
      <w:proofErr w:type="spellEnd"/>
      <w:r w:rsidRPr="00B630BE">
        <w:rPr>
          <w:rFonts w:eastAsia="Calibri"/>
          <w:color w:val="000000"/>
          <w:sz w:val="20"/>
          <w:szCs w:val="20"/>
        </w:rPr>
        <w:t xml:space="preserve"> </w:t>
      </w:r>
      <w:proofErr w:type="spellStart"/>
      <w:r w:rsidRPr="00B630BE">
        <w:rPr>
          <w:rFonts w:eastAsia="Calibri"/>
          <w:color w:val="000000"/>
          <w:sz w:val="20"/>
          <w:szCs w:val="20"/>
        </w:rPr>
        <w:t>showed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peaks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at</w:t>
      </w:r>
      <w:proofErr w:type="spellEnd"/>
      <w:r w:rsidRPr="00B630BE">
        <w:rPr>
          <w:rFonts w:eastAsia="Calibri"/>
          <w:color w:val="000000"/>
          <w:sz w:val="20"/>
          <w:szCs w:val="20"/>
        </w:rPr>
        <w:t xml:space="preserve"> 3432 cm-1 </w:t>
      </w:r>
      <w:proofErr w:type="spellStart"/>
      <w:r w:rsidRPr="00B630BE">
        <w:rPr>
          <w:rFonts w:eastAsia="Calibri"/>
          <w:color w:val="000000"/>
          <w:sz w:val="20"/>
          <w:szCs w:val="20"/>
        </w:rPr>
        <w:t>associated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O-H </w:t>
      </w:r>
      <w:proofErr w:type="spellStart"/>
      <w:r w:rsidRPr="00B630BE">
        <w:rPr>
          <w:rFonts w:eastAsia="Calibri"/>
          <w:color w:val="000000"/>
          <w:sz w:val="20"/>
          <w:szCs w:val="20"/>
        </w:rPr>
        <w:t>stretching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at</w:t>
      </w:r>
      <w:proofErr w:type="spellEnd"/>
      <w:r w:rsidRPr="00B630BE">
        <w:rPr>
          <w:rFonts w:eastAsia="Calibri"/>
          <w:color w:val="000000"/>
          <w:sz w:val="20"/>
          <w:szCs w:val="20"/>
        </w:rPr>
        <w:t xml:space="preserve"> 2922.26 cm-1 </w:t>
      </w:r>
      <w:proofErr w:type="spellStart"/>
      <w:r w:rsidRPr="00B630BE">
        <w:rPr>
          <w:rFonts w:eastAsia="Calibri"/>
          <w:color w:val="000000"/>
          <w:sz w:val="20"/>
          <w:szCs w:val="20"/>
        </w:rPr>
        <w:t>attributed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C-H </w:t>
      </w:r>
      <w:proofErr w:type="spellStart"/>
      <w:r w:rsidRPr="00B630BE">
        <w:rPr>
          <w:rFonts w:eastAsia="Calibri"/>
          <w:color w:val="000000"/>
          <w:sz w:val="20"/>
          <w:szCs w:val="20"/>
        </w:rPr>
        <w:t>stretch</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methylene</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groups</w:t>
      </w:r>
      <w:proofErr w:type="spellEnd"/>
      <w:r w:rsidRPr="00B630BE">
        <w:rPr>
          <w:rFonts w:eastAsia="Calibri"/>
          <w:color w:val="000000"/>
          <w:sz w:val="20"/>
          <w:szCs w:val="20"/>
        </w:rPr>
        <w:t xml:space="preserve"> in proteins. The bands </w:t>
      </w:r>
      <w:proofErr w:type="spellStart"/>
      <w:r w:rsidRPr="00B630BE">
        <w:rPr>
          <w:rFonts w:eastAsia="Calibri"/>
          <w:color w:val="000000"/>
          <w:sz w:val="20"/>
          <w:szCs w:val="20"/>
        </w:rPr>
        <w:t>at</w:t>
      </w:r>
      <w:proofErr w:type="spellEnd"/>
      <w:r w:rsidRPr="00B630BE">
        <w:rPr>
          <w:rFonts w:eastAsia="Calibri"/>
          <w:color w:val="000000"/>
          <w:sz w:val="20"/>
          <w:szCs w:val="20"/>
        </w:rPr>
        <w:t xml:space="preserve"> 1407.36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1629.91 cm-1 </w:t>
      </w:r>
      <w:proofErr w:type="spellStart"/>
      <w:r w:rsidRPr="00B630BE">
        <w:rPr>
          <w:rFonts w:eastAsia="Calibri"/>
          <w:color w:val="000000"/>
          <w:sz w:val="20"/>
          <w:szCs w:val="20"/>
        </w:rPr>
        <w:t>corresponded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N-H </w:t>
      </w:r>
      <w:proofErr w:type="spellStart"/>
      <w:r w:rsidRPr="00B630BE">
        <w:rPr>
          <w:rFonts w:eastAsia="Calibri"/>
          <w:color w:val="000000"/>
          <w:sz w:val="20"/>
          <w:szCs w:val="20"/>
        </w:rPr>
        <w:t>stretching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primary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amines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carbonyl</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stretching</w:t>
      </w:r>
      <w:proofErr w:type="spellEnd"/>
      <w:r w:rsidRPr="00B630BE">
        <w:rPr>
          <w:rFonts w:eastAsia="Calibri"/>
          <w:color w:val="000000"/>
          <w:sz w:val="20"/>
          <w:szCs w:val="20"/>
        </w:rPr>
        <w:t xml:space="preserve"> in proteins, </w:t>
      </w:r>
      <w:proofErr w:type="spellStart"/>
      <w:r w:rsidRPr="00B630BE">
        <w:rPr>
          <w:rFonts w:eastAsia="Calibri"/>
          <w:color w:val="000000"/>
          <w:sz w:val="20"/>
          <w:szCs w:val="20"/>
        </w:rPr>
        <w:t>respectively</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AuNPs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obtained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after</w:t>
      </w:r>
      <w:proofErr w:type="spellEnd"/>
      <w:r w:rsidRPr="00B630BE">
        <w:rPr>
          <w:rFonts w:eastAsia="Calibri"/>
          <w:color w:val="000000"/>
          <w:sz w:val="20"/>
          <w:szCs w:val="20"/>
        </w:rPr>
        <w:t xml:space="preserve"> experimental </w:t>
      </w:r>
      <w:proofErr w:type="spellStart"/>
      <w:r w:rsidRPr="00B630BE">
        <w:rPr>
          <w:rFonts w:eastAsia="Calibri"/>
          <w:color w:val="000000"/>
          <w:sz w:val="20"/>
          <w:szCs w:val="20"/>
        </w:rPr>
        <w:t>optimization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had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average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size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100 </w:t>
      </w:r>
      <w:proofErr w:type="spellStart"/>
      <w:r w:rsidRPr="00B630BE">
        <w:rPr>
          <w:rFonts w:eastAsia="Calibri"/>
          <w:color w:val="000000"/>
          <w:sz w:val="20"/>
          <w:szCs w:val="20"/>
        </w:rPr>
        <w:t>nm</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spherical</w:t>
      </w:r>
      <w:proofErr w:type="spellEnd"/>
      <w:r w:rsidRPr="00B630BE">
        <w:rPr>
          <w:rFonts w:eastAsia="Calibri"/>
          <w:color w:val="000000"/>
          <w:sz w:val="20"/>
          <w:szCs w:val="20"/>
        </w:rPr>
        <w:t xml:space="preserve"> shape.</w:t>
      </w:r>
    </w:p>
    <w:p w14:paraId="2E772729" w14:textId="24FC8B02"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w:t>
      </w:r>
      <w:proofErr w:type="spellStart"/>
      <w:r w:rsidRPr="00B630BE">
        <w:rPr>
          <w:rFonts w:eastAsia="Calibri"/>
          <w:color w:val="000000"/>
          <w:sz w:val="20"/>
          <w:szCs w:val="20"/>
        </w:rPr>
        <w:t>Madhumitha</w:t>
      </w:r>
      <w:proofErr w:type="spellEnd"/>
      <w:r w:rsidRPr="00B630BE">
        <w:rPr>
          <w:rFonts w:eastAsia="Calibri"/>
          <w:color w:val="000000"/>
          <w:sz w:val="20"/>
          <w:szCs w:val="20"/>
        </w:rPr>
        <w:t xml:space="preserve">, </w:t>
      </w:r>
      <w:proofErr w:type="spellStart"/>
      <w:r w:rsidRPr="00B630BE">
        <w:rPr>
          <w:rFonts w:eastAsia="Calibri"/>
          <w:color w:val="000000"/>
          <w:sz w:val="20"/>
          <w:szCs w:val="20"/>
        </w:rPr>
        <w:t>Elango</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Roopan</w:t>
      </w:r>
      <w:proofErr w:type="spellEnd"/>
      <w:r w:rsidRPr="00B630BE">
        <w:rPr>
          <w:rFonts w:eastAsia="Calibri"/>
          <w:color w:val="000000"/>
          <w:sz w:val="20"/>
          <w:szCs w:val="20"/>
        </w:rPr>
        <w:t xml:space="preserve"> (2014),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synthesized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chemical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reagents</w:t>
      </w:r>
      <w:proofErr w:type="spellEnd"/>
      <w:r w:rsidRPr="00B630BE">
        <w:rPr>
          <w:rFonts w:eastAsia="Calibri"/>
          <w:color w:val="000000"/>
          <w:sz w:val="20"/>
          <w:szCs w:val="20"/>
        </w:rPr>
        <w:t xml:space="preserve"> via </w:t>
      </w:r>
      <w:proofErr w:type="spellStart"/>
      <w:r w:rsidRPr="00B630BE">
        <w:rPr>
          <w:rFonts w:eastAsia="Calibri"/>
          <w:color w:val="000000"/>
          <w:sz w:val="20"/>
          <w:szCs w:val="20"/>
        </w:rPr>
        <w:t>different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methods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assessed</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stability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based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morphological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characteristics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researchers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reported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effectiveness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safety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these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proposed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mechanisms</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their</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interactions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methicillin-resistant</w:t>
      </w:r>
      <w:proofErr w:type="spellEnd"/>
      <w:r w:rsidRPr="00B630BE">
        <w:rPr>
          <w:rFonts w:eastAsia="Calibri"/>
          <w:color w:val="000000"/>
          <w:sz w:val="20"/>
          <w:szCs w:val="20"/>
        </w:rPr>
        <w:t xml:space="preserve"> </w:t>
      </w:r>
      <w:proofErr w:type="spellStart"/>
      <w:r w:rsidRPr="001A4495">
        <w:rPr>
          <w:rFonts w:eastAsia="Calibri"/>
          <w:i/>
          <w:iCs/>
          <w:color w:val="000000"/>
          <w:sz w:val="20"/>
          <w:szCs w:val="20"/>
        </w:rPr>
        <w:t>Staphylococcus</w:t>
      </w:r>
      <w:proofErr w:type="spellEnd"/>
      <w:r w:rsidRPr="001A4495">
        <w:rPr>
          <w:rFonts w:eastAsia="Calibri"/>
          <w:i/>
          <w:iCs/>
          <w:color w:val="000000"/>
          <w:sz w:val="20"/>
          <w:szCs w:val="20"/>
        </w:rPr>
        <w:t xml:space="preserve"> aureus</w:t>
      </w:r>
      <w:r w:rsidRPr="00B630BE">
        <w:rPr>
          <w:rFonts w:eastAsia="Calibri"/>
          <w:color w:val="000000"/>
          <w:sz w:val="20"/>
          <w:szCs w:val="20"/>
        </w:rPr>
        <w:t xml:space="preserve"> (MRSA) in </w:t>
      </w:r>
      <w:proofErr w:type="spellStart"/>
      <w:r w:rsidRPr="00B630BE">
        <w:rPr>
          <w:rFonts w:eastAsia="Calibri"/>
          <w:color w:val="000000"/>
          <w:sz w:val="20"/>
          <w:szCs w:val="20"/>
        </w:rPr>
        <w:t>human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According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is</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suitable</w:t>
      </w:r>
      <w:proofErr w:type="spellEnd"/>
      <w:r w:rsidRPr="00B630BE">
        <w:rPr>
          <w:rFonts w:eastAsia="Calibri"/>
          <w:color w:val="000000"/>
          <w:sz w:val="20"/>
          <w:szCs w:val="20"/>
        </w:rPr>
        <w:t xml:space="preserve"> metal for medical </w:t>
      </w:r>
      <w:proofErr w:type="spellStart"/>
      <w:r w:rsidRPr="00B630BE">
        <w:rPr>
          <w:rFonts w:eastAsia="Calibri"/>
          <w:color w:val="000000"/>
          <w:sz w:val="20"/>
          <w:szCs w:val="20"/>
        </w:rPr>
        <w:t>applications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for use in living </w:t>
      </w:r>
      <w:proofErr w:type="spellStart"/>
      <w:r w:rsidRPr="00B630BE">
        <w:rPr>
          <w:rFonts w:eastAsia="Calibri"/>
          <w:color w:val="000000"/>
          <w:sz w:val="20"/>
          <w:szCs w:val="20"/>
        </w:rPr>
        <w:t>organisms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found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kill </w:t>
      </w:r>
      <w:proofErr w:type="spellStart"/>
      <w:r w:rsidRPr="00B630BE">
        <w:rPr>
          <w:rFonts w:eastAsia="Calibri"/>
          <w:color w:val="000000"/>
          <w:sz w:val="20"/>
          <w:szCs w:val="20"/>
        </w:rPr>
        <w:t>bacteria</w:t>
      </w:r>
      <w:proofErr w:type="spellEnd"/>
      <w:r w:rsidRPr="00B630BE">
        <w:rPr>
          <w:rFonts w:eastAsia="Calibri"/>
          <w:color w:val="000000"/>
          <w:sz w:val="20"/>
          <w:szCs w:val="20"/>
        </w:rPr>
        <w:t xml:space="preserve"> </w:t>
      </w:r>
      <w:proofErr w:type="spellStart"/>
      <w:r w:rsidRPr="00B630BE">
        <w:rPr>
          <w:rFonts w:eastAsia="Calibri"/>
          <w:color w:val="000000"/>
          <w:sz w:val="20"/>
          <w:szCs w:val="20"/>
        </w:rPr>
        <w:t>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low</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concentrations</w:t>
      </w:r>
      <w:proofErr w:type="spellEnd"/>
      <w:r w:rsidRPr="00B630BE">
        <w:rPr>
          <w:rFonts w:eastAsia="Calibri"/>
          <w:color w:val="000000"/>
          <w:sz w:val="20"/>
          <w:szCs w:val="20"/>
        </w:rPr>
        <w:t xml:space="preserve"> (mg/L) </w:t>
      </w:r>
      <w:proofErr w:type="spellStart"/>
      <w:r w:rsidRPr="00B630BE">
        <w:rPr>
          <w:rFonts w:eastAsia="Calibri"/>
          <w:color w:val="000000"/>
          <w:sz w:val="20"/>
          <w:szCs w:val="20"/>
        </w:rPr>
        <w:t>without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acute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toxicity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human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cells</w:t>
      </w:r>
      <w:proofErr w:type="spellEnd"/>
      <w:r w:rsidRPr="00B630BE">
        <w:rPr>
          <w:rFonts w:eastAsia="Calibri"/>
          <w:color w:val="000000"/>
          <w:sz w:val="20"/>
          <w:szCs w:val="20"/>
        </w:rPr>
        <w:t xml:space="preserve">. The use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associated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polymers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enhance</w:t>
      </w:r>
      <w:proofErr w:type="spellEnd"/>
      <w:r w:rsidRPr="00B630BE">
        <w:rPr>
          <w:rFonts w:eastAsia="Calibri"/>
          <w:color w:val="000000"/>
          <w:sz w:val="20"/>
          <w:szCs w:val="20"/>
        </w:rPr>
        <w:t xml:space="preserve"> antimicrobial </w:t>
      </w:r>
      <w:proofErr w:type="spellStart"/>
      <w:r w:rsidRPr="00B630BE">
        <w:rPr>
          <w:rFonts w:eastAsia="Calibri"/>
          <w:color w:val="000000"/>
          <w:sz w:val="20"/>
          <w:szCs w:val="20"/>
        </w:rPr>
        <w:t>action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Colloidal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solutions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prepared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remain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stable</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up</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six</w:t>
      </w:r>
      <w:proofErr w:type="spellEnd"/>
      <w:r w:rsidRPr="00B630BE">
        <w:rPr>
          <w:rFonts w:eastAsia="Calibri"/>
          <w:color w:val="000000"/>
          <w:sz w:val="20"/>
          <w:szCs w:val="20"/>
        </w:rPr>
        <w:t xml:space="preserve"> </w:t>
      </w:r>
      <w:proofErr w:type="spellStart"/>
      <w:r w:rsidRPr="00B630BE">
        <w:rPr>
          <w:rFonts w:eastAsia="Calibri"/>
          <w:color w:val="000000"/>
          <w:sz w:val="20"/>
          <w:szCs w:val="20"/>
        </w:rPr>
        <w:t>months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it </w:t>
      </w:r>
      <w:proofErr w:type="spellStart"/>
      <w:r w:rsidRPr="00B630BE">
        <w:rPr>
          <w:rFonts w:eastAsia="Calibri"/>
          <w:color w:val="000000"/>
          <w:sz w:val="20"/>
          <w:szCs w:val="20"/>
        </w:rPr>
        <w:t>was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observed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advanced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synthetic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techniques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greater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dispersion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stability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increase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antibacterial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w:t>
      </w:r>
    </w:p>
    <w:p w14:paraId="37F09E7A" w14:textId="076D99A8" w:rsid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roofErr w:type="spellStart"/>
      <w:r w:rsidRPr="00B630BE">
        <w:rPr>
          <w:rFonts w:eastAsia="Calibri"/>
          <w:color w:val="000000"/>
          <w:sz w:val="20"/>
          <w:szCs w:val="20"/>
        </w:rPr>
        <w:t>According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Viana et al. (2021), </w:t>
      </w:r>
      <w:proofErr w:type="spellStart"/>
      <w:r w:rsidRPr="00B630BE">
        <w:rPr>
          <w:rFonts w:eastAsia="Calibri"/>
          <w:color w:val="000000"/>
          <w:sz w:val="20"/>
          <w:szCs w:val="20"/>
        </w:rPr>
        <w:t>predictions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suggest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by</w:t>
      </w:r>
      <w:proofErr w:type="spellEnd"/>
      <w:r w:rsidRPr="00B630BE">
        <w:rPr>
          <w:rFonts w:eastAsia="Calibri"/>
          <w:color w:val="000000"/>
          <w:sz w:val="20"/>
          <w:szCs w:val="20"/>
        </w:rPr>
        <w:t xml:space="preserve"> 2050, </w:t>
      </w:r>
      <w:proofErr w:type="spellStart"/>
      <w:r w:rsidRPr="00B630BE">
        <w:rPr>
          <w:rFonts w:eastAsia="Calibri"/>
          <w:color w:val="000000"/>
          <w:sz w:val="20"/>
          <w:szCs w:val="20"/>
        </w:rPr>
        <w:t>bacterial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infections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could</w:t>
      </w:r>
      <w:proofErr w:type="spellEnd"/>
      <w:r w:rsidRPr="00B630BE">
        <w:rPr>
          <w:rFonts w:eastAsia="Calibri"/>
          <w:color w:val="000000"/>
          <w:sz w:val="20"/>
          <w:szCs w:val="20"/>
        </w:rPr>
        <w:t xml:space="preserve"> cause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deaths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10 </w:t>
      </w:r>
      <w:proofErr w:type="spellStart"/>
      <w:r w:rsidRPr="00B630BE">
        <w:rPr>
          <w:rFonts w:eastAsia="Calibri"/>
          <w:color w:val="000000"/>
          <w:sz w:val="20"/>
          <w:szCs w:val="20"/>
        </w:rPr>
        <w:t>million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patients</w:t>
      </w:r>
      <w:proofErr w:type="spellEnd"/>
      <w:r w:rsidRPr="00B630BE">
        <w:rPr>
          <w:rFonts w:eastAsia="Calibri"/>
          <w:color w:val="000000"/>
          <w:sz w:val="20"/>
          <w:szCs w:val="20"/>
        </w:rPr>
        <w:t xml:space="preserve"> per </w:t>
      </w:r>
      <w:proofErr w:type="spellStart"/>
      <w:r w:rsidRPr="00B630BE">
        <w:rPr>
          <w:rFonts w:eastAsia="Calibri"/>
          <w:color w:val="000000"/>
          <w:sz w:val="20"/>
          <w:szCs w:val="20"/>
        </w:rPr>
        <w:t>year</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These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found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synthesized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cashew</w:t>
      </w:r>
      <w:proofErr w:type="spellEnd"/>
      <w:r w:rsidRPr="00B630BE">
        <w:rPr>
          <w:rFonts w:eastAsia="Calibri"/>
          <w:color w:val="000000"/>
          <w:sz w:val="20"/>
          <w:szCs w:val="20"/>
        </w:rPr>
        <w:t xml:space="preserve"> </w:t>
      </w:r>
      <w:proofErr w:type="spellStart"/>
      <w:r w:rsidRPr="00B630BE">
        <w:rPr>
          <w:rFonts w:eastAsia="Calibri"/>
          <w:color w:val="000000"/>
          <w:sz w:val="20"/>
          <w:szCs w:val="20"/>
        </w:rPr>
        <w:t>tree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curcumin</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exhibited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inhibitory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activity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against</w:t>
      </w:r>
      <w:proofErr w:type="spellEnd"/>
      <w:r w:rsidRPr="00B630BE">
        <w:rPr>
          <w:rFonts w:eastAsia="Calibri"/>
          <w:color w:val="000000"/>
          <w:sz w:val="20"/>
          <w:szCs w:val="20"/>
        </w:rPr>
        <w:t xml:space="preserve"> S. aureus, </w:t>
      </w:r>
      <w:proofErr w:type="spellStart"/>
      <w:r w:rsidRPr="00B630BE">
        <w:rPr>
          <w:rFonts w:eastAsia="Calibri"/>
          <w:color w:val="000000"/>
          <w:sz w:val="20"/>
          <w:szCs w:val="20"/>
        </w:rPr>
        <w:t>with</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particle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size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20 </w:t>
      </w:r>
      <w:proofErr w:type="spellStart"/>
      <w:r w:rsidRPr="00B630BE">
        <w:rPr>
          <w:rFonts w:eastAsia="Calibri"/>
          <w:color w:val="000000"/>
          <w:sz w:val="20"/>
          <w:szCs w:val="20"/>
        </w:rPr>
        <w:t>nm</w:t>
      </w:r>
      <w:proofErr w:type="spellEnd"/>
      <w:r w:rsidRPr="00B630BE">
        <w:rPr>
          <w:rFonts w:eastAsia="Calibri"/>
          <w:color w:val="000000"/>
          <w:sz w:val="20"/>
          <w:szCs w:val="20"/>
        </w:rPr>
        <w:t>.</w:t>
      </w:r>
    </w:p>
    <w:p w14:paraId="3D34243F" w14:textId="298E9255" w:rsidR="00B630BE" w:rsidRPr="00B630BE" w:rsidRDefault="00B630BE" w:rsidP="00B630BE">
      <w:pPr>
        <w:pBdr>
          <w:top w:val="nil"/>
          <w:left w:val="nil"/>
          <w:bottom w:val="nil"/>
          <w:right w:val="nil"/>
          <w:between w:val="nil"/>
        </w:pBdr>
        <w:ind w:firstLine="708"/>
        <w:jc w:val="both"/>
        <w:rPr>
          <w:rFonts w:eastAsia="Calibri"/>
          <w:color w:val="000000"/>
          <w:sz w:val="20"/>
          <w:szCs w:val="20"/>
        </w:rPr>
      </w:pP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assess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physical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size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microscopy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techniques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be</w:t>
      </w:r>
      <w:proofErr w:type="spellEnd"/>
      <w:r w:rsidRPr="00B630BE">
        <w:rPr>
          <w:rFonts w:eastAsia="Calibri"/>
          <w:color w:val="000000"/>
          <w:sz w:val="20"/>
          <w:szCs w:val="20"/>
        </w:rPr>
        <w:t xml:space="preserve"> </w:t>
      </w:r>
      <w:proofErr w:type="spellStart"/>
      <w:r w:rsidRPr="00B630BE">
        <w:rPr>
          <w:rFonts w:eastAsia="Calibri"/>
          <w:color w:val="000000"/>
          <w:sz w:val="20"/>
          <w:szCs w:val="20"/>
        </w:rPr>
        <w:t>employed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when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they</w:t>
      </w:r>
      <w:proofErr w:type="spellEnd"/>
      <w:r w:rsidRPr="00B630BE">
        <w:rPr>
          <w:rFonts w:eastAsia="Calibri"/>
          <w:color w:val="000000"/>
          <w:sz w:val="20"/>
          <w:szCs w:val="20"/>
        </w:rPr>
        <w:t xml:space="preserve"> are in </w:t>
      </w:r>
      <w:proofErr w:type="spellStart"/>
      <w:r w:rsidRPr="00B630BE">
        <w:rPr>
          <w:rFonts w:eastAsia="Calibri"/>
          <w:color w:val="000000"/>
          <w:sz w:val="20"/>
          <w:szCs w:val="20"/>
        </w:rPr>
        <w:t>their</w:t>
      </w:r>
      <w:proofErr w:type="spellEnd"/>
      <w:r w:rsidRPr="00B630BE">
        <w:rPr>
          <w:rFonts w:eastAsia="Calibri"/>
          <w:color w:val="000000"/>
          <w:sz w:val="20"/>
          <w:szCs w:val="20"/>
        </w:rPr>
        <w:t xml:space="preserve"> </w:t>
      </w:r>
      <w:proofErr w:type="spellStart"/>
      <w:r w:rsidRPr="00B630BE">
        <w:rPr>
          <w:rFonts w:eastAsia="Calibri"/>
          <w:color w:val="000000"/>
          <w:sz w:val="20"/>
          <w:szCs w:val="20"/>
        </w:rPr>
        <w:t>solid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state</w:t>
      </w:r>
      <w:proofErr w:type="spellEnd"/>
      <w:r w:rsidRPr="00B630BE">
        <w:rPr>
          <w:rFonts w:eastAsia="Calibri"/>
          <w:color w:val="000000"/>
          <w:sz w:val="20"/>
          <w:szCs w:val="20"/>
        </w:rPr>
        <w:t xml:space="preserve">. In a </w:t>
      </w:r>
      <w:proofErr w:type="spellStart"/>
      <w:r w:rsidRPr="00B630BE">
        <w:rPr>
          <w:rFonts w:eastAsia="Calibri"/>
          <w:color w:val="000000"/>
          <w:sz w:val="20"/>
          <w:szCs w:val="20"/>
        </w:rPr>
        <w:t>liquid</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medium</w:t>
      </w:r>
      <w:proofErr w:type="spellEnd"/>
      <w:r w:rsidRPr="00B630BE">
        <w:rPr>
          <w:rFonts w:eastAsia="Calibri"/>
          <w:color w:val="000000"/>
          <w:sz w:val="20"/>
          <w:szCs w:val="20"/>
        </w:rPr>
        <w:t xml:space="preserve">, Dynamic Light </w:t>
      </w:r>
      <w:proofErr w:type="spellStart"/>
      <w:r w:rsidRPr="00B630BE">
        <w:rPr>
          <w:rFonts w:eastAsia="Calibri"/>
          <w:color w:val="000000"/>
          <w:sz w:val="20"/>
          <w:szCs w:val="20"/>
        </w:rPr>
        <w:t>Scattering</w:t>
      </w:r>
      <w:proofErr w:type="spellEnd"/>
      <w:r w:rsidRPr="00B630BE">
        <w:rPr>
          <w:rFonts w:eastAsia="Calibri"/>
          <w:color w:val="000000"/>
          <w:sz w:val="20"/>
          <w:szCs w:val="20"/>
        </w:rPr>
        <w:t xml:space="preserve"> (DLS) </w:t>
      </w:r>
      <w:proofErr w:type="spellStart"/>
      <w:r w:rsidRPr="00B630BE">
        <w:rPr>
          <w:rFonts w:eastAsia="Calibri"/>
          <w:color w:val="000000"/>
          <w:sz w:val="20"/>
          <w:szCs w:val="20"/>
        </w:rPr>
        <w:t>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commonly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used</w:t>
      </w:r>
      <w:proofErr w:type="spellEnd"/>
      <w:r w:rsidRPr="00B630BE">
        <w:rPr>
          <w:rFonts w:eastAsia="Calibri"/>
          <w:color w:val="000000"/>
          <w:sz w:val="20"/>
          <w:szCs w:val="20"/>
        </w:rPr>
        <w:t xml:space="preserve">. Fourier </w:t>
      </w:r>
      <w:proofErr w:type="spellStart"/>
      <w:r w:rsidRPr="00B630BE">
        <w:rPr>
          <w:rFonts w:eastAsia="Calibri"/>
          <w:color w:val="000000"/>
          <w:sz w:val="20"/>
          <w:szCs w:val="20"/>
        </w:rPr>
        <w:t>Transform</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Infrared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Spectroscopy</w:t>
      </w:r>
      <w:proofErr w:type="spellEnd"/>
      <w:r w:rsidRPr="00B630BE">
        <w:rPr>
          <w:rFonts w:eastAsia="Calibri"/>
          <w:color w:val="000000"/>
          <w:sz w:val="20"/>
          <w:szCs w:val="20"/>
        </w:rPr>
        <w:t xml:space="preserve"> (FTIR) </w:t>
      </w:r>
      <w:proofErr w:type="spellStart"/>
      <w:r w:rsidRPr="00B630BE">
        <w:rPr>
          <w:rFonts w:eastAsia="Calibri"/>
          <w:color w:val="000000"/>
          <w:sz w:val="20"/>
          <w:szCs w:val="20"/>
        </w:rPr>
        <w:t>is</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simple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cost-effective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method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indicates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presence</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functional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groups</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molecules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during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bioreduction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metal </w:t>
      </w:r>
      <w:proofErr w:type="spellStart"/>
      <w:r w:rsidRPr="00B630BE">
        <w:rPr>
          <w:rFonts w:eastAsia="Calibri"/>
          <w:color w:val="000000"/>
          <w:sz w:val="20"/>
          <w:szCs w:val="20"/>
        </w:rPr>
        <w:t>ions</w:t>
      </w:r>
      <w:proofErr w:type="spellEnd"/>
      <w:r w:rsidRPr="00B630BE">
        <w:rPr>
          <w:rFonts w:eastAsia="Calibri"/>
          <w:color w:val="000000"/>
          <w:sz w:val="20"/>
          <w:szCs w:val="20"/>
        </w:rPr>
        <w:t xml:space="preserve"> (SARGAZI et al., 2022).</w:t>
      </w:r>
    </w:p>
    <w:p w14:paraId="3ED7EB91" w14:textId="145F6BEB" w:rsidR="00230D4E" w:rsidRDefault="00B630BE" w:rsidP="00B630BE">
      <w:pPr>
        <w:pBdr>
          <w:top w:val="nil"/>
          <w:left w:val="nil"/>
          <w:bottom w:val="nil"/>
          <w:right w:val="nil"/>
          <w:between w:val="nil"/>
        </w:pBdr>
        <w:ind w:firstLine="708"/>
        <w:jc w:val="both"/>
        <w:rPr>
          <w:rFonts w:eastAsia="Calibri"/>
          <w:color w:val="000000"/>
          <w:sz w:val="20"/>
          <w:szCs w:val="20"/>
        </w:rPr>
      </w:pP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also</w:t>
      </w:r>
      <w:proofErr w:type="spellEnd"/>
      <w:r w:rsidRPr="00B630BE">
        <w:rPr>
          <w:rFonts w:eastAsia="Calibri"/>
          <w:color w:val="000000"/>
          <w:sz w:val="20"/>
          <w:szCs w:val="20"/>
        </w:rPr>
        <w:t xml:space="preserve"> </w:t>
      </w:r>
      <w:proofErr w:type="spellStart"/>
      <w:r w:rsidRPr="00B630BE">
        <w:rPr>
          <w:rFonts w:eastAsia="Calibri"/>
          <w:color w:val="000000"/>
          <w:sz w:val="20"/>
          <w:szCs w:val="20"/>
        </w:rPr>
        <w:t>be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successfully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used</w:t>
      </w:r>
      <w:proofErr w:type="spellEnd"/>
      <w:r w:rsidRPr="00B630BE">
        <w:rPr>
          <w:rFonts w:eastAsia="Calibri"/>
          <w:color w:val="000000"/>
          <w:sz w:val="20"/>
          <w:szCs w:val="20"/>
        </w:rPr>
        <w:t xml:space="preserve"> as </w:t>
      </w:r>
      <w:proofErr w:type="spellStart"/>
      <w:r w:rsidRPr="00B630BE">
        <w:rPr>
          <w:rFonts w:eastAsia="Calibri"/>
          <w:color w:val="000000"/>
          <w:sz w:val="20"/>
          <w:szCs w:val="20"/>
        </w:rPr>
        <w:t>chromium</w:t>
      </w:r>
      <w:proofErr w:type="spellEnd"/>
      <w:r w:rsidRPr="00B630BE">
        <w:rPr>
          <w:rFonts w:eastAsia="Calibri"/>
          <w:color w:val="000000"/>
          <w:sz w:val="20"/>
          <w:szCs w:val="20"/>
        </w:rPr>
        <w:t xml:space="preserve"> </w:t>
      </w:r>
      <w:proofErr w:type="spellStart"/>
      <w:r w:rsidRPr="00B630BE">
        <w:rPr>
          <w:rFonts w:eastAsia="Calibri"/>
          <w:color w:val="000000"/>
          <w:sz w:val="20"/>
          <w:szCs w:val="20"/>
        </w:rPr>
        <w:t>adsorbents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contributing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wastewater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treatment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according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Ren</w:t>
      </w:r>
      <w:proofErr w:type="spellEnd"/>
      <w:r w:rsidRPr="00B630BE">
        <w:rPr>
          <w:rFonts w:eastAsia="Calibri"/>
          <w:color w:val="000000"/>
          <w:sz w:val="20"/>
          <w:szCs w:val="20"/>
        </w:rPr>
        <w:t xml:space="preserve"> et al. (2017). </w:t>
      </w:r>
      <w:proofErr w:type="spellStart"/>
      <w:r w:rsidRPr="00B630BE">
        <w:rPr>
          <w:rFonts w:eastAsia="Calibri"/>
          <w:color w:val="000000"/>
          <w:sz w:val="20"/>
          <w:szCs w:val="20"/>
        </w:rPr>
        <w:t>These</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authors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proposed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porous</w:t>
      </w:r>
      <w:proofErr w:type="spellEnd"/>
      <w:r w:rsidRPr="00B630BE">
        <w:rPr>
          <w:rFonts w:eastAsia="Calibri"/>
          <w:color w:val="000000"/>
          <w:sz w:val="20"/>
          <w:szCs w:val="20"/>
        </w:rPr>
        <w:t xml:space="preserve"> magnetite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titanium</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residue</w:t>
      </w:r>
      <w:proofErr w:type="spellEnd"/>
      <w:r w:rsidRPr="00B630BE">
        <w:rPr>
          <w:rFonts w:eastAsia="Calibri"/>
          <w:color w:val="000000"/>
          <w:sz w:val="20"/>
          <w:szCs w:val="20"/>
        </w:rPr>
        <w:t xml:space="preserve"> as </w:t>
      </w:r>
      <w:proofErr w:type="spellStart"/>
      <w:r w:rsidRPr="00B630BE">
        <w:rPr>
          <w:rFonts w:eastAsia="Calibri"/>
          <w:color w:val="000000"/>
          <w:sz w:val="20"/>
          <w:szCs w:val="20"/>
        </w:rPr>
        <w:t>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oxidizing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agent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pyrite</w:t>
      </w:r>
      <w:proofErr w:type="spellEnd"/>
      <w:r w:rsidRPr="00B630BE">
        <w:rPr>
          <w:rFonts w:eastAsia="Calibri"/>
          <w:color w:val="000000"/>
          <w:sz w:val="20"/>
          <w:szCs w:val="20"/>
        </w:rPr>
        <w:t xml:space="preserve"> as a </w:t>
      </w:r>
      <w:proofErr w:type="spellStart"/>
      <w:r w:rsidRPr="00B630BE">
        <w:rPr>
          <w:rFonts w:eastAsia="Calibri"/>
          <w:color w:val="000000"/>
          <w:sz w:val="20"/>
          <w:szCs w:val="20"/>
        </w:rPr>
        <w:t>reducing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agent</w:t>
      </w:r>
      <w:proofErr w:type="spellEnd"/>
      <w:r w:rsidRPr="00B630BE">
        <w:rPr>
          <w:rFonts w:eastAsia="Calibri"/>
          <w:color w:val="000000"/>
          <w:sz w:val="20"/>
          <w:szCs w:val="20"/>
        </w:rPr>
        <w:t xml:space="preserve"> in a </w:t>
      </w:r>
      <w:proofErr w:type="spellStart"/>
      <w:r w:rsidRPr="00B630BE">
        <w:rPr>
          <w:rFonts w:eastAsia="Calibri"/>
          <w:color w:val="000000"/>
          <w:sz w:val="20"/>
          <w:szCs w:val="20"/>
        </w:rPr>
        <w:t>controlled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atmosphere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Thus</w:t>
      </w:r>
      <w:proofErr w:type="spellEnd"/>
      <w:r w:rsidRPr="00B630BE">
        <w:rPr>
          <w:rFonts w:eastAsia="Calibri"/>
          <w:color w:val="000000"/>
          <w:sz w:val="20"/>
          <w:szCs w:val="20"/>
        </w:rPr>
        <w:t xml:space="preserve">, </w:t>
      </w:r>
      <w:proofErr w:type="spellStart"/>
      <w:r w:rsidRPr="00B630BE">
        <w:rPr>
          <w:rFonts w:eastAsia="Calibri"/>
          <w:color w:val="000000"/>
          <w:sz w:val="20"/>
          <w:szCs w:val="20"/>
        </w:rPr>
        <w:t>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contribute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sustainable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development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environmental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protection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including</w:t>
      </w:r>
      <w:proofErr w:type="spellEnd"/>
      <w:r w:rsidRPr="00B630BE">
        <w:rPr>
          <w:rFonts w:eastAsia="Calibri"/>
          <w:color w:val="000000"/>
          <w:sz w:val="20"/>
          <w:szCs w:val="20"/>
        </w:rPr>
        <w:t xml:space="preserve"> promoting </w:t>
      </w:r>
      <w:proofErr w:type="spellStart"/>
      <w:r w:rsidRPr="00B630BE">
        <w:rPr>
          <w:rFonts w:eastAsia="Calibri"/>
          <w:color w:val="000000"/>
          <w:sz w:val="20"/>
          <w:szCs w:val="20"/>
        </w:rPr>
        <w:t>waste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recycling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initiatives</w:t>
      </w:r>
      <w:proofErr w:type="spellEnd"/>
      <w:r w:rsidRPr="00B630BE">
        <w:rPr>
          <w:rFonts w:eastAsia="Calibri"/>
          <w:color w:val="000000"/>
          <w:sz w:val="20"/>
          <w:szCs w:val="20"/>
        </w:rPr>
        <w:t>.</w:t>
      </w:r>
    </w:p>
    <w:p w14:paraId="719984F5" w14:textId="77777777" w:rsidR="00B630BE" w:rsidRPr="008C2D2F" w:rsidRDefault="00B630BE" w:rsidP="00B630BE">
      <w:pPr>
        <w:pBdr>
          <w:top w:val="nil"/>
          <w:left w:val="nil"/>
          <w:bottom w:val="nil"/>
          <w:right w:val="nil"/>
          <w:between w:val="nil"/>
        </w:pBdr>
        <w:ind w:firstLine="708"/>
        <w:jc w:val="both"/>
        <w:rPr>
          <w:rFonts w:eastAsia="Calibri"/>
          <w:color w:val="000000"/>
          <w:sz w:val="20"/>
          <w:szCs w:val="20"/>
        </w:rPr>
      </w:pPr>
    </w:p>
    <w:p w14:paraId="7C74F589" w14:textId="77777777" w:rsidR="00230D4E" w:rsidRPr="008C2D2F" w:rsidRDefault="00230D4E" w:rsidP="00230D4E">
      <w:pPr>
        <w:pBdr>
          <w:top w:val="nil"/>
          <w:left w:val="nil"/>
          <w:bottom w:val="nil"/>
          <w:right w:val="nil"/>
          <w:between w:val="nil"/>
        </w:pBdr>
        <w:ind w:firstLine="708"/>
        <w:jc w:val="both"/>
        <w:rPr>
          <w:rFonts w:eastAsia="Calibri"/>
          <w:b/>
          <w:color w:val="000000"/>
          <w:sz w:val="20"/>
          <w:szCs w:val="20"/>
        </w:rPr>
      </w:pPr>
      <w:r>
        <w:rPr>
          <w:rFonts w:eastAsia="Calibri"/>
          <w:b/>
          <w:color w:val="000000"/>
          <w:sz w:val="20"/>
          <w:szCs w:val="20"/>
        </w:rPr>
        <w:t>5 Conclusion</w:t>
      </w:r>
    </w:p>
    <w:p w14:paraId="4B1589CC" w14:textId="641CF9BE" w:rsidR="00B630BE" w:rsidRPr="00B630BE" w:rsidRDefault="00B630BE" w:rsidP="00B630BE">
      <w:pPr>
        <w:pBdr>
          <w:top w:val="nil"/>
          <w:left w:val="nil"/>
          <w:bottom w:val="nil"/>
          <w:right w:val="nil"/>
          <w:between w:val="nil"/>
        </w:pBdr>
        <w:spacing w:line="276" w:lineRule="auto"/>
        <w:ind w:firstLine="708"/>
        <w:jc w:val="both"/>
        <w:rPr>
          <w:rFonts w:eastAsia="Calibri"/>
          <w:color w:val="000000"/>
          <w:sz w:val="20"/>
          <w:szCs w:val="20"/>
        </w:rPr>
      </w:pPr>
      <w:proofErr w:type="spellStart"/>
      <w:r w:rsidRPr="00B630BE">
        <w:rPr>
          <w:rFonts w:eastAsia="Calibri"/>
          <w:color w:val="000000"/>
          <w:sz w:val="20"/>
          <w:szCs w:val="20"/>
        </w:rPr>
        <w:t>Metallic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produced</w:t>
      </w:r>
      <w:proofErr w:type="spellEnd"/>
      <w:r w:rsidRPr="00B630BE">
        <w:rPr>
          <w:rFonts w:eastAsia="Calibri"/>
          <w:color w:val="000000"/>
          <w:sz w:val="20"/>
          <w:szCs w:val="20"/>
        </w:rPr>
        <w:t xml:space="preserve"> via </w:t>
      </w:r>
      <w:proofErr w:type="spellStart"/>
      <w:r w:rsidRPr="00B630BE">
        <w:rPr>
          <w:rFonts w:eastAsia="Calibri"/>
          <w:color w:val="000000"/>
          <w:sz w:val="20"/>
          <w:szCs w:val="20"/>
        </w:rPr>
        <w:t>green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from</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related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plants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have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significant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potential</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applications</w:t>
      </w:r>
      <w:proofErr w:type="spellEnd"/>
      <w:r w:rsidRPr="00B630BE">
        <w:rPr>
          <w:rFonts w:eastAsia="Calibri"/>
          <w:color w:val="000000"/>
          <w:sz w:val="20"/>
          <w:szCs w:val="20"/>
        </w:rPr>
        <w:t xml:space="preserve"> as </w:t>
      </w:r>
      <w:proofErr w:type="spellStart"/>
      <w:r w:rsidRPr="00B630BE">
        <w:rPr>
          <w:rFonts w:eastAsia="Calibri"/>
          <w:color w:val="000000"/>
          <w:sz w:val="20"/>
          <w:szCs w:val="20"/>
        </w:rPr>
        <w:t>anticancer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antibacterial</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agents</w:t>
      </w:r>
      <w:proofErr w:type="spellEnd"/>
      <w:r w:rsidRPr="00B630BE">
        <w:rPr>
          <w:rFonts w:eastAsia="Calibri"/>
          <w:color w:val="000000"/>
          <w:sz w:val="20"/>
          <w:szCs w:val="20"/>
        </w:rPr>
        <w:t xml:space="preserve">. The </w:t>
      </w:r>
      <w:proofErr w:type="spellStart"/>
      <w:r w:rsidRPr="00B630BE">
        <w:rPr>
          <w:rFonts w:eastAsia="Calibri"/>
          <w:color w:val="000000"/>
          <w:sz w:val="20"/>
          <w:szCs w:val="20"/>
        </w:rPr>
        <w:t>majority</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scientific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have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focused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P.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known</w:t>
      </w:r>
      <w:proofErr w:type="spellEnd"/>
      <w:r w:rsidRPr="00B630BE">
        <w:rPr>
          <w:rFonts w:eastAsia="Calibri"/>
          <w:color w:val="000000"/>
          <w:sz w:val="20"/>
          <w:szCs w:val="20"/>
        </w:rPr>
        <w:t xml:space="preserve"> as Korean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due</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gramStart"/>
      <w:r w:rsidRPr="00B630BE">
        <w:rPr>
          <w:rFonts w:eastAsia="Calibri"/>
          <w:color w:val="000000"/>
          <w:sz w:val="20"/>
          <w:szCs w:val="20"/>
        </w:rPr>
        <w:t>its medicinal</w:t>
      </w:r>
      <w:proofErr w:type="gramEnd"/>
      <w:r w:rsidRPr="00B630BE">
        <w:rPr>
          <w:rFonts w:eastAsia="Calibri"/>
          <w:color w:val="000000"/>
          <w:sz w:val="20"/>
          <w:szCs w:val="20"/>
        </w:rPr>
        <w:t xml:space="preserve"> </w:t>
      </w:r>
      <w:proofErr w:type="spellStart"/>
      <w:r w:rsidRPr="00B630BE">
        <w:rPr>
          <w:rFonts w:eastAsia="Calibri"/>
          <w:color w:val="000000"/>
          <w:sz w:val="20"/>
          <w:szCs w:val="20"/>
        </w:rPr>
        <w:t>properties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health</w:t>
      </w:r>
      <w:proofErr w:type="spellEnd"/>
      <w:r w:rsidRPr="00B630BE">
        <w:rPr>
          <w:rFonts w:eastAsia="Calibri"/>
          <w:color w:val="000000"/>
          <w:sz w:val="20"/>
          <w:szCs w:val="20"/>
        </w:rPr>
        <w:t xml:space="preserve"> </w:t>
      </w:r>
      <w:proofErr w:type="spellStart"/>
      <w:r w:rsidRPr="00B630BE">
        <w:rPr>
          <w:rFonts w:eastAsia="Calibri"/>
          <w:color w:val="000000"/>
          <w:sz w:val="20"/>
          <w:szCs w:val="20"/>
        </w:rPr>
        <w:t>benefits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Regarding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microorganisms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studied</w:t>
      </w:r>
      <w:proofErr w:type="spellEnd"/>
      <w:r w:rsidRPr="00B630BE">
        <w:rPr>
          <w:rFonts w:eastAsia="Calibri"/>
          <w:color w:val="000000"/>
          <w:sz w:val="20"/>
          <w:szCs w:val="20"/>
        </w:rPr>
        <w:t xml:space="preserve">, E. coli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S. aureus </w:t>
      </w:r>
      <w:proofErr w:type="spellStart"/>
      <w:r w:rsidRPr="00B630BE">
        <w:rPr>
          <w:rFonts w:eastAsia="Calibri"/>
          <w:color w:val="000000"/>
          <w:sz w:val="20"/>
          <w:szCs w:val="20"/>
        </w:rPr>
        <w:t>have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been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primary</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focus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research</w:t>
      </w:r>
      <w:proofErr w:type="spellEnd"/>
      <w:r w:rsidRPr="00B630BE">
        <w:rPr>
          <w:rFonts w:eastAsia="Calibri"/>
          <w:color w:val="000000"/>
          <w:sz w:val="20"/>
          <w:szCs w:val="20"/>
        </w:rPr>
        <w:t xml:space="preserve">. In general,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formation</w:t>
      </w:r>
      <w:proofErr w:type="spellEnd"/>
      <w:r w:rsidRPr="00B630BE">
        <w:rPr>
          <w:rFonts w:eastAsia="Calibri"/>
          <w:color w:val="000000"/>
          <w:sz w:val="20"/>
          <w:szCs w:val="20"/>
        </w:rPr>
        <w:t xml:space="preserve"> time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AuNPs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gold</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significantly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shorter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that</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AgNPs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silver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w:t>
      </w:r>
    </w:p>
    <w:p w14:paraId="61907286" w14:textId="14543513" w:rsidR="00230D4E" w:rsidRDefault="00B630BE" w:rsidP="00B630BE">
      <w:pPr>
        <w:pBdr>
          <w:top w:val="nil"/>
          <w:left w:val="nil"/>
          <w:bottom w:val="nil"/>
          <w:right w:val="nil"/>
          <w:between w:val="nil"/>
        </w:pBdr>
        <w:spacing w:line="276" w:lineRule="auto"/>
        <w:ind w:firstLine="708"/>
        <w:jc w:val="both"/>
        <w:rPr>
          <w:rFonts w:eastAsia="Calibri"/>
          <w:color w:val="000000"/>
          <w:sz w:val="20"/>
          <w:szCs w:val="20"/>
        </w:rPr>
      </w:pPr>
      <w:r w:rsidRPr="00B630BE">
        <w:rPr>
          <w:rFonts w:eastAsia="Calibri"/>
          <w:color w:val="000000"/>
          <w:sz w:val="20"/>
          <w:szCs w:val="20"/>
        </w:rPr>
        <w:t xml:space="preserve">In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context</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results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study</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contribute</w:t>
      </w:r>
      <w:proofErr w:type="spellEnd"/>
      <w:r w:rsidRPr="00B630BE">
        <w:rPr>
          <w:rFonts w:eastAsia="Calibri"/>
          <w:color w:val="000000"/>
          <w:sz w:val="20"/>
          <w:szCs w:val="20"/>
        </w:rPr>
        <w:t xml:space="preserve"> </w:t>
      </w:r>
      <w:proofErr w:type="spellStart"/>
      <w:r w:rsidRPr="00B630BE">
        <w:rPr>
          <w:rFonts w:eastAsia="Calibri"/>
          <w:color w:val="000000"/>
          <w:sz w:val="20"/>
          <w:szCs w:val="20"/>
        </w:rPr>
        <w:t>valuable</w:t>
      </w:r>
      <w:proofErr w:type="spellEnd"/>
      <w:r w:rsidRPr="00B630BE">
        <w:rPr>
          <w:rFonts w:eastAsia="Calibri"/>
          <w:color w:val="000000"/>
          <w:sz w:val="20"/>
          <w:szCs w:val="20"/>
        </w:rPr>
        <w:t xml:space="preserve"> insights </w:t>
      </w:r>
      <w:proofErr w:type="spellStart"/>
      <w:r w:rsidRPr="00B630BE">
        <w:rPr>
          <w:rFonts w:eastAsia="Calibri"/>
          <w:color w:val="000000"/>
          <w:sz w:val="20"/>
          <w:szCs w:val="20"/>
        </w:rPr>
        <w:t>into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mechanisms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formation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using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plant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t>extracts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There</w:t>
      </w:r>
      <w:proofErr w:type="spellEnd"/>
      <w:r w:rsidRPr="00B630BE">
        <w:rPr>
          <w:rFonts w:eastAsia="Calibri"/>
          <w:color w:val="000000"/>
          <w:sz w:val="20"/>
          <w:szCs w:val="20"/>
        </w:rPr>
        <w:t xml:space="preserve"> </w:t>
      </w:r>
      <w:proofErr w:type="spellStart"/>
      <w:r w:rsidRPr="00B630BE">
        <w:rPr>
          <w:rFonts w:eastAsia="Calibri"/>
          <w:color w:val="000000"/>
          <w:sz w:val="20"/>
          <w:szCs w:val="20"/>
        </w:rPr>
        <w:t>is</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clear</w:t>
      </w:r>
      <w:proofErr w:type="spellEnd"/>
      <w:r w:rsidRPr="00B630BE">
        <w:rPr>
          <w:rFonts w:eastAsia="Calibri"/>
          <w:color w:val="000000"/>
          <w:sz w:val="20"/>
          <w:szCs w:val="20"/>
        </w:rPr>
        <w:t xml:space="preserve"> </w:t>
      </w:r>
      <w:proofErr w:type="spellStart"/>
      <w:r w:rsidRPr="00B630BE">
        <w:rPr>
          <w:rFonts w:eastAsia="Calibri"/>
          <w:color w:val="000000"/>
          <w:sz w:val="20"/>
          <w:szCs w:val="20"/>
        </w:rPr>
        <w:t>need</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further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research</w:t>
      </w:r>
      <w:proofErr w:type="spellEnd"/>
      <w:r w:rsidRPr="00B630BE">
        <w:rPr>
          <w:rFonts w:eastAsia="Calibri"/>
          <w:color w:val="000000"/>
          <w:sz w:val="20"/>
          <w:szCs w:val="20"/>
        </w:rPr>
        <w:t xml:space="preserve"> </w:t>
      </w:r>
      <w:proofErr w:type="spellStart"/>
      <w:r w:rsidRPr="00B630BE">
        <w:rPr>
          <w:rFonts w:eastAsia="Calibri"/>
          <w:color w:val="000000"/>
          <w:sz w:val="20"/>
          <w:szCs w:val="20"/>
        </w:rPr>
        <w:t>on</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green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explore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contributions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studied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particularly</w:t>
      </w:r>
      <w:proofErr w:type="spellEnd"/>
      <w:r w:rsidRPr="00B630BE">
        <w:rPr>
          <w:rFonts w:eastAsia="Calibri"/>
          <w:color w:val="000000"/>
          <w:sz w:val="20"/>
          <w:szCs w:val="20"/>
        </w:rPr>
        <w:t xml:space="preserve"> P. </w:t>
      </w:r>
      <w:proofErr w:type="spellStart"/>
      <w:r w:rsidRPr="00B630BE">
        <w:rPr>
          <w:rFonts w:eastAsia="Calibri"/>
          <w:color w:val="000000"/>
          <w:sz w:val="20"/>
          <w:szCs w:val="20"/>
        </w:rPr>
        <w:t>glomerata</w:t>
      </w:r>
      <w:proofErr w:type="spellEnd"/>
      <w:r w:rsidRPr="00B630BE">
        <w:rPr>
          <w:rFonts w:eastAsia="Calibri"/>
          <w:color w:val="000000"/>
          <w:sz w:val="20"/>
          <w:szCs w:val="20"/>
        </w:rPr>
        <w:t xml:space="preserve">. </w:t>
      </w:r>
      <w:proofErr w:type="spellStart"/>
      <w:r w:rsidRPr="00B630BE">
        <w:rPr>
          <w:rFonts w:eastAsia="Calibri"/>
          <w:color w:val="000000"/>
          <w:sz w:val="20"/>
          <w:szCs w:val="20"/>
        </w:rPr>
        <w:t>Notably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date, no </w:t>
      </w:r>
      <w:proofErr w:type="spellStart"/>
      <w:r w:rsidRPr="00B630BE">
        <w:rPr>
          <w:rFonts w:eastAsia="Calibri"/>
          <w:color w:val="000000"/>
          <w:sz w:val="20"/>
          <w:szCs w:val="20"/>
        </w:rPr>
        <w:t>studies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have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reported</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use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1A4495">
        <w:rPr>
          <w:rFonts w:eastAsia="Calibri"/>
          <w:i/>
          <w:iCs/>
          <w:color w:val="000000"/>
          <w:sz w:val="20"/>
          <w:szCs w:val="20"/>
        </w:rPr>
        <w:t>Pfaffia</w:t>
      </w:r>
      <w:proofErr w:type="spellEnd"/>
      <w:r w:rsidRPr="001A4495">
        <w:rPr>
          <w:rFonts w:eastAsia="Calibri"/>
          <w:i/>
          <w:iCs/>
          <w:color w:val="000000"/>
          <w:sz w:val="20"/>
          <w:szCs w:val="20"/>
        </w:rPr>
        <w:t xml:space="preserve"> </w:t>
      </w:r>
      <w:proofErr w:type="spellStart"/>
      <w:r w:rsidRPr="001A4495">
        <w:rPr>
          <w:rFonts w:eastAsia="Calibri"/>
          <w:i/>
          <w:iCs/>
          <w:color w:val="000000"/>
          <w:sz w:val="20"/>
          <w:szCs w:val="20"/>
        </w:rPr>
        <w:t>glomerata</w:t>
      </w:r>
      <w:proofErr w:type="spellEnd"/>
      <w:r w:rsidRPr="00B630BE">
        <w:rPr>
          <w:rFonts w:eastAsia="Calibri"/>
          <w:color w:val="000000"/>
          <w:sz w:val="20"/>
          <w:szCs w:val="20"/>
        </w:rPr>
        <w:t xml:space="preserve"> (</w:t>
      </w:r>
      <w:proofErr w:type="spellStart"/>
      <w:r w:rsidRPr="00B630BE">
        <w:rPr>
          <w:rFonts w:eastAsia="Calibri"/>
          <w:color w:val="000000"/>
          <w:sz w:val="20"/>
          <w:szCs w:val="20"/>
        </w:rPr>
        <w:t>Brazilian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ginseng</w:t>
      </w:r>
      <w:proofErr w:type="spellEnd"/>
      <w:r w:rsidRPr="00B630BE">
        <w:rPr>
          <w:rFonts w:eastAsia="Calibri"/>
          <w:color w:val="000000"/>
          <w:sz w:val="20"/>
          <w:szCs w:val="20"/>
        </w:rPr>
        <w:t xml:space="preserve">) for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green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synthesis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metallic</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nanoparticles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reveals</w:t>
      </w:r>
      <w:proofErr w:type="spellEnd"/>
      <w:r w:rsidRPr="00B630BE">
        <w:rPr>
          <w:rFonts w:eastAsia="Calibri"/>
          <w:color w:val="000000"/>
          <w:sz w:val="20"/>
          <w:szCs w:val="20"/>
        </w:rPr>
        <w:t xml:space="preserve"> a </w:t>
      </w:r>
      <w:proofErr w:type="spellStart"/>
      <w:r w:rsidRPr="00B630BE">
        <w:rPr>
          <w:rFonts w:eastAsia="Calibri"/>
          <w:color w:val="000000"/>
          <w:sz w:val="20"/>
          <w:szCs w:val="20"/>
        </w:rPr>
        <w:t>relevant</w:t>
      </w:r>
      <w:proofErr w:type="spellEnd"/>
      <w:r w:rsidRPr="00B630BE">
        <w:rPr>
          <w:rFonts w:eastAsia="Calibri"/>
          <w:color w:val="000000"/>
          <w:sz w:val="20"/>
          <w:szCs w:val="20"/>
        </w:rPr>
        <w:t xml:space="preserve"> </w:t>
      </w:r>
      <w:proofErr w:type="spellStart"/>
      <w:r w:rsidRPr="00B630BE">
        <w:rPr>
          <w:rFonts w:eastAsia="Calibri"/>
          <w:color w:val="000000"/>
          <w:sz w:val="20"/>
          <w:szCs w:val="20"/>
        </w:rPr>
        <w:lastRenderedPageBreak/>
        <w:t>research</w:t>
      </w:r>
      <w:proofErr w:type="spellEnd"/>
      <w:r w:rsidRPr="00B630BE">
        <w:rPr>
          <w:rFonts w:eastAsia="Calibri"/>
          <w:color w:val="000000"/>
          <w:sz w:val="20"/>
          <w:szCs w:val="20"/>
        </w:rPr>
        <w:t xml:space="preserve"> gap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underscores</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the</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innovative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character</w:t>
      </w:r>
      <w:proofErr w:type="spellEnd"/>
      <w:r w:rsidRPr="00B630BE">
        <w:rPr>
          <w:rFonts w:eastAsia="Calibri"/>
          <w:color w:val="000000"/>
          <w:sz w:val="20"/>
          <w:szCs w:val="20"/>
        </w:rPr>
        <w:t xml:space="preserve"> </w:t>
      </w:r>
      <w:proofErr w:type="spellStart"/>
      <w:r w:rsidRPr="00B630BE">
        <w:rPr>
          <w:rFonts w:eastAsia="Calibri"/>
          <w:color w:val="000000"/>
          <w:sz w:val="20"/>
          <w:szCs w:val="20"/>
        </w:rPr>
        <w:t>of</w:t>
      </w:r>
      <w:proofErr w:type="spellEnd"/>
      <w:r w:rsidRPr="00B630BE">
        <w:rPr>
          <w:rFonts w:eastAsia="Calibri"/>
          <w:color w:val="000000"/>
          <w:sz w:val="20"/>
          <w:szCs w:val="20"/>
        </w:rPr>
        <w:t xml:space="preserve"> </w:t>
      </w:r>
      <w:proofErr w:type="spellStart"/>
      <w:r w:rsidRPr="00B630BE">
        <w:rPr>
          <w:rFonts w:eastAsia="Calibri"/>
          <w:color w:val="000000"/>
          <w:sz w:val="20"/>
          <w:szCs w:val="20"/>
        </w:rPr>
        <w:t>investigations</w:t>
      </w:r>
      <w:proofErr w:type="spellEnd"/>
      <w:r w:rsidRPr="00B630BE">
        <w:rPr>
          <w:rFonts w:eastAsia="Calibri"/>
          <w:color w:val="000000"/>
          <w:sz w:val="20"/>
          <w:szCs w:val="20"/>
        </w:rPr>
        <w:t xml:space="preserve"> </w:t>
      </w:r>
      <w:proofErr w:type="spellStart"/>
      <w:r w:rsidRPr="00B630BE">
        <w:rPr>
          <w:rFonts w:eastAsia="Calibri"/>
          <w:color w:val="000000"/>
          <w:sz w:val="20"/>
          <w:szCs w:val="20"/>
        </w:rPr>
        <w:t>seeking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to</w:t>
      </w:r>
      <w:proofErr w:type="spellEnd"/>
      <w:r w:rsidRPr="00B630BE">
        <w:rPr>
          <w:rFonts w:eastAsia="Calibri"/>
          <w:color w:val="000000"/>
          <w:sz w:val="20"/>
          <w:szCs w:val="20"/>
        </w:rPr>
        <w:t xml:space="preserve"> </w:t>
      </w:r>
      <w:proofErr w:type="spellStart"/>
      <w:r w:rsidRPr="00B630BE">
        <w:rPr>
          <w:rFonts w:eastAsia="Calibri"/>
          <w:color w:val="000000"/>
          <w:sz w:val="20"/>
          <w:szCs w:val="20"/>
        </w:rPr>
        <w:t>employ</w:t>
      </w:r>
      <w:proofErr w:type="spellEnd"/>
      <w:r w:rsidRPr="00B630BE">
        <w:rPr>
          <w:rFonts w:eastAsia="Calibri"/>
          <w:color w:val="000000"/>
          <w:sz w:val="20"/>
          <w:szCs w:val="20"/>
        </w:rPr>
        <w:t xml:space="preserve"> </w:t>
      </w:r>
      <w:proofErr w:type="spellStart"/>
      <w:r w:rsidRPr="00B630BE">
        <w:rPr>
          <w:rFonts w:eastAsia="Calibri"/>
          <w:color w:val="000000"/>
          <w:sz w:val="20"/>
          <w:szCs w:val="20"/>
        </w:rPr>
        <w:t>this</w:t>
      </w:r>
      <w:proofErr w:type="spellEnd"/>
      <w:r w:rsidRPr="00B630BE">
        <w:rPr>
          <w:rFonts w:eastAsia="Calibri"/>
          <w:color w:val="000000"/>
          <w:sz w:val="20"/>
          <w:szCs w:val="20"/>
        </w:rPr>
        <w:t xml:space="preserve"> </w:t>
      </w:r>
      <w:proofErr w:type="spellStart"/>
      <w:r w:rsidRPr="00B630BE">
        <w:rPr>
          <w:rFonts w:eastAsia="Calibri"/>
          <w:color w:val="000000"/>
          <w:sz w:val="20"/>
          <w:szCs w:val="20"/>
        </w:rPr>
        <w:t>native</w:t>
      </w:r>
      <w:proofErr w:type="spellEnd"/>
      <w:r w:rsidRPr="00B630BE">
        <w:rPr>
          <w:rFonts w:eastAsia="Calibri"/>
          <w:color w:val="000000"/>
          <w:sz w:val="20"/>
          <w:szCs w:val="20"/>
        </w:rPr>
        <w:t xml:space="preserve"> </w:t>
      </w:r>
      <w:proofErr w:type="spellStart"/>
      <w:r w:rsidRPr="00B630BE">
        <w:rPr>
          <w:rFonts w:eastAsia="Calibri"/>
          <w:color w:val="000000"/>
          <w:sz w:val="20"/>
          <w:szCs w:val="20"/>
        </w:rPr>
        <w:t>Brazilian</w:t>
      </w:r>
      <w:proofErr w:type="spellEnd"/>
      <w:r w:rsidRPr="00B630BE">
        <w:rPr>
          <w:rFonts w:eastAsia="Calibri"/>
          <w:color w:val="000000"/>
          <w:sz w:val="20"/>
          <w:szCs w:val="20"/>
        </w:rPr>
        <w:t xml:space="preserve"> </w:t>
      </w:r>
      <w:proofErr w:type="spellStart"/>
      <w:r w:rsidRPr="00B630BE">
        <w:rPr>
          <w:rFonts w:eastAsia="Calibri"/>
          <w:color w:val="000000"/>
          <w:sz w:val="20"/>
          <w:szCs w:val="20"/>
        </w:rPr>
        <w:t>species</w:t>
      </w:r>
      <w:proofErr w:type="spellEnd"/>
      <w:r w:rsidRPr="00B630BE">
        <w:rPr>
          <w:rFonts w:eastAsia="Calibri"/>
          <w:color w:val="000000"/>
          <w:sz w:val="20"/>
          <w:szCs w:val="20"/>
        </w:rPr>
        <w:t xml:space="preserve"> as a </w:t>
      </w:r>
      <w:proofErr w:type="spellStart"/>
      <w:r w:rsidRPr="00B630BE">
        <w:rPr>
          <w:rFonts w:eastAsia="Calibri"/>
          <w:color w:val="000000"/>
          <w:sz w:val="20"/>
          <w:szCs w:val="20"/>
        </w:rPr>
        <w:t>reducing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and</w:t>
      </w:r>
      <w:proofErr w:type="spellEnd"/>
      <w:r w:rsidRPr="00B630BE">
        <w:rPr>
          <w:rFonts w:eastAsia="Calibri"/>
          <w:color w:val="000000"/>
          <w:sz w:val="20"/>
          <w:szCs w:val="20"/>
        </w:rPr>
        <w:t xml:space="preserve"> </w:t>
      </w:r>
      <w:proofErr w:type="spellStart"/>
      <w:r w:rsidRPr="00B630BE">
        <w:rPr>
          <w:rFonts w:eastAsia="Calibri"/>
          <w:color w:val="000000"/>
          <w:sz w:val="20"/>
          <w:szCs w:val="20"/>
        </w:rPr>
        <w:t>stabilizing</w:t>
      </w:r>
      <w:proofErr w:type="spellEnd"/>
      <w:r w:rsidRPr="00B630BE">
        <w:rPr>
          <w:rFonts w:eastAsia="Calibri"/>
          <w:color w:val="000000"/>
          <w:sz w:val="20"/>
          <w:szCs w:val="20"/>
        </w:rPr>
        <w:t xml:space="preserve"> </w:t>
      </w:r>
      <w:proofErr w:type="spellStart"/>
      <w:r w:rsidRPr="00B630BE">
        <w:rPr>
          <w:rFonts w:eastAsia="Calibri"/>
          <w:color w:val="000000"/>
          <w:sz w:val="20"/>
          <w:szCs w:val="20"/>
        </w:rPr>
        <w:t>agent</w:t>
      </w:r>
      <w:proofErr w:type="spellEnd"/>
      <w:r w:rsidRPr="00B630BE">
        <w:rPr>
          <w:rFonts w:eastAsia="Calibri"/>
          <w:color w:val="000000"/>
          <w:sz w:val="20"/>
          <w:szCs w:val="20"/>
        </w:rPr>
        <w:t xml:space="preserve"> in </w:t>
      </w:r>
      <w:proofErr w:type="spellStart"/>
      <w:r w:rsidRPr="00B630BE">
        <w:rPr>
          <w:rFonts w:eastAsia="Calibri"/>
          <w:color w:val="000000"/>
          <w:sz w:val="20"/>
          <w:szCs w:val="20"/>
        </w:rPr>
        <w:t>nanoparticle</w:t>
      </w:r>
      <w:proofErr w:type="spellEnd"/>
      <w:r w:rsidRPr="00B630BE">
        <w:rPr>
          <w:rFonts w:eastAsia="Calibri"/>
          <w:color w:val="000000"/>
          <w:sz w:val="20"/>
          <w:szCs w:val="20"/>
        </w:rPr>
        <w:t xml:space="preserve"> </w:t>
      </w:r>
      <w:proofErr w:type="spellStart"/>
      <w:r w:rsidRPr="00B630BE">
        <w:rPr>
          <w:rFonts w:eastAsia="Calibri"/>
          <w:color w:val="000000"/>
          <w:sz w:val="20"/>
          <w:szCs w:val="20"/>
        </w:rPr>
        <w:t>production</w:t>
      </w:r>
      <w:proofErr w:type="spellEnd"/>
      <w:r w:rsidRPr="00B630BE">
        <w:rPr>
          <w:rFonts w:eastAsia="Calibri"/>
          <w:color w:val="000000"/>
          <w:sz w:val="20"/>
          <w:szCs w:val="20"/>
        </w:rPr>
        <w:t>.</w:t>
      </w:r>
    </w:p>
    <w:p w14:paraId="32540989" w14:textId="77777777" w:rsidR="00940F8C" w:rsidRPr="007E129A" w:rsidRDefault="00940F8C" w:rsidP="00940F8C">
      <w:pPr>
        <w:pBdr>
          <w:top w:val="nil"/>
          <w:left w:val="nil"/>
          <w:bottom w:val="nil"/>
          <w:right w:val="nil"/>
          <w:between w:val="nil"/>
        </w:pBdr>
        <w:spacing w:line="276" w:lineRule="auto"/>
        <w:ind w:firstLine="708"/>
        <w:jc w:val="both"/>
        <w:rPr>
          <w:rFonts w:eastAsia="Calibri"/>
          <w:b/>
          <w:i/>
          <w:color w:val="000000"/>
          <w:sz w:val="20"/>
          <w:szCs w:val="20"/>
        </w:rPr>
      </w:pPr>
    </w:p>
    <w:p w14:paraId="089AFC17" w14:textId="77777777" w:rsidR="006304E5" w:rsidRPr="00087E39" w:rsidRDefault="006304E5" w:rsidP="006304E5">
      <w:pPr>
        <w:rPr>
          <w:b/>
        </w:rPr>
      </w:pPr>
      <w:r w:rsidRPr="00087E39">
        <w:rPr>
          <w:b/>
        </w:rPr>
        <w:t>Disclaimer (Artificial intelligence)</w:t>
      </w:r>
    </w:p>
    <w:p w14:paraId="3CC5C204" w14:textId="77777777" w:rsidR="006304E5" w:rsidRPr="00087E39" w:rsidRDefault="006304E5" w:rsidP="006304E5">
      <w:r w:rsidRPr="00087E39">
        <w:t xml:space="preserve">Author(s) hereby declare that NO generative AI technologies such as Large Language Models (ChatGPT, COPILOT, etc.) and text-to-image generators have been used during the writing or editing of this manuscript. </w:t>
      </w:r>
    </w:p>
    <w:p w14:paraId="0EB0DF6C" w14:textId="62E97704" w:rsidR="00977857" w:rsidRDefault="00977857" w:rsidP="00230D4E">
      <w:pPr>
        <w:pBdr>
          <w:top w:val="nil"/>
          <w:left w:val="nil"/>
          <w:bottom w:val="nil"/>
          <w:right w:val="nil"/>
          <w:between w:val="nil"/>
        </w:pBdr>
        <w:spacing w:line="276" w:lineRule="auto"/>
        <w:ind w:firstLine="708"/>
        <w:jc w:val="both"/>
        <w:rPr>
          <w:rFonts w:eastAsia="Calibri"/>
          <w:b/>
          <w:color w:val="000000"/>
          <w:sz w:val="20"/>
          <w:szCs w:val="20"/>
        </w:rPr>
      </w:pPr>
    </w:p>
    <w:p w14:paraId="3187CFC9" w14:textId="77777777" w:rsidR="00535475" w:rsidRPr="0082687A" w:rsidRDefault="00535475" w:rsidP="00230D4E">
      <w:pPr>
        <w:pBdr>
          <w:top w:val="nil"/>
          <w:left w:val="nil"/>
          <w:bottom w:val="nil"/>
          <w:right w:val="nil"/>
          <w:between w:val="nil"/>
        </w:pBdr>
        <w:spacing w:line="276" w:lineRule="auto"/>
        <w:ind w:firstLine="708"/>
        <w:jc w:val="both"/>
        <w:rPr>
          <w:rFonts w:eastAsia="Calibri"/>
          <w:color w:val="000000"/>
          <w:sz w:val="20"/>
          <w:szCs w:val="20"/>
        </w:rPr>
      </w:pPr>
    </w:p>
    <w:p w14:paraId="7D865A50" w14:textId="77777777" w:rsidR="00230D4E" w:rsidRPr="008C2D2F" w:rsidRDefault="00230D4E" w:rsidP="00230D4E">
      <w:pPr>
        <w:pBdr>
          <w:top w:val="nil"/>
          <w:left w:val="nil"/>
          <w:bottom w:val="nil"/>
          <w:right w:val="nil"/>
          <w:between w:val="nil"/>
        </w:pBdr>
        <w:ind w:firstLine="708"/>
        <w:jc w:val="both"/>
        <w:rPr>
          <w:rFonts w:eastAsia="Calibri"/>
          <w:color w:val="000000"/>
          <w:sz w:val="20"/>
          <w:szCs w:val="20"/>
        </w:rPr>
      </w:pPr>
    </w:p>
    <w:p w14:paraId="2643B4E3" w14:textId="77777777" w:rsidR="00230D4E" w:rsidRPr="008C2D2F" w:rsidRDefault="00230D4E" w:rsidP="00230D4E">
      <w:pPr>
        <w:spacing w:line="288" w:lineRule="auto"/>
        <w:ind w:left="1418" w:hanging="1276"/>
        <w:rPr>
          <w:rFonts w:eastAsia="Calibri"/>
          <w:sz w:val="20"/>
          <w:szCs w:val="20"/>
        </w:rPr>
      </w:pPr>
      <w:r w:rsidRPr="008C2D2F">
        <w:rPr>
          <w:rFonts w:eastAsia="Calibri"/>
          <w:b/>
          <w:sz w:val="20"/>
          <w:szCs w:val="20"/>
        </w:rPr>
        <w:t>6 R</w:t>
      </w:r>
      <w:r>
        <w:rPr>
          <w:rFonts w:eastAsia="Calibri"/>
          <w:b/>
          <w:sz w:val="20"/>
          <w:szCs w:val="20"/>
        </w:rPr>
        <w:t xml:space="preserve">eferences </w:t>
      </w:r>
    </w:p>
    <w:p w14:paraId="0E7F2BD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Abisharani, J. M., Devikala, S., Kumar, R. D., Arthanareeswari, M., &amp; Kamaraj, P. (2019). Green synthesis of TiO</w:t>
      </w:r>
      <w:r w:rsidRPr="008C2D2F">
        <w:rPr>
          <w:rFonts w:eastAsia="Calibri"/>
          <w:sz w:val="20"/>
          <w:szCs w:val="20"/>
          <w:vertAlign w:val="subscript"/>
        </w:rPr>
        <w:t>2</w:t>
      </w:r>
      <w:r w:rsidRPr="008C2D2F">
        <w:rPr>
          <w:rFonts w:eastAsia="Calibri"/>
          <w:sz w:val="20"/>
          <w:szCs w:val="20"/>
        </w:rPr>
        <w:t xml:space="preserve"> nanoparticles using Cucurbita pepo seeds extract. </w:t>
      </w:r>
      <w:r w:rsidRPr="008C2D2F">
        <w:rPr>
          <w:rFonts w:eastAsia="Calibri"/>
          <w:i/>
          <w:sz w:val="20"/>
          <w:szCs w:val="20"/>
        </w:rPr>
        <w:t>Materials Today: Proceedings</w:t>
      </w:r>
      <w:r w:rsidRPr="008C2D2F">
        <w:rPr>
          <w:rFonts w:eastAsia="Calibri"/>
          <w:sz w:val="20"/>
          <w:szCs w:val="20"/>
        </w:rPr>
        <w:t>, 14, 302–307. https://doi.org/10.1016/j.matpr.2019.04.151</w:t>
      </w:r>
    </w:p>
    <w:p w14:paraId="3FC122C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Adam, R., &amp; Khan, S. B. (2021). Antimicrobial efficacy of silver nanoparticles against Candida albicans: A systematic review protocol. </w:t>
      </w:r>
      <w:r w:rsidRPr="008C2D2F">
        <w:rPr>
          <w:rFonts w:eastAsia="Calibri"/>
          <w:i/>
          <w:sz w:val="20"/>
          <w:szCs w:val="20"/>
        </w:rPr>
        <w:t>Plos One</w:t>
      </w:r>
      <w:r w:rsidRPr="008C2D2F">
        <w:rPr>
          <w:rFonts w:eastAsia="Calibri"/>
          <w:sz w:val="20"/>
          <w:szCs w:val="20"/>
        </w:rPr>
        <w:t>, 16(1), 1-13. https://doi.org/10.1371/journal.pone.0245811</w:t>
      </w:r>
    </w:p>
    <w:p w14:paraId="6F611AE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Albarelli, J., Vardanega, R., Wilkins, N., Santos, D. T., Maréchal, F., &amp; Meireles, M. A. A. (2016). Economical analysis of a pressurized fluid-based process applied for phytochemicals recovery in a sustainable biorefinery concept for Brazilian ginseng roots. </w:t>
      </w:r>
      <w:r w:rsidRPr="008C2D2F">
        <w:rPr>
          <w:rFonts w:eastAsia="Calibri"/>
          <w:i/>
          <w:sz w:val="20"/>
          <w:szCs w:val="20"/>
        </w:rPr>
        <w:t>Chemical Engineering Transactions</w:t>
      </w:r>
      <w:r w:rsidRPr="008C2D2F">
        <w:rPr>
          <w:rFonts w:eastAsia="Calibri"/>
          <w:sz w:val="20"/>
          <w:szCs w:val="20"/>
        </w:rPr>
        <w:t>, 50, 355-360. https://doi.org/10.3303/CET1650060</w:t>
      </w:r>
    </w:p>
    <w:p w14:paraId="7B527A4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Balakumaran, M. D., Ramachandran, R., Balashanmugam, P., Mukeshkumar, D. J., &amp; Kalaichelvan, P. T. (2015). Mycosynthesis of silver and gold nanoparticles: Optimization, characterization and antimicrobial activity against human pathogens. </w:t>
      </w:r>
      <w:r w:rsidRPr="008C2D2F">
        <w:rPr>
          <w:rFonts w:eastAsia="Calibri"/>
          <w:i/>
          <w:sz w:val="20"/>
          <w:szCs w:val="20"/>
        </w:rPr>
        <w:t>Microbiological Research</w:t>
      </w:r>
      <w:r w:rsidRPr="008C2D2F">
        <w:rPr>
          <w:rFonts w:eastAsia="Calibri"/>
          <w:sz w:val="20"/>
          <w:szCs w:val="20"/>
        </w:rPr>
        <w:t>, 182, 8-20. https://doi.org/10.1016/j.micres.2015.09.009</w:t>
      </w:r>
    </w:p>
    <w:p w14:paraId="262A6FA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Balouiri, M., Sadiki, M., &amp; Ibn Souda, S. K. (2015). Methods for in vitro evaluating antimicrobial activity: A review. </w:t>
      </w:r>
      <w:r w:rsidRPr="008C2D2F">
        <w:rPr>
          <w:rFonts w:eastAsia="Calibri"/>
          <w:i/>
          <w:sz w:val="20"/>
          <w:szCs w:val="20"/>
        </w:rPr>
        <w:t>Journal of Pharmaceutical Analysis</w:t>
      </w:r>
      <w:r w:rsidRPr="008C2D2F">
        <w:rPr>
          <w:rFonts w:eastAsia="Calibri"/>
          <w:sz w:val="20"/>
          <w:szCs w:val="20"/>
        </w:rPr>
        <w:t>, 6(2), 71-79. https://doi.org/10.1016/j.jpha.2015.11.005</w:t>
      </w:r>
    </w:p>
    <w:p w14:paraId="450B375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Balastretri, C., Sakai, O. A., Barros, B. C. B., Seixas, F. A. V., Sato, F., Ogawa, C. Y. L., Rocha, S. A., &amp; Mello, J. C. P. (2018). Estudo comparativo entre técnicas de extração convencional e limpa e caracterização dos biocompostos do ginseng brasileiro </w:t>
      </w:r>
      <w:r w:rsidRPr="008C2D2F">
        <w:rPr>
          <w:rFonts w:eastAsia="Calibri"/>
          <w:i/>
          <w:sz w:val="20"/>
          <w:szCs w:val="20"/>
        </w:rPr>
        <w:t>Pfaffia glomerata</w:t>
      </w:r>
      <w:r w:rsidRPr="008C2D2F">
        <w:rPr>
          <w:rFonts w:eastAsia="Calibri"/>
          <w:sz w:val="20"/>
          <w:szCs w:val="20"/>
        </w:rPr>
        <w:t xml:space="preserve"> utilizando FT-RAMAN e FT-NIR. </w:t>
      </w:r>
      <w:r w:rsidRPr="008C2D2F">
        <w:rPr>
          <w:rFonts w:eastAsia="Calibri"/>
          <w:i/>
          <w:sz w:val="20"/>
          <w:szCs w:val="20"/>
        </w:rPr>
        <w:t>Advances in Cleaner Production</w:t>
      </w:r>
      <w:r w:rsidRPr="008C2D2F">
        <w:rPr>
          <w:rFonts w:eastAsia="Calibri"/>
          <w:sz w:val="20"/>
          <w:szCs w:val="20"/>
        </w:rPr>
        <w:t>, 7, 1-9.</w:t>
      </w:r>
    </w:p>
    <w:p w14:paraId="5A57936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Baláž, M., Bedlovičová, Z., Daneu, N., Siksa, P., Sokoli, L., Tkáčiková, L., Salayová, A., Džunda, R., Kováčová, M., Bureš, R., &amp; Bujňáková, Z. L. (2021). Mechanochemistry as an alternative method of green synthesis of silver nanoparticles with antibacterial activity: A comparative study. </w:t>
      </w:r>
      <w:r w:rsidRPr="008C2D2F">
        <w:rPr>
          <w:rFonts w:eastAsia="Calibri"/>
          <w:i/>
          <w:sz w:val="20"/>
          <w:szCs w:val="20"/>
        </w:rPr>
        <w:t>Nanomaterials</w:t>
      </w:r>
      <w:r w:rsidRPr="008C2D2F">
        <w:rPr>
          <w:rFonts w:eastAsia="Calibri"/>
          <w:sz w:val="20"/>
          <w:szCs w:val="20"/>
        </w:rPr>
        <w:t>, 11(5), 1139. https://doi.org/10.3390/nano11051139</w:t>
      </w:r>
    </w:p>
    <w:p w14:paraId="6CBE74C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Barabadi, H., Honary, S., Ebrahimi, P., Mohammadi, M. A., Alizadeh, A., &amp; Naghibi, F. (2014). Microbial mediated preparation, characterization, and optimization of gold nanoparticles. </w:t>
      </w:r>
      <w:r w:rsidRPr="008C2D2F">
        <w:rPr>
          <w:rFonts w:eastAsia="Calibri"/>
          <w:i/>
          <w:sz w:val="20"/>
          <w:szCs w:val="20"/>
        </w:rPr>
        <w:t>Brazilian Journal of Microbiology</w:t>
      </w:r>
      <w:r w:rsidRPr="008C2D2F">
        <w:rPr>
          <w:rFonts w:eastAsia="Calibri"/>
          <w:sz w:val="20"/>
          <w:szCs w:val="20"/>
        </w:rPr>
        <w:t>, 45(4), 1493-1501. https://doi.org/10.1590/S1517-83822014000400046</w:t>
      </w:r>
    </w:p>
    <w:p w14:paraId="61924C5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Behravan, M., Panahi, A. H., Naghizadeh, A., Ziaee, M., Mahdavi, R., &amp; Mirzapour, A. (2018). Facile green synthesis of silver nanoparticles using </w:t>
      </w:r>
      <w:r w:rsidRPr="008C2D2F">
        <w:rPr>
          <w:rFonts w:eastAsia="Calibri"/>
          <w:i/>
          <w:sz w:val="20"/>
          <w:szCs w:val="20"/>
        </w:rPr>
        <w:t>Berberis vulgaris</w:t>
      </w:r>
      <w:r w:rsidRPr="008C2D2F">
        <w:rPr>
          <w:rFonts w:eastAsia="Calibri"/>
          <w:sz w:val="20"/>
          <w:szCs w:val="20"/>
        </w:rPr>
        <w:t xml:space="preserve"> leaf and root aqueous extract and its antibacterial activity. </w:t>
      </w:r>
      <w:r w:rsidRPr="008C2D2F">
        <w:rPr>
          <w:rFonts w:eastAsia="Calibri"/>
          <w:i/>
          <w:sz w:val="20"/>
          <w:szCs w:val="20"/>
        </w:rPr>
        <w:t>International Journal of Biological Macromolecules</w:t>
      </w:r>
      <w:r w:rsidRPr="008C2D2F">
        <w:rPr>
          <w:rFonts w:eastAsia="Calibri"/>
          <w:sz w:val="20"/>
          <w:szCs w:val="20"/>
        </w:rPr>
        <w:t>, 124, 148-154. https://doi.org/10.1016/j.ijbiomac.2018.11.101</w:t>
      </w:r>
    </w:p>
    <w:p w14:paraId="44873D8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Carmona, R. E., Benito, N., Plaza, T., &amp; Sánchez, G. R. (2017). Green synthesis of silver nanoparticles by using leaf extracts from the endemic </w:t>
      </w:r>
      <w:r w:rsidRPr="008C2D2F">
        <w:rPr>
          <w:rFonts w:eastAsia="Calibri"/>
          <w:i/>
          <w:sz w:val="20"/>
          <w:szCs w:val="20"/>
        </w:rPr>
        <w:t xml:space="preserve">Buddleja globosa </w:t>
      </w:r>
      <w:r w:rsidRPr="008C2D2F">
        <w:rPr>
          <w:rFonts w:eastAsia="Calibri"/>
          <w:sz w:val="20"/>
          <w:szCs w:val="20"/>
        </w:rPr>
        <w:t xml:space="preserve">Hope. </w:t>
      </w:r>
      <w:r w:rsidRPr="008C2D2F">
        <w:rPr>
          <w:rFonts w:eastAsia="Calibri"/>
          <w:i/>
          <w:sz w:val="20"/>
          <w:szCs w:val="20"/>
        </w:rPr>
        <w:t>Green Chemistry Letters and Reviews</w:t>
      </w:r>
      <w:r w:rsidRPr="008C2D2F">
        <w:rPr>
          <w:rFonts w:eastAsia="Calibri"/>
          <w:sz w:val="20"/>
          <w:szCs w:val="20"/>
        </w:rPr>
        <w:t>, 10(4), 250-256. https://doi.org/10.1080/17518253.2017.1360400</w:t>
      </w:r>
    </w:p>
    <w:p w14:paraId="134F7BE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Castañeda, J. A. R., Ravina, A. R., Lorenzo, R. B., Gonzalez, J. E. P., Campos, J. C. S., &amp; Salinas, D. F. (2018). Mortality due to KPC carbapenemase-producing Klebsiella pneumoniae infections: Systematic review and meta-analysis: Mortality due to KPC Klebsiella pneumoniae infections. </w:t>
      </w:r>
      <w:r w:rsidRPr="008C2D2F">
        <w:rPr>
          <w:rFonts w:eastAsia="Calibri"/>
          <w:i/>
          <w:sz w:val="20"/>
          <w:szCs w:val="20"/>
        </w:rPr>
        <w:t>Journal of Infection</w:t>
      </w:r>
      <w:r w:rsidRPr="008C2D2F">
        <w:rPr>
          <w:rFonts w:eastAsia="Calibri"/>
          <w:sz w:val="20"/>
          <w:szCs w:val="20"/>
        </w:rPr>
        <w:t>, 76(5), 438-448. https://doi.org/10.1016/j.jinf.2018.02.007</w:t>
      </w:r>
    </w:p>
    <w:p w14:paraId="6B50C799"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Castro-Aceituno, V., Ahn, S., Simu, S. Y., Singh, P., Mathiyalagan, R., Lee, H. A., &amp; Yang, D. C (2016). Anticancer activity of silver nanoparticles from </w:t>
      </w:r>
      <w:r w:rsidRPr="008C2D2F">
        <w:rPr>
          <w:rFonts w:eastAsia="Calibri"/>
          <w:i/>
          <w:sz w:val="20"/>
          <w:szCs w:val="20"/>
        </w:rPr>
        <w:t>Panax ginseng</w:t>
      </w:r>
      <w:r w:rsidRPr="008C2D2F">
        <w:rPr>
          <w:rFonts w:eastAsia="Calibri"/>
          <w:sz w:val="20"/>
          <w:szCs w:val="20"/>
        </w:rPr>
        <w:t xml:space="preserve"> fresh leaves in human cancer </w:t>
      </w:r>
      <w:r w:rsidRPr="008C2D2F">
        <w:rPr>
          <w:rFonts w:eastAsia="Calibri"/>
          <w:sz w:val="20"/>
          <w:szCs w:val="20"/>
        </w:rPr>
        <w:lastRenderedPageBreak/>
        <w:t xml:space="preserve">cells. </w:t>
      </w:r>
      <w:r w:rsidRPr="008C2D2F">
        <w:rPr>
          <w:rFonts w:eastAsia="Calibri"/>
          <w:i/>
          <w:sz w:val="20"/>
          <w:szCs w:val="20"/>
        </w:rPr>
        <w:t>Biomedicine &amp; Pharmacotherapy</w:t>
      </w:r>
      <w:r w:rsidRPr="008C2D2F">
        <w:rPr>
          <w:rFonts w:eastAsia="Calibri"/>
          <w:sz w:val="20"/>
          <w:szCs w:val="20"/>
        </w:rPr>
        <w:t>, 84, 158-165. https://doi.org/10.1016/j.biopha.2016.09.016</w:t>
      </w:r>
    </w:p>
    <w:p w14:paraId="1506166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Chen, J., Luo, H., Shi, H., Li, G., &amp; An, T. (2014). Anatase TiO</w:t>
      </w:r>
      <w:r w:rsidRPr="008C2D2F">
        <w:rPr>
          <w:rFonts w:eastAsia="Calibri"/>
          <w:sz w:val="20"/>
          <w:szCs w:val="20"/>
          <w:vertAlign w:val="subscript"/>
        </w:rPr>
        <w:t>2</w:t>
      </w:r>
      <w:r w:rsidRPr="008C2D2F">
        <w:rPr>
          <w:rFonts w:eastAsia="Calibri"/>
          <w:sz w:val="20"/>
          <w:szCs w:val="20"/>
        </w:rPr>
        <w:t xml:space="preserve"> nanoparticles-carbon nanotubes composite: Optimization synthesis and the relationship of photocatalytic degradation activity of acyclovir in water. </w:t>
      </w:r>
      <w:r w:rsidRPr="008C2D2F">
        <w:rPr>
          <w:rFonts w:eastAsia="Calibri"/>
          <w:i/>
          <w:sz w:val="20"/>
          <w:szCs w:val="20"/>
        </w:rPr>
        <w:t>Applied Catalysis A: General</w:t>
      </w:r>
      <w:r w:rsidRPr="008C2D2F">
        <w:rPr>
          <w:rFonts w:eastAsia="Calibri"/>
          <w:sz w:val="20"/>
          <w:szCs w:val="20"/>
        </w:rPr>
        <w:t xml:space="preserve">, 485, 188-195. </w:t>
      </w:r>
      <w:hyperlink r:id="rId22" w:history="1">
        <w:r w:rsidRPr="008C2D2F">
          <w:rPr>
            <w:rStyle w:val="Hyperlink"/>
            <w:rFonts w:eastAsia="Calibri"/>
            <w:sz w:val="20"/>
            <w:szCs w:val="20"/>
          </w:rPr>
          <w:t>https://doi.org/10.1016/j.apcata.2014.08.004</w:t>
        </w:r>
      </w:hyperlink>
    </w:p>
    <w:p w14:paraId="2595E40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Correa, L. T., Nicoletti, M. A., De Amorim, C. S., Da Costa, A. R., Leoni, L. A. B., Munõz, J. W. P., &amp; Fukushima, A. R. (2020). Atividade antimicrobiana do óleo essencial de Melaleuca e sua incorporação em um creme mucocutâneo. </w:t>
      </w:r>
      <w:r w:rsidRPr="008C2D2F">
        <w:rPr>
          <w:rFonts w:eastAsia="Calibri"/>
          <w:i/>
          <w:sz w:val="20"/>
          <w:szCs w:val="20"/>
        </w:rPr>
        <w:t>Revista Fitos</w:t>
      </w:r>
      <w:r w:rsidRPr="008C2D2F">
        <w:rPr>
          <w:rFonts w:eastAsia="Calibri"/>
          <w:sz w:val="20"/>
          <w:szCs w:val="20"/>
        </w:rPr>
        <w:t xml:space="preserve">, v. 14, n. 1. </w:t>
      </w:r>
      <w:hyperlink r:id="rId23" w:history="1">
        <w:r w:rsidRPr="008C2D2F">
          <w:rPr>
            <w:rStyle w:val="Hyperlink"/>
            <w:rFonts w:eastAsia="Calibri"/>
            <w:sz w:val="20"/>
            <w:szCs w:val="20"/>
          </w:rPr>
          <w:t>https://doi.org/10.32712/2446-4775.2020.818</w:t>
        </w:r>
      </w:hyperlink>
    </w:p>
    <w:p w14:paraId="025AABE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Deshmukh, A. R., Gupta, A., &amp; Kim, B. S. (2019). Ultrasound-assisted green synthesis of silver and iron oxide nanoparticles using fenugreek seed extract and their enhanced antibacterial and antioxidant activities. </w:t>
      </w:r>
      <w:r w:rsidRPr="008C2D2F">
        <w:rPr>
          <w:rFonts w:eastAsia="Calibri"/>
          <w:i/>
          <w:sz w:val="20"/>
          <w:szCs w:val="20"/>
        </w:rPr>
        <w:t>BioMed Research International</w:t>
      </w:r>
      <w:r w:rsidRPr="008C2D2F">
        <w:rPr>
          <w:rFonts w:eastAsia="Calibri"/>
          <w:sz w:val="20"/>
          <w:szCs w:val="20"/>
        </w:rPr>
        <w:t xml:space="preserve">, 2019, 1-13. </w:t>
      </w:r>
      <w:hyperlink r:id="rId24" w:history="1">
        <w:r w:rsidRPr="008C2D2F">
          <w:rPr>
            <w:rStyle w:val="Hyperlink"/>
            <w:rFonts w:eastAsia="Calibri"/>
            <w:sz w:val="20"/>
            <w:szCs w:val="20"/>
          </w:rPr>
          <w:t>https://doi.org/10.1155/2019/1714358</w:t>
        </w:r>
      </w:hyperlink>
    </w:p>
    <w:p w14:paraId="6B80927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Elsharkawy, E. R. (2018). Antimicrobial activity of silver nanoparticles, synthesis by green method from Artemisia monosperma. </w:t>
      </w:r>
      <w:r w:rsidRPr="008C2D2F">
        <w:rPr>
          <w:rFonts w:eastAsia="Calibri"/>
          <w:i/>
          <w:sz w:val="20"/>
          <w:szCs w:val="20"/>
        </w:rPr>
        <w:t>Oriental Journal of Chemistry</w:t>
      </w:r>
      <w:r w:rsidRPr="008C2D2F">
        <w:rPr>
          <w:rFonts w:eastAsia="Calibri"/>
          <w:sz w:val="20"/>
          <w:szCs w:val="20"/>
        </w:rPr>
        <w:t>, 34(3), 1420-1426. http://dx.doi.org/10.13005/ojc/340331</w:t>
      </w:r>
    </w:p>
    <w:p w14:paraId="3E7F636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Fenglian, W., Zhu, J., Li, G., Wang, J., Veeraraghavan, V. P., Mohan, S. K., &amp; Zhang, Q. (2019). Biologically synthesized green gold nanoparticles from Siberian ginseng induce a growth-inhibitory effect on melanoma cells (B16). </w:t>
      </w:r>
      <w:r w:rsidRPr="008C2D2F">
        <w:rPr>
          <w:rFonts w:eastAsia="Calibri"/>
          <w:i/>
          <w:sz w:val="20"/>
          <w:szCs w:val="20"/>
        </w:rPr>
        <w:t>Artificial Cells, Nanomedicine, and Biotechnology</w:t>
      </w:r>
      <w:r w:rsidRPr="008C2D2F">
        <w:rPr>
          <w:rFonts w:eastAsia="Calibri"/>
          <w:sz w:val="20"/>
          <w:szCs w:val="20"/>
        </w:rPr>
        <w:t>, 47(1), 3297-3305. https://doi.org/10.1080/21691401.2019.1647224</w:t>
      </w:r>
    </w:p>
    <w:p w14:paraId="3816441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Gerontakos, S., Taylor, A., Avdeeva, A. Y., Shikova, V. A., Pozharitskaya, O. N., Casteleijn, D., Wardle, J., &amp; Shikov, A. N. (2021). Findings of Russian literature on the clinical application of Eleutherococcus senticosus (Rupr. &amp; Maxim.): A narrative review. </w:t>
      </w:r>
      <w:r w:rsidRPr="008C2D2F">
        <w:rPr>
          <w:rFonts w:eastAsia="Calibri"/>
          <w:i/>
          <w:sz w:val="20"/>
          <w:szCs w:val="20"/>
        </w:rPr>
        <w:t>Journal of Ethnopharmacology</w:t>
      </w:r>
      <w:r w:rsidRPr="008C2D2F">
        <w:rPr>
          <w:rFonts w:eastAsia="Calibri"/>
          <w:sz w:val="20"/>
          <w:szCs w:val="20"/>
        </w:rPr>
        <w:t>, 278, 114274. https://doi.org/10.1016/j.jep.2021.114274</w:t>
      </w:r>
    </w:p>
    <w:p w14:paraId="493FB52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Mohsin, M. M., Hanif, M. A., Ayub, M. A., &amp; Dharmadasa, R. M. (2020). Ginseng. In Medicinal Plants of South Asia (pp. 331-340). Elsevier. </w:t>
      </w:r>
    </w:p>
    <w:p w14:paraId="2C15378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Gouyau, J., Duval, R. E., Boudier, A., &amp; Lamouroux, E. (2021). Investigation of nanoparticles metallic core antibacterial activity: Gold and silver nanoparticles against </w:t>
      </w:r>
      <w:r w:rsidRPr="008C2D2F">
        <w:rPr>
          <w:rFonts w:eastAsia="Calibri"/>
          <w:i/>
          <w:sz w:val="20"/>
          <w:szCs w:val="20"/>
        </w:rPr>
        <w:t>Escherichia coli</w:t>
      </w:r>
      <w:r w:rsidRPr="008C2D2F">
        <w:rPr>
          <w:rFonts w:eastAsia="Calibri"/>
          <w:sz w:val="20"/>
          <w:szCs w:val="20"/>
        </w:rPr>
        <w:t xml:space="preserve"> and </w:t>
      </w:r>
      <w:r w:rsidRPr="008C2D2F">
        <w:rPr>
          <w:rFonts w:eastAsia="Calibri"/>
          <w:i/>
          <w:sz w:val="20"/>
          <w:szCs w:val="20"/>
        </w:rPr>
        <w:t>Staphylococcus aureus</w:t>
      </w:r>
      <w:r w:rsidRPr="008C2D2F">
        <w:rPr>
          <w:rFonts w:eastAsia="Calibri"/>
          <w:sz w:val="20"/>
          <w:szCs w:val="20"/>
        </w:rPr>
        <w:t xml:space="preserve">. </w:t>
      </w:r>
      <w:r w:rsidRPr="008C2D2F">
        <w:rPr>
          <w:rFonts w:eastAsia="Calibri"/>
          <w:i/>
          <w:sz w:val="20"/>
          <w:szCs w:val="20"/>
        </w:rPr>
        <w:t>International Journal of Molecular Sciences</w:t>
      </w:r>
      <w:r w:rsidRPr="008C2D2F">
        <w:rPr>
          <w:rFonts w:eastAsia="Calibri"/>
          <w:sz w:val="20"/>
          <w:szCs w:val="20"/>
        </w:rPr>
        <w:t>, 22(1905). https://doi.org/10.3390/ijms22041905.</w:t>
      </w:r>
    </w:p>
    <w:p w14:paraId="44FF8C1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Hakimi, F., Rashchi, F., Dolati, A., &amp; Astaraei, F. R. (2019). Anodizing Pb electrode for synthesis of β-PbO</w:t>
      </w:r>
      <w:r w:rsidRPr="008C2D2F">
        <w:rPr>
          <w:rFonts w:eastAsia="Calibri"/>
          <w:sz w:val="20"/>
          <w:szCs w:val="20"/>
          <w:vertAlign w:val="subscript"/>
        </w:rPr>
        <w:t>2</w:t>
      </w:r>
      <w:r w:rsidRPr="008C2D2F">
        <w:rPr>
          <w:rFonts w:eastAsia="Calibri"/>
          <w:sz w:val="20"/>
          <w:szCs w:val="20"/>
        </w:rPr>
        <w:t xml:space="preserve"> nanoparticles: Optimization of electrochemical parameters. </w:t>
      </w:r>
      <w:r w:rsidRPr="008C2D2F">
        <w:rPr>
          <w:rFonts w:eastAsia="Calibri"/>
          <w:i/>
          <w:sz w:val="20"/>
          <w:szCs w:val="20"/>
        </w:rPr>
        <w:t>Journal of the Electrochemical Society</w:t>
      </w:r>
      <w:r w:rsidRPr="008C2D2F">
        <w:rPr>
          <w:rFonts w:eastAsia="Calibri"/>
          <w:sz w:val="20"/>
          <w:szCs w:val="20"/>
        </w:rPr>
        <w:t>, 166(13), 617-625. https://doi.org/10.1149/2.0551913jes</w:t>
      </w:r>
    </w:p>
    <w:p w14:paraId="1AADE64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Hanif, M. A. (2019). Muhammad Mubeen Mohsin, Muhammad Asif Hanif, Muhammad Adnan Ayub 2, Ijaz Ahmad Bhatti, Muhammad Idrees Jilani 3. </w:t>
      </w:r>
      <w:r w:rsidRPr="008C2D2F">
        <w:rPr>
          <w:rFonts w:eastAsia="Calibri"/>
          <w:i/>
          <w:sz w:val="20"/>
          <w:szCs w:val="20"/>
        </w:rPr>
        <w:t>Medicinal Plants of South Asia</w:t>
      </w:r>
      <w:r w:rsidRPr="008C2D2F">
        <w:rPr>
          <w:rFonts w:eastAsia="Calibri"/>
          <w:sz w:val="20"/>
          <w:szCs w:val="20"/>
        </w:rPr>
        <w:t>, 231.</w:t>
      </w:r>
    </w:p>
    <w:p w14:paraId="1C6749A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Hulkoti, N. I., &amp; Taranath, T. C. (2014). Biosynthesis of nanoparticles using microbes – A review. </w:t>
      </w:r>
      <w:r w:rsidRPr="008C2D2F">
        <w:rPr>
          <w:rFonts w:eastAsia="Calibri"/>
          <w:i/>
          <w:sz w:val="20"/>
          <w:szCs w:val="20"/>
        </w:rPr>
        <w:t>Colloids and Surfaces B: Biointerfaces</w:t>
      </w:r>
      <w:r w:rsidRPr="008C2D2F">
        <w:rPr>
          <w:rFonts w:eastAsia="Calibri"/>
          <w:sz w:val="20"/>
          <w:szCs w:val="20"/>
        </w:rPr>
        <w:t>, 121, 474-483. https://doi.org/10.1016/j.colsurfb.2014.05.027</w:t>
      </w:r>
    </w:p>
    <w:p w14:paraId="41810659"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Huang, R., Cui, X., Luo, X., Mao, P., Zhuang, P., Li, Y., Li, Y., &amp; Li, Z. (2021). Effects of plant growth regulator and chelating agent on the phytoextraction of heavy metal by </w:t>
      </w:r>
      <w:r w:rsidRPr="008C2D2F">
        <w:rPr>
          <w:rFonts w:eastAsia="Calibri"/>
          <w:i/>
          <w:sz w:val="20"/>
          <w:szCs w:val="20"/>
        </w:rPr>
        <w:t>Pfaffia</w:t>
      </w:r>
      <w:r w:rsidRPr="008C2D2F">
        <w:rPr>
          <w:rFonts w:eastAsia="Calibri"/>
          <w:sz w:val="20"/>
          <w:szCs w:val="20"/>
        </w:rPr>
        <w:t xml:space="preserve"> </w:t>
      </w:r>
      <w:r w:rsidRPr="008C2D2F">
        <w:rPr>
          <w:rFonts w:eastAsia="Calibri"/>
          <w:i/>
          <w:sz w:val="20"/>
          <w:szCs w:val="20"/>
        </w:rPr>
        <w:t>glomerata</w:t>
      </w:r>
      <w:r w:rsidRPr="008C2D2F">
        <w:rPr>
          <w:rFonts w:eastAsia="Calibri"/>
          <w:sz w:val="20"/>
          <w:szCs w:val="20"/>
        </w:rPr>
        <w:t xml:space="preserve"> and on the soil microbial community. </w:t>
      </w:r>
      <w:r w:rsidRPr="008C2D2F">
        <w:rPr>
          <w:rFonts w:eastAsia="Calibri"/>
          <w:i/>
          <w:sz w:val="20"/>
          <w:szCs w:val="20"/>
        </w:rPr>
        <w:t>Environmental Pollution</w:t>
      </w:r>
      <w:r w:rsidRPr="008C2D2F">
        <w:rPr>
          <w:rFonts w:eastAsia="Calibri"/>
          <w:sz w:val="20"/>
          <w:szCs w:val="20"/>
        </w:rPr>
        <w:t>, 283, 1-14. https://doi.org/10.1016/j.envpol.2021.117159</w:t>
      </w:r>
    </w:p>
    <w:p w14:paraId="0DDD622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Ishak, N. A. I., Kamarudin, S. K., &amp; Timmiati, S. N. (2019). Green synthesis of metal and metal oxide nanoparticles via plant extracts: an overview. </w:t>
      </w:r>
      <w:r w:rsidRPr="008C2D2F">
        <w:rPr>
          <w:rFonts w:eastAsia="Calibri"/>
          <w:i/>
          <w:sz w:val="20"/>
          <w:szCs w:val="20"/>
        </w:rPr>
        <w:t>Material Research Express</w:t>
      </w:r>
      <w:r w:rsidRPr="008C2D2F">
        <w:rPr>
          <w:rFonts w:eastAsia="Calibri"/>
          <w:sz w:val="20"/>
          <w:szCs w:val="20"/>
        </w:rPr>
        <w:t>, 6, 11. https://doi.org/10.1088/2053-1591/ab4458</w:t>
      </w:r>
    </w:p>
    <w:p w14:paraId="010AE8C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JankauskaitĿ, V., VitkauskienĿ, A., Lazauskas, A., Baltrusaitis, J., ProsyĿevas, I., &amp; AndruleviĿius, M. (2016). Bactericidal effect of graphene oxide/Cu/Ag nano derivatives against </w:t>
      </w:r>
      <w:r w:rsidRPr="008C2D2F">
        <w:rPr>
          <w:rFonts w:eastAsia="Calibri"/>
          <w:i/>
          <w:sz w:val="20"/>
          <w:szCs w:val="20"/>
        </w:rPr>
        <w:t>Escherichia coli</w:t>
      </w:r>
      <w:r w:rsidRPr="008C2D2F">
        <w:rPr>
          <w:rFonts w:eastAsia="Calibri"/>
          <w:sz w:val="20"/>
          <w:szCs w:val="20"/>
        </w:rPr>
        <w:t xml:space="preserve">, </w:t>
      </w:r>
      <w:r w:rsidRPr="008C2D2F">
        <w:rPr>
          <w:rFonts w:eastAsia="Calibri"/>
          <w:i/>
          <w:sz w:val="20"/>
          <w:szCs w:val="20"/>
        </w:rPr>
        <w:t>Pseudomonas aeruginosa</w:t>
      </w:r>
      <w:r w:rsidRPr="008C2D2F">
        <w:rPr>
          <w:rFonts w:eastAsia="Calibri"/>
          <w:sz w:val="20"/>
          <w:szCs w:val="20"/>
        </w:rPr>
        <w:t xml:space="preserve">, </w:t>
      </w:r>
      <w:r w:rsidRPr="008C2D2F">
        <w:rPr>
          <w:rFonts w:eastAsia="Calibri"/>
          <w:i/>
          <w:sz w:val="20"/>
          <w:szCs w:val="20"/>
        </w:rPr>
        <w:t>Klebsiella pneumoniae</w:t>
      </w:r>
      <w:r w:rsidRPr="008C2D2F">
        <w:rPr>
          <w:rFonts w:eastAsia="Calibri"/>
          <w:sz w:val="20"/>
          <w:szCs w:val="20"/>
        </w:rPr>
        <w:t xml:space="preserve">, </w:t>
      </w:r>
      <w:r w:rsidRPr="008C2D2F">
        <w:rPr>
          <w:rFonts w:eastAsia="Calibri"/>
          <w:i/>
          <w:sz w:val="20"/>
          <w:szCs w:val="20"/>
        </w:rPr>
        <w:t>Staphylococcus aureus</w:t>
      </w:r>
      <w:r w:rsidRPr="008C2D2F">
        <w:rPr>
          <w:rFonts w:eastAsia="Calibri"/>
          <w:sz w:val="20"/>
          <w:szCs w:val="20"/>
        </w:rPr>
        <w:t xml:space="preserve">, and </w:t>
      </w:r>
      <w:r w:rsidRPr="008C2D2F">
        <w:rPr>
          <w:rFonts w:eastAsia="Calibri"/>
          <w:i/>
          <w:sz w:val="20"/>
          <w:szCs w:val="20"/>
        </w:rPr>
        <w:t>Methicillin-resistant Staphylococcus aureus</w:t>
      </w:r>
      <w:r w:rsidRPr="008C2D2F">
        <w:rPr>
          <w:rFonts w:eastAsia="Calibri"/>
          <w:sz w:val="20"/>
          <w:szCs w:val="20"/>
        </w:rPr>
        <w:t xml:space="preserve">. </w:t>
      </w:r>
      <w:r w:rsidRPr="008C2D2F">
        <w:rPr>
          <w:rFonts w:eastAsia="Calibri"/>
          <w:i/>
          <w:sz w:val="20"/>
          <w:szCs w:val="20"/>
        </w:rPr>
        <w:t>International Journal of Pharmaceutics,</w:t>
      </w:r>
      <w:r w:rsidRPr="008C2D2F">
        <w:rPr>
          <w:rFonts w:eastAsia="Calibri"/>
          <w:sz w:val="20"/>
          <w:szCs w:val="20"/>
        </w:rPr>
        <w:t xml:space="preserve"> 511(1), 90-97. https://doi.org/10.1016/j.ijpharm.2016.06.121</w:t>
      </w:r>
    </w:p>
    <w:p w14:paraId="1A91E5A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Jiménez-Pérez, Z. E., Singh, P., Kin, Y. J., Mathiyalagan, R., Kim, D. Y., Lee, M. H., &amp; Yang, D. C. (2017). Applications of Panax ginseng leaves mediated gold nanoparticles in cosmetics: Relation to antioxidant, moisture retention, and whitening effect on B16BL6 cells. </w:t>
      </w:r>
      <w:r w:rsidRPr="008C2D2F">
        <w:rPr>
          <w:rFonts w:eastAsia="Calibri"/>
          <w:i/>
          <w:sz w:val="20"/>
          <w:szCs w:val="20"/>
        </w:rPr>
        <w:t>Journal of</w:t>
      </w:r>
      <w:r w:rsidRPr="008C2D2F">
        <w:rPr>
          <w:rFonts w:eastAsia="Calibri"/>
          <w:sz w:val="20"/>
          <w:szCs w:val="20"/>
        </w:rPr>
        <w:t xml:space="preserve"> </w:t>
      </w:r>
      <w:r w:rsidRPr="008C2D2F">
        <w:rPr>
          <w:rFonts w:eastAsia="Calibri"/>
          <w:i/>
          <w:sz w:val="20"/>
          <w:szCs w:val="20"/>
        </w:rPr>
        <w:t>Ginseng Research</w:t>
      </w:r>
      <w:r w:rsidRPr="008C2D2F">
        <w:rPr>
          <w:rFonts w:eastAsia="Calibri"/>
          <w:sz w:val="20"/>
          <w:szCs w:val="20"/>
        </w:rPr>
        <w:t xml:space="preserve">. </w:t>
      </w:r>
      <w:hyperlink r:id="rId25" w:history="1">
        <w:r w:rsidRPr="008C2D2F">
          <w:rPr>
            <w:rStyle w:val="Hyperlink"/>
            <w:rFonts w:eastAsia="Calibri"/>
            <w:sz w:val="20"/>
            <w:szCs w:val="20"/>
          </w:rPr>
          <w:t>https://doi.org/10.1016/j.jgr.2017.04.003</w:t>
        </w:r>
      </w:hyperlink>
    </w:p>
    <w:p w14:paraId="6A230D3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lastRenderedPageBreak/>
        <w:t xml:space="preserve">Kalita, D., &amp; Baruah, S. (2019). The impact of nanotechnology on food. In R. do Nascimento, O. P. Ferreira, A. J. de Paula, &amp; V. D. O. S. Neto (Eds.), </w:t>
      </w:r>
      <w:r w:rsidRPr="008C2D2F">
        <w:rPr>
          <w:rFonts w:eastAsia="Calibri"/>
          <w:i/>
          <w:sz w:val="20"/>
          <w:szCs w:val="20"/>
        </w:rPr>
        <w:t>Nanomaterials Applications for</w:t>
      </w:r>
      <w:r w:rsidRPr="008C2D2F">
        <w:rPr>
          <w:rFonts w:eastAsia="Calibri"/>
          <w:sz w:val="20"/>
          <w:szCs w:val="20"/>
        </w:rPr>
        <w:t xml:space="preserve"> </w:t>
      </w:r>
      <w:r w:rsidRPr="008C2D2F">
        <w:rPr>
          <w:rFonts w:eastAsia="Calibri"/>
          <w:i/>
          <w:sz w:val="20"/>
          <w:szCs w:val="20"/>
        </w:rPr>
        <w:t>Environmental Matrices</w:t>
      </w:r>
      <w:r w:rsidRPr="008C2D2F">
        <w:rPr>
          <w:rFonts w:eastAsia="Calibri"/>
          <w:sz w:val="20"/>
          <w:szCs w:val="20"/>
        </w:rPr>
        <w:t xml:space="preserve"> (pp. 369–379). Elsevier: Amsterdam, The Netherlands.</w:t>
      </w:r>
    </w:p>
    <w:p w14:paraId="5DBE86A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Khan, M. A., Wu, V. M., Ghosh, S., &amp; Uskokovic, V. (2016). Gene delivery using calcium phosphate nanoparticles: Optimization of the transfection process and the effects of citrate and poly(L-lysine) as additives. </w:t>
      </w:r>
      <w:r w:rsidRPr="008C2D2F">
        <w:rPr>
          <w:rFonts w:eastAsia="Calibri"/>
          <w:i/>
          <w:sz w:val="20"/>
          <w:szCs w:val="20"/>
        </w:rPr>
        <w:t>Journal of Colloid and Interface Science</w:t>
      </w:r>
      <w:r w:rsidRPr="008C2D2F">
        <w:rPr>
          <w:rFonts w:eastAsia="Calibri"/>
          <w:sz w:val="20"/>
          <w:szCs w:val="20"/>
        </w:rPr>
        <w:t>, 471, 48-58. https://doi.org/10.1016/j.jcis.2016.03.007</w:t>
      </w:r>
    </w:p>
    <w:p w14:paraId="714189E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Kuppusamy, P., Yusoff, M. M., Maniam, G. P., &amp; Govindan, N. (2014). Biosynthesis of metallic nanoparticles using plant derivatives and their new avenues in pharmacological applications – An updated report. </w:t>
      </w:r>
      <w:r w:rsidRPr="008C2D2F">
        <w:rPr>
          <w:rFonts w:eastAsia="Calibri"/>
          <w:i/>
          <w:sz w:val="20"/>
          <w:szCs w:val="20"/>
        </w:rPr>
        <w:t>Saudi Pharmaceutical Journal</w:t>
      </w:r>
      <w:r w:rsidRPr="008C2D2F">
        <w:rPr>
          <w:rFonts w:eastAsia="Calibri"/>
          <w:sz w:val="20"/>
          <w:szCs w:val="20"/>
        </w:rPr>
        <w:t>, 24(4), 473-484. https://doi.org/10.1016/j.jsps.2014.11.013</w:t>
      </w:r>
    </w:p>
    <w:p w14:paraId="7A53D10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Leal, C., Gouvinhas, I., Santos, R. A., Rosa, E., Silva, A. M., Saavedra, M. J., &amp; Barros, A. I. R. N. A. (2020). Potential application of grape (</w:t>
      </w:r>
      <w:r w:rsidRPr="008C2D2F">
        <w:rPr>
          <w:rFonts w:eastAsia="Calibri"/>
          <w:i/>
          <w:sz w:val="20"/>
          <w:szCs w:val="20"/>
        </w:rPr>
        <w:t>Vitis vinifera L</w:t>
      </w:r>
      <w:r w:rsidRPr="008C2D2F">
        <w:rPr>
          <w:rFonts w:eastAsia="Calibri"/>
          <w:sz w:val="20"/>
          <w:szCs w:val="20"/>
        </w:rPr>
        <w:t xml:space="preserve">.) stem extracts in the cosmetic and pharmaceutical industries: Valorization of a by-product. </w:t>
      </w:r>
      <w:r w:rsidRPr="008C2D2F">
        <w:rPr>
          <w:rFonts w:eastAsia="Calibri"/>
          <w:i/>
          <w:sz w:val="20"/>
          <w:szCs w:val="20"/>
        </w:rPr>
        <w:t>Industrial Crops &amp; Products</w:t>
      </w:r>
      <w:r w:rsidRPr="008C2D2F">
        <w:rPr>
          <w:rFonts w:eastAsia="Calibri"/>
          <w:sz w:val="20"/>
          <w:szCs w:val="20"/>
        </w:rPr>
        <w:t>, 154, 1-11. https://doi.org/10.1016/j.indcrop.2020.112675</w:t>
      </w:r>
    </w:p>
    <w:p w14:paraId="7C862A3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Li, W. H., &amp; Yang, N. (2016). Green and facile synthesis of Ag-Fe</w:t>
      </w:r>
      <w:r w:rsidRPr="008C2D2F">
        <w:rPr>
          <w:rFonts w:eastAsia="Calibri"/>
          <w:sz w:val="20"/>
          <w:szCs w:val="20"/>
          <w:vertAlign w:val="subscript"/>
        </w:rPr>
        <w:t>3</w:t>
      </w:r>
      <w:r w:rsidRPr="008C2D2F">
        <w:rPr>
          <w:rFonts w:eastAsia="Calibri"/>
          <w:sz w:val="20"/>
          <w:szCs w:val="20"/>
        </w:rPr>
        <w:t>O</w:t>
      </w:r>
      <w:r w:rsidRPr="008C2D2F">
        <w:rPr>
          <w:rFonts w:eastAsia="Calibri"/>
          <w:sz w:val="20"/>
          <w:szCs w:val="20"/>
          <w:vertAlign w:val="subscript"/>
        </w:rPr>
        <w:t>4</w:t>
      </w:r>
      <w:r w:rsidRPr="008C2D2F">
        <w:rPr>
          <w:rFonts w:eastAsia="Calibri"/>
          <w:sz w:val="20"/>
          <w:szCs w:val="20"/>
        </w:rPr>
        <w:t xml:space="preserve"> nanocomposites using the aqueous extract of </w:t>
      </w:r>
      <w:r w:rsidRPr="008C2D2F">
        <w:rPr>
          <w:rFonts w:eastAsia="Calibri"/>
          <w:i/>
          <w:sz w:val="20"/>
          <w:szCs w:val="20"/>
        </w:rPr>
        <w:t>Crataegus pinnatifida</w:t>
      </w:r>
      <w:r w:rsidRPr="008C2D2F">
        <w:rPr>
          <w:rFonts w:eastAsia="Calibri"/>
          <w:sz w:val="20"/>
          <w:szCs w:val="20"/>
        </w:rPr>
        <w:t xml:space="preserve"> leaves and their antibacterial performance. </w:t>
      </w:r>
      <w:r w:rsidRPr="008C2D2F">
        <w:rPr>
          <w:rFonts w:eastAsia="Calibri"/>
          <w:i/>
          <w:sz w:val="20"/>
          <w:szCs w:val="20"/>
        </w:rPr>
        <w:t>Materials Letters</w:t>
      </w:r>
      <w:r w:rsidRPr="008C2D2F">
        <w:rPr>
          <w:rFonts w:eastAsia="Calibri"/>
          <w:sz w:val="20"/>
          <w:szCs w:val="20"/>
        </w:rPr>
        <w:t>, 162, 157-160. https://doi.org/10.1016/j.matlet.2015.09.064</w:t>
      </w:r>
    </w:p>
    <w:p w14:paraId="420D8C5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Madhumitha, G., Elango, G., &amp; Roopan, S. M. (2014). Bio-functionalized doped silver nanoparticles and their antimicrobial studies. </w:t>
      </w:r>
      <w:r w:rsidRPr="008C2D2F">
        <w:rPr>
          <w:rFonts w:eastAsia="Calibri"/>
          <w:i/>
          <w:sz w:val="20"/>
          <w:szCs w:val="20"/>
        </w:rPr>
        <w:t>Journal of Sol-Gel Science and Technology</w:t>
      </w:r>
      <w:r w:rsidRPr="008C2D2F">
        <w:rPr>
          <w:rFonts w:eastAsia="Calibri"/>
          <w:sz w:val="20"/>
          <w:szCs w:val="20"/>
        </w:rPr>
        <w:t xml:space="preserve">, 98, 5289–5300. </w:t>
      </w:r>
      <w:hyperlink r:id="rId26" w:history="1">
        <w:r w:rsidRPr="008C2D2F">
          <w:rPr>
            <w:rStyle w:val="Hyperlink"/>
            <w:rFonts w:eastAsia="Calibri"/>
            <w:sz w:val="20"/>
            <w:szCs w:val="20"/>
          </w:rPr>
          <w:t>https://doi.org/10.1007/s10971-014-3591-2</w:t>
        </w:r>
      </w:hyperlink>
    </w:p>
    <w:p w14:paraId="1CCEC1A6"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Manandhar, S., Luitel, S., &amp; Dahal, R. K. (2019). In vitro antimicrobial activity of some medicinal plants against human pathogenic bacteria. </w:t>
      </w:r>
      <w:r w:rsidRPr="008C2D2F">
        <w:rPr>
          <w:rFonts w:eastAsia="Calibri"/>
          <w:i/>
          <w:sz w:val="20"/>
          <w:szCs w:val="20"/>
        </w:rPr>
        <w:t>Journal of Tropical Medicine</w:t>
      </w:r>
      <w:r w:rsidRPr="008C2D2F">
        <w:rPr>
          <w:rFonts w:eastAsia="Calibri"/>
          <w:sz w:val="20"/>
          <w:szCs w:val="20"/>
        </w:rPr>
        <w:t xml:space="preserve">, 2019, 1-6. </w:t>
      </w:r>
      <w:hyperlink r:id="rId27" w:history="1">
        <w:r w:rsidRPr="008C2D2F">
          <w:rPr>
            <w:rStyle w:val="Hyperlink"/>
            <w:rFonts w:eastAsia="Calibri"/>
            <w:sz w:val="20"/>
            <w:szCs w:val="20"/>
          </w:rPr>
          <w:t>https://doi.org/10.1155/2019/1895340</w:t>
        </w:r>
      </w:hyperlink>
    </w:p>
    <w:p w14:paraId="42E7CC6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Martins, N. M. (2020). </w:t>
      </w:r>
      <w:r w:rsidRPr="008C2D2F">
        <w:rPr>
          <w:rFonts w:eastAsia="Calibri"/>
          <w:i/>
          <w:sz w:val="20"/>
          <w:szCs w:val="20"/>
        </w:rPr>
        <w:t>Pfaffia glomerata (Spreng.) Pedersen: Estudo em extrato aquoso e síntese verde de nanopartículas de ouro</w:t>
      </w:r>
      <w:r w:rsidRPr="008C2D2F">
        <w:rPr>
          <w:rFonts w:eastAsia="Calibri"/>
          <w:sz w:val="20"/>
          <w:szCs w:val="20"/>
        </w:rPr>
        <w:t>. Dissertação (Mestrado em Sustentabilidade) – IFPR/UEM, Umuarama, p. 40.</w:t>
      </w:r>
    </w:p>
    <w:p w14:paraId="519A6A9B"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Maurya, A., Prasad, J., Das, S., &amp; Dwivedy, A. K. (2021). Essential oils and their application in food safety. </w:t>
      </w:r>
      <w:r w:rsidRPr="008C2D2F">
        <w:rPr>
          <w:rFonts w:eastAsia="Calibri"/>
          <w:i/>
          <w:sz w:val="20"/>
          <w:szCs w:val="20"/>
        </w:rPr>
        <w:t>Frontiers in Sustainable Food Systems</w:t>
      </w:r>
      <w:r w:rsidRPr="008C2D2F">
        <w:rPr>
          <w:rFonts w:eastAsia="Calibri"/>
          <w:sz w:val="20"/>
          <w:szCs w:val="20"/>
        </w:rPr>
        <w:t>, 5. https://doi.org/10.3389/fsufs.2021.653420</w:t>
      </w:r>
    </w:p>
    <w:p w14:paraId="2BF8A390"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Naik, S., &amp; Devi, C. V. R. (2021). Phyto-fabricated silver nanoparticles inducing microbial cell death via reactive oxygen species-mediated membrane damage. </w:t>
      </w:r>
      <w:r w:rsidRPr="008C2D2F">
        <w:rPr>
          <w:rFonts w:eastAsia="Calibri"/>
          <w:i/>
          <w:sz w:val="20"/>
          <w:szCs w:val="20"/>
        </w:rPr>
        <w:t>IET Nanobiotechnology</w:t>
      </w:r>
      <w:r w:rsidRPr="008C2D2F">
        <w:rPr>
          <w:rFonts w:eastAsia="Calibri"/>
          <w:sz w:val="20"/>
          <w:szCs w:val="20"/>
        </w:rPr>
        <w:t>, 15, 492-504. https://doi.org/10.1049/nbt2.12036</w:t>
      </w:r>
    </w:p>
    <w:p w14:paraId="7CA78A5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Neves, C. S., Gomes, S. S. I., Santos, T. R., Almeida, M. M., Souza, Y. O., Garcia, R. M. G., Otoni, W. C., Chedier, L. M., Raposo, N. R. B., Viccini, L. F., &amp; Campos, J. M. S. (2016). “Brazilian ginseng” (</w:t>
      </w:r>
      <w:r w:rsidRPr="008C2D2F">
        <w:rPr>
          <w:rFonts w:eastAsia="Calibri"/>
          <w:i/>
          <w:sz w:val="20"/>
          <w:szCs w:val="20"/>
        </w:rPr>
        <w:t>Pfaffia glomerata</w:t>
      </w:r>
      <w:r w:rsidRPr="008C2D2F">
        <w:rPr>
          <w:rFonts w:eastAsia="Calibri"/>
          <w:sz w:val="20"/>
          <w:szCs w:val="20"/>
        </w:rPr>
        <w:t xml:space="preserve"> Spreng. Pedersen, Amaranthaceae) methanolic extract: Cytogenotoxicity in animal and plant assays. </w:t>
      </w:r>
      <w:r w:rsidRPr="008C2D2F">
        <w:rPr>
          <w:rFonts w:eastAsia="Calibri"/>
          <w:i/>
          <w:sz w:val="20"/>
          <w:szCs w:val="20"/>
        </w:rPr>
        <w:t>South African Journal of Botany</w:t>
      </w:r>
      <w:r w:rsidRPr="008C2D2F">
        <w:rPr>
          <w:rFonts w:eastAsia="Calibri"/>
          <w:sz w:val="20"/>
          <w:szCs w:val="20"/>
        </w:rPr>
        <w:t>, 106, 174-180. https://doi.org/10.1016/j.sajb.2016.07.003</w:t>
      </w:r>
    </w:p>
    <w:p w14:paraId="4D2C28EF" w14:textId="4479EB23" w:rsidR="00485C89" w:rsidRDefault="00485C89" w:rsidP="00230D4E">
      <w:pPr>
        <w:spacing w:line="276" w:lineRule="auto"/>
        <w:ind w:left="1418" w:hanging="1276"/>
        <w:jc w:val="both"/>
        <w:rPr>
          <w:rFonts w:eastAsia="Calibri"/>
          <w:sz w:val="20"/>
          <w:szCs w:val="20"/>
        </w:rPr>
      </w:pPr>
      <w:r w:rsidRPr="00602752">
        <w:rPr>
          <w:rFonts w:eastAsia="Calibri"/>
          <w:sz w:val="20"/>
          <w:szCs w:val="20"/>
          <w:highlight w:val="yellow"/>
        </w:rPr>
        <w:t xml:space="preserve">Neves, V. M., </w:t>
      </w:r>
      <w:proofErr w:type="spellStart"/>
      <w:r w:rsidRPr="00602752">
        <w:rPr>
          <w:rFonts w:eastAsia="Calibri"/>
          <w:sz w:val="20"/>
          <w:szCs w:val="20"/>
          <w:highlight w:val="yellow"/>
        </w:rPr>
        <w:t>Heidrich</w:t>
      </w:r>
      <w:proofErr w:type="spellEnd"/>
      <w:r w:rsidRPr="00602752">
        <w:rPr>
          <w:rFonts w:eastAsia="Calibri"/>
          <w:sz w:val="20"/>
          <w:szCs w:val="20"/>
          <w:highlight w:val="yellow"/>
        </w:rPr>
        <w:t xml:space="preserve">, G. M., da Costa, C. C., Farias, J. G., </w:t>
      </w:r>
      <w:proofErr w:type="spellStart"/>
      <w:r w:rsidRPr="00602752">
        <w:rPr>
          <w:rFonts w:eastAsia="Calibri"/>
          <w:sz w:val="20"/>
          <w:szCs w:val="20"/>
          <w:highlight w:val="yellow"/>
        </w:rPr>
        <w:t>Nicoloso</w:t>
      </w:r>
      <w:proofErr w:type="spellEnd"/>
      <w:r w:rsidRPr="00602752">
        <w:rPr>
          <w:rFonts w:eastAsia="Calibri"/>
          <w:sz w:val="20"/>
          <w:szCs w:val="20"/>
          <w:highlight w:val="yellow"/>
        </w:rPr>
        <w:t xml:space="preserve">, F. T., </w:t>
      </w:r>
      <w:proofErr w:type="spellStart"/>
      <w:r w:rsidRPr="00602752">
        <w:rPr>
          <w:rFonts w:eastAsia="Calibri"/>
          <w:sz w:val="20"/>
          <w:szCs w:val="20"/>
          <w:highlight w:val="yellow"/>
        </w:rPr>
        <w:t>Pozebon</w:t>
      </w:r>
      <w:proofErr w:type="spellEnd"/>
      <w:r w:rsidRPr="00602752">
        <w:rPr>
          <w:rFonts w:eastAsia="Calibri"/>
          <w:sz w:val="20"/>
          <w:szCs w:val="20"/>
          <w:highlight w:val="yellow"/>
        </w:rPr>
        <w:t xml:space="preserve">, D., &amp; </w:t>
      </w:r>
      <w:proofErr w:type="spellStart"/>
      <w:r w:rsidRPr="00602752">
        <w:rPr>
          <w:rFonts w:eastAsia="Calibri"/>
          <w:sz w:val="20"/>
          <w:szCs w:val="20"/>
          <w:highlight w:val="yellow"/>
        </w:rPr>
        <w:t>Dressler</w:t>
      </w:r>
      <w:proofErr w:type="spellEnd"/>
      <w:r w:rsidRPr="00602752">
        <w:rPr>
          <w:rFonts w:eastAsia="Calibri"/>
          <w:sz w:val="20"/>
          <w:szCs w:val="20"/>
          <w:highlight w:val="yellow"/>
        </w:rPr>
        <w:t xml:space="preserve">, V. L. (2022). </w:t>
      </w:r>
      <w:proofErr w:type="spellStart"/>
      <w:r w:rsidRPr="00602752">
        <w:rPr>
          <w:rFonts w:eastAsia="Calibri"/>
          <w:sz w:val="20"/>
          <w:szCs w:val="20"/>
          <w:highlight w:val="yellow"/>
        </w:rPr>
        <w:t>Effects</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of</w:t>
      </w:r>
      <w:proofErr w:type="spellEnd"/>
      <w:r w:rsidRPr="00602752">
        <w:rPr>
          <w:rFonts w:eastAsia="Calibri"/>
          <w:sz w:val="20"/>
          <w:szCs w:val="20"/>
          <w:highlight w:val="yellow"/>
        </w:rPr>
        <w:t xml:space="preserve"> La2O3 </w:t>
      </w:r>
      <w:proofErr w:type="spellStart"/>
      <w:r w:rsidRPr="00602752">
        <w:rPr>
          <w:rFonts w:eastAsia="Calibri"/>
          <w:sz w:val="20"/>
          <w:szCs w:val="20"/>
          <w:highlight w:val="yellow"/>
        </w:rPr>
        <w:t>nanoparticles</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and</w:t>
      </w:r>
      <w:proofErr w:type="spellEnd"/>
      <w:r w:rsidRPr="00602752">
        <w:rPr>
          <w:rFonts w:eastAsia="Calibri"/>
          <w:sz w:val="20"/>
          <w:szCs w:val="20"/>
          <w:highlight w:val="yellow"/>
        </w:rPr>
        <w:t xml:space="preserve"> bulk-La2O3 </w:t>
      </w:r>
      <w:proofErr w:type="spellStart"/>
      <w:r w:rsidRPr="00602752">
        <w:rPr>
          <w:rFonts w:eastAsia="Calibri"/>
          <w:sz w:val="20"/>
          <w:szCs w:val="20"/>
          <w:highlight w:val="yellow"/>
        </w:rPr>
        <w:t>on</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the</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development</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of</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Pfaffia</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glomerata</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Spreng</w:t>
      </w:r>
      <w:proofErr w:type="spellEnd"/>
      <w:r w:rsidRPr="00602752">
        <w:rPr>
          <w:rFonts w:eastAsia="Calibri"/>
          <w:sz w:val="20"/>
          <w:szCs w:val="20"/>
          <w:highlight w:val="yellow"/>
        </w:rPr>
        <w:t xml:space="preserve">.) Pedersen </w:t>
      </w:r>
      <w:proofErr w:type="spellStart"/>
      <w:r w:rsidRPr="00602752">
        <w:rPr>
          <w:rFonts w:eastAsia="Calibri"/>
          <w:sz w:val="20"/>
          <w:szCs w:val="20"/>
          <w:highlight w:val="yellow"/>
        </w:rPr>
        <w:t>and</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respective</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nutrient</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element</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concentration</w:t>
      </w:r>
      <w:proofErr w:type="spellEnd"/>
      <w:r w:rsidRPr="00602752">
        <w:rPr>
          <w:rFonts w:eastAsia="Calibri"/>
          <w:sz w:val="20"/>
          <w:szCs w:val="20"/>
          <w:highlight w:val="yellow"/>
        </w:rPr>
        <w:t xml:space="preserve">. Environmental Science </w:t>
      </w:r>
      <w:proofErr w:type="spellStart"/>
      <w:r w:rsidRPr="00602752">
        <w:rPr>
          <w:rFonts w:eastAsia="Calibri"/>
          <w:sz w:val="20"/>
          <w:szCs w:val="20"/>
          <w:highlight w:val="yellow"/>
        </w:rPr>
        <w:t>and</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Pollution</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Research</w:t>
      </w:r>
      <w:proofErr w:type="spellEnd"/>
      <w:r w:rsidRPr="00602752">
        <w:rPr>
          <w:rFonts w:eastAsia="Calibri"/>
          <w:sz w:val="20"/>
          <w:szCs w:val="20"/>
          <w:highlight w:val="yellow"/>
        </w:rPr>
        <w:t>, 29(40), 60084-60097.</w:t>
      </w:r>
    </w:p>
    <w:p w14:paraId="42728923" w14:textId="76E869B4"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Oliveira, C. B. D. (2018). </w:t>
      </w:r>
      <w:r w:rsidRPr="008C2D2F">
        <w:rPr>
          <w:rFonts w:eastAsia="Calibri"/>
          <w:i/>
          <w:sz w:val="20"/>
          <w:szCs w:val="20"/>
        </w:rPr>
        <w:t>Caracterização química do extrato do Ginseng-brasileiro (Pfaffia glomerata (Spreng.) Pedersen) Obtido por extração supercrítica via líquido pressurizado (PLE) e por soxhlet</w:t>
      </w:r>
      <w:r w:rsidRPr="008C2D2F">
        <w:rPr>
          <w:rFonts w:eastAsia="Calibri"/>
          <w:sz w:val="20"/>
          <w:szCs w:val="20"/>
        </w:rPr>
        <w:t>. Dissertação (Mestrado em Sustentabilidade) – IFPR/UEM, Umuarama, p. 18-23.</w:t>
      </w:r>
    </w:p>
    <w:p w14:paraId="3F03EEA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Oliveira, U., Paglia, A. P., Brescovit, A. D., Carvalho, C. J. B., Silva, D. P., Rezende, D. T., Leite, F. S. F., Batista, J. A. N., Barbosa, J. P. P. P., Stehmann, J. R., Ascher, J. S., Vasconcelos, M. F., Junior, P. M., Neto, P. L., Dias, P. G., Ferro, V. G., Santos, A. J. (2016). The strong influence of collection bias on biodiversity knowledge shortfalls of Brazilian terrestrial biodiversity. </w:t>
      </w:r>
      <w:r w:rsidRPr="008C2D2F">
        <w:rPr>
          <w:rFonts w:eastAsia="Calibri"/>
          <w:i/>
          <w:sz w:val="20"/>
          <w:szCs w:val="20"/>
        </w:rPr>
        <w:t>Diversity and Distributions</w:t>
      </w:r>
      <w:r w:rsidRPr="008C2D2F">
        <w:rPr>
          <w:rFonts w:eastAsia="Calibri"/>
          <w:sz w:val="20"/>
          <w:szCs w:val="20"/>
        </w:rPr>
        <w:t>, 1-13. https://doi.org/10.1111/ddi.12489</w:t>
      </w:r>
    </w:p>
    <w:p w14:paraId="14E6C4C6"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Papadopoulos, P., Papadopoulos, T., Angelidis, A. S., Boukouvala, E., Zdragas, A., Papa, A., Hadjichristodoulou, C., &amp; Sergelidis, D. (2018). Prevalence of Staphylococcus aureus and </w:t>
      </w:r>
      <w:r w:rsidRPr="008C2D2F">
        <w:rPr>
          <w:rFonts w:eastAsia="Calibri"/>
          <w:sz w:val="20"/>
          <w:szCs w:val="20"/>
        </w:rPr>
        <w:lastRenderedPageBreak/>
        <w:t xml:space="preserve">methicillin-resistant S. aureus (MRSA) along the production chain of dairy products in north-western Greece. </w:t>
      </w:r>
      <w:r w:rsidRPr="008C2D2F">
        <w:rPr>
          <w:rFonts w:eastAsia="Calibri"/>
          <w:i/>
          <w:sz w:val="20"/>
          <w:szCs w:val="20"/>
        </w:rPr>
        <w:t>Food Microbiology</w:t>
      </w:r>
      <w:r w:rsidRPr="008C2D2F">
        <w:rPr>
          <w:rFonts w:eastAsia="Calibri"/>
          <w:sz w:val="20"/>
          <w:szCs w:val="20"/>
        </w:rPr>
        <w:t>, 69, 43-50. https://doi.org/10.1016/j.fm.2017.07.016</w:t>
      </w:r>
    </w:p>
    <w:p w14:paraId="7417A66F"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Porto, K. B. (2012). </w:t>
      </w:r>
      <w:r w:rsidRPr="008C2D2F">
        <w:rPr>
          <w:rFonts w:eastAsia="Calibri"/>
          <w:i/>
          <w:sz w:val="20"/>
          <w:szCs w:val="20"/>
        </w:rPr>
        <w:t>Ação antimicrobiana das nanopartículas de prata sobre patógenos</w:t>
      </w:r>
      <w:r w:rsidRPr="008C2D2F">
        <w:rPr>
          <w:rFonts w:eastAsia="Calibri"/>
          <w:sz w:val="20"/>
          <w:szCs w:val="20"/>
        </w:rPr>
        <w:t>. Monografia (Graduação em Odontologia) – USF, Bragança Paulista, 29.</w:t>
      </w:r>
    </w:p>
    <w:p w14:paraId="4A58ED9B"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Singh, P., Kim, Y. J., Wang, C., Mathiyalagan, R., &amp; Yang, D. C. (2016). The development of a green approach for the biosynthesis of silver and gold nanoparticles by using Panax ginseng root extract, and their biological applications. </w:t>
      </w:r>
      <w:r w:rsidRPr="008C2D2F">
        <w:rPr>
          <w:rFonts w:eastAsia="Calibri"/>
          <w:i/>
          <w:sz w:val="20"/>
          <w:szCs w:val="20"/>
        </w:rPr>
        <w:t>Artificial Cells, Nanomedicine, and Biotechnology</w:t>
      </w:r>
      <w:r w:rsidRPr="008C2D2F">
        <w:rPr>
          <w:rFonts w:eastAsia="Calibri"/>
          <w:sz w:val="20"/>
          <w:szCs w:val="20"/>
        </w:rPr>
        <w:t>, 44(4), 1150-1157. https://doi.org/10.3109/21691401.2015.1011809</w:t>
      </w:r>
    </w:p>
    <w:p w14:paraId="50A021C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Qasim, M., Singh, B. R., Naqvi, A. H., Paik, P., &amp; Das, D. (2015). Silver nanoparticles embedded mesoporous SiO</w:t>
      </w:r>
      <w:r w:rsidRPr="008C2D2F">
        <w:rPr>
          <w:rFonts w:eastAsia="Calibri"/>
          <w:sz w:val="20"/>
          <w:szCs w:val="20"/>
          <w:vertAlign w:val="subscript"/>
        </w:rPr>
        <w:t>2</w:t>
      </w:r>
      <w:r w:rsidRPr="008C2D2F">
        <w:rPr>
          <w:rFonts w:eastAsia="Calibri"/>
          <w:sz w:val="20"/>
          <w:szCs w:val="20"/>
        </w:rPr>
        <w:t xml:space="preserve"> nanosphere: an effective anticandidal agent against </w:t>
      </w:r>
      <w:r w:rsidRPr="008C2D2F">
        <w:rPr>
          <w:rFonts w:eastAsia="Calibri"/>
          <w:i/>
          <w:sz w:val="20"/>
          <w:szCs w:val="20"/>
        </w:rPr>
        <w:t xml:space="preserve">Candida albicans </w:t>
      </w:r>
      <w:r w:rsidRPr="008C2D2F">
        <w:rPr>
          <w:rFonts w:eastAsia="Calibri"/>
          <w:sz w:val="20"/>
          <w:szCs w:val="20"/>
        </w:rPr>
        <w:t xml:space="preserve">077. </w:t>
      </w:r>
      <w:r w:rsidRPr="008C2D2F">
        <w:rPr>
          <w:rFonts w:eastAsia="Calibri"/>
          <w:i/>
          <w:sz w:val="20"/>
          <w:szCs w:val="20"/>
        </w:rPr>
        <w:t>Nanotechnology</w:t>
      </w:r>
      <w:r w:rsidRPr="008C2D2F">
        <w:rPr>
          <w:rFonts w:eastAsia="Calibri"/>
          <w:sz w:val="20"/>
          <w:szCs w:val="20"/>
        </w:rPr>
        <w:t>, 26(28). https://doi.org/10.1088/0957-4484/26/28/285102</w:t>
      </w:r>
    </w:p>
    <w:p w14:paraId="2A3BF02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Rai, M. (2013). Nanobiotecnologia verde: biossínteses de nanopartículas metálicas e suas aplicações como nanoantimicrobianos. </w:t>
      </w:r>
      <w:r w:rsidRPr="008C2D2F">
        <w:rPr>
          <w:rFonts w:eastAsia="Calibri"/>
          <w:i/>
          <w:sz w:val="20"/>
          <w:szCs w:val="20"/>
        </w:rPr>
        <w:t>Ciência &amp; Cultura</w:t>
      </w:r>
      <w:r w:rsidRPr="008C2D2F">
        <w:rPr>
          <w:rFonts w:eastAsia="Calibri"/>
          <w:sz w:val="20"/>
          <w:szCs w:val="20"/>
        </w:rPr>
        <w:t>, 65(3), 44-48.</w:t>
      </w:r>
    </w:p>
    <w:p w14:paraId="58782E5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Rajan, P. I., Vijaya, J., Jesudoss, S. K., Kaviyarasu, K., Lee, S. C., Kennedy, L. J., Jothiramalingam, R., Lohedan, H. A. A., &amp; Abdullah, M. (2018). Investigation on preferably oriented abnormal growth of CdSe nanorods along (0002) plane synthesized by henna leaf extract-mediated green synthesis. </w:t>
      </w:r>
      <w:r w:rsidRPr="008C2D2F">
        <w:rPr>
          <w:rFonts w:eastAsia="Calibri"/>
          <w:i/>
          <w:sz w:val="20"/>
          <w:szCs w:val="20"/>
        </w:rPr>
        <w:t>Royal Society Open Science</w:t>
      </w:r>
      <w:r w:rsidRPr="008C2D2F">
        <w:rPr>
          <w:rFonts w:eastAsia="Calibri"/>
          <w:sz w:val="20"/>
          <w:szCs w:val="20"/>
        </w:rPr>
        <w:t>, 5(3), 171430. https://doi.org/10.1098/rsos.171430</w:t>
      </w:r>
    </w:p>
    <w:p w14:paraId="15962E86"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Ren, G., Wang, X., Huang, P., Zhong, B., Zhang, Z., Yang, L., &amp; Yang, X. (2017). Chromium (VI) adsorption from wastewater using porous magnetite nanoparticles prepared from titanium residue by a novel solid-phase reduction method. </w:t>
      </w:r>
      <w:r w:rsidRPr="008C2D2F">
        <w:rPr>
          <w:rFonts w:eastAsia="Calibri"/>
          <w:i/>
          <w:sz w:val="20"/>
          <w:szCs w:val="20"/>
        </w:rPr>
        <w:t>Science of the Total Environment</w:t>
      </w:r>
      <w:r w:rsidRPr="008C2D2F">
        <w:rPr>
          <w:rFonts w:eastAsia="Calibri"/>
          <w:sz w:val="20"/>
          <w:szCs w:val="20"/>
        </w:rPr>
        <w:t>, 607-608, 900-910. https://doi.org/10.1016/j.scitotenv.2017.06.103</w:t>
      </w:r>
    </w:p>
    <w:p w14:paraId="3D8394A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Ribeiro, A. S., Estanqueiro, M., Oliveira, M. B., &amp; Lobo, J. M. S. (2015). Main benefits and applicability of plant extracts in skin care products. </w:t>
      </w:r>
      <w:r w:rsidRPr="008C2D2F">
        <w:rPr>
          <w:rFonts w:eastAsia="Calibri"/>
          <w:i/>
          <w:sz w:val="20"/>
          <w:szCs w:val="20"/>
        </w:rPr>
        <w:t>Cosmetics</w:t>
      </w:r>
      <w:r w:rsidRPr="008C2D2F">
        <w:rPr>
          <w:rFonts w:eastAsia="Calibri"/>
          <w:sz w:val="20"/>
          <w:szCs w:val="20"/>
        </w:rPr>
        <w:t>, 2(2), 48-65. https://doi.org/10.3390/cosmetics2020048</w:t>
      </w:r>
    </w:p>
    <w:p w14:paraId="5892397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Saravanan, A., Kumar, P. S., Karishma, S., Vo, D. V. N., Jeevanantham, S., Yaashikaa, P. R., &amp; George, C. S. (2021). A review on biosynthesis of metal nanoparticles and its environmental applications. </w:t>
      </w:r>
      <w:r w:rsidRPr="008C2D2F">
        <w:rPr>
          <w:rFonts w:eastAsia="Calibri"/>
          <w:i/>
          <w:sz w:val="20"/>
          <w:szCs w:val="20"/>
        </w:rPr>
        <w:t>Chemosphere</w:t>
      </w:r>
      <w:r w:rsidRPr="008C2D2F">
        <w:rPr>
          <w:rFonts w:eastAsia="Calibri"/>
          <w:sz w:val="20"/>
          <w:szCs w:val="20"/>
        </w:rPr>
        <w:t>, 264, 128580. https://doi.org/10.1016/j.chemosphere.2020.128580</w:t>
      </w:r>
    </w:p>
    <w:p w14:paraId="7CB3EF48"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Sargazi, S., Laraib, U., Er, S., Rahdar, A., Hassanisaadi, M., Zafar, M. N., Pascual, A. M. D., &amp; Bilal, M. (2022). Application of green gold nanoparticles in cancer therapy and diagnosis. </w:t>
      </w:r>
      <w:r w:rsidRPr="008C2D2F">
        <w:rPr>
          <w:rFonts w:eastAsia="Calibri"/>
          <w:i/>
          <w:sz w:val="20"/>
          <w:szCs w:val="20"/>
        </w:rPr>
        <w:t>Nanomaterials</w:t>
      </w:r>
      <w:r w:rsidRPr="008C2D2F">
        <w:rPr>
          <w:rFonts w:eastAsia="Calibri"/>
          <w:sz w:val="20"/>
          <w:szCs w:val="20"/>
        </w:rPr>
        <w:t>, 12(1102). https://doi.org/10.3390/nano12071102</w:t>
      </w:r>
    </w:p>
    <w:p w14:paraId="1DEFA7E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Sathishkumar, P., Preethi, J., Vijayan, R., Yusoff, A. R. M., Ameen, F., Suresh, S., ... &amp; Palvannan, T. (2016). Anti-acne, anti-dandruff, and anti-breast cancer efficacy of green synthesized silver nanoparticles using Coriandrum sativum leaf extract. </w:t>
      </w:r>
      <w:r w:rsidRPr="008C2D2F">
        <w:rPr>
          <w:rFonts w:eastAsia="Calibri"/>
          <w:i/>
          <w:sz w:val="20"/>
          <w:szCs w:val="20"/>
        </w:rPr>
        <w:t>Journal of</w:t>
      </w:r>
      <w:r w:rsidRPr="008C2D2F">
        <w:rPr>
          <w:rFonts w:eastAsia="Calibri"/>
          <w:sz w:val="20"/>
          <w:szCs w:val="20"/>
        </w:rPr>
        <w:t xml:space="preserve"> </w:t>
      </w:r>
      <w:r w:rsidRPr="008C2D2F">
        <w:rPr>
          <w:rFonts w:eastAsia="Calibri"/>
          <w:i/>
          <w:sz w:val="20"/>
          <w:szCs w:val="20"/>
        </w:rPr>
        <w:t>Photochemistry and Photobiology B: Biology</w:t>
      </w:r>
      <w:r w:rsidRPr="008C2D2F">
        <w:rPr>
          <w:rFonts w:eastAsia="Calibri"/>
          <w:sz w:val="20"/>
          <w:szCs w:val="20"/>
        </w:rPr>
        <w:t>, 163, 69-76. https://doi.org/10.1016/j.jphotobiol.2016.08.005</w:t>
      </w:r>
    </w:p>
    <w:p w14:paraId="0E09F1D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Sharma, V. K., Filip, J., Zboril, R., &amp; Varma, R. S. (2015). Natural inorganic nanoparticles–formation, fate, and toxicity in the environment. </w:t>
      </w:r>
      <w:r w:rsidRPr="008C2D2F">
        <w:rPr>
          <w:rFonts w:eastAsia="Calibri"/>
          <w:i/>
          <w:sz w:val="20"/>
          <w:szCs w:val="20"/>
        </w:rPr>
        <w:t>Chemical Society Reviews</w:t>
      </w:r>
      <w:r w:rsidRPr="008C2D2F">
        <w:rPr>
          <w:rFonts w:eastAsia="Calibri"/>
          <w:sz w:val="20"/>
          <w:szCs w:val="20"/>
        </w:rPr>
        <w:t>, 44(23), 8410-8423. https://doi.org/10.1039/C5CS00236B</w:t>
      </w:r>
    </w:p>
    <w:p w14:paraId="2E9058B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Sheldon, R. A. (2017). The E factor 25 years on the rise of green chemistry and sustainability. </w:t>
      </w:r>
      <w:r w:rsidRPr="008C2D2F">
        <w:rPr>
          <w:rFonts w:eastAsia="Calibri"/>
          <w:i/>
          <w:sz w:val="20"/>
          <w:szCs w:val="20"/>
        </w:rPr>
        <w:t>Green Chemistry</w:t>
      </w:r>
      <w:r w:rsidRPr="008C2D2F">
        <w:rPr>
          <w:rFonts w:eastAsia="Calibri"/>
          <w:sz w:val="20"/>
          <w:szCs w:val="20"/>
        </w:rPr>
        <w:t>, 19(1), 18-43.</w:t>
      </w:r>
    </w:p>
    <w:p w14:paraId="72A75AF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Siakavella, I. K., Lamari, F., Papoulis, D., Orkoula, M., Gkolfi, P., Lykouras, M., Avgoustakis, K., &amp; Hatziantoniou, S. (2020). Effect of plant extracts on the characteristics of silver nanoparticles for topical application. </w:t>
      </w:r>
      <w:r w:rsidRPr="008C2D2F">
        <w:rPr>
          <w:rFonts w:eastAsia="Calibri"/>
          <w:i/>
          <w:sz w:val="20"/>
          <w:szCs w:val="20"/>
        </w:rPr>
        <w:t>Pharmaceutics</w:t>
      </w:r>
      <w:r w:rsidRPr="008C2D2F">
        <w:rPr>
          <w:rFonts w:eastAsia="Calibri"/>
          <w:sz w:val="20"/>
          <w:szCs w:val="20"/>
        </w:rPr>
        <w:t>, 12(1244). https://doi.org/10.3390/pharmaceutics12121244</w:t>
      </w:r>
    </w:p>
    <w:p w14:paraId="195A69D7"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Silva, L. P., Bonatto, C. C., Pereira, F. D. E. S., Silva, L. D., Albernaz, V. L., &amp; Polez, V. L. P. (2017). Nanotecnologia verde para síntese de nanopartículas metálicas. </w:t>
      </w:r>
      <w:r w:rsidRPr="008C2D2F">
        <w:rPr>
          <w:rFonts w:eastAsia="Calibri"/>
          <w:i/>
          <w:sz w:val="20"/>
          <w:szCs w:val="20"/>
        </w:rPr>
        <w:t>In Biotecnologia Aplicada à Agro &amp; Indústria</w:t>
      </w:r>
      <w:r w:rsidRPr="008C2D2F">
        <w:rPr>
          <w:rFonts w:eastAsia="Calibri"/>
          <w:sz w:val="20"/>
          <w:szCs w:val="20"/>
        </w:rPr>
        <w:t xml:space="preserve"> - v. 4 (pp. 967-1012). São Paulo: Blucher.  https://doi.org/10.5151/9788521211150-26.</w:t>
      </w:r>
    </w:p>
    <w:p w14:paraId="3C9B0CF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Silva, T. D., Chagas, K., Batista, D. S., Felipe, S. H. S., Louback, E., Machado, L. T., Fernandes, A. M., Buttrós, V. H. T., Koehler, A. D., Farias, L. M., Santos, A. F., Silva, P. O., Otoni, W. C. (2019). Morphophysiological in vitro performance of Brazilian ginseng (</w:t>
      </w:r>
      <w:r w:rsidRPr="008C2D2F">
        <w:rPr>
          <w:rFonts w:eastAsia="Calibri"/>
          <w:i/>
          <w:sz w:val="20"/>
          <w:szCs w:val="20"/>
        </w:rPr>
        <w:t>Pfaffia glomerata</w:t>
      </w:r>
      <w:r w:rsidRPr="008C2D2F">
        <w:rPr>
          <w:rFonts w:eastAsia="Calibri"/>
          <w:sz w:val="20"/>
          <w:szCs w:val="20"/>
        </w:rPr>
        <w:t xml:space="preserve"> (Spreng.) Pedersen) based on culture medium formulations. </w:t>
      </w:r>
      <w:r w:rsidRPr="008C2D2F">
        <w:rPr>
          <w:rFonts w:eastAsia="Calibri"/>
          <w:i/>
          <w:sz w:val="20"/>
          <w:szCs w:val="20"/>
        </w:rPr>
        <w:t>In Vitro Cellular &amp; Developmental Biology – Plant</w:t>
      </w:r>
      <w:r w:rsidRPr="008C2D2F">
        <w:rPr>
          <w:rFonts w:eastAsia="Calibri"/>
          <w:sz w:val="20"/>
          <w:szCs w:val="20"/>
        </w:rPr>
        <w:t>, 55, 454-467. https://doi.org/10.1007/s11627-019-10003-9</w:t>
      </w:r>
    </w:p>
    <w:p w14:paraId="234DFC0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lastRenderedPageBreak/>
        <w:t xml:space="preserve">Singh, P., Kim, Y. J., &amp; Yang, D. C. A. (2015). Strategic approach for rapid synthesis of gold and silver nanoparticles by Panax ginseng leaves. </w:t>
      </w:r>
      <w:r w:rsidRPr="008C2D2F">
        <w:rPr>
          <w:rFonts w:eastAsia="Calibri"/>
          <w:i/>
          <w:sz w:val="20"/>
          <w:szCs w:val="20"/>
        </w:rPr>
        <w:t>Artificial Cells Nanomedicine, and Biotechnology</w:t>
      </w:r>
      <w:r w:rsidRPr="008C2D2F">
        <w:rPr>
          <w:rFonts w:eastAsia="Calibri"/>
          <w:sz w:val="20"/>
          <w:szCs w:val="20"/>
        </w:rPr>
        <w:t>, 44(8), 1949-1957. https://doi.org/10.3109/21691401.2015.1115410</w:t>
      </w:r>
    </w:p>
    <w:p w14:paraId="01C9B81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Singh, P., Kim, Y. J., Wang, C., Mathiyalagan, R., &amp; Yang, D. C. (2015). The development of a green approach for the biosynthesis of silver and gold nanoparticles by using Panax ginseng root extract, and their biological applications. </w:t>
      </w:r>
      <w:r w:rsidRPr="008C2D2F">
        <w:rPr>
          <w:rFonts w:eastAsia="Calibri"/>
          <w:i/>
          <w:sz w:val="20"/>
          <w:szCs w:val="20"/>
        </w:rPr>
        <w:t>Artificial Cells Nanomedicine, and Biotechnology</w:t>
      </w:r>
      <w:r w:rsidRPr="008C2D2F">
        <w:rPr>
          <w:rFonts w:eastAsia="Calibri"/>
          <w:sz w:val="20"/>
          <w:szCs w:val="20"/>
        </w:rPr>
        <w:t>, 44(4), 1150-1157. https://doi.org/10.3109/21691401.2015.1011809</w:t>
      </w:r>
    </w:p>
    <w:p w14:paraId="32A8ECC7"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Singh, P., Singh, H., Ahn, S., Castro-Aceituno, V., Jiménez, Z., Simu, S. Y., Kim, Y. J., &amp; Yang, D. C. (2017). Pharmacological importance, characterization, and applications of gold and silver nanoparticles synthesized by Panax ginseng fresh leaves. </w:t>
      </w:r>
      <w:r w:rsidRPr="008C2D2F">
        <w:rPr>
          <w:rFonts w:eastAsia="Calibri"/>
          <w:i/>
          <w:sz w:val="20"/>
          <w:szCs w:val="20"/>
        </w:rPr>
        <w:t>Artificial Cells, Nanomedicine, and Biotechnology</w:t>
      </w:r>
      <w:r w:rsidRPr="008C2D2F">
        <w:rPr>
          <w:rFonts w:eastAsia="Calibri"/>
          <w:sz w:val="20"/>
          <w:szCs w:val="20"/>
        </w:rPr>
        <w:t>, 45(7), 1415–1424. https://doi.org/10.1080/21691401.2016.1243547</w:t>
      </w:r>
    </w:p>
    <w:p w14:paraId="159069A3" w14:textId="11421210" w:rsidR="00230D4E" w:rsidRDefault="00230D4E" w:rsidP="00230D4E">
      <w:pPr>
        <w:spacing w:line="276" w:lineRule="auto"/>
        <w:ind w:left="1418" w:hanging="1276"/>
        <w:jc w:val="both"/>
        <w:rPr>
          <w:rFonts w:eastAsia="Calibri"/>
          <w:sz w:val="20"/>
          <w:szCs w:val="20"/>
        </w:rPr>
      </w:pPr>
      <w:r w:rsidRPr="008C2D2F">
        <w:rPr>
          <w:rFonts w:eastAsia="Calibri"/>
          <w:sz w:val="20"/>
          <w:szCs w:val="20"/>
        </w:rPr>
        <w:t xml:space="preserve">Srikar, S. K., Giri, D. D., Pal, D. B., Mishra, P. K., &amp; Upadhyay, S. N. (2016). Green synthesis of silver nanoparticles: a review. </w:t>
      </w:r>
      <w:r w:rsidRPr="008C2D2F">
        <w:rPr>
          <w:rFonts w:eastAsia="Calibri"/>
          <w:i/>
          <w:sz w:val="20"/>
          <w:szCs w:val="20"/>
        </w:rPr>
        <w:t>Green and Sustainable Chemistry</w:t>
      </w:r>
      <w:r w:rsidRPr="008C2D2F">
        <w:rPr>
          <w:rFonts w:eastAsia="Calibri"/>
          <w:sz w:val="20"/>
          <w:szCs w:val="20"/>
        </w:rPr>
        <w:t xml:space="preserve">, 6(1), 34-56.  </w:t>
      </w:r>
      <w:hyperlink r:id="rId28" w:history="1">
        <w:r w:rsidR="005E1E95" w:rsidRPr="005E1E95">
          <w:rPr>
            <w:rStyle w:val="Hyperlink"/>
            <w:rFonts w:eastAsia="Calibri"/>
            <w:color w:val="000000" w:themeColor="text1"/>
            <w:sz w:val="20"/>
            <w:szCs w:val="20"/>
            <w:u w:val="none"/>
          </w:rPr>
          <w:t>https://doi.org/10.4236/gsc.2016.61004</w:t>
        </w:r>
      </w:hyperlink>
    </w:p>
    <w:p w14:paraId="4BA4869A" w14:textId="3E71AC32" w:rsidR="005E1E95" w:rsidRPr="008C2D2F" w:rsidRDefault="005E1E95" w:rsidP="00230D4E">
      <w:pPr>
        <w:spacing w:line="276" w:lineRule="auto"/>
        <w:ind w:left="1418" w:hanging="1276"/>
        <w:jc w:val="both"/>
        <w:rPr>
          <w:rFonts w:eastAsia="Calibri"/>
          <w:sz w:val="20"/>
          <w:szCs w:val="20"/>
        </w:rPr>
      </w:pPr>
      <w:proofErr w:type="spellStart"/>
      <w:r w:rsidRPr="00602752">
        <w:rPr>
          <w:rFonts w:eastAsia="Calibri"/>
          <w:sz w:val="20"/>
          <w:szCs w:val="20"/>
          <w:highlight w:val="yellow"/>
        </w:rPr>
        <w:t>Terhaag</w:t>
      </w:r>
      <w:proofErr w:type="spellEnd"/>
      <w:r w:rsidRPr="00602752">
        <w:rPr>
          <w:rFonts w:eastAsia="Calibri"/>
          <w:sz w:val="20"/>
          <w:szCs w:val="20"/>
          <w:highlight w:val="yellow"/>
        </w:rPr>
        <w:t xml:space="preserve">, M. M., Santos, A. C. M. D., de Lima, D. G., Sakai, O. A., de Oliveira, G. G. D. C., Moritz, C. M. F., ... &amp; Coelho, E. M. P. (2025). </w:t>
      </w:r>
      <w:proofErr w:type="spellStart"/>
      <w:r w:rsidRPr="00602752">
        <w:rPr>
          <w:rFonts w:eastAsia="Calibri"/>
          <w:sz w:val="20"/>
          <w:szCs w:val="20"/>
          <w:highlight w:val="yellow"/>
        </w:rPr>
        <w:t>Separation</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of</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Bioactive</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Compounds</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from</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Pfaffia</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glomerata</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Drying</w:t>
      </w:r>
      <w:proofErr w:type="spellEnd"/>
      <w:r w:rsidRPr="00602752">
        <w:rPr>
          <w:rFonts w:eastAsia="Calibri"/>
          <w:sz w:val="20"/>
          <w:szCs w:val="20"/>
          <w:highlight w:val="yellow"/>
        </w:rPr>
        <w:t xml:space="preserve">, Green </w:t>
      </w:r>
      <w:proofErr w:type="spellStart"/>
      <w:r w:rsidRPr="00602752">
        <w:rPr>
          <w:rFonts w:eastAsia="Calibri"/>
          <w:sz w:val="20"/>
          <w:szCs w:val="20"/>
          <w:highlight w:val="yellow"/>
        </w:rPr>
        <w:t>Extraction</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and</w:t>
      </w:r>
      <w:proofErr w:type="spellEnd"/>
      <w:r w:rsidRPr="00602752">
        <w:rPr>
          <w:rFonts w:eastAsia="Calibri"/>
          <w:sz w:val="20"/>
          <w:szCs w:val="20"/>
          <w:highlight w:val="yellow"/>
        </w:rPr>
        <w:t xml:space="preserve"> </w:t>
      </w:r>
      <w:proofErr w:type="spellStart"/>
      <w:r w:rsidRPr="00602752">
        <w:rPr>
          <w:rFonts w:eastAsia="Calibri"/>
          <w:sz w:val="20"/>
          <w:szCs w:val="20"/>
          <w:highlight w:val="yellow"/>
        </w:rPr>
        <w:t>Physicochemical</w:t>
      </w:r>
      <w:proofErr w:type="spellEnd"/>
      <w:r w:rsidRPr="00602752">
        <w:rPr>
          <w:rFonts w:eastAsia="Calibri"/>
          <w:sz w:val="20"/>
          <w:szCs w:val="20"/>
          <w:highlight w:val="yellow"/>
        </w:rPr>
        <w:t xml:space="preserve"> Properties. </w:t>
      </w:r>
      <w:proofErr w:type="spellStart"/>
      <w:r w:rsidRPr="00602752">
        <w:rPr>
          <w:rFonts w:eastAsia="Calibri"/>
          <w:sz w:val="20"/>
          <w:szCs w:val="20"/>
          <w:highlight w:val="yellow"/>
        </w:rPr>
        <w:t>Separations</w:t>
      </w:r>
      <w:proofErr w:type="spellEnd"/>
      <w:r w:rsidRPr="00602752">
        <w:rPr>
          <w:rFonts w:eastAsia="Calibri"/>
          <w:sz w:val="20"/>
          <w:szCs w:val="20"/>
          <w:highlight w:val="yellow"/>
        </w:rPr>
        <w:t>, 12(6), 164.</w:t>
      </w:r>
    </w:p>
    <w:p w14:paraId="60314670"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Vardanega, R., Santos, D. T., &amp; Meireles, M. A. A. (2016). Proposal for fractionating Brazilian ginseng extracts: Process intensification approach. </w:t>
      </w:r>
      <w:r w:rsidRPr="008C2D2F">
        <w:rPr>
          <w:rFonts w:eastAsia="Calibri"/>
          <w:i/>
          <w:sz w:val="20"/>
          <w:szCs w:val="20"/>
        </w:rPr>
        <w:t>Journal of Food Engineering</w:t>
      </w:r>
      <w:r w:rsidRPr="008C2D2F">
        <w:rPr>
          <w:rFonts w:eastAsia="Calibri"/>
          <w:sz w:val="20"/>
          <w:szCs w:val="20"/>
        </w:rPr>
        <w:t>, 196, 73-80. https://doi.org/10.1016/j.jfoodeng.2016.10.018</w:t>
      </w:r>
    </w:p>
    <w:p w14:paraId="5D6827A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Viana, A. V., Viana, D. S. F., Figueirêdo, G. S., Brito, J. E., Viana, V. G. F., &amp; Junior, V. G. F. V. (2021). Potencial antimicrobiano das nanopartículas de prata estabilizadas em curcumina e extrato de folhas de cajueiro (</w:t>
      </w:r>
      <w:r w:rsidRPr="008C2D2F">
        <w:rPr>
          <w:rFonts w:eastAsia="Calibri"/>
          <w:i/>
          <w:sz w:val="20"/>
          <w:szCs w:val="20"/>
        </w:rPr>
        <w:t>Anacardium occidentale</w:t>
      </w:r>
      <w:r w:rsidRPr="008C2D2F">
        <w:rPr>
          <w:rFonts w:eastAsia="Calibri"/>
          <w:sz w:val="20"/>
          <w:szCs w:val="20"/>
        </w:rPr>
        <w:t xml:space="preserve"> L.). </w:t>
      </w:r>
      <w:r w:rsidRPr="008C2D2F">
        <w:rPr>
          <w:rFonts w:eastAsia="Calibri"/>
          <w:i/>
          <w:sz w:val="20"/>
          <w:szCs w:val="20"/>
        </w:rPr>
        <w:t>Research, Society and Development</w:t>
      </w:r>
      <w:r w:rsidRPr="008C2D2F">
        <w:rPr>
          <w:rFonts w:eastAsia="Calibri"/>
          <w:sz w:val="20"/>
          <w:szCs w:val="20"/>
        </w:rPr>
        <w:t>, 10(9). http://dx.doi.org/10.33448/rsd-v10i9.18364</w:t>
      </w:r>
    </w:p>
    <w:p w14:paraId="7FC714C0"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Wang, D., Markus, J., Kim, Y., Wang, C., Pérez, Z. E. J., Ahn, S., ... Yang, D. C. (2016). Coalescence of functional gold and monodisperse silver nanoparticles mediated by black Panax ginseng Meyer root extract. </w:t>
      </w:r>
      <w:r w:rsidRPr="008C2D2F">
        <w:rPr>
          <w:rFonts w:eastAsia="Calibri"/>
          <w:i/>
          <w:sz w:val="20"/>
          <w:szCs w:val="20"/>
        </w:rPr>
        <w:t>International Journal of Nanomedicine</w:t>
      </w:r>
      <w:r w:rsidRPr="008C2D2F">
        <w:rPr>
          <w:rFonts w:eastAsia="Calibri"/>
          <w:sz w:val="20"/>
          <w:szCs w:val="20"/>
        </w:rPr>
        <w:t>, 11, 6621-6634. https://doi.org/10.2147/IJN.S113692</w:t>
      </w:r>
    </w:p>
    <w:p w14:paraId="13740217"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Wang, L., Huang, Y., Yin, G., Wang, J., Wang, P., Chen, Z. Y., Wang, T., &amp; Ren, G. (2020). Antimicrobial activities of Asian ginseng, American ginseng, and notoginseng. </w:t>
      </w:r>
      <w:r w:rsidRPr="008C2D2F">
        <w:rPr>
          <w:rFonts w:eastAsia="Calibri"/>
          <w:i/>
          <w:sz w:val="20"/>
          <w:szCs w:val="20"/>
        </w:rPr>
        <w:t>Phytotherapy Research</w:t>
      </w:r>
      <w:r w:rsidRPr="008C2D2F">
        <w:rPr>
          <w:rFonts w:eastAsia="Calibri"/>
          <w:sz w:val="20"/>
          <w:szCs w:val="20"/>
        </w:rPr>
        <w:t>, 34(6), 1226-1236. https://doi.org/10.1002/ptr.6605</w:t>
      </w:r>
    </w:p>
    <w:p w14:paraId="6480D50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Wang, L., Xu, J., Yan, Y., Liu, H., &amp; Li, F. (2019). Synthesis of gold nanoparticles from leaf Panax notoginseng and its anticancer activity in pancreatic cancer PANC-1 cell lines. </w:t>
      </w:r>
      <w:r w:rsidRPr="008C2D2F">
        <w:rPr>
          <w:rFonts w:eastAsia="Calibri"/>
          <w:i/>
          <w:sz w:val="20"/>
          <w:szCs w:val="20"/>
        </w:rPr>
        <w:t>Artificial Cells, Nanomedicine, and Biotechnology</w:t>
      </w:r>
      <w:r w:rsidRPr="008C2D2F">
        <w:rPr>
          <w:rFonts w:eastAsia="Calibri"/>
          <w:sz w:val="20"/>
          <w:szCs w:val="20"/>
        </w:rPr>
        <w:t>, 47(1), 1216–1223. https://doi.org/10.1080/21691401.2019.1593852</w:t>
      </w:r>
    </w:p>
    <w:p w14:paraId="3D79D2A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lang w:val="en-US"/>
        </w:rPr>
        <w:t xml:space="preserve">Wongyai, K., </w:t>
      </w:r>
      <w:proofErr w:type="spellStart"/>
      <w:r w:rsidRPr="008C2D2F">
        <w:rPr>
          <w:rFonts w:eastAsia="Calibri"/>
          <w:sz w:val="20"/>
          <w:szCs w:val="20"/>
          <w:lang w:val="en-US"/>
        </w:rPr>
        <w:t>Wintachai</w:t>
      </w:r>
      <w:proofErr w:type="spellEnd"/>
      <w:r w:rsidRPr="008C2D2F">
        <w:rPr>
          <w:rFonts w:eastAsia="Calibri"/>
          <w:sz w:val="20"/>
          <w:szCs w:val="20"/>
          <w:lang w:val="en-US"/>
        </w:rPr>
        <w:t xml:space="preserve">, P., </w:t>
      </w:r>
      <w:proofErr w:type="spellStart"/>
      <w:r w:rsidRPr="008C2D2F">
        <w:rPr>
          <w:rFonts w:eastAsia="Calibri"/>
          <w:sz w:val="20"/>
          <w:szCs w:val="20"/>
          <w:lang w:val="en-US"/>
        </w:rPr>
        <w:t>Maungchang</w:t>
      </w:r>
      <w:proofErr w:type="spellEnd"/>
      <w:r w:rsidRPr="008C2D2F">
        <w:rPr>
          <w:rFonts w:eastAsia="Calibri"/>
          <w:sz w:val="20"/>
          <w:szCs w:val="20"/>
          <w:lang w:val="en-US"/>
        </w:rPr>
        <w:t xml:space="preserve">, R., &amp; </w:t>
      </w:r>
      <w:proofErr w:type="spellStart"/>
      <w:r w:rsidRPr="008C2D2F">
        <w:rPr>
          <w:rFonts w:eastAsia="Calibri"/>
          <w:sz w:val="20"/>
          <w:szCs w:val="20"/>
          <w:lang w:val="en-US"/>
        </w:rPr>
        <w:t>Rattanakit</w:t>
      </w:r>
      <w:proofErr w:type="spellEnd"/>
      <w:r w:rsidRPr="008C2D2F">
        <w:rPr>
          <w:rFonts w:eastAsia="Calibri"/>
          <w:sz w:val="20"/>
          <w:szCs w:val="20"/>
          <w:lang w:val="en-US"/>
        </w:rPr>
        <w:t xml:space="preserve">, P. (2020). Exploration of the antimicrobial and catalytic properties of gold nanoparticles greenly synthesized by </w:t>
      </w:r>
      <w:proofErr w:type="spellStart"/>
      <w:r w:rsidRPr="008C2D2F">
        <w:rPr>
          <w:rFonts w:eastAsia="Calibri"/>
          <w:i/>
          <w:sz w:val="20"/>
          <w:szCs w:val="20"/>
          <w:lang w:val="en-US"/>
        </w:rPr>
        <w:t>Cryptolepis</w:t>
      </w:r>
      <w:proofErr w:type="spellEnd"/>
      <w:r w:rsidRPr="008C2D2F">
        <w:rPr>
          <w:rFonts w:eastAsia="Calibri"/>
          <w:i/>
          <w:sz w:val="20"/>
          <w:szCs w:val="20"/>
          <w:lang w:val="en-US"/>
        </w:rPr>
        <w:t xml:space="preserve"> </w:t>
      </w:r>
      <w:proofErr w:type="spellStart"/>
      <w:r w:rsidRPr="008C2D2F">
        <w:rPr>
          <w:rFonts w:eastAsia="Calibri"/>
          <w:i/>
          <w:sz w:val="20"/>
          <w:szCs w:val="20"/>
          <w:lang w:val="en-US"/>
        </w:rPr>
        <w:t>buchanani</w:t>
      </w:r>
      <w:proofErr w:type="spellEnd"/>
      <w:r w:rsidRPr="008C2D2F">
        <w:rPr>
          <w:rFonts w:eastAsia="Calibri"/>
          <w:sz w:val="20"/>
          <w:szCs w:val="20"/>
          <w:lang w:val="en-US"/>
        </w:rPr>
        <w:t xml:space="preserve"> Roem. and Schult extract. </w:t>
      </w:r>
      <w:r w:rsidRPr="008C2D2F">
        <w:rPr>
          <w:rFonts w:eastAsia="Calibri"/>
          <w:i/>
          <w:sz w:val="20"/>
          <w:szCs w:val="20"/>
        </w:rPr>
        <w:t>Journal of Nanomaterials</w:t>
      </w:r>
      <w:r w:rsidRPr="008C2D2F">
        <w:rPr>
          <w:rFonts w:eastAsia="Calibri"/>
          <w:sz w:val="20"/>
          <w:szCs w:val="20"/>
        </w:rPr>
        <w:t>, 1320274. https://doi.org/10.1155/2020/1320274</w:t>
      </w:r>
    </w:p>
    <w:p w14:paraId="0593FBD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Yaqoob, A. A., Umar, K., &amp; Ibrahim, M. N. M. (2020). Silver nanoparticles: various methods of synthesis, size affecting factors and their potential applications–a review. </w:t>
      </w:r>
      <w:r w:rsidRPr="008C2D2F">
        <w:rPr>
          <w:rFonts w:eastAsia="Calibri"/>
          <w:i/>
          <w:sz w:val="20"/>
          <w:szCs w:val="20"/>
        </w:rPr>
        <w:t>Applied Nanoscience</w:t>
      </w:r>
      <w:r w:rsidRPr="008C2D2F">
        <w:rPr>
          <w:rFonts w:eastAsia="Calibri"/>
          <w:sz w:val="20"/>
          <w:szCs w:val="20"/>
        </w:rPr>
        <w:t>, 10, 1369-1378. https://doi.org/10.1007/s13204-020-01318-w</w:t>
      </w:r>
    </w:p>
    <w:p w14:paraId="1931E591" w14:textId="77777777" w:rsidR="00230D4E" w:rsidRPr="008C2D2F" w:rsidRDefault="00230D4E" w:rsidP="00230D4E">
      <w:pPr>
        <w:pStyle w:val="Referncias"/>
        <w:numPr>
          <w:ilvl w:val="0"/>
          <w:numId w:val="0"/>
        </w:numPr>
        <w:spacing w:line="276" w:lineRule="auto"/>
        <w:ind w:left="720" w:hanging="720"/>
        <w:rPr>
          <w:rFonts w:eastAsia="Calibri" w:cs="Times New Roman"/>
          <w:sz w:val="20"/>
          <w:szCs w:val="20"/>
        </w:rPr>
      </w:pPr>
      <w:r w:rsidRPr="008C2D2F">
        <w:rPr>
          <w:rFonts w:cs="Times New Roman"/>
          <w:sz w:val="20"/>
          <w:szCs w:val="20"/>
          <w:lang w:val="pt-BR"/>
        </w:rPr>
        <w:t xml:space="preserve">Yugay, Y., Rusapetova, T., Mashtalyar, D., Grigorchuk, V., Vasyutkina, E., Kudinova, O., ... </w:t>
      </w:r>
      <w:r w:rsidRPr="008C2D2F">
        <w:rPr>
          <w:rFonts w:cs="Times New Roman"/>
          <w:sz w:val="20"/>
          <w:szCs w:val="20"/>
        </w:rPr>
        <w:t xml:space="preserve">&amp; </w:t>
      </w:r>
      <w:proofErr w:type="spellStart"/>
      <w:r w:rsidRPr="008C2D2F">
        <w:rPr>
          <w:rFonts w:cs="Times New Roman"/>
          <w:sz w:val="20"/>
          <w:szCs w:val="20"/>
        </w:rPr>
        <w:t>Shkryl</w:t>
      </w:r>
      <w:proofErr w:type="spellEnd"/>
      <w:r w:rsidRPr="008C2D2F">
        <w:rPr>
          <w:rFonts w:cs="Times New Roman"/>
          <w:sz w:val="20"/>
          <w:szCs w:val="20"/>
        </w:rPr>
        <w:t xml:space="preserve">, Y (2021). Biomimetic synthesis of functional silver nanoparticles using hairy roots of Panax ginseng for wheat pathogenic fungi treatment. </w:t>
      </w:r>
      <w:r w:rsidRPr="008C2D2F">
        <w:rPr>
          <w:rFonts w:cs="Times New Roman"/>
          <w:i/>
          <w:sz w:val="20"/>
          <w:szCs w:val="20"/>
        </w:rPr>
        <w:t xml:space="preserve">Colloids and Surfaces B: </w:t>
      </w:r>
      <w:proofErr w:type="spellStart"/>
      <w:r w:rsidRPr="008C2D2F">
        <w:rPr>
          <w:rFonts w:cs="Times New Roman"/>
          <w:i/>
          <w:sz w:val="20"/>
          <w:szCs w:val="20"/>
        </w:rPr>
        <w:t>Biointerfaces</w:t>
      </w:r>
      <w:proofErr w:type="spellEnd"/>
      <w:r w:rsidRPr="008C2D2F">
        <w:rPr>
          <w:rFonts w:cs="Times New Roman"/>
          <w:sz w:val="20"/>
          <w:szCs w:val="20"/>
        </w:rPr>
        <w:t xml:space="preserve">, 207, 112031. https://doi.org/10.1016/j.colsurfb.2021 </w:t>
      </w:r>
    </w:p>
    <w:p w14:paraId="1291FF18"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05F40574" w14:textId="77777777" w:rsidR="00B12CCE" w:rsidRDefault="00B12CCE" w:rsidP="00D04FE9">
      <w:pPr>
        <w:pBdr>
          <w:top w:val="nil"/>
          <w:left w:val="nil"/>
          <w:bottom w:val="nil"/>
          <w:right w:val="nil"/>
          <w:between w:val="nil"/>
        </w:pBdr>
        <w:ind w:firstLine="708"/>
        <w:jc w:val="both"/>
        <w:rPr>
          <w:rFonts w:ascii="Calibri" w:eastAsia="Calibri" w:hAnsi="Calibri" w:cs="Calibri"/>
          <w:color w:val="000000"/>
          <w:sz w:val="20"/>
          <w:szCs w:val="20"/>
        </w:rPr>
      </w:pPr>
    </w:p>
    <w:p w14:paraId="7D81DC6C" w14:textId="77777777" w:rsidR="00B12CCE" w:rsidRDefault="00B12CCE" w:rsidP="00D04FE9">
      <w:pPr>
        <w:pBdr>
          <w:top w:val="nil"/>
          <w:left w:val="nil"/>
          <w:bottom w:val="nil"/>
          <w:right w:val="nil"/>
          <w:between w:val="nil"/>
        </w:pBdr>
        <w:ind w:firstLine="708"/>
        <w:jc w:val="both"/>
        <w:rPr>
          <w:rFonts w:ascii="Calibri" w:eastAsia="Calibri" w:hAnsi="Calibri" w:cs="Calibri"/>
          <w:color w:val="000000"/>
          <w:sz w:val="20"/>
          <w:szCs w:val="20"/>
        </w:rPr>
      </w:pPr>
    </w:p>
    <w:p w14:paraId="79F21EA8" w14:textId="77777777" w:rsidR="00B12CCE" w:rsidRDefault="00B12CCE" w:rsidP="000C1BC5">
      <w:pPr>
        <w:pBdr>
          <w:top w:val="nil"/>
          <w:left w:val="nil"/>
          <w:bottom w:val="nil"/>
          <w:right w:val="nil"/>
          <w:between w:val="nil"/>
        </w:pBdr>
        <w:jc w:val="both"/>
        <w:rPr>
          <w:rFonts w:ascii="Calibri" w:eastAsia="Calibri" w:hAnsi="Calibri" w:cs="Calibri"/>
          <w:color w:val="000000"/>
          <w:sz w:val="20"/>
          <w:szCs w:val="20"/>
        </w:rPr>
      </w:pPr>
    </w:p>
    <w:p w14:paraId="588F03F2" w14:textId="77777777" w:rsidR="00B12CCE" w:rsidRDefault="00B12CCE" w:rsidP="00D04FE9">
      <w:pPr>
        <w:pBdr>
          <w:top w:val="nil"/>
          <w:left w:val="nil"/>
          <w:bottom w:val="nil"/>
          <w:right w:val="nil"/>
          <w:between w:val="nil"/>
        </w:pBdr>
        <w:ind w:firstLine="708"/>
        <w:jc w:val="both"/>
        <w:rPr>
          <w:rFonts w:ascii="Calibri" w:eastAsia="Calibri" w:hAnsi="Calibri" w:cs="Calibri"/>
          <w:color w:val="000000"/>
          <w:sz w:val="20"/>
          <w:szCs w:val="20"/>
        </w:rPr>
      </w:pPr>
    </w:p>
    <w:p w14:paraId="019750EE" w14:textId="77777777" w:rsidR="000C1BC5" w:rsidRDefault="000C1BC5" w:rsidP="00230D4E">
      <w:pPr>
        <w:pBdr>
          <w:top w:val="nil"/>
          <w:left w:val="nil"/>
          <w:bottom w:val="nil"/>
          <w:right w:val="nil"/>
          <w:between w:val="nil"/>
        </w:pBdr>
        <w:rPr>
          <w:rFonts w:ascii="Calibri" w:eastAsia="Calibri" w:hAnsi="Calibri" w:cs="Calibri"/>
          <w:color w:val="000000"/>
          <w:sz w:val="20"/>
          <w:szCs w:val="20"/>
        </w:rPr>
      </w:pPr>
    </w:p>
    <w:p w14:paraId="122C7A11"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4F53A0A3"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56466B79"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6695EE20"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20DD346B"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02C1B8D8"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sectPr w:rsidR="00230D4E" w:rsidSect="00230D4E">
          <w:pgSz w:w="11906" w:h="16838"/>
          <w:pgMar w:top="1701" w:right="1134" w:bottom="1134" w:left="1701" w:header="709" w:footer="709" w:gutter="0"/>
          <w:pgNumType w:start="1"/>
          <w:cols w:space="720"/>
          <w:docGrid w:linePitch="326"/>
        </w:sectPr>
      </w:pPr>
    </w:p>
    <w:p w14:paraId="6F37284F" w14:textId="32124A86" w:rsidR="00230D4E" w:rsidRDefault="00230D4E" w:rsidP="00230D4E">
      <w:pPr>
        <w:pBdr>
          <w:top w:val="nil"/>
          <w:left w:val="nil"/>
          <w:bottom w:val="nil"/>
          <w:right w:val="nil"/>
          <w:between w:val="nil"/>
        </w:pBdr>
        <w:rPr>
          <w:rFonts w:ascii="Calibri" w:eastAsia="Calibri" w:hAnsi="Calibri" w:cs="Calibri"/>
          <w:color w:val="000000"/>
          <w:sz w:val="20"/>
          <w:szCs w:val="20"/>
        </w:rPr>
        <w:sectPr w:rsidR="00230D4E" w:rsidSect="00230D4E">
          <w:type w:val="continuous"/>
          <w:pgSz w:w="11906" w:h="16838"/>
          <w:pgMar w:top="1701" w:right="1134" w:bottom="1134" w:left="1701" w:header="709" w:footer="709" w:gutter="0"/>
          <w:pgNumType w:start="1"/>
          <w:cols w:space="720"/>
          <w:docGrid w:linePitch="326"/>
        </w:sectPr>
      </w:pPr>
    </w:p>
    <w:p w14:paraId="52ED01C8" w14:textId="3A7FD00D" w:rsidR="00B554F1" w:rsidRDefault="00B554F1" w:rsidP="00230D4E">
      <w:pPr>
        <w:pBdr>
          <w:top w:val="nil"/>
          <w:left w:val="nil"/>
          <w:bottom w:val="nil"/>
          <w:right w:val="nil"/>
          <w:between w:val="nil"/>
        </w:pBdr>
        <w:spacing w:line="276" w:lineRule="auto"/>
        <w:ind w:firstLine="708"/>
        <w:jc w:val="both"/>
        <w:rPr>
          <w:rFonts w:eastAsia="Calibri"/>
          <w:sz w:val="20"/>
          <w:szCs w:val="20"/>
        </w:rPr>
      </w:pPr>
    </w:p>
    <w:p w14:paraId="17428E96" w14:textId="77777777" w:rsidR="0001764C" w:rsidRDefault="0001764C" w:rsidP="00230D4E">
      <w:pPr>
        <w:pBdr>
          <w:top w:val="nil"/>
          <w:left w:val="nil"/>
          <w:bottom w:val="nil"/>
          <w:right w:val="nil"/>
          <w:between w:val="nil"/>
        </w:pBdr>
        <w:spacing w:line="276" w:lineRule="auto"/>
        <w:ind w:firstLine="708"/>
        <w:jc w:val="both"/>
        <w:rPr>
          <w:rFonts w:eastAsia="Calibri"/>
          <w:sz w:val="20"/>
          <w:szCs w:val="20"/>
        </w:rPr>
      </w:pPr>
    </w:p>
    <w:p w14:paraId="6F64BF05" w14:textId="77777777" w:rsidR="0001764C" w:rsidRDefault="0001764C" w:rsidP="00230D4E">
      <w:pPr>
        <w:pBdr>
          <w:top w:val="nil"/>
          <w:left w:val="nil"/>
          <w:bottom w:val="nil"/>
          <w:right w:val="nil"/>
          <w:between w:val="nil"/>
        </w:pBdr>
        <w:spacing w:line="276" w:lineRule="auto"/>
        <w:ind w:firstLine="708"/>
        <w:jc w:val="both"/>
        <w:rPr>
          <w:rFonts w:eastAsia="Calibri"/>
          <w:sz w:val="20"/>
          <w:szCs w:val="20"/>
        </w:rPr>
      </w:pPr>
    </w:p>
    <w:p w14:paraId="07011B4E" w14:textId="77777777" w:rsidR="0001764C" w:rsidRPr="008C2D2F" w:rsidRDefault="0001764C" w:rsidP="00230D4E">
      <w:pPr>
        <w:pBdr>
          <w:top w:val="nil"/>
          <w:left w:val="nil"/>
          <w:bottom w:val="nil"/>
          <w:right w:val="nil"/>
          <w:between w:val="nil"/>
        </w:pBdr>
        <w:spacing w:line="276" w:lineRule="auto"/>
        <w:ind w:firstLine="708"/>
        <w:jc w:val="both"/>
        <w:rPr>
          <w:rFonts w:eastAsia="Calibri"/>
          <w:sz w:val="20"/>
          <w:szCs w:val="20"/>
        </w:rPr>
      </w:pPr>
    </w:p>
    <w:sectPr w:rsidR="0001764C" w:rsidRPr="008C2D2F">
      <w:headerReference w:type="even" r:id="rId29"/>
      <w:headerReference w:type="default" r:id="rId30"/>
      <w:footerReference w:type="default" r:id="rId31"/>
      <w:headerReference w:type="first" r:id="rId32"/>
      <w:footerReference w:type="first" r:id="rId33"/>
      <w:pgSz w:w="11906" w:h="16838"/>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DCE5" w14:textId="77777777" w:rsidR="008F0481" w:rsidRDefault="008F0481">
      <w:r>
        <w:separator/>
      </w:r>
    </w:p>
  </w:endnote>
  <w:endnote w:type="continuationSeparator" w:id="0">
    <w:p w14:paraId="3D652CF5" w14:textId="77777777" w:rsidR="008F0481" w:rsidRDefault="008F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0604" w14:textId="77777777" w:rsidR="000B2931" w:rsidRDefault="000B293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8CAA" w14:textId="77777777" w:rsidR="00D35DF1" w:rsidRDefault="00D35DF1">
    <w:pPr>
      <w:widowControl w:val="0"/>
      <w:pBdr>
        <w:top w:val="nil"/>
        <w:left w:val="nil"/>
        <w:bottom w:val="nil"/>
        <w:right w:val="nil"/>
        <w:between w:val="nil"/>
      </w:pBdr>
      <w:spacing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9651" w14:textId="77777777" w:rsidR="00D35DF1" w:rsidRDefault="00D35DF1">
    <w:pPr>
      <w:widowControl w:val="0"/>
      <w:pBdr>
        <w:top w:val="nil"/>
        <w:left w:val="nil"/>
        <w:bottom w:val="nil"/>
        <w:right w:val="nil"/>
        <w:between w:val="nil"/>
      </w:pBdr>
      <w:spacing w:line="276" w:lineRule="auto"/>
      <w:rPr>
        <w:rFonts w:ascii="Calibri" w:eastAsia="Calibri" w:hAnsi="Calibri" w:cs="Calibri"/>
        <w:color w:val="000000"/>
      </w:rPr>
    </w:pPr>
  </w:p>
  <w:tbl>
    <w:tblPr>
      <w:tblStyle w:val="6"/>
      <w:tblW w:w="9524" w:type="dxa"/>
      <w:tblInd w:w="-115" w:type="dxa"/>
      <w:tblLayout w:type="fixed"/>
      <w:tblLook w:val="0400" w:firstRow="0" w:lastRow="0" w:firstColumn="0" w:lastColumn="0" w:noHBand="0" w:noVBand="1"/>
    </w:tblPr>
    <w:tblGrid>
      <w:gridCol w:w="8572"/>
      <w:gridCol w:w="952"/>
    </w:tblGrid>
    <w:tr w:rsidR="006474C7" w14:paraId="0DCB76B3" w14:textId="77777777">
      <w:tc>
        <w:tcPr>
          <w:tcW w:w="8572" w:type="dxa"/>
          <w:tcBorders>
            <w:top w:val="single" w:sz="4" w:space="0" w:color="000000"/>
          </w:tcBorders>
        </w:tcPr>
        <w:p w14:paraId="41B26C94"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HOLOS, Ano 29, </w:t>
          </w:r>
          <w:proofErr w:type="spellStart"/>
          <w:r>
            <w:rPr>
              <w:rFonts w:ascii="Calibri" w:eastAsia="Calibri" w:hAnsi="Calibri" w:cs="Calibri"/>
              <w:color w:val="000000"/>
            </w:rPr>
            <w:t>Vol</w:t>
          </w:r>
          <w:proofErr w:type="spellEnd"/>
          <w:r>
            <w:rPr>
              <w:rFonts w:ascii="Calibri" w:eastAsia="Calibri" w:hAnsi="Calibri" w:cs="Calibri"/>
              <w:color w:val="000000"/>
            </w:rPr>
            <w:t xml:space="preserve"> 1</w:t>
          </w:r>
        </w:p>
      </w:tc>
      <w:tc>
        <w:tcPr>
          <w:tcW w:w="952" w:type="dxa"/>
          <w:tcBorders>
            <w:top w:val="single" w:sz="4" w:space="0" w:color="ED7D31"/>
          </w:tcBorders>
          <w:shd w:val="clear" w:color="auto" w:fill="808080"/>
        </w:tcPr>
        <w:p w14:paraId="74FC4AB8"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51955C43" w14:textId="77777777" w:rsidR="00D35DF1" w:rsidRDefault="00D35DF1">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332F" w14:textId="501478AB" w:rsidR="00D35DF1" w:rsidRDefault="00D35DF1">
    <w:pPr>
      <w:pBdr>
        <w:top w:val="nil"/>
        <w:left w:val="nil"/>
        <w:bottom w:val="nil"/>
        <w:right w:val="nil"/>
        <w:between w:val="nil"/>
      </w:pBdr>
      <w:tabs>
        <w:tab w:val="center" w:pos="4252"/>
        <w:tab w:val="right" w:pos="8504"/>
      </w:tabs>
      <w:jc w:val="right"/>
      <w:rPr>
        <w:rFonts w:ascii="Calibri" w:eastAsia="Calibri" w:hAnsi="Calibri" w:cs="Calibri"/>
        <w:color w:val="000000"/>
      </w:rPr>
    </w:pPr>
  </w:p>
  <w:p w14:paraId="1C2583D1" w14:textId="77777777" w:rsidR="00D35DF1" w:rsidRDefault="00D35DF1">
    <w:pPr>
      <w:spacing w:line="360" w:lineRule="auto"/>
      <w:jc w:val="center"/>
      <w:rPr>
        <w:b/>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EFE5" w14:textId="7BB66137" w:rsidR="00D35DF1" w:rsidRDefault="00D35DF1">
    <w:pPr>
      <w:pBdr>
        <w:top w:val="nil"/>
        <w:left w:val="nil"/>
        <w:bottom w:val="nil"/>
        <w:right w:val="nil"/>
        <w:between w:val="nil"/>
      </w:pBdr>
      <w:tabs>
        <w:tab w:val="center" w:pos="4252"/>
        <w:tab w:val="right" w:pos="8504"/>
      </w:tabs>
      <w:spacing w:before="80"/>
      <w:jc w:val="both"/>
      <w:rPr>
        <w:rFonts w:ascii="Calibri" w:eastAsia="Calibri" w:hAnsi="Calibri" w:cs="Calibri"/>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B571" w14:textId="77777777" w:rsidR="00D35DF1" w:rsidRDefault="00D35DF1">
    <w:pPr>
      <w:widowControl w:val="0"/>
      <w:pBdr>
        <w:top w:val="nil"/>
        <w:left w:val="nil"/>
        <w:bottom w:val="nil"/>
        <w:right w:val="nil"/>
        <w:between w:val="nil"/>
      </w:pBdr>
      <w:spacing w:line="276" w:lineRule="auto"/>
      <w:rPr>
        <w:rFonts w:ascii="Calibri" w:eastAsia="Calibri" w:hAnsi="Calibri" w:cs="Calibri"/>
        <w:color w:val="000000"/>
      </w:rPr>
    </w:pPr>
  </w:p>
  <w:tbl>
    <w:tblPr>
      <w:tblStyle w:val="7"/>
      <w:tblW w:w="9524" w:type="dxa"/>
      <w:tblInd w:w="-115" w:type="dxa"/>
      <w:tblLayout w:type="fixed"/>
      <w:tblLook w:val="0400" w:firstRow="0" w:lastRow="0" w:firstColumn="0" w:lastColumn="0" w:noHBand="0" w:noVBand="1"/>
    </w:tblPr>
    <w:tblGrid>
      <w:gridCol w:w="8572"/>
      <w:gridCol w:w="952"/>
    </w:tblGrid>
    <w:tr w:rsidR="006474C7" w14:paraId="701FF3B0" w14:textId="77777777">
      <w:tc>
        <w:tcPr>
          <w:tcW w:w="8572" w:type="dxa"/>
          <w:tcBorders>
            <w:top w:val="single" w:sz="4" w:space="0" w:color="000000"/>
          </w:tcBorders>
        </w:tcPr>
        <w:p w14:paraId="56D19F18"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HOLOS, Ano 29, </w:t>
          </w:r>
          <w:proofErr w:type="spellStart"/>
          <w:r>
            <w:rPr>
              <w:rFonts w:ascii="Calibri" w:eastAsia="Calibri" w:hAnsi="Calibri" w:cs="Calibri"/>
              <w:color w:val="000000"/>
            </w:rPr>
            <w:t>Vol</w:t>
          </w:r>
          <w:proofErr w:type="spellEnd"/>
          <w:r>
            <w:rPr>
              <w:rFonts w:ascii="Calibri" w:eastAsia="Calibri" w:hAnsi="Calibri" w:cs="Calibri"/>
              <w:color w:val="000000"/>
            </w:rPr>
            <w:t xml:space="preserve"> 1</w:t>
          </w:r>
        </w:p>
      </w:tc>
      <w:tc>
        <w:tcPr>
          <w:tcW w:w="952" w:type="dxa"/>
          <w:tcBorders>
            <w:top w:val="single" w:sz="4" w:space="0" w:color="ED7D31"/>
          </w:tcBorders>
          <w:shd w:val="clear" w:color="auto" w:fill="808080"/>
        </w:tcPr>
        <w:p w14:paraId="42D13D0D"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14D48A38" w14:textId="77777777" w:rsidR="00D35DF1" w:rsidRDefault="00D35DF1">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A145" w14:textId="77777777" w:rsidR="008F0481" w:rsidRDefault="008F0481">
      <w:r>
        <w:separator/>
      </w:r>
    </w:p>
  </w:footnote>
  <w:footnote w:type="continuationSeparator" w:id="0">
    <w:p w14:paraId="731B42AB" w14:textId="77777777" w:rsidR="008F0481" w:rsidRDefault="008F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588A" w14:textId="23BEE359" w:rsidR="000B2931" w:rsidRDefault="00000000">
    <w:pPr>
      <w:pStyle w:val="Cabealho"/>
    </w:pPr>
    <w:r>
      <w:rPr>
        <w:noProof/>
      </w:rPr>
      <w:pict w14:anchorId="19BD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4" o:spid="_x0000_s1026" type="#_x0000_t136" style="position:absolute;left:0;text-align:left;margin-left:0;margin-top:0;width:604.25pt;height:67.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38F3" w14:textId="1A41B561" w:rsidR="00D35DF1" w:rsidRDefault="00000000" w:rsidP="00D61AB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pict w14:anchorId="68FF0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5" o:spid="_x0000_s1027" type="#_x0000_t136" style="position:absolute;left:0;text-align:left;margin-left:0;margin-top:0;width:604.25pt;height:67.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267E" w14:textId="41CC5AAC" w:rsidR="000B2931" w:rsidRDefault="00000000">
    <w:pPr>
      <w:pStyle w:val="Cabealho"/>
    </w:pPr>
    <w:r>
      <w:rPr>
        <w:noProof/>
      </w:rPr>
      <w:pict w14:anchorId="794AB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3" o:spid="_x0000_s1025" type="#_x0000_t136" style="position:absolute;left:0;text-align:left;margin-left:0;margin-top:0;width:604.25pt;height:67.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331" w14:textId="2B17E36F" w:rsidR="000B2931" w:rsidRDefault="00000000">
    <w:pPr>
      <w:pStyle w:val="Cabealho"/>
    </w:pPr>
    <w:r>
      <w:rPr>
        <w:noProof/>
      </w:rPr>
      <w:pict w14:anchorId="1B3DC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7" o:spid="_x0000_s1029" type="#_x0000_t136" style="position:absolute;left:0;text-align:left;margin-left:0;margin-top:0;width:604.25pt;height:67.1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B09B" w14:textId="271DD608" w:rsidR="000B2931" w:rsidRDefault="00000000">
    <w:pPr>
      <w:pStyle w:val="Cabealho"/>
    </w:pPr>
    <w:r>
      <w:rPr>
        <w:noProof/>
      </w:rPr>
      <w:pict w14:anchorId="03D54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8" o:spid="_x0000_s1030" type="#_x0000_t136" style="position:absolute;left:0;text-align:left;margin-left:0;margin-top:0;width:604.25pt;height:67.1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AD0" w14:textId="47994CCA" w:rsidR="000B2931" w:rsidRDefault="00000000">
    <w:pPr>
      <w:pStyle w:val="Cabealho"/>
    </w:pPr>
    <w:r>
      <w:rPr>
        <w:noProof/>
      </w:rPr>
      <w:pict w14:anchorId="5AB75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6" o:spid="_x0000_s1028" type="#_x0000_t136" style="position:absolute;left:0;text-align:left;margin-left:0;margin-top:0;width:604.25pt;height:67.1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BB1B" w14:textId="7EC34F09" w:rsidR="000B2931" w:rsidRDefault="00000000">
    <w:pPr>
      <w:pStyle w:val="Cabealho"/>
    </w:pPr>
    <w:r>
      <w:rPr>
        <w:noProof/>
      </w:rPr>
      <w:pict w14:anchorId="5730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50" o:spid="_x0000_s1032" type="#_x0000_t136" style="position:absolute;left:0;text-align:left;margin-left:0;margin-top:0;width:604.25pt;height:67.1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FCBA" w14:textId="2F5D11DE" w:rsidR="00D35DF1" w:rsidRDefault="00000000">
    <w:pPr>
      <w:widowControl w:val="0"/>
      <w:pBdr>
        <w:top w:val="nil"/>
        <w:left w:val="nil"/>
        <w:bottom w:val="nil"/>
        <w:right w:val="nil"/>
        <w:between w:val="nil"/>
      </w:pBdr>
      <w:spacing w:line="276" w:lineRule="auto"/>
      <w:rPr>
        <w:rFonts w:ascii="Calibri" w:eastAsia="Calibri" w:hAnsi="Calibri" w:cs="Calibri"/>
        <w:color w:val="000000"/>
      </w:rPr>
    </w:pPr>
    <w:r>
      <w:rPr>
        <w:noProof/>
      </w:rPr>
      <w:pict w14:anchorId="2C28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51" o:spid="_x0000_s1033" type="#_x0000_t136" style="position:absolute;margin-left:0;margin-top:0;width:604.25pt;height:67.1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A96235F" w14:textId="77777777" w:rsidR="00D35DF1" w:rsidRDefault="00D35DF1">
    <w:pPr>
      <w:pBdr>
        <w:top w:val="nil"/>
        <w:left w:val="nil"/>
        <w:bottom w:val="nil"/>
        <w:right w:val="nil"/>
        <w:between w:val="nil"/>
      </w:pBdr>
      <w:tabs>
        <w:tab w:val="center" w:pos="4252"/>
        <w:tab w:val="right" w:pos="8504"/>
      </w:tabs>
      <w:jc w:val="both"/>
      <w:rPr>
        <w:rFonts w:ascii="Calibri" w:eastAsia="Calibri" w:hAnsi="Calibri" w:cs="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59F" w14:textId="06AD4DED" w:rsidR="000B2931" w:rsidRDefault="00000000">
    <w:pPr>
      <w:pStyle w:val="Cabealho"/>
    </w:pPr>
    <w:r>
      <w:rPr>
        <w:noProof/>
      </w:rPr>
      <w:pict w14:anchorId="28C77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9" o:spid="_x0000_s1031" type="#_x0000_t136" style="position:absolute;left:0;text-align:left;margin-left:0;margin-top:0;width:604.25pt;height:67.1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B38"/>
    <w:multiLevelType w:val="multilevel"/>
    <w:tmpl w:val="2474D1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F651DCE"/>
    <w:multiLevelType w:val="multilevel"/>
    <w:tmpl w:val="528296AC"/>
    <w:lvl w:ilvl="0">
      <w:start w:val="1"/>
      <w:numFmt w:val="decimal"/>
      <w:lvlText w:val="%1"/>
      <w:lvlJc w:val="left"/>
      <w:pPr>
        <w:ind w:left="574" w:hanging="432"/>
      </w:pPr>
      <w:rPr>
        <w:b/>
        <w:i w:val="0"/>
        <w:sz w:val="28"/>
        <w:szCs w:val="28"/>
      </w:rPr>
    </w:lvl>
    <w:lvl w:ilvl="1">
      <w:start w:val="1"/>
      <w:numFmt w:val="decimal"/>
      <w:lvlText w:val="%1.%2"/>
      <w:lvlJc w:val="left"/>
      <w:pPr>
        <w:ind w:left="718" w:hanging="576"/>
      </w:pPr>
      <w:rPr>
        <w:sz w:val="26"/>
        <w:szCs w:val="26"/>
      </w:rPr>
    </w:lvl>
    <w:lvl w:ilvl="2">
      <w:start w:val="1"/>
      <w:numFmt w:val="decimal"/>
      <w:lvlText w:val="%1.%2.%3"/>
      <w:lvlJc w:val="left"/>
      <w:pPr>
        <w:ind w:left="862" w:hanging="720"/>
      </w:pPr>
      <w:rPr>
        <w:i/>
      </w:r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2" w15:restartNumberingAfterBreak="0">
    <w:nsid w:val="29473B3D"/>
    <w:multiLevelType w:val="multilevel"/>
    <w:tmpl w:val="8DFA59EC"/>
    <w:lvl w:ilvl="0">
      <w:start w:val="1"/>
      <w:numFmt w:val="bullet"/>
      <w:pStyle w:val="Ttulo1"/>
      <w:lvlText w:val="●"/>
      <w:lvlJc w:val="left"/>
      <w:pPr>
        <w:ind w:left="1429" w:hanging="360"/>
      </w:pPr>
      <w:rPr>
        <w:rFonts w:ascii="Noto Sans Symbols" w:eastAsia="Noto Sans Symbols" w:hAnsi="Noto Sans Symbols" w:cs="Noto Sans Symbols"/>
      </w:rPr>
    </w:lvl>
    <w:lvl w:ilvl="1">
      <w:start w:val="1"/>
      <w:numFmt w:val="bullet"/>
      <w:pStyle w:val="Ttulo2"/>
      <w:lvlText w:val="o"/>
      <w:lvlJc w:val="left"/>
      <w:pPr>
        <w:ind w:left="2149" w:hanging="360"/>
      </w:pPr>
      <w:rPr>
        <w:rFonts w:ascii="Courier New" w:eastAsia="Courier New" w:hAnsi="Courier New" w:cs="Courier New"/>
      </w:rPr>
    </w:lvl>
    <w:lvl w:ilvl="2">
      <w:start w:val="1"/>
      <w:numFmt w:val="bullet"/>
      <w:pStyle w:val="Ttulo3"/>
      <w:lvlText w:val="▪"/>
      <w:lvlJc w:val="left"/>
      <w:pPr>
        <w:ind w:left="2869" w:hanging="360"/>
      </w:pPr>
      <w:rPr>
        <w:rFonts w:ascii="Noto Sans Symbols" w:eastAsia="Noto Sans Symbols" w:hAnsi="Noto Sans Symbols" w:cs="Noto Sans Symbols"/>
      </w:rPr>
    </w:lvl>
    <w:lvl w:ilvl="3">
      <w:start w:val="1"/>
      <w:numFmt w:val="bullet"/>
      <w:pStyle w:val="Ttulo4"/>
      <w:lvlText w:val="●"/>
      <w:lvlJc w:val="left"/>
      <w:pPr>
        <w:ind w:left="3589" w:hanging="360"/>
      </w:pPr>
      <w:rPr>
        <w:rFonts w:ascii="Noto Sans Symbols" w:eastAsia="Noto Sans Symbols" w:hAnsi="Noto Sans Symbols" w:cs="Noto Sans Symbols"/>
      </w:rPr>
    </w:lvl>
    <w:lvl w:ilvl="4">
      <w:start w:val="1"/>
      <w:numFmt w:val="bullet"/>
      <w:pStyle w:val="Ttulo5"/>
      <w:lvlText w:val="o"/>
      <w:lvlJc w:val="left"/>
      <w:pPr>
        <w:ind w:left="4309" w:hanging="360"/>
      </w:pPr>
      <w:rPr>
        <w:rFonts w:ascii="Courier New" w:eastAsia="Courier New" w:hAnsi="Courier New" w:cs="Courier New"/>
      </w:rPr>
    </w:lvl>
    <w:lvl w:ilvl="5">
      <w:start w:val="1"/>
      <w:numFmt w:val="bullet"/>
      <w:pStyle w:val="Ttulo6"/>
      <w:lvlText w:val="▪"/>
      <w:lvlJc w:val="left"/>
      <w:pPr>
        <w:ind w:left="5029" w:hanging="360"/>
      </w:pPr>
      <w:rPr>
        <w:rFonts w:ascii="Noto Sans Symbols" w:eastAsia="Noto Sans Symbols" w:hAnsi="Noto Sans Symbols" w:cs="Noto Sans Symbols"/>
      </w:rPr>
    </w:lvl>
    <w:lvl w:ilvl="6">
      <w:start w:val="1"/>
      <w:numFmt w:val="bullet"/>
      <w:pStyle w:val="Ttulo7"/>
      <w:lvlText w:val="●"/>
      <w:lvlJc w:val="left"/>
      <w:pPr>
        <w:ind w:left="5749" w:hanging="360"/>
      </w:pPr>
      <w:rPr>
        <w:rFonts w:ascii="Noto Sans Symbols" w:eastAsia="Noto Sans Symbols" w:hAnsi="Noto Sans Symbols" w:cs="Noto Sans Symbols"/>
      </w:rPr>
    </w:lvl>
    <w:lvl w:ilvl="7">
      <w:start w:val="1"/>
      <w:numFmt w:val="bullet"/>
      <w:pStyle w:val="Ttulo8"/>
      <w:lvlText w:val="o"/>
      <w:lvlJc w:val="left"/>
      <w:pPr>
        <w:ind w:left="6469" w:hanging="360"/>
      </w:pPr>
      <w:rPr>
        <w:rFonts w:ascii="Courier New" w:eastAsia="Courier New" w:hAnsi="Courier New" w:cs="Courier New"/>
      </w:rPr>
    </w:lvl>
    <w:lvl w:ilvl="8">
      <w:start w:val="1"/>
      <w:numFmt w:val="bullet"/>
      <w:pStyle w:val="Ttulo9"/>
      <w:lvlText w:val="▪"/>
      <w:lvlJc w:val="left"/>
      <w:pPr>
        <w:ind w:left="7189" w:hanging="360"/>
      </w:pPr>
      <w:rPr>
        <w:rFonts w:ascii="Noto Sans Symbols" w:eastAsia="Noto Sans Symbols" w:hAnsi="Noto Sans Symbols" w:cs="Noto Sans Symbols"/>
      </w:rPr>
    </w:lvl>
  </w:abstractNum>
  <w:abstractNum w:abstractNumId="3" w15:restartNumberingAfterBreak="0">
    <w:nsid w:val="3DB87C29"/>
    <w:multiLevelType w:val="multilevel"/>
    <w:tmpl w:val="FFF4D54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512F3E23"/>
    <w:multiLevelType w:val="multilevel"/>
    <w:tmpl w:val="FAD09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100CA4"/>
    <w:multiLevelType w:val="multilevel"/>
    <w:tmpl w:val="698EC998"/>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126C3C"/>
    <w:multiLevelType w:val="multilevel"/>
    <w:tmpl w:val="F8C2BEC8"/>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6161165">
    <w:abstractNumId w:val="2"/>
  </w:num>
  <w:num w:numId="2" w16cid:durableId="453594257">
    <w:abstractNumId w:val="0"/>
  </w:num>
  <w:num w:numId="3" w16cid:durableId="1487893287">
    <w:abstractNumId w:val="4"/>
  </w:num>
  <w:num w:numId="4" w16cid:durableId="965240161">
    <w:abstractNumId w:val="1"/>
  </w:num>
  <w:num w:numId="5" w16cid:durableId="1649280679">
    <w:abstractNumId w:val="6"/>
  </w:num>
  <w:num w:numId="6" w16cid:durableId="624848984">
    <w:abstractNumId w:val="3"/>
  </w:num>
  <w:num w:numId="7" w16cid:durableId="177886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60"/>
    <w:rsid w:val="0000542C"/>
    <w:rsid w:val="00012C89"/>
    <w:rsid w:val="0001764C"/>
    <w:rsid w:val="0002371F"/>
    <w:rsid w:val="00030DED"/>
    <w:rsid w:val="000314DB"/>
    <w:rsid w:val="000504D0"/>
    <w:rsid w:val="00051AE5"/>
    <w:rsid w:val="000651D2"/>
    <w:rsid w:val="000734C9"/>
    <w:rsid w:val="00082D6D"/>
    <w:rsid w:val="00087E39"/>
    <w:rsid w:val="00091C30"/>
    <w:rsid w:val="00095960"/>
    <w:rsid w:val="000A5A4A"/>
    <w:rsid w:val="000B2931"/>
    <w:rsid w:val="000B7A9B"/>
    <w:rsid w:val="000C1BC5"/>
    <w:rsid w:val="000E13D3"/>
    <w:rsid w:val="000E7590"/>
    <w:rsid w:val="00115695"/>
    <w:rsid w:val="00123D3B"/>
    <w:rsid w:val="001265CD"/>
    <w:rsid w:val="00126E66"/>
    <w:rsid w:val="0015551B"/>
    <w:rsid w:val="00157670"/>
    <w:rsid w:val="00183598"/>
    <w:rsid w:val="00184043"/>
    <w:rsid w:val="001A25F2"/>
    <w:rsid w:val="001A4495"/>
    <w:rsid w:val="001A5E78"/>
    <w:rsid w:val="001B514A"/>
    <w:rsid w:val="001C030F"/>
    <w:rsid w:val="001C4564"/>
    <w:rsid w:val="001F7C1D"/>
    <w:rsid w:val="00201084"/>
    <w:rsid w:val="00223838"/>
    <w:rsid w:val="00230D4E"/>
    <w:rsid w:val="00264F82"/>
    <w:rsid w:val="0027775A"/>
    <w:rsid w:val="0030120E"/>
    <w:rsid w:val="0030210D"/>
    <w:rsid w:val="00313D1E"/>
    <w:rsid w:val="00323025"/>
    <w:rsid w:val="00334CEB"/>
    <w:rsid w:val="00344C23"/>
    <w:rsid w:val="003469D7"/>
    <w:rsid w:val="003563D1"/>
    <w:rsid w:val="00367C5A"/>
    <w:rsid w:val="00386E02"/>
    <w:rsid w:val="00387420"/>
    <w:rsid w:val="00395162"/>
    <w:rsid w:val="00396D7F"/>
    <w:rsid w:val="003C578B"/>
    <w:rsid w:val="003E52EC"/>
    <w:rsid w:val="00400554"/>
    <w:rsid w:val="004041F5"/>
    <w:rsid w:val="0040478F"/>
    <w:rsid w:val="004378A3"/>
    <w:rsid w:val="00437E4F"/>
    <w:rsid w:val="0048074D"/>
    <w:rsid w:val="00485C89"/>
    <w:rsid w:val="004A0EBA"/>
    <w:rsid w:val="004A4728"/>
    <w:rsid w:val="004B2FD6"/>
    <w:rsid w:val="004B4B99"/>
    <w:rsid w:val="004D3CF0"/>
    <w:rsid w:val="004E41A3"/>
    <w:rsid w:val="004F582C"/>
    <w:rsid w:val="004F7FCC"/>
    <w:rsid w:val="005104F9"/>
    <w:rsid w:val="00516C18"/>
    <w:rsid w:val="00535475"/>
    <w:rsid w:val="00553AA9"/>
    <w:rsid w:val="00554395"/>
    <w:rsid w:val="00572002"/>
    <w:rsid w:val="00580476"/>
    <w:rsid w:val="005A735A"/>
    <w:rsid w:val="005B51CA"/>
    <w:rsid w:val="005C20C0"/>
    <w:rsid w:val="005D13F3"/>
    <w:rsid w:val="005E1E95"/>
    <w:rsid w:val="00600DE2"/>
    <w:rsid w:val="006024E4"/>
    <w:rsid w:val="00602752"/>
    <w:rsid w:val="0060359E"/>
    <w:rsid w:val="00616FA2"/>
    <w:rsid w:val="006304E5"/>
    <w:rsid w:val="00631F89"/>
    <w:rsid w:val="006474C7"/>
    <w:rsid w:val="006508DB"/>
    <w:rsid w:val="00667ED2"/>
    <w:rsid w:val="006B166B"/>
    <w:rsid w:val="006C7E37"/>
    <w:rsid w:val="006E39E4"/>
    <w:rsid w:val="006F00F6"/>
    <w:rsid w:val="00706862"/>
    <w:rsid w:val="0071592B"/>
    <w:rsid w:val="00721817"/>
    <w:rsid w:val="00730E64"/>
    <w:rsid w:val="00732207"/>
    <w:rsid w:val="00787B3E"/>
    <w:rsid w:val="00790C52"/>
    <w:rsid w:val="007A020B"/>
    <w:rsid w:val="007A1644"/>
    <w:rsid w:val="007C589F"/>
    <w:rsid w:val="007D6194"/>
    <w:rsid w:val="007E129A"/>
    <w:rsid w:val="007E53E7"/>
    <w:rsid w:val="007E69F2"/>
    <w:rsid w:val="007F2494"/>
    <w:rsid w:val="008142EA"/>
    <w:rsid w:val="00824F95"/>
    <w:rsid w:val="00826828"/>
    <w:rsid w:val="0082687A"/>
    <w:rsid w:val="008328F0"/>
    <w:rsid w:val="00850601"/>
    <w:rsid w:val="00854342"/>
    <w:rsid w:val="00864A84"/>
    <w:rsid w:val="00866DDC"/>
    <w:rsid w:val="00883F1C"/>
    <w:rsid w:val="00890DA6"/>
    <w:rsid w:val="008A2ED7"/>
    <w:rsid w:val="008A4894"/>
    <w:rsid w:val="008A6460"/>
    <w:rsid w:val="008B4333"/>
    <w:rsid w:val="008B5944"/>
    <w:rsid w:val="008C2D2F"/>
    <w:rsid w:val="008D1CE4"/>
    <w:rsid w:val="008E7B41"/>
    <w:rsid w:val="008F0481"/>
    <w:rsid w:val="008F049B"/>
    <w:rsid w:val="00906735"/>
    <w:rsid w:val="0091120C"/>
    <w:rsid w:val="0092354E"/>
    <w:rsid w:val="00933E5F"/>
    <w:rsid w:val="00940F8C"/>
    <w:rsid w:val="00950A50"/>
    <w:rsid w:val="009664EE"/>
    <w:rsid w:val="00971C27"/>
    <w:rsid w:val="00974780"/>
    <w:rsid w:val="00977857"/>
    <w:rsid w:val="00981473"/>
    <w:rsid w:val="0099192A"/>
    <w:rsid w:val="009A3ABC"/>
    <w:rsid w:val="009A48EA"/>
    <w:rsid w:val="009B130A"/>
    <w:rsid w:val="009E1FFC"/>
    <w:rsid w:val="00A07409"/>
    <w:rsid w:val="00A45322"/>
    <w:rsid w:val="00A57B32"/>
    <w:rsid w:val="00A8338A"/>
    <w:rsid w:val="00A905EA"/>
    <w:rsid w:val="00A95319"/>
    <w:rsid w:val="00AA5297"/>
    <w:rsid w:val="00AC1FA0"/>
    <w:rsid w:val="00AD24C4"/>
    <w:rsid w:val="00AD3301"/>
    <w:rsid w:val="00AE077E"/>
    <w:rsid w:val="00B10666"/>
    <w:rsid w:val="00B124E2"/>
    <w:rsid w:val="00B12CCE"/>
    <w:rsid w:val="00B13A03"/>
    <w:rsid w:val="00B554F1"/>
    <w:rsid w:val="00B570D1"/>
    <w:rsid w:val="00B630BE"/>
    <w:rsid w:val="00B70CB5"/>
    <w:rsid w:val="00B774C0"/>
    <w:rsid w:val="00B8577A"/>
    <w:rsid w:val="00BA111C"/>
    <w:rsid w:val="00BB0995"/>
    <w:rsid w:val="00BD0738"/>
    <w:rsid w:val="00BD2CE8"/>
    <w:rsid w:val="00BF4CC7"/>
    <w:rsid w:val="00C00454"/>
    <w:rsid w:val="00C150EF"/>
    <w:rsid w:val="00C23057"/>
    <w:rsid w:val="00C47C7E"/>
    <w:rsid w:val="00C55AF4"/>
    <w:rsid w:val="00C62E85"/>
    <w:rsid w:val="00C72BBB"/>
    <w:rsid w:val="00C96DD8"/>
    <w:rsid w:val="00CA738D"/>
    <w:rsid w:val="00CB5884"/>
    <w:rsid w:val="00CB76B2"/>
    <w:rsid w:val="00CC5DA0"/>
    <w:rsid w:val="00CD102C"/>
    <w:rsid w:val="00CE4263"/>
    <w:rsid w:val="00D04FE9"/>
    <w:rsid w:val="00D14391"/>
    <w:rsid w:val="00D22E6B"/>
    <w:rsid w:val="00D35DF1"/>
    <w:rsid w:val="00D371DE"/>
    <w:rsid w:val="00D511B9"/>
    <w:rsid w:val="00D56CB0"/>
    <w:rsid w:val="00D61ABA"/>
    <w:rsid w:val="00D72B7D"/>
    <w:rsid w:val="00D730C4"/>
    <w:rsid w:val="00D810B0"/>
    <w:rsid w:val="00D8308E"/>
    <w:rsid w:val="00D833CD"/>
    <w:rsid w:val="00D868F7"/>
    <w:rsid w:val="00D8772F"/>
    <w:rsid w:val="00DB37A5"/>
    <w:rsid w:val="00DD3E84"/>
    <w:rsid w:val="00DF27E3"/>
    <w:rsid w:val="00DF6C49"/>
    <w:rsid w:val="00E231A1"/>
    <w:rsid w:val="00E24656"/>
    <w:rsid w:val="00E274DC"/>
    <w:rsid w:val="00E30B0F"/>
    <w:rsid w:val="00E56656"/>
    <w:rsid w:val="00E80CB5"/>
    <w:rsid w:val="00EA03D5"/>
    <w:rsid w:val="00EA2C5E"/>
    <w:rsid w:val="00EA77FE"/>
    <w:rsid w:val="00EC29B6"/>
    <w:rsid w:val="00EC435C"/>
    <w:rsid w:val="00ED1CB0"/>
    <w:rsid w:val="00EF009C"/>
    <w:rsid w:val="00EF6811"/>
    <w:rsid w:val="00EF6BA2"/>
    <w:rsid w:val="00F05DB7"/>
    <w:rsid w:val="00F10800"/>
    <w:rsid w:val="00F225CA"/>
    <w:rsid w:val="00F27440"/>
    <w:rsid w:val="00F43DD2"/>
    <w:rsid w:val="00F528B5"/>
    <w:rsid w:val="00F82A44"/>
    <w:rsid w:val="00F835C4"/>
    <w:rsid w:val="00F84463"/>
    <w:rsid w:val="00F923BB"/>
    <w:rsid w:val="00F940CA"/>
    <w:rsid w:val="00FB5085"/>
    <w:rsid w:val="00FE0E85"/>
    <w:rsid w:val="00FE6A5D"/>
    <w:rsid w:val="00FF1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B7B2"/>
  <w15:docId w15:val="{95468D9B-B469-46D6-9E29-B3508C19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A9"/>
  </w:style>
  <w:style w:type="paragraph" w:styleId="Ttulo1">
    <w:name w:val="heading 1"/>
    <w:aliases w:val="Tópico"/>
    <w:basedOn w:val="Normal"/>
    <w:next w:val="Normal"/>
    <w:link w:val="Ttulo1Char"/>
    <w:uiPriority w:val="1"/>
    <w:qFormat/>
    <w:rsid w:val="00EF03A9"/>
    <w:pPr>
      <w:keepNext/>
      <w:keepLines/>
      <w:numPr>
        <w:numId w:val="1"/>
      </w:numPr>
      <w:spacing w:before="360" w:after="240"/>
      <w:ind w:left="284" w:hanging="284"/>
      <w:jc w:val="both"/>
      <w:outlineLvl w:val="0"/>
    </w:pPr>
    <w:rPr>
      <w:rFonts w:ascii="Calibri" w:eastAsiaTheme="majorEastAsia" w:hAnsi="Calibri" w:cstheme="majorBidi"/>
      <w:b/>
      <w:bCs/>
      <w:caps/>
      <w:color w:val="000000" w:themeColor="text1"/>
      <w:sz w:val="28"/>
      <w:szCs w:val="28"/>
      <w:lang w:eastAsia="en-US"/>
    </w:rPr>
  </w:style>
  <w:style w:type="paragraph" w:styleId="Ttulo2">
    <w:name w:val="heading 2"/>
    <w:aliases w:val="Subtópico 1"/>
    <w:basedOn w:val="Ttulo1"/>
    <w:next w:val="Normal"/>
    <w:link w:val="Ttulo2Char"/>
    <w:uiPriority w:val="2"/>
    <w:qFormat/>
    <w:rsid w:val="00EF03A9"/>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4"/>
    <w:unhideWhenUsed/>
    <w:qFormat/>
    <w:rsid w:val="00EF03A9"/>
    <w:pPr>
      <w:keepNext/>
      <w:keepLines/>
      <w:numPr>
        <w:ilvl w:val="2"/>
        <w:numId w:val="1"/>
      </w:numPr>
      <w:spacing w:before="360" w:after="120"/>
      <w:ind w:left="1446" w:hanging="737"/>
      <w:jc w:val="both"/>
      <w:outlineLvl w:val="2"/>
    </w:pPr>
    <w:rPr>
      <w:rFonts w:eastAsiaTheme="majorEastAsia" w:cstheme="majorBidi"/>
      <w:bCs/>
      <w:i/>
      <w:color w:val="000000" w:themeColor="text1"/>
      <w:spacing w:val="5"/>
      <w:kern w:val="28"/>
      <w:sz w:val="24"/>
      <w:szCs w:val="52"/>
      <w:lang w:eastAsia="en-US"/>
    </w:rPr>
  </w:style>
  <w:style w:type="paragraph" w:styleId="Ttulo4">
    <w:name w:val="heading 4"/>
    <w:basedOn w:val="Normal"/>
    <w:next w:val="Normal"/>
    <w:link w:val="Ttulo4Char"/>
    <w:uiPriority w:val="9"/>
    <w:semiHidden/>
    <w:unhideWhenUsed/>
    <w:rsid w:val="00EF03A9"/>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semiHidden/>
    <w:unhideWhenUsed/>
    <w:qFormat/>
    <w:rsid w:val="00EF03A9"/>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EF03A9"/>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semiHidden/>
    <w:unhideWhenUsed/>
    <w:qFormat/>
    <w:rsid w:val="00EF03A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EF03A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EF03A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aliases w:val="Tópico Char"/>
    <w:basedOn w:val="Fontepargpadro"/>
    <w:link w:val="Ttulo1"/>
    <w:uiPriority w:val="1"/>
    <w:rsid w:val="00EF03A9"/>
    <w:rPr>
      <w:rFonts w:ascii="Calibri" w:eastAsiaTheme="majorEastAsia" w:hAnsi="Calibri" w:cstheme="majorBidi"/>
      <w:b/>
      <w:bCs/>
      <w:caps/>
      <w:color w:val="000000" w:themeColor="text1"/>
      <w:sz w:val="28"/>
      <w:szCs w:val="28"/>
      <w:lang w:val="pt-BR"/>
    </w:rPr>
  </w:style>
  <w:style w:type="character" w:customStyle="1" w:styleId="Ttulo2Char">
    <w:name w:val="Título 2 Char"/>
    <w:aliases w:val="Subtópico 1 Char"/>
    <w:basedOn w:val="Fontepargpadro"/>
    <w:link w:val="Ttulo2"/>
    <w:uiPriority w:val="2"/>
    <w:rsid w:val="00EF03A9"/>
    <w:rPr>
      <w:rFonts w:ascii="Calibri" w:eastAsia="Times New Roman" w:hAnsi="Calibri" w:cs="Arial"/>
      <w:iCs/>
      <w:color w:val="000000" w:themeColor="text1"/>
      <w:sz w:val="26"/>
      <w:szCs w:val="28"/>
      <w:lang w:val="pt-BR" w:eastAsia="pt-BR"/>
    </w:rPr>
  </w:style>
  <w:style w:type="character" w:customStyle="1" w:styleId="Ttulo3Char">
    <w:name w:val="Título 3 Char"/>
    <w:aliases w:val="Subtópico 2 Char"/>
    <w:basedOn w:val="Fontepargpadro"/>
    <w:link w:val="Ttulo3"/>
    <w:uiPriority w:val="4"/>
    <w:rsid w:val="00EF03A9"/>
    <w:rPr>
      <w:rFonts w:ascii="Calibri" w:eastAsiaTheme="majorEastAsia" w:hAnsi="Calibri" w:cstheme="majorBidi"/>
      <w:bCs/>
      <w:i/>
      <w:color w:val="000000" w:themeColor="text1"/>
      <w:spacing w:val="5"/>
      <w:kern w:val="28"/>
      <w:sz w:val="24"/>
      <w:szCs w:val="52"/>
      <w:lang w:val="pt-BR"/>
    </w:rPr>
  </w:style>
  <w:style w:type="character" w:customStyle="1" w:styleId="Ttulo4Char">
    <w:name w:val="Título 4 Char"/>
    <w:basedOn w:val="Fontepargpadro"/>
    <w:link w:val="Ttulo4"/>
    <w:uiPriority w:val="9"/>
    <w:semiHidden/>
    <w:rsid w:val="00EF03A9"/>
    <w:rPr>
      <w:rFonts w:asciiTheme="majorHAnsi" w:eastAsiaTheme="majorEastAsia" w:hAnsiTheme="majorHAnsi" w:cstheme="majorBidi"/>
      <w:b/>
      <w:bCs/>
      <w:i/>
      <w:iCs/>
      <w:color w:val="4472C4" w:themeColor="accent1"/>
      <w:sz w:val="24"/>
      <w:szCs w:val="24"/>
      <w:lang w:val="pt-BR" w:eastAsia="pt-BR"/>
    </w:rPr>
  </w:style>
  <w:style w:type="character" w:customStyle="1" w:styleId="Ttulo5Char">
    <w:name w:val="Título 5 Char"/>
    <w:basedOn w:val="Fontepargpadro"/>
    <w:link w:val="Ttulo5"/>
    <w:uiPriority w:val="9"/>
    <w:semiHidden/>
    <w:rsid w:val="00EF03A9"/>
    <w:rPr>
      <w:rFonts w:asciiTheme="majorHAnsi" w:eastAsiaTheme="majorEastAsia" w:hAnsiTheme="majorHAnsi" w:cstheme="majorBidi"/>
      <w:color w:val="1F3763" w:themeColor="accent1" w:themeShade="7F"/>
      <w:sz w:val="24"/>
      <w:szCs w:val="24"/>
      <w:lang w:val="pt-BR" w:eastAsia="pt-BR"/>
    </w:rPr>
  </w:style>
  <w:style w:type="character" w:customStyle="1" w:styleId="Ttulo6Char">
    <w:name w:val="Título 6 Char"/>
    <w:basedOn w:val="Fontepargpadro"/>
    <w:link w:val="Ttulo6"/>
    <w:uiPriority w:val="9"/>
    <w:semiHidden/>
    <w:rsid w:val="00EF03A9"/>
    <w:rPr>
      <w:rFonts w:asciiTheme="majorHAnsi" w:eastAsiaTheme="majorEastAsia" w:hAnsiTheme="majorHAnsi" w:cstheme="majorBidi"/>
      <w:i/>
      <w:iCs/>
      <w:color w:val="1F3763" w:themeColor="accent1" w:themeShade="7F"/>
      <w:sz w:val="24"/>
      <w:szCs w:val="24"/>
      <w:lang w:val="pt-BR" w:eastAsia="pt-BR"/>
    </w:rPr>
  </w:style>
  <w:style w:type="character" w:customStyle="1" w:styleId="Ttulo7Char">
    <w:name w:val="Título 7 Char"/>
    <w:basedOn w:val="Fontepargpadro"/>
    <w:link w:val="Ttulo7"/>
    <w:uiPriority w:val="9"/>
    <w:semiHidden/>
    <w:rsid w:val="00EF03A9"/>
    <w:rPr>
      <w:rFonts w:asciiTheme="majorHAnsi" w:eastAsiaTheme="majorEastAsia" w:hAnsiTheme="majorHAnsi" w:cstheme="majorBidi"/>
      <w:i/>
      <w:iCs/>
      <w:color w:val="404040" w:themeColor="text1" w:themeTint="BF"/>
      <w:sz w:val="24"/>
      <w:szCs w:val="24"/>
      <w:lang w:val="pt-BR" w:eastAsia="pt-BR"/>
    </w:rPr>
  </w:style>
  <w:style w:type="character" w:customStyle="1" w:styleId="Ttulo8Char">
    <w:name w:val="Título 8 Char"/>
    <w:basedOn w:val="Fontepargpadro"/>
    <w:link w:val="Ttulo8"/>
    <w:uiPriority w:val="9"/>
    <w:semiHidden/>
    <w:rsid w:val="00EF03A9"/>
    <w:rPr>
      <w:rFonts w:asciiTheme="majorHAnsi" w:eastAsiaTheme="majorEastAsia" w:hAnsiTheme="majorHAnsi" w:cstheme="majorBidi"/>
      <w:color w:val="404040" w:themeColor="text1" w:themeTint="BF"/>
      <w:sz w:val="20"/>
      <w:szCs w:val="20"/>
      <w:lang w:val="pt-BR" w:eastAsia="pt-BR"/>
    </w:rPr>
  </w:style>
  <w:style w:type="character" w:customStyle="1" w:styleId="Ttulo9Char">
    <w:name w:val="Título 9 Char"/>
    <w:basedOn w:val="Fontepargpadro"/>
    <w:link w:val="Ttulo9"/>
    <w:uiPriority w:val="9"/>
    <w:semiHidden/>
    <w:rsid w:val="00EF03A9"/>
    <w:rPr>
      <w:rFonts w:asciiTheme="majorHAnsi" w:eastAsiaTheme="majorEastAsia" w:hAnsiTheme="majorHAnsi" w:cstheme="majorBidi"/>
      <w:i/>
      <w:iCs/>
      <w:color w:val="404040" w:themeColor="text1" w:themeTint="BF"/>
      <w:sz w:val="20"/>
      <w:szCs w:val="20"/>
      <w:lang w:val="pt-BR" w:eastAsia="pt-BR"/>
    </w:rPr>
  </w:style>
  <w:style w:type="paragraph" w:styleId="Cabealho">
    <w:name w:val="header"/>
    <w:basedOn w:val="Normal"/>
    <w:link w:val="CabealhoChar"/>
    <w:unhideWhenUsed/>
    <w:rsid w:val="00EF03A9"/>
    <w:pPr>
      <w:tabs>
        <w:tab w:val="center" w:pos="4252"/>
        <w:tab w:val="right" w:pos="8504"/>
      </w:tabs>
      <w:jc w:val="both"/>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rsid w:val="00EF03A9"/>
    <w:rPr>
      <w:sz w:val="24"/>
      <w:lang w:val="pt-BR"/>
    </w:rPr>
  </w:style>
  <w:style w:type="paragraph" w:styleId="Rodap">
    <w:name w:val="footer"/>
    <w:basedOn w:val="Normal"/>
    <w:link w:val="RodapChar"/>
    <w:uiPriority w:val="99"/>
    <w:unhideWhenUsed/>
    <w:rsid w:val="00EF03A9"/>
    <w:pPr>
      <w:tabs>
        <w:tab w:val="center" w:pos="4252"/>
        <w:tab w:val="right" w:pos="8504"/>
      </w:tabs>
      <w:jc w:val="both"/>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EF03A9"/>
    <w:rPr>
      <w:sz w:val="24"/>
      <w:lang w:val="pt-BR"/>
    </w:rPr>
  </w:style>
  <w:style w:type="table" w:styleId="Tabelacomgrade">
    <w:name w:val="Table Grid"/>
    <w:basedOn w:val="Tabelanormal"/>
    <w:rsid w:val="00EF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EF03A9"/>
    <w:pPr>
      <w:spacing w:before="120" w:after="120" w:line="252" w:lineRule="auto"/>
      <w:ind w:firstLine="709"/>
      <w:jc w:val="both"/>
    </w:pPr>
  </w:style>
  <w:style w:type="paragraph" w:styleId="PargrafodaLista">
    <w:name w:val="List Paragraph"/>
    <w:basedOn w:val="Normal"/>
    <w:uiPriority w:val="34"/>
    <w:rsid w:val="00EF03A9"/>
    <w:pPr>
      <w:ind w:left="720"/>
      <w:contextualSpacing/>
      <w:jc w:val="both"/>
    </w:pPr>
    <w:rPr>
      <w:rFonts w:asciiTheme="minorHAnsi" w:eastAsiaTheme="minorHAnsi" w:hAnsiTheme="minorHAnsi" w:cstheme="minorBidi"/>
      <w:szCs w:val="22"/>
      <w:lang w:eastAsia="en-US"/>
    </w:rPr>
  </w:style>
  <w:style w:type="table" w:styleId="GradeClara">
    <w:name w:val="Light Grid"/>
    <w:basedOn w:val="Tabelanormal"/>
    <w:uiPriority w:val="62"/>
    <w:rsid w:val="00EF03A9"/>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egenda">
    <w:name w:val="caption"/>
    <w:basedOn w:val="Normal"/>
    <w:next w:val="Normal"/>
    <w:uiPriority w:val="99"/>
    <w:qFormat/>
    <w:rsid w:val="00EF03A9"/>
    <w:pPr>
      <w:spacing w:before="120" w:after="120"/>
      <w:jc w:val="center"/>
    </w:pPr>
    <w:rPr>
      <w:rFonts w:asciiTheme="minorHAnsi" w:hAnsiTheme="minorHAnsi" w:cs="Arial"/>
      <w:b/>
      <w:bCs/>
      <w:sz w:val="20"/>
      <w:szCs w:val="20"/>
      <w:lang w:eastAsia="en-US"/>
    </w:rPr>
  </w:style>
  <w:style w:type="character" w:styleId="Hyperlink">
    <w:name w:val="Hyperlink"/>
    <w:basedOn w:val="Fontepargpadro"/>
    <w:uiPriority w:val="99"/>
    <w:rsid w:val="00EF03A9"/>
    <w:rPr>
      <w:rFonts w:cs="Times New Roman"/>
      <w:color w:val="0000FF"/>
      <w:u w:val="single"/>
    </w:rPr>
  </w:style>
  <w:style w:type="paragraph" w:customStyle="1" w:styleId="HOLOS-ttulodoartigo">
    <w:name w:val="HOLOS - título do artigo"/>
    <w:basedOn w:val="Normal"/>
    <w:autoRedefine/>
    <w:locked/>
    <w:rsid w:val="00EF03A9"/>
    <w:pPr>
      <w:spacing w:before="240" w:after="240"/>
      <w:jc w:val="center"/>
    </w:pPr>
    <w:rPr>
      <w:rFonts w:asciiTheme="minorHAnsi" w:eastAsiaTheme="minorHAnsi" w:hAnsiTheme="minorHAnsi" w:cs="Arial"/>
      <w:b/>
      <w:bCs/>
      <w:snapToGrid w:val="0"/>
      <w:sz w:val="28"/>
      <w:lang w:val="es-ES" w:eastAsia="es-ES"/>
    </w:rPr>
  </w:style>
  <w:style w:type="paragraph" w:customStyle="1" w:styleId="HOLOS-ResumoeAbstract">
    <w:name w:val="HOLOS - Resumo e Abstract"/>
    <w:basedOn w:val="Normal"/>
    <w:locked/>
    <w:rsid w:val="00EF03A9"/>
    <w:pPr>
      <w:jc w:val="both"/>
    </w:pPr>
    <w:rPr>
      <w:rFonts w:asciiTheme="minorHAnsi" w:eastAsiaTheme="minorHAnsi" w:hAnsiTheme="minorHAnsi" w:cstheme="minorHAnsi"/>
      <w:bCs/>
      <w:sz w:val="20"/>
      <w:lang w:val="en-US" w:eastAsia="en-US"/>
    </w:rPr>
  </w:style>
  <w:style w:type="paragraph" w:customStyle="1" w:styleId="HOLOS-subtitulos">
    <w:name w:val="HOLOS - subtitulos"/>
    <w:basedOn w:val="SemEspaamento"/>
    <w:locked/>
    <w:rsid w:val="00EF03A9"/>
    <w:rPr>
      <w:rFonts w:cstheme="minorHAnsi"/>
      <w:b/>
    </w:rPr>
  </w:style>
  <w:style w:type="paragraph" w:customStyle="1" w:styleId="Padro">
    <w:name w:val="Padrão"/>
    <w:locked/>
    <w:rsid w:val="00EF03A9"/>
    <w:pPr>
      <w:widowControl w:val="0"/>
      <w:tabs>
        <w:tab w:val="left" w:pos="709"/>
      </w:tabs>
      <w:suppressAutoHyphens/>
      <w:spacing w:line="200" w:lineRule="atLeast"/>
    </w:pPr>
    <w:rPr>
      <w:rFonts w:eastAsia="DejaVu Sans" w:cs="DejaVu Sans"/>
      <w:lang w:bidi="pt-BR"/>
    </w:rPr>
  </w:style>
  <w:style w:type="character" w:customStyle="1" w:styleId="apple-style-span">
    <w:name w:val="apple-style-span"/>
    <w:basedOn w:val="Fontepargpadro"/>
    <w:locked/>
    <w:rsid w:val="00EF03A9"/>
  </w:style>
  <w:style w:type="paragraph" w:styleId="Subttulo">
    <w:name w:val="Subtitle"/>
    <w:basedOn w:val="Normal"/>
    <w:next w:val="Normal"/>
    <w:link w:val="SubttuloChar"/>
    <w:pPr>
      <w:spacing w:after="160"/>
    </w:pPr>
    <w:rPr>
      <w:rFonts w:ascii="Calibri" w:eastAsia="Calibri" w:hAnsi="Calibri" w:cs="Calibri"/>
      <w:color w:val="5A5A5A"/>
      <w:sz w:val="22"/>
      <w:szCs w:val="22"/>
    </w:rPr>
  </w:style>
  <w:style w:type="character" w:customStyle="1" w:styleId="SubttuloChar">
    <w:name w:val="Subtítulo Char"/>
    <w:basedOn w:val="Fontepargpadro"/>
    <w:link w:val="Subttulo"/>
    <w:uiPriority w:val="3"/>
    <w:rsid w:val="00EF03A9"/>
    <w:rPr>
      <w:rFonts w:eastAsiaTheme="minorEastAsia"/>
      <w:color w:val="5A5A5A" w:themeColor="text1" w:themeTint="A5"/>
      <w:spacing w:val="15"/>
      <w:lang w:val="pt-BR" w:eastAsia="pt-BR"/>
    </w:rPr>
  </w:style>
  <w:style w:type="character" w:styleId="Refdecomentrio">
    <w:name w:val="annotation reference"/>
    <w:basedOn w:val="Fontepargpadro"/>
    <w:uiPriority w:val="99"/>
    <w:semiHidden/>
    <w:unhideWhenUsed/>
    <w:rsid w:val="004924EC"/>
    <w:rPr>
      <w:sz w:val="16"/>
      <w:szCs w:val="16"/>
    </w:rPr>
  </w:style>
  <w:style w:type="paragraph" w:styleId="Textodecomentrio">
    <w:name w:val="annotation text"/>
    <w:basedOn w:val="Normal"/>
    <w:link w:val="TextodecomentrioChar"/>
    <w:semiHidden/>
    <w:unhideWhenUsed/>
    <w:rsid w:val="004924EC"/>
    <w:rPr>
      <w:sz w:val="20"/>
      <w:szCs w:val="20"/>
    </w:rPr>
  </w:style>
  <w:style w:type="character" w:customStyle="1" w:styleId="TextodecomentrioChar">
    <w:name w:val="Texto de comentário Char"/>
    <w:basedOn w:val="Fontepargpadro"/>
    <w:link w:val="Textodecomentrio"/>
    <w:uiPriority w:val="99"/>
    <w:semiHidden/>
    <w:rsid w:val="004924EC"/>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4924EC"/>
    <w:rPr>
      <w:b/>
      <w:bCs/>
    </w:rPr>
  </w:style>
  <w:style w:type="character" w:customStyle="1" w:styleId="AssuntodocomentrioChar">
    <w:name w:val="Assunto do comentário Char"/>
    <w:basedOn w:val="TextodecomentrioChar"/>
    <w:link w:val="Assuntodocomentrio"/>
    <w:uiPriority w:val="99"/>
    <w:semiHidden/>
    <w:rsid w:val="004924EC"/>
    <w:rPr>
      <w:rFonts w:ascii="Times New Roman" w:eastAsia="Times New Roman" w:hAnsi="Times New Roman" w:cs="Times New Roman"/>
      <w:b/>
      <w:bCs/>
      <w:sz w:val="20"/>
      <w:szCs w:val="20"/>
      <w:lang w:val="pt-BR" w:eastAsia="pt-BR"/>
    </w:rPr>
  </w:style>
  <w:style w:type="paragraph" w:styleId="Textodebalo">
    <w:name w:val="Balloon Text"/>
    <w:basedOn w:val="Normal"/>
    <w:link w:val="TextodebaloChar"/>
    <w:uiPriority w:val="99"/>
    <w:semiHidden/>
    <w:unhideWhenUsed/>
    <w:rsid w:val="004924EC"/>
    <w:rPr>
      <w:rFonts w:ascii="Segoe UI" w:hAnsi="Segoe UI" w:cs="Segoe UI"/>
      <w:sz w:val="18"/>
      <w:szCs w:val="18"/>
    </w:rPr>
  </w:style>
  <w:style w:type="character" w:customStyle="1" w:styleId="TextodebaloChar">
    <w:name w:val="Texto de balão Char"/>
    <w:basedOn w:val="Fontepargpadro"/>
    <w:link w:val="Textodebalo"/>
    <w:uiPriority w:val="99"/>
    <w:semiHidden/>
    <w:rsid w:val="004924EC"/>
    <w:rPr>
      <w:rFonts w:ascii="Segoe UI" w:eastAsia="Times New Roman" w:hAnsi="Segoe UI" w:cs="Segoe UI"/>
      <w:sz w:val="18"/>
      <w:szCs w:val="18"/>
      <w:lang w:val="pt-BR" w:eastAsia="pt-BR"/>
    </w:rPr>
  </w:style>
  <w:style w:type="paragraph" w:styleId="NormalWeb">
    <w:name w:val="Normal (Web)"/>
    <w:basedOn w:val="Normal"/>
    <w:unhideWhenUsed/>
    <w:rsid w:val="00BE0FE9"/>
    <w:pPr>
      <w:spacing w:before="100" w:beforeAutospacing="1" w:after="100" w:afterAutospacing="1"/>
      <w:jc w:val="both"/>
    </w:pPr>
  </w:style>
  <w:style w:type="character" w:styleId="nfase">
    <w:name w:val="Emphasis"/>
    <w:basedOn w:val="Fontepargpadro"/>
    <w:uiPriority w:val="20"/>
    <w:qFormat/>
    <w:rsid w:val="00BE0FE9"/>
    <w:rPr>
      <w:i/>
      <w:iCs/>
    </w:rPr>
  </w:style>
  <w:style w:type="paragraph" w:styleId="Textodenotaderodap">
    <w:name w:val="footnote text"/>
    <w:basedOn w:val="Normal"/>
    <w:link w:val="TextodenotaderodapChar"/>
    <w:uiPriority w:val="99"/>
    <w:semiHidden/>
    <w:unhideWhenUsed/>
    <w:rsid w:val="00BE0FE9"/>
    <w:pPr>
      <w:jc w:val="both"/>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BE0FE9"/>
    <w:rPr>
      <w:sz w:val="20"/>
      <w:szCs w:val="20"/>
      <w:lang w:val="pt-BR"/>
    </w:rPr>
  </w:style>
  <w:style w:type="character" w:styleId="Refdenotaderodap">
    <w:name w:val="footnote reference"/>
    <w:basedOn w:val="Fontepargpadro"/>
    <w:uiPriority w:val="99"/>
    <w:semiHidden/>
    <w:unhideWhenUsed/>
    <w:rsid w:val="00BE0FE9"/>
    <w:rPr>
      <w:vertAlign w:val="superscript"/>
    </w:rPr>
  </w:style>
  <w:style w:type="table" w:styleId="SombreamentoClaro-nfase2">
    <w:name w:val="Light Shading Accent 2"/>
    <w:basedOn w:val="Tabelanormal"/>
    <w:uiPriority w:val="60"/>
    <w:rsid w:val="00BE0FE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Forte">
    <w:name w:val="Strong"/>
    <w:basedOn w:val="Fontepargpadro"/>
    <w:uiPriority w:val="99"/>
    <w:rsid w:val="00BE0FE9"/>
    <w:rPr>
      <w:rFonts w:cs="Times New Roman"/>
      <w:b/>
    </w:rPr>
  </w:style>
  <w:style w:type="paragraph" w:customStyle="1" w:styleId="Textbody">
    <w:name w:val="Text body"/>
    <w:basedOn w:val="Normal"/>
    <w:uiPriority w:val="99"/>
    <w:locked/>
    <w:rsid w:val="00BE0FE9"/>
    <w:pPr>
      <w:suppressAutoHyphens/>
      <w:autoSpaceDN w:val="0"/>
      <w:jc w:val="center"/>
      <w:textAlignment w:val="baseline"/>
    </w:pPr>
    <w:rPr>
      <w:b/>
      <w:bCs/>
      <w:kern w:val="3"/>
      <w:u w:val="single"/>
    </w:rPr>
  </w:style>
  <w:style w:type="paragraph" w:styleId="Corpodetexto">
    <w:name w:val="Body Text"/>
    <w:basedOn w:val="Normal"/>
    <w:link w:val="CorpodetextoChar"/>
    <w:rsid w:val="00BE0FE9"/>
    <w:pPr>
      <w:jc w:val="both"/>
    </w:pPr>
  </w:style>
  <w:style w:type="character" w:customStyle="1" w:styleId="CorpodetextoChar">
    <w:name w:val="Corpo de texto Char"/>
    <w:basedOn w:val="Fontepargpadro"/>
    <w:link w:val="Corpodetexto"/>
    <w:rsid w:val="00BE0FE9"/>
    <w:rPr>
      <w:rFonts w:ascii="Times New Roman" w:eastAsia="Times New Roman" w:hAnsi="Times New Roman" w:cs="Times New Roman"/>
      <w:sz w:val="24"/>
      <w:szCs w:val="24"/>
      <w:lang w:val="pt-BR" w:eastAsia="pt-BR"/>
    </w:rPr>
  </w:style>
  <w:style w:type="paragraph" w:customStyle="1" w:styleId="HOLOS-Autores">
    <w:name w:val="HOLOS - Autores"/>
    <w:basedOn w:val="Normal"/>
    <w:locked/>
    <w:rsid w:val="00BE0FE9"/>
    <w:pPr>
      <w:jc w:val="center"/>
    </w:pPr>
    <w:rPr>
      <w:rFonts w:asciiTheme="minorHAnsi" w:eastAsiaTheme="minorHAnsi" w:hAnsiTheme="minorHAnsi" w:cstheme="minorHAnsi"/>
      <w:b/>
      <w:sz w:val="18"/>
      <w:szCs w:val="22"/>
      <w:lang w:eastAsia="en-US"/>
    </w:rPr>
  </w:style>
  <w:style w:type="character" w:customStyle="1" w:styleId="apple-converted-space">
    <w:name w:val="apple-converted-space"/>
    <w:basedOn w:val="Fontepargpadro"/>
    <w:locked/>
    <w:rsid w:val="00BE0FE9"/>
  </w:style>
  <w:style w:type="paragraph" w:styleId="Recuodecorpodetexto3">
    <w:name w:val="Body Text Indent 3"/>
    <w:basedOn w:val="Normal"/>
    <w:link w:val="Recuodecorpodetexto3Char"/>
    <w:uiPriority w:val="99"/>
    <w:semiHidden/>
    <w:unhideWhenUsed/>
    <w:rsid w:val="00BE0FE9"/>
    <w:pPr>
      <w:ind w:left="283"/>
    </w:pPr>
    <w:rPr>
      <w:sz w:val="16"/>
      <w:szCs w:val="16"/>
    </w:rPr>
  </w:style>
  <w:style w:type="character" w:customStyle="1" w:styleId="Recuodecorpodetexto3Char">
    <w:name w:val="Recuo de corpo de texto 3 Char"/>
    <w:basedOn w:val="Fontepargpadro"/>
    <w:link w:val="Recuodecorpodetexto3"/>
    <w:uiPriority w:val="99"/>
    <w:semiHidden/>
    <w:rsid w:val="00BE0FE9"/>
    <w:rPr>
      <w:rFonts w:ascii="Times New Roman" w:eastAsia="Times New Roman" w:hAnsi="Times New Roman" w:cs="Times New Roman"/>
      <w:sz w:val="16"/>
      <w:szCs w:val="16"/>
      <w:lang w:val="pt-BR" w:eastAsia="pt-BR"/>
    </w:rPr>
  </w:style>
  <w:style w:type="paragraph" w:customStyle="1" w:styleId="PargrafodaLista1">
    <w:name w:val="Parágrafo da Lista1"/>
    <w:basedOn w:val="Padro"/>
    <w:locked/>
    <w:rsid w:val="00BE0FE9"/>
    <w:pPr>
      <w:ind w:left="720"/>
    </w:pPr>
  </w:style>
  <w:style w:type="paragraph" w:customStyle="1" w:styleId="Contedodetabela">
    <w:name w:val="Conteúdo de tabela"/>
    <w:basedOn w:val="Padro"/>
    <w:locked/>
    <w:rsid w:val="00BE0FE9"/>
    <w:pPr>
      <w:suppressLineNumbers/>
    </w:pPr>
  </w:style>
  <w:style w:type="paragraph" w:customStyle="1" w:styleId="Referncias">
    <w:name w:val="Referências"/>
    <w:qFormat/>
    <w:locked/>
    <w:rsid w:val="00BE0FE9"/>
    <w:pPr>
      <w:widowControl w:val="0"/>
      <w:numPr>
        <w:numId w:val="7"/>
      </w:numPr>
      <w:tabs>
        <w:tab w:val="left" w:pos="426"/>
      </w:tabs>
      <w:suppressAutoHyphens/>
      <w:spacing w:before="120" w:after="120"/>
      <w:jc w:val="both"/>
    </w:pPr>
    <w:rPr>
      <w:rFonts w:eastAsia="DejaVu Sans" w:cs="DejaVu Sans"/>
      <w:lang w:val="en-US" w:bidi="pt-BR"/>
    </w:rPr>
  </w:style>
  <w:style w:type="character" w:styleId="HiperlinkVisitado">
    <w:name w:val="FollowedHyperlink"/>
    <w:basedOn w:val="Fontepargpadro"/>
    <w:uiPriority w:val="99"/>
    <w:semiHidden/>
    <w:unhideWhenUsed/>
    <w:rsid w:val="00BE0FE9"/>
    <w:rPr>
      <w:color w:val="954F72" w:themeColor="followedHyperlink"/>
      <w:u w:val="single"/>
    </w:rPr>
  </w:style>
  <w:style w:type="table" w:customStyle="1" w:styleId="Calendrio1">
    <w:name w:val="Calendário 1"/>
    <w:basedOn w:val="Tabelanormal"/>
    <w:uiPriority w:val="99"/>
    <w:qFormat/>
    <w:locked/>
    <w:rsid w:val="00BE0FE9"/>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BE0FE9"/>
    <w:pPr>
      <w:spacing w:before="240" w:after="240"/>
      <w:ind w:left="2268"/>
      <w:jc w:val="both"/>
    </w:pPr>
    <w:rPr>
      <w:rFonts w:asciiTheme="minorHAnsi" w:eastAsiaTheme="minorHAnsi" w:hAnsiTheme="minorHAnsi" w:cstheme="minorBidi"/>
      <w:iCs/>
      <w:color w:val="000000" w:themeColor="text1"/>
      <w:sz w:val="22"/>
      <w:szCs w:val="22"/>
      <w:lang w:eastAsia="en-US"/>
    </w:rPr>
  </w:style>
  <w:style w:type="character" w:customStyle="1" w:styleId="CitaoChar">
    <w:name w:val="Citação Char"/>
    <w:basedOn w:val="Fontepargpadro"/>
    <w:link w:val="Citao"/>
    <w:uiPriority w:val="29"/>
    <w:rsid w:val="00BE0FE9"/>
    <w:rPr>
      <w:iCs/>
      <w:color w:val="000000" w:themeColor="text1"/>
      <w:lang w:val="pt-BR"/>
    </w:rPr>
  </w:style>
  <w:style w:type="character" w:customStyle="1" w:styleId="MenoPendente1">
    <w:name w:val="Menção Pendente1"/>
    <w:basedOn w:val="Fontepargpadro"/>
    <w:uiPriority w:val="99"/>
    <w:semiHidden/>
    <w:unhideWhenUsed/>
    <w:rsid w:val="00BE0FE9"/>
    <w:rPr>
      <w:color w:val="605E5C"/>
      <w:shd w:val="clear" w:color="auto" w:fill="E1DFDD"/>
    </w:rPr>
  </w:style>
  <w:style w:type="table" w:customStyle="1" w:styleId="30">
    <w:name w:val="30"/>
    <w:basedOn w:val="TableNormal0"/>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29">
    <w:name w:val="29"/>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28">
    <w:name w:val="28"/>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7">
    <w:name w:val="27"/>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6">
    <w:name w:val="26"/>
    <w:basedOn w:val="TableNormal0"/>
    <w:tblPr>
      <w:tblStyleRowBandSize w:val="1"/>
      <w:tblStyleColBandSize w:val="1"/>
      <w:tblCellMar>
        <w:left w:w="70" w:type="dxa"/>
        <w:right w:w="70" w:type="dxa"/>
      </w:tblCellMar>
    </w:tblPr>
  </w:style>
  <w:style w:type="table" w:customStyle="1" w:styleId="25">
    <w:name w:val="25"/>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24">
    <w:name w:val="24"/>
    <w:basedOn w:val="TableNormal0"/>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23">
    <w:name w:val="23"/>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22">
    <w:name w:val="22"/>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
    <w:name w:val="21"/>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0">
    <w:name w:val="20"/>
    <w:basedOn w:val="TableNormal0"/>
    <w:tblPr>
      <w:tblStyleRowBandSize w:val="1"/>
      <w:tblStyleColBandSize w:val="1"/>
      <w:tblCellMar>
        <w:left w:w="70" w:type="dxa"/>
        <w:right w:w="70" w:type="dxa"/>
      </w:tblCellMar>
    </w:tblPr>
  </w:style>
  <w:style w:type="table" w:customStyle="1" w:styleId="19">
    <w:name w:val="19"/>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8">
    <w:name w:val="18"/>
    <w:basedOn w:val="TableNormal0"/>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17">
    <w:name w:val="17"/>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6">
    <w:name w:val="16"/>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
    <w:name w:val="15"/>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14"/>
    <w:basedOn w:val="TableNormal0"/>
    <w:tblPr>
      <w:tblStyleRowBandSize w:val="1"/>
      <w:tblStyleColBandSize w:val="1"/>
      <w:tblCellMar>
        <w:left w:w="70" w:type="dxa"/>
        <w:right w:w="70" w:type="dxa"/>
      </w:tblCellMar>
    </w:tblPr>
  </w:style>
  <w:style w:type="table" w:customStyle="1" w:styleId="13">
    <w:name w:val="13"/>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2">
    <w:name w:val="12"/>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1">
    <w:name w:val="11"/>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0">
    <w:name w:val="10"/>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9">
    <w:name w:val="9"/>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8">
    <w:name w:val="8"/>
    <w:basedOn w:val="TableNormal0"/>
    <w:tblPr>
      <w:tblStyleRowBandSize w:val="1"/>
      <w:tblStyleColBandSize w:val="1"/>
      <w:tblCellMar>
        <w:top w:w="72" w:type="dxa"/>
        <w:left w:w="115" w:type="dxa"/>
        <w:bottom w:w="72" w:type="dxa"/>
        <w:right w:w="115" w:type="dxa"/>
      </w:tblCellMar>
    </w:tblPr>
  </w:style>
  <w:style w:type="table" w:customStyle="1" w:styleId="7">
    <w:name w:val="7"/>
    <w:basedOn w:val="TableNormal0"/>
    <w:tblPr>
      <w:tblStyleRowBandSize w:val="1"/>
      <w:tblStyleColBandSize w:val="1"/>
      <w:tblCellMar>
        <w:top w:w="72" w:type="dxa"/>
        <w:left w:w="115" w:type="dxa"/>
        <w:bottom w:w="72" w:type="dxa"/>
        <w:right w:w="115" w:type="dxa"/>
      </w:tblCellMar>
    </w:tblPr>
  </w:style>
  <w:style w:type="table" w:customStyle="1" w:styleId="6">
    <w:name w:val="6"/>
    <w:basedOn w:val="TableNormal0"/>
    <w:tblPr>
      <w:tblStyleRowBandSize w:val="1"/>
      <w:tblStyleColBandSize w:val="1"/>
      <w:tblCellMar>
        <w:top w:w="72" w:type="dxa"/>
        <w:left w:w="115" w:type="dxa"/>
        <w:bottom w:w="72" w:type="dxa"/>
        <w:right w:w="115" w:type="dxa"/>
      </w:tblCellMar>
    </w:tblPr>
  </w:style>
  <w:style w:type="table" w:customStyle="1" w:styleId="5">
    <w:name w:val="5"/>
    <w:basedOn w:val="TableNormal0"/>
    <w:tblPr>
      <w:tblStyleRowBandSize w:val="1"/>
      <w:tblStyleColBandSize w:val="1"/>
      <w:tblCellMar>
        <w:top w:w="72" w:type="dxa"/>
        <w:left w:w="115" w:type="dxa"/>
        <w:bottom w:w="72" w:type="dxa"/>
        <w:right w:w="115" w:type="dxa"/>
      </w:tblCellMar>
    </w:tblPr>
  </w:style>
  <w:style w:type="table" w:customStyle="1" w:styleId="4">
    <w:name w:val="4"/>
    <w:basedOn w:val="TableNormal0"/>
    <w:tblPr>
      <w:tblStyleRowBandSize w:val="1"/>
      <w:tblStyleColBandSize w:val="1"/>
      <w:tblCellMar>
        <w:top w:w="72" w:type="dxa"/>
        <w:left w:w="115" w:type="dxa"/>
        <w:bottom w:w="72" w:type="dxa"/>
        <w:right w:w="115" w:type="dxa"/>
      </w:tblCellMar>
    </w:tblPr>
  </w:style>
  <w:style w:type="table" w:customStyle="1" w:styleId="3">
    <w:name w:val="3"/>
    <w:basedOn w:val="TableNormal0"/>
    <w:tblPr>
      <w:tblStyleRowBandSize w:val="1"/>
      <w:tblStyleColBandSize w:val="1"/>
      <w:tblCellMar>
        <w:top w:w="72" w:type="dxa"/>
        <w:left w:w="115" w:type="dxa"/>
        <w:bottom w:w="72" w:type="dxa"/>
        <w:right w:w="115" w:type="dxa"/>
      </w:tblCellMar>
    </w:tblPr>
  </w:style>
  <w:style w:type="table" w:customStyle="1" w:styleId="2">
    <w:name w:val="2"/>
    <w:basedOn w:val="TableNormal0"/>
    <w:tblPr>
      <w:tblStyleRowBandSize w:val="1"/>
      <w:tblStyleColBandSize w:val="1"/>
      <w:tblCellMar>
        <w:top w:w="72" w:type="dxa"/>
        <w:left w:w="115" w:type="dxa"/>
        <w:bottom w:w="72" w:type="dxa"/>
        <w:right w:w="115" w:type="dxa"/>
      </w:tblCellMar>
    </w:tblPr>
  </w:style>
  <w:style w:type="table" w:customStyle="1" w:styleId="1">
    <w:name w:val="1"/>
    <w:basedOn w:val="TableNormal0"/>
    <w:tblPr>
      <w:tblStyleRowBandSize w:val="1"/>
      <w:tblStyleColBandSize w:val="1"/>
      <w:tblCellMar>
        <w:top w:w="72" w:type="dxa"/>
        <w:left w:w="115" w:type="dxa"/>
        <w:bottom w:w="72" w:type="dxa"/>
        <w:right w:w="115" w:type="dxa"/>
      </w:tblCellMar>
    </w:tblPr>
  </w:style>
  <w:style w:type="character" w:styleId="Nmerodelinha">
    <w:name w:val="line number"/>
    <w:basedOn w:val="Fontepargpadro"/>
    <w:uiPriority w:val="99"/>
    <w:semiHidden/>
    <w:unhideWhenUsed/>
    <w:rsid w:val="00D04FE9"/>
  </w:style>
  <w:style w:type="paragraph" w:styleId="Reviso">
    <w:name w:val="Revision"/>
    <w:hidden/>
    <w:uiPriority w:val="99"/>
    <w:semiHidden/>
    <w:rsid w:val="000314DB"/>
  </w:style>
  <w:style w:type="character" w:styleId="MenoPendente">
    <w:name w:val="Unresolved Mention"/>
    <w:basedOn w:val="Fontepargpadro"/>
    <w:uiPriority w:val="99"/>
    <w:semiHidden/>
    <w:unhideWhenUsed/>
    <w:rsid w:val="005E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doi.org/10.1007/s10971-014-3591-2"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iorender.com" TargetMode="External"/><Relationship Id="rId25" Type="http://schemas.openxmlformats.org/officeDocument/2006/relationships/hyperlink" Target="https://doi.org/10.1016/j.jgr.2017.04.003"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55/2019/1714358" TargetMode="Externa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2712/2446-4775.2020.818" TargetMode="External"/><Relationship Id="rId28" Type="http://schemas.openxmlformats.org/officeDocument/2006/relationships/hyperlink" Target="https://doi.org/10.4236/gsc.2016.61004"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apcata.2014.08.004" TargetMode="External"/><Relationship Id="rId27" Type="http://schemas.openxmlformats.org/officeDocument/2006/relationships/hyperlink" Target="https://doi.org/10.1155/2019/1895340" TargetMode="Externa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4DDd7VWmkLo7QSNlqLfUsJgDrw==">CgMxLjAyCGguZ2pkZ3hzOAByITFiTnFNeFV6TFJfaDVGWmJPN2VJMHQySkoybk9VUktWXw==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E16993-E380-4346-8D63-65256B97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8690</Words>
  <Characters>46928</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Carvalho</dc:creator>
  <cp:lastModifiedBy>Usuario</cp:lastModifiedBy>
  <cp:revision>2</cp:revision>
  <dcterms:created xsi:type="dcterms:W3CDTF">2026-03-06T14:01:00Z</dcterms:created>
  <dcterms:modified xsi:type="dcterms:W3CDTF">2026-03-06T14:01:00Z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6210fc1d-4739-4883-9835-738bd2bdc722</vt:lpwstr>
  </property>
</Properties>
</file>