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6D32" w14:textId="79186E4F" w:rsidR="00854E54" w:rsidRPr="006F34F0" w:rsidRDefault="00854E54" w:rsidP="007C69FE">
      <w:pPr>
        <w:spacing w:before="100" w:beforeAutospacing="1" w:after="100" w:afterAutospacing="1" w:line="240" w:lineRule="auto"/>
        <w:jc w:val="both"/>
        <w:outlineLvl w:val="0"/>
        <w:rPr>
          <w:rFonts w:ascii="Times New Roman" w:eastAsia="Times New Roman" w:hAnsi="Times New Roman" w:cs="Times New Roman"/>
          <w:b/>
          <w:bCs/>
          <w:sz w:val="24"/>
          <w:szCs w:val="24"/>
          <w:lang w:eastAsia="fr-FR"/>
        </w:rPr>
      </w:pPr>
      <w:r w:rsidRPr="006F34F0">
        <w:rPr>
          <w:rFonts w:ascii="Times New Roman" w:eastAsia="Times New Roman" w:hAnsi="Times New Roman" w:cs="Times New Roman"/>
          <w:b/>
          <w:bCs/>
          <w:sz w:val="24"/>
          <w:szCs w:val="24"/>
          <w:lang w:eastAsia="fr-FR"/>
        </w:rPr>
        <w:t xml:space="preserve">ST-Segment Elevation vs. Non-ST-Segment Elevation Acute Coronary </w:t>
      </w:r>
      <w:proofErr w:type="gramStart"/>
      <w:r w:rsidRPr="006F34F0">
        <w:rPr>
          <w:rFonts w:ascii="Times New Roman" w:eastAsia="Times New Roman" w:hAnsi="Times New Roman" w:cs="Times New Roman"/>
          <w:b/>
          <w:bCs/>
          <w:sz w:val="24"/>
          <w:szCs w:val="24"/>
          <w:lang w:eastAsia="fr-FR"/>
        </w:rPr>
        <w:t>Syndromes:</w:t>
      </w:r>
      <w:proofErr w:type="gramEnd"/>
      <w:r w:rsidRPr="006F34F0">
        <w:rPr>
          <w:rFonts w:ascii="Times New Roman" w:eastAsia="Times New Roman" w:hAnsi="Times New Roman" w:cs="Times New Roman"/>
          <w:b/>
          <w:bCs/>
          <w:sz w:val="24"/>
          <w:szCs w:val="24"/>
          <w:lang w:eastAsia="fr-FR"/>
        </w:rPr>
        <w:t xml:space="preserve"> Clinical, Metabolic</w:t>
      </w:r>
      <w:r w:rsidR="009A42C9">
        <w:rPr>
          <w:rFonts w:ascii="Times New Roman" w:eastAsia="Times New Roman" w:hAnsi="Times New Roman" w:cs="Times New Roman"/>
          <w:b/>
          <w:bCs/>
          <w:sz w:val="24"/>
          <w:szCs w:val="24"/>
          <w:lang w:eastAsia="fr-FR"/>
        </w:rPr>
        <w:t xml:space="preserve"> </w:t>
      </w:r>
      <w:r w:rsidRPr="006F34F0">
        <w:rPr>
          <w:rFonts w:ascii="Times New Roman" w:eastAsia="Times New Roman" w:hAnsi="Times New Roman" w:cs="Times New Roman"/>
          <w:b/>
          <w:bCs/>
          <w:sz w:val="24"/>
          <w:szCs w:val="24"/>
          <w:lang w:eastAsia="fr-FR"/>
        </w:rPr>
        <w:t>and Angiographic Divergences in a Real-World Setting</w:t>
      </w:r>
    </w:p>
    <w:p w14:paraId="6E4562D6" w14:textId="77777777" w:rsidR="006F34F0" w:rsidRPr="008020F3" w:rsidRDefault="006F34F0" w:rsidP="007C69FE">
      <w:pPr>
        <w:spacing w:after="0" w:line="240" w:lineRule="auto"/>
        <w:jc w:val="both"/>
        <w:rPr>
          <w:rFonts w:ascii="Times New Roman" w:eastAsia="Times New Roman" w:hAnsi="Times New Roman" w:cs="Times New Roman"/>
          <w:color w:val="1F1F1F"/>
          <w:sz w:val="24"/>
          <w:szCs w:val="24"/>
          <w:lang w:eastAsia="fr-FR"/>
        </w:rPr>
      </w:pPr>
    </w:p>
    <w:p w14:paraId="1A125C44" w14:textId="77777777" w:rsidR="00A663B9" w:rsidRDefault="00A663B9" w:rsidP="007C69FE">
      <w:pPr>
        <w:pStyle w:val="Heading3"/>
        <w:spacing w:after="120" w:afterAutospacing="0"/>
        <w:jc w:val="both"/>
        <w:rPr>
          <w:color w:val="1F1F1F"/>
        </w:rPr>
      </w:pPr>
    </w:p>
    <w:p w14:paraId="64586038" w14:textId="77777777" w:rsidR="00F0199B" w:rsidRPr="00F0199B" w:rsidRDefault="00F0199B" w:rsidP="007C69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0199B">
        <w:rPr>
          <w:rFonts w:ascii="Times New Roman" w:eastAsia="Times New Roman" w:hAnsi="Times New Roman" w:cs="Times New Roman"/>
          <w:b/>
          <w:bCs/>
          <w:sz w:val="24"/>
          <w:szCs w:val="24"/>
          <w:lang w:eastAsia="fr-FR"/>
        </w:rPr>
        <w:t>Abstract</w:t>
      </w:r>
    </w:p>
    <w:p w14:paraId="460A9761" w14:textId="12760AE7" w:rsidR="007C69FE" w:rsidRDefault="00F0199B"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proofErr w:type="gramStart"/>
      <w:r w:rsidRPr="00F0199B">
        <w:rPr>
          <w:rFonts w:ascii="Times New Roman" w:eastAsia="Times New Roman" w:hAnsi="Times New Roman" w:cs="Times New Roman"/>
          <w:b/>
          <w:bCs/>
          <w:sz w:val="24"/>
          <w:szCs w:val="24"/>
          <w:lang w:eastAsia="fr-FR"/>
        </w:rPr>
        <w:t>Background:</w:t>
      </w:r>
      <w:proofErr w:type="gramEnd"/>
      <w:r w:rsidRPr="00F0199B">
        <w:rPr>
          <w:rFonts w:ascii="Times New Roman" w:eastAsia="Times New Roman" w:hAnsi="Times New Roman" w:cs="Times New Roman"/>
          <w:sz w:val="24"/>
          <w:szCs w:val="24"/>
          <w:lang w:eastAsia="fr-FR"/>
        </w:rPr>
        <w:t xml:space="preserve"> </w:t>
      </w:r>
      <w:r w:rsidRPr="00F0199B">
        <w:rPr>
          <w:rFonts w:ascii="Times New Roman" w:eastAsia="Times New Roman" w:hAnsi="Times New Roman" w:cs="Times New Roman"/>
          <w:color w:val="1F1F1F"/>
          <w:sz w:val="24"/>
          <w:szCs w:val="24"/>
          <w:lang w:eastAsia="fr-FR"/>
        </w:rPr>
        <w:t xml:space="preserve">Recent guidelines emphasize the pathophysiological continuum of acute coronary syndromes (ACS). However, the real-world clinical presentation of ST-segment elevation myocardial infarction (STEMI) compared to non-ST-segment elevation myocardial infarction (NSTEMI) differs considerably. </w:t>
      </w:r>
    </w:p>
    <w:p w14:paraId="2D704200" w14:textId="008FF44A" w:rsidR="00F0199B" w:rsidRPr="00F0199B" w:rsidRDefault="007C69FE" w:rsidP="007C69FE">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7C69FE">
        <w:rPr>
          <w:rFonts w:ascii="Times New Roman" w:eastAsia="Times New Roman" w:hAnsi="Times New Roman" w:cs="Times New Roman"/>
          <w:b/>
          <w:color w:val="1F1F1F"/>
          <w:sz w:val="24"/>
          <w:szCs w:val="24"/>
          <w:lang w:eastAsia="fr-FR"/>
        </w:rPr>
        <w:t>Aim:</w:t>
      </w:r>
      <w:proofErr w:type="gramEnd"/>
      <w:r>
        <w:rPr>
          <w:rFonts w:ascii="Times New Roman" w:eastAsia="Times New Roman" w:hAnsi="Times New Roman" w:cs="Times New Roman"/>
          <w:color w:val="1F1F1F"/>
          <w:sz w:val="24"/>
          <w:szCs w:val="24"/>
          <w:lang w:eastAsia="fr-FR"/>
        </w:rPr>
        <w:t xml:space="preserve"> </w:t>
      </w:r>
      <w:r w:rsidR="00F0199B" w:rsidRPr="00F0199B">
        <w:rPr>
          <w:rFonts w:ascii="Times New Roman" w:eastAsia="Times New Roman" w:hAnsi="Times New Roman" w:cs="Times New Roman"/>
          <w:color w:val="1F1F1F"/>
          <w:sz w:val="24"/>
          <w:szCs w:val="24"/>
          <w:lang w:eastAsia="fr-FR"/>
        </w:rPr>
        <w:t>The objective of this study is to compare the clinical characteristics, metabolic profiles, and angiographic severity between patients admitted for STEMI and those admitted for NSTEMI.</w:t>
      </w:r>
    </w:p>
    <w:p w14:paraId="46A0C4EE" w14:textId="205801C7" w:rsidR="00F0199B" w:rsidRPr="00F0199B" w:rsidRDefault="00F0199B" w:rsidP="007C69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0199B">
        <w:rPr>
          <w:rFonts w:ascii="Times New Roman" w:eastAsia="Times New Roman" w:hAnsi="Times New Roman" w:cs="Times New Roman"/>
          <w:b/>
          <w:bCs/>
          <w:sz w:val="24"/>
          <w:szCs w:val="24"/>
          <w:lang w:eastAsia="fr-FR"/>
        </w:rPr>
        <w:t>Methods:</w:t>
      </w:r>
      <w:r w:rsidRPr="00F0199B">
        <w:rPr>
          <w:rFonts w:ascii="Times New Roman" w:eastAsia="Times New Roman" w:hAnsi="Times New Roman" w:cs="Times New Roman"/>
          <w:sz w:val="24"/>
          <w:szCs w:val="24"/>
          <w:lang w:eastAsia="fr-FR"/>
        </w:rPr>
        <w:t xml:space="preserve"> </w:t>
      </w:r>
      <w:r w:rsidRPr="00F0199B">
        <w:rPr>
          <w:rFonts w:ascii="Times New Roman" w:eastAsia="Times New Roman" w:hAnsi="Times New Roman" w:cs="Times New Roman"/>
          <w:color w:val="1F1F1F"/>
          <w:sz w:val="24"/>
          <w:szCs w:val="24"/>
          <w:lang w:eastAsia="fr-FR"/>
        </w:rPr>
        <w:t xml:space="preserve">This was a single-center, observational, and analytical study conducted over a 6-month period at the Cardiology Department of the Mohammed VI University Hospital (CHU Mohammed VI) in Marrakesh, Morocco. </w:t>
      </w:r>
      <w:r w:rsidR="008B58D5" w:rsidRPr="008B58D5">
        <w:rPr>
          <w:rFonts w:ascii="Times New Roman" w:eastAsia="Times New Roman" w:hAnsi="Times New Roman" w:cs="Times New Roman"/>
          <w:color w:val="1F1F1F"/>
          <w:sz w:val="24"/>
          <w:szCs w:val="24"/>
          <w:lang w:eastAsia="fr-FR"/>
        </w:rPr>
        <w:t>Following written informed consent</w:t>
      </w:r>
      <w:r w:rsidRPr="00F0199B">
        <w:rPr>
          <w:rFonts w:ascii="Times New Roman" w:eastAsia="Times New Roman" w:hAnsi="Times New Roman" w:cs="Times New Roman"/>
          <w:color w:val="1F1F1F"/>
          <w:sz w:val="24"/>
          <w:szCs w:val="24"/>
          <w:lang w:eastAsia="fr-FR"/>
        </w:rPr>
        <w:t>, it included 144 consecutive adult patients admitted for ACS who underwent diagnostic coronary angiography, strictly excluding those managed with an exclusively conservative strategy. Clinical data, metabolic profiles, and angiographic findings were systematically extracted and compared.</w:t>
      </w:r>
    </w:p>
    <w:p w14:paraId="20AFAA84" w14:textId="77777777" w:rsidR="00F0199B" w:rsidRPr="00F0199B" w:rsidRDefault="00F0199B"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0199B">
        <w:rPr>
          <w:rFonts w:ascii="Times New Roman" w:eastAsia="Times New Roman" w:hAnsi="Times New Roman" w:cs="Times New Roman"/>
          <w:b/>
          <w:bCs/>
          <w:sz w:val="24"/>
          <w:szCs w:val="24"/>
          <w:lang w:eastAsia="fr-FR"/>
        </w:rPr>
        <w:t>Results:</w:t>
      </w:r>
      <w:r w:rsidRPr="00F0199B">
        <w:rPr>
          <w:rFonts w:ascii="Times New Roman" w:eastAsia="Times New Roman" w:hAnsi="Times New Roman" w:cs="Times New Roman"/>
          <w:sz w:val="24"/>
          <w:szCs w:val="24"/>
          <w:lang w:eastAsia="fr-FR"/>
        </w:rPr>
        <w:t xml:space="preserve"> </w:t>
      </w:r>
      <w:r w:rsidRPr="00F0199B">
        <w:rPr>
          <w:rFonts w:ascii="Times New Roman" w:eastAsia="Times New Roman" w:hAnsi="Times New Roman" w:cs="Times New Roman"/>
          <w:color w:val="1F1F1F"/>
          <w:sz w:val="24"/>
          <w:szCs w:val="24"/>
          <w:lang w:eastAsia="fr-FR"/>
        </w:rPr>
        <w:t>The study included 97 STEMI patients (67.4%) and 47 NSTEMI patients (32.6%). The overall mean age was 63.7 ± 10.1 years. The NSTEMI group had a significantly higher proportion of females (55.3% vs. 26.8% in the STEMI group, p = 0.002) and hypertensive patients (61.7% vs. 27.8%, p &lt; 0.001). Active smoking was predominant in the STEMI group (49.5% vs. 25.5%, p = 0.011). The metabolic burden was substantial and similar across both groups, particularly for diabetes (53.2% NSTEMI vs. 51.5% STEMI) and dyslipidemia (44.7% NSTEMI vs. 47.4% STEMI). Angiographically, STEMI was predominantly associated with single-vessel disease (56.7%) involving the left anterior descending artery (LAD, 63.9%). Conversely, NSTEMI involved the left circumflex artery (LCx) significantly more often (23.4% vs. 10.3%, p = 0.001) and was more frequently associated with severe triple-vessel disease (21.3% vs. 10.3%, p = 0.179).</w:t>
      </w:r>
    </w:p>
    <w:p w14:paraId="0E2D4B72" w14:textId="6D5A3CDF" w:rsidR="00F0199B" w:rsidRPr="00F0199B" w:rsidRDefault="00F0199B"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0199B">
        <w:rPr>
          <w:rFonts w:ascii="Times New Roman" w:eastAsia="Times New Roman" w:hAnsi="Times New Roman" w:cs="Times New Roman"/>
          <w:b/>
          <w:bCs/>
          <w:sz w:val="24"/>
          <w:szCs w:val="24"/>
          <w:lang w:eastAsia="fr-FR"/>
        </w:rPr>
        <w:t>Conclusion:</w:t>
      </w:r>
      <w:r w:rsidRPr="00F0199B">
        <w:rPr>
          <w:rFonts w:ascii="Times New Roman" w:eastAsia="Times New Roman" w:hAnsi="Times New Roman" w:cs="Times New Roman"/>
          <w:sz w:val="24"/>
          <w:szCs w:val="24"/>
          <w:lang w:eastAsia="fr-FR"/>
        </w:rPr>
        <w:t xml:space="preserve"> </w:t>
      </w:r>
      <w:r w:rsidRPr="00F0199B">
        <w:rPr>
          <w:rFonts w:ascii="Times New Roman" w:eastAsia="Times New Roman" w:hAnsi="Times New Roman" w:cs="Times New Roman"/>
          <w:color w:val="1F1F1F"/>
          <w:sz w:val="24"/>
          <w:szCs w:val="24"/>
          <w:lang w:eastAsia="fr-FR"/>
        </w:rPr>
        <w:t>This study confirms a profound dimorphism in the real-world presentation of ACS that often diverges from classic guideline paradigms. While STEMI predominantly characterizes younger, smoking males with single-vessel LAD occlusion, NSTEMI frequently involves older, hypertensive females presenting with complex, diffuse, and sometimes angiographically occlusive multivessel disease. Recognizing these real-world discrepancies is crucial for avoiding treatment delays and optimi</w:t>
      </w:r>
      <w:r w:rsidR="007C69FE">
        <w:rPr>
          <w:rFonts w:ascii="Times New Roman" w:eastAsia="Times New Roman" w:hAnsi="Times New Roman" w:cs="Times New Roman"/>
          <w:color w:val="1F1F1F"/>
          <w:sz w:val="24"/>
          <w:szCs w:val="24"/>
          <w:lang w:eastAsia="fr-FR"/>
        </w:rPr>
        <w:t>sing individualis</w:t>
      </w:r>
      <w:r w:rsidRPr="00F0199B">
        <w:rPr>
          <w:rFonts w:ascii="Times New Roman" w:eastAsia="Times New Roman" w:hAnsi="Times New Roman" w:cs="Times New Roman"/>
          <w:color w:val="1F1F1F"/>
          <w:sz w:val="24"/>
          <w:szCs w:val="24"/>
          <w:lang w:eastAsia="fr-FR"/>
        </w:rPr>
        <w:t>ed management.</w:t>
      </w:r>
    </w:p>
    <w:p w14:paraId="1BECA3C2" w14:textId="77777777" w:rsidR="00854E54" w:rsidRDefault="00854E54" w:rsidP="007C69FE">
      <w:pPr>
        <w:pStyle w:val="NormalWeb"/>
        <w:spacing w:after="0" w:afterAutospacing="0"/>
        <w:jc w:val="both"/>
        <w:rPr>
          <w:color w:val="1F1F1F"/>
        </w:rPr>
      </w:pPr>
      <w:r>
        <w:rPr>
          <w:b/>
          <w:bCs/>
          <w:color w:val="1F1F1F"/>
          <w:bdr w:val="none" w:sz="0" w:space="0" w:color="auto" w:frame="1"/>
        </w:rPr>
        <w:t>Keywords:</w:t>
      </w:r>
      <w:r>
        <w:rPr>
          <w:color w:val="1F1F1F"/>
        </w:rPr>
        <w:t xml:space="preserve"> Acute Coronary Syndrome, STEMI, NSTEMI, Coronary Angiography, Diabetes Mellitus, Cardiovascular Risk Factors.</w:t>
      </w:r>
    </w:p>
    <w:p w14:paraId="6052FA7A" w14:textId="77777777" w:rsidR="00854E54" w:rsidRDefault="00D1181D" w:rsidP="007C69FE">
      <w:pPr>
        <w:spacing w:after="120"/>
        <w:jc w:val="both"/>
        <w:rPr>
          <w:color w:val="1F1F1F"/>
        </w:rPr>
      </w:pPr>
      <w:r>
        <w:rPr>
          <w:color w:val="1F1F1F"/>
        </w:rPr>
        <w:pict w14:anchorId="6337BD83">
          <v:rect id="_x0000_i1025" style="width:0;height:1.5pt" o:hralign="center" o:hrstd="t" o:hrnoshade="t" o:hr="t" fillcolor="gray" stroked="f"/>
        </w:pict>
      </w:r>
    </w:p>
    <w:p w14:paraId="6A601294" w14:textId="77777777" w:rsidR="00854E54" w:rsidRDefault="00854E54" w:rsidP="007C69FE">
      <w:pPr>
        <w:pStyle w:val="Heading3"/>
        <w:spacing w:after="120" w:afterAutospacing="0"/>
        <w:jc w:val="both"/>
        <w:rPr>
          <w:color w:val="1F1F1F"/>
        </w:rPr>
      </w:pPr>
      <w:r>
        <w:rPr>
          <w:color w:val="1F1F1F"/>
        </w:rPr>
        <w:t>1. Introduction</w:t>
      </w:r>
    </w:p>
    <w:p w14:paraId="02B5A610" w14:textId="77777777" w:rsidR="00854E54" w:rsidRDefault="00854E54" w:rsidP="007C69FE">
      <w:pPr>
        <w:pStyle w:val="NormalWeb"/>
        <w:spacing w:after="0" w:afterAutospacing="0"/>
        <w:jc w:val="both"/>
        <w:rPr>
          <w:color w:val="1F1F1F"/>
        </w:rPr>
      </w:pPr>
      <w:r>
        <w:rPr>
          <w:color w:val="1F1F1F"/>
        </w:rPr>
        <w:lastRenderedPageBreak/>
        <w:t xml:space="preserve">Acute coronary syndromes (ACS) remain a leading cause of cardiovascular morbidity and mortality worldwide </w:t>
      </w:r>
      <w:r>
        <w:rPr>
          <w:b/>
          <w:bCs/>
          <w:color w:val="1F1F1F"/>
          <w:bdr w:val="none" w:sz="0" w:space="0" w:color="auto" w:frame="1"/>
        </w:rPr>
        <w:t>[1]</w:t>
      </w:r>
      <w:r>
        <w:rPr>
          <w:color w:val="1F1F1F"/>
        </w:rPr>
        <w:t xml:space="preserve">. Pathophysiologically and electrocardiographically, the ACS spectrum is classically divided into two major entities requiring distinct management </w:t>
      </w:r>
      <w:proofErr w:type="gramStart"/>
      <w:r>
        <w:rPr>
          <w:color w:val="1F1F1F"/>
        </w:rPr>
        <w:t>strategies:</w:t>
      </w:r>
      <w:proofErr w:type="gramEnd"/>
      <w:r>
        <w:rPr>
          <w:color w:val="1F1F1F"/>
        </w:rPr>
        <w:t xml:space="preserve"> ST-segment elevation myocardial infarction (STEMI) and non-ST-segment elevation myocardial infarction (NSTEMI) . Historically addressed by separate guidelines, these two presentations were unified in the 2023 European Society of Cardiology (ESC) guidelines to emphasize the continuum of atherothrombotic coronary artery disease </w:t>
      </w:r>
      <w:r>
        <w:rPr>
          <w:b/>
          <w:bCs/>
          <w:color w:val="1F1F1F"/>
          <w:bdr w:val="none" w:sz="0" w:space="0" w:color="auto" w:frame="1"/>
        </w:rPr>
        <w:t>[2]</w:t>
      </w:r>
      <w:r>
        <w:rPr>
          <w:color w:val="1F1F1F"/>
        </w:rPr>
        <w:t>.</w:t>
      </w:r>
    </w:p>
    <w:p w14:paraId="0DB075AE" w14:textId="77777777" w:rsidR="00854E54" w:rsidRDefault="00854E54" w:rsidP="007C69FE">
      <w:pPr>
        <w:pStyle w:val="NormalWeb"/>
        <w:spacing w:after="0" w:afterAutospacing="0"/>
        <w:jc w:val="both"/>
        <w:rPr>
          <w:color w:val="1F1F1F"/>
        </w:rPr>
      </w:pPr>
      <w:r>
        <w:rPr>
          <w:color w:val="1F1F1F"/>
        </w:rPr>
        <w:t xml:space="preserve">Although the initial presentation differs—acute and total coronary occlusion in STEMI versus subtotal or microvascular occlusion in NSTEMI—the profiles of the affected patients vary considerably in daily clinical practice </w:t>
      </w:r>
      <w:r>
        <w:rPr>
          <w:b/>
          <w:bCs/>
          <w:color w:val="1F1F1F"/>
          <w:bdr w:val="none" w:sz="0" w:space="0" w:color="auto" w:frame="1"/>
        </w:rPr>
        <w:t>[3]</w:t>
      </w:r>
      <w:r>
        <w:rPr>
          <w:color w:val="1F1F1F"/>
        </w:rPr>
        <w:t xml:space="preserve">. Several epidemiological studies suggest that patients presenting with NSTEMI tend to be older, more often female, and carry a heavier burden of metabolic comorbidities such as diabetes and dyslipidemia compared to their STEMI counterparts </w:t>
      </w:r>
      <w:r>
        <w:rPr>
          <w:b/>
          <w:bCs/>
          <w:color w:val="1F1F1F"/>
          <w:bdr w:val="none" w:sz="0" w:space="0" w:color="auto" w:frame="1"/>
        </w:rPr>
        <w:t>[4, 5, 6]</w:t>
      </w:r>
      <w:r>
        <w:rPr>
          <w:color w:val="1F1F1F"/>
        </w:rPr>
        <w:t xml:space="preserve">. Anatomically, this metabolic burden often translates into more complex and multivessel coronary lesions during angiography, contrasting with the often single-vessel involvement seen in inaugural STEMI, whereas NSTEMI may frequently involve the circumflex artery or multivessel disease </w:t>
      </w:r>
      <w:r>
        <w:rPr>
          <w:b/>
          <w:bCs/>
          <w:color w:val="1F1F1F"/>
          <w:bdr w:val="none" w:sz="0" w:space="0" w:color="auto" w:frame="1"/>
        </w:rPr>
        <w:t>[7, 8, 9]</w:t>
      </w:r>
      <w:r>
        <w:rPr>
          <w:color w:val="1F1F1F"/>
        </w:rPr>
        <w:t>.</w:t>
      </w:r>
    </w:p>
    <w:p w14:paraId="459F3ABA" w14:textId="39DE368A" w:rsidR="00854E54" w:rsidRDefault="00854E54" w:rsidP="007C69FE">
      <w:pPr>
        <w:pStyle w:val="NormalWeb"/>
        <w:spacing w:after="240" w:afterAutospacing="0"/>
        <w:jc w:val="both"/>
        <w:rPr>
          <w:color w:val="1F1F1F"/>
        </w:rPr>
      </w:pPr>
      <w:r>
        <w:rPr>
          <w:color w:val="1F1F1F"/>
        </w:rPr>
        <w:t xml:space="preserve">However, direct comparative data simultaneously evaluating the strict metabolic profile (HbA1c, estimated glomerular filtration rate [eGFR], </w:t>
      </w:r>
      <w:r w:rsidR="007C69FE">
        <w:rPr>
          <w:color w:val="1F1F1F"/>
        </w:rPr>
        <w:t xml:space="preserve">and </w:t>
      </w:r>
      <w:r>
        <w:rPr>
          <w:color w:val="1F1F1F"/>
        </w:rPr>
        <w:t>inflammatory markers) and precise anatomical extent in our real-world practice remain limited. Therefore, the objective of this study is to establish a comprehensive comparative profile—clinical, metabolic, and angiographic—between patients admitted for STEMI and those admitted for NSTEMI.</w:t>
      </w:r>
    </w:p>
    <w:p w14:paraId="089CC9FD" w14:textId="77777777" w:rsidR="00854E54" w:rsidRDefault="00854E54" w:rsidP="007C69FE">
      <w:pPr>
        <w:pStyle w:val="Heading3"/>
        <w:spacing w:after="120" w:afterAutospacing="0"/>
        <w:jc w:val="both"/>
        <w:rPr>
          <w:color w:val="1F1F1F"/>
        </w:rPr>
      </w:pPr>
      <w:r>
        <w:rPr>
          <w:color w:val="1F1F1F"/>
        </w:rPr>
        <w:t>2. Materials and Methods</w:t>
      </w:r>
    </w:p>
    <w:p w14:paraId="49258E8B" w14:textId="77777777" w:rsidR="009A42C9" w:rsidRDefault="00242B0C" w:rsidP="007C69FE">
      <w:pPr>
        <w:pStyle w:val="NormalWeb"/>
        <w:jc w:val="both"/>
      </w:pPr>
      <w:r>
        <w:rPr>
          <w:b/>
          <w:bCs/>
        </w:rPr>
        <w:t>2.1. Study Design and Population</w:t>
      </w:r>
      <w:r w:rsidR="009A42C9">
        <w:rPr>
          <w:b/>
          <w:bCs/>
        </w:rPr>
        <w:t> </w:t>
      </w:r>
      <w:r w:rsidR="009A42C9">
        <w:t xml:space="preserve">: </w:t>
      </w:r>
    </w:p>
    <w:p w14:paraId="1309E45F" w14:textId="2B251864" w:rsidR="00242B0C" w:rsidRDefault="00242B0C" w:rsidP="007C69FE">
      <w:pPr>
        <w:pStyle w:val="NormalWeb"/>
        <w:jc w:val="both"/>
      </w:pPr>
      <w:r>
        <w:t>This is a single-center, observational, descriptive, and analytical study conducted over a 6-month period (from May to October 2023) in the Cardiology Department of the Mohammed VI University Hospital (CHU Mohammed VI) in Marrakesh, Morocco. As a tertiary care center, our facility serves as a major regional hub for cardiovascular emergencies.</w:t>
      </w:r>
    </w:p>
    <w:p w14:paraId="7D8AC2C9" w14:textId="77777777" w:rsidR="00242B0C" w:rsidRDefault="00242B0C" w:rsidP="007C69FE">
      <w:pPr>
        <w:pStyle w:val="NormalWeb"/>
        <w:jc w:val="both"/>
      </w:pPr>
      <w:r>
        <w:t>The study consecutively included 144 adult patients admitted for the management of documented ACS. Inclusion criteria required patients to be older than 18 years, presenting with a confirmed ACS diagnosis based on the Third Universal Definition of Myocardial Infarction (including acute ischemic clinical symptoms, dynamic electrocardiographic [ECG] changes, and elevation of cardiac biomarkers, specifically high-sensitivity troponins), and who subsequently underwent diagnostic coronary angiography during their index hospital stay.</w:t>
      </w:r>
    </w:p>
    <w:p w14:paraId="4F5F94A7" w14:textId="77777777" w:rsidR="00242B0C" w:rsidRDefault="00242B0C" w:rsidP="007C69FE">
      <w:pPr>
        <w:pStyle w:val="NormalWeb"/>
        <w:jc w:val="both"/>
      </w:pPr>
      <w:r>
        <w:t>Exclusion criteria were strictly defined to minimize confounding factors. We excluded patients with major missing clinical or angiographic data, those who died before reaching the catheterization laboratory, patients with a history of previous coronary artery bypass grafting (CABG), and those managed with an exclusively conservative pharmacological strategy without angiography due to extreme frailty, severe bleeding risk, or patient refusal.</w:t>
      </w:r>
    </w:p>
    <w:p w14:paraId="63C2B44C" w14:textId="77777777" w:rsidR="00242B0C" w:rsidRDefault="00242B0C" w:rsidP="007C69FE">
      <w:pPr>
        <w:pStyle w:val="NormalWeb"/>
        <w:jc w:val="both"/>
      </w:pPr>
      <w:r>
        <w:rPr>
          <w:b/>
          <w:bCs/>
        </w:rPr>
        <w:t>2.2. Data Collection</w:t>
      </w:r>
      <w:r>
        <w:t xml:space="preserve"> Data were systematically extracted from electronic medical records and catheterization laboratory reports using a standardized data collection form to ensure consistency. The variables comprehensively analyzed included:</w:t>
      </w:r>
    </w:p>
    <w:p w14:paraId="3F8BA558" w14:textId="77777777" w:rsidR="00242B0C" w:rsidRDefault="00242B0C" w:rsidP="007C69FE">
      <w:pPr>
        <w:pStyle w:val="NormalWeb"/>
        <w:numPr>
          <w:ilvl w:val="0"/>
          <w:numId w:val="12"/>
        </w:numPr>
        <w:jc w:val="both"/>
      </w:pPr>
      <w:r>
        <w:rPr>
          <w:b/>
          <w:bCs/>
        </w:rPr>
        <w:lastRenderedPageBreak/>
        <w:t>Demographic and clinical data:</w:t>
      </w:r>
      <w:r>
        <w:t xml:space="preserve"> Age, sex, body mass index (BMI), time to consultation (defined as the delay in hours from symptom onset to first medical contact), presence of established cardiovascular risk factors (diabetes mellitus, arterial hypertension, dyslipidemia, active or former smoking), and clinical severity stage at admission categorized by the Killip-Kimball classification.</w:t>
      </w:r>
    </w:p>
    <w:p w14:paraId="6B5303B9" w14:textId="77777777" w:rsidR="00242B0C" w:rsidRDefault="00242B0C" w:rsidP="007C69FE">
      <w:pPr>
        <w:pStyle w:val="NormalWeb"/>
        <w:numPr>
          <w:ilvl w:val="0"/>
          <w:numId w:val="12"/>
        </w:numPr>
        <w:jc w:val="both"/>
      </w:pPr>
      <w:r>
        <w:rPr>
          <w:b/>
          <w:bCs/>
        </w:rPr>
        <w:t>Biological and metabolic profile:</w:t>
      </w:r>
      <w:r>
        <w:t xml:space="preserve"> Blood samples were collected upon admission. We assessed renal function via the estimated glomerular filtration rate (eGFR) using the CKD-EPI formula, glycemic control via glycated hemoglobin (HbA1c), lipid profile focusing on LDL-cholesterol levels, and inflammatory status measured by C-Reactive Protein (CRP).</w:t>
      </w:r>
    </w:p>
    <w:p w14:paraId="6AC2B97B" w14:textId="77777777" w:rsidR="00242B0C" w:rsidRDefault="00242B0C" w:rsidP="007C69FE">
      <w:pPr>
        <w:pStyle w:val="NormalWeb"/>
        <w:numPr>
          <w:ilvl w:val="0"/>
          <w:numId w:val="12"/>
        </w:numPr>
        <w:jc w:val="both"/>
      </w:pPr>
      <w:r>
        <w:rPr>
          <w:b/>
          <w:bCs/>
        </w:rPr>
        <w:t>Echocardiographic and angiographic profile:</w:t>
      </w:r>
      <w:r>
        <w:t xml:space="preserve"> Left ventricular ejection fraction (LVEF) was evaluated via transthoracic echocardiography within the first 48 hours of admission using the modified Simpson's biplane method. Coronary angiography was performed via the radial or femoral approach by experienced interventional cardiologists. The data collected determined the culprit artery (Left Anterior Descending [LAD], Left Circumflex [LCx], or Right Coronary Artery [RCA]) based on ECG correlation and angiographic appearance (thrombus, plaque rupture, or critical stenosis). The overall extent of coronary artery disease was anatomically classified as single-vessel, double-vessel, or severe triple-vessel disease.</w:t>
      </w:r>
    </w:p>
    <w:p w14:paraId="36C58195" w14:textId="77777777" w:rsidR="00854E54" w:rsidRDefault="00854E54" w:rsidP="007C69FE">
      <w:pPr>
        <w:pStyle w:val="NormalWeb"/>
        <w:spacing w:after="0" w:afterAutospacing="0"/>
        <w:jc w:val="both"/>
        <w:rPr>
          <w:color w:val="1F1F1F"/>
        </w:rPr>
      </w:pPr>
      <w:r>
        <w:rPr>
          <w:b/>
          <w:bCs/>
          <w:color w:val="1F1F1F"/>
          <w:bdr w:val="none" w:sz="0" w:space="0" w:color="auto" w:frame="1"/>
        </w:rPr>
        <w:t>2.3. Statistical Analysis</w:t>
      </w:r>
    </w:p>
    <w:p w14:paraId="52090E30" w14:textId="77777777" w:rsidR="00854E54" w:rsidRDefault="00854E54" w:rsidP="007C69FE">
      <w:pPr>
        <w:pStyle w:val="NormalWeb"/>
        <w:spacing w:after="240" w:afterAutospacing="0"/>
        <w:jc w:val="both"/>
        <w:rPr>
          <w:color w:val="1F1F1F"/>
        </w:rPr>
      </w:pPr>
      <w:r>
        <w:rPr>
          <w:color w:val="1F1F1F"/>
        </w:rPr>
        <w:t>Statistical analysis was performed using standard statistical software. Continuous variables are expressed as means ± standard deviations (SD), or as medians and interquartile ranges [IQR] for non-normally distributed data. They were compared using the Student’s t-test or the Mann-Whitney U test, as appropriate. Categorical variables are expressed as frequencies and percentages (%), and were compared using the Chi-square test or Fisher's exact test. A p-value of &lt; 0.05 was considered statistically significant.</w:t>
      </w:r>
    </w:p>
    <w:p w14:paraId="40723834" w14:textId="77777777" w:rsidR="00854E54" w:rsidRDefault="00854E54" w:rsidP="007C69FE">
      <w:pPr>
        <w:pStyle w:val="Heading3"/>
        <w:spacing w:after="120" w:afterAutospacing="0"/>
        <w:jc w:val="both"/>
        <w:rPr>
          <w:color w:val="1F1F1F"/>
        </w:rPr>
      </w:pPr>
      <w:r>
        <w:rPr>
          <w:color w:val="1F1F1F"/>
        </w:rPr>
        <w:t>3. Results</w:t>
      </w:r>
    </w:p>
    <w:p w14:paraId="78E30AE3" w14:textId="77777777" w:rsidR="00854E54" w:rsidRDefault="00854E54" w:rsidP="007C69FE">
      <w:pPr>
        <w:pStyle w:val="Heading4"/>
        <w:spacing w:after="120"/>
        <w:jc w:val="both"/>
        <w:rPr>
          <w:color w:val="1F1F1F"/>
        </w:rPr>
      </w:pPr>
      <w:r>
        <w:rPr>
          <w:color w:val="1F1F1F"/>
        </w:rPr>
        <w:t>3.1. Baseline Characteristics and Cardiovascular Risk Profile</w:t>
      </w:r>
    </w:p>
    <w:p w14:paraId="3925AB2A" w14:textId="77777777" w:rsidR="00854E54" w:rsidRDefault="00854E54" w:rsidP="007C69FE">
      <w:pPr>
        <w:pStyle w:val="NormalWeb"/>
        <w:spacing w:after="240" w:afterAutospacing="0"/>
        <w:jc w:val="both"/>
        <w:rPr>
          <w:color w:val="1F1F1F"/>
        </w:rPr>
      </w:pPr>
      <w:r>
        <w:rPr>
          <w:color w:val="1F1F1F"/>
        </w:rPr>
        <w:t>Of the 144 included patients, 97 (67.4%) presented with a STEMI and 47 (32.6%) with an NSTEMI. The overall mean age was 63.7 ± 10.1 years. Comparative analysis (Table 1) revealed that STEMI predominantly affected males (73.2%), whereas the proportion of females rose significantly to 55.3% in the NSTEMI group (p = 0.002). Arterial hypertension was significantly more frequent among NSTEMI patients (61.7% vs. 27.8%, p &lt; 0.001), while active smoking was the hallmark of the STEMI group (49.5% vs. 25.5%, p = 0.011). The prevalence of diabetes and dyslipidemia was similarly high in both groups.</w:t>
      </w:r>
    </w:p>
    <w:p w14:paraId="7524381B" w14:textId="77777777" w:rsidR="00854E54" w:rsidRDefault="00854E54" w:rsidP="007C69FE">
      <w:pPr>
        <w:pStyle w:val="NormalWeb"/>
        <w:spacing w:after="0" w:afterAutospacing="0"/>
        <w:jc w:val="both"/>
        <w:rPr>
          <w:color w:val="1F1F1F"/>
        </w:rPr>
      </w:pPr>
      <w:r>
        <w:rPr>
          <w:b/>
          <w:bCs/>
          <w:color w:val="1F1F1F"/>
          <w:bdr w:val="none" w:sz="0" w:space="0" w:color="auto" w:frame="1"/>
        </w:rPr>
        <w:t>Table 1: Baseline Demographic Characteristics and Cardiovascular Risk Factors</w:t>
      </w:r>
    </w:p>
    <w:tbl>
      <w:tblPr>
        <w:tblW w:w="0" w:type="auto"/>
        <w:tblCellSpacing w:w="15" w:type="dxa"/>
        <w:tblCellMar>
          <w:left w:w="0" w:type="dxa"/>
          <w:right w:w="0" w:type="dxa"/>
        </w:tblCellMar>
        <w:tblLook w:val="04A0" w:firstRow="1" w:lastRow="0" w:firstColumn="1" w:lastColumn="0" w:noHBand="0" w:noVBand="1"/>
      </w:tblPr>
      <w:tblGrid>
        <w:gridCol w:w="2972"/>
        <w:gridCol w:w="1729"/>
        <w:gridCol w:w="1873"/>
        <w:gridCol w:w="1116"/>
      </w:tblGrid>
      <w:tr w:rsidR="00854E54" w14:paraId="5AA3EB44"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895973" w14:textId="77777777" w:rsidR="00854E54" w:rsidRDefault="00854E54" w:rsidP="007C69FE">
            <w:pPr>
              <w:jc w:val="both"/>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394B25" w14:textId="77777777" w:rsidR="00854E54" w:rsidRDefault="00854E54" w:rsidP="007C69FE">
            <w:pPr>
              <w:jc w:val="both"/>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04B763" w14:textId="77777777" w:rsidR="00854E54" w:rsidRDefault="00854E54" w:rsidP="007C69FE">
            <w:pPr>
              <w:jc w:val="both"/>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FC2EFF" w14:textId="77777777" w:rsidR="00854E54" w:rsidRDefault="00854E54" w:rsidP="007C69FE">
            <w:pPr>
              <w:jc w:val="both"/>
              <w:rPr>
                <w:color w:val="1F1F1F"/>
                <w:sz w:val="24"/>
                <w:szCs w:val="24"/>
              </w:rPr>
            </w:pPr>
            <w:r>
              <w:rPr>
                <w:rStyle w:val="Strong"/>
                <w:color w:val="1F1F1F"/>
                <w:bdr w:val="none" w:sz="0" w:space="0" w:color="auto" w:frame="1"/>
              </w:rPr>
              <w:t>p-value</w:t>
            </w:r>
          </w:p>
        </w:tc>
      </w:tr>
      <w:tr w:rsidR="00854E54" w14:paraId="570C4DC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8568A4" w14:textId="77777777" w:rsidR="00854E54" w:rsidRDefault="00854E54" w:rsidP="007C69FE">
            <w:pPr>
              <w:jc w:val="both"/>
              <w:rPr>
                <w:color w:val="1F1F1F"/>
                <w:sz w:val="24"/>
                <w:szCs w:val="24"/>
              </w:rPr>
            </w:pPr>
            <w:r>
              <w:rPr>
                <w:b/>
                <w:bCs/>
                <w:color w:val="1F1F1F"/>
                <w:bdr w:val="none" w:sz="0" w:space="0" w:color="auto" w:frame="1"/>
              </w:rPr>
              <w:t>Age (years)</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0C4CB8" w14:textId="77777777" w:rsidR="00854E54" w:rsidRDefault="00854E54" w:rsidP="007C69FE">
            <w:pPr>
              <w:jc w:val="both"/>
              <w:rPr>
                <w:color w:val="1F1F1F"/>
                <w:sz w:val="24"/>
                <w:szCs w:val="24"/>
              </w:rPr>
            </w:pPr>
            <w:r>
              <w:rPr>
                <w:color w:val="1F1F1F"/>
                <w:bdr w:val="none" w:sz="0" w:space="0" w:color="auto" w:frame="1"/>
              </w:rPr>
              <w:t>63.2 ± 10.4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E81353" w14:textId="77777777" w:rsidR="00854E54" w:rsidRDefault="00854E54" w:rsidP="007C69FE">
            <w:pPr>
              <w:jc w:val="both"/>
              <w:rPr>
                <w:color w:val="1F1F1F"/>
                <w:sz w:val="24"/>
                <w:szCs w:val="24"/>
              </w:rPr>
            </w:pPr>
            <w:r>
              <w:rPr>
                <w:color w:val="1F1F1F"/>
                <w:bdr w:val="none" w:sz="0" w:space="0" w:color="auto" w:frame="1"/>
              </w:rPr>
              <w:t>64.8 ± 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3A20E2" w14:textId="77777777" w:rsidR="00854E54" w:rsidRDefault="00854E54" w:rsidP="007C69FE">
            <w:pPr>
              <w:jc w:val="both"/>
              <w:rPr>
                <w:color w:val="1F1F1F"/>
                <w:sz w:val="24"/>
                <w:szCs w:val="24"/>
              </w:rPr>
            </w:pPr>
            <w:r>
              <w:rPr>
                <w:color w:val="1F1F1F"/>
                <w:bdr w:val="none" w:sz="0" w:space="0" w:color="auto" w:frame="1"/>
              </w:rPr>
              <w:t>0.375</w:t>
            </w:r>
          </w:p>
        </w:tc>
      </w:tr>
      <w:tr w:rsidR="00854E54" w14:paraId="04D8CFD9"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0F9BD0" w14:textId="77777777" w:rsidR="00854E54" w:rsidRDefault="00854E54" w:rsidP="007C69FE">
            <w:pPr>
              <w:jc w:val="both"/>
              <w:rPr>
                <w:color w:val="1F1F1F"/>
                <w:sz w:val="24"/>
                <w:szCs w:val="24"/>
              </w:rPr>
            </w:pPr>
            <w:r>
              <w:rPr>
                <w:b/>
                <w:bCs/>
                <w:color w:val="1F1F1F"/>
                <w:bdr w:val="none" w:sz="0" w:space="0" w:color="auto" w:frame="1"/>
              </w:rPr>
              <w:t>Male sex</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D944F8" w14:textId="77777777" w:rsidR="00854E54" w:rsidRDefault="00854E54" w:rsidP="007C69FE">
            <w:pPr>
              <w:jc w:val="both"/>
              <w:rPr>
                <w:color w:val="1F1F1F"/>
                <w:sz w:val="24"/>
                <w:szCs w:val="24"/>
              </w:rPr>
            </w:pPr>
            <w:r>
              <w:rPr>
                <w:color w:val="1F1F1F"/>
                <w:bdr w:val="none" w:sz="0" w:space="0" w:color="auto" w:frame="1"/>
              </w:rPr>
              <w:t>71 (73.2%)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379FBB" w14:textId="77777777" w:rsidR="00854E54" w:rsidRDefault="00854E54" w:rsidP="007C69FE">
            <w:pPr>
              <w:jc w:val="both"/>
              <w:rPr>
                <w:color w:val="1F1F1F"/>
                <w:sz w:val="24"/>
                <w:szCs w:val="24"/>
              </w:rPr>
            </w:pPr>
            <w:r>
              <w:rPr>
                <w:color w:val="1F1F1F"/>
                <w:bdr w:val="none" w:sz="0" w:space="0" w:color="auto" w:frame="1"/>
              </w:rPr>
              <w:t>21 (44.7%)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F7A745" w14:textId="77777777" w:rsidR="00854E54" w:rsidRDefault="00854E54" w:rsidP="007C69FE">
            <w:pPr>
              <w:jc w:val="both"/>
              <w:rPr>
                <w:color w:val="1F1F1F"/>
                <w:sz w:val="24"/>
                <w:szCs w:val="24"/>
              </w:rPr>
            </w:pPr>
            <w:r>
              <w:rPr>
                <w:b/>
                <w:bCs/>
                <w:color w:val="1F1F1F"/>
                <w:bdr w:val="none" w:sz="0" w:space="0" w:color="auto" w:frame="1"/>
              </w:rPr>
              <w:t>0.002</w:t>
            </w:r>
          </w:p>
        </w:tc>
      </w:tr>
      <w:tr w:rsidR="00854E54" w14:paraId="7300B6B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A59C7" w14:textId="77777777" w:rsidR="00854E54" w:rsidRDefault="00854E54" w:rsidP="007C69FE">
            <w:pPr>
              <w:jc w:val="both"/>
              <w:rPr>
                <w:color w:val="1F1F1F"/>
                <w:sz w:val="24"/>
                <w:szCs w:val="24"/>
              </w:rPr>
            </w:pPr>
            <w:r>
              <w:rPr>
                <w:b/>
                <w:bCs/>
                <w:color w:val="1F1F1F"/>
                <w:bdr w:val="none" w:sz="0" w:space="0" w:color="auto" w:frame="1"/>
              </w:rPr>
              <w:lastRenderedPageBreak/>
              <w:t>Arterial Hypertension</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42E5A1" w14:textId="77777777" w:rsidR="00854E54" w:rsidRDefault="00854E54" w:rsidP="007C69FE">
            <w:pPr>
              <w:jc w:val="both"/>
              <w:rPr>
                <w:color w:val="1F1F1F"/>
                <w:sz w:val="24"/>
                <w:szCs w:val="24"/>
              </w:rPr>
            </w:pPr>
            <w:r>
              <w:rPr>
                <w:color w:val="1F1F1F"/>
                <w:bdr w:val="none" w:sz="0" w:space="0" w:color="auto" w:frame="1"/>
              </w:rPr>
              <w:t>27 (27.8%)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70567C" w14:textId="77777777" w:rsidR="00854E54" w:rsidRDefault="00854E54" w:rsidP="007C69FE">
            <w:pPr>
              <w:jc w:val="both"/>
              <w:rPr>
                <w:color w:val="1F1F1F"/>
                <w:sz w:val="24"/>
                <w:szCs w:val="24"/>
              </w:rPr>
            </w:pPr>
            <w:r>
              <w:rPr>
                <w:color w:val="1F1F1F"/>
                <w:bdr w:val="none" w:sz="0" w:space="0" w:color="auto" w:frame="1"/>
              </w:rPr>
              <w:t>29 (61.7%)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2BCC5" w14:textId="77777777" w:rsidR="00854E54" w:rsidRDefault="00854E54" w:rsidP="007C69FE">
            <w:pPr>
              <w:jc w:val="both"/>
              <w:rPr>
                <w:color w:val="1F1F1F"/>
                <w:sz w:val="24"/>
                <w:szCs w:val="24"/>
              </w:rPr>
            </w:pPr>
            <w:r>
              <w:rPr>
                <w:b/>
                <w:bCs/>
                <w:color w:val="1F1F1F"/>
                <w:bdr w:val="none" w:sz="0" w:space="0" w:color="auto" w:frame="1"/>
              </w:rPr>
              <w:t>&lt; 0.001</w:t>
            </w:r>
          </w:p>
        </w:tc>
      </w:tr>
      <w:tr w:rsidR="00854E54" w14:paraId="616F354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6E92EC" w14:textId="77777777" w:rsidR="00854E54" w:rsidRDefault="00854E54" w:rsidP="007C69FE">
            <w:pPr>
              <w:jc w:val="both"/>
              <w:rPr>
                <w:color w:val="1F1F1F"/>
                <w:sz w:val="24"/>
                <w:szCs w:val="24"/>
              </w:rPr>
            </w:pPr>
            <w:r>
              <w:rPr>
                <w:b/>
                <w:bCs/>
                <w:color w:val="1F1F1F"/>
                <w:bdr w:val="none" w:sz="0" w:space="0" w:color="auto" w:frame="1"/>
              </w:rPr>
              <w:t>Diabetes Mellitus</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075F19" w14:textId="77777777" w:rsidR="00854E54" w:rsidRDefault="00854E54" w:rsidP="007C69FE">
            <w:pPr>
              <w:jc w:val="both"/>
              <w:rPr>
                <w:color w:val="1F1F1F"/>
                <w:sz w:val="24"/>
                <w:szCs w:val="24"/>
              </w:rPr>
            </w:pPr>
            <w:r>
              <w:rPr>
                <w:color w:val="1F1F1F"/>
                <w:bdr w:val="none" w:sz="0" w:space="0" w:color="auto" w:frame="1"/>
              </w:rPr>
              <w:t>50 (51.5%)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D80332" w14:textId="77777777" w:rsidR="00854E54" w:rsidRDefault="00854E54" w:rsidP="007C69FE">
            <w:pPr>
              <w:jc w:val="both"/>
              <w:rPr>
                <w:color w:val="1F1F1F"/>
                <w:sz w:val="24"/>
                <w:szCs w:val="24"/>
              </w:rPr>
            </w:pPr>
            <w:r>
              <w:rPr>
                <w:color w:val="1F1F1F"/>
                <w:bdr w:val="none" w:sz="0" w:space="0" w:color="auto" w:frame="1"/>
              </w:rPr>
              <w:t>25 (53.2%)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FF6917" w14:textId="77777777" w:rsidR="00854E54" w:rsidRDefault="00854E54" w:rsidP="007C69FE">
            <w:pPr>
              <w:jc w:val="both"/>
              <w:rPr>
                <w:color w:val="1F1F1F"/>
                <w:sz w:val="24"/>
                <w:szCs w:val="24"/>
              </w:rPr>
            </w:pPr>
            <w:r>
              <w:rPr>
                <w:color w:val="1F1F1F"/>
                <w:bdr w:val="none" w:sz="0" w:space="0" w:color="auto" w:frame="1"/>
              </w:rPr>
              <w:t>0.994</w:t>
            </w:r>
          </w:p>
        </w:tc>
      </w:tr>
      <w:tr w:rsidR="00854E54" w14:paraId="4721CA76"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5AC44D" w14:textId="77777777" w:rsidR="00854E54" w:rsidRDefault="00854E54" w:rsidP="007C69FE">
            <w:pPr>
              <w:jc w:val="both"/>
              <w:rPr>
                <w:color w:val="1F1F1F"/>
                <w:sz w:val="24"/>
                <w:szCs w:val="24"/>
              </w:rPr>
            </w:pPr>
            <w:r>
              <w:rPr>
                <w:b/>
                <w:bCs/>
                <w:color w:val="1F1F1F"/>
                <w:bdr w:val="none" w:sz="0" w:space="0" w:color="auto" w:frame="1"/>
              </w:rPr>
              <w:t>Active Smoking</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297A10" w14:textId="77777777" w:rsidR="00854E54" w:rsidRDefault="00854E54" w:rsidP="007C69FE">
            <w:pPr>
              <w:jc w:val="both"/>
              <w:rPr>
                <w:color w:val="1F1F1F"/>
                <w:sz w:val="24"/>
                <w:szCs w:val="24"/>
              </w:rPr>
            </w:pPr>
            <w:r>
              <w:rPr>
                <w:color w:val="1F1F1F"/>
                <w:bdr w:val="none" w:sz="0" w:space="0" w:color="auto" w:frame="1"/>
              </w:rPr>
              <w:t>48 (49.5%)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CAB95" w14:textId="77777777" w:rsidR="00854E54" w:rsidRDefault="00854E54" w:rsidP="007C69FE">
            <w:pPr>
              <w:jc w:val="both"/>
              <w:rPr>
                <w:color w:val="1F1F1F"/>
                <w:sz w:val="24"/>
                <w:szCs w:val="24"/>
              </w:rPr>
            </w:pPr>
            <w:r>
              <w:rPr>
                <w:color w:val="1F1F1F"/>
                <w:bdr w:val="none" w:sz="0" w:space="0" w:color="auto" w:frame="1"/>
              </w:rPr>
              <w:t>12 (25.5%)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8F2F99" w14:textId="77777777" w:rsidR="00854E54" w:rsidRDefault="00854E54" w:rsidP="007C69FE">
            <w:pPr>
              <w:jc w:val="both"/>
              <w:rPr>
                <w:color w:val="1F1F1F"/>
                <w:sz w:val="24"/>
                <w:szCs w:val="24"/>
              </w:rPr>
            </w:pPr>
            <w:r>
              <w:rPr>
                <w:b/>
                <w:bCs/>
                <w:color w:val="1F1F1F"/>
                <w:bdr w:val="none" w:sz="0" w:space="0" w:color="auto" w:frame="1"/>
              </w:rPr>
              <w:t>0.011</w:t>
            </w:r>
          </w:p>
        </w:tc>
      </w:tr>
      <w:tr w:rsidR="00854E54" w14:paraId="386FAFC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60EE73" w14:textId="77777777" w:rsidR="00854E54" w:rsidRDefault="00854E54" w:rsidP="007C69FE">
            <w:pPr>
              <w:jc w:val="both"/>
              <w:rPr>
                <w:color w:val="1F1F1F"/>
                <w:sz w:val="24"/>
                <w:szCs w:val="24"/>
              </w:rPr>
            </w:pPr>
            <w:r>
              <w:rPr>
                <w:b/>
                <w:bCs/>
                <w:color w:val="1F1F1F"/>
                <w:bdr w:val="none" w:sz="0" w:space="0" w:color="auto" w:frame="1"/>
              </w:rPr>
              <w:t>Dyslipidemia</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8ACF5" w14:textId="77777777" w:rsidR="00854E54" w:rsidRDefault="00854E54" w:rsidP="007C69FE">
            <w:pPr>
              <w:jc w:val="both"/>
              <w:rPr>
                <w:color w:val="1F1F1F"/>
                <w:sz w:val="24"/>
                <w:szCs w:val="24"/>
              </w:rPr>
            </w:pPr>
            <w:r>
              <w:rPr>
                <w:color w:val="1F1F1F"/>
                <w:bdr w:val="none" w:sz="0" w:space="0" w:color="auto" w:frame="1"/>
              </w:rPr>
              <w:t>46 (47.4%)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002486" w14:textId="77777777" w:rsidR="00854E54" w:rsidRDefault="00854E54" w:rsidP="007C69FE">
            <w:pPr>
              <w:jc w:val="both"/>
              <w:rPr>
                <w:color w:val="1F1F1F"/>
                <w:sz w:val="24"/>
                <w:szCs w:val="24"/>
              </w:rPr>
            </w:pPr>
            <w:r>
              <w:rPr>
                <w:color w:val="1F1F1F"/>
                <w:bdr w:val="none" w:sz="0" w:space="0" w:color="auto" w:frame="1"/>
              </w:rPr>
              <w:t>21 (44.7%)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85E359" w14:textId="77777777" w:rsidR="00854E54" w:rsidRDefault="00854E54" w:rsidP="007C69FE">
            <w:pPr>
              <w:jc w:val="both"/>
              <w:rPr>
                <w:color w:val="1F1F1F"/>
                <w:sz w:val="24"/>
                <w:szCs w:val="24"/>
              </w:rPr>
            </w:pPr>
            <w:r>
              <w:rPr>
                <w:color w:val="1F1F1F"/>
                <w:bdr w:val="none" w:sz="0" w:space="0" w:color="auto" w:frame="1"/>
              </w:rPr>
              <w:t>0.896</w:t>
            </w:r>
          </w:p>
        </w:tc>
      </w:tr>
    </w:tbl>
    <w:p w14:paraId="2FB7A5EF" w14:textId="77777777" w:rsidR="00854E54" w:rsidRDefault="00854E54" w:rsidP="007C69FE">
      <w:pPr>
        <w:pStyle w:val="Heading4"/>
        <w:spacing w:after="120"/>
        <w:jc w:val="both"/>
        <w:rPr>
          <w:color w:val="1F1F1F"/>
        </w:rPr>
      </w:pPr>
      <w:r>
        <w:rPr>
          <w:color w:val="1F1F1F"/>
        </w:rPr>
        <w:t>3.2. Clinical Presentation and Metabolic Profile</w:t>
      </w:r>
    </w:p>
    <w:p w14:paraId="33659B97" w14:textId="77777777" w:rsidR="00854E54" w:rsidRDefault="00854E54" w:rsidP="007C69FE">
      <w:pPr>
        <w:pStyle w:val="NormalWeb"/>
        <w:spacing w:after="240" w:afterAutospacing="0"/>
        <w:jc w:val="both"/>
        <w:rPr>
          <w:color w:val="1F1F1F"/>
        </w:rPr>
      </w:pPr>
      <w:r>
        <w:rPr>
          <w:color w:val="1F1F1F"/>
        </w:rPr>
        <w:t>The median time to consultation was longer in the NSTEMI group (42.0 hours vs. 24.0 hours for STEMI), although this difference did not reach statistical significance (p = 0.130). Regarding the biological profile (Table 2), both populations exhibited major glycemic imbalance at admission, with mean HbA1c levels &gt; 7%. Renal function (eGFR) and inflammatory markers (CRP) were comparable between the two cohorts.</w:t>
      </w:r>
    </w:p>
    <w:p w14:paraId="5C0EBA8F" w14:textId="77777777" w:rsidR="00854E54" w:rsidRDefault="00854E54" w:rsidP="007C69FE">
      <w:pPr>
        <w:pStyle w:val="NormalWeb"/>
        <w:spacing w:after="0" w:afterAutospacing="0"/>
        <w:jc w:val="both"/>
        <w:rPr>
          <w:color w:val="1F1F1F"/>
        </w:rPr>
      </w:pPr>
      <w:r>
        <w:rPr>
          <w:b/>
          <w:bCs/>
          <w:color w:val="1F1F1F"/>
          <w:bdr w:val="none" w:sz="0" w:space="0" w:color="auto" w:frame="1"/>
        </w:rPr>
        <w:t>Table 2: Clinical and Biological Parameters at Admission</w:t>
      </w:r>
    </w:p>
    <w:tbl>
      <w:tblPr>
        <w:tblW w:w="0" w:type="auto"/>
        <w:tblCellSpacing w:w="15" w:type="dxa"/>
        <w:tblCellMar>
          <w:left w:w="0" w:type="dxa"/>
          <w:right w:w="0" w:type="dxa"/>
        </w:tblCellMar>
        <w:tblLook w:val="04A0" w:firstRow="1" w:lastRow="0" w:firstColumn="1" w:lastColumn="0" w:noHBand="0" w:noVBand="1"/>
      </w:tblPr>
      <w:tblGrid>
        <w:gridCol w:w="2943"/>
        <w:gridCol w:w="1729"/>
        <w:gridCol w:w="1873"/>
        <w:gridCol w:w="1116"/>
      </w:tblGrid>
      <w:tr w:rsidR="00854E54" w14:paraId="1B7C5B70"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17DD76" w14:textId="77777777" w:rsidR="00854E54" w:rsidRDefault="00854E54" w:rsidP="007C69FE">
            <w:pPr>
              <w:jc w:val="both"/>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7C5B7" w14:textId="77777777" w:rsidR="00854E54" w:rsidRDefault="00854E54" w:rsidP="007C69FE">
            <w:pPr>
              <w:jc w:val="both"/>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8F31F" w14:textId="77777777" w:rsidR="00854E54" w:rsidRDefault="00854E54" w:rsidP="007C69FE">
            <w:pPr>
              <w:jc w:val="both"/>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E3A6A2" w14:textId="77777777" w:rsidR="00854E54" w:rsidRDefault="00854E54" w:rsidP="007C69FE">
            <w:pPr>
              <w:jc w:val="both"/>
              <w:rPr>
                <w:color w:val="1F1F1F"/>
                <w:sz w:val="24"/>
                <w:szCs w:val="24"/>
              </w:rPr>
            </w:pPr>
            <w:r>
              <w:rPr>
                <w:rStyle w:val="Strong"/>
                <w:color w:val="1F1F1F"/>
                <w:bdr w:val="none" w:sz="0" w:space="0" w:color="auto" w:frame="1"/>
              </w:rPr>
              <w:t>p-value</w:t>
            </w:r>
          </w:p>
        </w:tc>
      </w:tr>
      <w:tr w:rsidR="00854E54" w14:paraId="2F7D3FE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CC8F36" w14:textId="77777777" w:rsidR="00854E54" w:rsidRDefault="00854E54" w:rsidP="007C69FE">
            <w:pPr>
              <w:jc w:val="both"/>
              <w:rPr>
                <w:color w:val="1F1F1F"/>
                <w:sz w:val="24"/>
                <w:szCs w:val="24"/>
              </w:rPr>
            </w:pPr>
            <w:r>
              <w:rPr>
                <w:b/>
                <w:bCs/>
                <w:color w:val="1F1F1F"/>
                <w:bdr w:val="none" w:sz="0" w:space="0" w:color="auto" w:frame="1"/>
              </w:rPr>
              <w:t>Delay (hours)</w:t>
            </w:r>
            <w:r>
              <w:rPr>
                <w:color w:val="1F1F1F"/>
                <w:bdr w:val="none" w:sz="0" w:space="0" w:color="auto" w:frame="1"/>
              </w:rPr>
              <w:t>, median [IQR]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9ED4F3" w14:textId="77777777" w:rsidR="00854E54" w:rsidRDefault="00854E54" w:rsidP="007C69FE">
            <w:pPr>
              <w:jc w:val="both"/>
              <w:rPr>
                <w:color w:val="1F1F1F"/>
                <w:sz w:val="24"/>
                <w:szCs w:val="24"/>
              </w:rPr>
            </w:pPr>
            <w:r>
              <w:rPr>
                <w:color w:val="1F1F1F"/>
                <w:bdr w:val="none" w:sz="0" w:space="0" w:color="auto" w:frame="1"/>
              </w:rPr>
              <w:t>24.0 [14-48]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5C28F2" w14:textId="77777777" w:rsidR="00854E54" w:rsidRDefault="00854E54" w:rsidP="007C69FE">
            <w:pPr>
              <w:jc w:val="both"/>
              <w:rPr>
                <w:color w:val="1F1F1F"/>
                <w:sz w:val="24"/>
                <w:szCs w:val="24"/>
              </w:rPr>
            </w:pPr>
            <w:r>
              <w:rPr>
                <w:color w:val="1F1F1F"/>
                <w:bdr w:val="none" w:sz="0" w:space="0" w:color="auto" w:frame="1"/>
              </w:rPr>
              <w:t>42.0 [16.5-72]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9BAE5F" w14:textId="77777777" w:rsidR="00854E54" w:rsidRDefault="00854E54" w:rsidP="007C69FE">
            <w:pPr>
              <w:jc w:val="both"/>
              <w:rPr>
                <w:color w:val="1F1F1F"/>
                <w:sz w:val="24"/>
                <w:szCs w:val="24"/>
              </w:rPr>
            </w:pPr>
            <w:r>
              <w:rPr>
                <w:color w:val="1F1F1F"/>
                <w:bdr w:val="none" w:sz="0" w:space="0" w:color="auto" w:frame="1"/>
              </w:rPr>
              <w:t>0.130</w:t>
            </w:r>
          </w:p>
        </w:tc>
      </w:tr>
      <w:tr w:rsidR="00854E54" w14:paraId="1390C3C0"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09BFD5" w14:textId="77777777" w:rsidR="00854E54" w:rsidRDefault="00854E54" w:rsidP="007C69FE">
            <w:pPr>
              <w:jc w:val="both"/>
              <w:rPr>
                <w:color w:val="1F1F1F"/>
                <w:sz w:val="24"/>
                <w:szCs w:val="24"/>
              </w:rPr>
            </w:pPr>
            <w:r>
              <w:rPr>
                <w:b/>
                <w:bCs/>
                <w:color w:val="1F1F1F"/>
                <w:bdr w:val="none" w:sz="0" w:space="0" w:color="auto" w:frame="1"/>
              </w:rPr>
              <w:t>Killip Class &gt; I</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1147B0" w14:textId="77777777" w:rsidR="00854E54" w:rsidRDefault="00854E54" w:rsidP="007C69FE">
            <w:pPr>
              <w:jc w:val="both"/>
              <w:rPr>
                <w:color w:val="1F1F1F"/>
                <w:sz w:val="24"/>
                <w:szCs w:val="24"/>
              </w:rPr>
            </w:pPr>
            <w:r>
              <w:rPr>
                <w:color w:val="1F1F1F"/>
                <w:bdr w:val="none" w:sz="0" w:space="0" w:color="auto" w:frame="1"/>
              </w:rPr>
              <w:t>16 (16.5%)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F807C6" w14:textId="77777777" w:rsidR="00854E54" w:rsidRDefault="00854E54" w:rsidP="007C69FE">
            <w:pPr>
              <w:jc w:val="both"/>
              <w:rPr>
                <w:color w:val="1F1F1F"/>
                <w:sz w:val="24"/>
                <w:szCs w:val="24"/>
              </w:rPr>
            </w:pPr>
            <w:r>
              <w:rPr>
                <w:color w:val="1F1F1F"/>
                <w:bdr w:val="none" w:sz="0" w:space="0" w:color="auto" w:frame="1"/>
              </w:rPr>
              <w:t>10 (21.3%)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4F12CB" w14:textId="77777777" w:rsidR="00854E54" w:rsidRDefault="00854E54" w:rsidP="007C69FE">
            <w:pPr>
              <w:jc w:val="both"/>
              <w:rPr>
                <w:color w:val="1F1F1F"/>
                <w:sz w:val="24"/>
                <w:szCs w:val="24"/>
              </w:rPr>
            </w:pPr>
            <w:r>
              <w:rPr>
                <w:color w:val="1F1F1F"/>
                <w:bdr w:val="none" w:sz="0" w:space="0" w:color="auto" w:frame="1"/>
              </w:rPr>
              <w:t>0.639</w:t>
            </w:r>
          </w:p>
        </w:tc>
      </w:tr>
      <w:tr w:rsidR="00854E54" w14:paraId="51B4FFBA"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B25399" w14:textId="77777777" w:rsidR="00854E54" w:rsidRDefault="00854E54" w:rsidP="007C69FE">
            <w:pPr>
              <w:jc w:val="both"/>
              <w:rPr>
                <w:color w:val="1F1F1F"/>
                <w:sz w:val="24"/>
                <w:szCs w:val="24"/>
              </w:rPr>
            </w:pPr>
            <w:r>
              <w:rPr>
                <w:b/>
                <w:bCs/>
                <w:color w:val="1F1F1F"/>
                <w:bdr w:val="none" w:sz="0" w:space="0" w:color="auto" w:frame="1"/>
              </w:rPr>
              <w:t>eGFR (ml/min)</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DECEC" w14:textId="77777777" w:rsidR="00854E54" w:rsidRDefault="00854E54" w:rsidP="007C69FE">
            <w:pPr>
              <w:jc w:val="both"/>
              <w:rPr>
                <w:color w:val="1F1F1F"/>
                <w:sz w:val="24"/>
                <w:szCs w:val="24"/>
              </w:rPr>
            </w:pPr>
            <w:r>
              <w:rPr>
                <w:color w:val="1F1F1F"/>
                <w:bdr w:val="none" w:sz="0" w:space="0" w:color="auto" w:frame="1"/>
              </w:rPr>
              <w:t>90.7 ± 29.7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B6F97D" w14:textId="77777777" w:rsidR="00854E54" w:rsidRDefault="00854E54" w:rsidP="007C69FE">
            <w:pPr>
              <w:jc w:val="both"/>
              <w:rPr>
                <w:color w:val="1F1F1F"/>
                <w:sz w:val="24"/>
                <w:szCs w:val="24"/>
              </w:rPr>
            </w:pPr>
            <w:r>
              <w:rPr>
                <w:color w:val="1F1F1F"/>
                <w:bdr w:val="none" w:sz="0" w:space="0" w:color="auto" w:frame="1"/>
              </w:rPr>
              <w:t>85.7 ± 39.8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8E35DC" w14:textId="77777777" w:rsidR="00854E54" w:rsidRDefault="00854E54" w:rsidP="007C69FE">
            <w:pPr>
              <w:jc w:val="both"/>
              <w:rPr>
                <w:color w:val="1F1F1F"/>
                <w:sz w:val="24"/>
                <w:szCs w:val="24"/>
              </w:rPr>
            </w:pPr>
            <w:r>
              <w:rPr>
                <w:color w:val="1F1F1F"/>
                <w:bdr w:val="none" w:sz="0" w:space="0" w:color="auto" w:frame="1"/>
              </w:rPr>
              <w:t>0.400</w:t>
            </w:r>
          </w:p>
        </w:tc>
      </w:tr>
      <w:tr w:rsidR="00854E54" w14:paraId="69D9254B"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C3755D" w14:textId="77777777" w:rsidR="00854E54" w:rsidRDefault="00854E54" w:rsidP="007C69FE">
            <w:pPr>
              <w:jc w:val="both"/>
              <w:rPr>
                <w:color w:val="1F1F1F"/>
                <w:sz w:val="24"/>
                <w:szCs w:val="24"/>
              </w:rPr>
            </w:pPr>
            <w:r>
              <w:rPr>
                <w:b/>
                <w:bCs/>
                <w:color w:val="1F1F1F"/>
                <w:bdr w:val="none" w:sz="0" w:space="0" w:color="auto" w:frame="1"/>
              </w:rPr>
              <w:t>HbA1c (%)</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7A2EC1" w14:textId="77777777" w:rsidR="00854E54" w:rsidRDefault="00854E54" w:rsidP="007C69FE">
            <w:pPr>
              <w:jc w:val="both"/>
              <w:rPr>
                <w:color w:val="1F1F1F"/>
                <w:sz w:val="24"/>
                <w:szCs w:val="24"/>
              </w:rPr>
            </w:pPr>
            <w:r>
              <w:rPr>
                <w:color w:val="1F1F1F"/>
                <w:bdr w:val="none" w:sz="0" w:space="0" w:color="auto" w:frame="1"/>
              </w:rPr>
              <w:t>7.3 ± 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05DE8" w14:textId="77777777" w:rsidR="00854E54" w:rsidRDefault="00854E54" w:rsidP="007C69FE">
            <w:pPr>
              <w:jc w:val="both"/>
              <w:rPr>
                <w:color w:val="1F1F1F"/>
                <w:sz w:val="24"/>
                <w:szCs w:val="24"/>
              </w:rPr>
            </w:pPr>
            <w:r>
              <w:rPr>
                <w:color w:val="1F1F1F"/>
                <w:bdr w:val="none" w:sz="0" w:space="0" w:color="auto" w:frame="1"/>
              </w:rPr>
              <w:t>7.1 ± 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FF652D" w14:textId="77777777" w:rsidR="00854E54" w:rsidRDefault="00854E54" w:rsidP="007C69FE">
            <w:pPr>
              <w:jc w:val="both"/>
              <w:rPr>
                <w:color w:val="1F1F1F"/>
                <w:sz w:val="24"/>
                <w:szCs w:val="24"/>
              </w:rPr>
            </w:pPr>
            <w:r>
              <w:rPr>
                <w:color w:val="1F1F1F"/>
                <w:bdr w:val="none" w:sz="0" w:space="0" w:color="auto" w:frame="1"/>
              </w:rPr>
              <w:t>0.515</w:t>
            </w:r>
          </w:p>
        </w:tc>
      </w:tr>
      <w:tr w:rsidR="00854E54" w14:paraId="648CC641"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78A60E" w14:textId="77777777" w:rsidR="00854E54" w:rsidRDefault="00854E54" w:rsidP="007C69FE">
            <w:pPr>
              <w:jc w:val="both"/>
              <w:rPr>
                <w:color w:val="1F1F1F"/>
                <w:sz w:val="24"/>
                <w:szCs w:val="24"/>
              </w:rPr>
            </w:pPr>
            <w:r>
              <w:rPr>
                <w:b/>
                <w:bCs/>
                <w:color w:val="1F1F1F"/>
                <w:bdr w:val="none" w:sz="0" w:space="0" w:color="auto" w:frame="1"/>
              </w:rPr>
              <w:t>LDL-c (g/L)</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8751F0" w14:textId="77777777" w:rsidR="00854E54" w:rsidRDefault="00854E54" w:rsidP="007C69FE">
            <w:pPr>
              <w:jc w:val="both"/>
              <w:rPr>
                <w:color w:val="1F1F1F"/>
                <w:sz w:val="24"/>
                <w:szCs w:val="24"/>
              </w:rPr>
            </w:pPr>
            <w:r>
              <w:rPr>
                <w:color w:val="1F1F1F"/>
                <w:bdr w:val="none" w:sz="0" w:space="0" w:color="auto" w:frame="1"/>
              </w:rPr>
              <w:t>1.1 ± 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F186A" w14:textId="77777777" w:rsidR="00854E54" w:rsidRDefault="00854E54" w:rsidP="007C69FE">
            <w:pPr>
              <w:jc w:val="both"/>
              <w:rPr>
                <w:color w:val="1F1F1F"/>
                <w:sz w:val="24"/>
                <w:szCs w:val="24"/>
              </w:rPr>
            </w:pPr>
            <w:r>
              <w:rPr>
                <w:color w:val="1F1F1F"/>
                <w:bdr w:val="none" w:sz="0" w:space="0" w:color="auto" w:frame="1"/>
              </w:rPr>
              <w:t>1.0 ± 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386523" w14:textId="77777777" w:rsidR="00854E54" w:rsidRDefault="00854E54" w:rsidP="007C69FE">
            <w:pPr>
              <w:jc w:val="both"/>
              <w:rPr>
                <w:color w:val="1F1F1F"/>
                <w:sz w:val="24"/>
                <w:szCs w:val="24"/>
              </w:rPr>
            </w:pPr>
            <w:r>
              <w:rPr>
                <w:color w:val="1F1F1F"/>
                <w:bdr w:val="none" w:sz="0" w:space="0" w:color="auto" w:frame="1"/>
              </w:rPr>
              <w:t>0.119</w:t>
            </w:r>
          </w:p>
        </w:tc>
      </w:tr>
      <w:tr w:rsidR="00854E54" w14:paraId="72A75595"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9EA3F4" w14:textId="77777777" w:rsidR="00854E54" w:rsidRDefault="00854E54" w:rsidP="007C69FE">
            <w:pPr>
              <w:jc w:val="both"/>
              <w:rPr>
                <w:color w:val="1F1F1F"/>
                <w:sz w:val="24"/>
                <w:szCs w:val="24"/>
              </w:rPr>
            </w:pPr>
            <w:r>
              <w:rPr>
                <w:b/>
                <w:bCs/>
                <w:color w:val="1F1F1F"/>
                <w:bdr w:val="none" w:sz="0" w:space="0" w:color="auto" w:frame="1"/>
              </w:rPr>
              <w:t>CRP (mg/L)</w:t>
            </w:r>
            <w:r>
              <w:rPr>
                <w:color w:val="1F1F1F"/>
                <w:bdr w:val="none" w:sz="0" w:space="0" w:color="auto" w:frame="1"/>
              </w:rPr>
              <w:t>, median [IQR]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04702D" w14:textId="77777777" w:rsidR="00854E54" w:rsidRDefault="00854E54" w:rsidP="007C69FE">
            <w:pPr>
              <w:jc w:val="both"/>
              <w:rPr>
                <w:color w:val="1F1F1F"/>
                <w:sz w:val="24"/>
                <w:szCs w:val="24"/>
              </w:rPr>
            </w:pPr>
            <w:r>
              <w:rPr>
                <w:color w:val="1F1F1F"/>
                <w:bdr w:val="none" w:sz="0" w:space="0" w:color="auto" w:frame="1"/>
              </w:rPr>
              <w:t>38.5 [13-122]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505275" w14:textId="77777777" w:rsidR="00854E54" w:rsidRDefault="00854E54" w:rsidP="007C69FE">
            <w:pPr>
              <w:jc w:val="both"/>
              <w:rPr>
                <w:color w:val="1F1F1F"/>
                <w:sz w:val="24"/>
                <w:szCs w:val="24"/>
              </w:rPr>
            </w:pPr>
            <w:r>
              <w:rPr>
                <w:color w:val="1F1F1F"/>
                <w:bdr w:val="none" w:sz="0" w:space="0" w:color="auto" w:frame="1"/>
              </w:rPr>
              <w:t>25.0 [9-130]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77F965" w14:textId="77777777" w:rsidR="00854E54" w:rsidRDefault="00854E54" w:rsidP="007C69FE">
            <w:pPr>
              <w:jc w:val="both"/>
              <w:rPr>
                <w:color w:val="1F1F1F"/>
                <w:sz w:val="24"/>
                <w:szCs w:val="24"/>
              </w:rPr>
            </w:pPr>
            <w:r>
              <w:rPr>
                <w:color w:val="1F1F1F"/>
                <w:bdr w:val="none" w:sz="0" w:space="0" w:color="auto" w:frame="1"/>
              </w:rPr>
              <w:t>0.561</w:t>
            </w:r>
          </w:p>
        </w:tc>
      </w:tr>
    </w:tbl>
    <w:p w14:paraId="188B1BD2" w14:textId="77777777" w:rsidR="00854E54" w:rsidRDefault="00854E54" w:rsidP="007C69FE">
      <w:pPr>
        <w:pStyle w:val="Heading4"/>
        <w:spacing w:after="120"/>
        <w:jc w:val="both"/>
        <w:rPr>
          <w:color w:val="1F1F1F"/>
        </w:rPr>
      </w:pPr>
      <w:r>
        <w:rPr>
          <w:color w:val="1F1F1F"/>
        </w:rPr>
        <w:t>3.3. Angiographic Severity and Echocardiographic Profile</w:t>
      </w:r>
    </w:p>
    <w:p w14:paraId="2BB6F49F" w14:textId="77777777" w:rsidR="00854E54" w:rsidRDefault="00854E54" w:rsidP="007C69FE">
      <w:pPr>
        <w:pStyle w:val="NormalWeb"/>
        <w:spacing w:after="240" w:afterAutospacing="0"/>
        <w:jc w:val="both"/>
        <w:rPr>
          <w:color w:val="1F1F1F"/>
        </w:rPr>
      </w:pPr>
      <w:r>
        <w:rPr>
          <w:color w:val="1F1F1F"/>
        </w:rPr>
        <w:t>Mean LVEF was 45.3% in the STEMI group versus 48.6% in the NSTEMI group (p = 0.085).</w:t>
      </w:r>
    </w:p>
    <w:p w14:paraId="24D34D7B" w14:textId="77777777" w:rsidR="00854E54" w:rsidRDefault="00854E54" w:rsidP="007C69FE">
      <w:pPr>
        <w:pStyle w:val="NormalWeb"/>
        <w:spacing w:after="240" w:afterAutospacing="0"/>
        <w:jc w:val="both"/>
        <w:rPr>
          <w:color w:val="1F1F1F"/>
        </w:rPr>
      </w:pPr>
      <w:r>
        <w:rPr>
          <w:color w:val="1F1F1F"/>
        </w:rPr>
        <w:t xml:space="preserve">Coronary angiography data (Table 3) highlighted highly significant anatomical differences (p = 0.001). In the STEMI group, the predominant culprit artery was the LAD (63.9%). In the </w:t>
      </w:r>
      <w:r>
        <w:rPr>
          <w:color w:val="1F1F1F"/>
        </w:rPr>
        <w:lastRenderedPageBreak/>
        <w:t>NSTEMI group, lesions were more heterogeneous, with a twofold higher involvement of the LCx (23.4% vs. 10.3%). While single-vessel disease was the most common finding overall, severe triple-vessel disease was twice as frequent in NSTEMI patients (21.3% vs. 10.3%, p = 0.179).</w:t>
      </w:r>
    </w:p>
    <w:p w14:paraId="595039BB" w14:textId="77777777" w:rsidR="00854E54" w:rsidRDefault="00854E54" w:rsidP="007C69FE">
      <w:pPr>
        <w:pStyle w:val="NormalWeb"/>
        <w:spacing w:after="0" w:afterAutospacing="0"/>
        <w:jc w:val="both"/>
        <w:rPr>
          <w:color w:val="1F1F1F"/>
        </w:rPr>
      </w:pPr>
      <w:r>
        <w:rPr>
          <w:b/>
          <w:bCs/>
          <w:color w:val="1F1F1F"/>
          <w:bdr w:val="none" w:sz="0" w:space="0" w:color="auto" w:frame="1"/>
        </w:rPr>
        <w:t>Table 3: Anatomical Severity and Echocardiographic Profile</w:t>
      </w:r>
    </w:p>
    <w:tbl>
      <w:tblPr>
        <w:tblW w:w="0" w:type="auto"/>
        <w:tblCellSpacing w:w="15" w:type="dxa"/>
        <w:tblCellMar>
          <w:left w:w="0" w:type="dxa"/>
          <w:right w:w="0" w:type="dxa"/>
        </w:tblCellMar>
        <w:tblLook w:val="04A0" w:firstRow="1" w:lastRow="0" w:firstColumn="1" w:lastColumn="0" w:noHBand="0" w:noVBand="1"/>
      </w:tblPr>
      <w:tblGrid>
        <w:gridCol w:w="2543"/>
        <w:gridCol w:w="1729"/>
        <w:gridCol w:w="1873"/>
        <w:gridCol w:w="1116"/>
      </w:tblGrid>
      <w:tr w:rsidR="00854E54" w14:paraId="109641AF" w14:textId="77777777" w:rsidTr="00854E54">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C390CC" w14:textId="77777777" w:rsidR="00854E54" w:rsidRDefault="00854E54" w:rsidP="007C69FE">
            <w:pPr>
              <w:jc w:val="both"/>
              <w:rPr>
                <w:color w:val="1F1F1F"/>
                <w:sz w:val="24"/>
                <w:szCs w:val="24"/>
              </w:rPr>
            </w:pPr>
            <w:r>
              <w:rPr>
                <w:rStyle w:val="Strong"/>
                <w:color w:val="1F1F1F"/>
                <w:bdr w:val="none" w:sz="0" w:space="0" w:color="auto" w:frame="1"/>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96E874" w14:textId="77777777" w:rsidR="00854E54" w:rsidRDefault="00854E54" w:rsidP="007C69FE">
            <w:pPr>
              <w:jc w:val="both"/>
              <w:rPr>
                <w:color w:val="1F1F1F"/>
                <w:sz w:val="24"/>
                <w:szCs w:val="24"/>
              </w:rPr>
            </w:pPr>
            <w:r>
              <w:rPr>
                <w:rStyle w:val="Strong"/>
                <w:color w:val="1F1F1F"/>
                <w:bdr w:val="none" w:sz="0" w:space="0" w:color="auto" w:frame="1"/>
              </w:rPr>
              <w:t>STEMI (n = 97)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609E35" w14:textId="77777777" w:rsidR="00854E54" w:rsidRDefault="00854E54" w:rsidP="007C69FE">
            <w:pPr>
              <w:jc w:val="both"/>
              <w:rPr>
                <w:color w:val="1F1F1F"/>
                <w:sz w:val="24"/>
                <w:szCs w:val="24"/>
              </w:rPr>
            </w:pPr>
            <w:r>
              <w:rPr>
                <w:rStyle w:val="Strong"/>
                <w:color w:val="1F1F1F"/>
                <w:bdr w:val="none" w:sz="0" w:space="0" w:color="auto" w:frame="1"/>
              </w:rPr>
              <w:t>NSTEMI (n = 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A21898" w14:textId="77777777" w:rsidR="00854E54" w:rsidRDefault="00854E54" w:rsidP="007C69FE">
            <w:pPr>
              <w:jc w:val="both"/>
              <w:rPr>
                <w:color w:val="1F1F1F"/>
                <w:sz w:val="24"/>
                <w:szCs w:val="24"/>
              </w:rPr>
            </w:pPr>
            <w:r>
              <w:rPr>
                <w:rStyle w:val="Strong"/>
                <w:color w:val="1F1F1F"/>
                <w:bdr w:val="none" w:sz="0" w:space="0" w:color="auto" w:frame="1"/>
              </w:rPr>
              <w:t>p-value</w:t>
            </w:r>
          </w:p>
        </w:tc>
      </w:tr>
      <w:tr w:rsidR="00854E54" w14:paraId="2ACA4AF9"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628E78" w14:textId="77777777" w:rsidR="00854E54" w:rsidRDefault="00854E54" w:rsidP="007C69FE">
            <w:pPr>
              <w:jc w:val="both"/>
              <w:rPr>
                <w:color w:val="1F1F1F"/>
                <w:sz w:val="24"/>
                <w:szCs w:val="24"/>
              </w:rPr>
            </w:pPr>
            <w:r>
              <w:rPr>
                <w:b/>
                <w:bCs/>
                <w:color w:val="1F1F1F"/>
                <w:bdr w:val="none" w:sz="0" w:space="0" w:color="auto" w:frame="1"/>
              </w:rPr>
              <w:t>LVEF (%)</w:t>
            </w:r>
            <w:r>
              <w:rPr>
                <w:color w:val="1F1F1F"/>
                <w:bdr w:val="none" w:sz="0" w:space="0" w:color="auto" w:frame="1"/>
              </w:rPr>
              <w:t>, mean ± SD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007EC4" w14:textId="77777777" w:rsidR="00854E54" w:rsidRDefault="00854E54" w:rsidP="007C69FE">
            <w:pPr>
              <w:jc w:val="both"/>
              <w:rPr>
                <w:color w:val="1F1F1F"/>
                <w:sz w:val="24"/>
                <w:szCs w:val="24"/>
              </w:rPr>
            </w:pPr>
            <w:r>
              <w:rPr>
                <w:color w:val="1F1F1F"/>
                <w:bdr w:val="none" w:sz="0" w:space="0" w:color="auto" w:frame="1"/>
              </w:rPr>
              <w:t>45.3 ± 9.9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0BF1B5" w14:textId="77777777" w:rsidR="00854E54" w:rsidRDefault="00854E54" w:rsidP="007C69FE">
            <w:pPr>
              <w:jc w:val="both"/>
              <w:rPr>
                <w:color w:val="1F1F1F"/>
                <w:sz w:val="24"/>
                <w:szCs w:val="24"/>
              </w:rPr>
            </w:pPr>
            <w:r>
              <w:rPr>
                <w:color w:val="1F1F1F"/>
                <w:bdr w:val="none" w:sz="0" w:space="0" w:color="auto" w:frame="1"/>
              </w:rPr>
              <w:t>48.6 ± 12.3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4471B1" w14:textId="77777777" w:rsidR="00854E54" w:rsidRDefault="00854E54" w:rsidP="007C69FE">
            <w:pPr>
              <w:jc w:val="both"/>
              <w:rPr>
                <w:color w:val="1F1F1F"/>
                <w:sz w:val="24"/>
                <w:szCs w:val="24"/>
              </w:rPr>
            </w:pPr>
            <w:r>
              <w:rPr>
                <w:color w:val="1F1F1F"/>
                <w:bdr w:val="none" w:sz="0" w:space="0" w:color="auto" w:frame="1"/>
              </w:rPr>
              <w:t>0.085</w:t>
            </w:r>
          </w:p>
        </w:tc>
      </w:tr>
      <w:tr w:rsidR="00854E54" w14:paraId="7F3A41FE"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AB0AB9" w14:textId="77777777" w:rsidR="00854E54" w:rsidRDefault="00854E54" w:rsidP="007C69FE">
            <w:pPr>
              <w:jc w:val="both"/>
              <w:rPr>
                <w:color w:val="1F1F1F"/>
                <w:sz w:val="24"/>
                <w:szCs w:val="24"/>
              </w:rPr>
            </w:pPr>
            <w:r>
              <w:rPr>
                <w:b/>
                <w:bCs/>
                <w:color w:val="1F1F1F"/>
                <w:bdr w:val="none" w:sz="0" w:space="0" w:color="auto" w:frame="1"/>
              </w:rPr>
              <w:t>Culprit Artery</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73400" w14:textId="77777777" w:rsidR="00854E54" w:rsidRDefault="00854E54" w:rsidP="007C69FE">
            <w:pPr>
              <w:jc w:val="both"/>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22A0D8" w14:textId="77777777" w:rsidR="00854E54" w:rsidRDefault="00854E54" w:rsidP="007C69FE">
            <w:pPr>
              <w:jc w:val="both"/>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8144D3" w14:textId="77777777" w:rsidR="00854E54" w:rsidRDefault="00854E54" w:rsidP="007C69FE">
            <w:pPr>
              <w:jc w:val="both"/>
              <w:rPr>
                <w:color w:val="1F1F1F"/>
                <w:sz w:val="24"/>
                <w:szCs w:val="24"/>
              </w:rPr>
            </w:pPr>
            <w:r>
              <w:rPr>
                <w:b/>
                <w:bCs/>
                <w:color w:val="1F1F1F"/>
                <w:bdr w:val="none" w:sz="0" w:space="0" w:color="auto" w:frame="1"/>
              </w:rPr>
              <w:t>0.001</w:t>
            </w:r>
          </w:p>
        </w:tc>
      </w:tr>
      <w:tr w:rsidR="00854E54" w14:paraId="36C249C4"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02AA53"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LAD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4D387F" w14:textId="77777777" w:rsidR="00854E54" w:rsidRDefault="00854E54" w:rsidP="007C69FE">
            <w:pPr>
              <w:jc w:val="both"/>
              <w:rPr>
                <w:color w:val="1F1F1F"/>
                <w:sz w:val="24"/>
                <w:szCs w:val="24"/>
              </w:rPr>
            </w:pPr>
            <w:r>
              <w:rPr>
                <w:color w:val="1F1F1F"/>
                <w:bdr w:val="none" w:sz="0" w:space="0" w:color="auto" w:frame="1"/>
              </w:rPr>
              <w:t>62 (63.9%)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7D5434" w14:textId="77777777" w:rsidR="00854E54" w:rsidRDefault="00854E54" w:rsidP="007C69FE">
            <w:pPr>
              <w:jc w:val="both"/>
              <w:rPr>
                <w:color w:val="1F1F1F"/>
                <w:sz w:val="24"/>
                <w:szCs w:val="24"/>
              </w:rPr>
            </w:pPr>
            <w:r>
              <w:rPr>
                <w:color w:val="1F1F1F"/>
                <w:bdr w:val="none" w:sz="0" w:space="0" w:color="auto" w:frame="1"/>
              </w:rPr>
              <w:t>22 (46.8%)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14104D" w14:textId="77777777" w:rsidR="00854E54" w:rsidRDefault="00854E54" w:rsidP="007C69FE">
            <w:pPr>
              <w:jc w:val="both"/>
              <w:rPr>
                <w:color w:val="1F1F1F"/>
                <w:sz w:val="24"/>
                <w:szCs w:val="24"/>
              </w:rPr>
            </w:pPr>
          </w:p>
        </w:tc>
      </w:tr>
      <w:tr w:rsidR="00854E54" w14:paraId="119D402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94BE57"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RCA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56FD27" w14:textId="77777777" w:rsidR="00854E54" w:rsidRDefault="00854E54" w:rsidP="007C69FE">
            <w:pPr>
              <w:jc w:val="both"/>
              <w:rPr>
                <w:color w:val="1F1F1F"/>
                <w:sz w:val="24"/>
                <w:szCs w:val="24"/>
              </w:rPr>
            </w:pPr>
            <w:r>
              <w:rPr>
                <w:color w:val="1F1F1F"/>
                <w:bdr w:val="none" w:sz="0" w:space="0" w:color="auto" w:frame="1"/>
              </w:rPr>
              <w:t>24 (24.7%)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3A8A12" w14:textId="77777777" w:rsidR="00854E54" w:rsidRDefault="00854E54" w:rsidP="007C69FE">
            <w:pPr>
              <w:jc w:val="both"/>
              <w:rPr>
                <w:color w:val="1F1F1F"/>
                <w:sz w:val="24"/>
                <w:szCs w:val="24"/>
              </w:rPr>
            </w:pPr>
            <w:r>
              <w:rPr>
                <w:color w:val="1F1F1F"/>
                <w:bdr w:val="none" w:sz="0" w:space="0" w:color="auto" w:frame="1"/>
              </w:rPr>
              <w:t>9 (19.1%)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CFCAA0" w14:textId="77777777" w:rsidR="00854E54" w:rsidRDefault="00854E54" w:rsidP="007C69FE">
            <w:pPr>
              <w:jc w:val="both"/>
              <w:rPr>
                <w:color w:val="1F1F1F"/>
                <w:sz w:val="24"/>
                <w:szCs w:val="24"/>
              </w:rPr>
            </w:pPr>
          </w:p>
        </w:tc>
      </w:tr>
      <w:tr w:rsidR="00854E54" w14:paraId="015EB152"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B304E3"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LCx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F67CE" w14:textId="77777777" w:rsidR="00854E54" w:rsidRDefault="00854E54" w:rsidP="007C69FE">
            <w:pPr>
              <w:jc w:val="both"/>
              <w:rPr>
                <w:color w:val="1F1F1F"/>
                <w:sz w:val="24"/>
                <w:szCs w:val="24"/>
              </w:rPr>
            </w:pPr>
            <w:r>
              <w:rPr>
                <w:color w:val="1F1F1F"/>
                <w:bdr w:val="none" w:sz="0" w:space="0" w:color="auto" w:frame="1"/>
              </w:rPr>
              <w:t>10 (10.3%)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CE46E4" w14:textId="77777777" w:rsidR="00854E54" w:rsidRDefault="00854E54" w:rsidP="007C69FE">
            <w:pPr>
              <w:jc w:val="both"/>
              <w:rPr>
                <w:color w:val="1F1F1F"/>
                <w:sz w:val="24"/>
                <w:szCs w:val="24"/>
              </w:rPr>
            </w:pPr>
            <w:r>
              <w:rPr>
                <w:color w:val="1F1F1F"/>
                <w:bdr w:val="none" w:sz="0" w:space="0" w:color="auto" w:frame="1"/>
              </w:rPr>
              <w:t>11 (23.4%)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8278BD" w14:textId="77777777" w:rsidR="00854E54" w:rsidRDefault="00854E54" w:rsidP="007C69FE">
            <w:pPr>
              <w:jc w:val="both"/>
              <w:rPr>
                <w:color w:val="1F1F1F"/>
                <w:sz w:val="24"/>
                <w:szCs w:val="24"/>
              </w:rPr>
            </w:pPr>
          </w:p>
        </w:tc>
      </w:tr>
      <w:tr w:rsidR="00854E54" w14:paraId="025A05BE"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C55548"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Other / Multivessel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65715E" w14:textId="77777777" w:rsidR="00854E54" w:rsidRDefault="00854E54" w:rsidP="007C69FE">
            <w:pPr>
              <w:jc w:val="both"/>
              <w:rPr>
                <w:color w:val="1F1F1F"/>
                <w:sz w:val="24"/>
                <w:szCs w:val="24"/>
              </w:rPr>
            </w:pPr>
            <w:r>
              <w:rPr>
                <w:color w:val="1F1F1F"/>
                <w:bdr w:val="none" w:sz="0" w:space="0" w:color="auto" w:frame="1"/>
              </w:rPr>
              <w:t>0 (0.0%)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BAE9B2" w14:textId="77777777" w:rsidR="00854E54" w:rsidRDefault="00854E54" w:rsidP="007C69FE">
            <w:pPr>
              <w:jc w:val="both"/>
              <w:rPr>
                <w:color w:val="1F1F1F"/>
                <w:sz w:val="24"/>
                <w:szCs w:val="24"/>
              </w:rPr>
            </w:pPr>
            <w:r>
              <w:rPr>
                <w:color w:val="1F1F1F"/>
                <w:bdr w:val="none" w:sz="0" w:space="0" w:color="auto" w:frame="1"/>
              </w:rPr>
              <w:t>5 (10.6%)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418D9" w14:textId="77777777" w:rsidR="00854E54" w:rsidRDefault="00854E54" w:rsidP="007C69FE">
            <w:pPr>
              <w:jc w:val="both"/>
              <w:rPr>
                <w:color w:val="1F1F1F"/>
                <w:sz w:val="24"/>
                <w:szCs w:val="24"/>
              </w:rPr>
            </w:pPr>
          </w:p>
        </w:tc>
      </w:tr>
      <w:tr w:rsidR="00854E54" w14:paraId="1C7B2DD2"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9AF362" w14:textId="77777777" w:rsidR="00854E54" w:rsidRDefault="00854E54" w:rsidP="007C69FE">
            <w:pPr>
              <w:jc w:val="both"/>
              <w:rPr>
                <w:color w:val="1F1F1F"/>
                <w:sz w:val="24"/>
                <w:szCs w:val="24"/>
              </w:rPr>
            </w:pPr>
            <w:r>
              <w:rPr>
                <w:b/>
                <w:bCs/>
                <w:color w:val="1F1F1F"/>
                <w:bdr w:val="none" w:sz="0" w:space="0" w:color="auto" w:frame="1"/>
              </w:rPr>
              <w:t>Extent of Lesions</w:t>
            </w:r>
            <w:r>
              <w:rPr>
                <w:color w:val="1F1F1F"/>
                <w:bdr w:val="none" w:sz="0" w:space="0" w:color="auto" w:frame="1"/>
              </w:rPr>
              <w:t>, 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77DAA3" w14:textId="77777777" w:rsidR="00854E54" w:rsidRDefault="00854E54" w:rsidP="007C69FE">
            <w:pPr>
              <w:jc w:val="both"/>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0B5624" w14:textId="77777777" w:rsidR="00854E54" w:rsidRDefault="00854E54" w:rsidP="007C69FE">
            <w:pPr>
              <w:jc w:val="both"/>
              <w:rPr>
                <w:color w:val="1F1F1F"/>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F45C06" w14:textId="77777777" w:rsidR="00854E54" w:rsidRDefault="00854E54" w:rsidP="007C69FE">
            <w:pPr>
              <w:jc w:val="both"/>
              <w:rPr>
                <w:color w:val="1F1F1F"/>
                <w:sz w:val="24"/>
                <w:szCs w:val="24"/>
              </w:rPr>
            </w:pPr>
            <w:r>
              <w:rPr>
                <w:color w:val="1F1F1F"/>
                <w:bdr w:val="none" w:sz="0" w:space="0" w:color="auto" w:frame="1"/>
              </w:rPr>
              <w:t>0.179</w:t>
            </w:r>
          </w:p>
        </w:tc>
      </w:tr>
      <w:tr w:rsidR="00854E54" w14:paraId="29B3A777"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998A63"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Single-vessel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5EBB2C" w14:textId="77777777" w:rsidR="00854E54" w:rsidRDefault="00854E54" w:rsidP="007C69FE">
            <w:pPr>
              <w:jc w:val="both"/>
              <w:rPr>
                <w:color w:val="1F1F1F"/>
                <w:sz w:val="24"/>
                <w:szCs w:val="24"/>
              </w:rPr>
            </w:pPr>
            <w:r>
              <w:rPr>
                <w:color w:val="1F1F1F"/>
                <w:bdr w:val="none" w:sz="0" w:space="0" w:color="auto" w:frame="1"/>
              </w:rPr>
              <w:t>55 (56.7%)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3F8490" w14:textId="77777777" w:rsidR="00854E54" w:rsidRDefault="00854E54" w:rsidP="007C69FE">
            <w:pPr>
              <w:jc w:val="both"/>
              <w:rPr>
                <w:color w:val="1F1F1F"/>
                <w:sz w:val="24"/>
                <w:szCs w:val="24"/>
              </w:rPr>
            </w:pPr>
            <w:r>
              <w:rPr>
                <w:color w:val="1F1F1F"/>
                <w:bdr w:val="none" w:sz="0" w:space="0" w:color="auto" w:frame="1"/>
              </w:rPr>
              <w:t>25 (53.2%)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CD72A4" w14:textId="77777777" w:rsidR="00854E54" w:rsidRDefault="00854E54" w:rsidP="007C69FE">
            <w:pPr>
              <w:jc w:val="both"/>
              <w:rPr>
                <w:color w:val="1F1F1F"/>
                <w:sz w:val="24"/>
                <w:szCs w:val="24"/>
              </w:rPr>
            </w:pPr>
          </w:p>
        </w:tc>
      </w:tr>
      <w:tr w:rsidR="00854E54" w14:paraId="0F68FCC8"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2C484F"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Double-vessel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EF4DC" w14:textId="77777777" w:rsidR="00854E54" w:rsidRDefault="00854E54" w:rsidP="007C69FE">
            <w:pPr>
              <w:jc w:val="both"/>
              <w:rPr>
                <w:color w:val="1F1F1F"/>
                <w:sz w:val="24"/>
                <w:szCs w:val="24"/>
              </w:rPr>
            </w:pPr>
            <w:r>
              <w:rPr>
                <w:color w:val="1F1F1F"/>
                <w:bdr w:val="none" w:sz="0" w:space="0" w:color="auto" w:frame="1"/>
              </w:rPr>
              <w:t>30 (30.9%)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6486FE" w14:textId="77777777" w:rsidR="00854E54" w:rsidRDefault="00854E54" w:rsidP="007C69FE">
            <w:pPr>
              <w:jc w:val="both"/>
              <w:rPr>
                <w:color w:val="1F1F1F"/>
                <w:sz w:val="24"/>
                <w:szCs w:val="24"/>
              </w:rPr>
            </w:pPr>
            <w:r>
              <w:rPr>
                <w:color w:val="1F1F1F"/>
                <w:bdr w:val="none" w:sz="0" w:space="0" w:color="auto" w:frame="1"/>
              </w:rPr>
              <w:t>11 (23.4%)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9BADD8" w14:textId="77777777" w:rsidR="00854E54" w:rsidRDefault="00854E54" w:rsidP="007C69FE">
            <w:pPr>
              <w:jc w:val="both"/>
              <w:rPr>
                <w:color w:val="1F1F1F"/>
                <w:sz w:val="24"/>
                <w:szCs w:val="24"/>
              </w:rPr>
            </w:pPr>
          </w:p>
        </w:tc>
      </w:tr>
      <w:tr w:rsidR="00854E54" w14:paraId="1F9B2285" w14:textId="77777777" w:rsidTr="00854E54">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B638CE" w14:textId="77777777" w:rsidR="00854E54" w:rsidRDefault="00854E54" w:rsidP="007C69FE">
            <w:pPr>
              <w:jc w:val="both"/>
              <w:rPr>
                <w:color w:val="1F1F1F"/>
                <w:sz w:val="24"/>
                <w:szCs w:val="24"/>
              </w:rPr>
            </w:pPr>
            <w:r>
              <w:rPr>
                <w:color w:val="1F1F1F"/>
                <w:bdr w:val="none" w:sz="0" w:space="0" w:color="auto" w:frame="1"/>
              </w:rPr>
              <w:t xml:space="preserve">- </w:t>
            </w:r>
            <w:r>
              <w:rPr>
                <w:i/>
                <w:iCs/>
                <w:color w:val="1F1F1F"/>
                <w:bdr w:val="none" w:sz="0" w:space="0" w:color="auto" w:frame="1"/>
              </w:rPr>
              <w:t>Triple-vessel disease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AE20DB" w14:textId="77777777" w:rsidR="00854E54" w:rsidRDefault="00854E54" w:rsidP="007C69FE">
            <w:pPr>
              <w:jc w:val="both"/>
              <w:rPr>
                <w:color w:val="1F1F1F"/>
                <w:sz w:val="24"/>
                <w:szCs w:val="24"/>
              </w:rPr>
            </w:pPr>
            <w:r>
              <w:rPr>
                <w:color w:val="1F1F1F"/>
                <w:bdr w:val="none" w:sz="0" w:space="0" w:color="auto" w:frame="1"/>
              </w:rPr>
              <w:t>10 (10.3%)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2F7296" w14:textId="77777777" w:rsidR="00854E54" w:rsidRDefault="00854E54" w:rsidP="007C69FE">
            <w:pPr>
              <w:jc w:val="both"/>
              <w:rPr>
                <w:color w:val="1F1F1F"/>
                <w:sz w:val="24"/>
                <w:szCs w:val="24"/>
              </w:rPr>
            </w:pPr>
            <w:r>
              <w:rPr>
                <w:color w:val="1F1F1F"/>
                <w:bdr w:val="none" w:sz="0" w:space="0" w:color="auto" w:frame="1"/>
              </w:rPr>
              <w:t>10 (21.3%)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4BB63E" w14:textId="77777777" w:rsidR="00854E54" w:rsidRDefault="00854E54" w:rsidP="007C69FE">
            <w:pPr>
              <w:jc w:val="both"/>
              <w:rPr>
                <w:color w:val="1F1F1F"/>
                <w:sz w:val="24"/>
                <w:szCs w:val="24"/>
              </w:rPr>
            </w:pPr>
          </w:p>
        </w:tc>
      </w:tr>
    </w:tbl>
    <w:p w14:paraId="1D88126C" w14:textId="77777777" w:rsidR="00854E54" w:rsidRDefault="00854E54" w:rsidP="007C69FE">
      <w:pPr>
        <w:pStyle w:val="Heading3"/>
        <w:spacing w:after="120" w:afterAutospacing="0"/>
        <w:jc w:val="both"/>
        <w:rPr>
          <w:color w:val="1F1F1F"/>
        </w:rPr>
      </w:pPr>
      <w:r>
        <w:rPr>
          <w:color w:val="1F1F1F"/>
        </w:rPr>
        <w:t>4. Discussion</w:t>
      </w:r>
    </w:p>
    <w:p w14:paraId="0837855E" w14:textId="48C1708E" w:rsidR="00854E54" w:rsidRDefault="00F860EF" w:rsidP="007C69FE">
      <w:pPr>
        <w:pStyle w:val="NormalWeb"/>
        <w:spacing w:after="0" w:afterAutospacing="0"/>
        <w:jc w:val="both"/>
        <w:rPr>
          <w:color w:val="1F1F1F"/>
        </w:rPr>
      </w:pPr>
      <w:r>
        <w:rPr>
          <w:b/>
          <w:bCs/>
          <w:color w:val="1F1F1F"/>
          <w:bdr w:val="none" w:sz="0" w:space="0" w:color="auto" w:frame="1"/>
        </w:rPr>
        <w:t xml:space="preserve">4.1 </w:t>
      </w:r>
      <w:r w:rsidR="00854E54">
        <w:rPr>
          <w:b/>
          <w:bCs/>
          <w:color w:val="1F1F1F"/>
          <w:bdr w:val="none" w:sz="0" w:space="0" w:color="auto" w:frame="1"/>
        </w:rPr>
        <w:t>Epidemiological Trends and Selection Bias:</w:t>
      </w:r>
    </w:p>
    <w:p w14:paraId="5504093D" w14:textId="77777777" w:rsidR="00854E54" w:rsidRDefault="00854E54" w:rsidP="007C69FE">
      <w:pPr>
        <w:pStyle w:val="NormalWeb"/>
        <w:spacing w:after="240" w:afterAutospacing="0"/>
        <w:jc w:val="both"/>
        <w:rPr>
          <w:color w:val="1F1F1F"/>
        </w:rPr>
      </w:pPr>
      <w:r>
        <w:rPr>
          <w:color w:val="1F1F1F"/>
        </w:rPr>
        <w:t xml:space="preserve">Interestingly, while recent global epidemiological registries report a growing preponderance of NSTEMI over STEMI, our cohort demonstrated a significantly higher frequency of STEMI (67.4%). This inversion can be attributed to the relatively short 6-month timeframe of the study and a specific selection bias inherent to our tertiary care center (CHU Mohammed VI), which serves as a regional hub receiving frequent acute STEMI transfers for primary percutaneous coronary intervention. Furthermore, our inclusion criterion requiring patients to have undergone coronary angiography inherently excluded a proportion of frail, elderly </w:t>
      </w:r>
      <w:r>
        <w:rPr>
          <w:color w:val="1F1F1F"/>
        </w:rPr>
        <w:lastRenderedPageBreak/>
        <w:t>NSTEMI patients with multiple comorbidities who might have been managed with a strictly conservative pharmacological approach.</w:t>
      </w:r>
    </w:p>
    <w:p w14:paraId="16E35BCE" w14:textId="2651570B" w:rsidR="00854E54" w:rsidRDefault="00F860EF" w:rsidP="007C69FE">
      <w:pPr>
        <w:pStyle w:val="NormalWeb"/>
        <w:spacing w:after="0" w:afterAutospacing="0"/>
        <w:jc w:val="both"/>
        <w:rPr>
          <w:b/>
          <w:bCs/>
          <w:color w:val="1F1F1F"/>
          <w:bdr w:val="none" w:sz="0" w:space="0" w:color="auto" w:frame="1"/>
        </w:rPr>
      </w:pPr>
      <w:r>
        <w:rPr>
          <w:b/>
          <w:bCs/>
          <w:color w:val="1F1F1F"/>
          <w:bdr w:val="none" w:sz="0" w:space="0" w:color="auto" w:frame="1"/>
        </w:rPr>
        <w:t xml:space="preserve">4.2 </w:t>
      </w:r>
      <w:r w:rsidR="00854E54">
        <w:rPr>
          <w:b/>
          <w:bCs/>
          <w:color w:val="1F1F1F"/>
          <w:bdr w:val="none" w:sz="0" w:space="0" w:color="auto" w:frame="1"/>
        </w:rPr>
        <w:t>The "Female Sex, Age, and Hypertension" Triad:</w:t>
      </w:r>
    </w:p>
    <w:p w14:paraId="2B459DDE" w14:textId="77777777" w:rsidR="00854E54" w:rsidRDefault="00854E54" w:rsidP="007C69FE">
      <w:pPr>
        <w:pStyle w:val="NormalWeb"/>
        <w:spacing w:after="0" w:afterAutospacing="0"/>
        <w:jc w:val="both"/>
        <w:rPr>
          <w:color w:val="1F1F1F"/>
        </w:rPr>
      </w:pPr>
      <w:r>
        <w:rPr>
          <w:color w:val="1F1F1F"/>
        </w:rPr>
        <w:t xml:space="preserve">One of the strongest findings is the female overrepresentation in the NSTEMI group (55.3%, p = 0.002), coupled with a very high prevalence of arterial hypertension (61.7%). These data corroborate recent international registries describing the shifting epidemiology of ACS </w:t>
      </w:r>
      <w:r>
        <w:rPr>
          <w:b/>
          <w:bCs/>
          <w:color w:val="1F1F1F"/>
          <w:bdr w:val="none" w:sz="0" w:space="0" w:color="auto" w:frame="1"/>
        </w:rPr>
        <w:t>[5]</w:t>
      </w:r>
      <w:r>
        <w:rPr>
          <w:color w:val="1F1F1F"/>
        </w:rPr>
        <w:t xml:space="preserve">. Women develop coronary events later in life, and large-scale registries, such as the AMIS Plus Registry, have demonstrated that female gender is strongly associated with an atypical or NSTEMI presentation </w:t>
      </w:r>
      <w:r>
        <w:rPr>
          <w:b/>
          <w:bCs/>
          <w:color w:val="1F1F1F"/>
          <w:bdr w:val="none" w:sz="0" w:space="0" w:color="auto" w:frame="1"/>
        </w:rPr>
        <w:t>[6]</w:t>
      </w:r>
      <w:r>
        <w:rPr>
          <w:color w:val="1F1F1F"/>
        </w:rPr>
        <w:t xml:space="preserve">. This is partly marked by postmenopausal increased arterial stiffness favoring chronic hypertension </w:t>
      </w:r>
      <w:r>
        <w:rPr>
          <w:b/>
          <w:bCs/>
          <w:color w:val="1F1F1F"/>
          <w:bdr w:val="none" w:sz="0" w:space="0" w:color="auto" w:frame="1"/>
        </w:rPr>
        <w:t>[10]</w:t>
      </w:r>
      <w:r>
        <w:rPr>
          <w:color w:val="1F1F1F"/>
        </w:rPr>
        <w:t xml:space="preserve">. The NSTEMI presentation in older women is pathophysiologically explained by underlying microvascular disease and severe endothelial dysfunction </w:t>
      </w:r>
      <w:r>
        <w:rPr>
          <w:b/>
          <w:bCs/>
          <w:color w:val="1F1F1F"/>
          <w:bdr w:val="none" w:sz="0" w:space="0" w:color="auto" w:frame="1"/>
        </w:rPr>
        <w:t>[11]</w:t>
      </w:r>
      <w:r>
        <w:rPr>
          <w:color w:val="1F1F1F"/>
        </w:rPr>
        <w:t>. This contrasts with STEMI—the hallmark of the smoking male in our cohort—which is driven by the abrupt rupture of a vulnerable lipid plaque.</w:t>
      </w:r>
    </w:p>
    <w:p w14:paraId="28C611AF" w14:textId="008698C5" w:rsidR="00854E54" w:rsidRDefault="00F860EF" w:rsidP="007C69FE">
      <w:pPr>
        <w:pStyle w:val="NormalWeb"/>
        <w:spacing w:after="0" w:afterAutospacing="0"/>
        <w:jc w:val="both"/>
        <w:rPr>
          <w:color w:val="1F1F1F"/>
        </w:rPr>
      </w:pPr>
      <w:r>
        <w:rPr>
          <w:b/>
          <w:bCs/>
          <w:color w:val="1F1F1F"/>
          <w:bdr w:val="none" w:sz="0" w:space="0" w:color="auto" w:frame="1"/>
        </w:rPr>
        <w:t xml:space="preserve">4.3 </w:t>
      </w:r>
      <w:r w:rsidR="00854E54">
        <w:rPr>
          <w:b/>
          <w:bCs/>
          <w:color w:val="1F1F1F"/>
          <w:bdr w:val="none" w:sz="0" w:space="0" w:color="auto" w:frame="1"/>
        </w:rPr>
        <w:t>Metabolic and Anatomical Burden:</w:t>
      </w:r>
    </w:p>
    <w:p w14:paraId="51A13DB7" w14:textId="1CDF2BF8" w:rsidR="00854E54" w:rsidRDefault="00854E54" w:rsidP="007C69FE">
      <w:pPr>
        <w:pStyle w:val="NormalWeb"/>
        <w:spacing w:after="0" w:afterAutospacing="0"/>
        <w:jc w:val="both"/>
        <w:rPr>
          <w:color w:val="1F1F1F"/>
        </w:rPr>
      </w:pPr>
      <w:r>
        <w:rPr>
          <w:color w:val="1F1F1F"/>
        </w:rPr>
        <w:t xml:space="preserve">The prevalence of diabetes was alarming in our cohort (over 50% of cases). Diabetes is a powerful driver of accelerated atherosclerosis, promoting a diffuse pro-thrombotic and inflammatory state. As established in the literature, diabetes not only alters lipid metabolism but also systematically leads to more diffuse coronary artery disease </w:t>
      </w:r>
      <w:r>
        <w:rPr>
          <w:b/>
          <w:bCs/>
          <w:color w:val="1F1F1F"/>
          <w:bdr w:val="none" w:sz="0" w:space="0" w:color="auto" w:frame="1"/>
        </w:rPr>
        <w:t>[7, 8]</w:t>
      </w:r>
      <w:r>
        <w:rPr>
          <w:color w:val="1F1F1F"/>
        </w:rPr>
        <w:t>. Angiographically, our results objectify this gap: NSTEMI displayed much more complex lesions, which aligns with findings that diabetic patients are more prone to develop stable but extensive multivessel disease that often acutely presents as NSTEMI.</w:t>
      </w:r>
    </w:p>
    <w:p w14:paraId="31C978D6" w14:textId="67DA49A1" w:rsidR="00854E54" w:rsidRDefault="00854E54" w:rsidP="007C69FE">
      <w:pPr>
        <w:pStyle w:val="NormalWeb"/>
        <w:spacing w:after="0" w:afterAutospacing="0"/>
        <w:jc w:val="both"/>
        <w:rPr>
          <w:color w:val="1F1F1F"/>
        </w:rPr>
      </w:pPr>
      <w:r>
        <w:rPr>
          <w:color w:val="1F1F1F"/>
        </w:rPr>
        <w:t xml:space="preserve">Furthermore, the LCx was twice as often the culprit artery in our NSTEMI group (23.4%). Physiologically, LCx occlusion, which vascularizes the posterolateral wall, is known to be "electrically silent" on a standard 12-lead ECG. Studies have shown that a significant proportion of isolated LCx occlusions fail to produce ST-segment elevation, thereby explaining its frequent NSTEMI presentation </w:t>
      </w:r>
      <w:r>
        <w:rPr>
          <w:b/>
          <w:bCs/>
          <w:color w:val="1F1F1F"/>
          <w:bdr w:val="none" w:sz="0" w:space="0" w:color="auto" w:frame="1"/>
        </w:rPr>
        <w:t>[9, 12]</w:t>
      </w:r>
      <w:r>
        <w:rPr>
          <w:color w:val="1F1F1F"/>
        </w:rPr>
        <w:t>. The doubled rate of triple-vessel disease in our NSTEMI patients also aligns with angiographic studies demonstrating that identifying the culprit artery in NSTEMI is often complicated by diffuse coronary artery disease, making percutaneous or surgical revasculari</w:t>
      </w:r>
      <w:r w:rsidR="007C69FE">
        <w:rPr>
          <w:color w:val="1F1F1F"/>
        </w:rPr>
        <w:t>s</w:t>
      </w:r>
      <w:r>
        <w:rPr>
          <w:color w:val="1F1F1F"/>
        </w:rPr>
        <w:t xml:space="preserve">ation decisions more challenging for the Heart Team </w:t>
      </w:r>
      <w:r>
        <w:rPr>
          <w:b/>
          <w:bCs/>
          <w:color w:val="1F1F1F"/>
          <w:bdr w:val="none" w:sz="0" w:space="0" w:color="auto" w:frame="1"/>
        </w:rPr>
        <w:t>[13]</w:t>
      </w:r>
      <w:r>
        <w:rPr>
          <w:color w:val="1F1F1F"/>
        </w:rPr>
        <w:t>.</w:t>
      </w:r>
    </w:p>
    <w:p w14:paraId="191E873E" w14:textId="77777777" w:rsidR="00F860EF" w:rsidRDefault="00F860EF" w:rsidP="007C69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860EF">
        <w:rPr>
          <w:rFonts w:ascii="Times New Roman" w:eastAsia="Times New Roman" w:hAnsi="Times New Roman" w:cs="Times New Roman"/>
          <w:b/>
          <w:bCs/>
          <w:sz w:val="24"/>
          <w:szCs w:val="24"/>
          <w:lang w:eastAsia="fr-FR"/>
        </w:rPr>
        <w:t>4.</w:t>
      </w:r>
      <w:r>
        <w:rPr>
          <w:rFonts w:ascii="Times New Roman" w:eastAsia="Times New Roman" w:hAnsi="Times New Roman" w:cs="Times New Roman"/>
          <w:b/>
          <w:bCs/>
          <w:sz w:val="24"/>
          <w:szCs w:val="24"/>
          <w:lang w:eastAsia="fr-FR"/>
        </w:rPr>
        <w:t>4</w:t>
      </w:r>
      <w:r w:rsidRPr="00F860EF">
        <w:rPr>
          <w:rFonts w:ascii="Times New Roman" w:eastAsia="Times New Roman" w:hAnsi="Times New Roman" w:cs="Times New Roman"/>
          <w:b/>
          <w:bCs/>
          <w:sz w:val="24"/>
          <w:szCs w:val="24"/>
          <w:lang w:eastAsia="fr-FR"/>
        </w:rPr>
        <w:t xml:space="preserve"> Real-World Setting vs. Guidelines: Highlighting the Discrepancies</w:t>
      </w:r>
      <w:r w:rsidRPr="00F860EF">
        <w:rPr>
          <w:rFonts w:ascii="Times New Roman" w:eastAsia="Times New Roman" w:hAnsi="Times New Roman" w:cs="Times New Roman"/>
          <w:sz w:val="24"/>
          <w:szCs w:val="24"/>
          <w:lang w:eastAsia="fr-FR"/>
        </w:rPr>
        <w:t xml:space="preserve"> </w:t>
      </w:r>
    </w:p>
    <w:p w14:paraId="44D19820" w14:textId="20ACCB81" w:rsidR="00F860EF" w:rsidRPr="00F860EF" w:rsidRDefault="00F860EF"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860EF">
        <w:rPr>
          <w:rFonts w:ascii="Times New Roman" w:eastAsia="Times New Roman" w:hAnsi="Times New Roman" w:cs="Times New Roman"/>
          <w:color w:val="1F1F1F"/>
          <w:sz w:val="24"/>
          <w:szCs w:val="24"/>
          <w:lang w:eastAsia="fr-FR"/>
        </w:rPr>
        <w:t>The traditional classification of ACS into STEMI and NSTEMI, heavily relied upon by international guidelines, dictates distinct triage and revasculari</w:t>
      </w:r>
      <w:r w:rsidR="007C69FE">
        <w:rPr>
          <w:rFonts w:ascii="Times New Roman" w:eastAsia="Times New Roman" w:hAnsi="Times New Roman" w:cs="Times New Roman"/>
          <w:color w:val="1F1F1F"/>
          <w:sz w:val="24"/>
          <w:szCs w:val="24"/>
          <w:lang w:eastAsia="fr-FR"/>
        </w:rPr>
        <w:t>s</w:t>
      </w:r>
      <w:r w:rsidRPr="00F860EF">
        <w:rPr>
          <w:rFonts w:ascii="Times New Roman" w:eastAsia="Times New Roman" w:hAnsi="Times New Roman" w:cs="Times New Roman"/>
          <w:color w:val="1F1F1F"/>
          <w:sz w:val="24"/>
          <w:szCs w:val="24"/>
          <w:lang w:eastAsia="fr-FR"/>
        </w:rPr>
        <w:t>ation timelines based primarily on the initial ECG [2, 3]. In theory, STEMI corresponds to acute total coronary occlusion requiring emergent reperfusion, while NSTEMI implies subtotal or microvascular occlusion. However, our real-world findings, aligned with emerging contemporary literature, highlight significant discrepancies between this rigid guideline paradigm and daily clinical realities.</w:t>
      </w:r>
    </w:p>
    <w:p w14:paraId="37C5C9E9" w14:textId="695119EB" w:rsidR="00F860EF" w:rsidRPr="00F860EF" w:rsidRDefault="00F860EF"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860EF">
        <w:rPr>
          <w:rFonts w:ascii="Times New Roman" w:eastAsia="Times New Roman" w:hAnsi="Times New Roman" w:cs="Times New Roman"/>
          <w:color w:val="1F1F1F"/>
          <w:sz w:val="24"/>
          <w:szCs w:val="24"/>
          <w:lang w:eastAsia="fr-FR"/>
        </w:rPr>
        <w:t>Firstly, guidelines often homogeni</w:t>
      </w:r>
      <w:r w:rsidR="007C69FE">
        <w:rPr>
          <w:rFonts w:ascii="Times New Roman" w:eastAsia="Times New Roman" w:hAnsi="Times New Roman" w:cs="Times New Roman"/>
          <w:color w:val="1F1F1F"/>
          <w:sz w:val="24"/>
          <w:szCs w:val="24"/>
          <w:lang w:eastAsia="fr-FR"/>
        </w:rPr>
        <w:t>s</w:t>
      </w:r>
      <w:r w:rsidRPr="00F860EF">
        <w:rPr>
          <w:rFonts w:ascii="Times New Roman" w:eastAsia="Times New Roman" w:hAnsi="Times New Roman" w:cs="Times New Roman"/>
          <w:color w:val="1F1F1F"/>
          <w:sz w:val="24"/>
          <w:szCs w:val="24"/>
          <w:lang w:eastAsia="fr-FR"/>
        </w:rPr>
        <w:t>e the NSTEMI population, yet real-world registries continually demonstrate that NSTEMI patients are older, have a higher burden of comorbidities (such as the 61.7% hypertension rate in our cohort), and frequently present with atypical symptoms [14]. This is particularly evident in older females, who often experience delayed diagnosis and revascularization due to these atypical presentations, diverging from the streamlined, rapid pathways well-established for classic male STEMI patients [15].</w:t>
      </w:r>
    </w:p>
    <w:p w14:paraId="39DFB1A8" w14:textId="77777777" w:rsidR="00F860EF" w:rsidRPr="00F860EF" w:rsidRDefault="00F860EF"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860EF">
        <w:rPr>
          <w:rFonts w:ascii="Times New Roman" w:eastAsia="Times New Roman" w:hAnsi="Times New Roman" w:cs="Times New Roman"/>
          <w:color w:val="1F1F1F"/>
          <w:sz w:val="24"/>
          <w:szCs w:val="24"/>
          <w:lang w:eastAsia="fr-FR"/>
        </w:rPr>
        <w:lastRenderedPageBreak/>
        <w:t>Secondly, the angiographic reality often contradicts the ECG-based classification. Recent studies have popularized the concept of Occlusion Myocardial Infarction (OMI) versus Non-Occlusion Myocardial Infarction (NOMI), revealing that up to 25-30% of patients classified as NSTEMI by guidelines actually harbor complete or near-complete occlusion of a culprit artery (such as the LCx, frequently implicated in our NSTEMI cohort) [16, 17]. Because these patients lack classic ST-elevation, they do not trigger the emergency "Code STEMI" pathways, potentially leading to detrimental delays in revascularization despite having an angiographic profile identical to STEMI [17].</w:t>
      </w:r>
    </w:p>
    <w:p w14:paraId="55AF54D8" w14:textId="77777777" w:rsidR="00F860EF" w:rsidRPr="00F860EF" w:rsidRDefault="00F860EF"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F860EF">
        <w:rPr>
          <w:rFonts w:ascii="Times New Roman" w:eastAsia="Times New Roman" w:hAnsi="Times New Roman" w:cs="Times New Roman"/>
          <w:color w:val="1F1F1F"/>
          <w:sz w:val="24"/>
          <w:szCs w:val="24"/>
          <w:lang w:eastAsia="fr-FR"/>
        </w:rPr>
        <w:t>Finally, the anatomical complexity seen in our NSTEMI group (frequent severe triple-vessel disease) challenges the straightforward "culprit-lesion-only" approach often utilized in emergency STEMI percutaneous coronary intervention. The real-world NSTEMI patient requires a more nuanced, multidisciplinary Heart Team approach to navigate the extensive metabolic and anatomical burden [18]. Recognizing these discrepancies is paramount; it suggests that future guidelines should perhaps evolve from a strictly ECG-based dichotomy toward a more holistic, pathophysiological, and angiographic assessment to optimize timely care for all ACS patients.</w:t>
      </w:r>
    </w:p>
    <w:p w14:paraId="192D7E0A" w14:textId="77777777" w:rsidR="00854E54" w:rsidRDefault="00854E54" w:rsidP="007C69FE">
      <w:pPr>
        <w:pStyle w:val="Heading3"/>
        <w:spacing w:after="120" w:afterAutospacing="0"/>
        <w:jc w:val="both"/>
        <w:rPr>
          <w:color w:val="1F1F1F"/>
        </w:rPr>
      </w:pPr>
      <w:r>
        <w:rPr>
          <w:color w:val="1F1F1F"/>
        </w:rPr>
        <w:t>5. Conclusion</w:t>
      </w:r>
    </w:p>
    <w:p w14:paraId="01490660" w14:textId="5BBF9B4A" w:rsidR="00854E54" w:rsidRDefault="00854E54" w:rsidP="007C69FE">
      <w:pPr>
        <w:pStyle w:val="NormalWeb"/>
        <w:spacing w:after="240" w:afterAutospacing="0"/>
        <w:jc w:val="both"/>
        <w:rPr>
          <w:color w:val="1F1F1F"/>
        </w:rPr>
      </w:pPr>
      <w:r>
        <w:rPr>
          <w:color w:val="1F1F1F"/>
        </w:rPr>
        <w:t>Our study confirms that acute coronary syndromes encompass heterogeneous clinical and anatomical realities. While STEMI remains the typical acute manifestation in the smoking male with proximal LAD occlusion, NSTEMI requires special attention due to its occurrence in a predominantly female, severely hypertensive population presenting with scattered, multivessel coronary lesions. Aggressive upstream metabolic management (targeting diabetes and hypertension) is paramount to altering the trajectory of diffuse atheromatous disease in these high-risk patients.</w:t>
      </w:r>
    </w:p>
    <w:p w14:paraId="682D0906" w14:textId="37EA30CD" w:rsidR="009A42C9" w:rsidRPr="009A42C9" w:rsidRDefault="009A42C9" w:rsidP="007C69FE">
      <w:pPr>
        <w:pStyle w:val="NormalWeb"/>
        <w:spacing w:after="240"/>
        <w:jc w:val="both"/>
        <w:rPr>
          <w:b/>
          <w:color w:val="1F1F1F"/>
        </w:rPr>
      </w:pPr>
      <w:bookmarkStart w:id="0" w:name="_GoBack"/>
      <w:bookmarkEnd w:id="0"/>
      <w:proofErr w:type="gramStart"/>
      <w:r w:rsidRPr="009A42C9">
        <w:rPr>
          <w:b/>
          <w:color w:val="1F1F1F"/>
        </w:rPr>
        <w:t>Consent:</w:t>
      </w:r>
      <w:proofErr w:type="gramEnd"/>
    </w:p>
    <w:p w14:paraId="378E9641" w14:textId="0C4A9B5C" w:rsidR="009A42C9" w:rsidRDefault="007C69FE" w:rsidP="007C69FE">
      <w:pPr>
        <w:pStyle w:val="NormalWeb"/>
        <w:spacing w:after="240" w:afterAutospacing="0"/>
        <w:jc w:val="both"/>
        <w:rPr>
          <w:color w:val="1F1F1F"/>
        </w:rPr>
      </w:pPr>
      <w:r>
        <w:rPr>
          <w:color w:val="1F1F1F"/>
        </w:rPr>
        <w:t>W</w:t>
      </w:r>
      <w:r w:rsidR="009A42C9" w:rsidRPr="009A42C9">
        <w:rPr>
          <w:color w:val="1F1F1F"/>
        </w:rPr>
        <w:t>ritten informed consent was systematically obtained from all participating patients prior to undergoing any invasive procedure (coronary angiography) and for the anonymous use of their medical data for scientific research.</w:t>
      </w:r>
    </w:p>
    <w:p w14:paraId="5B5DA63D" w14:textId="77777777" w:rsidR="00F04F87" w:rsidRDefault="00A0309B" w:rsidP="007C69F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0309B">
        <w:rPr>
          <w:rFonts w:ascii="Times New Roman" w:eastAsia="Times New Roman" w:hAnsi="Times New Roman" w:cs="Times New Roman"/>
          <w:b/>
          <w:bCs/>
          <w:sz w:val="24"/>
          <w:szCs w:val="24"/>
          <w:lang w:eastAsia="fr-FR"/>
        </w:rPr>
        <w:t xml:space="preserve">Authors' </w:t>
      </w:r>
      <w:proofErr w:type="gramStart"/>
      <w:r w:rsidRPr="00A0309B">
        <w:rPr>
          <w:rFonts w:ascii="Times New Roman" w:eastAsia="Times New Roman" w:hAnsi="Times New Roman" w:cs="Times New Roman"/>
          <w:b/>
          <w:bCs/>
          <w:sz w:val="24"/>
          <w:szCs w:val="24"/>
          <w:lang w:eastAsia="fr-FR"/>
        </w:rPr>
        <w:t>Contributions:</w:t>
      </w:r>
      <w:proofErr w:type="gramEnd"/>
      <w:r w:rsidRPr="00A0309B">
        <w:rPr>
          <w:rFonts w:ascii="Times New Roman" w:eastAsia="Times New Roman" w:hAnsi="Times New Roman" w:cs="Times New Roman"/>
          <w:sz w:val="24"/>
          <w:szCs w:val="24"/>
          <w:lang w:eastAsia="fr-FR"/>
        </w:rPr>
        <w:t xml:space="preserve"> </w:t>
      </w:r>
    </w:p>
    <w:p w14:paraId="455DFD77" w14:textId="32BF5FC8" w:rsidR="00A0309B" w:rsidRPr="00A0309B" w:rsidRDefault="00A0309B" w:rsidP="007C69FE">
      <w:pPr>
        <w:spacing w:before="100" w:beforeAutospacing="1" w:after="100" w:afterAutospacing="1" w:line="240" w:lineRule="auto"/>
        <w:jc w:val="both"/>
        <w:rPr>
          <w:rFonts w:ascii="Times New Roman" w:eastAsia="Times New Roman" w:hAnsi="Times New Roman" w:cs="Times New Roman"/>
          <w:color w:val="1F1F1F"/>
          <w:sz w:val="24"/>
          <w:szCs w:val="24"/>
          <w:lang w:eastAsia="fr-FR"/>
        </w:rPr>
      </w:pPr>
      <w:r w:rsidRPr="00A0309B">
        <w:rPr>
          <w:rFonts w:ascii="Times New Roman" w:eastAsia="Times New Roman" w:hAnsi="Times New Roman" w:cs="Times New Roman"/>
          <w:color w:val="1F1F1F"/>
          <w:sz w:val="24"/>
          <w:szCs w:val="24"/>
          <w:lang w:eastAsia="fr-FR"/>
        </w:rPr>
        <w:t>All authors contributed to the study design, data analysis, and writing of the manuscript. All authors read and approved the final version.</w:t>
      </w:r>
    </w:p>
    <w:p w14:paraId="393F4044" w14:textId="77777777" w:rsidR="00F04F87" w:rsidRDefault="00A0309B" w:rsidP="007C69FE">
      <w:pPr>
        <w:pStyle w:val="NoSpacing"/>
        <w:jc w:val="both"/>
        <w:rPr>
          <w:rFonts w:ascii="Times New Roman" w:eastAsia="Times New Roman" w:hAnsi="Times New Roman" w:cs="Times New Roman"/>
          <w:color w:val="1F1F1F"/>
          <w:kern w:val="0"/>
          <w:sz w:val="24"/>
          <w:szCs w:val="24"/>
          <w:lang w:val="fr-FR" w:eastAsia="fr-FR"/>
          <w14:ligatures w14:val="none"/>
        </w:rPr>
      </w:pPr>
      <w:r w:rsidRPr="00F04F87">
        <w:rPr>
          <w:rFonts w:ascii="Times New Roman" w:eastAsia="Times New Roman" w:hAnsi="Times New Roman" w:cs="Times New Roman"/>
          <w:b/>
          <w:bCs/>
          <w:color w:val="1F1F1F"/>
          <w:kern w:val="0"/>
          <w:sz w:val="24"/>
          <w:szCs w:val="24"/>
          <w:lang w:val="fr-FR" w:eastAsia="fr-FR"/>
          <w14:ligatures w14:val="none"/>
        </w:rPr>
        <w:t xml:space="preserve">Disclaimer (Artificial intelligence) </w:t>
      </w:r>
    </w:p>
    <w:p w14:paraId="6BC04182" w14:textId="4A91417A" w:rsidR="0007765A" w:rsidRPr="00A0309B" w:rsidRDefault="00A0309B" w:rsidP="007C69FE">
      <w:pPr>
        <w:pStyle w:val="NoSpacing"/>
        <w:jc w:val="both"/>
        <w:rPr>
          <w:rFonts w:ascii="Times New Roman" w:eastAsia="Times New Roman" w:hAnsi="Times New Roman" w:cs="Times New Roman"/>
          <w:color w:val="1F1F1F"/>
          <w:kern w:val="0"/>
          <w:sz w:val="24"/>
          <w:szCs w:val="24"/>
          <w:lang w:val="fr-FR" w:eastAsia="fr-FR"/>
          <w14:ligatures w14:val="none"/>
        </w:rPr>
      </w:pPr>
      <w:r w:rsidRPr="00A0309B">
        <w:rPr>
          <w:rFonts w:ascii="Times New Roman" w:eastAsia="Times New Roman" w:hAnsi="Times New Roman" w:cs="Times New Roman"/>
          <w:color w:val="1F1F1F"/>
          <w:kern w:val="0"/>
          <w:sz w:val="24"/>
          <w:szCs w:val="24"/>
          <w:lang w:val="fr-FR" w:eastAsia="fr-FR"/>
          <w14:ligatures w14:val="none"/>
        </w:rPr>
        <w:t>Generative AI was used solely to improve the English language and format the text. It was not used to generate data, results, or references. The authors take full responsibility for all scientific content.</w:t>
      </w:r>
    </w:p>
    <w:p w14:paraId="718EA714" w14:textId="3E9A56B3" w:rsidR="00854E54" w:rsidRDefault="00854E54" w:rsidP="007C69FE">
      <w:pPr>
        <w:pStyle w:val="Heading3"/>
        <w:spacing w:after="120" w:afterAutospacing="0"/>
        <w:jc w:val="both"/>
        <w:rPr>
          <w:color w:val="1F1F1F"/>
        </w:rPr>
      </w:pPr>
      <w:r>
        <w:rPr>
          <w:color w:val="1F1F1F"/>
        </w:rPr>
        <w:t>6. References</w:t>
      </w:r>
    </w:p>
    <w:p w14:paraId="08ACAFA4" w14:textId="77777777" w:rsidR="00854E54" w:rsidRDefault="00854E54" w:rsidP="007C69FE">
      <w:pPr>
        <w:pStyle w:val="NormalWeb"/>
        <w:numPr>
          <w:ilvl w:val="0"/>
          <w:numId w:val="10"/>
        </w:numPr>
        <w:spacing w:after="120" w:afterAutospacing="0"/>
        <w:ind w:left="0"/>
        <w:jc w:val="both"/>
        <w:rPr>
          <w:color w:val="1F1F1F"/>
        </w:rPr>
      </w:pPr>
      <w:r>
        <w:rPr>
          <w:color w:val="1F1F1F"/>
        </w:rPr>
        <w:t>World Health Organization (WHO). Cardiovascular diseases (CVDs) Fact Sheet. 2021.</w:t>
      </w:r>
    </w:p>
    <w:p w14:paraId="63DAE657"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Byrne RA, Rossello X, Coughlan JJ, et al. 2023 ESC Guidelines for the management of acute coronary syndromes. </w:t>
      </w:r>
      <w:r>
        <w:rPr>
          <w:i/>
          <w:iCs/>
          <w:color w:val="1F1F1F"/>
          <w:bdr w:val="none" w:sz="0" w:space="0" w:color="auto" w:frame="1"/>
        </w:rPr>
        <w:t>Eur Heart J</w:t>
      </w:r>
      <w:r>
        <w:rPr>
          <w:color w:val="1F1F1F"/>
        </w:rPr>
        <w:t>. 2023;44(38):3720-3826.</w:t>
      </w:r>
    </w:p>
    <w:p w14:paraId="5FC3878C" w14:textId="77777777" w:rsidR="00854E54" w:rsidRDefault="00854E54" w:rsidP="007C69FE">
      <w:pPr>
        <w:pStyle w:val="NormalWeb"/>
        <w:numPr>
          <w:ilvl w:val="0"/>
          <w:numId w:val="10"/>
        </w:numPr>
        <w:spacing w:after="0" w:afterAutospacing="0"/>
        <w:ind w:left="0"/>
        <w:jc w:val="both"/>
        <w:rPr>
          <w:color w:val="1F1F1F"/>
        </w:rPr>
      </w:pPr>
      <w:r>
        <w:rPr>
          <w:color w:val="1F1F1F"/>
        </w:rPr>
        <w:lastRenderedPageBreak/>
        <w:t xml:space="preserve">Collet JP, Thiele H, Barbato E, et al. 2020 ESC Guidelines for the management of acute coronary syndromes in patients presenting without persistent ST-segment elevation. </w:t>
      </w:r>
      <w:r>
        <w:rPr>
          <w:i/>
          <w:iCs/>
          <w:color w:val="1F1F1F"/>
          <w:bdr w:val="none" w:sz="0" w:space="0" w:color="auto" w:frame="1"/>
        </w:rPr>
        <w:t>Eur Heart J</w:t>
      </w:r>
      <w:r>
        <w:rPr>
          <w:color w:val="1F1F1F"/>
        </w:rPr>
        <w:t>. 2021;42(14):1289-1367.</w:t>
      </w:r>
    </w:p>
    <w:p w14:paraId="6B33EDEF"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Puymirat E, Simon T, Cayla G, et al. Acute Myocardial Infarction: Changes in Patient Characteristics, Management, and 6-Month Outcomes Over a Period of 20 Years in the FAST-MI Program. </w:t>
      </w:r>
      <w:r>
        <w:rPr>
          <w:i/>
          <w:iCs/>
          <w:color w:val="1F1F1F"/>
          <w:bdr w:val="none" w:sz="0" w:space="0" w:color="auto" w:frame="1"/>
        </w:rPr>
        <w:t>Circulation</w:t>
      </w:r>
      <w:r>
        <w:rPr>
          <w:color w:val="1F1F1F"/>
        </w:rPr>
        <w:t>. 2017;136(20):1908-1919.</w:t>
      </w:r>
    </w:p>
    <w:p w14:paraId="423BCF21"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Hao Y, Liu J, Liu J, et al. Sex Differences in In-Hospital Management and Outcomes of Patients With Acute Coronary Syndrome. </w:t>
      </w:r>
      <w:r>
        <w:rPr>
          <w:i/>
          <w:iCs/>
          <w:color w:val="1F1F1F"/>
          <w:bdr w:val="none" w:sz="0" w:space="0" w:color="auto" w:frame="1"/>
        </w:rPr>
        <w:t>Circulation</w:t>
      </w:r>
      <w:r>
        <w:rPr>
          <w:color w:val="1F1F1F"/>
        </w:rPr>
        <w:t>. 2019;139(15):1776-1785.</w:t>
      </w:r>
    </w:p>
    <w:p w14:paraId="0B85EEA5"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Radovanovic D, Erne P, Urban P, Bertel O, Rickli H, Gaspoz JM; AMIS Plus Investigators. Gender differences in management and outcomes in patients with acute coronary syndromes: results on 20,290 patients from the AMIS Plus Registry. </w:t>
      </w:r>
      <w:r>
        <w:rPr>
          <w:i/>
          <w:iCs/>
          <w:color w:val="1F1F1F"/>
          <w:bdr w:val="none" w:sz="0" w:space="0" w:color="auto" w:frame="1"/>
        </w:rPr>
        <w:t>Heart</w:t>
      </w:r>
      <w:r>
        <w:rPr>
          <w:color w:val="1F1F1F"/>
        </w:rPr>
        <w:t>. 2007;93(11):1369-1375.</w:t>
      </w:r>
    </w:p>
    <w:p w14:paraId="2C20F8A0"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Aronson D, Edelman ER. Coronary artery disease and diabetes mellitus. </w:t>
      </w:r>
      <w:r>
        <w:rPr>
          <w:i/>
          <w:iCs/>
          <w:color w:val="1F1F1F"/>
          <w:bdr w:val="none" w:sz="0" w:space="0" w:color="auto" w:frame="1"/>
        </w:rPr>
        <w:t>Cardiol Clin</w:t>
      </w:r>
      <w:r>
        <w:rPr>
          <w:color w:val="1F1F1F"/>
        </w:rPr>
        <w:t>. 2014;32(3):439-455.</w:t>
      </w:r>
    </w:p>
    <w:p w14:paraId="07EECCF3"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Arnold SV, Bhatt DL, Barsness GW, et al. Clinical management of stable coronary artery disease in patients with type 2 diabetes mellitus: A scientific statement from the American Heart Association. </w:t>
      </w:r>
      <w:r>
        <w:rPr>
          <w:i/>
          <w:iCs/>
          <w:color w:val="1F1F1F"/>
          <w:bdr w:val="none" w:sz="0" w:space="0" w:color="auto" w:frame="1"/>
        </w:rPr>
        <w:t>Circulation</w:t>
      </w:r>
      <w:r>
        <w:rPr>
          <w:color w:val="1F1F1F"/>
        </w:rPr>
        <w:t>. 2020;141(19):e779-e806.</w:t>
      </w:r>
    </w:p>
    <w:p w14:paraId="6F3929F1"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Wang TY, Zhang M, Fu Y, et al. Incidence, distribution, and prognostic impact of occluded culprit arteries among patients with non-ST-elevation acute coronary syndromes undergoing diagnostic angiography. </w:t>
      </w:r>
      <w:r>
        <w:rPr>
          <w:i/>
          <w:iCs/>
          <w:color w:val="1F1F1F"/>
          <w:bdr w:val="none" w:sz="0" w:space="0" w:color="auto" w:frame="1"/>
        </w:rPr>
        <w:t>Am Heart J</w:t>
      </w:r>
      <w:r>
        <w:rPr>
          <w:color w:val="1F1F1F"/>
        </w:rPr>
        <w:t>. 2009;157(4):716-723.</w:t>
      </w:r>
    </w:p>
    <w:p w14:paraId="7F0AEE12"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Maas AH, Appelman YE. Gender differences in coronary heart disease. </w:t>
      </w:r>
      <w:r>
        <w:rPr>
          <w:i/>
          <w:iCs/>
          <w:color w:val="1F1F1F"/>
          <w:bdr w:val="none" w:sz="0" w:space="0" w:color="auto" w:frame="1"/>
        </w:rPr>
        <w:t>Neth Heart J</w:t>
      </w:r>
      <w:r>
        <w:rPr>
          <w:color w:val="1F1F1F"/>
        </w:rPr>
        <w:t>. 2010;18(12):598-602.</w:t>
      </w:r>
    </w:p>
    <w:p w14:paraId="615C1B8D" w14:textId="77777777" w:rsidR="00854E54" w:rsidRDefault="00854E54" w:rsidP="007C69FE">
      <w:pPr>
        <w:pStyle w:val="NormalWeb"/>
        <w:numPr>
          <w:ilvl w:val="0"/>
          <w:numId w:val="10"/>
        </w:numPr>
        <w:spacing w:after="0" w:afterAutospacing="0"/>
        <w:ind w:left="0"/>
        <w:jc w:val="both"/>
        <w:rPr>
          <w:color w:val="1F1F1F"/>
        </w:rPr>
      </w:pPr>
      <w:r>
        <w:rPr>
          <w:color w:val="1F1F1F"/>
        </w:rPr>
        <w:t xml:space="preserve">Bairey Merz CN, Pepine CJ, Walsh MN, Fleg JL. Ischemia and No Obstructive Coronary Artery Disease (INOCA): Developing Evidence-Based Therapies and Research Agenda for the Next Decade. </w:t>
      </w:r>
      <w:r>
        <w:rPr>
          <w:i/>
          <w:iCs/>
          <w:color w:val="1F1F1F"/>
          <w:bdr w:val="none" w:sz="0" w:space="0" w:color="auto" w:frame="1"/>
        </w:rPr>
        <w:t>Circulation</w:t>
      </w:r>
      <w:r>
        <w:rPr>
          <w:color w:val="1F1F1F"/>
        </w:rPr>
        <w:t>. 2017;135(11):1075-1092.</w:t>
      </w:r>
    </w:p>
    <w:p w14:paraId="2599E989" w14:textId="77777777" w:rsidR="00F61C9F" w:rsidRDefault="00F61C9F" w:rsidP="007C69FE">
      <w:pPr>
        <w:pStyle w:val="NormalWeb"/>
        <w:numPr>
          <w:ilvl w:val="0"/>
          <w:numId w:val="10"/>
        </w:numPr>
        <w:spacing w:after="120" w:afterAutospacing="0"/>
        <w:ind w:left="0"/>
        <w:jc w:val="both"/>
        <w:outlineLvl w:val="0"/>
        <w:rPr>
          <w:color w:val="1F1F1F"/>
        </w:rPr>
      </w:pPr>
      <w:r w:rsidRPr="00F61C9F">
        <w:rPr>
          <w:color w:val="1F1F1F"/>
        </w:rPr>
        <w:t>Stribling WK, Kontos MC, Abbate A, Cooke R, Vetrovec GW, Dai D, Honeycutt E, Wang TY, Lotun K. Left circumflex occlusion in acute myocardial infarction (from the National Cardiovascular Data Registry). Am J Cardiol. 2011 Oct 1;108(7):959-63. doi: 10.1016/j.amjcard.2011.05.027. Epub 2011 Aug 4. PMID: 21820644.</w:t>
      </w:r>
    </w:p>
    <w:p w14:paraId="1CA0E32C" w14:textId="77777777" w:rsidR="00F61C9F" w:rsidRDefault="00854E54" w:rsidP="007C69FE">
      <w:pPr>
        <w:pStyle w:val="NormalWeb"/>
        <w:numPr>
          <w:ilvl w:val="0"/>
          <w:numId w:val="10"/>
        </w:numPr>
        <w:spacing w:after="120" w:afterAutospacing="0"/>
        <w:ind w:left="0"/>
        <w:jc w:val="both"/>
        <w:outlineLvl w:val="0"/>
        <w:rPr>
          <w:color w:val="1F1F1F"/>
        </w:rPr>
      </w:pPr>
      <w:r w:rsidRPr="00F61C9F">
        <w:rPr>
          <w:color w:val="1F1F1F"/>
        </w:rPr>
        <w:t xml:space="preserve">Sardella G, Lucisano L, Garbo R, et al. Single-Staged Compared With Multi-Staged PCI in Multivessel NSTEMI Patients: The SMILE Trial. </w:t>
      </w:r>
      <w:r w:rsidRPr="00F61C9F">
        <w:rPr>
          <w:i/>
          <w:iCs/>
          <w:color w:val="1F1F1F"/>
          <w:bdr w:val="none" w:sz="0" w:space="0" w:color="auto" w:frame="1"/>
        </w:rPr>
        <w:t>J Am Coll Cardiol</w:t>
      </w:r>
      <w:r w:rsidRPr="00F61C9F">
        <w:rPr>
          <w:color w:val="1F1F1F"/>
        </w:rPr>
        <w:t>. 2016;67(3):264-272.</w:t>
      </w:r>
    </w:p>
    <w:p w14:paraId="46766BF4" w14:textId="4F9DDE77" w:rsidR="00DA24BB" w:rsidRPr="00DA24BB" w:rsidRDefault="00DA24BB" w:rsidP="007C69FE">
      <w:pPr>
        <w:pStyle w:val="NormalWeb"/>
        <w:numPr>
          <w:ilvl w:val="0"/>
          <w:numId w:val="10"/>
        </w:numPr>
        <w:spacing w:after="120" w:afterAutospacing="0"/>
        <w:ind w:left="0"/>
        <w:jc w:val="both"/>
        <w:outlineLvl w:val="0"/>
        <w:rPr>
          <w:color w:val="1F1F1F"/>
        </w:rPr>
      </w:pPr>
      <w:r>
        <w:t>Alosaimi S, Alqarni A, Alkalifah T, et al. Gender differences in patient-reported outcomes and cardiac symptoms in patients with acute coronary syndrome in Riyadh, Saudi Arabia. Saudi Med J. 2025;46(4):388-397.</w:t>
      </w:r>
    </w:p>
    <w:p w14:paraId="1912F2AA" w14:textId="4AEBB76D" w:rsidR="00DA24BB" w:rsidRPr="00DA24BB" w:rsidRDefault="00DA24BB" w:rsidP="007C69FE">
      <w:pPr>
        <w:pStyle w:val="NormalWeb"/>
        <w:numPr>
          <w:ilvl w:val="0"/>
          <w:numId w:val="10"/>
        </w:numPr>
        <w:spacing w:after="120" w:afterAutospacing="0"/>
        <w:ind w:left="0"/>
        <w:jc w:val="both"/>
        <w:outlineLvl w:val="0"/>
        <w:rPr>
          <w:color w:val="1F1F1F"/>
        </w:rPr>
      </w:pPr>
      <w:r>
        <w:t>Choi JH, Choi JM, Choi KH, et al. Sex Difference in 5-year Relative Survival Following Percutaneous Coronary Intervention. Eur Cardiol. 2024;19:e18.</w:t>
      </w:r>
    </w:p>
    <w:p w14:paraId="4FE8AE42" w14:textId="1385C99D" w:rsidR="00DA24BB" w:rsidRPr="00DA24BB" w:rsidRDefault="00DA24BB" w:rsidP="007C69FE">
      <w:pPr>
        <w:pStyle w:val="NormalWeb"/>
        <w:numPr>
          <w:ilvl w:val="0"/>
          <w:numId w:val="10"/>
        </w:numPr>
        <w:spacing w:after="120" w:afterAutospacing="0"/>
        <w:ind w:left="0"/>
        <w:jc w:val="both"/>
        <w:outlineLvl w:val="0"/>
        <w:rPr>
          <w:color w:val="1F1F1F"/>
        </w:rPr>
      </w:pPr>
      <w:r>
        <w:t>Meyers HP, Bracey A, Lee D, et al. Comparison of the ST-Elevation Myocardial Infarction (STEMI) vs. NSTEMI and Occlusion MI (OMI) vs. NOMI Paradigms of Acute MI. J Emerg Med. 2021;60(3):273-284.</w:t>
      </w:r>
    </w:p>
    <w:p w14:paraId="0E943E17" w14:textId="4D0B231C" w:rsidR="00DA24BB" w:rsidRPr="00DA24BB" w:rsidRDefault="00DA24BB" w:rsidP="007C69FE">
      <w:pPr>
        <w:pStyle w:val="NormalWeb"/>
        <w:numPr>
          <w:ilvl w:val="0"/>
          <w:numId w:val="10"/>
        </w:numPr>
        <w:spacing w:after="120" w:afterAutospacing="0"/>
        <w:ind w:left="0"/>
        <w:jc w:val="both"/>
        <w:outlineLvl w:val="0"/>
        <w:rPr>
          <w:color w:val="1F1F1F"/>
        </w:rPr>
      </w:pPr>
      <w:r>
        <w:t>Kola M, Shuka N, Meyers HP, Zaimi Petrela E, Smith SW. OMI/NOMI: Time for a New Classification of Acute Myocardial Infarction. J Clin Med. 2024;13(17):5201.</w:t>
      </w:r>
    </w:p>
    <w:p w14:paraId="681EB8B7" w14:textId="07A0D813" w:rsidR="00DA24BB" w:rsidRPr="00F61C9F" w:rsidRDefault="00DA24BB" w:rsidP="007C69FE">
      <w:pPr>
        <w:pStyle w:val="NormalWeb"/>
        <w:numPr>
          <w:ilvl w:val="0"/>
          <w:numId w:val="10"/>
        </w:numPr>
        <w:spacing w:after="120" w:afterAutospacing="0"/>
        <w:ind w:left="0"/>
        <w:jc w:val="both"/>
        <w:outlineLvl w:val="0"/>
        <w:rPr>
          <w:color w:val="1F1F1F"/>
        </w:rPr>
      </w:pPr>
      <w:r>
        <w:t>Herman R, et al. Poor Prognosis of Total Culprit Artery Occlusion in Patients Presenting with NSTEMI. Eur Heart J. 2023;44(Supplement_2):ehad658.1130.</w:t>
      </w:r>
    </w:p>
    <w:sectPr w:rsidR="00DA24BB" w:rsidRPr="00F61C9F" w:rsidSect="00E30FE7">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92772" w14:textId="77777777" w:rsidR="005A1DA9" w:rsidRDefault="005A1DA9" w:rsidP="00AD43CB">
      <w:pPr>
        <w:spacing w:after="0" w:line="240" w:lineRule="auto"/>
      </w:pPr>
      <w:r>
        <w:separator/>
      </w:r>
    </w:p>
  </w:endnote>
  <w:endnote w:type="continuationSeparator" w:id="0">
    <w:p w14:paraId="20CBD06F" w14:textId="77777777" w:rsidR="005A1DA9" w:rsidRDefault="005A1DA9" w:rsidP="00AD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4818" w14:textId="77777777" w:rsidR="00AD43CB" w:rsidRDefault="00AD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C98" w14:textId="77777777" w:rsidR="00AD43CB" w:rsidRDefault="00AD4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E20E" w14:textId="77777777" w:rsidR="00AD43CB" w:rsidRDefault="00AD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6A759" w14:textId="77777777" w:rsidR="005A1DA9" w:rsidRDefault="005A1DA9" w:rsidP="00AD43CB">
      <w:pPr>
        <w:spacing w:after="0" w:line="240" w:lineRule="auto"/>
      </w:pPr>
      <w:r>
        <w:separator/>
      </w:r>
    </w:p>
  </w:footnote>
  <w:footnote w:type="continuationSeparator" w:id="0">
    <w:p w14:paraId="13B81EF1" w14:textId="77777777" w:rsidR="005A1DA9" w:rsidRDefault="005A1DA9" w:rsidP="00AD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6FDC" w14:textId="577E6544" w:rsidR="00AD43CB" w:rsidRDefault="00D1181D">
    <w:pPr>
      <w:pStyle w:val="Header"/>
    </w:pPr>
    <w:r>
      <w:rPr>
        <w:noProof/>
      </w:rPr>
      <w:pict w14:anchorId="3A0B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C974" w14:textId="746CC7D4" w:rsidR="00AD43CB" w:rsidRDefault="00D1181D">
    <w:pPr>
      <w:pStyle w:val="Header"/>
    </w:pPr>
    <w:r>
      <w:rPr>
        <w:noProof/>
      </w:rPr>
      <w:pict w14:anchorId="7B869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1BEF" w14:textId="0E632D1F" w:rsidR="00AD43CB" w:rsidRDefault="00D1181D">
    <w:pPr>
      <w:pStyle w:val="Header"/>
    </w:pPr>
    <w:r>
      <w:rPr>
        <w:noProof/>
      </w:rPr>
      <w:pict w14:anchorId="7EA15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89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35E"/>
    <w:multiLevelType w:val="multilevel"/>
    <w:tmpl w:val="D58A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D35D6"/>
    <w:multiLevelType w:val="multilevel"/>
    <w:tmpl w:val="0E4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510C1"/>
    <w:multiLevelType w:val="multilevel"/>
    <w:tmpl w:val="E37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05B06"/>
    <w:multiLevelType w:val="multilevel"/>
    <w:tmpl w:val="9D2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60416"/>
    <w:multiLevelType w:val="multilevel"/>
    <w:tmpl w:val="CB4E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20DA4"/>
    <w:multiLevelType w:val="multilevel"/>
    <w:tmpl w:val="E394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3D62B7"/>
    <w:multiLevelType w:val="multilevel"/>
    <w:tmpl w:val="9940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9366A"/>
    <w:multiLevelType w:val="multilevel"/>
    <w:tmpl w:val="7908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6D3600"/>
    <w:multiLevelType w:val="multilevel"/>
    <w:tmpl w:val="7908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4835CA"/>
    <w:multiLevelType w:val="multilevel"/>
    <w:tmpl w:val="778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E3FBF"/>
    <w:multiLevelType w:val="multilevel"/>
    <w:tmpl w:val="7F98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14223"/>
    <w:multiLevelType w:val="multilevel"/>
    <w:tmpl w:val="0CD8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11"/>
  </w:num>
  <w:num w:numId="5">
    <w:abstractNumId w:val="3"/>
  </w:num>
  <w:num w:numId="6">
    <w:abstractNumId w:val="7"/>
  </w:num>
  <w:num w:numId="7">
    <w:abstractNumId w:val="4"/>
  </w:num>
  <w:num w:numId="8">
    <w:abstractNumId w:val="8"/>
  </w:num>
  <w:num w:numId="9">
    <w:abstractNumId w:val="2"/>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GARNLE1NzYwsTJR2l4NTi4sz8PJACw1oAy6sAXiwAAAA="/>
  </w:docVars>
  <w:rsids>
    <w:rsidRoot w:val="00B37065"/>
    <w:rsid w:val="00001D7A"/>
    <w:rsid w:val="00074166"/>
    <w:rsid w:val="0007765A"/>
    <w:rsid w:val="000A05D3"/>
    <w:rsid w:val="000D5266"/>
    <w:rsid w:val="000F6F9E"/>
    <w:rsid w:val="000F737A"/>
    <w:rsid w:val="00141383"/>
    <w:rsid w:val="001B040A"/>
    <w:rsid w:val="001C2415"/>
    <w:rsid w:val="00216745"/>
    <w:rsid w:val="00234C32"/>
    <w:rsid w:val="00242B0C"/>
    <w:rsid w:val="002B2C3E"/>
    <w:rsid w:val="002C3AD2"/>
    <w:rsid w:val="002D58DC"/>
    <w:rsid w:val="0033541D"/>
    <w:rsid w:val="003563DC"/>
    <w:rsid w:val="003A7DEE"/>
    <w:rsid w:val="003B6EE0"/>
    <w:rsid w:val="003F5C7E"/>
    <w:rsid w:val="00433ED4"/>
    <w:rsid w:val="00445C73"/>
    <w:rsid w:val="00445D32"/>
    <w:rsid w:val="005A1DA9"/>
    <w:rsid w:val="00625436"/>
    <w:rsid w:val="006B185E"/>
    <w:rsid w:val="006F34F0"/>
    <w:rsid w:val="0070270D"/>
    <w:rsid w:val="00715395"/>
    <w:rsid w:val="0079173F"/>
    <w:rsid w:val="007C69FE"/>
    <w:rsid w:val="00854E54"/>
    <w:rsid w:val="00885B16"/>
    <w:rsid w:val="008A18A5"/>
    <w:rsid w:val="008B58D5"/>
    <w:rsid w:val="008C0DFD"/>
    <w:rsid w:val="008F69BB"/>
    <w:rsid w:val="009027BE"/>
    <w:rsid w:val="00994932"/>
    <w:rsid w:val="009A42C9"/>
    <w:rsid w:val="009B257D"/>
    <w:rsid w:val="00A0309B"/>
    <w:rsid w:val="00A663B9"/>
    <w:rsid w:val="00AD43CB"/>
    <w:rsid w:val="00B06777"/>
    <w:rsid w:val="00B110E3"/>
    <w:rsid w:val="00B37065"/>
    <w:rsid w:val="00B77E40"/>
    <w:rsid w:val="00BA25C8"/>
    <w:rsid w:val="00CA447E"/>
    <w:rsid w:val="00D1181D"/>
    <w:rsid w:val="00D254A4"/>
    <w:rsid w:val="00D6367F"/>
    <w:rsid w:val="00DA24BB"/>
    <w:rsid w:val="00DF14AC"/>
    <w:rsid w:val="00E30FE7"/>
    <w:rsid w:val="00F0199B"/>
    <w:rsid w:val="00F04F87"/>
    <w:rsid w:val="00F17C26"/>
    <w:rsid w:val="00F2654A"/>
    <w:rsid w:val="00F61C9F"/>
    <w:rsid w:val="00F860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2E48C"/>
  <w15:docId w15:val="{D31C4325-C1EB-43ED-8D1B-CC2CD98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7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B3706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3706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B370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65"/>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B37065"/>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3706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370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bel">
    <w:name w:val="label"/>
    <w:basedOn w:val="DefaultParagraphFont"/>
    <w:rsid w:val="00B37065"/>
  </w:style>
  <w:style w:type="character" w:customStyle="1" w:styleId="math-inline">
    <w:name w:val="math-inline"/>
    <w:basedOn w:val="DefaultParagraphFont"/>
    <w:rsid w:val="00B37065"/>
  </w:style>
  <w:style w:type="paragraph" w:styleId="BalloonText">
    <w:name w:val="Balloon Text"/>
    <w:basedOn w:val="Normal"/>
    <w:link w:val="BalloonTextChar"/>
    <w:uiPriority w:val="99"/>
    <w:semiHidden/>
    <w:unhideWhenUsed/>
    <w:rsid w:val="00B3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65"/>
    <w:rPr>
      <w:rFonts w:ascii="Tahoma" w:hAnsi="Tahoma" w:cs="Tahoma"/>
      <w:sz w:val="16"/>
      <w:szCs w:val="16"/>
    </w:rPr>
  </w:style>
  <w:style w:type="character" w:customStyle="1" w:styleId="Heading4Char">
    <w:name w:val="Heading 4 Char"/>
    <w:basedOn w:val="DefaultParagraphFont"/>
    <w:link w:val="Heading4"/>
    <w:uiPriority w:val="9"/>
    <w:rsid w:val="00B37065"/>
    <w:rPr>
      <w:rFonts w:asciiTheme="majorHAnsi" w:eastAsiaTheme="majorEastAsia" w:hAnsiTheme="majorHAnsi" w:cstheme="majorBidi"/>
      <w:b/>
      <w:bCs/>
      <w:i/>
      <w:iCs/>
      <w:color w:val="4F81BD" w:themeColor="accent1"/>
    </w:rPr>
  </w:style>
  <w:style w:type="character" w:customStyle="1" w:styleId="ng-tns-c4100420941-47">
    <w:name w:val="ng-tns-c4100420941-47"/>
    <w:basedOn w:val="DefaultParagraphFont"/>
    <w:rsid w:val="00B37065"/>
  </w:style>
  <w:style w:type="character" w:customStyle="1" w:styleId="mat-mdc-button-persistent-ripple">
    <w:name w:val="mat-mdc-button-persistent-ripple"/>
    <w:basedOn w:val="DefaultParagraphFont"/>
    <w:rsid w:val="00B37065"/>
  </w:style>
  <w:style w:type="character" w:customStyle="1" w:styleId="mat-focus-indicator">
    <w:name w:val="mat-focus-indicator"/>
    <w:basedOn w:val="DefaultParagraphFont"/>
    <w:rsid w:val="00B37065"/>
  </w:style>
  <w:style w:type="character" w:customStyle="1" w:styleId="mat-mdc-button-touch-target">
    <w:name w:val="mat-mdc-button-touch-target"/>
    <w:basedOn w:val="DefaultParagraphFont"/>
    <w:rsid w:val="00B37065"/>
  </w:style>
  <w:style w:type="paragraph" w:styleId="HTMLPreformatted">
    <w:name w:val="HTML Preformatted"/>
    <w:basedOn w:val="Normal"/>
    <w:link w:val="HTMLPreformattedChar"/>
    <w:uiPriority w:val="99"/>
    <w:semiHidden/>
    <w:unhideWhenUsed/>
    <w:rsid w:val="00B3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B37065"/>
    <w:rPr>
      <w:rFonts w:ascii="Courier New" w:eastAsia="Times New Roman" w:hAnsi="Courier New" w:cs="Courier New"/>
      <w:sz w:val="20"/>
      <w:szCs w:val="20"/>
      <w:lang w:eastAsia="fr-FR"/>
    </w:rPr>
  </w:style>
  <w:style w:type="character" w:styleId="HTMLCode">
    <w:name w:val="HTML Code"/>
    <w:basedOn w:val="DefaultParagraphFont"/>
    <w:uiPriority w:val="99"/>
    <w:semiHidden/>
    <w:unhideWhenUsed/>
    <w:rsid w:val="00B37065"/>
    <w:rPr>
      <w:rFonts w:ascii="Courier New" w:eastAsia="Times New Roman" w:hAnsi="Courier New" w:cs="Courier New"/>
      <w:sz w:val="20"/>
      <w:szCs w:val="20"/>
    </w:rPr>
  </w:style>
  <w:style w:type="character" w:customStyle="1" w:styleId="hljs-keyword">
    <w:name w:val="hljs-keyword"/>
    <w:basedOn w:val="DefaultParagraphFont"/>
    <w:rsid w:val="00B37065"/>
  </w:style>
  <w:style w:type="character" w:customStyle="1" w:styleId="hljs-comment">
    <w:name w:val="hljs-comment"/>
    <w:basedOn w:val="DefaultParagraphFont"/>
    <w:rsid w:val="00B37065"/>
  </w:style>
  <w:style w:type="character" w:customStyle="1" w:styleId="hljs-string">
    <w:name w:val="hljs-string"/>
    <w:basedOn w:val="DefaultParagraphFont"/>
    <w:rsid w:val="00B37065"/>
  </w:style>
  <w:style w:type="character" w:customStyle="1" w:styleId="hljs-subst">
    <w:name w:val="hljs-subst"/>
    <w:basedOn w:val="DefaultParagraphFont"/>
    <w:rsid w:val="00B37065"/>
  </w:style>
  <w:style w:type="character" w:customStyle="1" w:styleId="hljs-number">
    <w:name w:val="hljs-number"/>
    <w:basedOn w:val="DefaultParagraphFont"/>
    <w:rsid w:val="00B37065"/>
  </w:style>
  <w:style w:type="character" w:customStyle="1" w:styleId="ng-tns-c4100420941-48">
    <w:name w:val="ng-tns-c4100420941-48"/>
    <w:basedOn w:val="DefaultParagraphFont"/>
    <w:rsid w:val="00B37065"/>
  </w:style>
  <w:style w:type="character" w:customStyle="1" w:styleId="hljs-builtin">
    <w:name w:val="hljs-built_in"/>
    <w:basedOn w:val="DefaultParagraphFont"/>
    <w:rsid w:val="00B37065"/>
  </w:style>
  <w:style w:type="character" w:customStyle="1" w:styleId="hljs-function">
    <w:name w:val="hljs-function"/>
    <w:basedOn w:val="DefaultParagraphFont"/>
    <w:rsid w:val="00B37065"/>
  </w:style>
  <w:style w:type="character" w:customStyle="1" w:styleId="hljs-title">
    <w:name w:val="hljs-title"/>
    <w:basedOn w:val="DefaultParagraphFont"/>
    <w:rsid w:val="00B37065"/>
  </w:style>
  <w:style w:type="character" w:customStyle="1" w:styleId="hljs-params">
    <w:name w:val="hljs-params"/>
    <w:basedOn w:val="DefaultParagraphFont"/>
    <w:rsid w:val="00B37065"/>
  </w:style>
  <w:style w:type="character" w:customStyle="1" w:styleId="hljs-literal">
    <w:name w:val="hljs-literal"/>
    <w:basedOn w:val="DefaultParagraphFont"/>
    <w:rsid w:val="00B37065"/>
  </w:style>
  <w:style w:type="character" w:styleId="Strong">
    <w:name w:val="Strong"/>
    <w:basedOn w:val="DefaultParagraphFont"/>
    <w:uiPriority w:val="22"/>
    <w:qFormat/>
    <w:rsid w:val="00B37065"/>
    <w:rPr>
      <w:b/>
      <w:bCs/>
    </w:rPr>
  </w:style>
  <w:style w:type="character" w:customStyle="1" w:styleId="citation-29">
    <w:name w:val="citation-29"/>
    <w:basedOn w:val="DefaultParagraphFont"/>
    <w:rsid w:val="00F2654A"/>
  </w:style>
  <w:style w:type="character" w:customStyle="1" w:styleId="citation-28">
    <w:name w:val="citation-28"/>
    <w:basedOn w:val="DefaultParagraphFont"/>
    <w:rsid w:val="00F2654A"/>
  </w:style>
  <w:style w:type="character" w:styleId="Hyperlink">
    <w:name w:val="Hyperlink"/>
    <w:basedOn w:val="DefaultParagraphFont"/>
    <w:uiPriority w:val="99"/>
    <w:semiHidden/>
    <w:unhideWhenUsed/>
    <w:rsid w:val="000F737A"/>
    <w:rPr>
      <w:color w:val="0000FF"/>
      <w:u w:val="single"/>
    </w:rPr>
  </w:style>
  <w:style w:type="paragraph" w:styleId="ListParagraph">
    <w:name w:val="List Paragraph"/>
    <w:basedOn w:val="Normal"/>
    <w:uiPriority w:val="34"/>
    <w:qFormat/>
    <w:rsid w:val="00F61C9F"/>
    <w:pPr>
      <w:ind w:left="720"/>
      <w:contextualSpacing/>
    </w:pPr>
  </w:style>
  <w:style w:type="paragraph" w:styleId="Header">
    <w:name w:val="header"/>
    <w:basedOn w:val="Normal"/>
    <w:link w:val="HeaderChar"/>
    <w:uiPriority w:val="99"/>
    <w:unhideWhenUsed/>
    <w:rsid w:val="00AD4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3CB"/>
  </w:style>
  <w:style w:type="paragraph" w:styleId="Footer">
    <w:name w:val="footer"/>
    <w:basedOn w:val="Normal"/>
    <w:link w:val="FooterChar"/>
    <w:uiPriority w:val="99"/>
    <w:unhideWhenUsed/>
    <w:rsid w:val="00AD4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3CB"/>
  </w:style>
  <w:style w:type="paragraph" w:styleId="NoSpacing">
    <w:name w:val="No Spacing"/>
    <w:uiPriority w:val="1"/>
    <w:qFormat/>
    <w:rsid w:val="0007765A"/>
    <w:pPr>
      <w:spacing w:after="0" w:line="240" w:lineRule="auto"/>
    </w:pPr>
    <w:rPr>
      <w:kern w:val="2"/>
      <w:lang w:val="en-US"/>
      <w14:ligatures w14:val="standardContextual"/>
    </w:rPr>
  </w:style>
  <w:style w:type="character" w:customStyle="1" w:styleId="citation-269">
    <w:name w:val="citation-269"/>
    <w:basedOn w:val="DefaultParagraphFont"/>
    <w:rsid w:val="00F0199B"/>
  </w:style>
  <w:style w:type="character" w:customStyle="1" w:styleId="citation-268">
    <w:name w:val="citation-268"/>
    <w:basedOn w:val="DefaultParagraphFont"/>
    <w:rsid w:val="00F0199B"/>
  </w:style>
  <w:style w:type="character" w:customStyle="1" w:styleId="citation-267">
    <w:name w:val="citation-267"/>
    <w:basedOn w:val="DefaultParagraphFont"/>
    <w:rsid w:val="00F0199B"/>
  </w:style>
  <w:style w:type="character" w:customStyle="1" w:styleId="citation-266">
    <w:name w:val="citation-266"/>
    <w:basedOn w:val="DefaultParagraphFont"/>
    <w:rsid w:val="00F0199B"/>
  </w:style>
  <w:style w:type="character" w:customStyle="1" w:styleId="citation-265">
    <w:name w:val="citation-265"/>
    <w:basedOn w:val="DefaultParagraphFont"/>
    <w:rsid w:val="00F0199B"/>
  </w:style>
  <w:style w:type="character" w:customStyle="1" w:styleId="citation-264">
    <w:name w:val="citation-264"/>
    <w:basedOn w:val="DefaultParagraphFont"/>
    <w:rsid w:val="00F0199B"/>
  </w:style>
  <w:style w:type="character" w:customStyle="1" w:styleId="citation-263">
    <w:name w:val="citation-263"/>
    <w:basedOn w:val="DefaultParagraphFont"/>
    <w:rsid w:val="00F0199B"/>
  </w:style>
  <w:style w:type="character" w:customStyle="1" w:styleId="citation-262">
    <w:name w:val="citation-262"/>
    <w:basedOn w:val="DefaultParagraphFont"/>
    <w:rsid w:val="00F0199B"/>
  </w:style>
  <w:style w:type="character" w:customStyle="1" w:styleId="citation-261">
    <w:name w:val="citation-261"/>
    <w:basedOn w:val="DefaultParagraphFont"/>
    <w:rsid w:val="00F0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677">
      <w:bodyDiv w:val="1"/>
      <w:marLeft w:val="0"/>
      <w:marRight w:val="0"/>
      <w:marTop w:val="0"/>
      <w:marBottom w:val="0"/>
      <w:divBdr>
        <w:top w:val="none" w:sz="0" w:space="0" w:color="auto"/>
        <w:left w:val="none" w:sz="0" w:space="0" w:color="auto"/>
        <w:bottom w:val="none" w:sz="0" w:space="0" w:color="auto"/>
        <w:right w:val="none" w:sz="0" w:space="0" w:color="auto"/>
      </w:divBdr>
      <w:divsChild>
        <w:div w:id="52876304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76982619">
      <w:bodyDiv w:val="1"/>
      <w:marLeft w:val="0"/>
      <w:marRight w:val="0"/>
      <w:marTop w:val="0"/>
      <w:marBottom w:val="0"/>
      <w:divBdr>
        <w:top w:val="none" w:sz="0" w:space="0" w:color="auto"/>
        <w:left w:val="none" w:sz="0" w:space="0" w:color="auto"/>
        <w:bottom w:val="none" w:sz="0" w:space="0" w:color="auto"/>
        <w:right w:val="none" w:sz="0" w:space="0" w:color="auto"/>
      </w:divBdr>
    </w:div>
    <w:div w:id="289215110">
      <w:bodyDiv w:val="1"/>
      <w:marLeft w:val="0"/>
      <w:marRight w:val="0"/>
      <w:marTop w:val="0"/>
      <w:marBottom w:val="0"/>
      <w:divBdr>
        <w:top w:val="none" w:sz="0" w:space="0" w:color="auto"/>
        <w:left w:val="none" w:sz="0" w:space="0" w:color="auto"/>
        <w:bottom w:val="none" w:sz="0" w:space="0" w:color="auto"/>
        <w:right w:val="none" w:sz="0" w:space="0" w:color="auto"/>
      </w:divBdr>
    </w:div>
    <w:div w:id="506793864">
      <w:bodyDiv w:val="1"/>
      <w:marLeft w:val="0"/>
      <w:marRight w:val="0"/>
      <w:marTop w:val="0"/>
      <w:marBottom w:val="0"/>
      <w:divBdr>
        <w:top w:val="none" w:sz="0" w:space="0" w:color="auto"/>
        <w:left w:val="none" w:sz="0" w:space="0" w:color="auto"/>
        <w:bottom w:val="none" w:sz="0" w:space="0" w:color="auto"/>
        <w:right w:val="none" w:sz="0" w:space="0" w:color="auto"/>
      </w:divBdr>
    </w:div>
    <w:div w:id="613169468">
      <w:bodyDiv w:val="1"/>
      <w:marLeft w:val="0"/>
      <w:marRight w:val="0"/>
      <w:marTop w:val="0"/>
      <w:marBottom w:val="0"/>
      <w:divBdr>
        <w:top w:val="none" w:sz="0" w:space="0" w:color="auto"/>
        <w:left w:val="none" w:sz="0" w:space="0" w:color="auto"/>
        <w:bottom w:val="none" w:sz="0" w:space="0" w:color="auto"/>
        <w:right w:val="none" w:sz="0" w:space="0" w:color="auto"/>
      </w:divBdr>
    </w:div>
    <w:div w:id="665939202">
      <w:bodyDiv w:val="1"/>
      <w:marLeft w:val="0"/>
      <w:marRight w:val="0"/>
      <w:marTop w:val="0"/>
      <w:marBottom w:val="0"/>
      <w:divBdr>
        <w:top w:val="none" w:sz="0" w:space="0" w:color="auto"/>
        <w:left w:val="none" w:sz="0" w:space="0" w:color="auto"/>
        <w:bottom w:val="none" w:sz="0" w:space="0" w:color="auto"/>
        <w:right w:val="none" w:sz="0" w:space="0" w:color="auto"/>
      </w:divBdr>
    </w:div>
    <w:div w:id="871109736">
      <w:bodyDiv w:val="1"/>
      <w:marLeft w:val="0"/>
      <w:marRight w:val="0"/>
      <w:marTop w:val="0"/>
      <w:marBottom w:val="0"/>
      <w:divBdr>
        <w:top w:val="none" w:sz="0" w:space="0" w:color="auto"/>
        <w:left w:val="none" w:sz="0" w:space="0" w:color="auto"/>
        <w:bottom w:val="none" w:sz="0" w:space="0" w:color="auto"/>
        <w:right w:val="none" w:sz="0" w:space="0" w:color="auto"/>
      </w:divBdr>
    </w:div>
    <w:div w:id="879900744">
      <w:bodyDiv w:val="1"/>
      <w:marLeft w:val="0"/>
      <w:marRight w:val="0"/>
      <w:marTop w:val="0"/>
      <w:marBottom w:val="0"/>
      <w:divBdr>
        <w:top w:val="none" w:sz="0" w:space="0" w:color="auto"/>
        <w:left w:val="none" w:sz="0" w:space="0" w:color="auto"/>
        <w:bottom w:val="none" w:sz="0" w:space="0" w:color="auto"/>
        <w:right w:val="none" w:sz="0" w:space="0" w:color="auto"/>
      </w:divBdr>
      <w:divsChild>
        <w:div w:id="653477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22951010">
      <w:bodyDiv w:val="1"/>
      <w:marLeft w:val="0"/>
      <w:marRight w:val="0"/>
      <w:marTop w:val="0"/>
      <w:marBottom w:val="0"/>
      <w:divBdr>
        <w:top w:val="none" w:sz="0" w:space="0" w:color="auto"/>
        <w:left w:val="none" w:sz="0" w:space="0" w:color="auto"/>
        <w:bottom w:val="none" w:sz="0" w:space="0" w:color="auto"/>
        <w:right w:val="none" w:sz="0" w:space="0" w:color="auto"/>
      </w:divBdr>
    </w:div>
    <w:div w:id="1195576609">
      <w:bodyDiv w:val="1"/>
      <w:marLeft w:val="0"/>
      <w:marRight w:val="0"/>
      <w:marTop w:val="0"/>
      <w:marBottom w:val="0"/>
      <w:divBdr>
        <w:top w:val="none" w:sz="0" w:space="0" w:color="auto"/>
        <w:left w:val="none" w:sz="0" w:space="0" w:color="auto"/>
        <w:bottom w:val="none" w:sz="0" w:space="0" w:color="auto"/>
        <w:right w:val="none" w:sz="0" w:space="0" w:color="auto"/>
      </w:divBdr>
    </w:div>
    <w:div w:id="1257979154">
      <w:bodyDiv w:val="1"/>
      <w:marLeft w:val="0"/>
      <w:marRight w:val="0"/>
      <w:marTop w:val="0"/>
      <w:marBottom w:val="0"/>
      <w:divBdr>
        <w:top w:val="none" w:sz="0" w:space="0" w:color="auto"/>
        <w:left w:val="none" w:sz="0" w:space="0" w:color="auto"/>
        <w:bottom w:val="none" w:sz="0" w:space="0" w:color="auto"/>
        <w:right w:val="none" w:sz="0" w:space="0" w:color="auto"/>
      </w:divBdr>
    </w:div>
    <w:div w:id="1411658016">
      <w:bodyDiv w:val="1"/>
      <w:marLeft w:val="0"/>
      <w:marRight w:val="0"/>
      <w:marTop w:val="0"/>
      <w:marBottom w:val="0"/>
      <w:divBdr>
        <w:top w:val="none" w:sz="0" w:space="0" w:color="auto"/>
        <w:left w:val="none" w:sz="0" w:space="0" w:color="auto"/>
        <w:bottom w:val="none" w:sz="0" w:space="0" w:color="auto"/>
        <w:right w:val="none" w:sz="0" w:space="0" w:color="auto"/>
      </w:divBdr>
    </w:div>
    <w:div w:id="1566837279">
      <w:bodyDiv w:val="1"/>
      <w:marLeft w:val="0"/>
      <w:marRight w:val="0"/>
      <w:marTop w:val="0"/>
      <w:marBottom w:val="0"/>
      <w:divBdr>
        <w:top w:val="none" w:sz="0" w:space="0" w:color="auto"/>
        <w:left w:val="none" w:sz="0" w:space="0" w:color="auto"/>
        <w:bottom w:val="none" w:sz="0" w:space="0" w:color="auto"/>
        <w:right w:val="none" w:sz="0" w:space="0" w:color="auto"/>
      </w:divBdr>
    </w:div>
    <w:div w:id="1699116443">
      <w:bodyDiv w:val="1"/>
      <w:marLeft w:val="0"/>
      <w:marRight w:val="0"/>
      <w:marTop w:val="0"/>
      <w:marBottom w:val="0"/>
      <w:divBdr>
        <w:top w:val="none" w:sz="0" w:space="0" w:color="auto"/>
        <w:left w:val="none" w:sz="0" w:space="0" w:color="auto"/>
        <w:bottom w:val="none" w:sz="0" w:space="0" w:color="auto"/>
        <w:right w:val="none" w:sz="0" w:space="0" w:color="auto"/>
      </w:divBdr>
      <w:divsChild>
        <w:div w:id="5880780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8474634">
      <w:bodyDiv w:val="1"/>
      <w:marLeft w:val="0"/>
      <w:marRight w:val="0"/>
      <w:marTop w:val="0"/>
      <w:marBottom w:val="0"/>
      <w:divBdr>
        <w:top w:val="none" w:sz="0" w:space="0" w:color="auto"/>
        <w:left w:val="none" w:sz="0" w:space="0" w:color="auto"/>
        <w:bottom w:val="none" w:sz="0" w:space="0" w:color="auto"/>
        <w:right w:val="none" w:sz="0" w:space="0" w:color="auto"/>
      </w:divBdr>
    </w:div>
    <w:div w:id="1814062874">
      <w:bodyDiv w:val="1"/>
      <w:marLeft w:val="0"/>
      <w:marRight w:val="0"/>
      <w:marTop w:val="0"/>
      <w:marBottom w:val="0"/>
      <w:divBdr>
        <w:top w:val="none" w:sz="0" w:space="0" w:color="auto"/>
        <w:left w:val="none" w:sz="0" w:space="0" w:color="auto"/>
        <w:bottom w:val="none" w:sz="0" w:space="0" w:color="auto"/>
        <w:right w:val="none" w:sz="0" w:space="0" w:color="auto"/>
      </w:divBdr>
    </w:div>
    <w:div w:id="2001082861">
      <w:bodyDiv w:val="1"/>
      <w:marLeft w:val="0"/>
      <w:marRight w:val="0"/>
      <w:marTop w:val="0"/>
      <w:marBottom w:val="0"/>
      <w:divBdr>
        <w:top w:val="none" w:sz="0" w:space="0" w:color="auto"/>
        <w:left w:val="none" w:sz="0" w:space="0" w:color="auto"/>
        <w:bottom w:val="none" w:sz="0" w:space="0" w:color="auto"/>
        <w:right w:val="none" w:sz="0" w:space="0" w:color="auto"/>
      </w:divBdr>
    </w:div>
    <w:div w:id="20444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0C68-230E-4DF8-BAEA-5A2BE8A2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3199</Words>
  <Characters>18239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Editor-1183</cp:lastModifiedBy>
  <cp:revision>55</cp:revision>
  <dcterms:created xsi:type="dcterms:W3CDTF">2026-03-04T22:52:00Z</dcterms:created>
  <dcterms:modified xsi:type="dcterms:W3CDTF">2026-03-30T09:14:00Z</dcterms:modified>
</cp:coreProperties>
</file>