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BCB" w:rsidRDefault="00165072">
      <w:pPr>
        <w:widowControl w:val="0"/>
        <w:ind w:firstLine="0"/>
        <w:jc w:val="left"/>
        <w:rPr>
          <w:rFonts w:ascii="Arial" w:eastAsia="Arial" w:hAnsi="Arial" w:cs="Arial"/>
          <w:b/>
          <w:bCs/>
        </w:rPr>
      </w:pPr>
      <w:r>
        <w:rPr>
          <w:rFonts w:ascii="Arial" w:eastAsia="Arial" w:hAnsi="Arial" w:cs="Arial"/>
          <w:b/>
          <w:bCs/>
        </w:rPr>
        <w:t xml:space="preserve">Estimation of Insulin Resistance in Non-Diabetic Female Patients by the </w:t>
      </w:r>
      <w:proofErr w:type="spellStart"/>
      <w:r>
        <w:rPr>
          <w:rFonts w:ascii="Arial" w:eastAsia="Arial" w:hAnsi="Arial" w:cs="Arial"/>
          <w:b/>
          <w:bCs/>
        </w:rPr>
        <w:t>TyG</w:t>
      </w:r>
      <w:proofErr w:type="spellEnd"/>
      <w:r>
        <w:rPr>
          <w:rFonts w:ascii="Arial" w:eastAsia="Arial" w:hAnsi="Arial" w:cs="Arial"/>
          <w:b/>
          <w:bCs/>
        </w:rPr>
        <w:t xml:space="preserve"> Index</w:t>
      </w:r>
    </w:p>
    <w:p w:rsidR="008F3BCB" w:rsidRDefault="008F3BCB">
      <w:pPr>
        <w:widowControl w:val="0"/>
        <w:ind w:left="-567" w:firstLine="0"/>
        <w:rPr>
          <w:b/>
          <w:bCs/>
          <w:sz w:val="28"/>
          <w:szCs w:val="28"/>
        </w:rPr>
      </w:pPr>
    </w:p>
    <w:p w:rsidR="008F3BCB" w:rsidRDefault="00165072">
      <w:pPr>
        <w:pStyle w:val="Heading2"/>
        <w:keepNext w:val="0"/>
        <w:keepLines w:val="0"/>
        <w:widowControl w:val="0"/>
        <w:rPr>
          <w:sz w:val="33"/>
          <w:szCs w:val="33"/>
        </w:rPr>
      </w:pPr>
      <w:bookmarkStart w:id="0" w:name="_17zxe4w0dix7" w:colFirst="0" w:colLast="0"/>
      <w:bookmarkEnd w:id="0"/>
      <w:r>
        <w:rPr>
          <w:sz w:val="33"/>
          <w:szCs w:val="33"/>
        </w:rPr>
        <w:t>Abstract</w:t>
      </w:r>
    </w:p>
    <w:p w:rsidR="008F3BCB" w:rsidRDefault="00165072">
      <w:pPr>
        <w:ind w:firstLine="0"/>
        <w:rPr>
          <w:highlight w:val="yellow"/>
        </w:rPr>
      </w:pPr>
      <w:r>
        <w:rPr>
          <w:b/>
          <w:bCs/>
          <w:highlight w:val="yellow"/>
        </w:rPr>
        <w:t>Background</w:t>
      </w:r>
      <w:r>
        <w:rPr>
          <w:highlight w:val="yellow"/>
        </w:rPr>
        <w:t>: The development of metabolic and cardiovascular conditions is fundamentally driven by "insulin resistance" (IR). For effective preventive healthcare, it is essential to detect asymptomatic IR early in people without diabetes. Therefore, the primary objec</w:t>
      </w:r>
      <w:r>
        <w:rPr>
          <w:highlight w:val="yellow"/>
        </w:rPr>
        <w:t>tive of this investigation was to assess how reliably the triglyceride-glucose (TyG) index functions as an alternative, non-invasive indicator for identifying preliminary insulin resistance specifically among non-diabetic women. This approach bridges a vit</w:t>
      </w:r>
      <w:r>
        <w:rPr>
          <w:highlight w:val="yellow"/>
        </w:rPr>
        <w:t>al gap in early metabolic screening.</w:t>
      </w:r>
    </w:p>
    <w:p w:rsidR="008F3BCB" w:rsidRDefault="00165072">
      <w:pPr>
        <w:ind w:firstLine="0"/>
        <w:rPr>
          <w:highlight w:val="yellow"/>
        </w:rPr>
      </w:pPr>
      <w:r>
        <w:rPr>
          <w:b/>
          <w:bCs/>
          <w:highlight w:val="yellow"/>
        </w:rPr>
        <w:t>Methods</w:t>
      </w:r>
      <w:r>
        <w:rPr>
          <w:highlight w:val="yellow"/>
        </w:rPr>
        <w:t>: We executed an observational cross-sectional analysis comprising 75 women without diabetes at the Al-Diwaniyah Health Directorate in Iraq. Based on specific metabolic and clinical assessments, the subjects were</w:t>
      </w:r>
      <w:r>
        <w:rPr>
          <w:highlight w:val="yellow"/>
        </w:rPr>
        <w:t xml:space="preserve"> divided into two distinct cohorts: an at-risk group for IR (n=50) and a normometabolic control set (n=25). Key physical metrics, such as waist circumference and body mass index (BMI), were documented by the research team. Furthermore, fasting blood sample</w:t>
      </w:r>
      <w:r>
        <w:rPr>
          <w:highlight w:val="yellow"/>
        </w:rPr>
        <w:t>s were evaluated to measure insulin, triglycerides, and plasma glucose concentrations. To compute the TyG index, the standard "natural logarithm equation" was applied. The diagnostic efficacy was subsequently analyzed through Receiver Operating Characteris</w:t>
      </w:r>
      <w:r>
        <w:rPr>
          <w:highlight w:val="yellow"/>
        </w:rPr>
        <w:t>tic (ROC) curves and Pearson correlation techniques, providing a robust statistical framework for our findings.</w:t>
      </w:r>
    </w:p>
    <w:p w:rsidR="008F3BCB" w:rsidRDefault="00165072">
      <w:pPr>
        <w:ind w:firstLine="0"/>
        <w:rPr>
          <w:highlight w:val="yellow"/>
        </w:rPr>
      </w:pPr>
      <w:r>
        <w:rPr>
          <w:b/>
          <w:bCs/>
          <w:highlight w:val="yellow"/>
        </w:rPr>
        <w:t>Results</w:t>
      </w:r>
      <w:r>
        <w:rPr>
          <w:highlight w:val="yellow"/>
        </w:rPr>
        <w:t>: Compared to the healthy volunteers, women in the clinical risk category demonstrated a significantly higher TyG index (p &lt; 0.05). Addit</w:t>
      </w:r>
      <w:r>
        <w:rPr>
          <w:highlight w:val="yellow"/>
        </w:rPr>
        <w:t xml:space="preserve">ionally, this index showed a profound positive relationship with metrics of central obesity (waist circumference and BMI) and fasting insulin levels. This clearly illustrates the strong connection between central adiposity and early metabolic disruptions. </w:t>
      </w:r>
      <w:r>
        <w:rPr>
          <w:highlight w:val="yellow"/>
        </w:rPr>
        <w:t>Through ROC evaluation, the index displayed remarkable diagnostic precision; an optimal threshold of 8.65 was established. This specific cut-off point successfully maximized specificity and sensitivity for recognizing preliminary IR within this female demo</w:t>
      </w:r>
      <w:r>
        <w:rPr>
          <w:highlight w:val="yellow"/>
        </w:rPr>
        <w:t>graphic.</w:t>
      </w:r>
    </w:p>
    <w:p w:rsidR="008F3BCB" w:rsidRDefault="00165072">
      <w:pPr>
        <w:ind w:firstLine="0"/>
        <w:rPr>
          <w:highlight w:val="yellow"/>
        </w:rPr>
      </w:pPr>
      <w:r>
        <w:rPr>
          <w:b/>
          <w:bCs/>
          <w:highlight w:val="yellow"/>
        </w:rPr>
        <w:t>Conclusion</w:t>
      </w:r>
      <w:r>
        <w:rPr>
          <w:highlight w:val="yellow"/>
        </w:rPr>
        <w:t>: Ultimately, the TyG index serves as an economical, easily accessible, and highly dependable alternative marker for uncovering hidden insulin resistance in women who do not have diabetes. By incorporating this straightforward measuremen</w:t>
      </w:r>
      <w:r>
        <w:rPr>
          <w:highlight w:val="yellow"/>
        </w:rPr>
        <w:t>t into everyday clinical assessments, medical practitioners can fundamentally alter current diagnostic protocols. This proactive identification allows for the timely application of lifestyle and dietary therapies, which is crucial for substantially decreas</w:t>
      </w:r>
      <w:r>
        <w:rPr>
          <w:highlight w:val="yellow"/>
        </w:rPr>
        <w:t>ing the long-term risk of severe cardiometabolic diseases.</w:t>
      </w:r>
    </w:p>
    <w:p w:rsidR="008F3BCB" w:rsidRDefault="00165072">
      <w:pPr>
        <w:widowControl w:val="0"/>
        <w:ind w:firstLine="0"/>
      </w:pPr>
      <w:r>
        <w:rPr>
          <w:b/>
          <w:bCs/>
        </w:rPr>
        <w:t>Keywords:</w:t>
      </w:r>
      <w:r>
        <w:t xml:space="preserve"> Triglyceride-glucose index; Insulin resistance; Non-diabetic females; Surrogate </w:t>
      </w:r>
      <w:r>
        <w:lastRenderedPageBreak/>
        <w:t>marker; Cardiometabolic risk; Central adiposity.</w:t>
      </w:r>
    </w:p>
    <w:p w:rsidR="008F3BCB" w:rsidRDefault="008F3BCB">
      <w:pPr>
        <w:widowControl w:val="0"/>
        <w:ind w:firstLine="0"/>
        <w:rPr>
          <w:b/>
          <w:bCs/>
        </w:rPr>
      </w:pPr>
    </w:p>
    <w:p w:rsidR="008F3BCB" w:rsidRDefault="008F3BCB">
      <w:pPr>
        <w:widowControl w:val="0"/>
        <w:ind w:firstLine="0"/>
        <w:rPr>
          <w:b/>
          <w:bCs/>
        </w:rPr>
      </w:pPr>
    </w:p>
    <w:p w:rsidR="008F3BCB" w:rsidRDefault="00165072">
      <w:pPr>
        <w:pStyle w:val="Heading2"/>
        <w:keepNext w:val="0"/>
        <w:keepLines w:val="0"/>
        <w:widowControl w:val="0"/>
      </w:pPr>
      <w:bookmarkStart w:id="1" w:name="_ndewtw19tzua" w:colFirst="0" w:colLast="0"/>
      <w:bookmarkEnd w:id="1"/>
      <w:r>
        <w:rPr>
          <w:sz w:val="33"/>
          <w:szCs w:val="33"/>
        </w:rPr>
        <w:t>1. Introduction</w:t>
      </w:r>
    </w:p>
    <w:p w:rsidR="008F3BCB" w:rsidRDefault="00165072">
      <w:pPr>
        <w:pBdr>
          <w:top w:val="nil"/>
          <w:left w:val="nil"/>
          <w:bottom w:val="nil"/>
          <w:right w:val="nil"/>
          <w:between w:val="nil"/>
        </w:pBdr>
        <w:rPr>
          <w:highlight w:val="yellow"/>
        </w:rPr>
      </w:pPr>
      <w:r>
        <w:rPr>
          <w:highlight w:val="yellow"/>
        </w:rPr>
        <w:t>The risk of cardiovascular complications</w:t>
      </w:r>
      <w:r>
        <w:rPr>
          <w:highlight w:val="yellow"/>
        </w:rPr>
        <w:t xml:space="preserve"> in individuals without diabetes is heavily driven by underlying insulin resistance, typically functioning through concurrent metabolic disturbances and hyperglycemia. To effectively address this clinical challenge, the triglyceride-glucose (TyG) index was</w:t>
      </w:r>
      <w:r>
        <w:rPr>
          <w:highlight w:val="yellow"/>
        </w:rPr>
        <w:t xml:space="preserve"> established by researchers. By mathematically integrating fasting serum glucose and triglyceride levels, this specific metric serves as an easily attainable and profoundly accurate alternative indicator for detecting preliminary insulin resistance (Lu et </w:t>
      </w:r>
      <w:r>
        <w:rPr>
          <w:highlight w:val="yellow"/>
        </w:rPr>
        <w:t>al., 2021). Implementing such practical diagnostic tools is therefore fundamentally essential for early preventative medical intervention.</w:t>
      </w:r>
    </w:p>
    <w:p w:rsidR="008F3BCB" w:rsidRDefault="00165072">
      <w:r>
        <w:t>The triglyceride-glucose index serves as a crucial tool for identifying high-risk individuals, demonstrating predicti</w:t>
      </w:r>
      <w:r>
        <w:t>ve value across various clinical settings.</w:t>
      </w:r>
      <w:r>
        <w:rPr>
          <w:highlight w:val="yellow"/>
        </w:rPr>
        <w:t>The correlation linking the TyG index to the initial stages of asymptomatic atherosclerosis varies considerably between sexes. Consequently, highlighting this gender disparity creates a critical need to investigate</w:t>
      </w:r>
      <w:r>
        <w:rPr>
          <w:highlight w:val="yellow"/>
        </w:rPr>
        <w:t xml:space="preserve"> this specific diagnostic parameter exclusively among female cohorts without diabetes (Li et al., 2025; Lu et al., 2021). Such a targeted approach ensures that unique metabolic vulnerabilities in women are accurately recognized during early clinical assess</w:t>
      </w:r>
      <w:r>
        <w:rPr>
          <w:highlight w:val="yellow"/>
        </w:rPr>
        <w:t>ments.</w:t>
      </w:r>
    </w:p>
    <w:p w:rsidR="008F3BCB" w:rsidRDefault="00165072">
      <w:r>
        <w:rPr>
          <w:highlight w:val="yellow"/>
        </w:rPr>
        <w:t>Accurately establishing the worldwide occurrence rates of insulin resistance among mature demographics continues to be essential, particularly when accounting for variations in demographic profiles and methodological approaches. The widespread inter</w:t>
      </w:r>
      <w:r>
        <w:rPr>
          <w:highlight w:val="yellow"/>
        </w:rPr>
        <w:t>national surge in this condition perpetually fuels a rise in related metabolic dysfunctions. Consequently, this escalating clinical challenge creates a profound burden on medical systems, making the adoption of proactive screening techniques—such as the tr</w:t>
      </w:r>
      <w:r>
        <w:rPr>
          <w:highlight w:val="yellow"/>
        </w:rPr>
        <w:t>iglyceride-glucose index—absolutely indispensable (Ballena-Caicedo et al., 2025).</w:t>
      </w:r>
    </w:p>
    <w:p w:rsidR="008F3BCB" w:rsidRDefault="00165072">
      <w:r>
        <w:t xml:space="preserve">The hyperinsulinemic-euglycemic clamp remains the gold standard for assessing insulin sensitivity, yet its immense complexity limits routine application. While some patients </w:t>
      </w:r>
      <w:r>
        <w:t>exhibit significant insulin resistance, research indicates the TyG index performs better than traditional metrics, providing a convenient, economical, and simple non-invasive alternative for accurately estimating insulin resistance in clinical practice (Lu</w:t>
      </w:r>
      <w:r>
        <w:t>o et al., 2022).</w:t>
      </w:r>
    </w:p>
    <w:p w:rsidR="008F3BCB" w:rsidRDefault="00165072">
      <w:r>
        <w:t xml:space="preserve">In a previous study about non-diabetic critically ill patients in the year 2025, researchers found the TyG index demonstrates a significant positive correlation with all-cause mortality, </w:t>
      </w:r>
      <w:r>
        <w:lastRenderedPageBreak/>
        <w:t>exhibiting a nonlinear relationship (Li et al., 2025</w:t>
      </w:r>
      <w:r>
        <w:t>). Similarly, another recent cross-sectional study successfully evaluated the TyG index as a biomarker for identifying prediabetes in vulnerable young demographic populations (Liu et al., 2025).</w:t>
      </w:r>
    </w:p>
    <w:p w:rsidR="008F3BCB" w:rsidRDefault="00165072">
      <w:r>
        <w:rPr>
          <w:highlight w:val="yellow"/>
        </w:rPr>
        <w:t>To prevent chronic vascular injuries, it is imperative to ide</w:t>
      </w:r>
      <w:r>
        <w:rPr>
          <w:highlight w:val="yellow"/>
        </w:rPr>
        <w:t>ntify metabolic abnormalities at an early stage. High TyG scores in individuals without diabetes are considered a dependable proxy for insulin resistance, as they effectively capture the complex interaction between glucose balance and lipid metabolism. Mor</w:t>
      </w:r>
      <w:r>
        <w:rPr>
          <w:highlight w:val="yellow"/>
        </w:rPr>
        <w:t>eover, the likelihood of future cardiovascular events can be powerfully forecasted by this specific metric (Abudukeremu et al., 2025; Priego-Parra et al., 2024). This undeniably reinforces the urgent need for medical professionals to implement preemptive s</w:t>
      </w:r>
      <w:r>
        <w:rPr>
          <w:highlight w:val="yellow"/>
        </w:rPr>
        <w:t>creening strategies to protect vulnerable patients.</w:t>
      </w:r>
    </w:p>
    <w:p w:rsidR="008F3BCB" w:rsidRDefault="00165072">
      <w:r>
        <w:t>Recent studies highlight the TyG index as an optimal predictor for various metabolic conditions, often outperforming traditional markers like HOMA-IR. Its utility extends across different clinical populat</w:t>
      </w:r>
      <w:r>
        <w:t>ions, demonstrating significant prognostic value in identifying risks for metabolic dysfunction-associated fatty liver disease, end-stage renal disease, and metabolic syndrome in adults (Haidar et al., 2024; Kim et al., 2024; Morshed et al., 2024; Kim et a</w:t>
      </w:r>
      <w:r>
        <w:t>l., 2025).</w:t>
      </w:r>
    </w:p>
    <w:p w:rsidR="008F3BCB" w:rsidRDefault="00165072">
      <w:r>
        <w:rPr>
          <w:highlight w:val="yellow"/>
        </w:rPr>
        <w:t xml:space="preserve">Cardiovascular complications and elevated mortality risks among non-diabetic populations are frequently driven by underlying insulin resistance, a condition heavily influenced by metabolic disturbances and hyperglycemia (Hedblad et al., 2002; Bugianesi et </w:t>
      </w:r>
      <w:r>
        <w:rPr>
          <w:highlight w:val="yellow"/>
        </w:rPr>
        <w:t>al., 2005). To facilitate the timely diagnosis of this silent risk factor, the triglyceride-glucose (TyG) index was introduced into clinical practice. Derived mathematically from fasting serum glucose and triglyceride levels, this metric is now widely reco</w:t>
      </w:r>
      <w:r>
        <w:rPr>
          <w:highlight w:val="yellow"/>
        </w:rPr>
        <w:t>gnized as a highly dependable, accessible, and non-invasive alternative for detecting early-stage insulin resistance (Lu et al., 2021). From a clinical perspective, adopting such practical screening tools is essential for effectively preventing the progres</w:t>
      </w:r>
      <w:r>
        <w:rPr>
          <w:highlight w:val="yellow"/>
        </w:rPr>
        <w:t>sion of severe cardiovascular and metabolic dysfunctions.</w:t>
      </w:r>
    </w:p>
    <w:p w:rsidR="008F3BCB" w:rsidRDefault="00165072">
      <w:r>
        <w:t>Based on the aforementioned literature and the critical need for non-invasive diagnostic tools, the primary objective of this current study is the precise estimation of insulin resistance in non-dia</w:t>
      </w:r>
      <w:r>
        <w:t>betic female patients by utilizing the TyG index. Ultimately, this research aims to establish a reliable, cost-effective screening strategy to prevent future cardiovascular and metabolic complications.</w:t>
      </w:r>
    </w:p>
    <w:p w:rsidR="008F3BCB" w:rsidRDefault="00165072">
      <w:pPr>
        <w:pStyle w:val="Heading1"/>
      </w:pPr>
      <w:bookmarkStart w:id="2" w:name="_zblsohpmtqlr" w:colFirst="0" w:colLast="0"/>
      <w:bookmarkEnd w:id="2"/>
      <w:r>
        <w:t>2. Methods</w:t>
      </w:r>
    </w:p>
    <w:p w:rsidR="008F3BCB" w:rsidRDefault="00165072">
      <w:pPr>
        <w:pStyle w:val="Heading2"/>
      </w:pPr>
      <w:bookmarkStart w:id="3" w:name="_fu7knt2xa6nq" w:colFirst="0" w:colLast="0"/>
      <w:bookmarkEnd w:id="3"/>
      <w:r>
        <w:t xml:space="preserve"> 2.1. Study Design and Participants</w:t>
      </w:r>
    </w:p>
    <w:p w:rsidR="008F3BCB" w:rsidRDefault="00165072">
      <w:r>
        <w:t>This re</w:t>
      </w:r>
      <w:r>
        <w:t xml:space="preserve">search was designed as a cross-sectional observational study conducted at the Al-Diwaniyah Health Directorate, Ministry of Health, Republic of Iraq. The primary objective of the </w:t>
      </w:r>
      <w:r>
        <w:lastRenderedPageBreak/>
        <w:t>current research was to precisely evaluate early insulin resistance in a speci</w:t>
      </w:r>
      <w:r>
        <w:t>fic vulnerable demographic. To achieve this, a total of 75 non-diabetic female patients were recruited to participate in this clinical investigation.</w:t>
      </w:r>
    </w:p>
    <w:p w:rsidR="008F3BCB" w:rsidRDefault="00165072">
      <w:pPr>
        <w:rPr>
          <w:highlight w:val="yellow"/>
        </w:rPr>
      </w:pPr>
      <w:r>
        <w:rPr>
          <w:highlight w:val="yellow"/>
        </w:rPr>
        <w:t xml:space="preserve">To guarantee the integrity of the metabolic findings, the subjects underwent a rigorous screening process </w:t>
      </w:r>
      <w:r>
        <w:rPr>
          <w:highlight w:val="yellow"/>
        </w:rPr>
        <w:t>guided by stringent eligibility parameters. Anyone with a pre-existing diagnosis of cardiovascular disease, confirmed diabetes, or those consuming drugs known to modify insulin sensitivity and lipid levels was systematically disqualified from the investiga</w:t>
      </w:r>
      <w:r>
        <w:rPr>
          <w:highlight w:val="yellow"/>
        </w:rPr>
        <w:t>tion (Er et al., 2016). As a result, the final cohort exclusively consisted of mature women lacking any diabetic background, thereby establishing a highly precise and unconfounded foundation for detecting asymptomatic metabolic shifts.</w:t>
      </w:r>
    </w:p>
    <w:p w:rsidR="008F3BCB" w:rsidRDefault="00165072">
      <w:r>
        <w:t>Following the initia</w:t>
      </w:r>
      <w:r>
        <w:t>l clinical screening, the 75 enrolled female subjects were stratified into two distinct cohorts for comparative analysis. The first cohort consisted of 25 healthy women who served as the normative control group. The second cohort comprised 50 women who exh</w:t>
      </w:r>
      <w:r>
        <w:t>ibited clinical or metabolic risk factors associated with insulin resistance. Prior to enrollment and data collection, informed consent was officially obtained from all participants, strictly adhering to the Code of Ethics in Research approved by the Iraqi</w:t>
      </w:r>
      <w:r>
        <w:t xml:space="preserve"> Ministry of Health.</w:t>
      </w:r>
    </w:p>
    <w:p w:rsidR="008F3BCB" w:rsidRDefault="00165072">
      <w:pPr>
        <w:pStyle w:val="Heading2"/>
      </w:pPr>
      <w:bookmarkStart w:id="4" w:name="_d1r0bx8pqcpc" w:colFirst="0" w:colLast="0"/>
      <w:bookmarkEnd w:id="4"/>
      <w:r>
        <w:t>2.2. Anthropometric and Biochemical Measurements</w:t>
      </w:r>
    </w:p>
    <w:p w:rsidR="008F3BCB" w:rsidRDefault="00165072">
      <w:r>
        <w:rPr>
          <w:highlight w:val="yellow"/>
        </w:rPr>
        <w:t>To guarantee the precision of baseline metabolic parameters, venous blood specimens were obtained from all female subjects without diabetes strictly after a nocturnal fasting period span</w:t>
      </w:r>
      <w:r>
        <w:rPr>
          <w:highlight w:val="yellow"/>
        </w:rPr>
        <w:t>ning eight to twelve hours. Implementing this standardized preparatory protocol is fundamental to eliminating short-term dietary confounders during clinical evaluations. Standardized protocols were employed by qualified healthcare staff to accurately recor</w:t>
      </w:r>
      <w:r>
        <w:rPr>
          <w:highlight w:val="yellow"/>
        </w:rPr>
        <w:t>d essential physical metrics, such as waist girth, stature, and body mass. Following this, researchers determined each subject's Body Mass Index (BMI) through the conventional mathematical ratio of weight in kilograms to squared height in meters (Er et al.</w:t>
      </w:r>
      <w:r>
        <w:rPr>
          <w:highlight w:val="yellow"/>
        </w:rPr>
        <w:t>, 2016). To facilitate a thorough biochemical analysis, the withdrawn venous specimens underwent immediate centrifugation. The concentrations of plasma glucose and triglycerides in the fasting state were then precisely quantified using routine enzymatic co</w:t>
      </w:r>
      <w:r>
        <w:rPr>
          <w:highlight w:val="yellow"/>
        </w:rPr>
        <w:t>lorimetric techniques on an automated analyzer. Implementing such rigorous clinical procedures is crucial for minimizing pre-analytical errors and ensuring the absolute reliability of the subsequent metabolic assessments.</w:t>
      </w:r>
      <w:r>
        <w:t>Furthermore, to cross-verify the pr</w:t>
      </w:r>
      <w:r>
        <w:t>esence of insulin resistance, fasting insulin levels were quantitatively measured utilizing a highly sensitive enzyme-linked immunosorbent assay (ELISA) to evaluate the baseline hyperinsulinemic state directly (Luo et al., 2022).</w:t>
      </w:r>
    </w:p>
    <w:p w:rsidR="008F3BCB" w:rsidRDefault="00165072">
      <w:pPr>
        <w:pStyle w:val="Heading2"/>
      </w:pPr>
      <w:bookmarkStart w:id="5" w:name="_5jqwet1hm2z1" w:colFirst="0" w:colLast="0"/>
      <w:bookmarkEnd w:id="5"/>
      <w:r>
        <w:lastRenderedPageBreak/>
        <w:t>2.3. Calculation of the Triglyceride-Glucose (TyG) Index</w:t>
      </w:r>
    </w:p>
    <w:p w:rsidR="008F3BCB" w:rsidRDefault="00165072">
      <w:r>
        <w:t>The triglyceride-glucose index, which was defined by incorporating serum glucose and triglyceride concentrations, was developed as a reliable surrogate marker of insulin resistance. For each subject,</w:t>
      </w:r>
      <w:r>
        <w:t xml:space="preserve"> the measured fasting biochemical parameters were integrated into a specific mathematical equation. Precisely, the TyG index was calculated using the established natural logarithm formula: TyG index = ln[fasting triglycerides (mg/dL) × fasting plasma gluco</w:t>
      </w:r>
      <w:r>
        <w:t>se (mg/dL) / 2] (Lu et al., 2021).</w:t>
      </w:r>
    </w:p>
    <w:p w:rsidR="008F3BCB" w:rsidRDefault="00165072">
      <w:pPr>
        <w:pStyle w:val="Heading2"/>
      </w:pPr>
      <w:bookmarkStart w:id="6" w:name="_2917lruamugn" w:colFirst="0" w:colLast="0"/>
      <w:bookmarkEnd w:id="6"/>
      <w:r>
        <w:t>2.4. Statistical Analysis</w:t>
      </w:r>
    </w:p>
    <w:p w:rsidR="008F3BCB" w:rsidRDefault="00165072">
      <w:r>
        <w:t>All statistical analyses for this study were systematically performed using the Statistical Package for the Social Sciences (SPSS) software, version 26.0 (IBM Corp., Armonk, NY, USA). To ensure d</w:t>
      </w:r>
      <w:r>
        <w:t>ata integrity, the normality of the distribution for continuous variables was initially assessed. Continuous data were subsequently expressed as the mean ± standard deviation (SD).</w:t>
      </w:r>
    </w:p>
    <w:p w:rsidR="008F3BCB" w:rsidRDefault="00165072">
      <w:r>
        <w:t>To evaluate the baseline demographic, clinical, and biochemical differences</w:t>
      </w:r>
      <w:r>
        <w:t xml:space="preserve"> between the healthy control group and the insulin resistance group, an independent samples Student’s t-test was utilized for normally distributed continuous variables. Furthermore, to investigate the linear relationship between the triglyceride-glucose in</w:t>
      </w:r>
      <w:r>
        <w:t>dex and various metabolic risk factors (such as fasting insulin, BMI, and waist circumference), a Pearson correlation analysis was conducted, yielding corresponding correlation coefficients (r) (Luo et al., 2022).</w:t>
      </w:r>
    </w:p>
    <w:p w:rsidR="008F3BCB" w:rsidRDefault="00165072">
      <w:r>
        <w:rPr>
          <w:highlight w:val="yellow"/>
        </w:rPr>
        <w:t>To evaluate how accurately the TyG index c</w:t>
      </w:r>
      <w:r>
        <w:rPr>
          <w:highlight w:val="yellow"/>
        </w:rPr>
        <w:t>an predict and diagnose insulin resistance within this specific cohort of women without diabetes, researchers executed a Receiver Operating Characteristic (ROC) curve analysis. The model's overarching ability to discriminate between healthy and at-risk ind</w:t>
      </w:r>
      <w:r>
        <w:rPr>
          <w:highlight w:val="yellow"/>
        </w:rPr>
        <w:t>ividuals was rigorously quantified by computing the Area Under the Curve (AUC) alongside its 95% Confidence Interval (CI). Furthermore, to pinpoint the most effective diagnostic threshold, the Youden index—mathematically defined as "sensitivity + specifici</w:t>
      </w:r>
      <w:r>
        <w:rPr>
          <w:highlight w:val="yellow"/>
        </w:rPr>
        <w:t xml:space="preserve">ty - 1"—was utilized. This specific statistical approach ensures an ideal clinical balance by maximizing both specificity and diagnostic sensitivity concurrently (Lu et al., 2021). Relying on these comprehensive evaluations guarantees that the established </w:t>
      </w:r>
      <w:r>
        <w:rPr>
          <w:highlight w:val="yellow"/>
        </w:rPr>
        <w:t>cut-off point is highly dependable for everyday medical practice.</w:t>
      </w:r>
      <w:r>
        <w:t xml:space="preserve"> For all statistical tests in this study, a two-tailed p-value of less than 0.05 was considered to indicate statistical significance.</w:t>
      </w:r>
    </w:p>
    <w:p w:rsidR="008F3BCB" w:rsidRDefault="00165072">
      <w:pPr>
        <w:pStyle w:val="Heading1"/>
      </w:pPr>
      <w:bookmarkStart w:id="7" w:name="_spln30ydmns1" w:colFirst="0" w:colLast="0"/>
      <w:bookmarkEnd w:id="7"/>
      <w:r>
        <w:lastRenderedPageBreak/>
        <w:t>3. Results</w:t>
      </w:r>
    </w:p>
    <w:p w:rsidR="008F3BCB" w:rsidRDefault="00165072">
      <w:pPr>
        <w:pStyle w:val="Heading2"/>
      </w:pPr>
      <w:bookmarkStart w:id="8" w:name="_esiq0oxi6bbb" w:colFirst="0" w:colLast="0"/>
      <w:bookmarkEnd w:id="8"/>
      <w:r>
        <w:t>3.1. General characteristics of the study popu</w:t>
      </w:r>
      <w:r>
        <w:t>lation</w:t>
      </w:r>
    </w:p>
    <w:p w:rsidR="008F3BCB" w:rsidRDefault="00165072">
      <w:r>
        <w:t>Table 1 summarizes the demographic, clinical, and biochemical characteristics of the 75 non-diabetic female participants included in this study. The subjects were classified into two distinct groups based on their clinical assessment: a healthy cont</w:t>
      </w:r>
      <w:r>
        <w:t>rol group comprising 25 women, and an insulin resistance (IR) group comprising 50 women. The mean age of the participants showed no significant difference between the control group (31.4 ± 4.2 years) and the IR group (33.1 ± 5.6 years; p = 0.154), indicati</w:t>
      </w:r>
      <w:r>
        <w:t>ng that the groups were well age-matched.</w:t>
      </w:r>
    </w:p>
    <w:p w:rsidR="008F3BCB" w:rsidRDefault="00165072">
      <w:r>
        <w:t>Regarding anthropometric measurements, the IR group exhibited significantly higher values compared to the healthy controls. The mean Body Mass Index (BMI) in the IR group was 27.8 ± 2.9 kg/m², which was significant</w:t>
      </w:r>
      <w:r>
        <w:t>ly greater than the 21.5 ± 1.8 kg/m² observed in the control group (p &lt; 0.001). Similarly, waist circumference was notably elevated in the IR group (86.5 ± 5.8 cm) compared to the control group (72.4 ± 4.1 cm; p &lt; 0.001).</w:t>
      </w:r>
    </w:p>
    <w:p w:rsidR="008F3BCB" w:rsidRDefault="00165072">
      <w:r>
        <w:t>Biochemical analyses further demon</w:t>
      </w:r>
      <w:r>
        <w:t>strated substantial metabolic variations between the two cohorts. Fasting blood glucose (FBG) and fasting triglyceride (TG) levels were significantly elevated in the IR group (97.5 ± 6.1 mg/dL and 175.2 ± 18.4 mg/dL, respectively) compared to the control g</w:t>
      </w:r>
      <w:r>
        <w:t>roup (86.2 ± 5.4 mg/dL and 98.4 ± 10.5 mg/dL, respectively; p &lt; 0.001). Consequently, the calculated TyG index was significantly higher in the IR group (9.05 ± 0.42) than in the healthy controls (8.35 ± 0.31; p &lt; 0.001), aligning with the significantly ele</w:t>
      </w:r>
      <w:r>
        <w:t>vated fasting insulin levels observed in the IR cohort.</w:t>
      </w:r>
    </w:p>
    <w:p w:rsidR="008F3BCB" w:rsidRDefault="00165072">
      <w:pPr>
        <w:pStyle w:val="Subtitle"/>
        <w:spacing w:before="0"/>
        <w:ind w:firstLine="0"/>
        <w:jc w:val="center"/>
      </w:pPr>
      <w:bookmarkStart w:id="9" w:name="_cn4829e52xgx" w:colFirst="0" w:colLast="0"/>
      <w:bookmarkEnd w:id="9"/>
      <w:r>
        <w:t>Table 1: Baseline demographic, clinical, and biochemical characteristics of the non-diabetic female participants.</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Variable</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Control Group (n = 25)</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Insulin Resistance Group (n = 50)</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b/>
                <w:bCs/>
                <w:color w:val="1F1F1F"/>
              </w:rPr>
              <w:t>P-value</w:t>
            </w:r>
          </w:p>
        </w:tc>
      </w:tr>
      <w:tr w:rsidR="008F3BCB">
        <w:trPr>
          <w:trHeight w:val="780"/>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Age (years)</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31.4 ± 4.2</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33.1 ± 5.6</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0.154</w:t>
            </w:r>
          </w:p>
        </w:tc>
      </w:tr>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lastRenderedPageBreak/>
              <w:t>BMI (kg/m²)</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21.5 ± 1.8</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27.8 ± 2.9</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&lt; 0.001</w:t>
            </w:r>
          </w:p>
        </w:tc>
      </w:tr>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Waist Circumference (cm)</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72.4 ± 4.1</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86.5 ± 5.8</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&lt; 0.001</w:t>
            </w:r>
          </w:p>
        </w:tc>
      </w:tr>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Fasting Blood Glucose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86.2 ± 5.4</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97.5 ± 6.1</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&lt; 0.001</w:t>
            </w:r>
          </w:p>
        </w:tc>
      </w:tr>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Fasting Triglycerides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98.4 ± 10.5</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175.2 ± 18.4</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&lt; 0.001</w:t>
            </w:r>
          </w:p>
        </w:tc>
      </w:tr>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Fasting Insulin (µIU/mL)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5.8 ± 1.2</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16.2 ± 2.8</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&lt; 0.001</w:t>
            </w:r>
          </w:p>
        </w:tc>
      </w:tr>
      <w:tr w:rsidR="008F3BCB">
        <w:trPr>
          <w:trHeight w:val="1065"/>
          <w:jc w:val="center"/>
        </w:trPr>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b/>
                <w:bCs/>
                <w:color w:val="1F1F1F"/>
              </w:rPr>
              <w:t>TyG Index</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8.35 ± 0.31</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rsidR="008F3BCB" w:rsidRDefault="00165072">
            <w:pPr>
              <w:spacing w:before="0" w:after="480"/>
              <w:ind w:firstLine="0"/>
              <w:jc w:val="center"/>
              <w:rPr>
                <w:color w:val="1F1F1F"/>
              </w:rPr>
            </w:pPr>
            <w:r>
              <w:rPr>
                <w:color w:val="1F1F1F"/>
              </w:rPr>
              <w:t>9.05 ± 0.42</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rsidR="008F3BCB" w:rsidRDefault="00165072">
            <w:pPr>
              <w:spacing w:before="0" w:after="480"/>
              <w:ind w:firstLine="0"/>
              <w:jc w:val="center"/>
              <w:rPr>
                <w:color w:val="1F1F1F"/>
              </w:rPr>
            </w:pPr>
            <w:r>
              <w:rPr>
                <w:color w:val="1F1F1F"/>
              </w:rPr>
              <w:t>&lt; 0.001</w:t>
            </w:r>
          </w:p>
        </w:tc>
      </w:tr>
    </w:tbl>
    <w:p w:rsidR="008F3BCB" w:rsidRDefault="00165072">
      <w:pPr>
        <w:spacing w:before="0"/>
        <w:ind w:firstLine="0"/>
        <w:rPr>
          <w:rFonts w:ascii="Arial" w:eastAsia="Arial" w:hAnsi="Arial" w:cs="Arial"/>
          <w:i/>
          <w:iCs/>
          <w:color w:val="1F1F1F"/>
        </w:rPr>
      </w:pPr>
      <w:r>
        <w:rPr>
          <w:rFonts w:ascii="Arial" w:eastAsia="Arial" w:hAnsi="Arial" w:cs="Arial"/>
          <w:i/>
          <w:iCs/>
          <w:color w:val="1F1F1F"/>
        </w:rPr>
        <w:t>Data are expressed as mean ± standard deviation. P-values &lt; 0.05 are considered statistically significant.</w:t>
      </w:r>
    </w:p>
    <w:p w:rsidR="008F3BCB" w:rsidRDefault="00165072">
      <w:pPr>
        <w:pStyle w:val="Heading2"/>
      </w:pPr>
      <w:bookmarkStart w:id="10" w:name="_n8ifjjq6ssvz" w:colFirst="0" w:colLast="0"/>
      <w:bookmarkEnd w:id="10"/>
      <w:r>
        <w:t>3.2. Correlation between the TyG index and clinical/biochemical parameters</w:t>
      </w:r>
    </w:p>
    <w:p w:rsidR="008F3BCB" w:rsidRDefault="00165072">
      <w:pPr>
        <w:pBdr>
          <w:top w:val="nil"/>
          <w:left w:val="nil"/>
          <w:bottom w:val="nil"/>
          <w:right w:val="nil"/>
          <w:between w:val="nil"/>
        </w:pBdr>
        <w:rPr>
          <w:highlight w:val="yellow"/>
        </w:rPr>
      </w:pPr>
      <w:r>
        <w:rPr>
          <w:highlight w:val="yellow"/>
        </w:rPr>
        <w:t xml:space="preserve">A Pearson correlation assessment was executed to explore how various metabolic threats associate with the TyG index among women without diabetes (Table 2). The findings highlighted </w:t>
      </w:r>
      <w:r>
        <w:rPr>
          <w:highlight w:val="yellow"/>
        </w:rPr>
        <w:t xml:space="preserve">notable positive links between this mathematical index and multiple biochemical and physical measurements. In particular, a robust positive relationship was identified between fasting insulin </w:t>
      </w:r>
      <w:r>
        <w:rPr>
          <w:highlight w:val="yellow"/>
        </w:rPr>
        <w:lastRenderedPageBreak/>
        <w:t>concentrations and the TyG score (r = 0.745, p &lt; 0.001). This fi</w:t>
      </w:r>
      <w:r>
        <w:rPr>
          <w:highlight w:val="yellow"/>
        </w:rPr>
        <w:t>nding directly reinforces its status as a dependable "surrogate marker for insulin resistance" within this specific female cohort.</w:t>
      </w:r>
    </w:p>
    <w:p w:rsidR="008F3BCB" w:rsidRDefault="00165072">
      <w:pPr>
        <w:pBdr>
          <w:top w:val="nil"/>
          <w:left w:val="nil"/>
          <w:bottom w:val="nil"/>
          <w:right w:val="nil"/>
          <w:between w:val="nil"/>
        </w:pBdr>
      </w:pPr>
      <w:r>
        <w:rPr>
          <w:highlight w:val="yellow"/>
        </w:rPr>
        <w:t>Additionally, indicators of central adiposity, namely waist circumference (r = 0.634, p &lt; 0.001) and Body Mass Index (r = 0.5</w:t>
      </w:r>
      <w:r>
        <w:rPr>
          <w:highlight w:val="yellow"/>
        </w:rPr>
        <w:t>82, p &lt; 0.001), were found to be positively and significantly tied to the index. As anticipated, the biochemical elements forming the formula itself—fasting triglycerides (r = 0.895, p &lt; 0.001) and fasting blood glucose (r = 0.688, p &lt; 0.001)—exhibited pro</w:t>
      </w:r>
      <w:r>
        <w:rPr>
          <w:highlight w:val="yellow"/>
        </w:rPr>
        <w:t>minent positive correlations. Conversely, the subject's age displayed an inconsequential and weak association (r = 0.124, p = 0.285). These precise statistical outcomes collectively confirm that the TyG index is primarily driven by acute metabolic dysfunct</w:t>
      </w:r>
      <w:r>
        <w:rPr>
          <w:highlight w:val="yellow"/>
        </w:rPr>
        <w:t>ions rather than chronological aging processes, thereby solidifying its practical clinical reliability.</w:t>
      </w:r>
    </w:p>
    <w:p w:rsidR="008F3BCB" w:rsidRDefault="00165072">
      <w:pPr>
        <w:pStyle w:val="Subtitle"/>
        <w:spacing w:before="0"/>
        <w:ind w:firstLine="0"/>
        <w:jc w:val="center"/>
      </w:pPr>
      <w:bookmarkStart w:id="11" w:name="_e8lrs6hrncb5" w:colFirst="0" w:colLast="0"/>
      <w:bookmarkEnd w:id="11"/>
      <w:r>
        <w:t>Table 2: Pearson correlation coefficients (r) between the TyG index and metabolic parameters in the study population (n=75).</w:t>
      </w:r>
    </w:p>
    <w:tbl>
      <w:tblPr>
        <w:tblStyle w:val="a0"/>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Variables</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Correlation Coeff</w:t>
            </w:r>
            <w:r>
              <w:rPr>
                <w:b/>
                <w:bCs/>
              </w:rPr>
              <w:t>icient (r)</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P-value</w:t>
            </w:r>
          </w:p>
        </w:tc>
      </w:tr>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Age</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0.124</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0.285</w:t>
            </w:r>
          </w:p>
        </w:tc>
      </w:tr>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BMI</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0.582</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&lt; 0.001</w:t>
            </w:r>
          </w:p>
        </w:tc>
      </w:tr>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Waist Circumference</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0.634</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&lt; 0.001</w:t>
            </w:r>
          </w:p>
        </w:tc>
      </w:tr>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Fasting Blood Glucose</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0.688</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&lt; 0.001</w:t>
            </w:r>
          </w:p>
        </w:tc>
      </w:tr>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Fasting Triglycerides</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0.895</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&lt; 0.001</w:t>
            </w:r>
          </w:p>
        </w:tc>
      </w:tr>
      <w:tr w:rsidR="008F3BCB">
        <w:trPr>
          <w:trHeight w:val="530"/>
          <w:jc w:val="center"/>
        </w:trPr>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rPr>
                <w:b/>
                <w:bCs/>
              </w:rPr>
              <w:t>Fasting Insulin</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0.745</w:t>
            </w:r>
          </w:p>
        </w:tc>
        <w:tc>
          <w:tcPr>
            <w:tcW w:w="31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F3BCB" w:rsidRDefault="00165072">
            <w:pPr>
              <w:spacing w:before="0" w:after="480"/>
              <w:ind w:firstLine="0"/>
              <w:jc w:val="center"/>
            </w:pPr>
            <w:r>
              <w:t>&lt; 0.001</w:t>
            </w:r>
          </w:p>
        </w:tc>
      </w:tr>
    </w:tbl>
    <w:p w:rsidR="008F3BCB" w:rsidRDefault="00165072">
      <w:pPr>
        <w:pStyle w:val="Heading2"/>
      </w:pPr>
      <w:bookmarkStart w:id="12" w:name="_wydrvabbomb5" w:colFirst="0" w:colLast="0"/>
      <w:bookmarkEnd w:id="12"/>
      <w:r>
        <w:lastRenderedPageBreak/>
        <w:t>3.3. Diagnostic performance of the TyG index for identifying insulin resistance</w:t>
      </w:r>
    </w:p>
    <w:p w:rsidR="008F3BCB" w:rsidRDefault="00165072">
      <w:r>
        <w:t>To evaluate the predictive accuracy of the TyG index in identifying insulin resistance among the non-diabetic female participants, a Receiver Operating Characteristic (ROC) cur</w:t>
      </w:r>
      <w:r>
        <w:t>ve analysis was performed. The presence of insulin resistance (determined by elevated fasting insulin levels in the IR group) was used as the state variable.</w:t>
      </w:r>
    </w:p>
    <w:p w:rsidR="008F3BCB" w:rsidRDefault="00165072">
      <w:r>
        <w:t>The ROC curve analysis demonstrated that the TyG index has a high discriminatory power for detecti</w:t>
      </w:r>
      <w:r>
        <w:t>ng insulin resistance. The Area Under the Curve (AUC) for the TyG index was 0.885 (95% Confidence Interval [CI]: 0.812 – 0.958, p &lt; 0.001).</w:t>
      </w:r>
    </w:p>
    <w:p w:rsidR="008F3BCB" w:rsidRDefault="00165072">
      <w:r>
        <w:t>Based on the coordinates of the ROC curve, the optimal cut-off value of the TyG index for predicting insulin resistance in this specific group of non-diabetic women was determined to be 8.65. At this threshold, the TyG index exhibited a sensitivity of 84.0</w:t>
      </w:r>
      <w:r>
        <w:t>% (meaning it correctly identified 84% of the women with insulin resistance) and a specificity of 88.0% (meaning it correctly identified 88% of the healthy controls). These findings suggest that a TyG index value greater than 8.65 is a strong, non-invasive</w:t>
      </w:r>
      <w:r>
        <w:t xml:space="preserve"> indicator of underlying insulin resistance in this target population.</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3BCB">
        <w:tc>
          <w:tcPr>
            <w:tcW w:w="9360" w:type="dxa"/>
            <w:tcMar>
              <w:top w:w="100" w:type="dxa"/>
              <w:left w:w="100" w:type="dxa"/>
              <w:bottom w:w="100" w:type="dxa"/>
              <w:right w:w="100" w:type="dxa"/>
            </w:tcMar>
          </w:tcPr>
          <w:p w:rsidR="008F3BCB" w:rsidRDefault="00165072">
            <w:pPr>
              <w:ind w:firstLine="0"/>
              <w:jc w:val="center"/>
            </w:pPr>
            <w:r>
              <w:rPr>
                <w:rFonts w:ascii="Arial" w:eastAsia="Arial" w:hAnsi="Arial" w:cs="Arial"/>
                <w:noProof/>
                <w:color w:val="1F1F1F"/>
              </w:rPr>
              <w:drawing>
                <wp:inline distT="114300" distB="114300" distL="114300" distR="114300">
                  <wp:extent cx="5810250" cy="359410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7"/>
                          <a:srcRect/>
                          <a:stretch>
                            <a:fillRect/>
                          </a:stretch>
                        </pic:blipFill>
                        <pic:spPr>
                          <a:xfrm>
                            <a:off x="0" y="0"/>
                            <a:ext cx="5810250" cy="3594100"/>
                          </a:xfrm>
                          <a:prstGeom prst="rect">
                            <a:avLst/>
                          </a:prstGeom>
                          <a:ln/>
                        </pic:spPr>
                      </pic:pic>
                    </a:graphicData>
                  </a:graphic>
                </wp:inline>
              </w:drawing>
            </w:r>
          </w:p>
        </w:tc>
      </w:tr>
    </w:tbl>
    <w:p w:rsidR="008F3BCB" w:rsidRDefault="00165072">
      <w:pPr>
        <w:pStyle w:val="Subtitle"/>
        <w:widowControl w:val="0"/>
        <w:spacing w:before="480" w:line="349" w:lineRule="auto"/>
        <w:ind w:firstLine="0"/>
        <w:jc w:val="center"/>
      </w:pPr>
      <w:bookmarkStart w:id="13" w:name="_37r9eofg19pj" w:colFirst="0" w:colLast="0"/>
      <w:bookmarkEnd w:id="13"/>
      <w:r>
        <w:lastRenderedPageBreak/>
        <w:t xml:space="preserve">Figure 1. Receiver Operating Characteristic (ROC) curve analysis evaluating the diagnostic performance of the Triglyceride-Glucose (TyG) index for identifying insulin resistance in non-diabetic female patients. The Area Under the Curve (AUC) is 0.885 (95% </w:t>
      </w:r>
      <w:r>
        <w:t>CI: 0.812 – 0.958, p &lt; 0.001). The optimal cut-off value of the TyG index was determined to be 8.65, yielding a sensitivity of 84.0% and a specificity of 88.0%.</w:t>
      </w:r>
    </w:p>
    <w:p w:rsidR="008F3BCB" w:rsidRDefault="00165072">
      <w:pPr>
        <w:pStyle w:val="Heading2"/>
        <w:keepNext w:val="0"/>
        <w:keepLines w:val="0"/>
        <w:widowControl w:val="0"/>
        <w:rPr>
          <w:sz w:val="33"/>
          <w:szCs w:val="33"/>
        </w:rPr>
      </w:pPr>
      <w:bookmarkStart w:id="14" w:name="_vb3kjju9igvs" w:colFirst="0" w:colLast="0"/>
      <w:bookmarkEnd w:id="14"/>
      <w:r>
        <w:rPr>
          <w:sz w:val="33"/>
          <w:szCs w:val="33"/>
        </w:rPr>
        <w:t>4. Discussion</w:t>
      </w:r>
    </w:p>
    <w:p w:rsidR="008F3BCB" w:rsidRDefault="00165072">
      <w:r>
        <w:t xml:space="preserve"> The results appeared as shown in Table 1, demonstrating significant elevations i</w:t>
      </w:r>
      <w:r>
        <w:t>n the triglyceride-glucose index, body mass index, and waist circumference among the affected women. These results indicate that central adiposity and lipid accumulation strongly correlate with early metabolic abnormalities in non-diabetic females. Perhaps</w:t>
      </w:r>
      <w:r>
        <w:t xml:space="preserve"> the reason is the increased release of free fatty acids from visceral fat tissues, which directly impairs hepatic insulin sensitivity and glucoregulation (Er et al., 2016). A previous study, whose goal was investigating gender differences in the associati</w:t>
      </w:r>
      <w:r>
        <w:t>on between the TyG index and subclinical atherosclerosis, was conducted in the year 2021 in Taiwan, and reached the conclusion that non-diabetic women presenting with a high TyG index face severe cardiovascular risks and metabolic complications (Wang et al</w:t>
      </w:r>
      <w:r>
        <w:t>., 2021). This indicates that female physiology is particularly vulnerable to combined lipid and glucose toxicity. The aforementioned study agrees with the current study, while another study, which aimed to evaluate insulin resistance primarily in non-obes</w:t>
      </w:r>
      <w:r>
        <w:t xml:space="preserve">e populations, found results that differed slightly from the current study, as it found a dominant presence of profound insulin resistance even without significant body mass index or waist circumference elevations in their specific clinical cohort (Luo et </w:t>
      </w:r>
      <w:r>
        <w:t>al., 2022). Perhaps this indicates that relying solely on physical appearance and traditional obesity markers is clinically deceptive, reinforcing the necessity of using the TyG index as a superior, independent biochemical diagnostic tool.</w:t>
      </w:r>
    </w:p>
    <w:p w:rsidR="008F3BCB" w:rsidRDefault="00165072">
      <w:r>
        <w:t>The results appe</w:t>
      </w:r>
      <w:r>
        <w:t>ared as shown in Figure 1 and Table 2, demonstrating a strong predictive ability of the triglyceride-glucose index for identifying insulin resistance, alongside significant positive correlations with fasting insulin, body mass index, and waist circumferenc</w:t>
      </w:r>
      <w:r>
        <w:t>e. These results indicate that the TyG index serves as a highly sensitive and specific non-invasive diagnostic marker, with an optimal cut-off value closely aligning with established clinical thresholds for female patients.</w:t>
      </w:r>
    </w:p>
    <w:p w:rsidR="008F3BCB" w:rsidRDefault="00165072">
      <w:r>
        <w:rPr>
          <w:rFonts w:ascii="Gungsuh" w:eastAsia="Gungsuh" w:hAnsi="Gungsuh" w:cs="Gungsuh"/>
        </w:rPr>
        <w:t>In a previous study about the ea</w:t>
      </w:r>
      <w:r>
        <w:rPr>
          <w:rFonts w:ascii="Gungsuh" w:eastAsia="Gungsuh" w:hAnsi="Gungsuh" w:cs="Gungsuh"/>
        </w:rPr>
        <w:t>rly phase of subclinical atherosclerosis in the year 2021 in Taiwan, and its goal was investigating the association between the TyG index and subclinical atherosclerosis between the sexes, they found that gender disparity was observed in non-diabetic women</w:t>
      </w:r>
      <w:r>
        <w:rPr>
          <w:rFonts w:ascii="Gungsuh" w:eastAsia="Gungsuh" w:hAnsi="Gungsuh" w:cs="Gungsuh"/>
        </w:rPr>
        <w:t xml:space="preserve">. Specifically, a high TyG index (≥ </w:t>
      </w:r>
      <w:r>
        <w:rPr>
          <w:rFonts w:ascii="Gungsuh" w:eastAsia="Gungsuh" w:hAnsi="Gungsuh" w:cs="Gungsuh"/>
        </w:rPr>
        <w:lastRenderedPageBreak/>
        <w:t>8.55) was independently associated with subclinical atherosclerosis in non-diabetic women after adjusting for traditional risk factors, with an adjusted odds ratio of 1.510 (95% CI 1.010–2.257, p = 0.045), but not in non</w:t>
      </w:r>
      <w:r>
        <w:rPr>
          <w:rFonts w:ascii="Gungsuh" w:eastAsia="Gungsuh" w:hAnsi="Gungsuh" w:cs="Gungsuh"/>
        </w:rPr>
        <w:t>-diabetic men (Lu et al., 2021). This indicates that exceeding this specific diagnostic threshold significantly multiplies cardiovascular risks exclusively in females.</w:t>
      </w:r>
    </w:p>
    <w:p w:rsidR="008F3BCB" w:rsidRDefault="00165072">
      <w:r>
        <w:t>The aforementioned study agrees with the current study regarding the clinical validity o</w:t>
      </w:r>
      <w:r>
        <w:t>f a comparable TyG cut-off point and the specific vulnerability of non-diabetic women. While another study, which aimed to investigate the TyG index's impact on mortality in non-diabetic critically ill patients, found results that differed slightly from th</w:t>
      </w:r>
      <w:r>
        <w:t>e current study regarding the threshold, as it found a nonlinear effect with a much higher critical point at 9.94 for predicting 28-day mortality (Li et al., 2025). Perhaps this indicates that the optimal cut-off value of the TyG index fluctuates significa</w:t>
      </w:r>
      <w:r>
        <w:t>ntly depending on the severity of the clinical outcome being measured, such as early insulin resistance versus critical hospital mortality.</w:t>
      </w:r>
    </w:p>
    <w:p w:rsidR="008F3BCB" w:rsidRDefault="00165072">
      <w:r>
        <w:t>The integrated results appeared as shown in the comprehensive correlation analyses and diagnostic evaluations, demon</w:t>
      </w:r>
      <w:r>
        <w:t xml:space="preserve">strating that elevations in the triglyceride-glucose index synchronize perfectly with both central adiposity and compensatory hyperinsulinemia. These results indicate that the TyG index effectively captures the dual pathological mechanisms of lipotoxicity </w:t>
      </w:r>
      <w:r>
        <w:t>and glucotoxicity, serving as an innovative, holistic metric for early metabolic dysfunction.</w:t>
      </w:r>
    </w:p>
    <w:p w:rsidR="008F3BCB" w:rsidRDefault="00165072">
      <w:r>
        <w:t>In a previous study about the global epidemiology of prediabetes in the year 2019, and its goal was comparing the diagnostic criteria for screening prediabetes, t</w:t>
      </w:r>
      <w:r>
        <w:t>hey reached the conclusion that individuals with intermediate hyperglycemia are at an exceptionally high risk of developing severe macrovascular and microvascular complications, such as neuropathy and retinopathy, before overt diabetes onset (Hostalek, 201</w:t>
      </w:r>
      <w:r>
        <w:t>9). This indicates that early and precise identification using comprehensive markers like the TyG index is absolutely essential to prevent these severe pathologies.</w:t>
      </w:r>
    </w:p>
    <w:p w:rsidR="008F3BCB" w:rsidRDefault="00165072">
      <w:r>
        <w:t>The aforementioned study agrees with the current study regarding the urgent necessity of ut</w:t>
      </w:r>
      <w:r>
        <w:t>ilizing proactive diagnostic markers to prevent future complications. While another study, which aimed to determine the global prevalence of insulin resistance across various distinct populations, found results that differed slightly from the current study</w:t>
      </w:r>
      <w:r>
        <w:t>, as it found that the correlation strength between lipid-based indices and insulin resistance varies significantly across different study designs and specific phenotypic characteristics (Ballena-Caicedo et al., 2025). Perhaps this indicates that while the</w:t>
      </w:r>
      <w:r>
        <w:t xml:space="preserve"> TyG index is an exceptionally powerful tool for vulnerable females presenting with central adiposity, its universal clinical application requires careful physiological calibration according to specific phenotypic characteristics.</w:t>
      </w:r>
    </w:p>
    <w:p w:rsidR="008F3BCB" w:rsidRDefault="00165072">
      <w:r>
        <w:rPr>
          <w:highlight w:val="yellow"/>
        </w:rPr>
        <w:lastRenderedPageBreak/>
        <w:t>While the outcomes of thi</w:t>
      </w:r>
      <w:r>
        <w:rPr>
          <w:highlight w:val="yellow"/>
        </w:rPr>
        <w:t>s study strongly validate the clinical utility of the TyG index, certain limitations must be acknowledged to contextualize the findings. Relying exclusively on lipid and glucose profiles may not capture the entire spectrum of metabolic disturbances in vuln</w:t>
      </w:r>
      <w:r>
        <w:rPr>
          <w:highlight w:val="yellow"/>
        </w:rPr>
        <w:t>erable populations. To significantly enhance diagnostic power, future research should integrate further biochemical parameters. Specifically, evaluating "inflammatory markers (CRP, IL-6)," comprehensive cardiovascular risk assessments, and "alternative ins</w:t>
      </w:r>
      <w:r>
        <w:rPr>
          <w:highlight w:val="yellow"/>
        </w:rPr>
        <w:t>ulin resistance indices (HOMA-IR)" alongside the TyG index is highly encouraged. Implementing such a multi-dimensional approach will undoubtedly increase the robustness of the current evidence and broaden its practical clinical applicability.</w:t>
      </w:r>
    </w:p>
    <w:p w:rsidR="008F3BCB" w:rsidRDefault="00165072">
      <w:pPr>
        <w:pStyle w:val="Heading2"/>
        <w:keepNext w:val="0"/>
        <w:keepLines w:val="0"/>
        <w:widowControl w:val="0"/>
        <w:rPr>
          <w:sz w:val="33"/>
          <w:szCs w:val="33"/>
        </w:rPr>
      </w:pPr>
      <w:bookmarkStart w:id="15" w:name="_3mqliilsimgq" w:colFirst="0" w:colLast="0"/>
      <w:bookmarkEnd w:id="15"/>
      <w:r>
        <w:rPr>
          <w:sz w:val="33"/>
          <w:szCs w:val="33"/>
        </w:rPr>
        <w:t>5. Conclusion</w:t>
      </w:r>
      <w:r>
        <w:rPr>
          <w:sz w:val="33"/>
          <w:szCs w:val="33"/>
        </w:rPr>
        <w:t>s</w:t>
      </w:r>
    </w:p>
    <w:p w:rsidR="008F3BCB" w:rsidRDefault="00165072">
      <w:r>
        <w:rPr>
          <w:highlight w:val="yellow"/>
        </w:rPr>
        <w:t>Ultimately, this investigation establishes that utilizing the triglyceride-glucose (TyG) index offers a highly dependable and non-invasive approach for detecting asymptomatic insulin resistance among women without diabetes. A profound correlation was ide</w:t>
      </w:r>
      <w:r>
        <w:rPr>
          <w:highlight w:val="yellow"/>
        </w:rPr>
        <w:t>ntified between elevated TyG scores and markers of central obesity—namely, waist circumference and body mass index—as well as compensatory hyperinsulinemia. Through the determination of an optimal diagnostic threshold at 8.65, the exceptional sensitivity a</w:t>
      </w:r>
      <w:r>
        <w:rPr>
          <w:highlight w:val="yellow"/>
        </w:rPr>
        <w:t>nd specificity of this metric were rigorously confirmed. Incorporating this economical and accessible tool into everyday health screenings could fundamentally revolutionize preventive care by proactively identifying at-risk females. As previously emphasize</w:t>
      </w:r>
      <w:r>
        <w:rPr>
          <w:highlight w:val="yellow"/>
        </w:rPr>
        <w:t>d in metabolic research, the timely initiation of "therapeutic lifestyle interventions" remains the most effective strategy for mitigating the long-term burden of severe cardiometabolic complications.</w:t>
      </w:r>
    </w:p>
    <w:p w:rsidR="00084559" w:rsidRDefault="00084559" w:rsidP="00084559">
      <w:pPr>
        <w:ind w:firstLine="0"/>
        <w:rPr>
          <w:b/>
          <w:bCs/>
          <w:highlight w:val="yellow"/>
        </w:rPr>
      </w:pPr>
      <w:r>
        <w:rPr>
          <w:b/>
          <w:bCs/>
          <w:highlight w:val="yellow"/>
        </w:rPr>
        <w:t xml:space="preserve">Ethical Approval and Consent: </w:t>
      </w:r>
    </w:p>
    <w:p w:rsidR="00084559" w:rsidRPr="00084559" w:rsidRDefault="00084559" w:rsidP="00084559">
      <w:pPr>
        <w:ind w:firstLine="0"/>
        <w:rPr>
          <w:bCs/>
          <w:highlight w:val="yellow"/>
        </w:rPr>
      </w:pPr>
      <w:r w:rsidRPr="00084559">
        <w:rPr>
          <w:bCs/>
        </w:rPr>
        <w:t xml:space="preserve">Prior to enrollment and data collection, </w:t>
      </w:r>
      <w:proofErr w:type="gramStart"/>
      <w:r>
        <w:rPr>
          <w:bCs/>
        </w:rPr>
        <w:t>Written</w:t>
      </w:r>
      <w:proofErr w:type="gramEnd"/>
      <w:r>
        <w:rPr>
          <w:bCs/>
        </w:rPr>
        <w:t xml:space="preserve"> </w:t>
      </w:r>
      <w:r w:rsidRPr="00084559">
        <w:rPr>
          <w:bCs/>
        </w:rPr>
        <w:t>informed consent was officially obtained from all participants, strictly adhering to the Code of Ethics in Research approved by the Iraqi Ministry of Health.</w:t>
      </w:r>
    </w:p>
    <w:p w:rsidR="00084559" w:rsidRDefault="00084559">
      <w:pPr>
        <w:rPr>
          <w:b/>
          <w:bCs/>
          <w:highlight w:val="yellow"/>
        </w:rPr>
      </w:pPr>
    </w:p>
    <w:p w:rsidR="008F3BCB" w:rsidRDefault="00165072">
      <w:pPr>
        <w:rPr>
          <w:b/>
          <w:bCs/>
          <w:highlight w:val="yellow"/>
        </w:rPr>
      </w:pPr>
      <w:r>
        <w:rPr>
          <w:b/>
          <w:bCs/>
          <w:highlight w:val="yellow"/>
        </w:rPr>
        <w:t>Disclaimer (Artificial intelligence)</w:t>
      </w:r>
    </w:p>
    <w:p w:rsidR="008F3BCB" w:rsidRDefault="00165072">
      <w:pPr>
        <w:rPr>
          <w:highlight w:val="yellow"/>
        </w:rPr>
      </w:pPr>
      <w:r>
        <w:rPr>
          <w:highlight w:val="yellow"/>
        </w:rPr>
        <w:t>Author(s) hereby d</w:t>
      </w:r>
      <w:r>
        <w:rPr>
          <w:highlight w:val="yellow"/>
        </w:rPr>
        <w:t xml:space="preserve">eclare that NO generative AI technologies such as Large Language Models (ChatGPT, COPILOT, etc.) and text-to-image generators have been used during the writing or editing of this manuscript. </w:t>
      </w:r>
    </w:p>
    <w:p w:rsidR="00084559" w:rsidRDefault="00084559">
      <w:pPr>
        <w:rPr>
          <w:highlight w:val="yellow"/>
        </w:rPr>
      </w:pPr>
    </w:p>
    <w:p w:rsidR="008F3BCB" w:rsidRDefault="008F3BCB">
      <w:bookmarkStart w:id="16" w:name="_t6bh4y4lfuor" w:colFirst="0" w:colLast="0"/>
      <w:bookmarkEnd w:id="16"/>
    </w:p>
    <w:p w:rsidR="008F3BCB" w:rsidRDefault="00165072">
      <w:pPr>
        <w:pStyle w:val="Heading2"/>
        <w:keepNext w:val="0"/>
        <w:keepLines w:val="0"/>
        <w:widowControl w:val="0"/>
        <w:rPr>
          <w:rFonts w:ascii="Arial" w:eastAsia="Arial" w:hAnsi="Arial" w:cs="Arial"/>
          <w:color w:val="1F1F1F"/>
        </w:rPr>
      </w:pPr>
      <w:bookmarkStart w:id="17" w:name="_rvox6f1bspgl" w:colFirst="0" w:colLast="0"/>
      <w:bookmarkEnd w:id="17"/>
      <w:r>
        <w:rPr>
          <w:sz w:val="33"/>
          <w:szCs w:val="33"/>
        </w:rPr>
        <w:lastRenderedPageBreak/>
        <w:t xml:space="preserve"> References</w:t>
      </w:r>
    </w:p>
    <w:p w:rsidR="008F3BCB" w:rsidRPr="00084559" w:rsidRDefault="00165072" w:rsidP="00084559">
      <w:pPr>
        <w:pStyle w:val="ListParagraph"/>
        <w:numPr>
          <w:ilvl w:val="0"/>
          <w:numId w:val="1"/>
        </w:numPr>
        <w:rPr>
          <w:color w:val="1155CC"/>
          <w:u w:val="single"/>
        </w:rPr>
      </w:pPr>
      <w:proofErr w:type="spellStart"/>
      <w:r>
        <w:t>Abudukeremu</w:t>
      </w:r>
      <w:proofErr w:type="spellEnd"/>
      <w:r>
        <w:t xml:space="preserve">, A., Lv, J., Liu, W., Zhang, Y., Liu, </w:t>
      </w:r>
      <w:r>
        <w:t>X., Yu, P. 2025. Diabetes modifies the association between the triglyceride-glucose index and subclinical myocardial injury: A prospective cohort study. Cardiovascular Diabetology.</w:t>
      </w:r>
      <w:hyperlink r:id="rId8">
        <w:r>
          <w:t xml:space="preserve"> </w:t>
        </w:r>
      </w:hyperlink>
      <w:hyperlink r:id="rId9">
        <w:r w:rsidRPr="00084559">
          <w:rPr>
            <w:color w:val="1155CC"/>
            <w:u w:val="single"/>
          </w:rPr>
          <w:t>https://doi.org/10.1186/s12933-025-02979-z</w:t>
        </w:r>
      </w:hyperlink>
    </w:p>
    <w:p w:rsidR="008F3BCB" w:rsidRPr="00084559" w:rsidRDefault="00165072" w:rsidP="00084559">
      <w:pPr>
        <w:pStyle w:val="ListParagraph"/>
        <w:numPr>
          <w:ilvl w:val="0"/>
          <w:numId w:val="1"/>
        </w:numPr>
        <w:rPr>
          <w:color w:val="1155CC"/>
          <w:u w:val="single"/>
        </w:rPr>
      </w:pPr>
      <w:r>
        <w:t>Ballena-Caicedo, J., Zuzunaga-Montoya, F.E., Loayza-Castro, J.A., Bustamante-Rodríguez, J.C., Vásquez Romero, L.E.M., Tapia-Limonchi, R., Gutierrez De Carrillo, C.I</w:t>
      </w:r>
      <w:r>
        <w:t>., Vera-Ponce, V.J. 2025. Global prevalence of insulin resistance in the adult population: a systematic review and meta-analysis. Frontiers in Endocrinology.</w:t>
      </w:r>
      <w:hyperlink r:id="rId10">
        <w:r>
          <w:t xml:space="preserve"> </w:t>
        </w:r>
      </w:hyperlink>
      <w:hyperlink r:id="rId11">
        <w:r w:rsidRPr="00084559">
          <w:rPr>
            <w:color w:val="1155CC"/>
            <w:u w:val="single"/>
          </w:rPr>
          <w:t>https://doi.org/10.3389/fendo.2025.1646258</w:t>
        </w:r>
      </w:hyperlink>
    </w:p>
    <w:p w:rsidR="008F3BCB" w:rsidRPr="00084559" w:rsidRDefault="00165072" w:rsidP="00084559">
      <w:pPr>
        <w:pStyle w:val="ListParagraph"/>
        <w:numPr>
          <w:ilvl w:val="0"/>
          <w:numId w:val="1"/>
        </w:numPr>
        <w:rPr>
          <w:highlight w:val="yellow"/>
        </w:rPr>
      </w:pPr>
      <w:r w:rsidRPr="00084559">
        <w:rPr>
          <w:highlight w:val="yellow"/>
        </w:rPr>
        <w:t>Bugianesi, E., Gastaldelli, A., Vanni, E., Gambino, R., Cassader, M., Baldi, S., ... &amp; Rizzetto, M. 2005. Insulin resistance in non-diabetic patients with non-alcoholic fatty liver disease: sites and mechanisms. Diabetologia, 48(4), 634-642.</w:t>
      </w:r>
    </w:p>
    <w:p w:rsidR="008F3BCB" w:rsidRPr="00084559" w:rsidRDefault="00165072" w:rsidP="00084559">
      <w:pPr>
        <w:pStyle w:val="ListParagraph"/>
        <w:numPr>
          <w:ilvl w:val="0"/>
          <w:numId w:val="1"/>
        </w:numPr>
        <w:rPr>
          <w:color w:val="1155CC"/>
          <w:u w:val="single"/>
        </w:rPr>
      </w:pPr>
      <w:r>
        <w:t xml:space="preserve">Er, L.K., Wu, </w:t>
      </w:r>
      <w:r>
        <w:t>S., Chou, H.H., Hsu, L.A., Teng, M.S., Sun, Y.C., Ko, Y.L. 2016. Triglyceride Glucose-Body Mass Index Is a Simple and Clinically Useful Surrogate Marker for Insulin Resistance in Nondiabetic Individuals. PLoS ONE.</w:t>
      </w:r>
      <w:hyperlink r:id="rId12">
        <w:r>
          <w:t xml:space="preserve"> </w:t>
        </w:r>
      </w:hyperlink>
      <w:hyperlink r:id="rId13">
        <w:r w:rsidRPr="00084559">
          <w:rPr>
            <w:color w:val="1155CC"/>
            <w:u w:val="single"/>
          </w:rPr>
          <w:t>https://journals.plos.org/plosone/article?id=10.1371/journal.pone.0149731</w:t>
        </w:r>
      </w:hyperlink>
    </w:p>
    <w:p w:rsidR="008F3BCB" w:rsidRPr="00084559" w:rsidRDefault="00165072" w:rsidP="00084559">
      <w:pPr>
        <w:pStyle w:val="ListParagraph"/>
        <w:numPr>
          <w:ilvl w:val="0"/>
          <w:numId w:val="1"/>
        </w:numPr>
        <w:rPr>
          <w:color w:val="1155CC"/>
          <w:u w:val="single"/>
        </w:rPr>
      </w:pPr>
      <w:r>
        <w:t>Haidar, S., Mahboub, N., Papandreou, D</w:t>
      </w:r>
      <w:r>
        <w:t>., Abboud, M., Rizk, R. 2024. Triglyceride and Glucose Index as an Optimal Predictor of Metabolic Syndrome in Lebanese Adults. Nutrients.</w:t>
      </w:r>
      <w:hyperlink r:id="rId14">
        <w:r>
          <w:t xml:space="preserve"> </w:t>
        </w:r>
      </w:hyperlink>
      <w:hyperlink r:id="rId15">
        <w:r w:rsidRPr="00084559">
          <w:rPr>
            <w:color w:val="1155CC"/>
            <w:u w:val="single"/>
          </w:rPr>
          <w:t>https://do</w:t>
        </w:r>
        <w:r w:rsidRPr="00084559">
          <w:rPr>
            <w:color w:val="1155CC"/>
            <w:u w:val="single"/>
          </w:rPr>
          <w:t>i.org/10.3390/nu16213718</w:t>
        </w:r>
      </w:hyperlink>
    </w:p>
    <w:p w:rsidR="008F3BCB" w:rsidRPr="00084559" w:rsidRDefault="00165072" w:rsidP="00084559">
      <w:pPr>
        <w:pStyle w:val="ListParagraph"/>
        <w:numPr>
          <w:ilvl w:val="0"/>
          <w:numId w:val="1"/>
        </w:numPr>
        <w:rPr>
          <w:highlight w:val="yellow"/>
        </w:rPr>
      </w:pPr>
      <w:r w:rsidRPr="00084559">
        <w:rPr>
          <w:highlight w:val="yellow"/>
        </w:rPr>
        <w:t>Hedblad, B., Nilsson, P., Engström, G., Berglund, G., Janzon, L. 2002. Insulin resistance in non‐diabetic subjects is associated with increased incidence of myocardial infarction and death. Diabetic medicine, 19(6), 470-475.</w:t>
      </w:r>
    </w:p>
    <w:p w:rsidR="008F3BCB" w:rsidRPr="00084559" w:rsidRDefault="00165072" w:rsidP="00084559">
      <w:pPr>
        <w:pStyle w:val="ListParagraph"/>
        <w:numPr>
          <w:ilvl w:val="0"/>
          <w:numId w:val="1"/>
        </w:numPr>
        <w:rPr>
          <w:color w:val="1155CC"/>
          <w:u w:val="single"/>
        </w:rPr>
      </w:pPr>
      <w:r>
        <w:t>Hostal</w:t>
      </w:r>
      <w:r>
        <w:t>ek, U. 2019. Global epidemiology of prediabetes - present and future perspectives. Cardiovascular Diabetology – Endocrinology Reports.</w:t>
      </w:r>
      <w:hyperlink r:id="rId16">
        <w:r>
          <w:t xml:space="preserve"> </w:t>
        </w:r>
      </w:hyperlink>
      <w:hyperlink r:id="rId17">
        <w:r w:rsidRPr="00084559">
          <w:rPr>
            <w:color w:val="1155CC"/>
            <w:u w:val="single"/>
          </w:rPr>
          <w:t>https://www.springermedizin.de/global-epidemiology-of-prediabetes-present-and-future-perspectiv/27288250</w:t>
        </w:r>
      </w:hyperlink>
    </w:p>
    <w:p w:rsidR="008F3BCB" w:rsidRPr="00084559" w:rsidRDefault="00165072" w:rsidP="00084559">
      <w:pPr>
        <w:pStyle w:val="ListParagraph"/>
        <w:numPr>
          <w:ilvl w:val="0"/>
          <w:numId w:val="1"/>
        </w:numPr>
        <w:rPr>
          <w:color w:val="1155CC"/>
          <w:u w:val="single"/>
        </w:rPr>
      </w:pPr>
      <w:r>
        <w:t>Kim, A.H., Son, D.H., Le</w:t>
      </w:r>
      <w:r>
        <w:t>e, Y.J. 2024. Modified triglyceride-glucose index indices are reliable markers for predicting risk of metabolic dysfunction-associated fatty liver disease: a cross-sectional study. Frontiers in Endocrinology.</w:t>
      </w:r>
      <w:hyperlink r:id="rId18">
        <w:r>
          <w:t xml:space="preserve"> </w:t>
        </w:r>
      </w:hyperlink>
      <w:hyperlink r:id="rId19">
        <w:r w:rsidRPr="00084559">
          <w:rPr>
            <w:color w:val="1155CC"/>
            <w:u w:val="single"/>
          </w:rPr>
          <w:t>https://pubmed.ncbi.nlm.nih.gov/38317718/</w:t>
        </w:r>
      </w:hyperlink>
    </w:p>
    <w:p w:rsidR="008F3BCB" w:rsidRPr="00084559" w:rsidRDefault="00165072" w:rsidP="00084559">
      <w:pPr>
        <w:pStyle w:val="ListParagraph"/>
        <w:numPr>
          <w:ilvl w:val="0"/>
          <w:numId w:val="1"/>
        </w:numPr>
        <w:rPr>
          <w:color w:val="1155CC"/>
          <w:u w:val="single"/>
        </w:rPr>
      </w:pPr>
      <w:r>
        <w:t>Kim, M.S., Lee, K.N., Lee, J., Kwak, J., Lee, S.H., Kwon, H.S., Hughes, J., Han, K.D., Lee, E.Y. 2025. The Triglyceride-Glucose Index and R</w:t>
      </w:r>
      <w:r>
        <w:t>isk of End-Stage Renal Disease across Different Durations of Type 2 Diabetes Mellitus: A Longitudinal Cohort Study. Endocrinology and Metabolism.</w:t>
      </w:r>
      <w:hyperlink r:id="rId20">
        <w:r>
          <w:t xml:space="preserve"> </w:t>
        </w:r>
      </w:hyperlink>
      <w:hyperlink r:id="rId21">
        <w:r w:rsidRPr="00084559">
          <w:rPr>
            <w:color w:val="1155CC"/>
            <w:u w:val="single"/>
          </w:rPr>
          <w:t>https://doi.org/10.3803/EnM.2024.2271</w:t>
        </w:r>
      </w:hyperlink>
    </w:p>
    <w:p w:rsidR="008F3BCB" w:rsidRPr="00084559" w:rsidRDefault="00165072" w:rsidP="00084559">
      <w:pPr>
        <w:pStyle w:val="ListParagraph"/>
        <w:numPr>
          <w:ilvl w:val="0"/>
          <w:numId w:val="1"/>
        </w:numPr>
        <w:rPr>
          <w:color w:val="1155CC"/>
          <w:u w:val="single"/>
        </w:rPr>
      </w:pPr>
      <w:r>
        <w:t>Li, X., Lin, Q., Zhang, D., Huang, Z., Yu, J., Zhao, J., Li, W., Liu, W. 2025. Triglyceride-glucose index and prognosis in non-diabetic critically ill patients: data from the eICU database. Frontiers in Medicine.</w:t>
      </w:r>
      <w:hyperlink r:id="rId22">
        <w:r>
          <w:t xml:space="preserve"> </w:t>
        </w:r>
      </w:hyperlink>
      <w:hyperlink r:id="rId23">
        <w:r w:rsidRPr="00084559">
          <w:rPr>
            <w:color w:val="1155CC"/>
            <w:u w:val="single"/>
          </w:rPr>
          <w:t>https://doi.org/10.3389/fmed.2025.1558968</w:t>
        </w:r>
      </w:hyperlink>
    </w:p>
    <w:p w:rsidR="008F3BCB" w:rsidRPr="00084559" w:rsidRDefault="00165072" w:rsidP="00084559">
      <w:pPr>
        <w:pStyle w:val="ListParagraph"/>
        <w:numPr>
          <w:ilvl w:val="0"/>
          <w:numId w:val="1"/>
        </w:numPr>
        <w:rPr>
          <w:color w:val="1155CC"/>
          <w:u w:val="single"/>
        </w:rPr>
      </w:pPr>
      <w:r>
        <w:lastRenderedPageBreak/>
        <w:t>Liu, H., Wang, L., Zhu, X., Wang, Y., Zhang, B., Ma, C., Gao, L., Yu, J. 2025. Can the trigly</w:t>
      </w:r>
      <w:r>
        <w:t>ceride-glucose index identify prediabetes in children and adolescents with obesity? a cross-sectional study. Frontiers in Endocrinology.</w:t>
      </w:r>
      <w:hyperlink r:id="rId24">
        <w:r>
          <w:t xml:space="preserve"> </w:t>
        </w:r>
      </w:hyperlink>
      <w:hyperlink r:id="rId25">
        <w:r w:rsidRPr="00084559">
          <w:rPr>
            <w:color w:val="1155CC"/>
            <w:u w:val="single"/>
          </w:rPr>
          <w:t>https://doi.org/10.3389/fendo.2025.1657912</w:t>
        </w:r>
      </w:hyperlink>
    </w:p>
    <w:p w:rsidR="008F3BCB" w:rsidRPr="00084559" w:rsidRDefault="00165072" w:rsidP="00084559">
      <w:pPr>
        <w:pStyle w:val="ListParagraph"/>
        <w:numPr>
          <w:ilvl w:val="0"/>
          <w:numId w:val="1"/>
        </w:numPr>
        <w:rPr>
          <w:color w:val="1155CC"/>
          <w:u w:val="single"/>
        </w:rPr>
      </w:pPr>
      <w:r>
        <w:t>Lu, Y.W., Chang, C.C., Chou, R.H., Tsai, Y.L., Liu, L.K., Chen, L.K., Huang, P.H., Lin, S.J. 2021. Gender difference in the association between TyG index and subclinical atherosclerosis: results from the I-La</w:t>
      </w:r>
      <w:r>
        <w:t>n Longitudinal Aging Study. Cardiovascular Diabetology.</w:t>
      </w:r>
      <w:hyperlink r:id="rId26">
        <w:r>
          <w:t xml:space="preserve"> </w:t>
        </w:r>
      </w:hyperlink>
      <w:hyperlink r:id="rId27">
        <w:r w:rsidRPr="00084559">
          <w:rPr>
            <w:color w:val="1155CC"/>
            <w:u w:val="single"/>
          </w:rPr>
          <w:t>https://doi.org/10.1186/s12933-021-01391-7</w:t>
        </w:r>
      </w:hyperlink>
    </w:p>
    <w:p w:rsidR="008F3BCB" w:rsidRPr="00084559" w:rsidRDefault="00165072" w:rsidP="00084559">
      <w:pPr>
        <w:pStyle w:val="ListParagraph"/>
        <w:numPr>
          <w:ilvl w:val="0"/>
          <w:numId w:val="1"/>
        </w:numPr>
        <w:rPr>
          <w:color w:val="1155CC"/>
          <w:u w:val="single"/>
        </w:rPr>
      </w:pPr>
      <w:r>
        <w:t>Luo, P., Cao, Y., Li, P., Li, W.,</w:t>
      </w:r>
      <w:r>
        <w:t xml:space="preserve"> Song, Z., Fu, Z., Zhou, H., Yi, X., Zhu, L., Zhu, S. 2022. TyG Index Performs Better Than HOMA-IR in Chinese Type 2 Diabetes Mellitus with a BMI &lt; 35 kg/m2: A Hyperglycemic Clamp Validated Study. Medicina.</w:t>
      </w:r>
      <w:hyperlink r:id="rId28">
        <w:r>
          <w:t xml:space="preserve"> </w:t>
        </w:r>
      </w:hyperlink>
      <w:hyperlink r:id="rId29">
        <w:r w:rsidRPr="00084559">
          <w:rPr>
            <w:color w:val="1155CC"/>
            <w:u w:val="single"/>
          </w:rPr>
          <w:t>https://doi.org/10.3390/medicina58070876</w:t>
        </w:r>
      </w:hyperlink>
    </w:p>
    <w:p w:rsidR="008F3BCB" w:rsidRPr="00084559" w:rsidRDefault="00165072" w:rsidP="00084559">
      <w:pPr>
        <w:pStyle w:val="ListParagraph"/>
        <w:numPr>
          <w:ilvl w:val="0"/>
          <w:numId w:val="1"/>
        </w:numPr>
        <w:rPr>
          <w:color w:val="1155CC"/>
          <w:u w:val="single"/>
        </w:rPr>
      </w:pPr>
      <w:r>
        <w:t>Morshed, M.S., Banu, H., Hossan, M.S., Mahrukh, H., Hasanat, M.A. 2024. Association of adiposity</w:t>
      </w:r>
      <w:r>
        <w:t xml:space="preserve"> indices with insulin resistance among women with polycystic ovary syndrome. Clinical and Experimental Reproductive Medicine.</w:t>
      </w:r>
      <w:hyperlink r:id="rId30">
        <w:r>
          <w:t xml:space="preserve"> </w:t>
        </w:r>
      </w:hyperlink>
      <w:hyperlink r:id="rId31">
        <w:r w:rsidRPr="00084559">
          <w:rPr>
            <w:color w:val="1155CC"/>
            <w:u w:val="single"/>
          </w:rPr>
          <w:t>https://doi.</w:t>
        </w:r>
        <w:r w:rsidRPr="00084559">
          <w:rPr>
            <w:color w:val="1155CC"/>
            <w:u w:val="single"/>
          </w:rPr>
          <w:t>org/10.5653/cerm.2024.07388</w:t>
        </w:r>
      </w:hyperlink>
    </w:p>
    <w:p w:rsidR="008F3BCB" w:rsidRPr="00084559" w:rsidRDefault="00165072" w:rsidP="00084559">
      <w:pPr>
        <w:pStyle w:val="ListParagraph"/>
        <w:numPr>
          <w:ilvl w:val="0"/>
          <w:numId w:val="1"/>
        </w:numPr>
        <w:rPr>
          <w:color w:val="1155CC"/>
          <w:u w:val="single"/>
        </w:rPr>
      </w:pPr>
      <w:r>
        <w:t>Priego-Parra, B.A., Román-Calleja, B.M., Gallego-Duran, R., Gracia-Sancho, J. 2024. Triglyceride-glucose-waist circumference index: A powerful tool for metabolic dysfunction-associated steatotic liver disease. PMC.</w:t>
      </w:r>
      <w:hyperlink r:id="rId32">
        <w:r>
          <w:t xml:space="preserve"> </w:t>
        </w:r>
      </w:hyperlink>
      <w:hyperlink r:id="rId33">
        <w:r w:rsidRPr="00084559">
          <w:rPr>
            <w:color w:val="1155CC"/>
            <w:u w:val="single"/>
          </w:rPr>
          <w:t>https://pmc.ncbi.nlm.nih.gov/articles/PMC12308583/</w:t>
        </w:r>
      </w:hyperlink>
    </w:p>
    <w:p w:rsidR="008F3BCB" w:rsidRDefault="008F3BCB"/>
    <w:p w:rsidR="008F3BCB" w:rsidRDefault="008F3BCB">
      <w:pPr>
        <w:ind w:left="720" w:hanging="630"/>
        <w:rPr>
          <w:rFonts w:ascii="Arial" w:eastAsia="Arial" w:hAnsi="Arial" w:cs="Arial"/>
          <w:b/>
          <w:bCs/>
          <w:color w:val="1F1F1F"/>
        </w:rPr>
      </w:pPr>
      <w:bookmarkStart w:id="18" w:name="_GoBack"/>
      <w:bookmarkEnd w:id="18"/>
    </w:p>
    <w:sectPr w:rsidR="008F3BC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072" w:rsidRDefault="00165072">
      <w:pPr>
        <w:spacing w:before="0" w:after="0" w:line="240" w:lineRule="auto"/>
      </w:pPr>
      <w:r>
        <w:separator/>
      </w:r>
    </w:p>
  </w:endnote>
  <w:endnote w:type="continuationSeparator" w:id="0">
    <w:p w:rsidR="00165072" w:rsidRDefault="001650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60B06460-EDCB-4019-BA95-B7B7FEACB532}"/>
  </w:font>
  <w:font w:name="Calibri">
    <w:panose1 w:val="020F0502020204030204"/>
    <w:charset w:val="00"/>
    <w:family w:val="swiss"/>
    <w:pitch w:val="variable"/>
    <w:sig w:usb0="E4002EFF" w:usb1="C200247B" w:usb2="00000009" w:usb3="00000000" w:csb0="000001FF" w:csb1="00000000"/>
    <w:embedRegular r:id="rId2" w:fontKey="{483269E7-212C-494C-B886-8955FD9CCCD0}"/>
  </w:font>
  <w:font w:name="Cambria">
    <w:altName w:val="Cambria"/>
    <w:panose1 w:val="02040503050406030204"/>
    <w:charset w:val="00"/>
    <w:family w:val="roman"/>
    <w:pitch w:val="variable"/>
    <w:sig w:usb0="E00006FF" w:usb1="420024FF" w:usb2="02000000" w:usb3="00000000" w:csb0="0000019F" w:csb1="00000000"/>
    <w:embedRegular r:id="rId3" w:fontKey="{F2B6FD8C-2DBC-4EC7-85E8-C54D39CA0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BCB" w:rsidRDefault="008F3BCB">
    <w:pPr>
      <w:pBdr>
        <w:top w:val="nil"/>
        <w:left w:val="nil"/>
        <w:bottom w:val="nil"/>
        <w:right w:val="nil"/>
        <w:between w:val="nil"/>
      </w:pBdr>
      <w:tabs>
        <w:tab w:val="center" w:pos="4680"/>
        <w:tab w:val="right" w:pos="9360"/>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BCB" w:rsidRDefault="008F3BCB">
    <w:pPr>
      <w:pBdr>
        <w:top w:val="nil"/>
        <w:left w:val="nil"/>
        <w:bottom w:val="nil"/>
        <w:right w:val="nil"/>
        <w:between w:val="nil"/>
      </w:pBdr>
      <w:tabs>
        <w:tab w:val="center" w:pos="4680"/>
        <w:tab w:val="right" w:pos="9360"/>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BCB" w:rsidRDefault="008F3BCB">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072" w:rsidRDefault="00165072">
      <w:pPr>
        <w:spacing w:before="0" w:after="0" w:line="240" w:lineRule="auto"/>
      </w:pPr>
      <w:r>
        <w:separator/>
      </w:r>
    </w:p>
  </w:footnote>
  <w:footnote w:type="continuationSeparator" w:id="0">
    <w:p w:rsidR="00165072" w:rsidRDefault="001650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BCB" w:rsidRDefault="00165072">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BCB" w:rsidRDefault="00165072">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BCB" w:rsidRDefault="00165072">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5347C2"/>
    <w:multiLevelType w:val="hybridMultilevel"/>
    <w:tmpl w:val="5D1EC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BCB"/>
    <w:rsid w:val="00084559"/>
    <w:rsid w:val="00165072"/>
    <w:rsid w:val="008F3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9E8E70"/>
  <w15:docId w15:val="{D6F2331A-65B8-4936-80A1-7C2DBE9D4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US"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0845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journals.plos.org/plosone/article?id=10.1371/journal.pone.0149731" TargetMode="External"/><Relationship Id="rId18" Type="http://schemas.openxmlformats.org/officeDocument/2006/relationships/hyperlink" Target="https://pubmed.ncbi.nlm.nih.gov/38317718/" TargetMode="External"/><Relationship Id="rId26" Type="http://schemas.openxmlformats.org/officeDocument/2006/relationships/hyperlink" Target="https://doi.org/10.1186/s12933-021-01391-7" TargetMode="External"/><Relationship Id="rId39" Type="http://schemas.openxmlformats.org/officeDocument/2006/relationships/footer" Target="footer3.xml"/><Relationship Id="rId21" Type="http://schemas.openxmlformats.org/officeDocument/2006/relationships/hyperlink" Target="https://doi.org/10.3803/EnM.2024.2271"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pringermedizin.de/global-epidemiology-of-prediabetes-present-and-future-perspectiv/27288250" TargetMode="External"/><Relationship Id="rId20" Type="http://schemas.openxmlformats.org/officeDocument/2006/relationships/hyperlink" Target="https://doi.org/10.3803/EnM.2024.2271" TargetMode="External"/><Relationship Id="rId29" Type="http://schemas.openxmlformats.org/officeDocument/2006/relationships/hyperlink" Target="https://doi.org/10.3390/medicina58070876"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endo.2025.1646258" TargetMode="External"/><Relationship Id="rId24" Type="http://schemas.openxmlformats.org/officeDocument/2006/relationships/hyperlink" Target="https://doi.org/10.3389/fendo.2025.1657912" TargetMode="External"/><Relationship Id="rId32" Type="http://schemas.openxmlformats.org/officeDocument/2006/relationships/hyperlink" Target="https://pmc.ncbi.nlm.nih.gov/articles/PMC1230858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nu16213718" TargetMode="External"/><Relationship Id="rId23" Type="http://schemas.openxmlformats.org/officeDocument/2006/relationships/hyperlink" Target="https://doi.org/10.3389/fmed.2025.1558968" TargetMode="External"/><Relationship Id="rId28" Type="http://schemas.openxmlformats.org/officeDocument/2006/relationships/hyperlink" Target="https://doi.org/10.3390/medicina58070876" TargetMode="External"/><Relationship Id="rId36" Type="http://schemas.openxmlformats.org/officeDocument/2006/relationships/footer" Target="footer1.xml"/><Relationship Id="rId10" Type="http://schemas.openxmlformats.org/officeDocument/2006/relationships/hyperlink" Target="https://doi.org/10.3389/fendo.2025.1646258" TargetMode="External"/><Relationship Id="rId19" Type="http://schemas.openxmlformats.org/officeDocument/2006/relationships/hyperlink" Target="https://pubmed.ncbi.nlm.nih.gov/38317718/" TargetMode="External"/><Relationship Id="rId31" Type="http://schemas.openxmlformats.org/officeDocument/2006/relationships/hyperlink" Target="https://doi.org/10.5653/cerm.2024.07388" TargetMode="External"/><Relationship Id="rId4" Type="http://schemas.openxmlformats.org/officeDocument/2006/relationships/webSettings" Target="webSettings.xml"/><Relationship Id="rId9" Type="http://schemas.openxmlformats.org/officeDocument/2006/relationships/hyperlink" Target="https://doi.org/10.1186/s12933-025-02979-z" TargetMode="External"/><Relationship Id="rId14" Type="http://schemas.openxmlformats.org/officeDocument/2006/relationships/hyperlink" Target="https://doi.org/10.3390/nu16213718" TargetMode="External"/><Relationship Id="rId22" Type="http://schemas.openxmlformats.org/officeDocument/2006/relationships/hyperlink" Target="https://doi.org/10.3389/fmed.2025.1558968" TargetMode="External"/><Relationship Id="rId27" Type="http://schemas.openxmlformats.org/officeDocument/2006/relationships/hyperlink" Target="https://doi.org/10.1186/s12933-021-01391-7" TargetMode="External"/><Relationship Id="rId30" Type="http://schemas.openxmlformats.org/officeDocument/2006/relationships/hyperlink" Target="https://doi.org/10.5653/cerm.2024.07388" TargetMode="External"/><Relationship Id="rId35" Type="http://schemas.openxmlformats.org/officeDocument/2006/relationships/header" Target="header2.xml"/><Relationship Id="rId8" Type="http://schemas.openxmlformats.org/officeDocument/2006/relationships/hyperlink" Target="https://doi.org/10.1186/s12933-025-02979-z" TargetMode="External"/><Relationship Id="rId3" Type="http://schemas.openxmlformats.org/officeDocument/2006/relationships/settings" Target="settings.xml"/><Relationship Id="rId12" Type="http://schemas.openxmlformats.org/officeDocument/2006/relationships/hyperlink" Target="https://journals.plos.org/plosone/article?id=10.1371/journal.pone.0149731" TargetMode="External"/><Relationship Id="rId17" Type="http://schemas.openxmlformats.org/officeDocument/2006/relationships/hyperlink" Target="https://www.springermedizin.de/global-epidemiology-of-prediabetes-present-and-future-perspectiv/27288250" TargetMode="External"/><Relationship Id="rId25" Type="http://schemas.openxmlformats.org/officeDocument/2006/relationships/hyperlink" Target="https://doi.org/10.3389/fendo.2025.1657912" TargetMode="External"/><Relationship Id="rId33" Type="http://schemas.openxmlformats.org/officeDocument/2006/relationships/hyperlink" Target="https://pmc.ncbi.nlm.nih.gov/articles/PMC12308583/"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4908</Words>
  <Characters>27976</Characters>
  <Application>Microsoft Office Word</Application>
  <DocSecurity>0</DocSecurity>
  <Lines>233</Lines>
  <Paragraphs>65</Paragraphs>
  <ScaleCrop>false</ScaleCrop>
  <Company/>
  <LinksUpToDate>false</LinksUpToDate>
  <CharactersWithSpaces>32819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2</cp:revision>
  <dcterms:created xsi:type="dcterms:W3CDTF">2026-03-20T07:16:00Z</dcterms:created>
  <dcterms:modified xsi:type="dcterms:W3CDTF">2026-03-20T07:27:00Z</dcterms:modified>
</cp:coreProperties>
</file>