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3B179" w14:textId="1995F26C" w:rsidR="00CE41F0" w:rsidRPr="00CE41F0" w:rsidRDefault="00CE41F0" w:rsidP="00CE41F0">
      <w:pPr>
        <w:spacing w:after="0" w:line="240" w:lineRule="auto"/>
        <w:jc w:val="both"/>
        <w:rPr>
          <w:rFonts w:ascii="Arial" w:hAnsi="Arial" w:cs="Arial"/>
          <w:b/>
          <w:bCs/>
          <w:sz w:val="28"/>
          <w:szCs w:val="28"/>
          <w:lang w:val="en"/>
        </w:rPr>
      </w:pPr>
      <w:r w:rsidRPr="00CE41F0">
        <w:rPr>
          <w:rFonts w:ascii="Arial" w:hAnsi="Arial" w:cs="Arial"/>
          <w:sz w:val="28"/>
          <w:szCs w:val="28"/>
        </w:rPr>
        <w:t>Original Research Article</w:t>
      </w:r>
    </w:p>
    <w:p w14:paraId="757601E5" w14:textId="77777777" w:rsidR="00CE41F0" w:rsidRDefault="00CE41F0" w:rsidP="00AA57D0">
      <w:pPr>
        <w:spacing w:after="0" w:line="240" w:lineRule="auto"/>
        <w:jc w:val="right"/>
        <w:rPr>
          <w:rFonts w:ascii="Arial" w:hAnsi="Arial" w:cs="Arial"/>
          <w:b/>
          <w:bCs/>
          <w:sz w:val="48"/>
          <w:szCs w:val="48"/>
          <w:lang w:val="en"/>
        </w:rPr>
      </w:pPr>
    </w:p>
    <w:p w14:paraId="14A36A08" w14:textId="285C3BFC" w:rsidR="00E052FE" w:rsidRDefault="00A24A63" w:rsidP="00AA57D0">
      <w:pPr>
        <w:spacing w:after="0" w:line="240" w:lineRule="auto"/>
        <w:jc w:val="right"/>
        <w:rPr>
          <w:rFonts w:ascii="Arial" w:hAnsi="Arial" w:cs="Arial"/>
          <w:b/>
          <w:bCs/>
          <w:lang w:val="en"/>
        </w:rPr>
      </w:pPr>
      <w:r w:rsidRPr="00A24A63">
        <w:rPr>
          <w:rFonts w:ascii="Arial" w:hAnsi="Arial" w:cs="Arial"/>
          <w:b/>
          <w:bCs/>
          <w:sz w:val="48"/>
          <w:szCs w:val="48"/>
          <w:lang w:val="en"/>
        </w:rPr>
        <w:t>Kinetic and thermodynamic characterization of latent and activated polyphenol oxidase from zrèzrou yam (</w:t>
      </w:r>
      <w:r w:rsidRPr="0001743B">
        <w:rPr>
          <w:rFonts w:ascii="Arial" w:hAnsi="Arial" w:cs="Arial"/>
          <w:b/>
          <w:bCs/>
          <w:i/>
          <w:iCs/>
          <w:sz w:val="48"/>
          <w:szCs w:val="48"/>
          <w:lang w:val="en"/>
        </w:rPr>
        <w:t>Dioscorea cayenensis-rotundata</w:t>
      </w:r>
      <w:r w:rsidRPr="00A24A63">
        <w:rPr>
          <w:rFonts w:ascii="Arial" w:hAnsi="Arial" w:cs="Arial"/>
          <w:b/>
          <w:bCs/>
          <w:sz w:val="48"/>
          <w:szCs w:val="48"/>
          <w:lang w:val="en"/>
        </w:rPr>
        <w:t>) cultivated</w:t>
      </w:r>
      <w:bookmarkStart w:id="0" w:name="_GoBack"/>
      <w:bookmarkEnd w:id="0"/>
      <w:r w:rsidRPr="00A24A63">
        <w:rPr>
          <w:rFonts w:ascii="Arial" w:hAnsi="Arial" w:cs="Arial"/>
          <w:b/>
          <w:bCs/>
          <w:sz w:val="48"/>
          <w:szCs w:val="48"/>
          <w:lang w:val="en"/>
        </w:rPr>
        <w:t xml:space="preserve"> in Ivory Coast for the control of enzymatic browning</w:t>
      </w:r>
    </w:p>
    <w:p w14:paraId="399DBCD7" w14:textId="77777777" w:rsidR="00E052FE" w:rsidRDefault="00E052FE" w:rsidP="00C302EC">
      <w:pPr>
        <w:pStyle w:val="HTMLPreformatte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iCs/>
        </w:rPr>
      </w:pPr>
    </w:p>
    <w:p w14:paraId="674EB828" w14:textId="77777777" w:rsidR="00E052FE" w:rsidRDefault="00E052FE">
      <w:pPr>
        <w:spacing w:after="0" w:line="240" w:lineRule="auto"/>
        <w:jc w:val="both"/>
        <w:rPr>
          <w:rFonts w:ascii="Arial" w:hAnsi="Arial" w:cs="Arial"/>
          <w:b/>
          <w:bCs/>
          <w:i/>
          <w:iCs/>
        </w:rPr>
      </w:pPr>
    </w:p>
    <w:p w14:paraId="415EA184" w14:textId="77777777" w:rsidR="00E052FE" w:rsidRDefault="00E052FE">
      <w:pPr>
        <w:spacing w:after="0" w:line="240" w:lineRule="auto"/>
        <w:jc w:val="both"/>
        <w:rPr>
          <w:rFonts w:ascii="Arial" w:hAnsi="Arial" w:cs="Arial"/>
          <w:b/>
          <w:bCs/>
          <w:lang w:val="en"/>
        </w:rPr>
      </w:pPr>
    </w:p>
    <w:p w14:paraId="33931BE3" w14:textId="77777777" w:rsidR="00E052FE" w:rsidRDefault="00E052FE">
      <w:pPr>
        <w:spacing w:after="0" w:line="240" w:lineRule="auto"/>
        <w:jc w:val="both"/>
        <w:rPr>
          <w:rFonts w:ascii="Arial" w:hAnsi="Arial" w:cs="Arial"/>
          <w:b/>
          <w:bCs/>
          <w:lang w:val="en"/>
        </w:rPr>
      </w:pPr>
    </w:p>
    <w:p w14:paraId="038374A3" w14:textId="55B6BB1C" w:rsidR="00E052FE" w:rsidRDefault="005A1036">
      <w:pPr>
        <w:spacing w:after="0" w:line="240" w:lineRule="auto"/>
        <w:jc w:val="both"/>
        <w:rPr>
          <w:rFonts w:ascii="Arial" w:hAnsi="Arial" w:cs="Arial"/>
          <w:b/>
          <w:bCs/>
        </w:rPr>
      </w:pPr>
      <w:r>
        <w:rPr>
          <w:rFonts w:ascii="Arial" w:hAnsi="Arial" w:cs="Arial"/>
          <w:b/>
          <w:bCs/>
        </w:rPr>
        <w:t>Abstract</w:t>
      </w:r>
      <w:r w:rsidR="00092879">
        <w:rPr>
          <w:rFonts w:ascii="Arial" w:hAnsi="Arial" w:cs="Arial"/>
          <w:b/>
          <w:bCs/>
        </w:rPr>
        <w:t> :</w:t>
      </w:r>
      <w:r>
        <w:rPr>
          <w:rFonts w:ascii="Arial" w:hAnsi="Arial" w:cs="Arial"/>
          <w:b/>
          <w:bCs/>
        </w:rPr>
        <w:t xml:space="preserve"> In the Zrèzrou yam (</w:t>
      </w:r>
      <w:r>
        <w:rPr>
          <w:rFonts w:ascii="Arial" w:hAnsi="Arial" w:cs="Arial"/>
          <w:b/>
          <w:bCs/>
          <w:i/>
          <w:iCs/>
        </w:rPr>
        <w:t>Dioscorea cayenensis rotundata</w:t>
      </w:r>
      <w:r>
        <w:rPr>
          <w:rFonts w:ascii="Arial" w:hAnsi="Arial" w:cs="Arial"/>
          <w:b/>
          <w:bCs/>
        </w:rPr>
        <w:t xml:space="preserve">), cultivated in Côte d’Ivoire, polyphenol oxidase (PPO), the enzyme </w:t>
      </w:r>
      <w:r>
        <w:rPr>
          <w:rFonts w:ascii="Arial" w:hAnsi="Arial" w:cs="Arial"/>
          <w:b/>
          <w:bCs/>
        </w:rPr>
        <w:t>responsible for enzymatic browning, exists in latent and activated forms, whose properties were poorly documented. This study aims to conduct a detailed comparison of the kinetic and thermodynamic parameters of these two enzymatic forms. PPO extracted from</w:t>
      </w:r>
      <w:r>
        <w:rPr>
          <w:rFonts w:ascii="Arial" w:hAnsi="Arial" w:cs="Arial"/>
          <w:b/>
          <w:bCs/>
        </w:rPr>
        <w:t xml:space="preserve"> fresh tubers was purified, and its activated form was obtained by adding 0.4% sodium dodecyl sulfate (SDS) to the reaction medium. Kinetic parameters (Vmax, Km, catalytic efficiency) were determined by spectrophotometry, while thermodynamic parameters (ac</w:t>
      </w:r>
      <w:r>
        <w:rPr>
          <w:rFonts w:ascii="Arial" w:hAnsi="Arial" w:cs="Arial"/>
          <w:b/>
          <w:bCs/>
        </w:rPr>
        <w:t>tivation energy Ea, enthalpy ΔH</w:t>
      </w:r>
      <w:r w:rsidR="00595E23">
        <w:rPr>
          <w:rFonts w:ascii="Arial" w:eastAsia="Calibri" w:hAnsi="Arial" w:cs="Arial"/>
          <w:b/>
          <w:sz w:val="20"/>
          <w:szCs w:val="20"/>
          <w:vertAlign w:val="superscript"/>
          <w:lang w:eastAsia="fr-FR"/>
        </w:rPr>
        <w:t>#</w:t>
      </w:r>
      <w:r>
        <w:rPr>
          <w:rFonts w:ascii="Arial" w:hAnsi="Arial" w:cs="Arial"/>
          <w:b/>
          <w:bCs/>
        </w:rPr>
        <w:t>, entropy ΔS</w:t>
      </w:r>
      <w:r w:rsidR="00595E23">
        <w:rPr>
          <w:rFonts w:ascii="Arial" w:eastAsia="Calibri" w:hAnsi="Arial" w:cs="Arial"/>
          <w:b/>
          <w:sz w:val="20"/>
          <w:szCs w:val="20"/>
          <w:vertAlign w:val="superscript"/>
          <w:lang w:eastAsia="fr-FR"/>
        </w:rPr>
        <w:t>#</w:t>
      </w:r>
      <w:r>
        <w:rPr>
          <w:rFonts w:ascii="Arial" w:hAnsi="Arial" w:cs="Arial"/>
          <w:b/>
          <w:bCs/>
        </w:rPr>
        <w:t>, Gibbs free energy ΔG</w:t>
      </w:r>
      <w:r w:rsidR="00595E23">
        <w:rPr>
          <w:rFonts w:ascii="Arial" w:eastAsia="Calibri" w:hAnsi="Arial" w:cs="Arial"/>
          <w:b/>
          <w:sz w:val="20"/>
          <w:szCs w:val="20"/>
          <w:vertAlign w:val="superscript"/>
          <w:lang w:eastAsia="fr-FR"/>
        </w:rPr>
        <w:t>#</w:t>
      </w:r>
      <w:r>
        <w:rPr>
          <w:rFonts w:ascii="Arial" w:hAnsi="Arial" w:cs="Arial"/>
          <w:b/>
          <w:bCs/>
        </w:rPr>
        <w:t xml:space="preserve">) were calculated from activity data as a function of temperature. The results revealed no significant difference between the two forms in terms of Km values. However, the latent form has </w:t>
      </w:r>
      <w:r>
        <w:rPr>
          <w:rFonts w:ascii="Arial" w:hAnsi="Arial" w:cs="Arial"/>
          <w:b/>
          <w:bCs/>
        </w:rPr>
        <w:t xml:space="preserve">a higher Vmax and catalytic efficiency than the activated form, indicating enhanced substrate </w:t>
      </w:r>
      <w:proofErr w:type="gramStart"/>
      <w:r>
        <w:rPr>
          <w:rFonts w:ascii="Arial" w:hAnsi="Arial" w:cs="Arial"/>
          <w:b/>
          <w:bCs/>
        </w:rPr>
        <w:t>affinity</w:t>
      </w:r>
      <w:proofErr w:type="gramEnd"/>
      <w:r>
        <w:rPr>
          <w:rFonts w:ascii="Arial" w:hAnsi="Arial" w:cs="Arial"/>
          <w:b/>
          <w:bCs/>
        </w:rPr>
        <w:t>. Thermodynamically, the latent form shows a lower Ea (78.92 KJ) than the activated form (129.92 KJ), suggesting that the catalyzed reaction requires less</w:t>
      </w:r>
      <w:r>
        <w:rPr>
          <w:rFonts w:ascii="Arial" w:hAnsi="Arial" w:cs="Arial"/>
          <w:b/>
          <w:bCs/>
        </w:rPr>
        <w:t xml:space="preserve"> energy and that the latent form has better thermal stability. The average positive ΔH</w:t>
      </w:r>
      <w:r w:rsidR="00595E23">
        <w:rPr>
          <w:rFonts w:ascii="Arial" w:eastAsia="Calibri" w:hAnsi="Arial" w:cs="Arial"/>
          <w:b/>
          <w:sz w:val="20"/>
          <w:szCs w:val="20"/>
          <w:vertAlign w:val="superscript"/>
          <w:lang w:eastAsia="fr-FR"/>
        </w:rPr>
        <w:t>#</w:t>
      </w:r>
      <w:r>
        <w:rPr>
          <w:rFonts w:ascii="Arial" w:hAnsi="Arial" w:cs="Arial"/>
          <w:b/>
          <w:bCs/>
        </w:rPr>
        <w:t xml:space="preserve"> (76.27 KJ) and negative ΔS</w:t>
      </w:r>
      <w:r w:rsidR="00595E23">
        <w:rPr>
          <w:rFonts w:ascii="Arial" w:eastAsia="Calibri" w:hAnsi="Arial" w:cs="Arial"/>
          <w:b/>
          <w:sz w:val="20"/>
          <w:szCs w:val="20"/>
          <w:vertAlign w:val="superscript"/>
          <w:lang w:eastAsia="fr-FR"/>
        </w:rPr>
        <w:t>#</w:t>
      </w:r>
      <w:r>
        <w:rPr>
          <w:rFonts w:ascii="Arial" w:hAnsi="Arial" w:cs="Arial"/>
          <w:b/>
          <w:bCs/>
        </w:rPr>
        <w:t xml:space="preserve"> (-36.41 KJ) values confirm the endothermic nature of the reaction and the formation of an ordered enzyme-substrate complex for the latent fo</w:t>
      </w:r>
      <w:r>
        <w:rPr>
          <w:rFonts w:ascii="Arial" w:hAnsi="Arial" w:cs="Arial"/>
          <w:b/>
          <w:bCs/>
        </w:rPr>
        <w:t>rm, while the positive ΔG</w:t>
      </w:r>
      <w:r w:rsidR="00595E23">
        <w:rPr>
          <w:rFonts w:ascii="Arial" w:eastAsia="Calibri" w:hAnsi="Arial" w:cs="Arial"/>
          <w:b/>
          <w:sz w:val="20"/>
          <w:szCs w:val="20"/>
          <w:vertAlign w:val="superscript"/>
          <w:lang w:eastAsia="fr-FR"/>
        </w:rPr>
        <w:t>#</w:t>
      </w:r>
      <w:r>
        <w:rPr>
          <w:rFonts w:ascii="Arial" w:hAnsi="Arial" w:cs="Arial"/>
          <w:b/>
          <w:bCs/>
        </w:rPr>
        <w:t xml:space="preserve"> values for both forms indicate the non-spontaneity of the process. These results provide a scientific basis for the development of effective strategies to control enzymatic browning, in order to improve the food and industrial va</w:t>
      </w:r>
      <w:r>
        <w:rPr>
          <w:rFonts w:ascii="Arial" w:hAnsi="Arial" w:cs="Arial"/>
          <w:b/>
          <w:bCs/>
        </w:rPr>
        <w:t xml:space="preserve">lorization of this tuber in Côte d’Ivoire. </w:t>
      </w:r>
    </w:p>
    <w:p w14:paraId="5F7FB23D" w14:textId="77777777" w:rsidR="00E052FE" w:rsidRDefault="00E052FE">
      <w:pPr>
        <w:spacing w:after="0" w:line="240" w:lineRule="auto"/>
        <w:jc w:val="both"/>
        <w:rPr>
          <w:rFonts w:ascii="Arial" w:hAnsi="Arial" w:cs="Arial"/>
          <w:b/>
          <w:bCs/>
        </w:rPr>
      </w:pPr>
    </w:p>
    <w:p w14:paraId="4EFB228A" w14:textId="3E24B007" w:rsidR="00E052FE" w:rsidRPr="00CB2D42" w:rsidRDefault="005A1036">
      <w:pPr>
        <w:spacing w:after="0" w:line="240" w:lineRule="auto"/>
        <w:jc w:val="both"/>
        <w:rPr>
          <w:rFonts w:ascii="Arial" w:hAnsi="Arial" w:cs="Arial"/>
          <w:b/>
          <w:bCs/>
          <w:sz w:val="20"/>
          <w:szCs w:val="20"/>
        </w:rPr>
      </w:pPr>
      <w:r w:rsidRPr="00CB2D42">
        <w:rPr>
          <w:rFonts w:ascii="Arial" w:hAnsi="Arial" w:cs="Arial"/>
          <w:b/>
          <w:bCs/>
          <w:sz w:val="20"/>
          <w:szCs w:val="20"/>
          <w:lang w:val="en"/>
        </w:rPr>
        <w:t xml:space="preserve">Keywords: </w:t>
      </w:r>
      <w:r w:rsidRPr="00CB2D42">
        <w:rPr>
          <w:rFonts w:ascii="Arial" w:hAnsi="Arial" w:cs="Arial"/>
          <w:b/>
          <w:bCs/>
          <w:sz w:val="20"/>
          <w:szCs w:val="20"/>
        </w:rPr>
        <w:t xml:space="preserve">Yam, </w:t>
      </w:r>
      <w:r w:rsidRPr="00CB2D42">
        <w:rPr>
          <w:rFonts w:ascii="Arial" w:hAnsi="Arial" w:cs="Arial"/>
          <w:b/>
          <w:bCs/>
          <w:i/>
          <w:iCs/>
          <w:sz w:val="20"/>
          <w:szCs w:val="20"/>
        </w:rPr>
        <w:t>Dioscorea cayenensis-rotundata</w:t>
      </w:r>
      <w:r w:rsidRPr="00CB2D42">
        <w:rPr>
          <w:rFonts w:ascii="Arial" w:hAnsi="Arial" w:cs="Arial"/>
          <w:b/>
          <w:bCs/>
          <w:sz w:val="20"/>
          <w:szCs w:val="20"/>
        </w:rPr>
        <w:t>, Polyphenol oxidase, Kinetic, thermodynamic</w:t>
      </w:r>
      <w:r w:rsidR="00CB2D42">
        <w:rPr>
          <w:rFonts w:ascii="Arial" w:hAnsi="Arial" w:cs="Arial"/>
          <w:b/>
          <w:bCs/>
          <w:sz w:val="20"/>
          <w:szCs w:val="20"/>
        </w:rPr>
        <w:t>,</w:t>
      </w:r>
      <w:r w:rsidRPr="00CB2D42">
        <w:rPr>
          <w:rFonts w:ascii="Arial" w:hAnsi="Arial" w:cs="Arial"/>
          <w:b/>
          <w:bCs/>
          <w:sz w:val="20"/>
          <w:szCs w:val="20"/>
        </w:rPr>
        <w:t xml:space="preserve"> inactivation, inhibition,</w:t>
      </w:r>
      <w:r w:rsidRPr="00CB2D42">
        <w:rPr>
          <w:rFonts w:ascii="Arial" w:hAnsi="Arial" w:cs="Arial"/>
          <w:b/>
          <w:bCs/>
          <w:sz w:val="20"/>
          <w:szCs w:val="20"/>
          <w:lang w:val="en"/>
        </w:rPr>
        <w:t xml:space="preserve"> enzymatic browning</w:t>
      </w:r>
    </w:p>
    <w:p w14:paraId="2390CC70" w14:textId="77777777" w:rsidR="00E052FE" w:rsidRDefault="00E052FE">
      <w:pPr>
        <w:spacing w:after="0" w:line="240" w:lineRule="auto"/>
        <w:jc w:val="both"/>
        <w:rPr>
          <w:rFonts w:ascii="Arial" w:hAnsi="Arial" w:cs="Arial"/>
          <w:b/>
          <w:bCs/>
        </w:rPr>
      </w:pPr>
    </w:p>
    <w:p w14:paraId="0097DC35" w14:textId="77777777" w:rsidR="00E052FE" w:rsidRDefault="00E052FE">
      <w:pPr>
        <w:spacing w:after="0" w:line="240" w:lineRule="auto"/>
        <w:jc w:val="both"/>
        <w:rPr>
          <w:rFonts w:ascii="Arial" w:hAnsi="Arial" w:cs="Arial"/>
          <w:b/>
          <w:bCs/>
        </w:rPr>
      </w:pPr>
    </w:p>
    <w:p w14:paraId="7B5EAF7B" w14:textId="77777777" w:rsidR="00E052FE" w:rsidRDefault="005A1036" w:rsidP="00CB2D42">
      <w:pPr>
        <w:spacing w:after="0" w:line="240" w:lineRule="auto"/>
        <w:jc w:val="right"/>
        <w:rPr>
          <w:rFonts w:ascii="Arial" w:hAnsi="Arial" w:cs="Arial"/>
          <w:b/>
          <w:bCs/>
        </w:rPr>
      </w:pPr>
      <w:r>
        <w:rPr>
          <w:rFonts w:ascii="Arial" w:hAnsi="Arial" w:cs="Arial"/>
          <w:b/>
          <w:bCs/>
        </w:rPr>
        <w:t>1. INTRODUCTION</w:t>
      </w:r>
    </w:p>
    <w:p w14:paraId="1837CDF6" w14:textId="77777777" w:rsidR="00E052FE" w:rsidRDefault="00E052FE">
      <w:pPr>
        <w:spacing w:after="0" w:line="240" w:lineRule="auto"/>
        <w:jc w:val="both"/>
        <w:rPr>
          <w:rFonts w:ascii="Arial" w:hAnsi="Arial" w:cs="Arial"/>
          <w:sz w:val="20"/>
          <w:szCs w:val="20"/>
        </w:rPr>
      </w:pPr>
    </w:p>
    <w:p w14:paraId="4AEFD76B" w14:textId="17AA7372" w:rsidR="00E052FE" w:rsidRPr="00F61436" w:rsidRDefault="005A1036">
      <w:pPr>
        <w:spacing w:after="0" w:line="240" w:lineRule="auto"/>
        <w:jc w:val="both"/>
        <w:rPr>
          <w:rFonts w:ascii="Arial" w:hAnsi="Arial"/>
          <w:sz w:val="20"/>
          <w:szCs w:val="20"/>
        </w:rPr>
      </w:pPr>
      <w:r w:rsidRPr="00F61436">
        <w:rPr>
          <w:rFonts w:ascii="Arial" w:hAnsi="Arial"/>
          <w:sz w:val="20"/>
          <w:szCs w:val="20"/>
        </w:rPr>
        <w:t xml:space="preserve">Yams are monocotyledonous plants belonging to the family </w:t>
      </w:r>
      <w:r w:rsidRPr="00F61436">
        <w:rPr>
          <w:rFonts w:ascii="Arial" w:hAnsi="Arial"/>
          <w:i/>
          <w:iCs/>
          <w:sz w:val="20"/>
          <w:szCs w:val="20"/>
        </w:rPr>
        <w:t>Dioscoreaceae</w:t>
      </w:r>
      <w:r w:rsidRPr="00F61436">
        <w:rPr>
          <w:rFonts w:ascii="Arial" w:hAnsi="Arial"/>
          <w:sz w:val="20"/>
          <w:szCs w:val="20"/>
        </w:rPr>
        <w:t xml:space="preserve"> and the genus </w:t>
      </w:r>
      <w:r w:rsidRPr="00F61436">
        <w:rPr>
          <w:rFonts w:ascii="Arial" w:hAnsi="Arial"/>
          <w:i/>
          <w:iCs/>
          <w:sz w:val="20"/>
          <w:szCs w:val="20"/>
        </w:rPr>
        <w:t>Dioscorea</w:t>
      </w:r>
      <w:r w:rsidRPr="00F61436">
        <w:rPr>
          <w:rFonts w:ascii="Arial" w:hAnsi="Arial"/>
          <w:sz w:val="20"/>
          <w:szCs w:val="20"/>
        </w:rPr>
        <w:t xml:space="preserve"> (Soto Gomez et al., 20</w:t>
      </w:r>
      <w:r w:rsidR="008B1E66" w:rsidRPr="00F61436">
        <w:rPr>
          <w:rFonts w:ascii="Arial" w:hAnsi="Arial"/>
          <w:sz w:val="20"/>
          <w:szCs w:val="20"/>
        </w:rPr>
        <w:t>19</w:t>
      </w:r>
      <w:r w:rsidRPr="00F61436">
        <w:rPr>
          <w:rFonts w:ascii="Arial" w:hAnsi="Arial"/>
          <w:sz w:val="20"/>
          <w:szCs w:val="20"/>
        </w:rPr>
        <w:t>). With Africa accounting for 96% of global yam production including major contributions from Nigeria (40%), Ghana (8%), and Côte d’Ivoir</w:t>
      </w:r>
      <w:r w:rsidRPr="00F61436">
        <w:rPr>
          <w:rFonts w:ascii="Arial" w:hAnsi="Arial"/>
          <w:sz w:val="20"/>
          <w:szCs w:val="20"/>
        </w:rPr>
        <w:t>e (3%) a large proportion is consumed directly by farming households, while the remainder is commercialized to supply urban markets (FAO, 202</w:t>
      </w:r>
      <w:r w:rsidR="0053101E" w:rsidRPr="00F61436">
        <w:rPr>
          <w:rFonts w:ascii="Arial" w:hAnsi="Arial"/>
          <w:sz w:val="20"/>
          <w:szCs w:val="20"/>
        </w:rPr>
        <w:t>1</w:t>
      </w:r>
      <w:r w:rsidRPr="00F61436">
        <w:rPr>
          <w:rFonts w:ascii="Arial" w:hAnsi="Arial"/>
          <w:sz w:val="20"/>
          <w:szCs w:val="20"/>
        </w:rPr>
        <w:t>). Yams are a staple food crop across West Africa, with countries like Nigeria, Côte d’Ivoire, Ghana, Togo, and Be</w:t>
      </w:r>
      <w:r w:rsidRPr="00F61436">
        <w:rPr>
          <w:rFonts w:ascii="Arial" w:hAnsi="Arial"/>
          <w:sz w:val="20"/>
          <w:szCs w:val="20"/>
        </w:rPr>
        <w:t xml:space="preserve">nin relying on them as </w:t>
      </w:r>
      <w:proofErr w:type="gramStart"/>
      <w:r w:rsidRPr="00F61436">
        <w:rPr>
          <w:rFonts w:ascii="Arial" w:hAnsi="Arial"/>
          <w:sz w:val="20"/>
          <w:szCs w:val="20"/>
        </w:rPr>
        <w:t>a</w:t>
      </w:r>
      <w:proofErr w:type="gramEnd"/>
      <w:r w:rsidRPr="00F61436">
        <w:rPr>
          <w:rFonts w:ascii="Arial" w:hAnsi="Arial"/>
          <w:sz w:val="20"/>
          <w:szCs w:val="20"/>
        </w:rPr>
        <w:t xml:space="preserve"> key source of sustenance. Their sensory appeal, nutritional profile (including resistant starch, fiber, and bioactive compounds like diosgenin), and dietary benefits contribute to their cultural prestige and allow them to compete w</w:t>
      </w:r>
      <w:r w:rsidRPr="00F61436">
        <w:rPr>
          <w:rFonts w:ascii="Arial" w:hAnsi="Arial"/>
          <w:sz w:val="20"/>
          <w:szCs w:val="20"/>
        </w:rPr>
        <w:t>ith other starchy staples such as cereals and cassava (OrganicWay, 2025). In flour form, yam is incorporated into pastry products like pancakes and cakes, and can replace up to 25–50% of wheat flour in baked goods while improving moisture retention and nut</w:t>
      </w:r>
      <w:r w:rsidRPr="00F61436">
        <w:rPr>
          <w:rFonts w:ascii="Arial" w:hAnsi="Arial"/>
          <w:sz w:val="20"/>
          <w:szCs w:val="20"/>
        </w:rPr>
        <w:t xml:space="preserve">ritional value (Chikezie, </w:t>
      </w:r>
      <w:proofErr w:type="gramStart"/>
      <w:r w:rsidRPr="00F61436">
        <w:rPr>
          <w:rFonts w:ascii="Arial" w:hAnsi="Arial"/>
          <w:sz w:val="20"/>
          <w:szCs w:val="20"/>
        </w:rPr>
        <w:t>20</w:t>
      </w:r>
      <w:r w:rsidR="00092879" w:rsidRPr="00F61436">
        <w:rPr>
          <w:rFonts w:ascii="Arial" w:hAnsi="Arial"/>
          <w:sz w:val="20"/>
          <w:szCs w:val="20"/>
        </w:rPr>
        <w:t>15</w:t>
      </w:r>
      <w:r w:rsidRPr="00F61436">
        <w:rPr>
          <w:rFonts w:ascii="Arial" w:hAnsi="Arial"/>
          <w:sz w:val="20"/>
          <w:szCs w:val="20"/>
        </w:rPr>
        <w:t>;</w:t>
      </w:r>
      <w:proofErr w:type="gramEnd"/>
      <w:r w:rsidRPr="00F61436">
        <w:rPr>
          <w:rFonts w:ascii="Arial" w:hAnsi="Arial"/>
          <w:sz w:val="20"/>
          <w:szCs w:val="20"/>
        </w:rPr>
        <w:t xml:space="preserve"> OrganicWay, 2025).</w:t>
      </w:r>
    </w:p>
    <w:p w14:paraId="4EEC0650" w14:textId="1BC4F2DC" w:rsidR="00E052FE" w:rsidRPr="00F61436" w:rsidRDefault="005A1036">
      <w:pPr>
        <w:spacing w:after="0" w:line="240" w:lineRule="auto"/>
        <w:jc w:val="both"/>
        <w:rPr>
          <w:rFonts w:ascii="Arial" w:hAnsi="Arial"/>
          <w:sz w:val="20"/>
          <w:szCs w:val="20"/>
        </w:rPr>
      </w:pPr>
      <w:r w:rsidRPr="00F61436">
        <w:rPr>
          <w:rFonts w:ascii="Arial" w:hAnsi="Arial"/>
          <w:sz w:val="20"/>
          <w:szCs w:val="20"/>
        </w:rPr>
        <w:t xml:space="preserve"> Although yam tubers are nutritionally, pharmacologically, and economically vital for local populations, they remain seasonal and highly perishable, with postharvest losses estimated at around 30% annually</w:t>
      </w:r>
      <w:r w:rsidRPr="00F61436">
        <w:rPr>
          <w:rFonts w:ascii="Arial" w:hAnsi="Arial"/>
          <w:sz w:val="20"/>
          <w:szCs w:val="20"/>
        </w:rPr>
        <w:t xml:space="preserve"> (Eshun et al., 202</w:t>
      </w:r>
      <w:r w:rsidR="006E02E3" w:rsidRPr="00F61436">
        <w:rPr>
          <w:rFonts w:ascii="Arial" w:hAnsi="Arial"/>
          <w:sz w:val="20"/>
          <w:szCs w:val="20"/>
        </w:rPr>
        <w:t>2</w:t>
      </w:r>
      <w:r w:rsidRPr="00F61436">
        <w:rPr>
          <w:rFonts w:ascii="Arial" w:hAnsi="Arial"/>
          <w:sz w:val="20"/>
          <w:szCs w:val="20"/>
        </w:rPr>
        <w:t xml:space="preserve">). Losses stem not only from germination, microbial rot, pest damage, and mechanical injuries during harvest and transport but also from enzymatic browning—driven by the oxidation of phenolic compounds into quinones (Eshun et al., </w:t>
      </w:r>
      <w:proofErr w:type="gramStart"/>
      <w:r w:rsidRPr="00F61436">
        <w:rPr>
          <w:rFonts w:ascii="Arial" w:hAnsi="Arial"/>
          <w:sz w:val="20"/>
          <w:szCs w:val="20"/>
        </w:rPr>
        <w:t>202</w:t>
      </w:r>
      <w:r w:rsidR="006E02E3" w:rsidRPr="00F61436">
        <w:rPr>
          <w:rFonts w:ascii="Arial" w:hAnsi="Arial"/>
          <w:sz w:val="20"/>
          <w:szCs w:val="20"/>
        </w:rPr>
        <w:t>2</w:t>
      </w:r>
      <w:r w:rsidRPr="00F61436">
        <w:rPr>
          <w:rFonts w:ascii="Arial" w:hAnsi="Arial"/>
          <w:sz w:val="20"/>
          <w:szCs w:val="20"/>
        </w:rPr>
        <w:t>;</w:t>
      </w:r>
      <w:proofErr w:type="gramEnd"/>
      <w:r w:rsidRPr="00F61436">
        <w:rPr>
          <w:rFonts w:ascii="Arial" w:hAnsi="Arial"/>
          <w:sz w:val="20"/>
          <w:szCs w:val="20"/>
        </w:rPr>
        <w:t xml:space="preserve"> Zhong et al., 2025). This process is primarily catalyzed by polyphenol oxidases (PPO) and secondarily by peroxidases (POD), which </w:t>
      </w:r>
      <w:r w:rsidRPr="00F61436">
        <w:rPr>
          <w:rFonts w:ascii="Arial" w:hAnsi="Arial"/>
          <w:sz w:val="20"/>
          <w:szCs w:val="20"/>
        </w:rPr>
        <w:lastRenderedPageBreak/>
        <w:t xml:space="preserve">oxidize phenols to quinones in the presence of </w:t>
      </w:r>
      <w:proofErr w:type="gramStart"/>
      <w:r w:rsidRPr="00F61436">
        <w:rPr>
          <w:rFonts w:ascii="Arial" w:hAnsi="Arial"/>
          <w:sz w:val="20"/>
          <w:szCs w:val="20"/>
        </w:rPr>
        <w:t>oxygen;</w:t>
      </w:r>
      <w:proofErr w:type="gramEnd"/>
      <w:r w:rsidRPr="00F61436">
        <w:rPr>
          <w:rFonts w:ascii="Arial" w:hAnsi="Arial"/>
          <w:sz w:val="20"/>
          <w:szCs w:val="20"/>
        </w:rPr>
        <w:t xml:space="preserve"> quinones then polymerize into brown pigments that reduce nutritional v</w:t>
      </w:r>
      <w:r w:rsidRPr="00F61436">
        <w:rPr>
          <w:rFonts w:ascii="Arial" w:hAnsi="Arial"/>
          <w:sz w:val="20"/>
          <w:szCs w:val="20"/>
        </w:rPr>
        <w:t>alue, impair organoleptic quality, and hinder processing (Zhong et al., 2025; Eshun et al., 202</w:t>
      </w:r>
      <w:r w:rsidR="006E02E3" w:rsidRPr="00F61436">
        <w:rPr>
          <w:rFonts w:ascii="Arial" w:hAnsi="Arial"/>
          <w:sz w:val="20"/>
          <w:szCs w:val="20"/>
        </w:rPr>
        <w:t>2</w:t>
      </w:r>
      <w:r w:rsidRPr="00F61436">
        <w:rPr>
          <w:rFonts w:ascii="Arial" w:hAnsi="Arial"/>
          <w:sz w:val="20"/>
          <w:szCs w:val="20"/>
        </w:rPr>
        <w:t>). Given these impacts, research on inhibiting enzymatic browning has become increasingly critical for food processing technology (Zhong et al., 2025).</w:t>
      </w:r>
    </w:p>
    <w:p w14:paraId="10289D68" w14:textId="74502A93" w:rsidR="00E052FE" w:rsidRPr="00F61436" w:rsidRDefault="005A1036">
      <w:pPr>
        <w:spacing w:after="0" w:line="240" w:lineRule="auto"/>
        <w:jc w:val="both"/>
        <w:rPr>
          <w:rFonts w:ascii="Arial" w:hAnsi="Arial"/>
          <w:sz w:val="20"/>
          <w:szCs w:val="20"/>
        </w:rPr>
      </w:pPr>
      <w:r w:rsidRPr="00F61436">
        <w:rPr>
          <w:rFonts w:ascii="Arial" w:hAnsi="Arial"/>
          <w:sz w:val="20"/>
          <w:szCs w:val="20"/>
        </w:rPr>
        <w:t xml:space="preserve"> PPO typ</w:t>
      </w:r>
      <w:r w:rsidRPr="00F61436">
        <w:rPr>
          <w:rFonts w:ascii="Arial" w:hAnsi="Arial"/>
          <w:sz w:val="20"/>
          <w:szCs w:val="20"/>
        </w:rPr>
        <w:t xml:space="preserve">ically exists in plant tissues in two </w:t>
      </w:r>
      <w:proofErr w:type="gramStart"/>
      <w:r w:rsidRPr="00F61436">
        <w:rPr>
          <w:rFonts w:ascii="Arial" w:hAnsi="Arial"/>
          <w:sz w:val="20"/>
          <w:szCs w:val="20"/>
        </w:rPr>
        <w:t>forms:</w:t>
      </w:r>
      <w:proofErr w:type="gramEnd"/>
      <w:r w:rsidRPr="00F61436">
        <w:rPr>
          <w:rFonts w:ascii="Arial" w:hAnsi="Arial"/>
          <w:sz w:val="20"/>
          <w:szCs w:val="20"/>
        </w:rPr>
        <w:t xml:space="preserve"> a latent (inactive or low-activity) state and an activated (catalytically competent) state. The transition between these states is regulated by physicochemical factors such as pH, temperature, and the presence o</w:t>
      </w:r>
      <w:r w:rsidRPr="00F61436">
        <w:rPr>
          <w:rFonts w:ascii="Arial" w:hAnsi="Arial"/>
          <w:sz w:val="20"/>
          <w:szCs w:val="20"/>
        </w:rPr>
        <w:t xml:space="preserve">f ligands or inhibitors, whose effects require analysis of kinetic and thermodynamic parameters (Lago-Van Zela et al., </w:t>
      </w:r>
      <w:proofErr w:type="gramStart"/>
      <w:r w:rsidRPr="00F61436">
        <w:rPr>
          <w:rFonts w:ascii="Arial" w:hAnsi="Arial"/>
          <w:sz w:val="20"/>
          <w:szCs w:val="20"/>
        </w:rPr>
        <w:t>20</w:t>
      </w:r>
      <w:r w:rsidR="00D929A4" w:rsidRPr="00F61436">
        <w:rPr>
          <w:rFonts w:ascii="Arial" w:hAnsi="Arial"/>
          <w:sz w:val="20"/>
          <w:szCs w:val="20"/>
        </w:rPr>
        <w:t>11</w:t>
      </w:r>
      <w:r w:rsidRPr="00F61436">
        <w:rPr>
          <w:rFonts w:ascii="Arial" w:hAnsi="Arial"/>
          <w:sz w:val="20"/>
          <w:szCs w:val="20"/>
        </w:rPr>
        <w:t>;</w:t>
      </w:r>
      <w:proofErr w:type="gramEnd"/>
      <w:r w:rsidRPr="00F61436">
        <w:rPr>
          <w:rFonts w:ascii="Arial" w:hAnsi="Arial"/>
          <w:sz w:val="20"/>
          <w:szCs w:val="20"/>
        </w:rPr>
        <w:t xml:space="preserve"> Chikezie, 20</w:t>
      </w:r>
      <w:r w:rsidR="00092879" w:rsidRPr="00F61436">
        <w:rPr>
          <w:rFonts w:ascii="Arial" w:hAnsi="Arial"/>
          <w:sz w:val="20"/>
          <w:szCs w:val="20"/>
        </w:rPr>
        <w:t>15</w:t>
      </w:r>
      <w:r w:rsidRPr="00F61436">
        <w:rPr>
          <w:rFonts w:ascii="Arial" w:hAnsi="Arial"/>
          <w:sz w:val="20"/>
          <w:szCs w:val="20"/>
        </w:rPr>
        <w:t>). While studies have characterized PPO from various plant species, few have systematically compared the properties o</w:t>
      </w:r>
      <w:r w:rsidRPr="00F61436">
        <w:rPr>
          <w:rFonts w:ascii="Arial" w:hAnsi="Arial"/>
          <w:sz w:val="20"/>
          <w:szCs w:val="20"/>
        </w:rPr>
        <w:t>f latent and activated forms particularly in local yam cultivars (Chikezie, 20</w:t>
      </w:r>
      <w:r w:rsidR="00092879" w:rsidRPr="00F61436">
        <w:rPr>
          <w:rFonts w:ascii="Arial" w:hAnsi="Arial"/>
          <w:sz w:val="20"/>
          <w:szCs w:val="20"/>
        </w:rPr>
        <w:t>15</w:t>
      </w:r>
      <w:r w:rsidRPr="00F61436">
        <w:rPr>
          <w:rFonts w:ascii="Arial" w:hAnsi="Arial"/>
          <w:sz w:val="20"/>
          <w:szCs w:val="20"/>
        </w:rPr>
        <w:t>).</w:t>
      </w:r>
    </w:p>
    <w:p w14:paraId="2EAEE54A" w14:textId="77777777" w:rsidR="00E052FE" w:rsidRDefault="005A1036">
      <w:pPr>
        <w:spacing w:after="0" w:line="240" w:lineRule="auto"/>
        <w:jc w:val="both"/>
        <w:rPr>
          <w:rFonts w:ascii="Arial" w:hAnsi="Arial"/>
          <w:sz w:val="20"/>
          <w:szCs w:val="20"/>
        </w:rPr>
      </w:pPr>
      <w:r>
        <w:rPr>
          <w:rFonts w:ascii="Arial" w:hAnsi="Arial"/>
          <w:sz w:val="20"/>
          <w:szCs w:val="20"/>
        </w:rPr>
        <w:t xml:space="preserve"> In this context, the present study aims to conduct a comparative analysis of the kinetics and thermodynamics of latent and activated PPO extracted from tubers of the Zrèzro</w:t>
      </w:r>
      <w:r>
        <w:rPr>
          <w:rFonts w:ascii="Arial" w:hAnsi="Arial"/>
          <w:sz w:val="20"/>
          <w:szCs w:val="20"/>
        </w:rPr>
        <w:t>u yam cultivar grown in Côte d’Ivoire. Specifically, it will determine kinetic parameters (Vmax, Km, catalytic efficiency) and thermodynamic parameters (activation energy, enthalpy, entropy, Gibbs free energy) of the two enzymatic forms to identify differe</w:t>
      </w:r>
      <w:r>
        <w:rPr>
          <w:rFonts w:ascii="Arial" w:hAnsi="Arial"/>
          <w:sz w:val="20"/>
          <w:szCs w:val="20"/>
        </w:rPr>
        <w:t>nces explaining their behavior. These data will enhance understanding of PPO regulatory mechanisms in Zrèzrou yams and provide a scientific basis for developing strategies to control enzymatic browning during tuber valorization.</w:t>
      </w:r>
    </w:p>
    <w:p w14:paraId="1841EC17" w14:textId="77777777" w:rsidR="00E052FE" w:rsidRDefault="005A1036">
      <w:pPr>
        <w:spacing w:after="0" w:line="240" w:lineRule="auto"/>
        <w:jc w:val="both"/>
        <w:rPr>
          <w:rFonts w:ascii="Arial" w:hAnsi="Arial"/>
          <w:sz w:val="20"/>
          <w:szCs w:val="20"/>
        </w:rPr>
      </w:pPr>
      <w:r>
        <w:rPr>
          <w:rFonts w:ascii="Arial" w:hAnsi="Arial"/>
          <w:sz w:val="20"/>
          <w:szCs w:val="20"/>
        </w:rPr>
        <w:t xml:space="preserve"> </w:t>
      </w:r>
    </w:p>
    <w:p w14:paraId="18F20FE3" w14:textId="77777777" w:rsidR="00E052FE" w:rsidRDefault="005A1036">
      <w:pPr>
        <w:spacing w:after="0" w:line="240" w:lineRule="auto"/>
        <w:jc w:val="right"/>
        <w:rPr>
          <w:rFonts w:ascii="Arial" w:hAnsi="Arial" w:cs="Arial"/>
          <w:b/>
          <w:bCs/>
        </w:rPr>
      </w:pPr>
      <w:r>
        <w:rPr>
          <w:rFonts w:ascii="Arial" w:hAnsi="Arial" w:cs="Arial"/>
          <w:b/>
          <w:bCs/>
        </w:rPr>
        <w:t xml:space="preserve">2. MATERIALS AND METHODS </w:t>
      </w:r>
    </w:p>
    <w:p w14:paraId="5BC2ADED" w14:textId="77777777" w:rsidR="00E052FE" w:rsidRDefault="00E052FE">
      <w:pPr>
        <w:spacing w:after="0" w:line="240" w:lineRule="auto"/>
        <w:jc w:val="both"/>
        <w:rPr>
          <w:rFonts w:ascii="Arial" w:hAnsi="Arial" w:cs="Arial"/>
          <w:b/>
          <w:bCs/>
        </w:rPr>
      </w:pPr>
    </w:p>
    <w:p w14:paraId="6B32266A" w14:textId="77777777" w:rsidR="00E052FE" w:rsidRDefault="005A1036">
      <w:pPr>
        <w:spacing w:after="0" w:line="240" w:lineRule="auto"/>
        <w:jc w:val="right"/>
        <w:rPr>
          <w:rFonts w:ascii="Arial" w:hAnsi="Arial" w:cs="Arial"/>
          <w:b/>
          <w:bCs/>
        </w:rPr>
      </w:pPr>
      <w:r>
        <w:rPr>
          <w:rFonts w:ascii="Arial" w:hAnsi="Arial" w:cs="Arial"/>
          <w:b/>
          <w:bCs/>
        </w:rPr>
        <w:t>2.1 Materals</w:t>
      </w:r>
    </w:p>
    <w:p w14:paraId="7828AD7E" w14:textId="77777777" w:rsidR="00E052FE" w:rsidRDefault="00E052FE">
      <w:pPr>
        <w:spacing w:after="0" w:line="240" w:lineRule="auto"/>
        <w:jc w:val="both"/>
        <w:rPr>
          <w:rFonts w:ascii="Arial" w:hAnsi="Arial" w:cs="Arial"/>
          <w:b/>
          <w:bCs/>
        </w:rPr>
      </w:pPr>
    </w:p>
    <w:p w14:paraId="38254049" w14:textId="77777777" w:rsidR="00E052FE" w:rsidRDefault="005A1036">
      <w:pPr>
        <w:spacing w:after="0" w:line="240" w:lineRule="auto"/>
        <w:jc w:val="right"/>
        <w:rPr>
          <w:rFonts w:ascii="Arial" w:hAnsi="Arial" w:cs="Arial"/>
          <w:b/>
          <w:bCs/>
          <w:lang w:val="en"/>
        </w:rPr>
      </w:pPr>
      <w:r>
        <w:rPr>
          <w:rFonts w:ascii="Arial" w:hAnsi="Arial" w:cs="Arial"/>
          <w:b/>
          <w:bCs/>
          <w:lang w:val="en"/>
        </w:rPr>
        <w:t xml:space="preserve">2.1.1 Biological Material </w:t>
      </w:r>
    </w:p>
    <w:p w14:paraId="1FA4898C" w14:textId="77777777" w:rsidR="00E052FE" w:rsidRDefault="00E052FE">
      <w:pPr>
        <w:spacing w:after="0" w:line="240" w:lineRule="auto"/>
        <w:jc w:val="both"/>
        <w:rPr>
          <w:rFonts w:ascii="Arial" w:hAnsi="Arial" w:cs="Arial"/>
          <w:b/>
          <w:bCs/>
          <w:lang w:val="en"/>
        </w:rPr>
      </w:pPr>
    </w:p>
    <w:p w14:paraId="3672ABA7" w14:textId="6270F542" w:rsidR="00E052FE" w:rsidRDefault="005A1036">
      <w:pPr>
        <w:spacing w:after="0" w:line="240" w:lineRule="auto"/>
        <w:jc w:val="both"/>
        <w:rPr>
          <w:rFonts w:ascii="Arial" w:hAnsi="Arial" w:cs="Arial"/>
          <w:sz w:val="20"/>
          <w:szCs w:val="20"/>
          <w:lang w:val="en"/>
        </w:rPr>
      </w:pPr>
      <w:r>
        <w:rPr>
          <w:rFonts w:ascii="Arial" w:hAnsi="Arial" w:cs="Arial"/>
          <w:sz w:val="20"/>
          <w:szCs w:val="20"/>
          <w:lang w:val="en"/>
        </w:rPr>
        <w:t xml:space="preserve">The biological materials used in this study consisted of yam tubers of </w:t>
      </w:r>
      <w:r>
        <w:rPr>
          <w:rFonts w:ascii="Arial" w:hAnsi="Arial" w:cs="Arial"/>
          <w:i/>
          <w:iCs/>
          <w:sz w:val="20"/>
          <w:szCs w:val="20"/>
          <w:lang w:val="en"/>
        </w:rPr>
        <w:t>Dioscorea cayenensis rotundata</w:t>
      </w:r>
      <w:r>
        <w:rPr>
          <w:rFonts w:ascii="Arial" w:hAnsi="Arial" w:cs="Arial"/>
          <w:sz w:val="20"/>
          <w:szCs w:val="20"/>
          <w:lang w:val="en"/>
        </w:rPr>
        <w:t xml:space="preserve"> cultivar Zrèzrou. These yam tubers were harvested at physiological maturity at the Floristic Experimentation and Research Station of the University of Abobo-Adjamé (formerly Nangui Abrogoua University) in Abidjan, Côte d'Ivoire. After harvesting, the tube</w:t>
      </w:r>
      <w:r>
        <w:rPr>
          <w:rFonts w:ascii="Arial" w:hAnsi="Arial" w:cs="Arial"/>
          <w:sz w:val="20"/>
          <w:szCs w:val="20"/>
          <w:lang w:val="en"/>
        </w:rPr>
        <w:t>rs were selected for their lack of physical damage or signs of disease, then washed under running water and immediately stored at -20°C until use for enzymatic extraction.</w:t>
      </w:r>
    </w:p>
    <w:p w14:paraId="5A73A3A4" w14:textId="77777777" w:rsidR="00E052FE" w:rsidRDefault="00E052FE">
      <w:pPr>
        <w:spacing w:after="0" w:line="240" w:lineRule="auto"/>
        <w:jc w:val="both"/>
        <w:rPr>
          <w:rFonts w:ascii="Arial" w:hAnsi="Arial" w:cs="Arial"/>
          <w:b/>
          <w:bCs/>
        </w:rPr>
      </w:pPr>
    </w:p>
    <w:p w14:paraId="55537693" w14:textId="77777777" w:rsidR="00E052FE" w:rsidRDefault="005A1036">
      <w:pPr>
        <w:spacing w:after="0" w:line="240" w:lineRule="auto"/>
        <w:jc w:val="right"/>
        <w:rPr>
          <w:rFonts w:ascii="Arial" w:hAnsi="Arial" w:cs="Arial"/>
          <w:b/>
          <w:bCs/>
          <w:lang w:val="en"/>
        </w:rPr>
      </w:pPr>
      <w:r>
        <w:rPr>
          <w:rFonts w:ascii="Arial" w:hAnsi="Arial" w:cs="Arial"/>
          <w:b/>
          <w:bCs/>
        </w:rPr>
        <w:t xml:space="preserve">2.1.2 </w:t>
      </w:r>
      <w:r>
        <w:rPr>
          <w:rFonts w:ascii="Arial" w:hAnsi="Arial" w:cs="Arial"/>
          <w:b/>
          <w:bCs/>
          <w:lang w:val="en"/>
        </w:rPr>
        <w:t xml:space="preserve">Reagents and Equipment </w:t>
      </w:r>
    </w:p>
    <w:p w14:paraId="3B88CF55" w14:textId="77777777" w:rsidR="00E052FE" w:rsidRDefault="00E052FE">
      <w:pPr>
        <w:spacing w:after="0" w:line="240" w:lineRule="auto"/>
        <w:jc w:val="both"/>
        <w:rPr>
          <w:rFonts w:ascii="Arial" w:hAnsi="Arial" w:cs="Arial"/>
          <w:sz w:val="20"/>
          <w:szCs w:val="20"/>
          <w:lang w:val="en"/>
        </w:rPr>
      </w:pPr>
    </w:p>
    <w:p w14:paraId="2D68DEA1" w14:textId="0DAAED0E" w:rsidR="00E052FE" w:rsidRDefault="005A1036">
      <w:pPr>
        <w:spacing w:after="0" w:line="240" w:lineRule="auto"/>
        <w:jc w:val="both"/>
        <w:rPr>
          <w:rFonts w:ascii="Arial" w:hAnsi="Arial" w:cs="Arial"/>
          <w:bCs/>
          <w:sz w:val="20"/>
          <w:szCs w:val="20"/>
        </w:rPr>
      </w:pPr>
      <w:r>
        <w:rPr>
          <w:rFonts w:ascii="Arial" w:hAnsi="Arial" w:cs="Arial"/>
          <w:sz w:val="20"/>
          <w:szCs w:val="20"/>
          <w:lang w:val="en"/>
        </w:rPr>
        <w:t xml:space="preserve">All reagents used were analytical grade or </w:t>
      </w:r>
      <w:r>
        <w:rPr>
          <w:rFonts w:ascii="Arial" w:hAnsi="Arial" w:cs="Arial"/>
          <w:sz w:val="20"/>
          <w:szCs w:val="20"/>
          <w:lang w:val="en"/>
        </w:rPr>
        <w:t>biological research grade. The substrates used for PPO activity assays were dopamine, catechin, and catechol from Sigma Chemical Company (St. Louis, MO, USA), chosen for their sensitivity to the enzyme. The 0.1 M phosphate buffer was prepared with distille</w:t>
      </w:r>
      <w:r>
        <w:rPr>
          <w:rFonts w:ascii="Arial" w:hAnsi="Arial" w:cs="Arial"/>
          <w:sz w:val="20"/>
          <w:szCs w:val="20"/>
          <w:lang w:val="en"/>
        </w:rPr>
        <w:t>d and deionized water, and its pH was adjusted with an HCl solution. The main equipment included a Moulinex-type mixer, a refrigerated centrifuge (Hermel Z 300K), and a UV-visible spectrophotometer (SHIMATZU). The chromatography products DEAE-Sepharose CL-</w:t>
      </w:r>
      <w:r>
        <w:rPr>
          <w:rFonts w:ascii="Arial" w:hAnsi="Arial" w:cs="Arial"/>
          <w:sz w:val="20"/>
          <w:szCs w:val="20"/>
          <w:lang w:val="en"/>
        </w:rPr>
        <w:t>6B, Phenyl-Sepharose CL-6B, and Sephacryl S-100 HR were from Pharmacia-LKB Biotech (Uppsala, Sweden)</w:t>
      </w:r>
      <w:r>
        <w:rPr>
          <w:rFonts w:ascii="Arial" w:hAnsi="Arial" w:cs="Arial"/>
          <w:sz w:val="20"/>
          <w:szCs w:val="20"/>
        </w:rPr>
        <w:t>.</w:t>
      </w:r>
    </w:p>
    <w:p w14:paraId="4FDDA449" w14:textId="77777777" w:rsidR="00E052FE" w:rsidRDefault="00E052FE">
      <w:pPr>
        <w:spacing w:after="0" w:line="240" w:lineRule="auto"/>
        <w:jc w:val="both"/>
        <w:rPr>
          <w:rFonts w:ascii="Arial" w:hAnsi="Arial"/>
          <w:sz w:val="20"/>
          <w:szCs w:val="20"/>
        </w:rPr>
      </w:pPr>
    </w:p>
    <w:p w14:paraId="18A78225" w14:textId="77777777" w:rsidR="00E052FE" w:rsidRDefault="005A1036">
      <w:pPr>
        <w:spacing w:after="0" w:line="240" w:lineRule="auto"/>
        <w:jc w:val="both"/>
        <w:rPr>
          <w:rFonts w:ascii="Arial" w:hAnsi="Arial" w:cs="Arial"/>
          <w:lang w:val="en"/>
        </w:rPr>
      </w:pPr>
      <w:r>
        <w:rPr>
          <w:rFonts w:ascii="Arial" w:hAnsi="Arial"/>
          <w:sz w:val="20"/>
          <w:szCs w:val="20"/>
        </w:rPr>
        <w:t> </w:t>
      </w:r>
    </w:p>
    <w:p w14:paraId="635C170C" w14:textId="77777777" w:rsidR="00E052FE" w:rsidRDefault="005A1036">
      <w:pPr>
        <w:spacing w:after="0" w:line="240" w:lineRule="auto"/>
        <w:jc w:val="right"/>
        <w:rPr>
          <w:rFonts w:ascii="Arial" w:hAnsi="Arial" w:cs="Arial"/>
          <w:b/>
          <w:bCs/>
          <w:lang w:val="en"/>
        </w:rPr>
      </w:pPr>
      <w:r>
        <w:rPr>
          <w:rFonts w:ascii="Arial" w:hAnsi="Arial" w:cs="Arial"/>
          <w:b/>
          <w:bCs/>
          <w:lang w:val="en"/>
        </w:rPr>
        <w:t>2.2 Methods</w:t>
      </w:r>
    </w:p>
    <w:p w14:paraId="4624E401" w14:textId="77777777" w:rsidR="00E052FE" w:rsidRDefault="00E052FE">
      <w:pPr>
        <w:spacing w:after="0" w:line="240" w:lineRule="auto"/>
        <w:jc w:val="right"/>
        <w:rPr>
          <w:rFonts w:ascii="Arial" w:hAnsi="Arial" w:cs="Arial"/>
          <w:b/>
          <w:bCs/>
        </w:rPr>
      </w:pPr>
    </w:p>
    <w:p w14:paraId="51F73A69" w14:textId="77777777" w:rsidR="00E052FE" w:rsidRDefault="005A1036">
      <w:pPr>
        <w:spacing w:after="0" w:line="240" w:lineRule="auto"/>
        <w:jc w:val="right"/>
        <w:rPr>
          <w:rFonts w:ascii="Arial" w:hAnsi="Arial" w:cs="Arial"/>
          <w:b/>
          <w:bCs/>
          <w:lang w:val="en"/>
        </w:rPr>
      </w:pPr>
      <w:r>
        <w:rPr>
          <w:rFonts w:ascii="Arial" w:hAnsi="Arial" w:cs="Arial"/>
          <w:b/>
          <w:bCs/>
        </w:rPr>
        <w:t>2.2.1</w:t>
      </w:r>
      <w:r>
        <w:rPr>
          <w:rFonts w:ascii="Arial" w:hAnsi="Arial" w:cs="Arial"/>
          <w:b/>
          <w:bCs/>
          <w:lang w:val="en"/>
        </w:rPr>
        <w:t xml:space="preserve"> Enzyme Source</w:t>
      </w:r>
    </w:p>
    <w:p w14:paraId="2C37260B" w14:textId="77777777" w:rsidR="00E052FE" w:rsidRDefault="00E052FE">
      <w:pPr>
        <w:spacing w:after="0" w:line="240" w:lineRule="auto"/>
        <w:jc w:val="both"/>
        <w:rPr>
          <w:rFonts w:ascii="Arial" w:hAnsi="Arial" w:cs="Arial"/>
          <w:b/>
          <w:bCs/>
          <w:sz w:val="20"/>
          <w:szCs w:val="20"/>
          <w:shd w:val="clear" w:color="FFFFFF" w:fill="D9D9D9"/>
          <w:lang w:val="en"/>
        </w:rPr>
      </w:pPr>
    </w:p>
    <w:p w14:paraId="073A70EE" w14:textId="7018ADAF" w:rsidR="00E052FE" w:rsidRDefault="005A1036">
      <w:pPr>
        <w:pStyle w:val="HTMLPreformatted"/>
        <w:jc w:val="both"/>
        <w:rPr>
          <w:rFonts w:ascii="Arial" w:hAnsi="Arial" w:cs="Arial"/>
          <w:shd w:val="clear" w:color="FFFFFF" w:fill="D9D9D9"/>
          <w:lang w:val="en-US"/>
        </w:rPr>
      </w:pPr>
      <w:r>
        <w:rPr>
          <w:rFonts w:ascii="Arial" w:hAnsi="Arial" w:cs="Arial"/>
          <w:shd w:val="clear" w:color="FFFFFF" w:fill="D9D9D9"/>
          <w:lang w:val="en-US"/>
        </w:rPr>
        <w:t xml:space="preserve">The extraction and preparation method </w:t>
      </w:r>
      <w:proofErr w:type="gramStart"/>
      <w:r>
        <w:rPr>
          <w:rFonts w:ascii="Arial" w:hAnsi="Arial" w:cs="Arial"/>
          <w:shd w:val="clear" w:color="FFFFFF" w:fill="D9D9D9"/>
          <w:lang w:val="en-US"/>
        </w:rPr>
        <w:t>was</w:t>
      </w:r>
      <w:proofErr w:type="gramEnd"/>
      <w:r>
        <w:rPr>
          <w:rFonts w:ascii="Arial" w:hAnsi="Arial" w:cs="Arial"/>
          <w:shd w:val="clear" w:color="FFFFFF" w:fill="D9D9D9"/>
          <w:lang w:val="en-US"/>
        </w:rPr>
        <w:t xml:space="preserve"> that described by </w:t>
      </w:r>
      <w:r w:rsidR="00D85635" w:rsidRPr="006069A7">
        <w:rPr>
          <w:rFonts w:ascii="Arial" w:hAnsi="Arial" w:cs="Arial"/>
          <w:shd w:val="clear" w:color="FFFFFF" w:fill="D9D9D9"/>
          <w:lang w:val="en-US"/>
        </w:rPr>
        <w:t>Gnangui et</w:t>
      </w:r>
      <w:r w:rsidRPr="006069A7">
        <w:rPr>
          <w:rFonts w:ascii="Arial" w:hAnsi="Arial" w:cs="Arial"/>
          <w:shd w:val="clear" w:color="FFFFFF" w:fill="D9D9D9"/>
          <w:lang w:val="en-US"/>
        </w:rPr>
        <w:t xml:space="preserve"> et al. (20</w:t>
      </w:r>
      <w:r w:rsidR="00D85635" w:rsidRPr="006069A7">
        <w:rPr>
          <w:rFonts w:ascii="Arial" w:hAnsi="Arial" w:cs="Arial"/>
          <w:shd w:val="clear" w:color="FFFFFF" w:fill="D9D9D9"/>
          <w:lang w:val="en-US"/>
        </w:rPr>
        <w:t>09</w:t>
      </w:r>
      <w:r w:rsidRPr="006069A7">
        <w:rPr>
          <w:rFonts w:ascii="Arial" w:hAnsi="Arial" w:cs="Arial"/>
          <w:shd w:val="clear" w:color="FFFFFF" w:fill="D9D9D9"/>
          <w:lang w:val="en-US"/>
        </w:rPr>
        <w:t>).</w:t>
      </w:r>
      <w:r>
        <w:rPr>
          <w:rFonts w:ascii="Arial" w:hAnsi="Arial" w:cs="Arial"/>
          <w:shd w:val="clear" w:color="FFFFFF" w:fill="D9D9D9"/>
          <w:lang w:val="en-US"/>
        </w:rPr>
        <w:t xml:space="preserve"> According to this method, one hundred and fifty grams (150 g) of freshly peeled </w:t>
      </w:r>
      <w:r w:rsidRPr="00EA1F5E">
        <w:rPr>
          <w:rFonts w:ascii="Arial" w:hAnsi="Arial" w:cs="Arial"/>
          <w:i/>
          <w:iCs/>
          <w:shd w:val="clear" w:color="FFFFFF" w:fill="D9D9D9"/>
          <w:lang w:val="en-US"/>
        </w:rPr>
        <w:t>Dioscorea cayenensis rotundata</w:t>
      </w:r>
      <w:r>
        <w:rPr>
          <w:rFonts w:ascii="Arial" w:hAnsi="Arial" w:cs="Arial"/>
          <w:shd w:val="clear" w:color="FFFFFF" w:fill="D9D9D9"/>
          <w:lang w:val="en-US"/>
        </w:rPr>
        <w:t xml:space="preserve"> cultivar zrèzrou yam tuber were cold-ground in 300 mL of 0.9% (w/v) NaCl solution for 10 min. The resulting homogenate was centrifuged at 20,000</w:t>
      </w:r>
      <w:r>
        <w:rPr>
          <w:rFonts w:ascii="Arial" w:hAnsi="Arial" w:cs="Arial"/>
          <w:shd w:val="clear" w:color="FFFFFF" w:fill="D9D9D9"/>
          <w:lang w:val="en-US"/>
        </w:rPr>
        <w:t xml:space="preserve"> g for 10 min at 4 °C. The supernatant represents the crude extract. Twenty milliliters (20 mL) of this crude extract was loaded onto a DEAE-Sepharose CL-6B gel (2.4 cm × 6.5 cm) previously equilibrated with 100 mM phosphate buffer at pH 6.0. Unbound prote</w:t>
      </w:r>
      <w:r>
        <w:rPr>
          <w:rFonts w:ascii="Arial" w:hAnsi="Arial" w:cs="Arial"/>
          <w:shd w:val="clear" w:color="FFFFFF" w:fill="D9D9D9"/>
          <w:lang w:val="en-US"/>
        </w:rPr>
        <w:t xml:space="preserve">ins were removed from the column by washing with two column volumes of the same buffer at pH 6.0. Proteins were eluted by a stepwise NaCl gradient (0, 0.3, 0.5, and 1 M) in 100 mM phosphate buffer at pH 6.0. 3 mL fractions were collected at a flow rate of </w:t>
      </w:r>
      <w:r>
        <w:rPr>
          <w:rFonts w:ascii="Arial" w:hAnsi="Arial" w:cs="Arial"/>
          <w:shd w:val="clear" w:color="FFFFFF" w:fill="D9D9D9"/>
          <w:lang w:val="en-US"/>
        </w:rPr>
        <w:t xml:space="preserve">180 mL/h, and their enzymatic activity was measured. The active fractions were pooled and saturated overnight with 80% ammonium sulfate in a cold chamber. The precipitated pellet was then separated by centrifugation at 20,000 g for 30 min and dissolved in </w:t>
      </w:r>
      <w:r>
        <w:rPr>
          <w:rFonts w:ascii="Arial" w:hAnsi="Arial" w:cs="Arial"/>
          <w:shd w:val="clear" w:color="FFFFFF" w:fill="D9D9D9"/>
          <w:lang w:val="en-US"/>
        </w:rPr>
        <w:t>1 mL of 100 mM phosphate buffer at pH 6.0.</w:t>
      </w:r>
    </w:p>
    <w:p w14:paraId="517E7796" w14:textId="77777777" w:rsidR="00E052FE" w:rsidRDefault="005A1036">
      <w:pPr>
        <w:pStyle w:val="HTMLPreformatted"/>
        <w:jc w:val="both"/>
        <w:rPr>
          <w:rFonts w:ascii="Arial" w:hAnsi="Arial" w:cs="Arial"/>
          <w:shd w:val="clear" w:color="FFFFFF" w:fill="D9D9D9"/>
          <w:lang w:val="en-US"/>
        </w:rPr>
      </w:pPr>
      <w:r>
        <w:rPr>
          <w:rFonts w:ascii="Arial" w:hAnsi="Arial" w:cs="Arial"/>
          <w:shd w:val="clear" w:color="FFFFFF" w:fill="D9D9D9"/>
          <w:lang w:val="en-US"/>
        </w:rPr>
        <w:t>The enzyme solution was directly loaded onto a Sephacryl S-100 HR column (1.6 cm × 64 cm) that had been previously equilibrated with the same buffer at pH 6.0. Proteins were eluted at a flow rate of 20 mL/h with 1</w:t>
      </w:r>
      <w:r>
        <w:rPr>
          <w:rFonts w:ascii="Arial" w:hAnsi="Arial" w:cs="Arial"/>
          <w:shd w:val="clear" w:color="FFFFFF" w:fill="D9D9D9"/>
          <w:lang w:val="en-US"/>
        </w:rPr>
        <w:t xml:space="preserve">00 mM phosphate buffer at pH 6.0. One-mL fractions were collected, and the active fractions were pooled. The resulting fraction was saturated to a final concentration of 1.7 M ammonium sulfate and then loaded onto a phenyl-Sepharose CL-6B column (1.4 cm × </w:t>
      </w:r>
      <w:r>
        <w:rPr>
          <w:rFonts w:ascii="Arial" w:hAnsi="Arial" w:cs="Arial"/>
          <w:shd w:val="clear" w:color="FFFFFF" w:fill="D9D9D9"/>
          <w:lang w:val="en-US"/>
        </w:rPr>
        <w:t>7.5 cm) pre-equilibrated with 100 mM phosphate buffer at pH 6.0 containing 1.7 M ammonium sulfate.</w:t>
      </w:r>
    </w:p>
    <w:p w14:paraId="6F81E10A" w14:textId="77777777" w:rsidR="00E052FE" w:rsidRDefault="00E052FE">
      <w:pPr>
        <w:pStyle w:val="HTMLPreformatted"/>
        <w:jc w:val="both"/>
        <w:rPr>
          <w:rFonts w:ascii="Arial" w:hAnsi="Arial" w:cs="Arial"/>
          <w:shd w:val="clear" w:color="FFFFFF" w:fill="D9D9D9"/>
          <w:lang w:val="en-US"/>
        </w:rPr>
      </w:pPr>
    </w:p>
    <w:p w14:paraId="581A6588" w14:textId="77777777" w:rsidR="00E052FE" w:rsidRDefault="005A1036">
      <w:pPr>
        <w:pStyle w:val="HTMLPreformatted"/>
        <w:jc w:val="both"/>
        <w:rPr>
          <w:rFonts w:ascii="Arial" w:hAnsi="Arial" w:cs="Arial"/>
          <w:shd w:val="clear" w:color="FFFFFF" w:fill="D9D9D9"/>
        </w:rPr>
      </w:pPr>
      <w:r>
        <w:rPr>
          <w:rFonts w:ascii="Arial" w:hAnsi="Arial" w:cs="Arial"/>
          <w:shd w:val="clear" w:color="FFFFFF" w:fill="D9D9D9"/>
          <w:lang w:val="en-US"/>
        </w:rPr>
        <w:lastRenderedPageBreak/>
        <w:t>After washing the column with the equilibration buffer, the retained proteins were eluted by a stepwise gradient elution with ammonium sulfate at concentrat</w:t>
      </w:r>
      <w:r>
        <w:rPr>
          <w:rFonts w:ascii="Arial" w:hAnsi="Arial" w:cs="Arial"/>
          <w:shd w:val="clear" w:color="FFFFFF" w:fill="D9D9D9"/>
          <w:lang w:val="en-US"/>
        </w:rPr>
        <w:t>ions of 1.7 M, 1 M, 0.7 M, 0.3 M, and 0 M in 100 mM phosphate buffer at pH 6.0. One-mL fractions were collected at a rate of 15 mL/h, and the active fractions were pooled. The resulting fraction constituted the enzyme solution used for the analysis.</w:t>
      </w:r>
    </w:p>
    <w:p w14:paraId="3E3B1986" w14:textId="77777777" w:rsidR="00E052FE" w:rsidRDefault="00E052FE">
      <w:pPr>
        <w:spacing w:after="0" w:line="240" w:lineRule="auto"/>
        <w:jc w:val="both"/>
        <w:rPr>
          <w:rFonts w:ascii="Arial" w:hAnsi="Arial" w:cs="Arial"/>
        </w:rPr>
      </w:pPr>
    </w:p>
    <w:p w14:paraId="6802B9A7" w14:textId="77777777" w:rsidR="00E052FE" w:rsidRDefault="005A1036">
      <w:pPr>
        <w:spacing w:after="0" w:line="240" w:lineRule="auto"/>
        <w:jc w:val="right"/>
        <w:rPr>
          <w:rFonts w:ascii="Arial" w:hAnsi="Arial" w:cs="Arial"/>
          <w:b/>
          <w:bCs/>
          <w:lang w:val="en"/>
        </w:rPr>
      </w:pPr>
      <w:r>
        <w:rPr>
          <w:rFonts w:ascii="Arial" w:hAnsi="Arial" w:cs="Arial"/>
          <w:b/>
          <w:bCs/>
          <w:lang w:val="en"/>
        </w:rPr>
        <w:t>2.2.2</w:t>
      </w:r>
      <w:r>
        <w:rPr>
          <w:rFonts w:ascii="Arial" w:hAnsi="Arial" w:cs="Arial"/>
          <w:b/>
          <w:bCs/>
          <w:lang w:val="en"/>
        </w:rPr>
        <w:t xml:space="preserve"> Assay of the latent form of polyphenol oxidase activity</w:t>
      </w:r>
    </w:p>
    <w:p w14:paraId="1AF67863" w14:textId="77777777" w:rsidR="00E052FE" w:rsidRDefault="00E052FE">
      <w:pPr>
        <w:spacing w:after="0" w:line="240" w:lineRule="auto"/>
        <w:jc w:val="both"/>
        <w:rPr>
          <w:rFonts w:ascii="Arial" w:hAnsi="Arial" w:cs="Arial"/>
          <w:lang w:val="en"/>
        </w:rPr>
      </w:pPr>
    </w:p>
    <w:p w14:paraId="71076C81" w14:textId="77777777" w:rsidR="00E052FE" w:rsidRDefault="005A1036">
      <w:pPr>
        <w:spacing w:after="0" w:line="240" w:lineRule="auto"/>
        <w:jc w:val="both"/>
        <w:rPr>
          <w:rFonts w:ascii="Arial" w:hAnsi="Arial" w:cs="Arial"/>
          <w:sz w:val="20"/>
          <w:szCs w:val="20"/>
          <w:lang w:val="en"/>
        </w:rPr>
      </w:pPr>
      <w:r>
        <w:rPr>
          <w:rFonts w:ascii="Arial" w:hAnsi="Arial" w:cs="Arial"/>
          <w:sz w:val="20"/>
          <w:szCs w:val="20"/>
          <w:lang w:val="en"/>
        </w:rPr>
        <w:t xml:space="preserve">PPO activity was measured spectrophotometrically by observing the increase in absorbance due to quinone formation from the substrate. The reaction medium, with a total volume of 2 mL, contained 1.1 </w:t>
      </w:r>
      <w:r>
        <w:rPr>
          <w:rFonts w:ascii="Arial" w:hAnsi="Arial" w:cs="Arial"/>
          <w:sz w:val="20"/>
          <w:szCs w:val="20"/>
          <w:lang w:val="en"/>
        </w:rPr>
        <w:t>mL of 0.1 M phosphate buffer, pH 6; 0.8 mL of substrate (10 mM dopamine, 10 mM catechol, or 10 mM catechin); and 0.1 mL of enzyme extract (latent form). It was incubated at 30°C for 10 min. Absorbance was measured using a UV-visible spectrophotometer (Shim</w:t>
      </w:r>
      <w:r>
        <w:rPr>
          <w:rFonts w:ascii="Arial" w:hAnsi="Arial" w:cs="Arial"/>
          <w:sz w:val="20"/>
          <w:szCs w:val="20"/>
          <w:lang w:val="en"/>
        </w:rPr>
        <w:t xml:space="preserve">atzu) at 480 nm for dopamine and 420 nm for catechol and catechin against a control containing no enzyme solution. </w:t>
      </w:r>
    </w:p>
    <w:p w14:paraId="5C866706" w14:textId="676CAEEA" w:rsidR="00E052FE" w:rsidRDefault="005A1036">
      <w:pPr>
        <w:spacing w:after="0" w:line="240" w:lineRule="auto"/>
        <w:jc w:val="both"/>
        <w:rPr>
          <w:rFonts w:ascii="Arial" w:hAnsi="Arial" w:cs="Arial"/>
          <w:sz w:val="20"/>
          <w:szCs w:val="20"/>
          <w:lang w:val="en"/>
        </w:rPr>
      </w:pPr>
      <w:r>
        <w:rPr>
          <w:rFonts w:ascii="Arial" w:hAnsi="Arial" w:cs="Arial"/>
          <w:sz w:val="20"/>
          <w:szCs w:val="20"/>
          <w:lang w:val="en"/>
        </w:rPr>
        <w:t>One unit of activity (U) of PPO was defined as the amount of enzyme that causes an increase in absorbance of 0.001 per minute under the assa</w:t>
      </w:r>
      <w:r>
        <w:rPr>
          <w:rFonts w:ascii="Arial" w:hAnsi="Arial" w:cs="Arial"/>
          <w:sz w:val="20"/>
          <w:szCs w:val="20"/>
          <w:lang w:val="en"/>
        </w:rPr>
        <w:t xml:space="preserve">y conditions. The specific activity was expressed in U per mg of </w:t>
      </w:r>
      <w:r w:rsidRPr="006069A7">
        <w:rPr>
          <w:rFonts w:ascii="Arial" w:hAnsi="Arial" w:cs="Arial"/>
          <w:sz w:val="20"/>
          <w:szCs w:val="20"/>
          <w:lang w:val="en"/>
        </w:rPr>
        <w:t xml:space="preserve">protein </w:t>
      </w:r>
      <w:r w:rsidRPr="006069A7">
        <w:rPr>
          <w:rFonts w:ascii="Arial" w:hAnsi="Arial" w:cs="Arial"/>
          <w:sz w:val="20"/>
          <w:szCs w:val="20"/>
        </w:rPr>
        <w:t>(</w:t>
      </w:r>
      <w:r w:rsidRPr="006069A7">
        <w:rPr>
          <w:rFonts w:ascii="Arial" w:hAnsi="Arial"/>
          <w:sz w:val="20"/>
          <w:szCs w:val="20"/>
          <w:lang w:val="en"/>
        </w:rPr>
        <w:t>Al-Jeddawi et al.</w:t>
      </w:r>
      <w:r w:rsidRPr="006069A7">
        <w:rPr>
          <w:rFonts w:ascii="Arial" w:hAnsi="Arial"/>
          <w:sz w:val="20"/>
          <w:szCs w:val="20"/>
        </w:rPr>
        <w:t xml:space="preserve">, </w:t>
      </w:r>
      <w:r w:rsidRPr="006069A7">
        <w:rPr>
          <w:rFonts w:ascii="Arial" w:hAnsi="Arial"/>
          <w:sz w:val="20"/>
          <w:szCs w:val="20"/>
          <w:lang w:val="en"/>
        </w:rPr>
        <w:t>2023)</w:t>
      </w:r>
      <w:r w:rsidRPr="006069A7">
        <w:rPr>
          <w:rFonts w:ascii="Arial" w:hAnsi="Arial" w:cs="Arial"/>
          <w:sz w:val="20"/>
          <w:szCs w:val="20"/>
          <w:lang w:val="en"/>
        </w:rPr>
        <w:t>.</w:t>
      </w:r>
      <w:r>
        <w:rPr>
          <w:rFonts w:ascii="Arial" w:hAnsi="Arial" w:cs="Arial"/>
          <w:sz w:val="20"/>
          <w:szCs w:val="20"/>
          <w:lang w:val="en"/>
        </w:rPr>
        <w:t xml:space="preserve"> </w:t>
      </w:r>
    </w:p>
    <w:p w14:paraId="78693AA3" w14:textId="77777777" w:rsidR="00E052FE" w:rsidRDefault="00E052FE">
      <w:pPr>
        <w:spacing w:after="0" w:line="240" w:lineRule="auto"/>
        <w:jc w:val="both"/>
        <w:rPr>
          <w:rFonts w:ascii="Arial" w:hAnsi="Arial" w:cs="Arial"/>
          <w:sz w:val="20"/>
          <w:szCs w:val="20"/>
          <w:lang w:val="en"/>
        </w:rPr>
      </w:pPr>
    </w:p>
    <w:p w14:paraId="093880A2" w14:textId="77777777" w:rsidR="00E052FE" w:rsidRDefault="005A1036">
      <w:pPr>
        <w:spacing w:after="0" w:line="240" w:lineRule="auto"/>
        <w:jc w:val="right"/>
        <w:rPr>
          <w:rFonts w:ascii="Arial" w:hAnsi="Arial" w:cs="Arial"/>
          <w:b/>
          <w:bCs/>
          <w:lang w:val="en"/>
        </w:rPr>
      </w:pPr>
      <w:r>
        <w:rPr>
          <w:rFonts w:ascii="Arial" w:hAnsi="Arial" w:cs="Arial"/>
          <w:b/>
          <w:bCs/>
        </w:rPr>
        <w:t xml:space="preserve"> 2.2.3 </w:t>
      </w:r>
      <w:r>
        <w:rPr>
          <w:rFonts w:ascii="Arial" w:hAnsi="Arial" w:cs="Arial"/>
          <w:b/>
          <w:bCs/>
          <w:lang w:val="en"/>
        </w:rPr>
        <w:t xml:space="preserve">Activation of Polyphenol Oxidase and Determination of its Activity </w:t>
      </w:r>
    </w:p>
    <w:p w14:paraId="2219BA63" w14:textId="77777777" w:rsidR="00E052FE" w:rsidRDefault="00E052FE">
      <w:pPr>
        <w:spacing w:after="0" w:line="240" w:lineRule="auto"/>
        <w:jc w:val="both"/>
        <w:rPr>
          <w:rFonts w:ascii="Arial" w:hAnsi="Arial" w:cs="Arial"/>
          <w:lang w:val="en"/>
        </w:rPr>
      </w:pPr>
    </w:p>
    <w:p w14:paraId="1B87346E" w14:textId="6E97E54D" w:rsidR="00E052FE" w:rsidRPr="00417AF1" w:rsidRDefault="005A1036" w:rsidP="00417AF1">
      <w:pPr>
        <w:spacing w:after="0" w:line="240" w:lineRule="auto"/>
        <w:jc w:val="both"/>
        <w:rPr>
          <w:rFonts w:ascii="Arial" w:hAnsi="Arial" w:cs="Arial"/>
          <w:lang w:val="en"/>
        </w:rPr>
      </w:pPr>
      <w:r>
        <w:rPr>
          <w:rFonts w:ascii="Arial" w:hAnsi="Arial" w:cs="Arial"/>
          <w:sz w:val="20"/>
          <w:szCs w:val="20"/>
          <w:lang w:val="en"/>
        </w:rPr>
        <w:t xml:space="preserve">To obtain the activated form of PPO, the enzyme solution was subjected to an </w:t>
      </w:r>
      <w:r>
        <w:rPr>
          <w:rFonts w:ascii="Arial" w:hAnsi="Arial" w:cs="Arial"/>
          <w:sz w:val="20"/>
          <w:szCs w:val="20"/>
          <w:lang w:val="en"/>
        </w:rPr>
        <w:t>activation treatment according to the method of</w:t>
      </w:r>
      <w:r w:rsidR="00D929A4">
        <w:rPr>
          <w:rFonts w:ascii="Arial" w:hAnsi="Arial" w:cs="Arial"/>
          <w:sz w:val="20"/>
          <w:szCs w:val="20"/>
          <w:lang w:val="en"/>
        </w:rPr>
        <w:t xml:space="preserve"> </w:t>
      </w:r>
      <w:r w:rsidR="00D85635" w:rsidRPr="006069A7">
        <w:rPr>
          <w:rFonts w:ascii="Arial" w:hAnsi="Arial" w:cs="Arial"/>
          <w:sz w:val="20"/>
          <w:szCs w:val="20"/>
          <w:lang w:val="en"/>
        </w:rPr>
        <w:t xml:space="preserve">Gandía-Herrero </w:t>
      </w:r>
      <w:r w:rsidRPr="006069A7">
        <w:rPr>
          <w:rFonts w:ascii="Arial" w:hAnsi="Arial" w:cs="Arial"/>
          <w:sz w:val="20"/>
          <w:szCs w:val="20"/>
          <w:lang w:val="en"/>
        </w:rPr>
        <w:t xml:space="preserve">et al., </w:t>
      </w:r>
      <w:r w:rsidR="00417AF1" w:rsidRPr="006069A7">
        <w:rPr>
          <w:rFonts w:ascii="Arial" w:hAnsi="Arial" w:cs="Arial"/>
          <w:sz w:val="20"/>
          <w:szCs w:val="20"/>
          <w:lang w:val="en"/>
        </w:rPr>
        <w:t>(20</w:t>
      </w:r>
      <w:r w:rsidR="00D85635" w:rsidRPr="006069A7">
        <w:rPr>
          <w:rFonts w:ascii="Arial" w:hAnsi="Arial" w:cs="Arial"/>
          <w:sz w:val="20"/>
          <w:szCs w:val="20"/>
          <w:lang w:val="en"/>
        </w:rPr>
        <w:t>05</w:t>
      </w:r>
      <w:r w:rsidR="00417AF1" w:rsidRPr="006069A7">
        <w:rPr>
          <w:rFonts w:ascii="Arial" w:hAnsi="Arial" w:cs="Arial"/>
          <w:sz w:val="20"/>
          <w:szCs w:val="20"/>
          <w:lang w:val="en"/>
        </w:rPr>
        <w:t>)</w:t>
      </w:r>
      <w:r w:rsidRPr="006069A7">
        <w:rPr>
          <w:rFonts w:ascii="Arial" w:hAnsi="Arial" w:cs="Arial"/>
          <w:sz w:val="20"/>
          <w:szCs w:val="20"/>
          <w:lang w:val="en"/>
        </w:rPr>
        <w:t>,</w:t>
      </w:r>
      <w:r>
        <w:rPr>
          <w:rFonts w:ascii="Arial" w:hAnsi="Arial" w:cs="Arial"/>
          <w:sz w:val="20"/>
          <w:szCs w:val="20"/>
          <w:lang w:val="en"/>
        </w:rPr>
        <w:t xml:space="preserve"> with adjustments. Briefly, 100 µl of the enzyme solution was pre-incubated in test tubes containing 1.1 ml of phosphate buffer (100 mM) pH 7 and SDS (0.4 %) at 30 °C for 20 min. After pre-incubation, 0.8 ml of 10 mM substrate was added to the reaction mix</w:t>
      </w:r>
      <w:r>
        <w:rPr>
          <w:rFonts w:ascii="Arial" w:hAnsi="Arial" w:cs="Arial"/>
          <w:sz w:val="20"/>
          <w:szCs w:val="20"/>
          <w:lang w:val="en"/>
        </w:rPr>
        <w:t>ture, and the entire mixture was incubated at 30 °C for 10 min. Absorbance was measured using a UV-visible spectrophotometer (Shimatzu) at 480 nm or 420 nm, depending on the substrate used, against a control containing no crude enzyme extract</w:t>
      </w:r>
      <w:r>
        <w:rPr>
          <w:rFonts w:ascii="Arial" w:hAnsi="Arial" w:cs="Arial"/>
          <w:lang w:val="en"/>
        </w:rPr>
        <w:t>.</w:t>
      </w:r>
      <w:r w:rsidR="00417AF1" w:rsidRPr="00417AF1">
        <w:t xml:space="preserve"> </w:t>
      </w:r>
    </w:p>
    <w:p w14:paraId="126A77F2" w14:textId="77777777" w:rsidR="00E052FE" w:rsidRDefault="005A1036">
      <w:pPr>
        <w:pStyle w:val="BodyText"/>
        <w:spacing w:before="138" w:after="0" w:afterAutospacing="0"/>
        <w:jc w:val="right"/>
        <w:rPr>
          <w:rFonts w:ascii="Arial" w:eastAsiaTheme="majorEastAsia" w:hAnsi="Arial" w:cs="Arial"/>
          <w:b/>
          <w:bCs/>
          <w:sz w:val="22"/>
          <w:szCs w:val="22"/>
          <w:lang w:val="en"/>
        </w:rPr>
      </w:pPr>
      <w:r>
        <w:rPr>
          <w:rFonts w:ascii="Arial" w:eastAsiaTheme="majorEastAsia" w:hAnsi="Arial" w:cs="Arial"/>
          <w:b/>
          <w:bCs/>
          <w:sz w:val="22"/>
          <w:szCs w:val="22"/>
          <w:lang w:val="en"/>
        </w:rPr>
        <w:t>2.2.4. Dete</w:t>
      </w:r>
      <w:r>
        <w:rPr>
          <w:rFonts w:ascii="Arial" w:eastAsiaTheme="majorEastAsia" w:hAnsi="Arial" w:cs="Arial"/>
          <w:b/>
          <w:bCs/>
          <w:sz w:val="22"/>
          <w:szCs w:val="22"/>
          <w:lang w:val="en"/>
        </w:rPr>
        <w:t>rmination of Kinetic Parameters</w:t>
      </w:r>
    </w:p>
    <w:p w14:paraId="39D2F92B" w14:textId="38A9D36C" w:rsidR="00E052FE" w:rsidRDefault="005A1036">
      <w:pPr>
        <w:pStyle w:val="BodyText"/>
        <w:spacing w:before="138" w:after="0" w:afterAutospacing="0"/>
        <w:jc w:val="both"/>
        <w:rPr>
          <w:rFonts w:ascii="Arial" w:eastAsiaTheme="minorHAnsi" w:hAnsi="Arial" w:cs="Arial"/>
          <w:sz w:val="20"/>
          <w:szCs w:val="20"/>
          <w:lang w:val="en" w:eastAsia="en-US"/>
        </w:rPr>
      </w:pPr>
      <w:r>
        <w:rPr>
          <w:rFonts w:ascii="Arial" w:eastAsiaTheme="minorHAnsi" w:hAnsi="Arial" w:cs="Arial"/>
          <w:sz w:val="20"/>
          <w:szCs w:val="20"/>
          <w:lang w:val="en" w:eastAsia="en-US"/>
        </w:rPr>
        <w:t>The kinetic parameters (Vmax, Km, catalytic efficiency Vmax/Km) of the latent and activated forms of PPO were</w:t>
      </w:r>
      <w:r>
        <w:rPr>
          <w:rFonts w:ascii="Arial" w:eastAsiaTheme="majorEastAsia" w:hAnsi="Arial" w:cs="Arial"/>
          <w:sz w:val="20"/>
          <w:szCs w:val="20"/>
          <w:lang w:val="en"/>
        </w:rPr>
        <w:t xml:space="preserve"> </w:t>
      </w:r>
      <w:r>
        <w:rPr>
          <w:rFonts w:ascii="Arial" w:eastAsiaTheme="minorHAnsi" w:hAnsi="Arial" w:cs="Arial"/>
          <w:sz w:val="20"/>
          <w:szCs w:val="20"/>
          <w:lang w:val="en" w:eastAsia="en-US"/>
        </w:rPr>
        <w:t xml:space="preserve">determined by measuring the enzymatic activity in the presence of different substrate concentrations ranging from </w:t>
      </w:r>
      <w:r>
        <w:rPr>
          <w:rFonts w:ascii="Arial" w:eastAsiaTheme="minorHAnsi" w:hAnsi="Arial" w:cs="Arial"/>
          <w:sz w:val="20"/>
          <w:szCs w:val="20"/>
          <w:lang w:val="en" w:eastAsia="en-US"/>
        </w:rPr>
        <w:t>0.1 to 20 mM at pH 6 for the latent form and pH 7 for the activated form at 30 °C. The values of Vmax and Km were calculated from linear regressions using the Lineweaver-Burk method. The catalytic efficiency was calculated as the ratio Vmax/Km.</w:t>
      </w:r>
    </w:p>
    <w:p w14:paraId="4B4EB3BD" w14:textId="77777777" w:rsidR="00E052FE" w:rsidRDefault="005A1036">
      <w:pPr>
        <w:pStyle w:val="BodyText"/>
        <w:spacing w:before="73" w:after="0" w:afterAutospacing="0"/>
        <w:jc w:val="both"/>
        <w:rPr>
          <w:rFonts w:ascii="Arial" w:eastAsiaTheme="minorHAnsi" w:hAnsi="Arial" w:cs="Arial"/>
          <w:sz w:val="20"/>
          <w:szCs w:val="20"/>
          <w:lang w:eastAsia="en-US"/>
        </w:rPr>
      </w:pPr>
      <w:r>
        <w:rPr>
          <w:rFonts w:ascii="Calibri" w:eastAsia="Calibri" w:hAnsi="Calibri" w:hint="eastAsia"/>
          <w:noProof/>
          <w:sz w:val="22"/>
          <w:szCs w:val="22"/>
          <w:lang w:val="fr" w:eastAsia="en-US" w:bidi="ar"/>
        </w:rPr>
        <w:drawing>
          <wp:inline distT="0" distB="0" distL="114300" distR="114300" wp14:anchorId="2711B7FE" wp14:editId="6DCC4F02">
            <wp:extent cx="2409825" cy="3238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2409825" cy="323850"/>
                    </a:xfrm>
                    <a:prstGeom prst="rect">
                      <a:avLst/>
                    </a:prstGeom>
                    <a:noFill/>
                    <a:ln>
                      <a:noFill/>
                    </a:ln>
                  </pic:spPr>
                </pic:pic>
              </a:graphicData>
            </a:graphic>
          </wp:inline>
        </w:drawing>
      </w:r>
      <w:r>
        <w:rPr>
          <w:rStyle w:val="CommentReference"/>
          <w:rFonts w:asciiTheme="minorHAnsi" w:eastAsiaTheme="minorHAnsi" w:hAnsiTheme="minorHAnsi" w:cstheme="minorBidi"/>
          <w:lang w:eastAsia="en-US"/>
        </w:rPr>
        <w:t xml:space="preserve">  </w:t>
      </w:r>
    </w:p>
    <w:p w14:paraId="0953457F" w14:textId="77777777" w:rsidR="00E052FE" w:rsidRDefault="00E052FE">
      <w:pPr>
        <w:spacing w:after="0" w:line="240" w:lineRule="auto"/>
        <w:jc w:val="both"/>
        <w:rPr>
          <w:rFonts w:ascii="Arial" w:hAnsi="Arial" w:cs="Arial"/>
          <w:b/>
          <w:bCs/>
          <w:lang w:val="en"/>
        </w:rPr>
      </w:pPr>
    </w:p>
    <w:p w14:paraId="657D5584" w14:textId="77777777" w:rsidR="00E052FE" w:rsidRDefault="005A1036">
      <w:pPr>
        <w:spacing w:after="0" w:line="240" w:lineRule="auto"/>
        <w:jc w:val="right"/>
        <w:rPr>
          <w:rFonts w:ascii="Arial" w:hAnsi="Arial" w:cs="Arial"/>
          <w:b/>
          <w:bCs/>
          <w:lang w:val="en"/>
        </w:rPr>
      </w:pPr>
      <w:r>
        <w:rPr>
          <w:rFonts w:ascii="Arial" w:hAnsi="Arial" w:cs="Arial"/>
          <w:b/>
          <w:bCs/>
          <w:lang w:val="en"/>
        </w:rPr>
        <w:t xml:space="preserve">2.2.5 </w:t>
      </w:r>
      <w:r>
        <w:rPr>
          <w:rFonts w:ascii="Arial" w:hAnsi="Arial" w:cs="Arial"/>
          <w:b/>
          <w:bCs/>
          <w:lang w:val="en"/>
        </w:rPr>
        <w:t>Thermal inactivation</w:t>
      </w:r>
    </w:p>
    <w:p w14:paraId="256AF650" w14:textId="77777777" w:rsidR="00E052FE" w:rsidRDefault="00E052FE">
      <w:pPr>
        <w:spacing w:after="0" w:line="240" w:lineRule="auto"/>
        <w:jc w:val="both"/>
        <w:rPr>
          <w:rFonts w:ascii="Arial" w:hAnsi="Arial" w:cs="Arial"/>
          <w:lang w:val="en"/>
        </w:rPr>
      </w:pPr>
    </w:p>
    <w:p w14:paraId="6623FB11" w14:textId="77777777" w:rsidR="00E052FE" w:rsidRDefault="005A1036">
      <w:pPr>
        <w:spacing w:after="0" w:line="240" w:lineRule="auto"/>
        <w:jc w:val="both"/>
        <w:rPr>
          <w:rFonts w:ascii="Arial" w:hAnsi="Arial" w:cs="Arial"/>
          <w:sz w:val="20"/>
          <w:szCs w:val="20"/>
          <w:lang w:val="en"/>
        </w:rPr>
      </w:pPr>
      <w:r>
        <w:rPr>
          <w:rFonts w:ascii="Arial" w:hAnsi="Arial" w:cs="Arial"/>
          <w:sz w:val="20"/>
          <w:szCs w:val="20"/>
          <w:lang w:val="en"/>
        </w:rPr>
        <w:t>The effect of temperature on the activity of latent and activated forms of PPO was studied by performing activity assays at temperatures ranging from 35 to 75 °C in 5 °C increments, at pH 6 for the latent form and pH 7 for the activat</w:t>
      </w:r>
      <w:r>
        <w:rPr>
          <w:rFonts w:ascii="Arial" w:hAnsi="Arial" w:cs="Arial"/>
          <w:sz w:val="20"/>
          <w:szCs w:val="20"/>
          <w:lang w:val="en"/>
        </w:rPr>
        <w:t>ed form, using dopamine as a substrate. The results were expressed as a percentage of maximum relative to the optimal temperature.</w:t>
      </w:r>
    </w:p>
    <w:p w14:paraId="2D51F3DE" w14:textId="77777777" w:rsidR="00E052FE" w:rsidRDefault="00E052FE">
      <w:pPr>
        <w:spacing w:after="0" w:line="240" w:lineRule="auto"/>
        <w:jc w:val="both"/>
        <w:rPr>
          <w:rFonts w:ascii="Arial" w:hAnsi="Arial" w:cs="Arial"/>
          <w:sz w:val="20"/>
          <w:szCs w:val="20"/>
        </w:rPr>
      </w:pPr>
    </w:p>
    <w:p w14:paraId="582594D8" w14:textId="77777777" w:rsidR="00E052FE" w:rsidRDefault="005A1036">
      <w:pPr>
        <w:spacing w:after="0" w:line="240" w:lineRule="auto"/>
        <w:jc w:val="right"/>
        <w:rPr>
          <w:rFonts w:ascii="Arial" w:hAnsi="Arial" w:cs="Arial"/>
          <w:b/>
          <w:bCs/>
        </w:rPr>
      </w:pPr>
      <w:r>
        <w:rPr>
          <w:rFonts w:ascii="Arial" w:hAnsi="Arial" w:cs="Arial"/>
          <w:b/>
          <w:bCs/>
        </w:rPr>
        <w:t>2.2.6 Kinetic analysis</w:t>
      </w:r>
    </w:p>
    <w:p w14:paraId="568F0596" w14:textId="77777777" w:rsidR="00E052FE" w:rsidRDefault="00E052FE">
      <w:pPr>
        <w:spacing w:after="0" w:line="240" w:lineRule="auto"/>
        <w:jc w:val="both"/>
        <w:rPr>
          <w:rFonts w:ascii="Arial" w:hAnsi="Arial" w:cs="Arial"/>
          <w:b/>
          <w:bCs/>
        </w:rPr>
      </w:pPr>
    </w:p>
    <w:p w14:paraId="258C9271" w14:textId="77777777" w:rsidR="00E052FE" w:rsidRDefault="005A1036">
      <w:pPr>
        <w:spacing w:after="0" w:line="240" w:lineRule="auto"/>
        <w:jc w:val="both"/>
        <w:rPr>
          <w:rFonts w:ascii="Arial" w:hAnsi="Arial" w:cs="Arial"/>
          <w:sz w:val="20"/>
          <w:szCs w:val="20"/>
        </w:rPr>
      </w:pPr>
      <w:r>
        <w:rPr>
          <w:rFonts w:ascii="Arial" w:hAnsi="Arial" w:cs="Arial"/>
          <w:sz w:val="20"/>
          <w:szCs w:val="20"/>
        </w:rPr>
        <w:t xml:space="preserve">The temperature dependence of the reaction rate constant for the studied enzyme served as the basis </w:t>
      </w:r>
      <w:r>
        <w:rPr>
          <w:rFonts w:ascii="Arial" w:hAnsi="Arial" w:cs="Arial"/>
          <w:sz w:val="20"/>
          <w:szCs w:val="20"/>
        </w:rPr>
        <w:t xml:space="preserve">for fitting to the Arrhenius </w:t>
      </w:r>
      <w:r w:rsidRPr="006069A7">
        <w:rPr>
          <w:rFonts w:ascii="Arial" w:hAnsi="Arial" w:cs="Arial"/>
          <w:sz w:val="20"/>
          <w:szCs w:val="20"/>
        </w:rPr>
        <w:t>equation (Arrhenius, 1889</w:t>
      </w:r>
      <w:proofErr w:type="gramStart"/>
      <w:r w:rsidRPr="006069A7">
        <w:rPr>
          <w:rFonts w:ascii="Arial" w:hAnsi="Arial" w:cs="Arial"/>
          <w:sz w:val="20"/>
          <w:szCs w:val="20"/>
        </w:rPr>
        <w:t>):</w:t>
      </w:r>
      <w:proofErr w:type="gramEnd"/>
    </w:p>
    <w:p w14:paraId="70D88AEF" w14:textId="66209A7E" w:rsidR="00E052FE" w:rsidRDefault="005A1036">
      <w:pPr>
        <w:spacing w:line="256" w:lineRule="auto"/>
        <w:rPr>
          <w:lang w:val="fr"/>
        </w:rPr>
      </w:pPr>
      <w:r>
        <w:rPr>
          <w:rFonts w:ascii="Calibri" w:eastAsia="Calibri" w:hAnsi="Calibri" w:cs="Times New Roman" w:hint="eastAsia"/>
          <w:noProof/>
          <w:lang w:val="fr" w:bidi="ar"/>
        </w:rPr>
        <w:drawing>
          <wp:inline distT="0" distB="0" distL="114300" distR="114300" wp14:anchorId="51FFE15B" wp14:editId="607553F9">
            <wp:extent cx="1352550" cy="333375"/>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352550" cy="333375"/>
                    </a:xfrm>
                    <a:prstGeom prst="rect">
                      <a:avLst/>
                    </a:prstGeom>
                    <a:noFill/>
                    <a:ln>
                      <a:noFill/>
                    </a:ln>
                  </pic:spPr>
                </pic:pic>
              </a:graphicData>
            </a:graphic>
          </wp:inline>
        </w:drawing>
      </w:r>
    </w:p>
    <w:p w14:paraId="1E1DD6FF" w14:textId="77777777" w:rsidR="00E052FE" w:rsidRDefault="005A1036">
      <w:pPr>
        <w:spacing w:after="0" w:line="240" w:lineRule="auto"/>
        <w:jc w:val="both"/>
        <w:rPr>
          <w:rFonts w:ascii="Arial" w:hAnsi="Arial" w:cs="Arial"/>
          <w:sz w:val="20"/>
          <w:szCs w:val="20"/>
        </w:rPr>
      </w:pPr>
      <w:r>
        <w:rPr>
          <w:rFonts w:ascii="Arial" w:hAnsi="Arial" w:cs="Arial"/>
          <w:sz w:val="20"/>
          <w:szCs w:val="20"/>
        </w:rPr>
        <w:t xml:space="preserve">Where, </w:t>
      </w:r>
      <w:r>
        <w:rPr>
          <w:rFonts w:ascii="Arial" w:hAnsi="Arial" w:cs="Arial"/>
          <w:i/>
          <w:sz w:val="20"/>
          <w:szCs w:val="20"/>
        </w:rPr>
        <w:t xml:space="preserve">At </w:t>
      </w:r>
      <w:r>
        <w:rPr>
          <w:rFonts w:ascii="Arial" w:hAnsi="Arial" w:cs="Arial"/>
          <w:sz w:val="20"/>
          <w:szCs w:val="20"/>
        </w:rPr>
        <w:t xml:space="preserve">is the residual enzyme activity at time t (min), </w:t>
      </w:r>
      <w:r>
        <w:rPr>
          <w:rFonts w:ascii="Arial" w:hAnsi="Arial" w:cs="Arial"/>
          <w:i/>
          <w:sz w:val="20"/>
          <w:szCs w:val="20"/>
        </w:rPr>
        <w:t xml:space="preserve">Ao </w:t>
      </w:r>
      <w:r>
        <w:rPr>
          <w:rFonts w:ascii="Arial" w:hAnsi="Arial" w:cs="Arial"/>
          <w:sz w:val="20"/>
          <w:szCs w:val="20"/>
        </w:rPr>
        <w:t xml:space="preserve">is the initial enzyme activity, </w:t>
      </w:r>
      <w:r>
        <w:rPr>
          <w:rFonts w:ascii="Arial" w:hAnsi="Arial" w:cs="Arial"/>
          <w:i/>
          <w:sz w:val="20"/>
          <w:szCs w:val="20"/>
        </w:rPr>
        <w:t xml:space="preserve">k </w:t>
      </w:r>
      <w:r>
        <w:rPr>
          <w:rFonts w:ascii="Arial" w:hAnsi="Arial" w:cs="Arial"/>
          <w:sz w:val="20"/>
          <w:szCs w:val="20"/>
        </w:rPr>
        <w:t>(min</w:t>
      </w:r>
      <w:r>
        <w:rPr>
          <w:rFonts w:ascii="Arial" w:hAnsi="Arial" w:cs="Arial"/>
          <w:sz w:val="20"/>
          <w:szCs w:val="20"/>
          <w:vertAlign w:val="superscript"/>
        </w:rPr>
        <w:t>-1</w:t>
      </w:r>
      <w:r>
        <w:rPr>
          <w:rFonts w:ascii="Arial" w:hAnsi="Arial" w:cs="Arial"/>
          <w:sz w:val="20"/>
          <w:szCs w:val="20"/>
        </w:rPr>
        <w:t xml:space="preserve">) is the inactivation rate constant at a given condition. The </w:t>
      </w:r>
      <w:r>
        <w:rPr>
          <w:rFonts w:ascii="Arial" w:hAnsi="Arial" w:cs="Arial"/>
          <w:i/>
          <w:sz w:val="20"/>
          <w:szCs w:val="20"/>
        </w:rPr>
        <w:t>k</w:t>
      </w:r>
      <w:r>
        <w:rPr>
          <w:rFonts w:ascii="Arial" w:hAnsi="Arial" w:cs="Arial"/>
          <w:sz w:val="20"/>
          <w:szCs w:val="20"/>
        </w:rPr>
        <w:t xml:space="preserve">-values were obtained from the regression line of </w:t>
      </w:r>
      <w:r>
        <w:rPr>
          <w:rFonts w:ascii="Arial" w:hAnsi="Arial" w:cs="Arial"/>
          <w:i/>
          <w:sz w:val="20"/>
          <w:szCs w:val="20"/>
        </w:rPr>
        <w:t xml:space="preserve">Ln (At/Ao) </w:t>
      </w:r>
      <w:r>
        <w:rPr>
          <w:rFonts w:ascii="Arial" w:hAnsi="Arial" w:cs="Arial"/>
          <w:sz w:val="20"/>
          <w:szCs w:val="20"/>
        </w:rPr>
        <w:t>versus time as slope.</w:t>
      </w:r>
    </w:p>
    <w:p w14:paraId="2E52D7A0" w14:textId="65EEEBF2" w:rsidR="00E052FE" w:rsidRDefault="005A1036">
      <w:pPr>
        <w:spacing w:after="0" w:line="240" w:lineRule="auto"/>
        <w:jc w:val="both"/>
        <w:rPr>
          <w:rFonts w:ascii="Arial" w:hAnsi="Arial" w:cs="Arial"/>
          <w:sz w:val="20"/>
          <w:szCs w:val="20"/>
        </w:rPr>
      </w:pPr>
      <w:r>
        <w:rPr>
          <w:rFonts w:ascii="Arial" w:hAnsi="Arial" w:cs="Arial"/>
          <w:sz w:val="20"/>
          <w:szCs w:val="20"/>
        </w:rPr>
        <w:t xml:space="preserve">The </w:t>
      </w:r>
      <w:r>
        <w:rPr>
          <w:rFonts w:ascii="Arial" w:hAnsi="Arial" w:cs="Arial"/>
          <w:i/>
          <w:sz w:val="20"/>
          <w:szCs w:val="20"/>
        </w:rPr>
        <w:t>D</w:t>
      </w:r>
      <w:r>
        <w:rPr>
          <w:rFonts w:ascii="Arial" w:hAnsi="Arial" w:cs="Arial"/>
          <w:sz w:val="20"/>
          <w:szCs w:val="20"/>
        </w:rPr>
        <w:t>-value is defined as the time needed, at a constant temperature, to reduce the initial enzyme activity (</w:t>
      </w:r>
      <w:r>
        <w:rPr>
          <w:rFonts w:ascii="Arial" w:hAnsi="Arial" w:cs="Arial"/>
          <w:i/>
          <w:sz w:val="20"/>
          <w:szCs w:val="20"/>
        </w:rPr>
        <w:t>Ao</w:t>
      </w:r>
      <w:r>
        <w:rPr>
          <w:rFonts w:ascii="Arial" w:hAnsi="Arial" w:cs="Arial"/>
          <w:sz w:val="20"/>
          <w:szCs w:val="20"/>
        </w:rPr>
        <w:t xml:space="preserve">) by 90 %. The </w:t>
      </w:r>
      <w:r>
        <w:rPr>
          <w:rFonts w:ascii="Arial" w:hAnsi="Arial" w:cs="Arial"/>
          <w:i/>
          <w:sz w:val="20"/>
          <w:szCs w:val="20"/>
        </w:rPr>
        <w:t>D</w:t>
      </w:r>
      <w:r>
        <w:rPr>
          <w:rFonts w:ascii="Arial" w:hAnsi="Arial" w:cs="Arial"/>
          <w:sz w:val="20"/>
          <w:szCs w:val="20"/>
        </w:rPr>
        <w:t>-values (D</w:t>
      </w:r>
      <w:r>
        <w:rPr>
          <w:rFonts w:ascii="Arial" w:hAnsi="Arial" w:cs="Arial"/>
          <w:sz w:val="20"/>
          <w:szCs w:val="20"/>
          <w:vertAlign w:val="subscript"/>
        </w:rPr>
        <w:t>t</w:t>
      </w:r>
      <w:r>
        <w:rPr>
          <w:rFonts w:ascii="Arial" w:hAnsi="Arial" w:cs="Arial"/>
          <w:sz w:val="20"/>
          <w:szCs w:val="20"/>
        </w:rPr>
        <w:t>) were calculated by regression ana</w:t>
      </w:r>
      <w:r>
        <w:rPr>
          <w:rFonts w:ascii="Arial" w:hAnsi="Arial" w:cs="Arial"/>
          <w:sz w:val="20"/>
          <w:szCs w:val="20"/>
        </w:rPr>
        <w:t xml:space="preserve">lysis of the lines obtained by plotting the logarithm of the activity expressed as the percentage of initial activity against time. The </w:t>
      </w:r>
      <w:r>
        <w:rPr>
          <w:rFonts w:ascii="Arial" w:hAnsi="Arial" w:cs="Arial"/>
          <w:i/>
          <w:sz w:val="20"/>
          <w:szCs w:val="20"/>
        </w:rPr>
        <w:t>D</w:t>
      </w:r>
      <w:r>
        <w:rPr>
          <w:rFonts w:ascii="Arial" w:hAnsi="Arial" w:cs="Arial"/>
          <w:sz w:val="20"/>
          <w:szCs w:val="20"/>
        </w:rPr>
        <w:t>-values correspond to the reciprocal of the slope of those lines. The decimal reduction time (</w:t>
      </w:r>
      <w:r>
        <w:rPr>
          <w:rFonts w:ascii="Arial" w:hAnsi="Arial" w:cs="Arial"/>
          <w:i/>
          <w:sz w:val="20"/>
          <w:szCs w:val="20"/>
        </w:rPr>
        <w:t>D</w:t>
      </w:r>
      <w:r>
        <w:rPr>
          <w:rFonts w:ascii="Arial" w:hAnsi="Arial" w:cs="Arial"/>
          <w:sz w:val="20"/>
          <w:szCs w:val="20"/>
        </w:rPr>
        <w:t>) was calculated accordi</w:t>
      </w:r>
      <w:r>
        <w:rPr>
          <w:rFonts w:ascii="Arial" w:hAnsi="Arial" w:cs="Arial"/>
          <w:sz w:val="20"/>
          <w:szCs w:val="20"/>
        </w:rPr>
        <w:t xml:space="preserve">ng to </w:t>
      </w:r>
      <w:r>
        <w:rPr>
          <w:rFonts w:ascii="Arial" w:hAnsi="Arial"/>
          <w:sz w:val="20"/>
          <w:szCs w:val="20"/>
        </w:rPr>
        <w:t>(</w:t>
      </w:r>
      <w:r w:rsidR="00252DF8" w:rsidRPr="006069A7">
        <w:rPr>
          <w:rFonts w:ascii="Arial" w:hAnsi="Arial"/>
          <w:sz w:val="20"/>
          <w:szCs w:val="20"/>
        </w:rPr>
        <w:t>Djina</w:t>
      </w:r>
      <w:r w:rsidRPr="006069A7">
        <w:rPr>
          <w:rFonts w:ascii="Arial" w:hAnsi="Arial"/>
          <w:sz w:val="20"/>
          <w:szCs w:val="20"/>
        </w:rPr>
        <w:t xml:space="preserve"> et al. 202</w:t>
      </w:r>
      <w:r w:rsidR="00252DF8" w:rsidRPr="006069A7">
        <w:rPr>
          <w:rFonts w:ascii="Arial" w:hAnsi="Arial"/>
          <w:sz w:val="20"/>
          <w:szCs w:val="20"/>
        </w:rPr>
        <w:t>5</w:t>
      </w:r>
      <w:r w:rsidRPr="006069A7">
        <w:rPr>
          <w:rFonts w:ascii="Arial" w:hAnsi="Arial"/>
          <w:sz w:val="20"/>
          <w:szCs w:val="20"/>
        </w:rPr>
        <w:t>)</w:t>
      </w:r>
      <w:r w:rsidRPr="00093734">
        <w:rPr>
          <w:rFonts w:ascii="Arial" w:hAnsi="Arial" w:cs="Arial"/>
          <w:b/>
          <w:bCs/>
          <w:sz w:val="20"/>
          <w:szCs w:val="20"/>
        </w:rPr>
        <w:t xml:space="preserve"> </w:t>
      </w:r>
      <w:proofErr w:type="gramStart"/>
      <w:r>
        <w:rPr>
          <w:rFonts w:ascii="Arial" w:hAnsi="Arial" w:cs="Arial"/>
          <w:sz w:val="20"/>
          <w:szCs w:val="20"/>
        </w:rPr>
        <w:t>as:</w:t>
      </w:r>
      <w:proofErr w:type="gramEnd"/>
    </w:p>
    <w:p w14:paraId="71FA635F" w14:textId="77777777" w:rsidR="00E052FE" w:rsidRDefault="005A1036">
      <w:pPr>
        <w:spacing w:line="256" w:lineRule="auto"/>
        <w:rPr>
          <w:rFonts w:ascii="Arial" w:hAnsi="Arial" w:cs="Arial"/>
          <w:sz w:val="20"/>
          <w:szCs w:val="20"/>
        </w:rPr>
      </w:pPr>
      <w:r>
        <w:rPr>
          <w:rFonts w:ascii="Calibri" w:eastAsia="Calibri" w:hAnsi="Calibri" w:cs="Times New Roman" w:hint="eastAsia"/>
          <w:noProof/>
          <w:lang w:val="fr" w:bidi="ar"/>
        </w:rPr>
        <w:drawing>
          <wp:inline distT="0" distB="0" distL="114300" distR="114300" wp14:anchorId="10235139" wp14:editId="35EFC269">
            <wp:extent cx="1238250" cy="3238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238250" cy="323850"/>
                    </a:xfrm>
                    <a:prstGeom prst="rect">
                      <a:avLst/>
                    </a:prstGeom>
                    <a:noFill/>
                    <a:ln>
                      <a:noFill/>
                    </a:ln>
                  </pic:spPr>
                </pic:pic>
              </a:graphicData>
            </a:graphic>
          </wp:inline>
        </w:drawing>
      </w:r>
    </w:p>
    <w:p w14:paraId="1BAA7412" w14:textId="4F29F8BB" w:rsidR="00E052FE" w:rsidRPr="002F14BC" w:rsidRDefault="005A1036">
      <w:pPr>
        <w:spacing w:after="0" w:line="240" w:lineRule="auto"/>
        <w:jc w:val="both"/>
        <w:rPr>
          <w:rFonts w:ascii="Arial" w:hAnsi="Arial"/>
          <w:sz w:val="20"/>
          <w:szCs w:val="20"/>
        </w:rPr>
      </w:pPr>
      <w:r>
        <w:rPr>
          <w:rFonts w:ascii="Arial" w:hAnsi="Arial" w:cs="Arial"/>
          <w:sz w:val="20"/>
          <w:szCs w:val="20"/>
        </w:rPr>
        <w:lastRenderedPageBreak/>
        <w:t xml:space="preserve">The </w:t>
      </w:r>
      <w:r>
        <w:rPr>
          <w:rFonts w:ascii="Arial" w:hAnsi="Arial" w:cs="Arial"/>
          <w:i/>
          <w:sz w:val="20"/>
          <w:szCs w:val="20"/>
        </w:rPr>
        <w:t>Z</w:t>
      </w:r>
      <w:r>
        <w:rPr>
          <w:rFonts w:ascii="Arial" w:hAnsi="Arial" w:cs="Arial"/>
          <w:sz w:val="20"/>
          <w:szCs w:val="20"/>
        </w:rPr>
        <w:t xml:space="preserve">-value (°C) is the temperature increase needed to induce a 10-fold reduction in </w:t>
      </w:r>
      <w:r>
        <w:rPr>
          <w:rFonts w:ascii="Arial" w:hAnsi="Arial" w:cs="Arial"/>
          <w:i/>
          <w:sz w:val="20"/>
          <w:szCs w:val="20"/>
        </w:rPr>
        <w:t>D</w:t>
      </w:r>
      <w:r>
        <w:rPr>
          <w:rFonts w:ascii="Arial" w:hAnsi="Arial" w:cs="Arial"/>
          <w:sz w:val="20"/>
          <w:szCs w:val="20"/>
        </w:rPr>
        <w:t xml:space="preserve">- value </w:t>
      </w:r>
      <w:r>
        <w:rPr>
          <w:rFonts w:ascii="Arial" w:hAnsi="Arial"/>
          <w:sz w:val="20"/>
          <w:szCs w:val="20"/>
        </w:rPr>
        <w:t>(</w:t>
      </w:r>
      <w:r w:rsidR="00DE0555" w:rsidRPr="006069A7">
        <w:rPr>
          <w:rFonts w:ascii="Arial" w:hAnsi="Arial"/>
          <w:sz w:val="20"/>
          <w:szCs w:val="20"/>
        </w:rPr>
        <w:t>Stumbo, 1973</w:t>
      </w:r>
      <w:r>
        <w:rPr>
          <w:rFonts w:ascii="Arial" w:hAnsi="Arial"/>
          <w:sz w:val="20"/>
          <w:szCs w:val="20"/>
        </w:rPr>
        <w:t>)</w:t>
      </w:r>
      <w:r>
        <w:rPr>
          <w:rFonts w:ascii="Arial" w:hAnsi="Arial" w:cs="Arial"/>
          <w:sz w:val="20"/>
          <w:szCs w:val="20"/>
        </w:rPr>
        <w:t xml:space="preserve">. This </w:t>
      </w:r>
      <w:r>
        <w:rPr>
          <w:rFonts w:ascii="Arial" w:hAnsi="Arial" w:cs="Arial"/>
          <w:i/>
          <w:sz w:val="20"/>
          <w:szCs w:val="20"/>
        </w:rPr>
        <w:t>Z</w:t>
      </w:r>
      <w:r>
        <w:rPr>
          <w:rFonts w:ascii="Arial" w:hAnsi="Arial" w:cs="Arial"/>
          <w:sz w:val="20"/>
          <w:szCs w:val="20"/>
        </w:rPr>
        <w:t xml:space="preserve">-value follows the </w:t>
      </w:r>
      <w:proofErr w:type="gramStart"/>
      <w:r>
        <w:rPr>
          <w:rFonts w:ascii="Arial" w:hAnsi="Arial" w:cs="Arial"/>
          <w:sz w:val="20"/>
          <w:szCs w:val="20"/>
        </w:rPr>
        <w:t>equation:</w:t>
      </w:r>
      <w:proofErr w:type="gramEnd"/>
    </w:p>
    <w:p w14:paraId="7ACEAEE2" w14:textId="77777777" w:rsidR="00C94091" w:rsidRPr="00C94091" w:rsidRDefault="00C94091" w:rsidP="00C94091">
      <w:pPr>
        <w:spacing w:after="0" w:line="240" w:lineRule="auto"/>
        <w:jc w:val="both"/>
        <w:rPr>
          <w:rFonts w:ascii="Arial" w:hAnsi="Arial" w:cs="Arial"/>
          <w:sz w:val="20"/>
          <w:szCs w:val="20"/>
        </w:rPr>
      </w:pPr>
      <m:oMathPara>
        <m:oMathParaPr>
          <m:jc m:val="left"/>
        </m:oMathParaPr>
        <m:oMath>
          <m:r>
            <w:rPr>
              <w:rFonts w:ascii="Cambria Math" w:hAnsi="Cambria Math" w:cs="Cambria Math"/>
              <w:sz w:val="20"/>
              <w:szCs w:val="20"/>
            </w:rPr>
            <m:t>Log</m:t>
          </m:r>
          <m:d>
            <m:dPr>
              <m:ctrlPr>
                <w:rPr>
                  <w:rFonts w:ascii="Cambria Math" w:hAnsi="Cambria Math" w:cs="Cambria Math"/>
                  <w:i/>
                  <w:sz w:val="20"/>
                  <w:szCs w:val="20"/>
                </w:rPr>
              </m:ctrlPr>
            </m:dPr>
            <m:e>
              <m:f>
                <m:fPr>
                  <m:ctrlPr>
                    <w:rPr>
                      <w:rFonts w:ascii="Cambria Math" w:hAnsi="Cambria Math" w:cs="Arial"/>
                      <w:sz w:val="20"/>
                      <w:szCs w:val="20"/>
                    </w:rPr>
                  </m:ctrlPr>
                </m:fPr>
                <m:num>
                  <m:r>
                    <m:rPr>
                      <m:sty m:val="p"/>
                    </m:rPr>
                    <w:rPr>
                      <w:rFonts w:ascii="Cambria Math" w:hAnsi="Cambria Math" w:cs="Cambria Math"/>
                      <w:sz w:val="20"/>
                      <w:szCs w:val="20"/>
                    </w:rPr>
                    <m:t>D1</m:t>
                  </m:r>
                </m:num>
                <m:den>
                  <m:r>
                    <w:rPr>
                      <w:rFonts w:ascii="Cambria Math" w:hAnsi="Cambria Math" w:cs="Cambria Math"/>
                      <w:sz w:val="20"/>
                      <w:szCs w:val="20"/>
                    </w:rPr>
                    <m:t>D2</m:t>
                  </m:r>
                </m:den>
              </m:f>
              <m:ctrlPr>
                <w:rPr>
                  <w:rFonts w:ascii="Cambria Math" w:hAnsi="Cambria Math" w:cs="Cambria Math"/>
                  <w:sz w:val="20"/>
                  <w:szCs w:val="20"/>
                </w:rPr>
              </m:ctrlPr>
            </m:e>
          </m:d>
          <m:r>
            <m:rPr>
              <m:sty m:val="p"/>
            </m:rPr>
            <w:rPr>
              <w:rFonts w:ascii="Cambria Math" w:hAnsi="Cambria Math" w:cs="Cambria Math"/>
              <w:sz w:val="20"/>
              <w:szCs w:val="20"/>
            </w:rPr>
            <m:t>=</m:t>
          </m:r>
          <m:f>
            <m:fPr>
              <m:ctrlPr>
                <w:rPr>
                  <w:rFonts w:ascii="Cambria Math" w:hAnsi="Cambria Math" w:cs="Arial"/>
                  <w:sz w:val="20"/>
                  <w:szCs w:val="20"/>
                </w:rPr>
              </m:ctrlPr>
            </m:fPr>
            <m:num>
              <m:r>
                <m:rPr>
                  <m:sty m:val="p"/>
                </m:rPr>
                <w:rPr>
                  <w:rFonts w:ascii="Cambria Math" w:hAnsi="Cambria Math" w:cs="Cambria Math"/>
                  <w:sz w:val="20"/>
                  <w:szCs w:val="20"/>
                </w:rPr>
                <m:t>(T2-T1)</m:t>
              </m:r>
            </m:num>
            <m:den>
              <m:r>
                <m:rPr>
                  <m:sty m:val="p"/>
                </m:rPr>
                <w:rPr>
                  <w:rFonts w:ascii="Cambria Math" w:hAnsi="Cambria Math" w:cs="Cambria Math"/>
                  <w:sz w:val="20"/>
                  <w:szCs w:val="20"/>
                </w:rPr>
                <m:t>Z</m:t>
              </m:r>
            </m:den>
          </m:f>
          <m:r>
            <w:rPr>
              <w:rFonts w:ascii="Cambria Math" w:hAnsi="Cambria Math" w:cs="Arial"/>
              <w:sz w:val="20"/>
              <w:szCs w:val="20"/>
            </w:rPr>
            <m:t xml:space="preserve"> (Eq. 3)</m:t>
          </m:r>
        </m:oMath>
      </m:oMathPara>
    </w:p>
    <w:p w14:paraId="2664F71C" w14:textId="77777777" w:rsidR="00C94091" w:rsidRDefault="00C94091">
      <w:pPr>
        <w:spacing w:after="0" w:line="240" w:lineRule="auto"/>
        <w:jc w:val="both"/>
        <w:rPr>
          <w:rFonts w:ascii="Arial" w:hAnsi="Arial" w:cs="Arial"/>
          <w:sz w:val="20"/>
          <w:szCs w:val="20"/>
        </w:rPr>
      </w:pPr>
    </w:p>
    <w:p w14:paraId="7EE05866" w14:textId="77777777" w:rsidR="00E052FE" w:rsidRDefault="005A1036">
      <w:pPr>
        <w:spacing w:after="0" w:line="240" w:lineRule="auto"/>
        <w:jc w:val="both"/>
        <w:rPr>
          <w:rFonts w:ascii="Arial" w:hAnsi="Arial" w:cs="Arial"/>
          <w:sz w:val="20"/>
          <w:szCs w:val="20"/>
        </w:rPr>
      </w:pPr>
      <w:r>
        <w:rPr>
          <w:rFonts w:ascii="Arial" w:hAnsi="Arial" w:cs="Arial"/>
          <w:sz w:val="20"/>
          <w:szCs w:val="20"/>
        </w:rPr>
        <w:t xml:space="preserve">Where, </w:t>
      </w:r>
      <w:r>
        <w:rPr>
          <w:rFonts w:ascii="Arial" w:hAnsi="Arial" w:cs="Arial"/>
          <w:i/>
          <w:sz w:val="20"/>
          <w:szCs w:val="20"/>
        </w:rPr>
        <w:t xml:space="preserve">T1 </w:t>
      </w:r>
      <w:r>
        <w:rPr>
          <w:rFonts w:ascii="Arial" w:hAnsi="Arial" w:cs="Arial"/>
          <w:sz w:val="20"/>
          <w:szCs w:val="20"/>
        </w:rPr>
        <w:t xml:space="preserve">and </w:t>
      </w:r>
      <w:r>
        <w:rPr>
          <w:rFonts w:ascii="Arial" w:hAnsi="Arial" w:cs="Arial"/>
          <w:i/>
          <w:sz w:val="20"/>
          <w:szCs w:val="20"/>
        </w:rPr>
        <w:t xml:space="preserve">T2 </w:t>
      </w:r>
      <w:r>
        <w:rPr>
          <w:rFonts w:ascii="Arial" w:hAnsi="Arial" w:cs="Arial"/>
          <w:sz w:val="20"/>
          <w:szCs w:val="20"/>
        </w:rPr>
        <w:t xml:space="preserve">are the lower and higher temperatures in °C or K. Then, </w:t>
      </w:r>
      <w:r>
        <w:rPr>
          <w:rFonts w:ascii="Arial" w:hAnsi="Arial" w:cs="Arial"/>
          <w:i/>
          <w:sz w:val="20"/>
          <w:szCs w:val="20"/>
        </w:rPr>
        <w:t xml:space="preserve">D1 </w:t>
      </w:r>
      <w:r>
        <w:rPr>
          <w:rFonts w:ascii="Arial" w:hAnsi="Arial" w:cs="Arial"/>
          <w:sz w:val="20"/>
          <w:szCs w:val="20"/>
        </w:rPr>
        <w:t xml:space="preserve">and </w:t>
      </w:r>
      <w:r>
        <w:rPr>
          <w:rFonts w:ascii="Arial" w:hAnsi="Arial" w:cs="Arial"/>
          <w:i/>
          <w:sz w:val="20"/>
          <w:szCs w:val="20"/>
        </w:rPr>
        <w:t xml:space="preserve">D2 </w:t>
      </w:r>
      <w:r>
        <w:rPr>
          <w:rFonts w:ascii="Arial" w:hAnsi="Arial" w:cs="Arial"/>
          <w:sz w:val="20"/>
          <w:szCs w:val="20"/>
        </w:rPr>
        <w:t xml:space="preserve">are </w:t>
      </w:r>
      <w:r>
        <w:rPr>
          <w:rFonts w:ascii="Arial" w:hAnsi="Arial" w:cs="Arial"/>
          <w:i/>
          <w:sz w:val="20"/>
          <w:szCs w:val="20"/>
        </w:rPr>
        <w:t>D</w:t>
      </w:r>
      <w:r>
        <w:rPr>
          <w:rFonts w:ascii="Arial" w:hAnsi="Arial" w:cs="Arial"/>
          <w:sz w:val="20"/>
          <w:szCs w:val="20"/>
        </w:rPr>
        <w:t xml:space="preserve">-values at the lower and higher temperatures in min, respectively. The </w:t>
      </w:r>
      <w:r>
        <w:rPr>
          <w:rFonts w:ascii="Arial" w:hAnsi="Arial" w:cs="Arial"/>
          <w:i/>
          <w:sz w:val="20"/>
          <w:szCs w:val="20"/>
        </w:rPr>
        <w:t>Z</w:t>
      </w:r>
      <w:r>
        <w:rPr>
          <w:rFonts w:ascii="Arial" w:hAnsi="Arial" w:cs="Arial"/>
          <w:sz w:val="20"/>
          <w:szCs w:val="20"/>
        </w:rPr>
        <w:t xml:space="preserve">-values were determined from the linear regression of </w:t>
      </w:r>
      <w:r>
        <w:rPr>
          <w:rFonts w:ascii="Arial" w:hAnsi="Arial" w:cs="Arial"/>
          <w:i/>
          <w:sz w:val="20"/>
          <w:szCs w:val="20"/>
        </w:rPr>
        <w:t xml:space="preserve">log(D) </w:t>
      </w:r>
      <w:r>
        <w:rPr>
          <w:rFonts w:ascii="Arial" w:hAnsi="Arial" w:cs="Arial"/>
          <w:sz w:val="20"/>
          <w:szCs w:val="20"/>
        </w:rPr>
        <w:t>and temperature (T).</w:t>
      </w:r>
    </w:p>
    <w:p w14:paraId="2E3C5596" w14:textId="77777777" w:rsidR="00F00E07" w:rsidRDefault="00F00E07">
      <w:pPr>
        <w:spacing w:after="0" w:line="240" w:lineRule="auto"/>
        <w:jc w:val="both"/>
        <w:rPr>
          <w:rFonts w:ascii="Arial" w:hAnsi="Arial" w:cs="Arial"/>
          <w:sz w:val="20"/>
          <w:szCs w:val="20"/>
        </w:rPr>
      </w:pPr>
    </w:p>
    <w:p w14:paraId="520DD14F" w14:textId="77777777" w:rsidR="00E052FE" w:rsidRDefault="005A1036" w:rsidP="00C94091">
      <w:pPr>
        <w:spacing w:after="0" w:line="240" w:lineRule="auto"/>
        <w:jc w:val="right"/>
        <w:rPr>
          <w:rFonts w:ascii="Arial" w:hAnsi="Arial" w:cs="Arial"/>
          <w:b/>
          <w:bCs/>
        </w:rPr>
      </w:pPr>
      <w:r w:rsidRPr="00C94091">
        <w:rPr>
          <w:rFonts w:ascii="Arial" w:hAnsi="Arial" w:cs="Arial"/>
          <w:b/>
          <w:bCs/>
        </w:rPr>
        <w:t>2.2.7 Thermodynamic parameters</w:t>
      </w:r>
    </w:p>
    <w:p w14:paraId="40470B34" w14:textId="77777777" w:rsidR="00C94091" w:rsidRPr="00C94091" w:rsidRDefault="00C94091" w:rsidP="00C94091">
      <w:pPr>
        <w:spacing w:after="0" w:line="240" w:lineRule="auto"/>
        <w:jc w:val="right"/>
        <w:rPr>
          <w:rFonts w:ascii="Arial" w:hAnsi="Arial" w:cs="Arial"/>
          <w:b/>
          <w:bCs/>
        </w:rPr>
      </w:pPr>
    </w:p>
    <w:p w14:paraId="48A469CC" w14:textId="77777777" w:rsidR="00E052FE" w:rsidRDefault="005A1036" w:rsidP="00C94091">
      <w:pPr>
        <w:spacing w:after="0" w:line="240" w:lineRule="auto"/>
        <w:jc w:val="both"/>
        <w:rPr>
          <w:rFonts w:ascii="Arial" w:hAnsi="Arial" w:cs="Arial"/>
          <w:sz w:val="20"/>
          <w:szCs w:val="20"/>
          <w:lang w:val="en"/>
        </w:rPr>
      </w:pPr>
      <w:r>
        <w:rPr>
          <w:rFonts w:ascii="Arial" w:hAnsi="Arial" w:cs="Arial"/>
          <w:sz w:val="20"/>
          <w:szCs w:val="20"/>
          <w:lang w:val="en"/>
        </w:rPr>
        <w:t>The thermodynamic parameters were calculated from the activity data as a function of temperature. The activation energy (Ea) of the reaction catalyzed by PPO was determined according to the Arrhenius law:</w:t>
      </w:r>
    </w:p>
    <w:p w14:paraId="5FA4A3A0" w14:textId="77777777" w:rsidR="00E052FE" w:rsidRDefault="005A1036" w:rsidP="00C94091">
      <w:pPr>
        <w:spacing w:after="0" w:line="240" w:lineRule="auto"/>
        <w:jc w:val="both"/>
        <w:rPr>
          <w:rFonts w:ascii="Arial" w:hAnsi="Arial" w:cs="Arial"/>
          <w:sz w:val="20"/>
          <w:szCs w:val="20"/>
          <w:lang w:val="en"/>
        </w:rPr>
      </w:pPr>
      <w:r>
        <w:rPr>
          <w:rFonts w:ascii="Arial" w:hAnsi="Arial" w:cs="Arial"/>
          <w:sz w:val="20"/>
          <w:szCs w:val="20"/>
          <w:lang w:val="en"/>
        </w:rPr>
        <w:t>l</w:t>
      </w:r>
      <w:r>
        <w:rPr>
          <w:rFonts w:ascii="Calibri" w:eastAsia="Calibri" w:hAnsi="Calibri" w:cs="Times New Roman" w:hint="eastAsia"/>
          <w:noProof/>
          <w:lang w:val="fr" w:bidi="ar"/>
        </w:rPr>
        <w:drawing>
          <wp:inline distT="0" distB="0" distL="114300" distR="114300" wp14:anchorId="4A0213A8" wp14:editId="4CB8E1E2">
            <wp:extent cx="1552575" cy="352425"/>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552575" cy="352425"/>
                    </a:xfrm>
                    <a:prstGeom prst="rect">
                      <a:avLst/>
                    </a:prstGeom>
                    <a:noFill/>
                    <a:ln>
                      <a:noFill/>
                    </a:ln>
                  </pic:spPr>
                </pic:pic>
              </a:graphicData>
            </a:graphic>
          </wp:inline>
        </w:drawing>
      </w:r>
    </w:p>
    <w:p w14:paraId="695C2001" w14:textId="77777777" w:rsidR="00E052FE" w:rsidRDefault="005A1036" w:rsidP="00C94091">
      <w:pPr>
        <w:spacing w:after="0" w:line="240" w:lineRule="auto"/>
        <w:jc w:val="both"/>
        <w:rPr>
          <w:rFonts w:ascii="Arial" w:hAnsi="Arial" w:cs="Arial"/>
          <w:sz w:val="20"/>
          <w:szCs w:val="20"/>
          <w:lang w:val="en"/>
        </w:rPr>
      </w:pPr>
      <w:r>
        <w:rPr>
          <w:rFonts w:ascii="Arial" w:hAnsi="Arial" w:cs="Arial"/>
          <w:sz w:val="20"/>
          <w:szCs w:val="20"/>
          <w:lang w:val="en"/>
        </w:rPr>
        <w:t xml:space="preserve">where k is the rate constant of the reaction </w:t>
      </w:r>
      <w:r>
        <w:rPr>
          <w:rFonts w:ascii="Arial" w:hAnsi="Arial" w:cs="Arial"/>
          <w:sz w:val="20"/>
          <w:szCs w:val="20"/>
          <w:lang w:val="en"/>
        </w:rPr>
        <w:t>(proportional to the specific activity), R is the ideal gas constant (8.314 J·mol</w:t>
      </w:r>
      <w:r>
        <w:rPr>
          <w:rFonts w:ascii="Cambria Math" w:hAnsi="Cambria Math" w:cs="Cambria Math"/>
          <w:sz w:val="20"/>
          <w:szCs w:val="20"/>
          <w:lang w:val="en"/>
        </w:rPr>
        <w:t>⁻</w:t>
      </w:r>
      <w:r>
        <w:rPr>
          <w:rFonts w:ascii="Arial" w:hAnsi="Arial" w:cs="Arial"/>
          <w:sz w:val="20"/>
          <w:szCs w:val="20"/>
          <w:lang w:val="en"/>
        </w:rPr>
        <w:t>¹·K</w:t>
      </w:r>
      <w:r>
        <w:rPr>
          <w:rFonts w:ascii="Cambria Math" w:hAnsi="Cambria Math" w:cs="Cambria Math"/>
          <w:sz w:val="20"/>
          <w:szCs w:val="20"/>
          <w:lang w:val="en"/>
        </w:rPr>
        <w:t>⁻</w:t>
      </w:r>
      <w:r>
        <w:rPr>
          <w:rFonts w:ascii="Arial" w:hAnsi="Arial" w:cs="Arial"/>
          <w:sz w:val="20"/>
          <w:szCs w:val="20"/>
          <w:lang w:val="en"/>
        </w:rPr>
        <w:t>¹), T is the temperature in Kelvin, and A is the pre-exponential factor.</w:t>
      </w:r>
    </w:p>
    <w:p w14:paraId="626F39F8" w14:textId="77777777" w:rsidR="00E052FE" w:rsidRDefault="005A1036" w:rsidP="00C94091">
      <w:pPr>
        <w:spacing w:after="0" w:line="240" w:lineRule="auto"/>
        <w:jc w:val="both"/>
        <w:rPr>
          <w:rFonts w:ascii="Arial" w:hAnsi="Arial" w:cs="Arial"/>
          <w:sz w:val="20"/>
          <w:szCs w:val="20"/>
          <w:lang w:val="en"/>
        </w:rPr>
      </w:pPr>
      <w:r>
        <w:rPr>
          <w:rFonts w:ascii="Arial" w:hAnsi="Arial" w:cs="Arial"/>
          <w:sz w:val="20"/>
          <w:szCs w:val="20"/>
          <w:lang w:val="en"/>
        </w:rPr>
        <w:t>The other thermodynamic parameters, activation enthalpy (ΔH°), activation entropy (ΔS°), and acti</w:t>
      </w:r>
      <w:r>
        <w:rPr>
          <w:rFonts w:ascii="Arial" w:hAnsi="Arial" w:cs="Arial"/>
          <w:sz w:val="20"/>
          <w:szCs w:val="20"/>
          <w:lang w:val="en"/>
        </w:rPr>
        <w:t>vation Gibbs free energy (ΔG°), were calculated from the following equations:</w:t>
      </w:r>
    </w:p>
    <w:p w14:paraId="22454293" w14:textId="77777777" w:rsidR="00E052FE" w:rsidRDefault="005A1036" w:rsidP="00C94091">
      <w:pPr>
        <w:spacing w:after="0" w:line="240" w:lineRule="auto"/>
        <w:jc w:val="both"/>
        <w:rPr>
          <w:rFonts w:ascii="Arial" w:hAnsi="Arial" w:cs="Arial"/>
          <w:sz w:val="20"/>
          <w:szCs w:val="20"/>
          <w:lang w:val="en"/>
        </w:rPr>
      </w:pPr>
      <w:r>
        <w:rPr>
          <w:rFonts w:ascii="Arial" w:hAnsi="Arial" w:cs="Arial"/>
          <w:sz w:val="20"/>
          <w:szCs w:val="20"/>
          <w:lang w:val="en"/>
        </w:rPr>
        <w:t xml:space="preserve"> </w:t>
      </w:r>
      <w:r>
        <w:rPr>
          <w:rFonts w:ascii="Calibri" w:eastAsia="Calibri" w:hAnsi="Calibri" w:cs="Times New Roman" w:hint="eastAsia"/>
          <w:noProof/>
          <w:lang w:val="fr" w:bidi="ar"/>
        </w:rPr>
        <w:drawing>
          <wp:inline distT="0" distB="0" distL="114300" distR="114300" wp14:anchorId="6BBE6A60" wp14:editId="0303C576">
            <wp:extent cx="1162050" cy="180975"/>
            <wp:effectExtent l="0" t="0" r="0" b="7620"/>
            <wp:docPr id="1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1162050" cy="180975"/>
                    </a:xfrm>
                    <a:prstGeom prst="rect">
                      <a:avLst/>
                    </a:prstGeom>
                    <a:noFill/>
                    <a:ln>
                      <a:noFill/>
                    </a:ln>
                  </pic:spPr>
                </pic:pic>
              </a:graphicData>
            </a:graphic>
          </wp:inline>
        </w:drawing>
      </w:r>
    </w:p>
    <w:p w14:paraId="53A65E92" w14:textId="77777777" w:rsidR="00E052FE" w:rsidRDefault="005A1036" w:rsidP="00C94091">
      <w:pPr>
        <w:spacing w:after="0" w:line="240" w:lineRule="auto"/>
        <w:jc w:val="both"/>
        <w:rPr>
          <w:rFonts w:ascii="Arial" w:hAnsi="Arial" w:cs="Arial"/>
          <w:sz w:val="20"/>
          <w:szCs w:val="20"/>
          <w:lang w:val="en"/>
        </w:rPr>
      </w:pPr>
      <w:r>
        <w:rPr>
          <w:rFonts w:ascii="Calibri" w:eastAsia="Calibri" w:hAnsi="Calibri" w:cs="Times New Roman" w:hint="eastAsia"/>
          <w:noProof/>
          <w:lang w:val="fr" w:bidi="ar"/>
        </w:rPr>
        <w:drawing>
          <wp:inline distT="0" distB="0" distL="114300" distR="114300" wp14:anchorId="42BAF897" wp14:editId="19DF7F98">
            <wp:extent cx="2562225" cy="180975"/>
            <wp:effectExtent l="0" t="0" r="9525" b="7620"/>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2562225" cy="180975"/>
                    </a:xfrm>
                    <a:prstGeom prst="rect">
                      <a:avLst/>
                    </a:prstGeom>
                    <a:noFill/>
                    <a:ln>
                      <a:noFill/>
                    </a:ln>
                  </pic:spPr>
                </pic:pic>
              </a:graphicData>
            </a:graphic>
          </wp:inline>
        </w:drawing>
      </w:r>
    </w:p>
    <w:p w14:paraId="75D5D8E9" w14:textId="77777777" w:rsidR="00E052FE" w:rsidRDefault="005A1036" w:rsidP="00C94091">
      <w:pPr>
        <w:spacing w:after="0" w:line="240" w:lineRule="auto"/>
        <w:jc w:val="both"/>
        <w:rPr>
          <w:rFonts w:ascii="Calibri" w:eastAsia="Calibri" w:hAnsi="Calibri" w:cs="Times New Roman"/>
          <w:lang w:val="fr" w:bidi="ar"/>
        </w:rPr>
      </w:pPr>
      <w:r>
        <w:rPr>
          <w:rFonts w:ascii="Calibri" w:eastAsia="Calibri" w:hAnsi="Calibri" w:cs="Times New Roman" w:hint="eastAsia"/>
          <w:noProof/>
          <w:lang w:val="fr" w:bidi="ar"/>
        </w:rPr>
        <w:drawing>
          <wp:inline distT="0" distB="0" distL="114300" distR="114300" wp14:anchorId="2E2EA052" wp14:editId="4DC922CF">
            <wp:extent cx="1362075" cy="180975"/>
            <wp:effectExtent l="0" t="0" r="9525" b="762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362075" cy="180975"/>
                    </a:xfrm>
                    <a:prstGeom prst="rect">
                      <a:avLst/>
                    </a:prstGeom>
                    <a:noFill/>
                    <a:ln>
                      <a:noFill/>
                    </a:ln>
                  </pic:spPr>
                </pic:pic>
              </a:graphicData>
            </a:graphic>
          </wp:inline>
        </w:drawing>
      </w:r>
    </w:p>
    <w:p w14:paraId="193F4D4E" w14:textId="77777777" w:rsidR="00E052FE" w:rsidRDefault="005A1036" w:rsidP="00C94091">
      <w:pPr>
        <w:spacing w:after="0" w:line="240" w:lineRule="auto"/>
        <w:jc w:val="both"/>
        <w:rPr>
          <w:rFonts w:ascii="Arial" w:hAnsi="Arial" w:cs="Arial"/>
          <w:sz w:val="20"/>
          <w:szCs w:val="20"/>
          <w:lang w:val="en"/>
        </w:rPr>
      </w:pPr>
      <w:r>
        <w:rPr>
          <w:rFonts w:ascii="Arial" w:hAnsi="Arial" w:cs="Arial"/>
          <w:sz w:val="20"/>
          <w:szCs w:val="20"/>
          <w:lang w:val="en"/>
        </w:rPr>
        <w:t>where kB is the Boltzmann constant (1.3806 × 10</w:t>
      </w:r>
      <w:r>
        <w:rPr>
          <w:rFonts w:ascii="Cambria Math" w:hAnsi="Cambria Math" w:cs="Cambria Math"/>
          <w:sz w:val="20"/>
          <w:szCs w:val="20"/>
          <w:lang w:val="en"/>
        </w:rPr>
        <w:t>⁻</w:t>
      </w:r>
      <w:r>
        <w:rPr>
          <w:rFonts w:ascii="Arial" w:hAnsi="Arial" w:cs="Arial"/>
          <w:sz w:val="20"/>
          <w:szCs w:val="20"/>
          <w:lang w:val="en"/>
        </w:rPr>
        <w:t>²³ J·K</w:t>
      </w:r>
      <w:r>
        <w:rPr>
          <w:rFonts w:ascii="Cambria Math" w:hAnsi="Cambria Math" w:cs="Cambria Math"/>
          <w:sz w:val="20"/>
          <w:szCs w:val="20"/>
          <w:lang w:val="en"/>
        </w:rPr>
        <w:t>⁻</w:t>
      </w:r>
      <w:r>
        <w:rPr>
          <w:rFonts w:ascii="Arial" w:hAnsi="Arial" w:cs="Arial"/>
          <w:sz w:val="20"/>
          <w:szCs w:val="20"/>
          <w:lang w:val="en"/>
        </w:rPr>
        <w:t>¹) and h is the Planck constant (6.626 × 10</w:t>
      </w:r>
      <w:r>
        <w:rPr>
          <w:rFonts w:ascii="Cambria Math" w:hAnsi="Cambria Math" w:cs="Cambria Math"/>
          <w:sz w:val="20"/>
          <w:szCs w:val="20"/>
          <w:lang w:val="en"/>
        </w:rPr>
        <w:t>⁻</w:t>
      </w:r>
      <w:r>
        <w:rPr>
          <w:rFonts w:ascii="Arial" w:hAnsi="Arial" w:cs="Arial"/>
          <w:sz w:val="20"/>
          <w:szCs w:val="20"/>
          <w:lang w:val="en"/>
        </w:rPr>
        <w:t>³⁴ J·s).</w:t>
      </w:r>
    </w:p>
    <w:p w14:paraId="3D93D918" w14:textId="77777777" w:rsidR="00E052FE" w:rsidRDefault="00E052FE">
      <w:pPr>
        <w:spacing w:after="0" w:line="240" w:lineRule="auto"/>
        <w:jc w:val="both"/>
        <w:rPr>
          <w:rFonts w:ascii="Arial" w:hAnsi="Arial" w:cs="Arial"/>
          <w:sz w:val="20"/>
          <w:szCs w:val="20"/>
        </w:rPr>
      </w:pPr>
    </w:p>
    <w:p w14:paraId="7F6865A7" w14:textId="77777777" w:rsidR="00E052FE" w:rsidRDefault="005A1036">
      <w:pPr>
        <w:spacing w:after="0" w:line="240" w:lineRule="auto"/>
        <w:jc w:val="right"/>
        <w:rPr>
          <w:rFonts w:ascii="Arial" w:hAnsi="Arial" w:cs="Arial"/>
          <w:b/>
          <w:bCs/>
        </w:rPr>
      </w:pPr>
      <w:r>
        <w:rPr>
          <w:rFonts w:ascii="Arial" w:hAnsi="Arial" w:cs="Arial"/>
          <w:b/>
          <w:bCs/>
        </w:rPr>
        <w:t>2.2.8 Statistical analyses</w:t>
      </w:r>
    </w:p>
    <w:p w14:paraId="5A46104A" w14:textId="77777777" w:rsidR="00E052FE" w:rsidRDefault="00E052FE">
      <w:pPr>
        <w:spacing w:after="0" w:line="240" w:lineRule="auto"/>
        <w:jc w:val="both"/>
        <w:rPr>
          <w:rFonts w:ascii="Arial" w:hAnsi="Arial" w:cs="Arial"/>
          <w:b/>
          <w:bCs/>
        </w:rPr>
      </w:pPr>
    </w:p>
    <w:p w14:paraId="65C01157" w14:textId="77777777" w:rsidR="00E052FE" w:rsidRDefault="005A1036">
      <w:pPr>
        <w:spacing w:after="0" w:line="240" w:lineRule="auto"/>
        <w:jc w:val="both"/>
        <w:rPr>
          <w:rFonts w:ascii="Arial" w:hAnsi="Arial" w:cs="Arial"/>
          <w:sz w:val="20"/>
          <w:szCs w:val="20"/>
          <w:lang w:val="en"/>
        </w:rPr>
      </w:pPr>
      <w:r>
        <w:rPr>
          <w:rFonts w:ascii="Arial" w:hAnsi="Arial" w:cs="Arial"/>
          <w:sz w:val="20"/>
          <w:szCs w:val="20"/>
          <w:lang w:val="en"/>
        </w:rPr>
        <w:t xml:space="preserve">All experiments were performed </w:t>
      </w:r>
      <w:r>
        <w:rPr>
          <w:rFonts w:ascii="Arial" w:hAnsi="Arial" w:cs="Arial"/>
          <w:sz w:val="20"/>
          <w:szCs w:val="20"/>
          <w:lang w:val="en"/>
        </w:rPr>
        <w:t>in triplicate, and results are expressed as mean ± standard deviation. Statistical analyses were performed using SPSS 10.1. Differences between the means of the parameters for the latent and activated forms of PPO were tested by one-way analysis of varianc</w:t>
      </w:r>
      <w:r>
        <w:rPr>
          <w:rFonts w:ascii="Arial" w:hAnsi="Arial" w:cs="Arial"/>
          <w:sz w:val="20"/>
          <w:szCs w:val="20"/>
          <w:lang w:val="en"/>
        </w:rPr>
        <w:t>e (ANOVA), followed by multiple comparisons tests (Student's Fischer test, Duncan's test), and correlation analysis for comparing means. A significance level of p &lt; 0.05 was used.</w:t>
      </w:r>
    </w:p>
    <w:p w14:paraId="02557569" w14:textId="77777777" w:rsidR="00E052FE" w:rsidRDefault="005A1036">
      <w:pPr>
        <w:pStyle w:val="Heading4"/>
        <w:tabs>
          <w:tab w:val="left" w:pos="1054"/>
        </w:tabs>
        <w:spacing w:before="173" w:after="0" w:line="240" w:lineRule="auto"/>
        <w:jc w:val="right"/>
        <w:rPr>
          <w:rFonts w:ascii="Arial" w:eastAsiaTheme="minorHAnsi" w:hAnsi="Arial" w:cs="Arial"/>
          <w:b/>
          <w:bCs/>
          <w:i w:val="0"/>
          <w:iCs w:val="0"/>
          <w:color w:val="auto"/>
        </w:rPr>
      </w:pPr>
      <w:r>
        <w:rPr>
          <w:rFonts w:ascii="Arial" w:eastAsiaTheme="minorHAnsi" w:hAnsi="Arial" w:cs="Arial"/>
          <w:b/>
          <w:bCs/>
          <w:i w:val="0"/>
          <w:iCs w:val="0"/>
          <w:color w:val="auto"/>
        </w:rPr>
        <w:t>2.2.9 Protein Estimation</w:t>
      </w:r>
    </w:p>
    <w:p w14:paraId="4F7BCA28" w14:textId="77777777" w:rsidR="00E052FE" w:rsidRDefault="005A1036">
      <w:pPr>
        <w:pStyle w:val="Heading5"/>
        <w:spacing w:before="207"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The protein content of the enzyme solutions was det</w:t>
      </w:r>
      <w:r>
        <w:rPr>
          <w:rFonts w:ascii="Arial" w:eastAsiaTheme="minorHAnsi" w:hAnsi="Arial" w:cs="Arial"/>
          <w:color w:val="auto"/>
          <w:sz w:val="20"/>
          <w:szCs w:val="20"/>
          <w:lang w:val="en"/>
        </w:rPr>
        <w:t xml:space="preserve">ermined according to the method of </w:t>
      </w:r>
      <w:r w:rsidRPr="00093734">
        <w:rPr>
          <w:rFonts w:ascii="Arial" w:eastAsiaTheme="minorHAnsi" w:hAnsi="Arial" w:cs="Arial"/>
          <w:b/>
          <w:bCs/>
          <w:color w:val="auto"/>
          <w:sz w:val="20"/>
          <w:szCs w:val="20"/>
          <w:lang w:val="en"/>
        </w:rPr>
        <w:t>Lowry et al. (1951</w:t>
      </w:r>
      <w:r>
        <w:rPr>
          <w:rFonts w:ascii="Arial" w:eastAsiaTheme="minorHAnsi" w:hAnsi="Arial" w:cs="Arial"/>
          <w:color w:val="auto"/>
          <w:sz w:val="20"/>
          <w:szCs w:val="20"/>
          <w:lang w:val="en"/>
        </w:rPr>
        <w:t xml:space="preserve">). </w:t>
      </w:r>
    </w:p>
    <w:p w14:paraId="3C815748" w14:textId="77777777" w:rsidR="00E052FE" w:rsidRDefault="00E052FE">
      <w:pPr>
        <w:pStyle w:val="Heading5"/>
        <w:spacing w:before="0" w:after="0" w:line="240" w:lineRule="auto"/>
        <w:jc w:val="both"/>
        <w:rPr>
          <w:rFonts w:ascii="Arial" w:eastAsiaTheme="minorHAnsi" w:hAnsi="Arial" w:cs="Arial"/>
          <w:b/>
          <w:bCs/>
          <w:color w:val="auto"/>
        </w:rPr>
      </w:pPr>
    </w:p>
    <w:p w14:paraId="5DA7BB43" w14:textId="77777777" w:rsidR="00E052FE" w:rsidRDefault="005A1036">
      <w:pPr>
        <w:pStyle w:val="Heading5"/>
        <w:spacing w:before="0" w:after="0" w:line="240" w:lineRule="auto"/>
        <w:jc w:val="right"/>
        <w:rPr>
          <w:rFonts w:ascii="Arial" w:eastAsiaTheme="minorHAnsi" w:hAnsi="Arial" w:cs="Arial"/>
          <w:color w:val="auto"/>
          <w:lang w:val="en"/>
        </w:rPr>
      </w:pPr>
      <w:r>
        <w:rPr>
          <w:rFonts w:ascii="Arial" w:eastAsiaTheme="minorHAnsi" w:hAnsi="Arial" w:cs="Arial"/>
          <w:b/>
          <w:bCs/>
          <w:color w:val="auto"/>
        </w:rPr>
        <w:t>2.2.9.1 Reagents Used</w:t>
      </w:r>
      <w:r>
        <w:rPr>
          <w:rFonts w:ascii="Arial" w:eastAsiaTheme="minorHAnsi" w:hAnsi="Arial" w:cs="Arial"/>
          <w:color w:val="auto"/>
          <w:lang w:val="en"/>
        </w:rPr>
        <w:t xml:space="preserve"> </w:t>
      </w:r>
    </w:p>
    <w:p w14:paraId="38F3A7C8" w14:textId="77777777" w:rsidR="00E052FE" w:rsidRDefault="005A1036">
      <w:pPr>
        <w:pStyle w:val="Heading5"/>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 xml:space="preserve">The reagents used for protein assay were as follows: </w:t>
      </w:r>
    </w:p>
    <w:p w14:paraId="75CB93C0" w14:textId="77777777" w:rsidR="00E052FE" w:rsidRDefault="005A1036">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t xml:space="preserve">Solution A: Folin-Ciocalteus reagent diluted 50/50 in 0.1N sodium hydroxide; </w:t>
      </w:r>
    </w:p>
    <w:p w14:paraId="7B7391C7" w14:textId="77777777" w:rsidR="00E052FE" w:rsidRDefault="005A1036">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r>
      <w:r>
        <w:rPr>
          <w:rFonts w:ascii="Arial" w:eastAsiaTheme="minorHAnsi" w:hAnsi="Arial" w:cs="Arial"/>
          <w:color w:val="auto"/>
          <w:sz w:val="20"/>
          <w:szCs w:val="20"/>
          <w:lang w:val="en"/>
        </w:rPr>
        <w:t xml:space="preserve">Solution B: sodium carbonate (2% w/v) prepared in 0.1N sodium hydroxide; </w:t>
      </w:r>
    </w:p>
    <w:p w14:paraId="6EADE9DE" w14:textId="77777777" w:rsidR="00E052FE" w:rsidRDefault="005A1036">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t xml:space="preserve">Solution C1: copper sulfate solution (0.5% w/v) prepared in distilled water; </w:t>
      </w:r>
    </w:p>
    <w:p w14:paraId="19FD7B92" w14:textId="77777777" w:rsidR="00E052FE" w:rsidRDefault="005A1036">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t xml:space="preserve">Solution C2: sodium potassium tartrate (1% w/v) prepared in distilled water; </w:t>
      </w:r>
    </w:p>
    <w:p w14:paraId="09F54ED0" w14:textId="77777777" w:rsidR="00E052FE" w:rsidRDefault="005A1036">
      <w:pPr>
        <w:pStyle w:val="Heading5"/>
        <w:tabs>
          <w:tab w:val="left" w:pos="567"/>
        </w:tabs>
        <w:spacing w:before="0"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ab/>
        <w:t>Solution D: prepared ex</w:t>
      </w:r>
      <w:r>
        <w:rPr>
          <w:rFonts w:ascii="Arial" w:eastAsiaTheme="minorHAnsi" w:hAnsi="Arial" w:cs="Arial"/>
          <w:color w:val="auto"/>
          <w:sz w:val="20"/>
          <w:szCs w:val="20"/>
          <w:lang w:val="en"/>
        </w:rPr>
        <w:t xml:space="preserve">temporaneously from 100 µL of solution C1, 100 µL of solution C2, and 10 mL of solution </w:t>
      </w:r>
    </w:p>
    <w:p w14:paraId="74EFED52" w14:textId="77777777" w:rsidR="00E052FE" w:rsidRDefault="00E052FE">
      <w:pPr>
        <w:spacing w:after="0" w:line="240" w:lineRule="auto"/>
        <w:jc w:val="both"/>
        <w:rPr>
          <w:rFonts w:ascii="Arial" w:hAnsi="Arial" w:cs="Arial"/>
          <w:sz w:val="20"/>
          <w:szCs w:val="20"/>
          <w:lang w:val="en"/>
        </w:rPr>
      </w:pPr>
    </w:p>
    <w:p w14:paraId="52392C89" w14:textId="77777777" w:rsidR="00E052FE" w:rsidRDefault="005A1036">
      <w:pPr>
        <w:pStyle w:val="Heading5"/>
        <w:spacing w:before="207" w:after="0" w:line="240" w:lineRule="auto"/>
        <w:jc w:val="right"/>
        <w:rPr>
          <w:rFonts w:ascii="Arial" w:eastAsiaTheme="minorHAnsi" w:hAnsi="Arial" w:cs="Arial"/>
          <w:b/>
          <w:bCs/>
          <w:color w:val="auto"/>
        </w:rPr>
      </w:pPr>
      <w:r>
        <w:rPr>
          <w:rFonts w:ascii="Arial" w:eastAsiaTheme="minorHAnsi" w:hAnsi="Arial" w:cs="Arial"/>
          <w:b/>
          <w:bCs/>
          <w:color w:val="auto"/>
        </w:rPr>
        <w:t xml:space="preserve">2.2.9.2 Assay </w:t>
      </w:r>
    </w:p>
    <w:p w14:paraId="2E414BF6" w14:textId="77777777" w:rsidR="00E052FE" w:rsidRDefault="005A1036">
      <w:pPr>
        <w:pStyle w:val="Heading5"/>
        <w:spacing w:before="207" w:after="0" w:line="240" w:lineRule="auto"/>
        <w:jc w:val="both"/>
        <w:rPr>
          <w:rFonts w:ascii="Arial" w:eastAsiaTheme="minorHAnsi" w:hAnsi="Arial" w:cs="Arial"/>
          <w:color w:val="auto"/>
          <w:sz w:val="20"/>
          <w:szCs w:val="20"/>
          <w:lang w:val="en"/>
        </w:rPr>
      </w:pPr>
      <w:r>
        <w:rPr>
          <w:rFonts w:ascii="Arial" w:eastAsiaTheme="minorHAnsi" w:hAnsi="Arial" w:cs="Arial"/>
          <w:color w:val="auto"/>
          <w:sz w:val="20"/>
          <w:szCs w:val="20"/>
          <w:lang w:val="en"/>
        </w:rPr>
        <w:t>Two hundred (200) µL of the protein preparation were diluted in 2 mL of D. Then, two hundred (200) µL of solution A were added to this mixture. The rea</w:t>
      </w:r>
      <w:r>
        <w:rPr>
          <w:rFonts w:ascii="Arial" w:eastAsiaTheme="minorHAnsi" w:hAnsi="Arial" w:cs="Arial"/>
          <w:color w:val="auto"/>
          <w:sz w:val="20"/>
          <w:szCs w:val="20"/>
          <w:lang w:val="en"/>
        </w:rPr>
        <w:t>ction mixture was stirred and allowed to stand for 30 min in the dark to allow the color to develop. The optical density of the assay was measured at 660 nm against a control containing no protein solution. The obtained optical density was then converted t</w:t>
      </w:r>
      <w:r>
        <w:rPr>
          <w:rFonts w:ascii="Arial" w:eastAsiaTheme="minorHAnsi" w:hAnsi="Arial" w:cs="Arial"/>
          <w:color w:val="auto"/>
          <w:sz w:val="20"/>
          <w:szCs w:val="20"/>
          <w:lang w:val="en"/>
        </w:rPr>
        <w:t>o mg of protein using a calibration curve prepared under the same conditions. Bovine serum albumin was used as the reference protein.</w:t>
      </w:r>
    </w:p>
    <w:p w14:paraId="773204E4" w14:textId="77777777" w:rsidR="00E052FE" w:rsidRDefault="00E052FE">
      <w:pPr>
        <w:spacing w:after="0" w:line="240" w:lineRule="auto"/>
        <w:jc w:val="both"/>
        <w:rPr>
          <w:rFonts w:ascii="Arial" w:hAnsi="Arial" w:cs="Arial"/>
          <w:sz w:val="20"/>
          <w:szCs w:val="20"/>
          <w:lang w:val="en"/>
        </w:rPr>
      </w:pPr>
    </w:p>
    <w:p w14:paraId="054B1818" w14:textId="77777777" w:rsidR="00E052FE" w:rsidRDefault="005A1036">
      <w:pPr>
        <w:pStyle w:val="Heading5"/>
        <w:spacing w:before="207" w:after="0" w:line="240" w:lineRule="auto"/>
        <w:jc w:val="right"/>
        <w:rPr>
          <w:rFonts w:ascii="Arial" w:eastAsiaTheme="minorHAnsi" w:hAnsi="Arial" w:cs="Arial"/>
          <w:b/>
          <w:bCs/>
          <w:color w:val="auto"/>
        </w:rPr>
      </w:pPr>
      <w:r>
        <w:rPr>
          <w:rFonts w:ascii="Arial" w:eastAsiaTheme="minorHAnsi" w:hAnsi="Arial" w:cs="Arial"/>
          <w:b/>
          <w:bCs/>
          <w:color w:val="auto"/>
        </w:rPr>
        <w:lastRenderedPageBreak/>
        <w:t xml:space="preserve">3. RESULTS </w:t>
      </w:r>
    </w:p>
    <w:p w14:paraId="1B032C7F" w14:textId="77777777" w:rsidR="00E052FE" w:rsidRDefault="005A1036">
      <w:pPr>
        <w:pStyle w:val="Heading5"/>
        <w:spacing w:before="207" w:after="0" w:line="240" w:lineRule="auto"/>
        <w:jc w:val="right"/>
        <w:rPr>
          <w:rFonts w:ascii="Arial" w:eastAsiaTheme="minorHAnsi" w:hAnsi="Arial" w:cs="Arial"/>
          <w:b/>
          <w:bCs/>
          <w:color w:val="auto"/>
        </w:rPr>
      </w:pPr>
      <w:r>
        <w:rPr>
          <w:rFonts w:ascii="Arial" w:eastAsiaTheme="minorHAnsi" w:hAnsi="Arial" w:cs="Arial"/>
          <w:b/>
          <w:bCs/>
          <w:color w:val="auto"/>
        </w:rPr>
        <w:t xml:space="preserve"> 3-1- Maximum velocity and Michaelis-Menten constant</w:t>
      </w:r>
    </w:p>
    <w:p w14:paraId="5FC68564" w14:textId="754DD4AA" w:rsidR="00E052FE" w:rsidRDefault="005A1036">
      <w:pPr>
        <w:pStyle w:val="Heading5"/>
        <w:spacing w:before="207" w:after="0" w:line="240" w:lineRule="auto"/>
        <w:jc w:val="both"/>
        <w:rPr>
          <w:rFonts w:ascii="Arial" w:eastAsiaTheme="minorHAnsi" w:hAnsi="Arial" w:cs="Arial"/>
          <w:color w:val="auto"/>
          <w:sz w:val="20"/>
          <w:szCs w:val="20"/>
        </w:rPr>
      </w:pPr>
      <w:r>
        <w:rPr>
          <w:rFonts w:ascii="Arial" w:eastAsiaTheme="minorHAnsi" w:hAnsi="Arial" w:cs="Arial"/>
          <w:color w:val="auto"/>
          <w:sz w:val="20"/>
          <w:szCs w:val="20"/>
        </w:rPr>
        <w:t>Graphical representations of the inverse velocity as a f</w:t>
      </w:r>
      <w:r>
        <w:rPr>
          <w:rFonts w:ascii="Arial" w:eastAsiaTheme="minorHAnsi" w:hAnsi="Arial" w:cs="Arial"/>
          <w:color w:val="auto"/>
          <w:sz w:val="20"/>
          <w:szCs w:val="20"/>
        </w:rPr>
        <w:t xml:space="preserve">unction of the inverse substrate concentration yielded linear regression lines, thus reflecting Michaelis-Menten kinetics. For the same substrate, the maximum velocity (Vmax) values of the latent form differ from those of the activated form. As for the KM </w:t>
      </w:r>
      <w:r>
        <w:rPr>
          <w:rFonts w:ascii="Arial" w:eastAsiaTheme="minorHAnsi" w:hAnsi="Arial" w:cs="Arial"/>
          <w:color w:val="auto"/>
          <w:sz w:val="20"/>
          <w:szCs w:val="20"/>
        </w:rPr>
        <w:t>values, they remain approximately equal for both forms regardless of the substrate used. The latent and activated forms always exhibit a high kinetic potential for dopamine (Table 1).</w:t>
      </w:r>
    </w:p>
    <w:p w14:paraId="007C413E" w14:textId="77777777" w:rsidR="00E052FE" w:rsidRDefault="00E052FE">
      <w:pPr>
        <w:spacing w:after="0" w:line="240" w:lineRule="auto"/>
        <w:jc w:val="both"/>
        <w:rPr>
          <w:rFonts w:ascii="Arial" w:hAnsi="Arial" w:cs="Arial"/>
          <w:sz w:val="20"/>
          <w:szCs w:val="20"/>
        </w:rPr>
      </w:pPr>
    </w:p>
    <w:p w14:paraId="0E2E7A3B" w14:textId="77777777" w:rsidR="00E052FE" w:rsidRDefault="005A1036">
      <w:pPr>
        <w:pStyle w:val="Heading5"/>
        <w:spacing w:before="0" w:after="0" w:line="240" w:lineRule="auto"/>
        <w:ind w:right="-1"/>
        <w:jc w:val="center"/>
        <w:rPr>
          <w:rFonts w:ascii="Arial" w:eastAsiaTheme="minorHAnsi" w:hAnsi="Arial" w:cs="Arial"/>
          <w:b/>
          <w:bCs/>
          <w:color w:val="auto"/>
          <w:sz w:val="20"/>
          <w:szCs w:val="20"/>
        </w:rPr>
      </w:pPr>
      <w:r>
        <w:rPr>
          <w:rFonts w:ascii="Arial" w:eastAsiaTheme="minorHAnsi" w:hAnsi="Arial" w:cs="Arial"/>
          <w:b/>
          <w:bCs/>
          <w:color w:val="auto"/>
          <w:sz w:val="20"/>
          <w:szCs w:val="20"/>
        </w:rPr>
        <w:t xml:space="preserve">Table </w:t>
      </w:r>
      <w:proofErr w:type="gramStart"/>
      <w:r>
        <w:rPr>
          <w:rFonts w:ascii="Arial" w:eastAsiaTheme="minorHAnsi" w:hAnsi="Arial" w:cs="Arial"/>
          <w:b/>
          <w:bCs/>
          <w:color w:val="auto"/>
          <w:sz w:val="20"/>
          <w:szCs w:val="20"/>
        </w:rPr>
        <w:t>1:</w:t>
      </w:r>
      <w:proofErr w:type="gramEnd"/>
      <w:r>
        <w:rPr>
          <w:rFonts w:ascii="Arial" w:eastAsiaTheme="minorHAnsi" w:hAnsi="Arial" w:cs="Arial"/>
          <w:b/>
          <w:bCs/>
          <w:color w:val="auto"/>
          <w:sz w:val="20"/>
          <w:szCs w:val="20"/>
        </w:rPr>
        <w:t xml:space="preserve"> Substrate specificity and kinetic parameters of polyphenoloxid</w:t>
      </w:r>
      <w:r>
        <w:rPr>
          <w:rFonts w:ascii="Arial" w:eastAsiaTheme="minorHAnsi" w:hAnsi="Arial" w:cs="Arial"/>
          <w:b/>
          <w:bCs/>
          <w:color w:val="auto"/>
          <w:sz w:val="20"/>
          <w:szCs w:val="20"/>
        </w:rPr>
        <w:t>ase from yam tuber (</w:t>
      </w:r>
      <w:r>
        <w:rPr>
          <w:rFonts w:ascii="Arial" w:eastAsiaTheme="minorHAnsi" w:hAnsi="Arial" w:cs="Arial"/>
          <w:b/>
          <w:bCs/>
          <w:i/>
          <w:iCs/>
          <w:color w:val="auto"/>
          <w:sz w:val="20"/>
          <w:szCs w:val="20"/>
        </w:rPr>
        <w:t>Dioscorea cayenensis-rotundata</w:t>
      </w:r>
      <w:r>
        <w:rPr>
          <w:rFonts w:ascii="Arial" w:eastAsiaTheme="minorHAnsi" w:hAnsi="Arial" w:cs="Arial"/>
          <w:b/>
          <w:bCs/>
          <w:color w:val="auto"/>
          <w:sz w:val="20"/>
          <w:szCs w:val="20"/>
        </w:rPr>
        <w:t>) cultivar “zrèzrou”</w:t>
      </w:r>
    </w:p>
    <w:p w14:paraId="3BD46C07" w14:textId="77777777" w:rsidR="00E052FE" w:rsidRDefault="00E052FE">
      <w:pPr>
        <w:spacing w:after="0"/>
        <w:rPr>
          <w:sz w:val="20"/>
          <w:szCs w:val="20"/>
        </w:rPr>
      </w:pPr>
    </w:p>
    <w:tbl>
      <w:tblPr>
        <w:tblStyle w:val="TableNormal1"/>
        <w:tblW w:w="11057" w:type="dxa"/>
        <w:jc w:val="center"/>
        <w:tblBorders>
          <w:top w:val="single" w:sz="4" w:space="0" w:color="auto"/>
          <w:bottom w:val="single" w:sz="4" w:space="0" w:color="auto"/>
        </w:tblBorders>
        <w:tblLayout w:type="fixed"/>
        <w:tblLook w:val="04A0" w:firstRow="1" w:lastRow="0" w:firstColumn="1" w:lastColumn="0" w:noHBand="0" w:noVBand="1"/>
      </w:tblPr>
      <w:tblGrid>
        <w:gridCol w:w="1413"/>
        <w:gridCol w:w="1706"/>
        <w:gridCol w:w="1418"/>
        <w:gridCol w:w="1559"/>
        <w:gridCol w:w="1843"/>
        <w:gridCol w:w="1559"/>
        <w:gridCol w:w="1559"/>
      </w:tblGrid>
      <w:tr w:rsidR="00E052FE" w14:paraId="44BB2EAD" w14:textId="77777777">
        <w:trPr>
          <w:trHeight w:val="374"/>
          <w:jc w:val="center"/>
        </w:trPr>
        <w:tc>
          <w:tcPr>
            <w:tcW w:w="1413" w:type="dxa"/>
            <w:vMerge w:val="restart"/>
            <w:tcBorders>
              <w:top w:val="single" w:sz="4" w:space="0" w:color="auto"/>
              <w:bottom w:val="nil"/>
            </w:tcBorders>
          </w:tcPr>
          <w:p w14:paraId="0DC570CB" w14:textId="77777777" w:rsidR="00E052FE" w:rsidRDefault="00E052FE">
            <w:pPr>
              <w:pStyle w:val="TableParagraph"/>
              <w:spacing w:before="0" w:beforeAutospacing="0" w:after="0" w:afterAutospacing="0"/>
              <w:ind w:left="107"/>
              <w:jc w:val="both"/>
              <w:rPr>
                <w:rFonts w:ascii="Arial" w:hAnsi="Arial" w:cs="Arial"/>
                <w:b/>
                <w:spacing w:val="-2"/>
                <w:sz w:val="20"/>
                <w:szCs w:val="20"/>
              </w:rPr>
            </w:pPr>
          </w:p>
          <w:p w14:paraId="7926F82F" w14:textId="77777777" w:rsidR="00E052FE" w:rsidRDefault="005A1036">
            <w:pPr>
              <w:pStyle w:val="TableParagraph"/>
              <w:spacing w:before="0" w:beforeAutospacing="0" w:after="0" w:afterAutospacing="0"/>
              <w:ind w:left="107"/>
              <w:jc w:val="both"/>
              <w:rPr>
                <w:rFonts w:ascii="Arial" w:hAnsi="Arial" w:cs="Arial"/>
                <w:sz w:val="20"/>
                <w:szCs w:val="20"/>
              </w:rPr>
            </w:pPr>
            <w:r>
              <w:rPr>
                <w:rFonts w:ascii="Arial" w:hAnsi="Arial" w:cs="Arial"/>
                <w:b/>
                <w:spacing w:val="-2"/>
                <w:sz w:val="20"/>
                <w:szCs w:val="20"/>
              </w:rPr>
              <w:t>Substrate</w:t>
            </w:r>
          </w:p>
        </w:tc>
        <w:tc>
          <w:tcPr>
            <w:tcW w:w="3124" w:type="dxa"/>
            <w:gridSpan w:val="2"/>
            <w:tcBorders>
              <w:top w:val="single" w:sz="4" w:space="0" w:color="auto"/>
              <w:bottom w:val="nil"/>
            </w:tcBorders>
          </w:tcPr>
          <w:p w14:paraId="0B208B04" w14:textId="77777777" w:rsidR="00E052FE" w:rsidRDefault="005A1036">
            <w:pPr>
              <w:pStyle w:val="TableParagraph"/>
              <w:spacing w:before="0" w:beforeAutospacing="0" w:after="0" w:afterAutospacing="0"/>
              <w:ind w:right="122"/>
              <w:rPr>
                <w:rFonts w:ascii="Arial" w:hAnsi="Arial" w:cs="Arial"/>
                <w:b/>
                <w:sz w:val="20"/>
                <w:szCs w:val="20"/>
              </w:rPr>
            </w:pPr>
            <w:r>
              <w:rPr>
                <w:rFonts w:ascii="Arial" w:hAnsi="Arial" w:cs="Arial"/>
                <w:b/>
                <w:spacing w:val="-2"/>
                <w:sz w:val="20"/>
                <w:szCs w:val="20"/>
              </w:rPr>
              <w:t xml:space="preserve">                K</w:t>
            </w:r>
            <w:r>
              <w:rPr>
                <w:rFonts w:ascii="Arial" w:hAnsi="Arial" w:cs="Arial"/>
                <w:b/>
                <w:spacing w:val="-2"/>
                <w:sz w:val="20"/>
                <w:szCs w:val="20"/>
                <w:vertAlign w:val="subscript"/>
              </w:rPr>
              <w:t>M</w:t>
            </w:r>
            <w:r>
              <w:rPr>
                <w:rFonts w:ascii="Arial" w:hAnsi="Arial" w:cs="Arial"/>
                <w:b/>
                <w:spacing w:val="-17"/>
                <w:sz w:val="20"/>
                <w:szCs w:val="20"/>
              </w:rPr>
              <w:t xml:space="preserve"> </w:t>
            </w:r>
            <w:r>
              <w:rPr>
                <w:rFonts w:ascii="Arial" w:hAnsi="Arial" w:cs="Arial"/>
                <w:b/>
                <w:spacing w:val="-4"/>
                <w:sz w:val="20"/>
                <w:szCs w:val="20"/>
              </w:rPr>
              <w:t>(mM)</w:t>
            </w:r>
          </w:p>
        </w:tc>
        <w:tc>
          <w:tcPr>
            <w:tcW w:w="3402" w:type="dxa"/>
            <w:gridSpan w:val="2"/>
            <w:tcBorders>
              <w:top w:val="single" w:sz="4" w:space="0" w:color="auto"/>
              <w:bottom w:val="nil"/>
            </w:tcBorders>
          </w:tcPr>
          <w:p w14:paraId="101A4A34" w14:textId="77777777" w:rsidR="00E052FE" w:rsidRDefault="005A1036">
            <w:pPr>
              <w:pStyle w:val="TableParagraph"/>
              <w:spacing w:before="0" w:beforeAutospacing="0" w:after="0" w:afterAutospacing="0"/>
              <w:ind w:left="59"/>
              <w:rPr>
                <w:rFonts w:ascii="Arial" w:hAnsi="Arial" w:cs="Arial"/>
                <w:b/>
                <w:sz w:val="20"/>
                <w:szCs w:val="20"/>
              </w:rPr>
            </w:pPr>
            <w:r>
              <w:rPr>
                <w:rFonts w:ascii="Arial" w:hAnsi="Arial" w:cs="Arial"/>
                <w:b/>
                <w:spacing w:val="-2"/>
                <w:sz w:val="20"/>
                <w:szCs w:val="20"/>
              </w:rPr>
              <w:t xml:space="preserve">             V</w:t>
            </w:r>
            <w:r>
              <w:rPr>
                <w:rFonts w:ascii="Arial" w:hAnsi="Arial" w:cs="Arial"/>
                <w:b/>
                <w:spacing w:val="-2"/>
                <w:sz w:val="20"/>
                <w:szCs w:val="20"/>
                <w:vertAlign w:val="subscript"/>
              </w:rPr>
              <w:t>max</w:t>
            </w:r>
            <w:r>
              <w:rPr>
                <w:rFonts w:ascii="Arial" w:hAnsi="Arial" w:cs="Arial"/>
                <w:b/>
                <w:spacing w:val="-15"/>
                <w:sz w:val="20"/>
                <w:szCs w:val="20"/>
              </w:rPr>
              <w:t xml:space="preserve"> </w:t>
            </w:r>
            <w:r>
              <w:rPr>
                <w:rFonts w:ascii="Arial" w:hAnsi="Arial" w:cs="Arial"/>
                <w:b/>
                <w:spacing w:val="-2"/>
                <w:sz w:val="20"/>
                <w:szCs w:val="20"/>
              </w:rPr>
              <w:t>(U/mg)</w:t>
            </w:r>
          </w:p>
        </w:tc>
        <w:tc>
          <w:tcPr>
            <w:tcW w:w="3118" w:type="dxa"/>
            <w:gridSpan w:val="2"/>
            <w:tcBorders>
              <w:top w:val="single" w:sz="4" w:space="0" w:color="auto"/>
              <w:bottom w:val="nil"/>
            </w:tcBorders>
          </w:tcPr>
          <w:p w14:paraId="40236951" w14:textId="77777777" w:rsidR="00E052FE" w:rsidRDefault="005A1036">
            <w:pPr>
              <w:pStyle w:val="TableParagraph"/>
              <w:spacing w:before="0" w:beforeAutospacing="0" w:after="0" w:afterAutospacing="0"/>
              <w:ind w:left="57" w:right="36"/>
              <w:rPr>
                <w:rFonts w:ascii="Arial" w:hAnsi="Arial" w:cs="Arial"/>
                <w:b/>
                <w:sz w:val="20"/>
                <w:szCs w:val="20"/>
              </w:rPr>
            </w:pPr>
            <w:r>
              <w:rPr>
                <w:rFonts w:ascii="Arial" w:hAnsi="Arial" w:cs="Arial"/>
                <w:b/>
                <w:spacing w:val="-2"/>
                <w:sz w:val="20"/>
                <w:szCs w:val="20"/>
              </w:rPr>
              <w:t xml:space="preserve">       V</w:t>
            </w:r>
            <w:r>
              <w:rPr>
                <w:rFonts w:ascii="Arial" w:hAnsi="Arial" w:cs="Arial"/>
                <w:b/>
                <w:spacing w:val="-2"/>
                <w:sz w:val="20"/>
                <w:szCs w:val="20"/>
                <w:vertAlign w:val="subscript"/>
              </w:rPr>
              <w:t>max</w:t>
            </w:r>
            <w:r>
              <w:rPr>
                <w:rFonts w:ascii="Arial" w:hAnsi="Arial" w:cs="Arial"/>
                <w:b/>
                <w:spacing w:val="-2"/>
                <w:sz w:val="20"/>
                <w:szCs w:val="20"/>
              </w:rPr>
              <w:t>/K</w:t>
            </w:r>
            <w:r>
              <w:rPr>
                <w:rFonts w:ascii="Arial" w:hAnsi="Arial" w:cs="Arial"/>
                <w:b/>
                <w:spacing w:val="-2"/>
                <w:sz w:val="20"/>
                <w:szCs w:val="20"/>
                <w:vertAlign w:val="subscript"/>
              </w:rPr>
              <w:t>M</w:t>
            </w:r>
            <w:r>
              <w:rPr>
                <w:rFonts w:ascii="Arial" w:hAnsi="Arial" w:cs="Arial"/>
                <w:b/>
                <w:spacing w:val="-9"/>
                <w:sz w:val="20"/>
                <w:szCs w:val="20"/>
              </w:rPr>
              <w:t xml:space="preserve"> </w:t>
            </w:r>
            <w:r>
              <w:rPr>
                <w:rFonts w:ascii="Arial" w:hAnsi="Arial" w:cs="Arial"/>
                <w:b/>
                <w:spacing w:val="-2"/>
                <w:sz w:val="20"/>
                <w:szCs w:val="20"/>
              </w:rPr>
              <w:t>(U/mM.mg)</w:t>
            </w:r>
          </w:p>
        </w:tc>
      </w:tr>
      <w:tr w:rsidR="00E052FE" w14:paraId="159B2031" w14:textId="77777777">
        <w:trPr>
          <w:trHeight w:val="291"/>
          <w:jc w:val="center"/>
        </w:trPr>
        <w:tc>
          <w:tcPr>
            <w:tcW w:w="1413" w:type="dxa"/>
            <w:vMerge/>
            <w:tcBorders>
              <w:top w:val="nil"/>
              <w:bottom w:val="single" w:sz="4" w:space="0" w:color="auto"/>
            </w:tcBorders>
          </w:tcPr>
          <w:p w14:paraId="6AA28957" w14:textId="77777777" w:rsidR="00E052FE" w:rsidRDefault="00E052FE">
            <w:pPr>
              <w:pStyle w:val="TableParagraph"/>
              <w:spacing w:before="0" w:beforeAutospacing="0" w:after="0" w:afterAutospacing="0"/>
              <w:ind w:left="107"/>
              <w:jc w:val="both"/>
              <w:rPr>
                <w:rFonts w:ascii="Arial" w:hAnsi="Arial" w:cs="Arial"/>
                <w:sz w:val="20"/>
                <w:szCs w:val="20"/>
              </w:rPr>
            </w:pPr>
          </w:p>
        </w:tc>
        <w:tc>
          <w:tcPr>
            <w:tcW w:w="1706" w:type="dxa"/>
            <w:tcBorders>
              <w:top w:val="nil"/>
              <w:bottom w:val="single" w:sz="4" w:space="0" w:color="auto"/>
            </w:tcBorders>
          </w:tcPr>
          <w:p w14:paraId="4D2262FA" w14:textId="77777777" w:rsidR="00E052FE" w:rsidRDefault="005A1036">
            <w:pPr>
              <w:pStyle w:val="TableParagraph"/>
              <w:spacing w:before="0" w:beforeAutospacing="0" w:after="0" w:afterAutospacing="0"/>
              <w:ind w:right="108"/>
              <w:jc w:val="both"/>
              <w:rPr>
                <w:rFonts w:ascii="Arial" w:hAnsi="Arial" w:cs="Arial"/>
                <w:b/>
                <w:sz w:val="20"/>
                <w:szCs w:val="20"/>
              </w:rPr>
            </w:pPr>
            <w:r>
              <w:rPr>
                <w:rFonts w:ascii="Arial" w:hAnsi="Arial" w:cs="Arial"/>
                <w:b/>
                <w:sz w:val="20"/>
                <w:szCs w:val="20"/>
              </w:rPr>
              <w:t xml:space="preserve">  latent</w:t>
            </w:r>
          </w:p>
        </w:tc>
        <w:tc>
          <w:tcPr>
            <w:tcW w:w="1418" w:type="dxa"/>
            <w:tcBorders>
              <w:top w:val="nil"/>
              <w:bottom w:val="single" w:sz="4" w:space="0" w:color="auto"/>
            </w:tcBorders>
          </w:tcPr>
          <w:p w14:paraId="1D128158" w14:textId="77777777" w:rsidR="00E052FE" w:rsidRDefault="005A1036">
            <w:pPr>
              <w:pStyle w:val="TableParagraph"/>
              <w:spacing w:before="0" w:beforeAutospacing="0" w:after="0" w:afterAutospacing="0"/>
              <w:ind w:right="122"/>
              <w:jc w:val="both"/>
              <w:rPr>
                <w:rFonts w:ascii="Arial" w:hAnsi="Arial" w:cs="Arial"/>
                <w:b/>
                <w:sz w:val="20"/>
                <w:szCs w:val="20"/>
              </w:rPr>
            </w:pPr>
            <w:r>
              <w:rPr>
                <w:rFonts w:ascii="Arial" w:hAnsi="Arial" w:cs="Arial"/>
                <w:b/>
                <w:sz w:val="20"/>
                <w:szCs w:val="20"/>
                <w:lang w:val="en"/>
              </w:rPr>
              <w:t>activated</w:t>
            </w:r>
          </w:p>
        </w:tc>
        <w:tc>
          <w:tcPr>
            <w:tcW w:w="1559" w:type="dxa"/>
            <w:tcBorders>
              <w:top w:val="nil"/>
              <w:bottom w:val="single" w:sz="4" w:space="0" w:color="auto"/>
            </w:tcBorders>
          </w:tcPr>
          <w:p w14:paraId="11F6CB6A" w14:textId="77777777" w:rsidR="00E052FE" w:rsidRDefault="005A1036">
            <w:pPr>
              <w:pStyle w:val="TableParagraph"/>
              <w:spacing w:before="0" w:beforeAutospacing="0" w:after="0" w:afterAutospacing="0"/>
              <w:jc w:val="both"/>
              <w:rPr>
                <w:rFonts w:ascii="Arial" w:hAnsi="Arial" w:cs="Arial"/>
                <w:b/>
                <w:sz w:val="20"/>
                <w:szCs w:val="20"/>
              </w:rPr>
            </w:pPr>
            <w:r>
              <w:rPr>
                <w:rFonts w:ascii="Arial" w:hAnsi="Arial" w:cs="Arial"/>
                <w:b/>
                <w:sz w:val="20"/>
                <w:szCs w:val="20"/>
              </w:rPr>
              <w:t xml:space="preserve">   latent</w:t>
            </w:r>
          </w:p>
        </w:tc>
        <w:tc>
          <w:tcPr>
            <w:tcW w:w="1843" w:type="dxa"/>
            <w:tcBorders>
              <w:top w:val="nil"/>
              <w:bottom w:val="single" w:sz="4" w:space="0" w:color="auto"/>
            </w:tcBorders>
          </w:tcPr>
          <w:p w14:paraId="02648150" w14:textId="77777777" w:rsidR="00E052FE" w:rsidRDefault="005A1036">
            <w:pPr>
              <w:pStyle w:val="TableParagraph"/>
              <w:spacing w:before="0" w:beforeAutospacing="0" w:after="0" w:afterAutospacing="0"/>
              <w:ind w:left="59"/>
              <w:jc w:val="both"/>
              <w:rPr>
                <w:rFonts w:ascii="Arial" w:hAnsi="Arial" w:cs="Arial"/>
                <w:b/>
                <w:sz w:val="20"/>
                <w:szCs w:val="20"/>
              </w:rPr>
            </w:pPr>
            <w:r>
              <w:rPr>
                <w:rFonts w:ascii="Arial" w:hAnsi="Arial" w:cs="Arial"/>
                <w:b/>
                <w:sz w:val="20"/>
                <w:szCs w:val="20"/>
                <w:lang w:val="en"/>
              </w:rPr>
              <w:t xml:space="preserve">   activated</w:t>
            </w:r>
          </w:p>
        </w:tc>
        <w:tc>
          <w:tcPr>
            <w:tcW w:w="1559" w:type="dxa"/>
            <w:tcBorders>
              <w:top w:val="nil"/>
              <w:bottom w:val="single" w:sz="4" w:space="0" w:color="auto"/>
            </w:tcBorders>
          </w:tcPr>
          <w:p w14:paraId="124007F8" w14:textId="77777777" w:rsidR="00E052FE" w:rsidRDefault="005A1036">
            <w:pPr>
              <w:pStyle w:val="TableParagraph"/>
              <w:spacing w:before="0" w:beforeAutospacing="0" w:after="0" w:afterAutospacing="0"/>
              <w:jc w:val="both"/>
              <w:rPr>
                <w:rFonts w:ascii="Arial" w:hAnsi="Arial" w:cs="Arial"/>
                <w:b/>
                <w:sz w:val="20"/>
                <w:szCs w:val="20"/>
              </w:rPr>
            </w:pPr>
            <w:r>
              <w:rPr>
                <w:rFonts w:ascii="Arial" w:hAnsi="Arial" w:cs="Arial"/>
                <w:b/>
                <w:sz w:val="20"/>
                <w:szCs w:val="20"/>
              </w:rPr>
              <w:t xml:space="preserve">   latent</w:t>
            </w:r>
          </w:p>
        </w:tc>
        <w:tc>
          <w:tcPr>
            <w:tcW w:w="1559" w:type="dxa"/>
            <w:tcBorders>
              <w:top w:val="nil"/>
              <w:bottom w:val="single" w:sz="4" w:space="0" w:color="auto"/>
            </w:tcBorders>
          </w:tcPr>
          <w:p w14:paraId="6B0EFED2" w14:textId="77777777" w:rsidR="00E052FE" w:rsidRDefault="005A1036">
            <w:pPr>
              <w:pStyle w:val="TableParagraph"/>
              <w:spacing w:before="0" w:beforeAutospacing="0" w:after="0" w:afterAutospacing="0"/>
              <w:ind w:left="57" w:right="36"/>
              <w:jc w:val="both"/>
              <w:rPr>
                <w:rFonts w:ascii="Arial" w:hAnsi="Arial" w:cs="Arial"/>
                <w:b/>
                <w:sz w:val="20"/>
                <w:szCs w:val="20"/>
              </w:rPr>
            </w:pPr>
            <w:r>
              <w:rPr>
                <w:rFonts w:ascii="Arial" w:hAnsi="Arial" w:cs="Arial"/>
                <w:b/>
                <w:sz w:val="20"/>
                <w:szCs w:val="20"/>
                <w:lang w:val="en"/>
              </w:rPr>
              <w:t>activated</w:t>
            </w:r>
          </w:p>
        </w:tc>
      </w:tr>
      <w:tr w:rsidR="00E052FE" w14:paraId="72737E81" w14:textId="77777777">
        <w:trPr>
          <w:trHeight w:val="327"/>
          <w:jc w:val="center"/>
        </w:trPr>
        <w:tc>
          <w:tcPr>
            <w:tcW w:w="1413" w:type="dxa"/>
            <w:tcBorders>
              <w:top w:val="single" w:sz="4" w:space="0" w:color="auto"/>
            </w:tcBorders>
          </w:tcPr>
          <w:p w14:paraId="32787493" w14:textId="77777777" w:rsidR="00E052FE" w:rsidRDefault="005A1036">
            <w:pPr>
              <w:pStyle w:val="TableParagraph"/>
              <w:spacing w:after="0" w:afterAutospacing="0" w:line="480" w:lineRule="auto"/>
              <w:ind w:left="107"/>
              <w:jc w:val="both"/>
              <w:rPr>
                <w:rFonts w:ascii="Arial" w:hAnsi="Arial" w:cs="Arial"/>
                <w:b/>
                <w:sz w:val="20"/>
                <w:szCs w:val="20"/>
              </w:rPr>
            </w:pPr>
            <w:r>
              <w:rPr>
                <w:rFonts w:ascii="Arial" w:hAnsi="Arial" w:cs="Arial"/>
                <w:b/>
                <w:spacing w:val="-2"/>
                <w:sz w:val="20"/>
                <w:szCs w:val="20"/>
              </w:rPr>
              <w:t>Dopamine</w:t>
            </w:r>
          </w:p>
        </w:tc>
        <w:tc>
          <w:tcPr>
            <w:tcW w:w="1706" w:type="dxa"/>
            <w:tcBorders>
              <w:top w:val="single" w:sz="4" w:space="0" w:color="auto"/>
            </w:tcBorders>
          </w:tcPr>
          <w:p w14:paraId="44F3235B" w14:textId="77777777" w:rsidR="00E052FE" w:rsidRDefault="005A1036">
            <w:pPr>
              <w:pStyle w:val="TableParagraph"/>
              <w:spacing w:after="0" w:afterAutospacing="0" w:line="480" w:lineRule="auto"/>
              <w:jc w:val="both"/>
              <w:rPr>
                <w:rFonts w:ascii="Arial" w:hAnsi="Arial" w:cs="Arial"/>
                <w:sz w:val="20"/>
                <w:szCs w:val="20"/>
              </w:rPr>
            </w:pPr>
            <w:r>
              <w:rPr>
                <w:rFonts w:ascii="Arial" w:hAnsi="Arial" w:cs="Arial"/>
                <w:spacing w:val="-2"/>
                <w:sz w:val="20"/>
                <w:szCs w:val="20"/>
              </w:rPr>
              <w:t>6.20   ± 0.42</w:t>
            </w:r>
            <w:r>
              <w:rPr>
                <w:rFonts w:ascii="Arial" w:hAnsi="Arial" w:cs="Arial"/>
                <w:spacing w:val="-2"/>
                <w:sz w:val="20"/>
                <w:szCs w:val="20"/>
                <w:vertAlign w:val="superscript"/>
              </w:rPr>
              <w:t>a</w:t>
            </w:r>
          </w:p>
        </w:tc>
        <w:tc>
          <w:tcPr>
            <w:tcW w:w="1418" w:type="dxa"/>
            <w:tcBorders>
              <w:top w:val="single" w:sz="4" w:space="0" w:color="auto"/>
            </w:tcBorders>
          </w:tcPr>
          <w:p w14:paraId="7A4FEF87" w14:textId="77777777" w:rsidR="00E052FE" w:rsidRDefault="005A1036">
            <w:pPr>
              <w:pStyle w:val="TableParagraph"/>
              <w:spacing w:after="0" w:afterAutospacing="0" w:line="480" w:lineRule="auto"/>
              <w:ind w:left="23" w:right="200"/>
              <w:jc w:val="both"/>
              <w:rPr>
                <w:rFonts w:ascii="Arial" w:hAnsi="Arial" w:cs="Arial"/>
                <w:sz w:val="20"/>
                <w:szCs w:val="20"/>
              </w:rPr>
            </w:pPr>
            <w:r>
              <w:rPr>
                <w:rFonts w:ascii="Arial" w:hAnsi="Arial" w:cs="Arial"/>
                <w:sz w:val="20"/>
                <w:szCs w:val="20"/>
              </w:rPr>
              <w:t xml:space="preserve">6.25   ± </w:t>
            </w:r>
            <w:r>
              <w:rPr>
                <w:rFonts w:ascii="Arial" w:hAnsi="Arial" w:cs="Arial"/>
                <w:spacing w:val="-2"/>
                <w:sz w:val="20"/>
                <w:szCs w:val="20"/>
              </w:rPr>
              <w:t>0.03</w:t>
            </w:r>
            <w:r>
              <w:rPr>
                <w:rFonts w:ascii="Arial" w:hAnsi="Arial" w:cs="Arial"/>
                <w:spacing w:val="-2"/>
                <w:sz w:val="20"/>
                <w:szCs w:val="20"/>
                <w:vertAlign w:val="superscript"/>
              </w:rPr>
              <w:t xml:space="preserve">a </w:t>
            </w:r>
          </w:p>
        </w:tc>
        <w:tc>
          <w:tcPr>
            <w:tcW w:w="1559" w:type="dxa"/>
            <w:tcBorders>
              <w:top w:val="single" w:sz="4" w:space="0" w:color="auto"/>
            </w:tcBorders>
          </w:tcPr>
          <w:p w14:paraId="5BD5AC0C" w14:textId="77777777" w:rsidR="00E052FE" w:rsidRDefault="005A1036">
            <w:pPr>
              <w:pStyle w:val="TableParagraph"/>
              <w:spacing w:after="0" w:afterAutospacing="0" w:line="480" w:lineRule="auto"/>
              <w:ind w:left="46" w:right="113"/>
              <w:jc w:val="both"/>
              <w:rPr>
                <w:rFonts w:ascii="Arial" w:hAnsi="Arial" w:cs="Arial"/>
                <w:sz w:val="20"/>
                <w:szCs w:val="20"/>
              </w:rPr>
            </w:pPr>
            <w:r>
              <w:rPr>
                <w:rFonts w:ascii="Arial" w:hAnsi="Arial" w:cs="Arial"/>
                <w:spacing w:val="-2"/>
                <w:sz w:val="20"/>
                <w:szCs w:val="20"/>
              </w:rPr>
              <w:t xml:space="preserve">5813.95 </w:t>
            </w:r>
            <w:proofErr w:type="gramStart"/>
            <w:r>
              <w:rPr>
                <w:rFonts w:ascii="Arial" w:hAnsi="Arial" w:cs="Arial"/>
                <w:spacing w:val="-2"/>
                <w:sz w:val="20"/>
                <w:szCs w:val="20"/>
              </w:rPr>
              <w:t>±  8</w:t>
            </w:r>
            <w:proofErr w:type="gramEnd"/>
            <w:r>
              <w:rPr>
                <w:rFonts w:ascii="Arial" w:hAnsi="Arial" w:cs="Arial"/>
                <w:spacing w:val="-2"/>
                <w:sz w:val="20"/>
                <w:szCs w:val="20"/>
              </w:rPr>
              <w:t>.8</w:t>
            </w:r>
            <w:r>
              <w:rPr>
                <w:rFonts w:ascii="Arial" w:hAnsi="Arial" w:cs="Arial"/>
                <w:spacing w:val="-2"/>
                <w:sz w:val="20"/>
                <w:szCs w:val="20"/>
                <w:vertAlign w:val="superscript"/>
              </w:rPr>
              <w:t>c</w:t>
            </w:r>
          </w:p>
        </w:tc>
        <w:tc>
          <w:tcPr>
            <w:tcW w:w="1843" w:type="dxa"/>
            <w:tcBorders>
              <w:top w:val="single" w:sz="4" w:space="0" w:color="auto"/>
            </w:tcBorders>
          </w:tcPr>
          <w:p w14:paraId="693F7B49" w14:textId="77777777" w:rsidR="00E052FE" w:rsidRDefault="005A1036">
            <w:pPr>
              <w:pStyle w:val="TableParagraph"/>
              <w:spacing w:after="0" w:afterAutospacing="0" w:line="480" w:lineRule="auto"/>
              <w:ind w:left="59" w:right="59"/>
              <w:jc w:val="both"/>
              <w:rPr>
                <w:rFonts w:ascii="Arial" w:hAnsi="Arial" w:cs="Arial"/>
                <w:sz w:val="20"/>
                <w:szCs w:val="20"/>
              </w:rPr>
            </w:pPr>
            <w:r>
              <w:rPr>
                <w:rFonts w:ascii="Arial" w:hAnsi="Arial" w:cs="Arial"/>
                <w:sz w:val="20"/>
                <w:szCs w:val="20"/>
              </w:rPr>
              <w:t xml:space="preserve">10416.67 ± </w:t>
            </w:r>
            <w:r>
              <w:rPr>
                <w:rFonts w:ascii="Arial" w:hAnsi="Arial" w:cs="Arial"/>
                <w:spacing w:val="-2"/>
                <w:sz w:val="20"/>
                <w:szCs w:val="20"/>
              </w:rPr>
              <w:t>2.66</w:t>
            </w:r>
            <w:r>
              <w:rPr>
                <w:rFonts w:ascii="Arial" w:hAnsi="Arial" w:cs="Arial"/>
                <w:spacing w:val="-2"/>
                <w:sz w:val="20"/>
                <w:szCs w:val="20"/>
                <w:vertAlign w:val="superscript"/>
              </w:rPr>
              <w:t>b</w:t>
            </w:r>
          </w:p>
        </w:tc>
        <w:tc>
          <w:tcPr>
            <w:tcW w:w="1559" w:type="dxa"/>
            <w:tcBorders>
              <w:top w:val="single" w:sz="4" w:space="0" w:color="auto"/>
            </w:tcBorders>
          </w:tcPr>
          <w:p w14:paraId="49D81F2A" w14:textId="77777777" w:rsidR="00E052FE" w:rsidRDefault="005A1036">
            <w:pPr>
              <w:pStyle w:val="TableParagraph"/>
              <w:spacing w:after="0" w:afterAutospacing="0" w:line="480" w:lineRule="auto"/>
              <w:ind w:left="17"/>
              <w:jc w:val="both"/>
              <w:rPr>
                <w:rFonts w:ascii="Arial" w:hAnsi="Arial" w:cs="Arial"/>
                <w:sz w:val="20"/>
                <w:szCs w:val="20"/>
              </w:rPr>
            </w:pPr>
            <w:r>
              <w:rPr>
                <w:rFonts w:ascii="Arial" w:hAnsi="Arial" w:cs="Arial"/>
                <w:spacing w:val="-2"/>
                <w:sz w:val="20"/>
                <w:szCs w:val="20"/>
              </w:rPr>
              <w:t>933.71 ± 2.26</w:t>
            </w:r>
            <w:r>
              <w:rPr>
                <w:rFonts w:ascii="Arial" w:hAnsi="Arial" w:cs="Arial"/>
                <w:spacing w:val="-2"/>
                <w:sz w:val="20"/>
                <w:szCs w:val="20"/>
                <w:vertAlign w:val="superscript"/>
              </w:rPr>
              <w:t>e</w:t>
            </w:r>
          </w:p>
        </w:tc>
        <w:tc>
          <w:tcPr>
            <w:tcW w:w="1559" w:type="dxa"/>
            <w:tcBorders>
              <w:top w:val="single" w:sz="4" w:space="0" w:color="auto"/>
            </w:tcBorders>
          </w:tcPr>
          <w:p w14:paraId="17CF3D2D" w14:textId="77777777" w:rsidR="00E052FE" w:rsidRDefault="005A1036">
            <w:pPr>
              <w:pStyle w:val="TableParagraph"/>
              <w:spacing w:after="0" w:afterAutospacing="0" w:line="480" w:lineRule="auto"/>
              <w:ind w:left="21" w:right="57"/>
              <w:jc w:val="both"/>
              <w:rPr>
                <w:rFonts w:ascii="Arial" w:hAnsi="Arial" w:cs="Arial"/>
                <w:sz w:val="20"/>
                <w:szCs w:val="20"/>
              </w:rPr>
            </w:pPr>
            <w:r>
              <w:rPr>
                <w:rFonts w:ascii="Arial" w:hAnsi="Arial" w:cs="Arial"/>
                <w:sz w:val="20"/>
                <w:szCs w:val="20"/>
              </w:rPr>
              <w:t xml:space="preserve">1666.67 ± </w:t>
            </w:r>
            <w:r>
              <w:rPr>
                <w:rFonts w:ascii="Arial" w:hAnsi="Arial" w:cs="Arial"/>
                <w:spacing w:val="-4"/>
                <w:sz w:val="20"/>
                <w:szCs w:val="20"/>
              </w:rPr>
              <w:t>9.5</w:t>
            </w:r>
            <w:r>
              <w:rPr>
                <w:rFonts w:ascii="Arial" w:hAnsi="Arial" w:cs="Arial"/>
                <w:spacing w:val="-4"/>
                <w:sz w:val="20"/>
                <w:szCs w:val="20"/>
                <w:vertAlign w:val="superscript"/>
              </w:rPr>
              <w:t>d</w:t>
            </w:r>
          </w:p>
        </w:tc>
      </w:tr>
      <w:tr w:rsidR="00E052FE" w14:paraId="75DC0D62" w14:textId="77777777">
        <w:trPr>
          <w:trHeight w:val="414"/>
          <w:jc w:val="center"/>
        </w:trPr>
        <w:tc>
          <w:tcPr>
            <w:tcW w:w="1413" w:type="dxa"/>
          </w:tcPr>
          <w:p w14:paraId="5B6F3151" w14:textId="77777777" w:rsidR="00E052FE" w:rsidRDefault="005A1036">
            <w:pPr>
              <w:pStyle w:val="TableParagraph"/>
              <w:spacing w:after="0" w:afterAutospacing="0" w:line="480" w:lineRule="auto"/>
              <w:ind w:left="107"/>
              <w:jc w:val="both"/>
              <w:rPr>
                <w:rFonts w:ascii="Arial" w:hAnsi="Arial" w:cs="Arial"/>
                <w:b/>
                <w:sz w:val="20"/>
                <w:szCs w:val="20"/>
              </w:rPr>
            </w:pPr>
            <w:r>
              <w:rPr>
                <w:rFonts w:ascii="Arial" w:hAnsi="Arial" w:cs="Arial"/>
                <w:b/>
                <w:spacing w:val="-2"/>
                <w:sz w:val="20"/>
                <w:szCs w:val="20"/>
              </w:rPr>
              <w:t>Catechol</w:t>
            </w:r>
          </w:p>
        </w:tc>
        <w:tc>
          <w:tcPr>
            <w:tcW w:w="1706" w:type="dxa"/>
          </w:tcPr>
          <w:p w14:paraId="736A6B78" w14:textId="77777777" w:rsidR="00E052FE" w:rsidRDefault="005A1036">
            <w:pPr>
              <w:pStyle w:val="TableParagraph"/>
              <w:spacing w:after="0" w:afterAutospacing="0" w:line="480" w:lineRule="auto"/>
              <w:jc w:val="both"/>
              <w:rPr>
                <w:rFonts w:ascii="Arial" w:hAnsi="Arial" w:cs="Arial"/>
                <w:sz w:val="20"/>
                <w:szCs w:val="20"/>
              </w:rPr>
            </w:pPr>
            <w:r>
              <w:rPr>
                <w:rFonts w:ascii="Arial" w:hAnsi="Arial" w:cs="Arial"/>
                <w:spacing w:val="-2"/>
                <w:sz w:val="20"/>
                <w:szCs w:val="20"/>
              </w:rPr>
              <w:t>26.32 ± 0.28</w:t>
            </w:r>
            <w:r>
              <w:rPr>
                <w:rFonts w:ascii="Arial" w:hAnsi="Arial" w:cs="Arial"/>
                <w:spacing w:val="-2"/>
                <w:sz w:val="20"/>
                <w:szCs w:val="20"/>
                <w:vertAlign w:val="superscript"/>
              </w:rPr>
              <w:t>a</w:t>
            </w:r>
          </w:p>
        </w:tc>
        <w:tc>
          <w:tcPr>
            <w:tcW w:w="1418" w:type="dxa"/>
          </w:tcPr>
          <w:p w14:paraId="2F222EDD" w14:textId="77777777" w:rsidR="00E052FE" w:rsidRDefault="005A1036">
            <w:pPr>
              <w:pStyle w:val="TableParagraph"/>
              <w:spacing w:after="0" w:afterAutospacing="0" w:line="480" w:lineRule="auto"/>
              <w:ind w:left="23" w:right="80"/>
              <w:jc w:val="both"/>
              <w:rPr>
                <w:rFonts w:ascii="Arial" w:hAnsi="Arial" w:cs="Arial"/>
                <w:sz w:val="20"/>
                <w:szCs w:val="20"/>
              </w:rPr>
            </w:pPr>
            <w:r>
              <w:rPr>
                <w:rFonts w:ascii="Arial" w:hAnsi="Arial" w:cs="Arial"/>
                <w:sz w:val="20"/>
                <w:szCs w:val="20"/>
              </w:rPr>
              <w:t xml:space="preserve">26.21 </w:t>
            </w:r>
            <w:r>
              <w:rPr>
                <w:rFonts w:ascii="Arial" w:hAnsi="Arial" w:cs="Arial"/>
                <w:spacing w:val="-2"/>
                <w:sz w:val="20"/>
                <w:szCs w:val="20"/>
              </w:rPr>
              <w:t>± 0.02</w:t>
            </w:r>
            <w:r>
              <w:rPr>
                <w:rFonts w:ascii="Arial" w:hAnsi="Arial" w:cs="Arial"/>
                <w:spacing w:val="-2"/>
                <w:sz w:val="20"/>
                <w:szCs w:val="20"/>
                <w:vertAlign w:val="superscript"/>
              </w:rPr>
              <w:t>a</w:t>
            </w:r>
          </w:p>
        </w:tc>
        <w:tc>
          <w:tcPr>
            <w:tcW w:w="1559" w:type="dxa"/>
          </w:tcPr>
          <w:p w14:paraId="16AEFBA7" w14:textId="77777777" w:rsidR="00E052FE" w:rsidRDefault="005A1036">
            <w:pPr>
              <w:pStyle w:val="TableParagraph"/>
              <w:spacing w:after="0" w:afterAutospacing="0" w:line="480" w:lineRule="auto"/>
              <w:ind w:left="46"/>
              <w:jc w:val="both"/>
              <w:rPr>
                <w:rFonts w:ascii="Arial" w:hAnsi="Arial" w:cs="Arial"/>
                <w:sz w:val="20"/>
                <w:szCs w:val="20"/>
              </w:rPr>
            </w:pPr>
            <w:r>
              <w:rPr>
                <w:rFonts w:ascii="Arial" w:hAnsi="Arial" w:cs="Arial"/>
                <w:spacing w:val="-2"/>
                <w:sz w:val="20"/>
                <w:szCs w:val="20"/>
              </w:rPr>
              <w:t xml:space="preserve">3289.47 </w:t>
            </w:r>
            <w:proofErr w:type="gramStart"/>
            <w:r>
              <w:rPr>
                <w:rFonts w:ascii="Arial" w:hAnsi="Arial" w:cs="Arial"/>
                <w:spacing w:val="-2"/>
                <w:sz w:val="20"/>
                <w:szCs w:val="20"/>
              </w:rPr>
              <w:t>±  1</w:t>
            </w:r>
            <w:proofErr w:type="gramEnd"/>
            <w:r>
              <w:rPr>
                <w:rFonts w:ascii="Arial" w:hAnsi="Arial" w:cs="Arial"/>
                <w:spacing w:val="-2"/>
                <w:sz w:val="20"/>
                <w:szCs w:val="20"/>
              </w:rPr>
              <w:t>.4</w:t>
            </w:r>
            <w:r>
              <w:rPr>
                <w:rFonts w:ascii="Arial" w:hAnsi="Arial" w:cs="Arial"/>
                <w:spacing w:val="-2"/>
                <w:sz w:val="20"/>
                <w:szCs w:val="20"/>
                <w:vertAlign w:val="superscript"/>
              </w:rPr>
              <w:t>c</w:t>
            </w:r>
          </w:p>
        </w:tc>
        <w:tc>
          <w:tcPr>
            <w:tcW w:w="1843" w:type="dxa"/>
          </w:tcPr>
          <w:p w14:paraId="43EC8E48" w14:textId="77777777" w:rsidR="00E052FE" w:rsidRDefault="005A1036">
            <w:pPr>
              <w:pStyle w:val="TableParagraph"/>
              <w:spacing w:after="0" w:afterAutospacing="0" w:line="480" w:lineRule="auto"/>
              <w:ind w:left="59" w:right="59"/>
              <w:jc w:val="both"/>
              <w:rPr>
                <w:rFonts w:ascii="Arial" w:hAnsi="Arial" w:cs="Arial"/>
                <w:sz w:val="20"/>
                <w:szCs w:val="20"/>
              </w:rPr>
            </w:pPr>
            <w:r>
              <w:rPr>
                <w:rFonts w:ascii="Arial" w:hAnsi="Arial" w:cs="Arial"/>
                <w:sz w:val="20"/>
                <w:szCs w:val="20"/>
              </w:rPr>
              <w:t xml:space="preserve">5952.38   ± </w:t>
            </w:r>
            <w:r>
              <w:rPr>
                <w:rFonts w:ascii="Arial" w:hAnsi="Arial" w:cs="Arial"/>
                <w:spacing w:val="-2"/>
                <w:sz w:val="20"/>
                <w:szCs w:val="20"/>
              </w:rPr>
              <w:t>0.60</w:t>
            </w:r>
            <w:r>
              <w:rPr>
                <w:rFonts w:ascii="Arial" w:hAnsi="Arial" w:cs="Arial"/>
                <w:spacing w:val="-2"/>
                <w:sz w:val="20"/>
                <w:szCs w:val="20"/>
                <w:vertAlign w:val="superscript"/>
              </w:rPr>
              <w:t>b</w:t>
            </w:r>
          </w:p>
        </w:tc>
        <w:tc>
          <w:tcPr>
            <w:tcW w:w="1559" w:type="dxa"/>
          </w:tcPr>
          <w:p w14:paraId="3323ECE1" w14:textId="77777777" w:rsidR="00E052FE" w:rsidRDefault="005A1036">
            <w:pPr>
              <w:pStyle w:val="TableParagraph"/>
              <w:spacing w:after="0" w:afterAutospacing="0" w:line="480" w:lineRule="auto"/>
              <w:jc w:val="both"/>
              <w:rPr>
                <w:rFonts w:ascii="Arial" w:hAnsi="Arial" w:cs="Arial"/>
                <w:sz w:val="20"/>
                <w:szCs w:val="20"/>
              </w:rPr>
            </w:pPr>
            <w:r>
              <w:rPr>
                <w:rFonts w:ascii="Arial" w:hAnsi="Arial" w:cs="Arial"/>
                <w:spacing w:val="-2"/>
                <w:sz w:val="20"/>
                <w:szCs w:val="20"/>
              </w:rPr>
              <w:t>124.98 ± 1.83</w:t>
            </w:r>
            <w:r>
              <w:rPr>
                <w:rFonts w:ascii="Arial" w:hAnsi="Arial" w:cs="Arial"/>
                <w:spacing w:val="-2"/>
                <w:sz w:val="20"/>
                <w:szCs w:val="20"/>
                <w:vertAlign w:val="superscript"/>
              </w:rPr>
              <w:t>e</w:t>
            </w:r>
          </w:p>
        </w:tc>
        <w:tc>
          <w:tcPr>
            <w:tcW w:w="1559" w:type="dxa"/>
          </w:tcPr>
          <w:p w14:paraId="2B614A0B" w14:textId="77777777" w:rsidR="00E052FE" w:rsidRDefault="005A1036">
            <w:pPr>
              <w:pStyle w:val="TableParagraph"/>
              <w:spacing w:after="0" w:afterAutospacing="0" w:line="480" w:lineRule="auto"/>
              <w:ind w:left="21" w:right="57"/>
              <w:jc w:val="both"/>
              <w:rPr>
                <w:rFonts w:ascii="Arial" w:hAnsi="Arial" w:cs="Arial"/>
                <w:sz w:val="20"/>
                <w:szCs w:val="20"/>
              </w:rPr>
            </w:pPr>
            <w:r>
              <w:rPr>
                <w:rFonts w:ascii="Arial" w:hAnsi="Arial" w:cs="Arial"/>
                <w:sz w:val="20"/>
                <w:szCs w:val="20"/>
              </w:rPr>
              <w:t>227.10</w:t>
            </w:r>
            <w:r>
              <w:rPr>
                <w:rFonts w:ascii="Arial" w:hAnsi="Arial" w:cs="Arial"/>
                <w:spacing w:val="-2"/>
                <w:sz w:val="20"/>
                <w:szCs w:val="20"/>
              </w:rPr>
              <w:t xml:space="preserve">   </w:t>
            </w:r>
            <w:r>
              <w:rPr>
                <w:rFonts w:ascii="Arial" w:hAnsi="Arial" w:cs="Arial"/>
                <w:sz w:val="20"/>
                <w:szCs w:val="20"/>
              </w:rPr>
              <w:t xml:space="preserve">± </w:t>
            </w:r>
            <w:r>
              <w:rPr>
                <w:rFonts w:ascii="Arial" w:hAnsi="Arial" w:cs="Arial"/>
                <w:spacing w:val="-4"/>
                <w:sz w:val="20"/>
                <w:szCs w:val="20"/>
              </w:rPr>
              <w:t>0.2</w:t>
            </w:r>
            <w:r>
              <w:rPr>
                <w:rFonts w:ascii="Arial" w:hAnsi="Arial" w:cs="Arial"/>
                <w:spacing w:val="-4"/>
                <w:sz w:val="20"/>
                <w:szCs w:val="20"/>
                <w:vertAlign w:val="superscript"/>
              </w:rPr>
              <w:t>d</w:t>
            </w:r>
          </w:p>
        </w:tc>
      </w:tr>
      <w:tr w:rsidR="00E052FE" w14:paraId="055A97E9" w14:textId="77777777">
        <w:trPr>
          <w:trHeight w:val="501"/>
          <w:jc w:val="center"/>
        </w:trPr>
        <w:tc>
          <w:tcPr>
            <w:tcW w:w="1413" w:type="dxa"/>
          </w:tcPr>
          <w:p w14:paraId="25CC5966" w14:textId="77777777" w:rsidR="00E052FE" w:rsidRDefault="005A1036">
            <w:pPr>
              <w:pStyle w:val="TableParagraph"/>
              <w:spacing w:after="0" w:afterAutospacing="0" w:line="480" w:lineRule="auto"/>
              <w:ind w:left="107"/>
              <w:jc w:val="both"/>
              <w:rPr>
                <w:rFonts w:ascii="Arial" w:hAnsi="Arial" w:cs="Arial"/>
                <w:b/>
                <w:sz w:val="20"/>
                <w:szCs w:val="20"/>
              </w:rPr>
            </w:pPr>
            <w:r>
              <w:rPr>
                <w:rFonts w:ascii="Arial" w:hAnsi="Arial" w:cs="Arial"/>
                <w:b/>
                <w:spacing w:val="-2"/>
                <w:sz w:val="20"/>
                <w:szCs w:val="20"/>
              </w:rPr>
              <w:t>Catechin</w:t>
            </w:r>
          </w:p>
        </w:tc>
        <w:tc>
          <w:tcPr>
            <w:tcW w:w="1706" w:type="dxa"/>
          </w:tcPr>
          <w:p w14:paraId="1CCBA017" w14:textId="77777777" w:rsidR="00E052FE" w:rsidRDefault="005A1036">
            <w:pPr>
              <w:pStyle w:val="TableParagraph"/>
              <w:spacing w:after="0" w:afterAutospacing="0" w:line="480" w:lineRule="auto"/>
              <w:jc w:val="both"/>
              <w:rPr>
                <w:rFonts w:ascii="Arial" w:hAnsi="Arial" w:cs="Arial"/>
                <w:sz w:val="20"/>
                <w:szCs w:val="20"/>
              </w:rPr>
            </w:pPr>
            <w:r>
              <w:rPr>
                <w:rFonts w:ascii="Arial" w:hAnsi="Arial" w:cs="Arial"/>
                <w:spacing w:val="-2"/>
                <w:sz w:val="20"/>
                <w:szCs w:val="20"/>
              </w:rPr>
              <w:t>4.65   ± 1.07</w:t>
            </w:r>
            <w:r>
              <w:rPr>
                <w:rFonts w:ascii="Arial" w:hAnsi="Arial" w:cs="Arial"/>
                <w:spacing w:val="-2"/>
                <w:sz w:val="20"/>
                <w:szCs w:val="20"/>
                <w:vertAlign w:val="superscript"/>
              </w:rPr>
              <w:t>a</w:t>
            </w:r>
          </w:p>
        </w:tc>
        <w:tc>
          <w:tcPr>
            <w:tcW w:w="1418" w:type="dxa"/>
          </w:tcPr>
          <w:p w14:paraId="475F8C8F" w14:textId="77777777" w:rsidR="00E052FE" w:rsidRDefault="005A1036">
            <w:pPr>
              <w:pStyle w:val="TableParagraph"/>
              <w:spacing w:after="0" w:afterAutospacing="0" w:line="480" w:lineRule="auto"/>
              <w:ind w:left="23" w:right="200"/>
              <w:jc w:val="both"/>
              <w:rPr>
                <w:rFonts w:ascii="Arial" w:hAnsi="Arial" w:cs="Arial"/>
                <w:sz w:val="20"/>
                <w:szCs w:val="20"/>
              </w:rPr>
            </w:pPr>
            <w:r>
              <w:rPr>
                <w:rFonts w:ascii="Arial" w:hAnsi="Arial" w:cs="Arial"/>
                <w:sz w:val="20"/>
                <w:szCs w:val="20"/>
              </w:rPr>
              <w:t xml:space="preserve">4.65   ± </w:t>
            </w:r>
            <w:r>
              <w:rPr>
                <w:rFonts w:ascii="Arial" w:hAnsi="Arial" w:cs="Arial"/>
                <w:spacing w:val="-2"/>
                <w:sz w:val="20"/>
                <w:szCs w:val="20"/>
              </w:rPr>
              <w:t>0.02</w:t>
            </w:r>
            <w:r>
              <w:rPr>
                <w:rFonts w:ascii="Arial" w:hAnsi="Arial" w:cs="Arial"/>
                <w:spacing w:val="-2"/>
                <w:sz w:val="20"/>
                <w:szCs w:val="20"/>
                <w:vertAlign w:val="superscript"/>
              </w:rPr>
              <w:t>a</w:t>
            </w:r>
          </w:p>
        </w:tc>
        <w:tc>
          <w:tcPr>
            <w:tcW w:w="1559" w:type="dxa"/>
          </w:tcPr>
          <w:p w14:paraId="6EEA4129" w14:textId="77777777" w:rsidR="00E052FE" w:rsidRDefault="005A1036">
            <w:pPr>
              <w:pStyle w:val="TableParagraph"/>
              <w:spacing w:after="0" w:afterAutospacing="0" w:line="480" w:lineRule="auto"/>
              <w:jc w:val="both"/>
              <w:rPr>
                <w:rFonts w:ascii="Arial" w:hAnsi="Arial" w:cs="Arial"/>
                <w:sz w:val="20"/>
                <w:szCs w:val="20"/>
              </w:rPr>
            </w:pPr>
            <w:r>
              <w:rPr>
                <w:rFonts w:ascii="Arial" w:hAnsi="Arial" w:cs="Arial"/>
                <w:spacing w:val="-2"/>
                <w:sz w:val="20"/>
                <w:szCs w:val="20"/>
              </w:rPr>
              <w:t>453.72    ± 2.02</w:t>
            </w:r>
            <w:r>
              <w:rPr>
                <w:rFonts w:ascii="Arial" w:hAnsi="Arial" w:cs="Arial"/>
                <w:spacing w:val="-2"/>
                <w:sz w:val="20"/>
                <w:szCs w:val="20"/>
                <w:vertAlign w:val="superscript"/>
              </w:rPr>
              <w:t>c</w:t>
            </w:r>
          </w:p>
        </w:tc>
        <w:tc>
          <w:tcPr>
            <w:tcW w:w="1843" w:type="dxa"/>
          </w:tcPr>
          <w:p w14:paraId="25D3F2FE" w14:textId="77777777" w:rsidR="00E052FE" w:rsidRDefault="005A1036">
            <w:pPr>
              <w:pStyle w:val="TableParagraph"/>
              <w:spacing w:after="0" w:afterAutospacing="0" w:line="480" w:lineRule="auto"/>
              <w:ind w:left="59" w:right="59"/>
              <w:jc w:val="both"/>
              <w:rPr>
                <w:rFonts w:ascii="Arial" w:hAnsi="Arial" w:cs="Arial"/>
                <w:sz w:val="20"/>
                <w:szCs w:val="20"/>
              </w:rPr>
            </w:pPr>
            <w:r>
              <w:rPr>
                <w:rFonts w:ascii="Arial" w:hAnsi="Arial" w:cs="Arial"/>
                <w:sz w:val="20"/>
                <w:szCs w:val="20"/>
              </w:rPr>
              <w:t xml:space="preserve">617.28     ± </w:t>
            </w:r>
            <w:r>
              <w:rPr>
                <w:rFonts w:ascii="Arial" w:hAnsi="Arial" w:cs="Arial"/>
                <w:spacing w:val="-2"/>
                <w:sz w:val="20"/>
                <w:szCs w:val="20"/>
              </w:rPr>
              <w:t>1.78</w:t>
            </w:r>
            <w:r>
              <w:rPr>
                <w:rFonts w:ascii="Arial" w:hAnsi="Arial" w:cs="Arial"/>
                <w:spacing w:val="-2"/>
                <w:sz w:val="20"/>
                <w:szCs w:val="20"/>
                <w:vertAlign w:val="superscript"/>
              </w:rPr>
              <w:t>b</w:t>
            </w:r>
          </w:p>
        </w:tc>
        <w:tc>
          <w:tcPr>
            <w:tcW w:w="1559" w:type="dxa"/>
          </w:tcPr>
          <w:p w14:paraId="3D4E3FC9" w14:textId="77777777" w:rsidR="00E052FE" w:rsidRDefault="005A1036">
            <w:pPr>
              <w:pStyle w:val="TableParagraph"/>
              <w:spacing w:after="0" w:afterAutospacing="0" w:line="480" w:lineRule="auto"/>
              <w:jc w:val="both"/>
              <w:rPr>
                <w:rFonts w:ascii="Arial" w:hAnsi="Arial" w:cs="Arial"/>
                <w:sz w:val="20"/>
                <w:szCs w:val="20"/>
              </w:rPr>
            </w:pPr>
            <w:r>
              <w:rPr>
                <w:rFonts w:ascii="Arial" w:hAnsi="Arial" w:cs="Arial"/>
                <w:spacing w:val="-2"/>
                <w:sz w:val="20"/>
                <w:szCs w:val="20"/>
              </w:rPr>
              <w:t xml:space="preserve">97.66 </w:t>
            </w:r>
            <w:r>
              <w:rPr>
                <w:rFonts w:ascii="Arial" w:hAnsi="Arial" w:cs="Arial"/>
                <w:spacing w:val="-2"/>
                <w:sz w:val="20"/>
                <w:szCs w:val="20"/>
              </w:rPr>
              <w:t xml:space="preserve">  ± 0.58</w:t>
            </w:r>
            <w:r>
              <w:rPr>
                <w:rFonts w:ascii="Arial" w:hAnsi="Arial" w:cs="Arial"/>
                <w:spacing w:val="-2"/>
                <w:sz w:val="20"/>
                <w:szCs w:val="20"/>
                <w:vertAlign w:val="superscript"/>
              </w:rPr>
              <w:t>e</w:t>
            </w:r>
          </w:p>
        </w:tc>
        <w:tc>
          <w:tcPr>
            <w:tcW w:w="1559" w:type="dxa"/>
          </w:tcPr>
          <w:p w14:paraId="03FEC1C7" w14:textId="77777777" w:rsidR="00E052FE" w:rsidRDefault="005A1036">
            <w:pPr>
              <w:pStyle w:val="TableParagraph"/>
              <w:spacing w:after="0" w:afterAutospacing="0" w:line="480" w:lineRule="auto"/>
              <w:ind w:left="21" w:right="177"/>
              <w:jc w:val="both"/>
              <w:rPr>
                <w:rFonts w:ascii="Arial" w:hAnsi="Arial" w:cs="Arial"/>
                <w:sz w:val="20"/>
                <w:szCs w:val="20"/>
              </w:rPr>
            </w:pPr>
            <w:r>
              <w:rPr>
                <w:rFonts w:ascii="Arial" w:hAnsi="Arial" w:cs="Arial"/>
                <w:sz w:val="20"/>
                <w:szCs w:val="20"/>
              </w:rPr>
              <w:t xml:space="preserve">132.75   ± </w:t>
            </w:r>
            <w:r>
              <w:rPr>
                <w:rFonts w:ascii="Arial" w:hAnsi="Arial" w:cs="Arial"/>
                <w:spacing w:val="-2"/>
                <w:sz w:val="20"/>
                <w:szCs w:val="20"/>
              </w:rPr>
              <w:t>1.0</w:t>
            </w:r>
            <w:r>
              <w:rPr>
                <w:rFonts w:ascii="Arial" w:hAnsi="Arial" w:cs="Arial"/>
                <w:spacing w:val="-2"/>
                <w:sz w:val="20"/>
                <w:szCs w:val="20"/>
                <w:vertAlign w:val="superscript"/>
              </w:rPr>
              <w:t>d</w:t>
            </w:r>
          </w:p>
        </w:tc>
      </w:tr>
    </w:tbl>
    <w:p w14:paraId="290E66D1" w14:textId="77777777" w:rsidR="00E052FE" w:rsidRDefault="00E052FE">
      <w:pPr>
        <w:spacing w:after="0" w:line="240" w:lineRule="auto"/>
        <w:jc w:val="both"/>
        <w:rPr>
          <w:rFonts w:ascii="Arial" w:eastAsia="Times New Roman" w:hAnsi="Arial" w:cs="Arial"/>
          <w:b/>
          <w:lang w:val="en" w:eastAsia="fr-FR"/>
        </w:rPr>
      </w:pPr>
    </w:p>
    <w:p w14:paraId="69F5E439" w14:textId="77777777" w:rsidR="00E052FE" w:rsidRDefault="005A1036">
      <w:pPr>
        <w:spacing w:after="0" w:line="240" w:lineRule="auto"/>
        <w:jc w:val="both"/>
        <w:rPr>
          <w:rFonts w:ascii="Arial" w:eastAsia="Times New Roman" w:hAnsi="Arial" w:cs="Arial"/>
          <w:bCs/>
          <w:sz w:val="20"/>
          <w:szCs w:val="20"/>
          <w:lang w:eastAsia="fr-FR"/>
        </w:rPr>
      </w:pPr>
      <w:r>
        <w:rPr>
          <w:rFonts w:ascii="Arial" w:eastAsia="Times New Roman" w:hAnsi="Arial" w:cs="Arial"/>
          <w:bCs/>
          <w:sz w:val="20"/>
          <w:szCs w:val="20"/>
          <w:lang w:val="en" w:eastAsia="fr-FR"/>
        </w:rPr>
        <w:t>KM: Michaelis-Mentens constant; Vmax: Maximum speed; Vmax / KM: Catalytic efficiency. Means in the same row with different exponents are significantly different (P ≤ 0.05) according to the Student-Fisher test.</w:t>
      </w:r>
    </w:p>
    <w:p w14:paraId="2E1E9B73" w14:textId="77777777" w:rsidR="00E052FE" w:rsidRDefault="00E052FE">
      <w:pPr>
        <w:spacing w:after="0" w:line="240" w:lineRule="auto"/>
        <w:jc w:val="both"/>
        <w:rPr>
          <w:rFonts w:ascii="Arial" w:hAnsi="Arial" w:cs="Arial"/>
          <w:b/>
        </w:rPr>
      </w:pPr>
    </w:p>
    <w:p w14:paraId="767EDB6A" w14:textId="77777777" w:rsidR="00E052FE" w:rsidRDefault="005A1036">
      <w:pPr>
        <w:spacing w:after="0" w:line="240" w:lineRule="auto"/>
        <w:jc w:val="right"/>
        <w:rPr>
          <w:rFonts w:ascii="Arial" w:eastAsia="Times New Roman" w:hAnsi="Arial" w:cs="Arial"/>
          <w:b/>
          <w:lang w:eastAsia="fr-FR"/>
        </w:rPr>
      </w:pPr>
      <w:r>
        <w:rPr>
          <w:rFonts w:ascii="Arial" w:hAnsi="Arial" w:cs="Arial"/>
          <w:b/>
        </w:rPr>
        <w:t xml:space="preserve">3.2 </w:t>
      </w:r>
      <w:r>
        <w:rPr>
          <w:rFonts w:ascii="Arial" w:hAnsi="Arial" w:cs="Arial"/>
          <w:b/>
          <w:lang w:val="en"/>
        </w:rPr>
        <w:t xml:space="preserve">Influence of </w:t>
      </w:r>
      <w:r>
        <w:rPr>
          <w:rFonts w:ascii="Arial" w:hAnsi="Arial" w:cs="Arial"/>
          <w:b/>
          <w:lang w:val="en"/>
        </w:rPr>
        <w:t>Temperature and Pre-Incubation Time</w:t>
      </w:r>
    </w:p>
    <w:p w14:paraId="1EA715A2" w14:textId="77777777" w:rsidR="00E052FE" w:rsidRDefault="00E052FE">
      <w:pPr>
        <w:spacing w:after="0" w:line="240" w:lineRule="auto"/>
        <w:jc w:val="both"/>
        <w:rPr>
          <w:rFonts w:ascii="Arial" w:hAnsi="Arial" w:cs="Arial"/>
          <w:b/>
          <w:lang w:val="en"/>
        </w:rPr>
      </w:pPr>
    </w:p>
    <w:p w14:paraId="6721A992" w14:textId="77777777" w:rsidR="00E052FE" w:rsidRDefault="005A1036">
      <w:pPr>
        <w:spacing w:after="0" w:line="240" w:lineRule="auto"/>
        <w:jc w:val="both"/>
        <w:rPr>
          <w:rFonts w:ascii="Arial" w:hAnsi="Arial" w:cs="Arial"/>
          <w:bCs/>
          <w:sz w:val="20"/>
          <w:szCs w:val="20"/>
          <w:lang w:val="en"/>
        </w:rPr>
      </w:pPr>
      <w:r>
        <w:rPr>
          <w:rFonts w:ascii="Arial" w:hAnsi="Arial" w:cs="Arial"/>
          <w:bCs/>
          <w:sz w:val="20"/>
          <w:szCs w:val="20"/>
          <w:lang w:val="en"/>
        </w:rPr>
        <w:t>Tables 2 present the thermal inactivation profile of the latent and activated forms of polyphenol oxidase. At temperatures between 35 and 75 °C, enzyme inactivation occurred after 5 min of pre-incubation in 100 mM phosp</w:t>
      </w:r>
      <w:r>
        <w:rPr>
          <w:rFonts w:ascii="Arial" w:hAnsi="Arial" w:cs="Arial"/>
          <w:bCs/>
          <w:sz w:val="20"/>
          <w:szCs w:val="20"/>
          <w:lang w:val="en"/>
        </w:rPr>
        <w:t>hate buffer, pH 6.0, for the latent form and pH 7 for the activated form. Heating the latent form at 55 °C for 30 min resulted in a partial inactivation of 51.1</w:t>
      </w:r>
      <w:r>
        <w:rPr>
          <w:rFonts w:ascii="Arial" w:hAnsi="Arial" w:cs="Arial"/>
          <w:spacing w:val="-2"/>
          <w:sz w:val="20"/>
          <w:szCs w:val="20"/>
        </w:rPr>
        <w:t>±1.2</w:t>
      </w:r>
      <w:r>
        <w:rPr>
          <w:rFonts w:ascii="Arial" w:hAnsi="Arial" w:cs="Arial"/>
          <w:bCs/>
          <w:sz w:val="20"/>
          <w:szCs w:val="20"/>
          <w:lang w:val="en"/>
        </w:rPr>
        <w:t>% (Table 2). In contrast, the activated form, at the same temperature and time, lost 89.3% o</w:t>
      </w:r>
      <w:r>
        <w:rPr>
          <w:rFonts w:ascii="Arial" w:hAnsi="Arial" w:cs="Arial"/>
          <w:bCs/>
          <w:sz w:val="20"/>
          <w:szCs w:val="20"/>
          <w:lang w:val="en"/>
        </w:rPr>
        <w:t>f its activity. It was strongly inactivated (98.50% inhibition) after 60 min of pre-incubation.</w:t>
      </w:r>
    </w:p>
    <w:p w14:paraId="6CC00082" w14:textId="77777777" w:rsidR="00E052FE" w:rsidRDefault="00E052FE">
      <w:pPr>
        <w:spacing w:after="0" w:line="240" w:lineRule="auto"/>
        <w:jc w:val="both"/>
        <w:rPr>
          <w:rFonts w:ascii="Arial" w:hAnsi="Arial" w:cs="Arial"/>
          <w:sz w:val="20"/>
          <w:szCs w:val="20"/>
        </w:rPr>
      </w:pPr>
    </w:p>
    <w:p w14:paraId="28DEBAA6" w14:textId="77777777" w:rsidR="00E052FE" w:rsidRDefault="00E052FE">
      <w:pPr>
        <w:spacing w:after="0" w:line="240" w:lineRule="auto"/>
        <w:jc w:val="both"/>
        <w:rPr>
          <w:rFonts w:ascii="Arial" w:hAnsi="Arial" w:cs="Arial"/>
          <w:sz w:val="20"/>
          <w:szCs w:val="20"/>
        </w:rPr>
      </w:pPr>
    </w:p>
    <w:p w14:paraId="58DDB7FA" w14:textId="77777777" w:rsidR="00E052FE" w:rsidRDefault="00E052FE">
      <w:pPr>
        <w:spacing w:after="0" w:line="240" w:lineRule="auto"/>
        <w:jc w:val="both"/>
        <w:rPr>
          <w:rFonts w:ascii="Arial" w:hAnsi="Arial" w:cs="Arial"/>
          <w:sz w:val="20"/>
          <w:szCs w:val="20"/>
        </w:rPr>
      </w:pPr>
    </w:p>
    <w:p w14:paraId="58A6153C" w14:textId="77777777" w:rsidR="00E052FE" w:rsidRDefault="00E052FE">
      <w:pPr>
        <w:spacing w:after="0" w:line="240" w:lineRule="auto"/>
        <w:jc w:val="both"/>
        <w:rPr>
          <w:rFonts w:ascii="Arial" w:hAnsi="Arial" w:cs="Arial"/>
          <w:sz w:val="20"/>
          <w:szCs w:val="20"/>
        </w:rPr>
      </w:pPr>
    </w:p>
    <w:p w14:paraId="5D081880" w14:textId="77777777" w:rsidR="00E052FE" w:rsidRDefault="00E052FE">
      <w:pPr>
        <w:spacing w:after="0" w:line="240" w:lineRule="auto"/>
        <w:jc w:val="both"/>
        <w:rPr>
          <w:rFonts w:ascii="Arial" w:hAnsi="Arial" w:cs="Arial"/>
          <w:sz w:val="20"/>
          <w:szCs w:val="20"/>
        </w:rPr>
      </w:pPr>
    </w:p>
    <w:p w14:paraId="05501A00" w14:textId="77777777" w:rsidR="00E052FE" w:rsidRDefault="00E052FE">
      <w:pPr>
        <w:spacing w:after="0" w:line="240" w:lineRule="auto"/>
        <w:jc w:val="both"/>
        <w:rPr>
          <w:rFonts w:ascii="Arial" w:hAnsi="Arial" w:cs="Arial"/>
          <w:sz w:val="20"/>
          <w:szCs w:val="20"/>
        </w:rPr>
      </w:pPr>
    </w:p>
    <w:p w14:paraId="2F7426A1" w14:textId="77777777" w:rsidR="00E052FE" w:rsidRDefault="00E052FE">
      <w:pPr>
        <w:spacing w:after="0" w:line="240" w:lineRule="auto"/>
        <w:jc w:val="both"/>
        <w:rPr>
          <w:rFonts w:ascii="Arial" w:hAnsi="Arial" w:cs="Arial"/>
          <w:sz w:val="20"/>
          <w:szCs w:val="20"/>
        </w:rPr>
      </w:pPr>
    </w:p>
    <w:p w14:paraId="531A7E82" w14:textId="77777777" w:rsidR="00E052FE" w:rsidRDefault="00E052FE">
      <w:pPr>
        <w:spacing w:after="0" w:line="240" w:lineRule="auto"/>
        <w:jc w:val="both"/>
        <w:rPr>
          <w:rFonts w:ascii="Arial" w:hAnsi="Arial" w:cs="Arial"/>
          <w:sz w:val="20"/>
          <w:szCs w:val="20"/>
        </w:rPr>
      </w:pPr>
    </w:p>
    <w:p w14:paraId="64639A80" w14:textId="77777777" w:rsidR="00E052FE" w:rsidRDefault="00E052FE">
      <w:pPr>
        <w:spacing w:after="0" w:line="240" w:lineRule="auto"/>
        <w:jc w:val="both"/>
        <w:rPr>
          <w:rFonts w:ascii="Arial" w:hAnsi="Arial" w:cs="Arial"/>
          <w:sz w:val="20"/>
          <w:szCs w:val="20"/>
        </w:rPr>
      </w:pPr>
    </w:p>
    <w:p w14:paraId="087466B8" w14:textId="77777777" w:rsidR="00E052FE" w:rsidRDefault="00E052FE">
      <w:pPr>
        <w:spacing w:after="0" w:line="240" w:lineRule="auto"/>
        <w:jc w:val="both"/>
        <w:rPr>
          <w:rFonts w:ascii="Arial" w:hAnsi="Arial" w:cs="Arial"/>
          <w:sz w:val="20"/>
          <w:szCs w:val="20"/>
        </w:rPr>
      </w:pPr>
    </w:p>
    <w:p w14:paraId="4FB5929B" w14:textId="77777777" w:rsidR="00E052FE" w:rsidRDefault="00E052FE">
      <w:pPr>
        <w:spacing w:after="0" w:line="240" w:lineRule="auto"/>
        <w:jc w:val="both"/>
        <w:rPr>
          <w:rFonts w:ascii="Arial" w:hAnsi="Arial" w:cs="Arial"/>
          <w:sz w:val="20"/>
          <w:szCs w:val="20"/>
        </w:rPr>
      </w:pPr>
    </w:p>
    <w:p w14:paraId="144CFD28" w14:textId="77777777" w:rsidR="00E052FE" w:rsidRDefault="00E052FE">
      <w:pPr>
        <w:spacing w:after="0" w:line="240" w:lineRule="auto"/>
        <w:jc w:val="both"/>
        <w:rPr>
          <w:rFonts w:ascii="Arial" w:hAnsi="Arial" w:cs="Arial"/>
          <w:sz w:val="20"/>
          <w:szCs w:val="20"/>
        </w:rPr>
      </w:pPr>
    </w:p>
    <w:p w14:paraId="3C635372" w14:textId="77777777" w:rsidR="00E052FE" w:rsidRDefault="00E052FE">
      <w:pPr>
        <w:spacing w:after="0" w:line="240" w:lineRule="auto"/>
        <w:jc w:val="both"/>
        <w:rPr>
          <w:rFonts w:ascii="Arial" w:hAnsi="Arial" w:cs="Arial"/>
          <w:sz w:val="20"/>
          <w:szCs w:val="20"/>
        </w:rPr>
      </w:pPr>
    </w:p>
    <w:p w14:paraId="3F6D5136" w14:textId="77777777" w:rsidR="00E052FE" w:rsidRDefault="00E052FE">
      <w:pPr>
        <w:spacing w:after="0" w:line="240" w:lineRule="auto"/>
        <w:jc w:val="both"/>
        <w:rPr>
          <w:rFonts w:ascii="Arial" w:hAnsi="Arial" w:cs="Arial"/>
          <w:sz w:val="20"/>
          <w:szCs w:val="20"/>
        </w:rPr>
      </w:pPr>
    </w:p>
    <w:p w14:paraId="2238726C" w14:textId="77777777" w:rsidR="00E052FE" w:rsidRDefault="00E052FE">
      <w:pPr>
        <w:spacing w:after="0" w:line="240" w:lineRule="auto"/>
        <w:jc w:val="both"/>
        <w:rPr>
          <w:rFonts w:ascii="Arial" w:hAnsi="Arial" w:cs="Arial"/>
          <w:sz w:val="20"/>
          <w:szCs w:val="20"/>
        </w:rPr>
      </w:pPr>
    </w:p>
    <w:p w14:paraId="46251408" w14:textId="77777777" w:rsidR="00E052FE" w:rsidRDefault="00E052FE">
      <w:pPr>
        <w:spacing w:after="0" w:line="240" w:lineRule="auto"/>
        <w:jc w:val="both"/>
        <w:rPr>
          <w:rFonts w:ascii="Arial" w:hAnsi="Arial" w:cs="Arial"/>
          <w:sz w:val="20"/>
          <w:szCs w:val="20"/>
        </w:rPr>
      </w:pPr>
    </w:p>
    <w:p w14:paraId="0246698E" w14:textId="77777777" w:rsidR="00E052FE" w:rsidRDefault="00E052FE">
      <w:pPr>
        <w:spacing w:after="0" w:line="240" w:lineRule="auto"/>
        <w:jc w:val="both"/>
        <w:rPr>
          <w:rFonts w:ascii="Arial" w:hAnsi="Arial" w:cs="Arial"/>
          <w:sz w:val="20"/>
          <w:szCs w:val="20"/>
        </w:rPr>
      </w:pPr>
    </w:p>
    <w:p w14:paraId="6A05C540" w14:textId="77777777" w:rsidR="00E052FE" w:rsidRDefault="00E052FE">
      <w:pPr>
        <w:spacing w:after="0" w:line="240" w:lineRule="auto"/>
        <w:jc w:val="both"/>
        <w:rPr>
          <w:rFonts w:ascii="Arial" w:hAnsi="Arial" w:cs="Arial"/>
          <w:sz w:val="20"/>
          <w:szCs w:val="20"/>
        </w:rPr>
      </w:pPr>
    </w:p>
    <w:p w14:paraId="058BC3E7" w14:textId="77777777" w:rsidR="00E052FE" w:rsidRDefault="00E052FE">
      <w:pPr>
        <w:spacing w:after="0" w:line="240" w:lineRule="auto"/>
        <w:jc w:val="both"/>
        <w:rPr>
          <w:rFonts w:ascii="Arial" w:hAnsi="Arial" w:cs="Arial"/>
          <w:sz w:val="20"/>
          <w:szCs w:val="20"/>
        </w:rPr>
      </w:pPr>
    </w:p>
    <w:p w14:paraId="088FF727" w14:textId="77777777" w:rsidR="00E052FE" w:rsidRDefault="00E052FE">
      <w:pPr>
        <w:spacing w:after="0" w:line="240" w:lineRule="auto"/>
        <w:jc w:val="both"/>
        <w:rPr>
          <w:rFonts w:ascii="Arial" w:hAnsi="Arial" w:cs="Arial"/>
          <w:sz w:val="20"/>
          <w:szCs w:val="20"/>
        </w:rPr>
      </w:pPr>
    </w:p>
    <w:p w14:paraId="242E5880" w14:textId="77777777" w:rsidR="00E052FE" w:rsidRDefault="005A1036">
      <w:pPr>
        <w:rPr>
          <w:rFonts w:ascii="Arial" w:hAnsi="Arial" w:cs="Arial"/>
          <w:b/>
          <w:bCs/>
          <w:sz w:val="20"/>
          <w:szCs w:val="20"/>
          <w:lang w:val="en"/>
        </w:rPr>
      </w:pPr>
      <w:r>
        <w:rPr>
          <w:rFonts w:ascii="Arial" w:hAnsi="Arial" w:cs="Arial"/>
          <w:b/>
          <w:bCs/>
          <w:sz w:val="20"/>
          <w:szCs w:val="20"/>
          <w:lang w:val="en"/>
        </w:rPr>
        <w:br w:type="page"/>
      </w:r>
    </w:p>
    <w:p w14:paraId="631FE49B" w14:textId="77777777" w:rsidR="00E052FE" w:rsidRDefault="00E052FE">
      <w:pPr>
        <w:spacing w:after="0" w:line="240" w:lineRule="auto"/>
        <w:ind w:right="113"/>
        <w:jc w:val="both"/>
        <w:rPr>
          <w:rFonts w:ascii="Arial" w:hAnsi="Arial" w:cs="Arial"/>
          <w:b/>
          <w:bCs/>
          <w:sz w:val="20"/>
          <w:szCs w:val="20"/>
          <w:lang w:val="en"/>
        </w:rPr>
        <w:sectPr w:rsidR="00E052FE">
          <w:headerReference w:type="even" r:id="rId15"/>
          <w:headerReference w:type="default" r:id="rId16"/>
          <w:headerReference w:type="first" r:id="rId17"/>
          <w:pgSz w:w="12240" w:h="15840"/>
          <w:pgMar w:top="851" w:right="900" w:bottom="993" w:left="709" w:header="720" w:footer="423" w:gutter="0"/>
          <w:cols w:space="720"/>
          <w:docGrid w:linePitch="299"/>
        </w:sectPr>
      </w:pPr>
    </w:p>
    <w:p w14:paraId="2698A5B7" w14:textId="77777777" w:rsidR="00E052FE" w:rsidRDefault="005A1036">
      <w:pPr>
        <w:spacing w:after="0" w:line="240" w:lineRule="auto"/>
        <w:ind w:right="113"/>
        <w:jc w:val="center"/>
        <w:rPr>
          <w:rFonts w:ascii="Arial" w:hAnsi="Arial" w:cs="Arial"/>
          <w:b/>
          <w:bCs/>
          <w:sz w:val="20"/>
          <w:szCs w:val="20"/>
        </w:rPr>
      </w:pPr>
      <w:r>
        <w:rPr>
          <w:rFonts w:ascii="Arial" w:hAnsi="Arial" w:cs="Arial"/>
          <w:b/>
          <w:bCs/>
          <w:noProof/>
          <w:sz w:val="20"/>
          <w:szCs w:val="20"/>
          <w:lang w:val="en-US"/>
        </w:rPr>
        <w:lastRenderedPageBreak/>
        <mc:AlternateContent>
          <mc:Choice Requires="wpg">
            <w:drawing>
              <wp:anchor distT="0" distB="0" distL="0" distR="0" simplePos="0" relativeHeight="251665408" behindDoc="0" locked="0" layoutInCell="1" allowOverlap="1" wp14:anchorId="384941CE" wp14:editId="6D6E572C">
                <wp:simplePos x="0" y="0"/>
                <wp:positionH relativeFrom="page">
                  <wp:posOffset>9792970</wp:posOffset>
                </wp:positionH>
                <wp:positionV relativeFrom="page">
                  <wp:posOffset>6974840</wp:posOffset>
                </wp:positionV>
                <wp:extent cx="371475" cy="277495"/>
                <wp:effectExtent l="3175" t="3175" r="6350" b="5080"/>
                <wp:wrapNone/>
                <wp:docPr id="2" name="Group 1170"/>
                <wp:cNvGraphicFramePr/>
                <a:graphic xmlns:a="http://schemas.openxmlformats.org/drawingml/2006/main">
                  <a:graphicData uri="http://schemas.microsoft.com/office/word/2010/wordprocessingGroup">
                    <wpg:wgp>
                      <wpg:cNvGrpSpPr/>
                      <wpg:grpSpPr>
                        <a:xfrm>
                          <a:off x="0" y="0"/>
                          <a:ext cx="371475" cy="277495"/>
                          <a:chOff x="0" y="0"/>
                          <a:chExt cx="371475" cy="277495"/>
                        </a:xfrm>
                      </wpg:grpSpPr>
                      <pic:pic xmlns:pic="http://schemas.openxmlformats.org/drawingml/2006/picture">
                        <pic:nvPicPr>
                          <pic:cNvPr id="647352201" name="Image 647352201"/>
                          <pic:cNvPicPr/>
                        </pic:nvPicPr>
                        <pic:blipFill>
                          <a:blip r:embed="rId18" cstate="print"/>
                          <a:stretch>
                            <a:fillRect/>
                          </a:stretch>
                        </pic:blipFill>
                        <pic:spPr>
                          <a:xfrm>
                            <a:off x="242633" y="181102"/>
                            <a:ext cx="127253" cy="94805"/>
                          </a:xfrm>
                          <a:prstGeom prst="rect">
                            <a:avLst/>
                          </a:prstGeom>
                        </pic:spPr>
                      </pic:pic>
                      <wps:wsp>
                        <wps:cNvPr id="88192490" name="Graphic 1172"/>
                        <wps:cNvSpPr/>
                        <wps:spPr>
                          <a:xfrm>
                            <a:off x="1587" y="1587"/>
                            <a:ext cx="368300" cy="274320"/>
                          </a:xfrm>
                          <a:custGeom>
                            <a:avLst/>
                            <a:gdLst/>
                            <a:ahLst/>
                            <a:cxnLst/>
                            <a:rect l="l" t="t" r="r" b="b"/>
                            <a:pathLst>
                              <a:path w="368300" h="274320">
                                <a:moveTo>
                                  <a:pt x="0" y="0"/>
                                </a:moveTo>
                                <a:lnTo>
                                  <a:pt x="0" y="274320"/>
                                </a:lnTo>
                                <a:lnTo>
                                  <a:pt x="241046" y="274320"/>
                                </a:lnTo>
                                <a:lnTo>
                                  <a:pt x="368300" y="179514"/>
                                </a:lnTo>
                                <a:lnTo>
                                  <a:pt x="368300" y="0"/>
                                </a:lnTo>
                                <a:lnTo>
                                  <a:pt x="0" y="0"/>
                                </a:lnTo>
                                <a:close/>
                              </a:path>
                              <a:path w="368300" h="274320">
                                <a:moveTo>
                                  <a:pt x="241046" y="274320"/>
                                </a:moveTo>
                                <a:lnTo>
                                  <a:pt x="273939" y="182740"/>
                                </a:lnTo>
                                <a:lnTo>
                                  <a:pt x="287379" y="190876"/>
                                </a:lnTo>
                                <a:lnTo>
                                  <a:pt x="308022" y="193252"/>
                                </a:lnTo>
                                <a:lnTo>
                                  <a:pt x="335214" y="189566"/>
                                </a:lnTo>
                                <a:lnTo>
                                  <a:pt x="368300" y="179514"/>
                                </a:lnTo>
                              </a:path>
                            </a:pathLst>
                          </a:custGeom>
                          <a:ln w="3175">
                            <a:solidFill>
                              <a:srgbClr val="808080"/>
                            </a:solidFill>
                            <a:prstDash val="solid"/>
                          </a:ln>
                        </wps:spPr>
                        <wps:bodyPr wrap="square" lIns="0" tIns="0" rIns="0" bIns="0" rtlCol="0">
                          <a:noAutofit/>
                        </wps:bodyPr>
                      </wps:wsp>
                      <wps:wsp>
                        <wps:cNvPr id="401065060" name="Textbox 1173"/>
                        <wps:cNvSpPr txBox="1"/>
                        <wps:spPr>
                          <a:xfrm>
                            <a:off x="0" y="0"/>
                            <a:ext cx="371475" cy="277495"/>
                          </a:xfrm>
                          <a:prstGeom prst="rect">
                            <a:avLst/>
                          </a:prstGeom>
                        </wps:spPr>
                        <wps:txbx>
                          <w:txbxContent>
                            <w:p w14:paraId="04789F22" w14:textId="77777777" w:rsidR="00E052FE" w:rsidRDefault="005A1036">
                              <w:pPr>
                                <w:spacing w:before="73"/>
                                <w:ind w:left="6" w:right="1"/>
                                <w:jc w:val="center"/>
                                <w:rPr>
                                  <w:sz w:val="16"/>
                                </w:rPr>
                              </w:pPr>
                              <w:r>
                                <w:rPr>
                                  <w:spacing w:val="-5"/>
                                  <w:sz w:val="16"/>
                                </w:rPr>
                                <w:t>90</w:t>
                              </w:r>
                            </w:p>
                          </w:txbxContent>
                        </wps:txbx>
                        <wps:bodyPr wrap="square" lIns="0" tIns="0" rIns="0" bIns="0" rtlCol="0">
                          <a:noAutofit/>
                        </wps:bodyPr>
                      </wps:wsp>
                    </wpg:wgp>
                  </a:graphicData>
                </a:graphic>
              </wp:anchor>
            </w:drawing>
          </mc:Choice>
          <mc:Fallback>
            <w:pict>
              <v:group w14:anchorId="384941CE" id="Group 1170" o:spid="_x0000_s1026" style="position:absolute;left:0;text-align:left;margin-left:771.1pt;margin-top:549.2pt;width:29.25pt;height:21.85pt;z-index:251665408;mso-wrap-distance-left:0;mso-wrap-distance-right:0;mso-position-horizontal-relative:page;mso-position-vertical-relative:page" coordsize="371475,27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7352201" o:spid="_x0000_s1027" type="#_x0000_t75" style="position:absolute;left:242633;top:181102;width:127253;height:9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">
                  <v:imagedata r:id="rId19" o:title=""/>
                </v:shape>
                <v:shape id="Graphic 1172" o:spid="_x0000_s1028" style="position:absolute;left:1587;top:1587;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" path="m,l,274320r241046,l368300,179514,368300,,,xem241046,274320r32893,-91580l287379,190876r20643,2376l335214,189566r33086,-10052e" filled="f" strokecolor="gray" strokeweight=".25pt">
                  <v:path arrowok="t"/>
                </v:shape>
                <v:shapetype id="_x0000_t202" coordsize="21600,21600" o:spt="202" path="m,l,21600r21600,l21600,xe">
                  <v:stroke joinstyle="miter"/>
                  <v:path gradientshapeok="t" o:connecttype="rect"/>
                </v:shapetype>
                <v:shape id="Textbox 1173" o:spid="_x0000_s1029" type="#_x0000_t202" style="position:absolute;width:371475;height:277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" filled="f" stroked="f">
                  <v:textbox inset="0,0,0,0">
                    <w:txbxContent>
                      <w:p w14:paraId="04789F22" w14:textId="77777777" w:rsidR="00E052FE" w:rsidRDefault="005A1036">
                        <w:pPr>
                          <w:spacing w:before="73"/>
                          <w:ind w:left="6" w:right="1"/>
                          <w:jc w:val="center"/>
                          <w:rPr>
                            <w:sz w:val="16"/>
                          </w:rPr>
                        </w:pPr>
                        <w:r>
                          <w:rPr>
                            <w:spacing w:val="-5"/>
                            <w:sz w:val="16"/>
                          </w:rPr>
                          <w:t>90</w:t>
                        </w:r>
                      </w:p>
                    </w:txbxContent>
                  </v:textbox>
                </v:shape>
                <w10:wrap anchorx="page" anchory="page"/>
              </v:group>
            </w:pict>
          </mc:Fallback>
        </mc:AlternateContent>
      </w:r>
      <w:r>
        <w:rPr>
          <w:rFonts w:ascii="Arial" w:hAnsi="Arial" w:cs="Arial"/>
          <w:b/>
          <w:bCs/>
          <w:sz w:val="20"/>
          <w:szCs w:val="20"/>
          <w:lang w:val="en"/>
        </w:rPr>
        <w:t xml:space="preserve">Table 2: Residual activities of the latent form of polyphenol oxidase from yam (Dioscorea cayenensis rotundata) </w:t>
      </w:r>
      <w:r>
        <w:rPr>
          <w:rFonts w:ascii="Arial" w:hAnsi="Arial" w:cs="Arial"/>
          <w:b/>
          <w:bCs/>
          <w:sz w:val="20"/>
          <w:szCs w:val="20"/>
          <w:lang w:val="en"/>
        </w:rPr>
        <w:t>cultivar "Zrèzrou" as a function of temperature (35 °C to 75 °C) and pre-incubation time (5 min to 60 min)</w:t>
      </w:r>
    </w:p>
    <w:p w14:paraId="40E0E100" w14:textId="77777777" w:rsidR="00E052FE" w:rsidRDefault="00E052FE">
      <w:pPr>
        <w:spacing w:after="0" w:line="240" w:lineRule="auto"/>
        <w:jc w:val="both"/>
        <w:rPr>
          <w:rFonts w:ascii="Arial" w:hAnsi="Arial" w:cs="Arial"/>
        </w:rPr>
      </w:pPr>
    </w:p>
    <w:tbl>
      <w:tblPr>
        <w:tblpPr w:leftFromText="141" w:rightFromText="141" w:vertAnchor="text" w:horzAnchor="page" w:tblpXSpec="center" w:tblpY="-5"/>
        <w:tblW w:w="14321"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422"/>
        <w:gridCol w:w="846"/>
        <w:gridCol w:w="1138"/>
        <w:gridCol w:w="993"/>
        <w:gridCol w:w="992"/>
        <w:gridCol w:w="992"/>
        <w:gridCol w:w="992"/>
        <w:gridCol w:w="993"/>
        <w:gridCol w:w="992"/>
        <w:gridCol w:w="992"/>
        <w:gridCol w:w="992"/>
        <w:gridCol w:w="993"/>
        <w:gridCol w:w="992"/>
        <w:gridCol w:w="992"/>
      </w:tblGrid>
      <w:tr w:rsidR="00E052FE" w14:paraId="4B966082" w14:textId="77777777">
        <w:trPr>
          <w:trHeight w:val="315"/>
        </w:trPr>
        <w:tc>
          <w:tcPr>
            <w:tcW w:w="1422" w:type="dxa"/>
            <w:vMerge w:val="restart"/>
            <w:tcBorders>
              <w:top w:val="single" w:sz="4" w:space="0" w:color="auto"/>
              <w:bottom w:val="nil"/>
            </w:tcBorders>
            <w:vAlign w:val="center"/>
          </w:tcPr>
          <w:p w14:paraId="7C7A9417" w14:textId="77777777" w:rsidR="00E052FE" w:rsidRDefault="005A1036">
            <w:pPr>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Temperature</w:t>
            </w:r>
          </w:p>
          <w:p w14:paraId="13BD33E2" w14:textId="77777777" w:rsidR="00E052FE" w:rsidRDefault="005A1036">
            <w:pPr>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°C</w:t>
            </w:r>
          </w:p>
        </w:tc>
        <w:tc>
          <w:tcPr>
            <w:tcW w:w="12899" w:type="dxa"/>
            <w:gridSpan w:val="13"/>
            <w:tcBorders>
              <w:top w:val="single" w:sz="4" w:space="0" w:color="auto"/>
              <w:bottom w:val="single" w:sz="4" w:space="0" w:color="auto"/>
            </w:tcBorders>
            <w:noWrap/>
            <w:vAlign w:val="bottom"/>
          </w:tcPr>
          <w:p w14:paraId="4836921C" w14:textId="77777777" w:rsidR="00E052FE" w:rsidRDefault="005A1036">
            <w:pPr>
              <w:spacing w:after="0" w:line="240" w:lineRule="auto"/>
              <w:jc w:val="center"/>
              <w:rPr>
                <w:rFonts w:ascii="Arial" w:eastAsia="Times New Roman" w:hAnsi="Arial" w:cs="Arial"/>
                <w:b/>
                <w:bCs/>
                <w:sz w:val="20"/>
                <w:szCs w:val="20"/>
                <w:lang w:eastAsia="fr-FR"/>
              </w:rPr>
            </w:pPr>
            <w:r>
              <w:rPr>
                <w:rFonts w:ascii="Arial" w:eastAsia="Times New Roman" w:hAnsi="Arial" w:cs="Arial"/>
                <w:b/>
                <w:bCs/>
                <w:sz w:val="20"/>
                <w:szCs w:val="20"/>
                <w:lang w:eastAsia="fr-FR"/>
              </w:rPr>
              <w:t>Residual activity (%) for each pre-incubation time (min)</w:t>
            </w:r>
          </w:p>
        </w:tc>
      </w:tr>
      <w:tr w:rsidR="00E052FE" w14:paraId="45B01953" w14:textId="77777777">
        <w:trPr>
          <w:trHeight w:val="315"/>
        </w:trPr>
        <w:tc>
          <w:tcPr>
            <w:tcW w:w="1422" w:type="dxa"/>
            <w:vMerge/>
            <w:tcBorders>
              <w:top w:val="nil"/>
              <w:bottom w:val="single" w:sz="4" w:space="0" w:color="auto"/>
            </w:tcBorders>
            <w:vAlign w:val="center"/>
          </w:tcPr>
          <w:p w14:paraId="20D7D3C8" w14:textId="77777777" w:rsidR="00E052FE" w:rsidRDefault="00E052FE">
            <w:pPr>
              <w:spacing w:after="0" w:line="240" w:lineRule="auto"/>
              <w:jc w:val="center"/>
              <w:rPr>
                <w:rFonts w:ascii="Arial" w:eastAsia="Times New Roman" w:hAnsi="Arial" w:cs="Arial"/>
                <w:b/>
                <w:bCs/>
                <w:sz w:val="20"/>
                <w:szCs w:val="20"/>
                <w:lang w:eastAsia="fr-FR"/>
              </w:rPr>
            </w:pPr>
          </w:p>
        </w:tc>
        <w:tc>
          <w:tcPr>
            <w:tcW w:w="846" w:type="dxa"/>
            <w:tcBorders>
              <w:top w:val="single" w:sz="4" w:space="0" w:color="auto"/>
              <w:bottom w:val="single" w:sz="4" w:space="0" w:color="auto"/>
            </w:tcBorders>
            <w:noWrap/>
            <w:vAlign w:val="bottom"/>
          </w:tcPr>
          <w:p w14:paraId="1E96DC30"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0</w:t>
            </w:r>
          </w:p>
        </w:tc>
        <w:tc>
          <w:tcPr>
            <w:tcW w:w="1138" w:type="dxa"/>
            <w:tcBorders>
              <w:top w:val="single" w:sz="4" w:space="0" w:color="auto"/>
              <w:bottom w:val="single" w:sz="4" w:space="0" w:color="auto"/>
            </w:tcBorders>
            <w:vAlign w:val="center"/>
          </w:tcPr>
          <w:p w14:paraId="15DFB62B"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w:t>
            </w:r>
          </w:p>
        </w:tc>
        <w:tc>
          <w:tcPr>
            <w:tcW w:w="993" w:type="dxa"/>
            <w:tcBorders>
              <w:top w:val="single" w:sz="4" w:space="0" w:color="auto"/>
              <w:bottom w:val="single" w:sz="4" w:space="0" w:color="auto"/>
            </w:tcBorders>
            <w:vAlign w:val="center"/>
          </w:tcPr>
          <w:p w14:paraId="1FB7C6FE"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10</w:t>
            </w:r>
          </w:p>
        </w:tc>
        <w:tc>
          <w:tcPr>
            <w:tcW w:w="992" w:type="dxa"/>
            <w:tcBorders>
              <w:top w:val="single" w:sz="4" w:space="0" w:color="auto"/>
              <w:bottom w:val="single" w:sz="4" w:space="0" w:color="auto"/>
            </w:tcBorders>
            <w:vAlign w:val="center"/>
          </w:tcPr>
          <w:p w14:paraId="0EB1FAD1"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15</w:t>
            </w:r>
          </w:p>
        </w:tc>
        <w:tc>
          <w:tcPr>
            <w:tcW w:w="992" w:type="dxa"/>
            <w:tcBorders>
              <w:top w:val="single" w:sz="4" w:space="0" w:color="auto"/>
              <w:bottom w:val="single" w:sz="4" w:space="0" w:color="auto"/>
            </w:tcBorders>
            <w:vAlign w:val="center"/>
          </w:tcPr>
          <w:p w14:paraId="103CCFF1"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20</w:t>
            </w:r>
          </w:p>
        </w:tc>
        <w:tc>
          <w:tcPr>
            <w:tcW w:w="992" w:type="dxa"/>
            <w:tcBorders>
              <w:top w:val="single" w:sz="4" w:space="0" w:color="auto"/>
              <w:bottom w:val="single" w:sz="4" w:space="0" w:color="auto"/>
            </w:tcBorders>
            <w:vAlign w:val="center"/>
          </w:tcPr>
          <w:p w14:paraId="3FB8DF08"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25</w:t>
            </w:r>
          </w:p>
        </w:tc>
        <w:tc>
          <w:tcPr>
            <w:tcW w:w="993" w:type="dxa"/>
            <w:tcBorders>
              <w:top w:val="single" w:sz="4" w:space="0" w:color="auto"/>
              <w:bottom w:val="single" w:sz="4" w:space="0" w:color="auto"/>
            </w:tcBorders>
            <w:vAlign w:val="center"/>
          </w:tcPr>
          <w:p w14:paraId="1841B2A3"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30</w:t>
            </w:r>
          </w:p>
        </w:tc>
        <w:tc>
          <w:tcPr>
            <w:tcW w:w="992" w:type="dxa"/>
            <w:tcBorders>
              <w:top w:val="single" w:sz="4" w:space="0" w:color="auto"/>
              <w:bottom w:val="single" w:sz="4" w:space="0" w:color="auto"/>
            </w:tcBorders>
            <w:vAlign w:val="center"/>
          </w:tcPr>
          <w:p w14:paraId="3E0446C7"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35</w:t>
            </w:r>
          </w:p>
        </w:tc>
        <w:tc>
          <w:tcPr>
            <w:tcW w:w="992" w:type="dxa"/>
            <w:tcBorders>
              <w:top w:val="single" w:sz="4" w:space="0" w:color="auto"/>
              <w:bottom w:val="single" w:sz="4" w:space="0" w:color="auto"/>
            </w:tcBorders>
            <w:vAlign w:val="center"/>
          </w:tcPr>
          <w:p w14:paraId="14CB4DCB"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40</w:t>
            </w:r>
          </w:p>
        </w:tc>
        <w:tc>
          <w:tcPr>
            <w:tcW w:w="992" w:type="dxa"/>
            <w:tcBorders>
              <w:top w:val="single" w:sz="4" w:space="0" w:color="auto"/>
              <w:bottom w:val="single" w:sz="4" w:space="0" w:color="auto"/>
            </w:tcBorders>
            <w:vAlign w:val="center"/>
          </w:tcPr>
          <w:p w14:paraId="6468B35A"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45</w:t>
            </w:r>
          </w:p>
        </w:tc>
        <w:tc>
          <w:tcPr>
            <w:tcW w:w="993" w:type="dxa"/>
            <w:tcBorders>
              <w:top w:val="single" w:sz="4" w:space="0" w:color="auto"/>
              <w:bottom w:val="single" w:sz="4" w:space="0" w:color="auto"/>
            </w:tcBorders>
            <w:vAlign w:val="center"/>
          </w:tcPr>
          <w:p w14:paraId="15752C8B"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50</w:t>
            </w:r>
          </w:p>
        </w:tc>
        <w:tc>
          <w:tcPr>
            <w:tcW w:w="992" w:type="dxa"/>
            <w:tcBorders>
              <w:top w:val="single" w:sz="4" w:space="0" w:color="auto"/>
              <w:bottom w:val="single" w:sz="4" w:space="0" w:color="auto"/>
            </w:tcBorders>
            <w:vAlign w:val="center"/>
          </w:tcPr>
          <w:p w14:paraId="17D08180"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55</w:t>
            </w:r>
          </w:p>
        </w:tc>
        <w:tc>
          <w:tcPr>
            <w:tcW w:w="992" w:type="dxa"/>
            <w:tcBorders>
              <w:top w:val="single" w:sz="4" w:space="0" w:color="auto"/>
              <w:bottom w:val="single" w:sz="4" w:space="0" w:color="auto"/>
            </w:tcBorders>
            <w:vAlign w:val="center"/>
          </w:tcPr>
          <w:p w14:paraId="5918A7FA" w14:textId="77777777" w:rsidR="00E052FE" w:rsidRDefault="005A1036">
            <w:pPr>
              <w:spacing w:after="0" w:line="24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60</w:t>
            </w:r>
          </w:p>
        </w:tc>
      </w:tr>
      <w:tr w:rsidR="00E052FE" w14:paraId="62E07F36" w14:textId="77777777">
        <w:trPr>
          <w:trHeight w:val="468"/>
        </w:trPr>
        <w:tc>
          <w:tcPr>
            <w:tcW w:w="1422" w:type="dxa"/>
            <w:tcBorders>
              <w:top w:val="single" w:sz="4" w:space="0" w:color="auto"/>
            </w:tcBorders>
            <w:vAlign w:val="center"/>
          </w:tcPr>
          <w:p w14:paraId="615D27FD" w14:textId="77777777" w:rsidR="00E052FE" w:rsidRDefault="005A1036">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35</w:t>
            </w:r>
          </w:p>
        </w:tc>
        <w:tc>
          <w:tcPr>
            <w:tcW w:w="846" w:type="dxa"/>
            <w:tcBorders>
              <w:top w:val="single" w:sz="4" w:space="0" w:color="auto"/>
            </w:tcBorders>
            <w:noWrap/>
            <w:vAlign w:val="bottom"/>
          </w:tcPr>
          <w:p w14:paraId="2061601B"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tcBorders>
              <w:top w:val="single" w:sz="4" w:space="0" w:color="auto"/>
            </w:tcBorders>
            <w:vAlign w:val="center"/>
          </w:tcPr>
          <w:p w14:paraId="255006B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97.7</w:t>
            </w:r>
            <w:r>
              <w:rPr>
                <w:rFonts w:ascii="Arial" w:hAnsi="Arial" w:cs="Arial"/>
                <w:spacing w:val="-2"/>
                <w:sz w:val="20"/>
                <w:szCs w:val="20"/>
              </w:rPr>
              <w:t>±0.4</w:t>
            </w:r>
          </w:p>
        </w:tc>
        <w:tc>
          <w:tcPr>
            <w:tcW w:w="993" w:type="dxa"/>
            <w:tcBorders>
              <w:top w:val="single" w:sz="4" w:space="0" w:color="auto"/>
            </w:tcBorders>
            <w:vAlign w:val="center"/>
          </w:tcPr>
          <w:p w14:paraId="531D8F1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95.4</w:t>
            </w:r>
            <w:r>
              <w:rPr>
                <w:rFonts w:ascii="Arial" w:hAnsi="Arial" w:cs="Arial"/>
                <w:spacing w:val="-2"/>
                <w:sz w:val="20"/>
                <w:szCs w:val="20"/>
              </w:rPr>
              <w:t>±0.9</w:t>
            </w:r>
          </w:p>
        </w:tc>
        <w:tc>
          <w:tcPr>
            <w:tcW w:w="992" w:type="dxa"/>
            <w:tcBorders>
              <w:top w:val="single" w:sz="4" w:space="0" w:color="auto"/>
            </w:tcBorders>
            <w:vAlign w:val="center"/>
          </w:tcPr>
          <w:p w14:paraId="620B2DC3"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94.4</w:t>
            </w:r>
            <w:r>
              <w:rPr>
                <w:rFonts w:ascii="Arial" w:hAnsi="Arial" w:cs="Arial"/>
                <w:spacing w:val="-2"/>
                <w:sz w:val="20"/>
                <w:szCs w:val="20"/>
              </w:rPr>
              <w:t>±1.2</w:t>
            </w:r>
          </w:p>
        </w:tc>
        <w:tc>
          <w:tcPr>
            <w:tcW w:w="992" w:type="dxa"/>
            <w:tcBorders>
              <w:top w:val="single" w:sz="4" w:space="0" w:color="auto"/>
            </w:tcBorders>
            <w:vAlign w:val="center"/>
          </w:tcPr>
          <w:p w14:paraId="549172CF"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92.1</w:t>
            </w:r>
            <w:r>
              <w:rPr>
                <w:rFonts w:ascii="Arial" w:hAnsi="Arial" w:cs="Arial"/>
                <w:spacing w:val="-2"/>
                <w:sz w:val="20"/>
                <w:szCs w:val="20"/>
              </w:rPr>
              <w:t>±1.6</w:t>
            </w:r>
          </w:p>
        </w:tc>
        <w:tc>
          <w:tcPr>
            <w:tcW w:w="992" w:type="dxa"/>
            <w:tcBorders>
              <w:top w:val="single" w:sz="4" w:space="0" w:color="auto"/>
            </w:tcBorders>
            <w:vAlign w:val="center"/>
          </w:tcPr>
          <w:p w14:paraId="7AC08E8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91.2</w:t>
            </w:r>
            <w:r>
              <w:rPr>
                <w:rFonts w:ascii="Arial" w:hAnsi="Arial" w:cs="Arial"/>
                <w:spacing w:val="-2"/>
                <w:sz w:val="20"/>
                <w:szCs w:val="20"/>
              </w:rPr>
              <w:t>±2</w:t>
            </w:r>
          </w:p>
        </w:tc>
        <w:tc>
          <w:tcPr>
            <w:tcW w:w="993" w:type="dxa"/>
            <w:tcBorders>
              <w:top w:val="single" w:sz="4" w:space="0" w:color="auto"/>
            </w:tcBorders>
            <w:vAlign w:val="center"/>
          </w:tcPr>
          <w:p w14:paraId="56C197E0"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87.9</w:t>
            </w:r>
            <w:r>
              <w:rPr>
                <w:rFonts w:ascii="Arial" w:hAnsi="Arial" w:cs="Arial"/>
                <w:spacing w:val="-2"/>
                <w:sz w:val="20"/>
                <w:szCs w:val="20"/>
              </w:rPr>
              <w:t>±0.2</w:t>
            </w:r>
          </w:p>
        </w:tc>
        <w:tc>
          <w:tcPr>
            <w:tcW w:w="992" w:type="dxa"/>
            <w:tcBorders>
              <w:top w:val="single" w:sz="4" w:space="0" w:color="auto"/>
            </w:tcBorders>
            <w:vAlign w:val="center"/>
          </w:tcPr>
          <w:p w14:paraId="3368B1D2"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87.1</w:t>
            </w:r>
            <w:r>
              <w:rPr>
                <w:rFonts w:ascii="Arial" w:hAnsi="Arial" w:cs="Arial"/>
                <w:spacing w:val="-2"/>
                <w:sz w:val="20"/>
                <w:szCs w:val="20"/>
              </w:rPr>
              <w:t>±1.4</w:t>
            </w:r>
          </w:p>
        </w:tc>
        <w:tc>
          <w:tcPr>
            <w:tcW w:w="992" w:type="dxa"/>
            <w:tcBorders>
              <w:top w:val="single" w:sz="4" w:space="0" w:color="auto"/>
            </w:tcBorders>
            <w:vAlign w:val="center"/>
          </w:tcPr>
          <w:p w14:paraId="66787ED0"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85.6</w:t>
            </w:r>
            <w:r>
              <w:rPr>
                <w:rFonts w:ascii="Arial" w:hAnsi="Arial" w:cs="Arial"/>
                <w:spacing w:val="-2"/>
                <w:sz w:val="20"/>
                <w:szCs w:val="20"/>
              </w:rPr>
              <w:t>±3.4</w:t>
            </w:r>
          </w:p>
        </w:tc>
        <w:tc>
          <w:tcPr>
            <w:tcW w:w="992" w:type="dxa"/>
            <w:tcBorders>
              <w:top w:val="single" w:sz="4" w:space="0" w:color="auto"/>
            </w:tcBorders>
            <w:vAlign w:val="center"/>
          </w:tcPr>
          <w:p w14:paraId="15B2535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83.9</w:t>
            </w:r>
            <w:r>
              <w:rPr>
                <w:rFonts w:ascii="Arial" w:hAnsi="Arial" w:cs="Arial"/>
                <w:spacing w:val="-2"/>
                <w:sz w:val="20"/>
                <w:szCs w:val="20"/>
              </w:rPr>
              <w:t>±2.9</w:t>
            </w:r>
          </w:p>
        </w:tc>
        <w:tc>
          <w:tcPr>
            <w:tcW w:w="993" w:type="dxa"/>
            <w:tcBorders>
              <w:top w:val="single" w:sz="4" w:space="0" w:color="auto"/>
            </w:tcBorders>
            <w:vAlign w:val="center"/>
          </w:tcPr>
          <w:p w14:paraId="0C07F800"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82.5</w:t>
            </w:r>
            <w:r>
              <w:rPr>
                <w:rFonts w:ascii="Arial" w:hAnsi="Arial" w:cs="Arial"/>
                <w:spacing w:val="-2"/>
                <w:sz w:val="20"/>
                <w:szCs w:val="20"/>
              </w:rPr>
              <w:t>±3.2</w:t>
            </w:r>
          </w:p>
        </w:tc>
        <w:tc>
          <w:tcPr>
            <w:tcW w:w="992" w:type="dxa"/>
            <w:tcBorders>
              <w:top w:val="single" w:sz="4" w:space="0" w:color="auto"/>
            </w:tcBorders>
            <w:vAlign w:val="center"/>
          </w:tcPr>
          <w:p w14:paraId="75FBA627"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80.8</w:t>
            </w:r>
            <w:r>
              <w:rPr>
                <w:rFonts w:ascii="Arial" w:hAnsi="Arial" w:cs="Arial"/>
                <w:spacing w:val="-2"/>
                <w:sz w:val="20"/>
                <w:szCs w:val="20"/>
              </w:rPr>
              <w:t>±1.2</w:t>
            </w:r>
          </w:p>
        </w:tc>
        <w:tc>
          <w:tcPr>
            <w:tcW w:w="992" w:type="dxa"/>
            <w:tcBorders>
              <w:top w:val="single" w:sz="4" w:space="0" w:color="auto"/>
            </w:tcBorders>
            <w:vAlign w:val="center"/>
          </w:tcPr>
          <w:p w14:paraId="1B82B94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79.6</w:t>
            </w:r>
            <w:r>
              <w:rPr>
                <w:rFonts w:ascii="Arial" w:hAnsi="Arial" w:cs="Arial"/>
                <w:spacing w:val="-2"/>
                <w:sz w:val="20"/>
                <w:szCs w:val="20"/>
              </w:rPr>
              <w:t>±1.3</w:t>
            </w:r>
          </w:p>
        </w:tc>
      </w:tr>
      <w:tr w:rsidR="00E052FE" w14:paraId="14F425E9" w14:textId="77777777">
        <w:trPr>
          <w:trHeight w:val="315"/>
        </w:trPr>
        <w:tc>
          <w:tcPr>
            <w:tcW w:w="1422" w:type="dxa"/>
            <w:vAlign w:val="center"/>
          </w:tcPr>
          <w:p w14:paraId="6FA4758C" w14:textId="77777777" w:rsidR="00E052FE" w:rsidRDefault="005A1036">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40</w:t>
            </w:r>
          </w:p>
        </w:tc>
        <w:tc>
          <w:tcPr>
            <w:tcW w:w="846" w:type="dxa"/>
            <w:noWrap/>
            <w:vAlign w:val="bottom"/>
          </w:tcPr>
          <w:p w14:paraId="261AEFDD"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28A5A88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94.4</w:t>
            </w:r>
            <w:r>
              <w:rPr>
                <w:rFonts w:ascii="Arial" w:hAnsi="Arial" w:cs="Arial"/>
                <w:spacing w:val="-2"/>
                <w:sz w:val="20"/>
                <w:szCs w:val="20"/>
              </w:rPr>
              <w:t>±2.3</w:t>
            </w:r>
          </w:p>
        </w:tc>
        <w:tc>
          <w:tcPr>
            <w:tcW w:w="993" w:type="dxa"/>
            <w:vAlign w:val="center"/>
          </w:tcPr>
          <w:p w14:paraId="77CCA15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91.3</w:t>
            </w:r>
            <w:r>
              <w:rPr>
                <w:rFonts w:ascii="Arial" w:hAnsi="Arial" w:cs="Arial"/>
                <w:spacing w:val="-2"/>
                <w:sz w:val="20"/>
                <w:szCs w:val="20"/>
              </w:rPr>
              <w:t>±1.5</w:t>
            </w:r>
          </w:p>
        </w:tc>
        <w:tc>
          <w:tcPr>
            <w:tcW w:w="992" w:type="dxa"/>
            <w:vAlign w:val="center"/>
          </w:tcPr>
          <w:p w14:paraId="023A7FC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87.4</w:t>
            </w:r>
            <w:r>
              <w:rPr>
                <w:rFonts w:ascii="Arial" w:hAnsi="Arial" w:cs="Arial"/>
                <w:spacing w:val="-2"/>
                <w:sz w:val="20"/>
                <w:szCs w:val="20"/>
              </w:rPr>
              <w:t>±3.1</w:t>
            </w:r>
          </w:p>
        </w:tc>
        <w:tc>
          <w:tcPr>
            <w:tcW w:w="992" w:type="dxa"/>
            <w:vAlign w:val="center"/>
          </w:tcPr>
          <w:p w14:paraId="116001F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85.2</w:t>
            </w:r>
            <w:r>
              <w:rPr>
                <w:rFonts w:ascii="Arial" w:hAnsi="Arial" w:cs="Arial"/>
                <w:spacing w:val="-2"/>
                <w:sz w:val="20"/>
                <w:szCs w:val="20"/>
              </w:rPr>
              <w:t>±1.6</w:t>
            </w:r>
          </w:p>
        </w:tc>
        <w:tc>
          <w:tcPr>
            <w:tcW w:w="992" w:type="dxa"/>
            <w:vAlign w:val="center"/>
          </w:tcPr>
          <w:p w14:paraId="09FBC6F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81.7</w:t>
            </w:r>
            <w:r>
              <w:rPr>
                <w:rFonts w:ascii="Arial" w:hAnsi="Arial" w:cs="Arial"/>
                <w:spacing w:val="-2"/>
                <w:sz w:val="20"/>
                <w:szCs w:val="20"/>
              </w:rPr>
              <w:t>±1.3</w:t>
            </w:r>
          </w:p>
        </w:tc>
        <w:tc>
          <w:tcPr>
            <w:tcW w:w="993" w:type="dxa"/>
            <w:vAlign w:val="center"/>
          </w:tcPr>
          <w:p w14:paraId="249F5FC0"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77.7</w:t>
            </w:r>
            <w:r>
              <w:rPr>
                <w:rFonts w:ascii="Arial" w:hAnsi="Arial" w:cs="Arial"/>
                <w:spacing w:val="-2"/>
                <w:sz w:val="20"/>
                <w:szCs w:val="20"/>
              </w:rPr>
              <w:t>±4.1</w:t>
            </w:r>
          </w:p>
        </w:tc>
        <w:tc>
          <w:tcPr>
            <w:tcW w:w="992" w:type="dxa"/>
            <w:vAlign w:val="center"/>
          </w:tcPr>
          <w:p w14:paraId="52A5DE7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75.5</w:t>
            </w:r>
            <w:r>
              <w:rPr>
                <w:rFonts w:ascii="Arial" w:hAnsi="Arial" w:cs="Arial"/>
                <w:spacing w:val="-2"/>
                <w:sz w:val="20"/>
                <w:szCs w:val="20"/>
              </w:rPr>
              <w:t>±2.0</w:t>
            </w:r>
          </w:p>
        </w:tc>
        <w:tc>
          <w:tcPr>
            <w:tcW w:w="992" w:type="dxa"/>
            <w:vAlign w:val="center"/>
          </w:tcPr>
          <w:p w14:paraId="43301843" w14:textId="77777777" w:rsidR="00E052FE" w:rsidRDefault="005A1036">
            <w:pPr>
              <w:spacing w:after="0" w:line="480" w:lineRule="auto"/>
              <w:ind w:right="61"/>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72.2</w:t>
            </w:r>
            <w:r>
              <w:rPr>
                <w:rFonts w:ascii="Arial" w:hAnsi="Arial" w:cs="Arial"/>
                <w:spacing w:val="-2"/>
                <w:sz w:val="20"/>
                <w:szCs w:val="20"/>
              </w:rPr>
              <w:t>±2.2</w:t>
            </w:r>
          </w:p>
        </w:tc>
        <w:tc>
          <w:tcPr>
            <w:tcW w:w="992" w:type="dxa"/>
            <w:vAlign w:val="center"/>
          </w:tcPr>
          <w:p w14:paraId="6760AF6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69.7</w:t>
            </w:r>
            <w:r>
              <w:rPr>
                <w:rFonts w:ascii="Arial" w:hAnsi="Arial" w:cs="Arial"/>
                <w:spacing w:val="-2"/>
                <w:sz w:val="20"/>
                <w:szCs w:val="20"/>
              </w:rPr>
              <w:t>±1.3</w:t>
            </w:r>
          </w:p>
        </w:tc>
        <w:tc>
          <w:tcPr>
            <w:tcW w:w="993" w:type="dxa"/>
            <w:vAlign w:val="center"/>
          </w:tcPr>
          <w:p w14:paraId="3E132ADD"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66.3</w:t>
            </w:r>
            <w:r>
              <w:rPr>
                <w:rFonts w:ascii="Arial" w:hAnsi="Arial" w:cs="Arial"/>
                <w:spacing w:val="-2"/>
                <w:sz w:val="20"/>
                <w:szCs w:val="20"/>
              </w:rPr>
              <w:t>±1.7</w:t>
            </w:r>
          </w:p>
        </w:tc>
        <w:tc>
          <w:tcPr>
            <w:tcW w:w="992" w:type="dxa"/>
            <w:vAlign w:val="center"/>
          </w:tcPr>
          <w:p w14:paraId="7D7FDB0C"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64.2</w:t>
            </w:r>
            <w:r>
              <w:rPr>
                <w:rFonts w:ascii="Arial" w:hAnsi="Arial" w:cs="Arial"/>
                <w:spacing w:val="-2"/>
                <w:sz w:val="20"/>
                <w:szCs w:val="20"/>
              </w:rPr>
              <w:t>±2.2</w:t>
            </w:r>
          </w:p>
        </w:tc>
        <w:tc>
          <w:tcPr>
            <w:tcW w:w="992" w:type="dxa"/>
            <w:vAlign w:val="center"/>
          </w:tcPr>
          <w:p w14:paraId="72D43123"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62.1</w:t>
            </w:r>
            <w:r>
              <w:rPr>
                <w:rFonts w:ascii="Arial" w:hAnsi="Arial" w:cs="Arial"/>
                <w:spacing w:val="-2"/>
                <w:sz w:val="20"/>
                <w:szCs w:val="20"/>
              </w:rPr>
              <w:t>±1.7</w:t>
            </w:r>
          </w:p>
        </w:tc>
      </w:tr>
      <w:tr w:rsidR="00E052FE" w14:paraId="6F05B44C" w14:textId="77777777">
        <w:trPr>
          <w:trHeight w:val="315"/>
        </w:trPr>
        <w:tc>
          <w:tcPr>
            <w:tcW w:w="1422" w:type="dxa"/>
            <w:vAlign w:val="center"/>
          </w:tcPr>
          <w:p w14:paraId="2F46AA53" w14:textId="77777777" w:rsidR="00E052FE" w:rsidRDefault="005A1036">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45</w:t>
            </w:r>
          </w:p>
        </w:tc>
        <w:tc>
          <w:tcPr>
            <w:tcW w:w="846" w:type="dxa"/>
            <w:noWrap/>
            <w:vAlign w:val="bottom"/>
          </w:tcPr>
          <w:p w14:paraId="28C71804"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1EBB6B97"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93.5</w:t>
            </w:r>
            <w:r>
              <w:rPr>
                <w:rFonts w:ascii="Arial" w:hAnsi="Arial" w:cs="Arial"/>
                <w:spacing w:val="-2"/>
                <w:sz w:val="20"/>
                <w:szCs w:val="20"/>
              </w:rPr>
              <w:t>±1.6</w:t>
            </w:r>
          </w:p>
        </w:tc>
        <w:tc>
          <w:tcPr>
            <w:tcW w:w="993" w:type="dxa"/>
            <w:vAlign w:val="center"/>
          </w:tcPr>
          <w:p w14:paraId="0471EB2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89.6</w:t>
            </w:r>
            <w:r>
              <w:rPr>
                <w:rFonts w:ascii="Arial" w:hAnsi="Arial" w:cs="Arial"/>
                <w:spacing w:val="-2"/>
                <w:sz w:val="20"/>
                <w:szCs w:val="20"/>
              </w:rPr>
              <w:t>±1.2</w:t>
            </w:r>
          </w:p>
        </w:tc>
        <w:tc>
          <w:tcPr>
            <w:tcW w:w="992" w:type="dxa"/>
            <w:vAlign w:val="center"/>
          </w:tcPr>
          <w:p w14:paraId="4BBD6C4C"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83.8</w:t>
            </w:r>
            <w:r>
              <w:rPr>
                <w:rFonts w:ascii="Arial" w:hAnsi="Arial" w:cs="Arial"/>
                <w:spacing w:val="-2"/>
                <w:sz w:val="20"/>
                <w:szCs w:val="20"/>
              </w:rPr>
              <w:t>±1.1</w:t>
            </w:r>
          </w:p>
        </w:tc>
        <w:tc>
          <w:tcPr>
            <w:tcW w:w="992" w:type="dxa"/>
            <w:vAlign w:val="center"/>
          </w:tcPr>
          <w:p w14:paraId="42259A0F"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80.3</w:t>
            </w:r>
            <w:r>
              <w:rPr>
                <w:rFonts w:ascii="Arial" w:hAnsi="Arial" w:cs="Arial"/>
                <w:spacing w:val="-2"/>
                <w:sz w:val="20"/>
                <w:szCs w:val="20"/>
              </w:rPr>
              <w:t>±1.3</w:t>
            </w:r>
          </w:p>
        </w:tc>
        <w:tc>
          <w:tcPr>
            <w:tcW w:w="992" w:type="dxa"/>
            <w:vAlign w:val="center"/>
          </w:tcPr>
          <w:p w14:paraId="3663DBB3"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77.3</w:t>
            </w:r>
            <w:r>
              <w:rPr>
                <w:rFonts w:ascii="Arial" w:hAnsi="Arial" w:cs="Arial"/>
                <w:spacing w:val="-2"/>
                <w:sz w:val="20"/>
                <w:szCs w:val="20"/>
              </w:rPr>
              <w:t>±2.5</w:t>
            </w:r>
          </w:p>
        </w:tc>
        <w:tc>
          <w:tcPr>
            <w:tcW w:w="993" w:type="dxa"/>
            <w:vAlign w:val="center"/>
          </w:tcPr>
          <w:p w14:paraId="63D904EE"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74.2</w:t>
            </w:r>
            <w:r>
              <w:rPr>
                <w:rFonts w:ascii="Arial" w:hAnsi="Arial" w:cs="Arial"/>
                <w:spacing w:val="-2"/>
                <w:sz w:val="20"/>
                <w:szCs w:val="20"/>
              </w:rPr>
              <w:t>±2.6</w:t>
            </w:r>
          </w:p>
        </w:tc>
        <w:tc>
          <w:tcPr>
            <w:tcW w:w="992" w:type="dxa"/>
            <w:vAlign w:val="center"/>
          </w:tcPr>
          <w:p w14:paraId="649ABD7E"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70.9</w:t>
            </w:r>
            <w:r>
              <w:rPr>
                <w:rFonts w:ascii="Arial" w:hAnsi="Arial" w:cs="Arial"/>
                <w:spacing w:val="-2"/>
                <w:sz w:val="20"/>
                <w:szCs w:val="20"/>
              </w:rPr>
              <w:t>±1.7</w:t>
            </w:r>
          </w:p>
        </w:tc>
        <w:tc>
          <w:tcPr>
            <w:tcW w:w="992" w:type="dxa"/>
            <w:vAlign w:val="center"/>
          </w:tcPr>
          <w:p w14:paraId="0C62E9BD"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67.6</w:t>
            </w:r>
            <w:r>
              <w:rPr>
                <w:rFonts w:ascii="Arial" w:hAnsi="Arial" w:cs="Arial"/>
                <w:spacing w:val="-2"/>
                <w:sz w:val="20"/>
                <w:szCs w:val="20"/>
              </w:rPr>
              <w:t>±1.3</w:t>
            </w:r>
          </w:p>
        </w:tc>
        <w:tc>
          <w:tcPr>
            <w:tcW w:w="992" w:type="dxa"/>
            <w:vAlign w:val="center"/>
          </w:tcPr>
          <w:p w14:paraId="08CED3C7"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65.2</w:t>
            </w:r>
            <w:r>
              <w:rPr>
                <w:rFonts w:ascii="Arial" w:hAnsi="Arial" w:cs="Arial"/>
                <w:spacing w:val="-2"/>
                <w:sz w:val="20"/>
                <w:szCs w:val="20"/>
              </w:rPr>
              <w:t>±1.5</w:t>
            </w:r>
          </w:p>
        </w:tc>
        <w:tc>
          <w:tcPr>
            <w:tcW w:w="993" w:type="dxa"/>
            <w:vAlign w:val="center"/>
          </w:tcPr>
          <w:p w14:paraId="5519893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61.3</w:t>
            </w:r>
            <w:r>
              <w:rPr>
                <w:rFonts w:ascii="Arial" w:hAnsi="Arial" w:cs="Arial"/>
                <w:spacing w:val="-2"/>
                <w:sz w:val="20"/>
                <w:szCs w:val="20"/>
              </w:rPr>
              <w:t>±0.4</w:t>
            </w:r>
          </w:p>
        </w:tc>
        <w:tc>
          <w:tcPr>
            <w:tcW w:w="992" w:type="dxa"/>
            <w:vAlign w:val="center"/>
          </w:tcPr>
          <w:p w14:paraId="06BF2F13"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60.1</w:t>
            </w:r>
            <w:r>
              <w:rPr>
                <w:rFonts w:ascii="Arial" w:hAnsi="Arial" w:cs="Arial"/>
                <w:spacing w:val="-2"/>
                <w:sz w:val="20"/>
                <w:szCs w:val="20"/>
              </w:rPr>
              <w:t>±1.4</w:t>
            </w:r>
          </w:p>
        </w:tc>
        <w:tc>
          <w:tcPr>
            <w:tcW w:w="992" w:type="dxa"/>
            <w:vAlign w:val="center"/>
          </w:tcPr>
          <w:p w14:paraId="7582A7CD"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56.9</w:t>
            </w:r>
            <w:r>
              <w:rPr>
                <w:rFonts w:ascii="Arial" w:hAnsi="Arial" w:cs="Arial"/>
                <w:spacing w:val="-2"/>
                <w:sz w:val="20"/>
                <w:szCs w:val="20"/>
              </w:rPr>
              <w:t>±2.1</w:t>
            </w:r>
          </w:p>
        </w:tc>
      </w:tr>
      <w:tr w:rsidR="00E052FE" w14:paraId="21CB81D6" w14:textId="77777777">
        <w:trPr>
          <w:trHeight w:val="315"/>
        </w:trPr>
        <w:tc>
          <w:tcPr>
            <w:tcW w:w="1422" w:type="dxa"/>
            <w:vAlign w:val="center"/>
          </w:tcPr>
          <w:p w14:paraId="6A8D246E" w14:textId="77777777" w:rsidR="00E052FE" w:rsidRDefault="005A1036">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50</w:t>
            </w:r>
          </w:p>
        </w:tc>
        <w:tc>
          <w:tcPr>
            <w:tcW w:w="846" w:type="dxa"/>
            <w:noWrap/>
            <w:vAlign w:val="bottom"/>
          </w:tcPr>
          <w:p w14:paraId="51AB6CF3"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64CC0C4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90.3</w:t>
            </w:r>
            <w:r>
              <w:rPr>
                <w:rFonts w:ascii="Arial" w:hAnsi="Arial" w:cs="Arial"/>
                <w:spacing w:val="-2"/>
                <w:sz w:val="20"/>
                <w:szCs w:val="20"/>
              </w:rPr>
              <w:t>±2.2</w:t>
            </w:r>
          </w:p>
        </w:tc>
        <w:tc>
          <w:tcPr>
            <w:tcW w:w="993" w:type="dxa"/>
            <w:vAlign w:val="center"/>
          </w:tcPr>
          <w:p w14:paraId="25162A0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84.7</w:t>
            </w:r>
            <w:r>
              <w:rPr>
                <w:rFonts w:ascii="Arial" w:hAnsi="Arial" w:cs="Arial"/>
                <w:spacing w:val="-2"/>
                <w:sz w:val="20"/>
                <w:szCs w:val="20"/>
              </w:rPr>
              <w:t>±1.9</w:t>
            </w:r>
          </w:p>
        </w:tc>
        <w:tc>
          <w:tcPr>
            <w:tcW w:w="992" w:type="dxa"/>
            <w:vAlign w:val="center"/>
          </w:tcPr>
          <w:p w14:paraId="3CF5DD7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76.7</w:t>
            </w:r>
            <w:r>
              <w:rPr>
                <w:rFonts w:ascii="Arial" w:hAnsi="Arial" w:cs="Arial"/>
                <w:spacing w:val="-2"/>
                <w:sz w:val="20"/>
                <w:szCs w:val="20"/>
              </w:rPr>
              <w:t>±1.5</w:t>
            </w:r>
          </w:p>
        </w:tc>
        <w:tc>
          <w:tcPr>
            <w:tcW w:w="992" w:type="dxa"/>
            <w:vAlign w:val="center"/>
          </w:tcPr>
          <w:p w14:paraId="01B4C66E"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w:t>
            </w:r>
            <w:r>
              <w:rPr>
                <w:rFonts w:ascii="Arial" w:hAnsi="Arial" w:cs="Arial"/>
                <w:spacing w:val="-2"/>
                <w:sz w:val="20"/>
                <w:szCs w:val="20"/>
              </w:rPr>
              <w:t>±0.4</w:t>
            </w:r>
            <w:r>
              <w:rPr>
                <w:rFonts w:ascii="Arial" w:eastAsia="Times New Roman" w:hAnsi="Arial" w:cs="Arial"/>
                <w:color w:val="000000"/>
                <w:sz w:val="20"/>
                <w:szCs w:val="20"/>
                <w:lang w:eastAsia="fr-FR"/>
              </w:rPr>
              <w:t>1.9</w:t>
            </w:r>
          </w:p>
        </w:tc>
        <w:tc>
          <w:tcPr>
            <w:tcW w:w="992" w:type="dxa"/>
            <w:vAlign w:val="center"/>
          </w:tcPr>
          <w:p w14:paraId="71CBA28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66.3</w:t>
            </w:r>
            <w:r>
              <w:rPr>
                <w:rFonts w:ascii="Arial" w:hAnsi="Arial" w:cs="Arial"/>
                <w:spacing w:val="-2"/>
                <w:sz w:val="20"/>
                <w:szCs w:val="20"/>
              </w:rPr>
              <w:t>±1.4</w:t>
            </w:r>
          </w:p>
        </w:tc>
        <w:tc>
          <w:tcPr>
            <w:tcW w:w="993" w:type="dxa"/>
            <w:vAlign w:val="center"/>
          </w:tcPr>
          <w:p w14:paraId="14779E0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60.2</w:t>
            </w:r>
            <w:r>
              <w:rPr>
                <w:rFonts w:ascii="Arial" w:hAnsi="Arial" w:cs="Arial"/>
                <w:spacing w:val="-2"/>
                <w:sz w:val="20"/>
                <w:szCs w:val="20"/>
              </w:rPr>
              <w:t>±1.8</w:t>
            </w:r>
          </w:p>
        </w:tc>
        <w:tc>
          <w:tcPr>
            <w:tcW w:w="992" w:type="dxa"/>
            <w:vAlign w:val="center"/>
          </w:tcPr>
          <w:p w14:paraId="6E454635"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57.0</w:t>
            </w:r>
            <w:r>
              <w:rPr>
                <w:rFonts w:ascii="Arial" w:hAnsi="Arial" w:cs="Arial"/>
                <w:spacing w:val="-2"/>
                <w:sz w:val="20"/>
                <w:szCs w:val="20"/>
              </w:rPr>
              <w:t>±2.1</w:t>
            </w:r>
          </w:p>
        </w:tc>
        <w:tc>
          <w:tcPr>
            <w:tcW w:w="992" w:type="dxa"/>
            <w:vAlign w:val="center"/>
          </w:tcPr>
          <w:p w14:paraId="1862610F"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52.8</w:t>
            </w:r>
            <w:r>
              <w:rPr>
                <w:rFonts w:ascii="Arial" w:hAnsi="Arial" w:cs="Arial"/>
                <w:spacing w:val="-2"/>
                <w:sz w:val="20"/>
                <w:szCs w:val="20"/>
              </w:rPr>
              <w:t>±2.4</w:t>
            </w:r>
          </w:p>
        </w:tc>
        <w:tc>
          <w:tcPr>
            <w:tcW w:w="992" w:type="dxa"/>
            <w:vAlign w:val="center"/>
          </w:tcPr>
          <w:p w14:paraId="2F8539A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49.2</w:t>
            </w:r>
            <w:r>
              <w:rPr>
                <w:rFonts w:ascii="Arial" w:hAnsi="Arial" w:cs="Arial"/>
                <w:spacing w:val="-2"/>
                <w:sz w:val="20"/>
                <w:szCs w:val="20"/>
              </w:rPr>
              <w:t>±1.6</w:t>
            </w:r>
          </w:p>
        </w:tc>
        <w:tc>
          <w:tcPr>
            <w:tcW w:w="993" w:type="dxa"/>
            <w:vAlign w:val="center"/>
          </w:tcPr>
          <w:p w14:paraId="3FCF51A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45.8</w:t>
            </w:r>
            <w:r>
              <w:rPr>
                <w:rFonts w:ascii="Arial" w:hAnsi="Arial" w:cs="Arial"/>
                <w:spacing w:val="-2"/>
                <w:sz w:val="20"/>
                <w:szCs w:val="20"/>
              </w:rPr>
              <w:t>±1.6</w:t>
            </w:r>
          </w:p>
        </w:tc>
        <w:tc>
          <w:tcPr>
            <w:tcW w:w="992" w:type="dxa"/>
            <w:vAlign w:val="center"/>
          </w:tcPr>
          <w:p w14:paraId="587163F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12.7</w:t>
            </w:r>
            <w:r>
              <w:rPr>
                <w:rFonts w:ascii="Arial" w:hAnsi="Arial" w:cs="Arial"/>
                <w:spacing w:val="-2"/>
                <w:sz w:val="20"/>
                <w:szCs w:val="20"/>
              </w:rPr>
              <w:t>±1.5</w:t>
            </w:r>
          </w:p>
        </w:tc>
        <w:tc>
          <w:tcPr>
            <w:tcW w:w="992" w:type="dxa"/>
            <w:vAlign w:val="center"/>
          </w:tcPr>
          <w:p w14:paraId="1648B002"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40.8</w:t>
            </w:r>
            <w:r>
              <w:rPr>
                <w:rFonts w:ascii="Arial" w:hAnsi="Arial" w:cs="Arial"/>
                <w:spacing w:val="-2"/>
                <w:sz w:val="20"/>
                <w:szCs w:val="20"/>
              </w:rPr>
              <w:t>±1.3</w:t>
            </w:r>
          </w:p>
        </w:tc>
      </w:tr>
      <w:tr w:rsidR="00E052FE" w14:paraId="11A22595" w14:textId="77777777">
        <w:trPr>
          <w:trHeight w:val="315"/>
        </w:trPr>
        <w:tc>
          <w:tcPr>
            <w:tcW w:w="1422" w:type="dxa"/>
            <w:vAlign w:val="center"/>
          </w:tcPr>
          <w:p w14:paraId="62BCE1DF" w14:textId="77777777" w:rsidR="00E052FE" w:rsidRDefault="005A1036">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55</w:t>
            </w:r>
          </w:p>
        </w:tc>
        <w:tc>
          <w:tcPr>
            <w:tcW w:w="846" w:type="dxa"/>
            <w:noWrap/>
            <w:vAlign w:val="bottom"/>
          </w:tcPr>
          <w:p w14:paraId="7C835B9F"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56549B0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87.4</w:t>
            </w:r>
            <w:r>
              <w:rPr>
                <w:rFonts w:ascii="Arial" w:hAnsi="Arial" w:cs="Arial"/>
                <w:spacing w:val="-2"/>
                <w:sz w:val="20"/>
                <w:szCs w:val="20"/>
              </w:rPr>
              <w:t>±2.5</w:t>
            </w:r>
          </w:p>
        </w:tc>
        <w:tc>
          <w:tcPr>
            <w:tcW w:w="993" w:type="dxa"/>
            <w:vAlign w:val="center"/>
          </w:tcPr>
          <w:p w14:paraId="7D64A25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75.6</w:t>
            </w:r>
            <w:r>
              <w:rPr>
                <w:rFonts w:ascii="Arial" w:hAnsi="Arial" w:cs="Arial"/>
                <w:spacing w:val="-2"/>
                <w:sz w:val="20"/>
                <w:szCs w:val="20"/>
              </w:rPr>
              <w:t>±2</w:t>
            </w:r>
          </w:p>
        </w:tc>
        <w:tc>
          <w:tcPr>
            <w:tcW w:w="992" w:type="dxa"/>
            <w:vAlign w:val="center"/>
          </w:tcPr>
          <w:p w14:paraId="09411D5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67.6</w:t>
            </w:r>
            <w:r>
              <w:rPr>
                <w:rFonts w:ascii="Arial" w:hAnsi="Arial" w:cs="Arial"/>
                <w:spacing w:val="-2"/>
                <w:sz w:val="20"/>
                <w:szCs w:val="20"/>
              </w:rPr>
              <w:t>±0.7</w:t>
            </w:r>
          </w:p>
        </w:tc>
        <w:tc>
          <w:tcPr>
            <w:tcW w:w="992" w:type="dxa"/>
            <w:vAlign w:val="center"/>
          </w:tcPr>
          <w:p w14:paraId="56ACA10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61.8</w:t>
            </w:r>
            <w:r>
              <w:rPr>
                <w:rFonts w:ascii="Arial" w:hAnsi="Arial" w:cs="Arial"/>
                <w:spacing w:val="-2"/>
                <w:sz w:val="20"/>
                <w:szCs w:val="20"/>
              </w:rPr>
              <w:t>±1.4</w:t>
            </w:r>
          </w:p>
        </w:tc>
        <w:tc>
          <w:tcPr>
            <w:tcW w:w="992" w:type="dxa"/>
            <w:vAlign w:val="center"/>
          </w:tcPr>
          <w:p w14:paraId="2C862042"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56.0</w:t>
            </w:r>
            <w:r>
              <w:rPr>
                <w:rFonts w:ascii="Arial" w:hAnsi="Arial" w:cs="Arial"/>
                <w:spacing w:val="-2"/>
                <w:sz w:val="20"/>
                <w:szCs w:val="20"/>
              </w:rPr>
              <w:t>±3.3</w:t>
            </w:r>
          </w:p>
        </w:tc>
        <w:tc>
          <w:tcPr>
            <w:tcW w:w="993" w:type="dxa"/>
            <w:vAlign w:val="center"/>
          </w:tcPr>
          <w:p w14:paraId="5AFCA32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51.1</w:t>
            </w:r>
            <w:r>
              <w:rPr>
                <w:rFonts w:ascii="Arial" w:hAnsi="Arial" w:cs="Arial"/>
                <w:spacing w:val="-2"/>
                <w:sz w:val="20"/>
                <w:szCs w:val="20"/>
              </w:rPr>
              <w:t>±1.2</w:t>
            </w:r>
          </w:p>
        </w:tc>
        <w:tc>
          <w:tcPr>
            <w:tcW w:w="992" w:type="dxa"/>
            <w:vAlign w:val="center"/>
          </w:tcPr>
          <w:p w14:paraId="6F698CB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43.0</w:t>
            </w:r>
            <w:r>
              <w:rPr>
                <w:rFonts w:ascii="Arial" w:hAnsi="Arial" w:cs="Arial"/>
                <w:spacing w:val="-2"/>
                <w:sz w:val="20"/>
                <w:szCs w:val="20"/>
              </w:rPr>
              <w:t>±1.4</w:t>
            </w:r>
          </w:p>
        </w:tc>
        <w:tc>
          <w:tcPr>
            <w:tcW w:w="992" w:type="dxa"/>
            <w:vAlign w:val="center"/>
          </w:tcPr>
          <w:p w14:paraId="5EA7350C"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39.5</w:t>
            </w:r>
            <w:r>
              <w:rPr>
                <w:rFonts w:ascii="Arial" w:hAnsi="Arial" w:cs="Arial"/>
                <w:spacing w:val="-2"/>
                <w:sz w:val="20"/>
                <w:szCs w:val="20"/>
              </w:rPr>
              <w:t>±0.5</w:t>
            </w:r>
          </w:p>
        </w:tc>
        <w:tc>
          <w:tcPr>
            <w:tcW w:w="992" w:type="dxa"/>
            <w:vAlign w:val="center"/>
          </w:tcPr>
          <w:p w14:paraId="704E571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36.0</w:t>
            </w:r>
            <w:r>
              <w:rPr>
                <w:rFonts w:ascii="Arial" w:hAnsi="Arial" w:cs="Arial"/>
                <w:spacing w:val="-2"/>
                <w:sz w:val="20"/>
                <w:szCs w:val="20"/>
              </w:rPr>
              <w:t>±0.7</w:t>
            </w:r>
          </w:p>
        </w:tc>
        <w:tc>
          <w:tcPr>
            <w:tcW w:w="993" w:type="dxa"/>
            <w:vAlign w:val="center"/>
          </w:tcPr>
          <w:p w14:paraId="79A073A5"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31.6</w:t>
            </w:r>
            <w:r>
              <w:rPr>
                <w:rFonts w:ascii="Arial" w:hAnsi="Arial" w:cs="Arial"/>
                <w:spacing w:val="-2"/>
                <w:sz w:val="20"/>
                <w:szCs w:val="20"/>
              </w:rPr>
              <w:t>±1.3</w:t>
            </w:r>
          </w:p>
        </w:tc>
        <w:tc>
          <w:tcPr>
            <w:tcW w:w="992" w:type="dxa"/>
            <w:vAlign w:val="center"/>
          </w:tcPr>
          <w:p w14:paraId="4279300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29.2</w:t>
            </w:r>
            <w:r>
              <w:rPr>
                <w:rFonts w:ascii="Arial" w:hAnsi="Arial" w:cs="Arial"/>
                <w:spacing w:val="-2"/>
                <w:sz w:val="20"/>
                <w:szCs w:val="20"/>
              </w:rPr>
              <w:t>±2.1</w:t>
            </w:r>
          </w:p>
        </w:tc>
        <w:tc>
          <w:tcPr>
            <w:tcW w:w="992" w:type="dxa"/>
            <w:vAlign w:val="center"/>
          </w:tcPr>
          <w:p w14:paraId="2AEA39C7"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24.2</w:t>
            </w:r>
            <w:r>
              <w:rPr>
                <w:rFonts w:ascii="Arial" w:hAnsi="Arial" w:cs="Arial"/>
                <w:spacing w:val="-2"/>
                <w:sz w:val="20"/>
                <w:szCs w:val="20"/>
              </w:rPr>
              <w:t>±1.7</w:t>
            </w:r>
          </w:p>
        </w:tc>
      </w:tr>
      <w:tr w:rsidR="00E052FE" w14:paraId="3991DF4F" w14:textId="77777777">
        <w:trPr>
          <w:trHeight w:val="315"/>
        </w:trPr>
        <w:tc>
          <w:tcPr>
            <w:tcW w:w="1422" w:type="dxa"/>
            <w:vAlign w:val="center"/>
          </w:tcPr>
          <w:p w14:paraId="7EDD95DE" w14:textId="77777777" w:rsidR="00E052FE" w:rsidRDefault="005A1036">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60</w:t>
            </w:r>
          </w:p>
        </w:tc>
        <w:tc>
          <w:tcPr>
            <w:tcW w:w="846" w:type="dxa"/>
            <w:noWrap/>
            <w:vAlign w:val="bottom"/>
          </w:tcPr>
          <w:p w14:paraId="2214B8B8"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05D75932"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85.8</w:t>
            </w:r>
            <w:r>
              <w:rPr>
                <w:rFonts w:ascii="Arial" w:hAnsi="Arial" w:cs="Arial"/>
                <w:spacing w:val="-2"/>
                <w:sz w:val="20"/>
                <w:szCs w:val="20"/>
              </w:rPr>
              <w:t>±1.1</w:t>
            </w:r>
          </w:p>
        </w:tc>
        <w:tc>
          <w:tcPr>
            <w:tcW w:w="993" w:type="dxa"/>
            <w:vAlign w:val="center"/>
          </w:tcPr>
          <w:p w14:paraId="29E20BA7"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75.2</w:t>
            </w:r>
            <w:r>
              <w:rPr>
                <w:rFonts w:ascii="Arial" w:hAnsi="Arial" w:cs="Arial"/>
                <w:spacing w:val="-2"/>
                <w:sz w:val="20"/>
                <w:szCs w:val="20"/>
              </w:rPr>
              <w:t>±2.1</w:t>
            </w:r>
          </w:p>
        </w:tc>
        <w:tc>
          <w:tcPr>
            <w:tcW w:w="992" w:type="dxa"/>
            <w:vAlign w:val="center"/>
          </w:tcPr>
          <w:p w14:paraId="20349DF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67.7</w:t>
            </w:r>
            <w:r>
              <w:rPr>
                <w:rFonts w:ascii="Arial" w:hAnsi="Arial" w:cs="Arial"/>
                <w:spacing w:val="-2"/>
                <w:sz w:val="20"/>
                <w:szCs w:val="20"/>
              </w:rPr>
              <w:t>±1.7</w:t>
            </w:r>
          </w:p>
        </w:tc>
        <w:tc>
          <w:tcPr>
            <w:tcW w:w="992" w:type="dxa"/>
            <w:vAlign w:val="center"/>
          </w:tcPr>
          <w:p w14:paraId="0ABA22F5"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59.6</w:t>
            </w:r>
            <w:r>
              <w:rPr>
                <w:rFonts w:ascii="Arial" w:hAnsi="Arial" w:cs="Arial"/>
                <w:spacing w:val="-2"/>
                <w:sz w:val="20"/>
                <w:szCs w:val="20"/>
              </w:rPr>
              <w:t>±2.7</w:t>
            </w:r>
          </w:p>
        </w:tc>
        <w:tc>
          <w:tcPr>
            <w:tcW w:w="992" w:type="dxa"/>
            <w:vAlign w:val="center"/>
          </w:tcPr>
          <w:p w14:paraId="4ED888D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52.6</w:t>
            </w:r>
            <w:r>
              <w:rPr>
                <w:rFonts w:ascii="Arial" w:hAnsi="Arial" w:cs="Arial"/>
                <w:spacing w:val="-2"/>
                <w:sz w:val="20"/>
                <w:szCs w:val="20"/>
              </w:rPr>
              <w:t>±1.6</w:t>
            </w:r>
          </w:p>
        </w:tc>
        <w:tc>
          <w:tcPr>
            <w:tcW w:w="993" w:type="dxa"/>
            <w:vAlign w:val="center"/>
          </w:tcPr>
          <w:p w14:paraId="14927C50"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46.9</w:t>
            </w:r>
            <w:r>
              <w:rPr>
                <w:rFonts w:ascii="Arial" w:hAnsi="Arial" w:cs="Arial"/>
                <w:spacing w:val="-2"/>
                <w:sz w:val="20"/>
                <w:szCs w:val="20"/>
              </w:rPr>
              <w:t>±1.5</w:t>
            </w:r>
          </w:p>
        </w:tc>
        <w:tc>
          <w:tcPr>
            <w:tcW w:w="992" w:type="dxa"/>
            <w:vAlign w:val="center"/>
          </w:tcPr>
          <w:p w14:paraId="3DD64E8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41.7</w:t>
            </w:r>
            <w:r>
              <w:rPr>
                <w:rFonts w:ascii="Arial" w:hAnsi="Arial" w:cs="Arial"/>
                <w:spacing w:val="-2"/>
                <w:sz w:val="20"/>
                <w:szCs w:val="20"/>
              </w:rPr>
              <w:t>±2.1</w:t>
            </w:r>
          </w:p>
        </w:tc>
        <w:tc>
          <w:tcPr>
            <w:tcW w:w="992" w:type="dxa"/>
            <w:vAlign w:val="center"/>
          </w:tcPr>
          <w:p w14:paraId="5928C5BE"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37.9</w:t>
            </w:r>
            <w:r>
              <w:rPr>
                <w:rFonts w:ascii="Arial" w:hAnsi="Arial" w:cs="Arial"/>
                <w:spacing w:val="-2"/>
                <w:sz w:val="20"/>
                <w:szCs w:val="20"/>
              </w:rPr>
              <w:t>±1.8</w:t>
            </w:r>
          </w:p>
        </w:tc>
        <w:tc>
          <w:tcPr>
            <w:tcW w:w="992" w:type="dxa"/>
            <w:vAlign w:val="center"/>
          </w:tcPr>
          <w:p w14:paraId="203374B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32.3</w:t>
            </w:r>
            <w:r>
              <w:rPr>
                <w:rFonts w:ascii="Arial" w:hAnsi="Arial" w:cs="Arial"/>
                <w:spacing w:val="-2"/>
                <w:sz w:val="20"/>
                <w:szCs w:val="20"/>
              </w:rPr>
              <w:t>±1.4</w:t>
            </w:r>
          </w:p>
        </w:tc>
        <w:tc>
          <w:tcPr>
            <w:tcW w:w="993" w:type="dxa"/>
            <w:vAlign w:val="center"/>
          </w:tcPr>
          <w:p w14:paraId="6D351835"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28.1</w:t>
            </w:r>
            <w:r>
              <w:rPr>
                <w:rFonts w:ascii="Arial" w:hAnsi="Arial" w:cs="Arial"/>
                <w:spacing w:val="-2"/>
                <w:sz w:val="20"/>
                <w:szCs w:val="20"/>
              </w:rPr>
              <w:t>±0.8</w:t>
            </w:r>
          </w:p>
        </w:tc>
        <w:tc>
          <w:tcPr>
            <w:tcW w:w="992" w:type="dxa"/>
            <w:vAlign w:val="center"/>
          </w:tcPr>
          <w:p w14:paraId="4E1D07EE"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24.2</w:t>
            </w:r>
            <w:r>
              <w:rPr>
                <w:rFonts w:ascii="Arial" w:hAnsi="Arial" w:cs="Arial"/>
                <w:spacing w:val="-2"/>
                <w:sz w:val="20"/>
                <w:szCs w:val="20"/>
              </w:rPr>
              <w:t>±1.9</w:t>
            </w:r>
          </w:p>
        </w:tc>
        <w:tc>
          <w:tcPr>
            <w:tcW w:w="992" w:type="dxa"/>
            <w:vAlign w:val="center"/>
          </w:tcPr>
          <w:p w14:paraId="5832E60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20.4</w:t>
            </w:r>
            <w:r>
              <w:rPr>
                <w:rFonts w:ascii="Arial" w:hAnsi="Arial" w:cs="Arial"/>
                <w:spacing w:val="-2"/>
                <w:sz w:val="20"/>
                <w:szCs w:val="20"/>
              </w:rPr>
              <w:t>±0.9</w:t>
            </w:r>
          </w:p>
        </w:tc>
      </w:tr>
      <w:tr w:rsidR="00E052FE" w14:paraId="34717241" w14:textId="77777777">
        <w:trPr>
          <w:trHeight w:val="315"/>
        </w:trPr>
        <w:tc>
          <w:tcPr>
            <w:tcW w:w="1422" w:type="dxa"/>
            <w:vAlign w:val="center"/>
          </w:tcPr>
          <w:p w14:paraId="7A20B674" w14:textId="77777777" w:rsidR="00E052FE" w:rsidRDefault="005A1036">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65</w:t>
            </w:r>
          </w:p>
        </w:tc>
        <w:tc>
          <w:tcPr>
            <w:tcW w:w="846" w:type="dxa"/>
            <w:noWrap/>
            <w:vAlign w:val="bottom"/>
          </w:tcPr>
          <w:p w14:paraId="08F15CC9"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0F1D5CF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77.0</w:t>
            </w:r>
            <w:r>
              <w:rPr>
                <w:rFonts w:ascii="Arial" w:hAnsi="Arial" w:cs="Arial"/>
                <w:spacing w:val="-2"/>
                <w:sz w:val="20"/>
                <w:szCs w:val="20"/>
              </w:rPr>
              <w:t>±0.2.8</w:t>
            </w:r>
          </w:p>
        </w:tc>
        <w:tc>
          <w:tcPr>
            <w:tcW w:w="993" w:type="dxa"/>
            <w:vAlign w:val="center"/>
          </w:tcPr>
          <w:p w14:paraId="7A5B265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67.9</w:t>
            </w:r>
            <w:r>
              <w:rPr>
                <w:rFonts w:ascii="Arial" w:hAnsi="Arial" w:cs="Arial"/>
                <w:spacing w:val="-2"/>
                <w:sz w:val="20"/>
                <w:szCs w:val="20"/>
              </w:rPr>
              <w:t>±1.4</w:t>
            </w:r>
          </w:p>
        </w:tc>
        <w:tc>
          <w:tcPr>
            <w:tcW w:w="992" w:type="dxa"/>
            <w:vAlign w:val="center"/>
          </w:tcPr>
          <w:p w14:paraId="4EA3EBF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53.9</w:t>
            </w:r>
            <w:r>
              <w:rPr>
                <w:rFonts w:ascii="Arial" w:hAnsi="Arial" w:cs="Arial"/>
                <w:spacing w:val="-2"/>
                <w:sz w:val="20"/>
                <w:szCs w:val="20"/>
              </w:rPr>
              <w:t>±08</w:t>
            </w:r>
          </w:p>
        </w:tc>
        <w:tc>
          <w:tcPr>
            <w:tcW w:w="992" w:type="dxa"/>
            <w:vAlign w:val="center"/>
          </w:tcPr>
          <w:p w14:paraId="0DA10F10"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46.6</w:t>
            </w:r>
            <w:r>
              <w:rPr>
                <w:rFonts w:ascii="Arial" w:hAnsi="Arial" w:cs="Arial"/>
                <w:spacing w:val="-2"/>
                <w:sz w:val="20"/>
                <w:szCs w:val="20"/>
              </w:rPr>
              <w:t>±3.1</w:t>
            </w:r>
          </w:p>
        </w:tc>
        <w:tc>
          <w:tcPr>
            <w:tcW w:w="992" w:type="dxa"/>
            <w:vAlign w:val="center"/>
          </w:tcPr>
          <w:p w14:paraId="11B7EF3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39.6</w:t>
            </w:r>
            <w:r>
              <w:rPr>
                <w:rFonts w:ascii="Arial" w:hAnsi="Arial" w:cs="Arial"/>
                <w:spacing w:val="-2"/>
                <w:sz w:val="20"/>
                <w:szCs w:val="20"/>
              </w:rPr>
              <w:t>±1.4</w:t>
            </w:r>
          </w:p>
        </w:tc>
        <w:tc>
          <w:tcPr>
            <w:tcW w:w="993" w:type="dxa"/>
            <w:vAlign w:val="center"/>
          </w:tcPr>
          <w:p w14:paraId="59FB73B2"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31.4</w:t>
            </w:r>
            <w:r>
              <w:rPr>
                <w:rFonts w:ascii="Arial" w:hAnsi="Arial" w:cs="Arial"/>
                <w:spacing w:val="-2"/>
                <w:sz w:val="20"/>
                <w:szCs w:val="20"/>
              </w:rPr>
              <w:t>±2.4</w:t>
            </w:r>
          </w:p>
        </w:tc>
        <w:tc>
          <w:tcPr>
            <w:tcW w:w="992" w:type="dxa"/>
            <w:vAlign w:val="center"/>
          </w:tcPr>
          <w:p w14:paraId="69A325C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26.4</w:t>
            </w:r>
            <w:r>
              <w:rPr>
                <w:rFonts w:ascii="Arial" w:hAnsi="Arial" w:cs="Arial"/>
                <w:spacing w:val="-2"/>
                <w:sz w:val="20"/>
                <w:szCs w:val="20"/>
              </w:rPr>
              <w:t>±0.1</w:t>
            </w:r>
          </w:p>
        </w:tc>
        <w:tc>
          <w:tcPr>
            <w:tcW w:w="992" w:type="dxa"/>
            <w:vAlign w:val="center"/>
          </w:tcPr>
          <w:p w14:paraId="60445EE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21.9</w:t>
            </w:r>
            <w:r>
              <w:rPr>
                <w:rFonts w:ascii="Arial" w:hAnsi="Arial" w:cs="Arial"/>
                <w:spacing w:val="-2"/>
                <w:sz w:val="20"/>
                <w:szCs w:val="20"/>
              </w:rPr>
              <w:t>±0.6</w:t>
            </w:r>
          </w:p>
        </w:tc>
        <w:tc>
          <w:tcPr>
            <w:tcW w:w="992" w:type="dxa"/>
            <w:vAlign w:val="center"/>
          </w:tcPr>
          <w:p w14:paraId="7B0E77F3"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16.6</w:t>
            </w:r>
            <w:r>
              <w:rPr>
                <w:rFonts w:ascii="Arial" w:hAnsi="Arial" w:cs="Arial"/>
                <w:spacing w:val="-2"/>
                <w:sz w:val="20"/>
                <w:szCs w:val="20"/>
              </w:rPr>
              <w:t>±3.4</w:t>
            </w:r>
          </w:p>
        </w:tc>
        <w:tc>
          <w:tcPr>
            <w:tcW w:w="993" w:type="dxa"/>
            <w:vAlign w:val="center"/>
          </w:tcPr>
          <w:p w14:paraId="51BFCA7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12.1</w:t>
            </w:r>
            <w:r>
              <w:rPr>
                <w:rFonts w:ascii="Arial" w:hAnsi="Arial" w:cs="Arial"/>
                <w:spacing w:val="-2"/>
                <w:sz w:val="20"/>
                <w:szCs w:val="20"/>
              </w:rPr>
              <w:t>±0.3</w:t>
            </w:r>
          </w:p>
        </w:tc>
        <w:tc>
          <w:tcPr>
            <w:tcW w:w="992" w:type="dxa"/>
            <w:vAlign w:val="center"/>
          </w:tcPr>
          <w:p w14:paraId="0B865B3E"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9.3</w:t>
            </w:r>
            <w:r>
              <w:rPr>
                <w:rFonts w:ascii="Arial" w:hAnsi="Arial" w:cs="Arial"/>
                <w:spacing w:val="-2"/>
                <w:sz w:val="20"/>
                <w:szCs w:val="20"/>
              </w:rPr>
              <w:t>±0.3</w:t>
            </w:r>
          </w:p>
        </w:tc>
        <w:tc>
          <w:tcPr>
            <w:tcW w:w="992" w:type="dxa"/>
            <w:vAlign w:val="center"/>
          </w:tcPr>
          <w:p w14:paraId="75435AF3"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8.2</w:t>
            </w:r>
            <w:r>
              <w:rPr>
                <w:rFonts w:ascii="Arial" w:hAnsi="Arial" w:cs="Arial"/>
                <w:spacing w:val="-2"/>
                <w:sz w:val="20"/>
                <w:szCs w:val="20"/>
              </w:rPr>
              <w:t>±0.8</w:t>
            </w:r>
          </w:p>
        </w:tc>
      </w:tr>
      <w:tr w:rsidR="00E052FE" w14:paraId="0FB3A238" w14:textId="77777777">
        <w:trPr>
          <w:trHeight w:val="315"/>
        </w:trPr>
        <w:tc>
          <w:tcPr>
            <w:tcW w:w="1422" w:type="dxa"/>
            <w:vAlign w:val="center"/>
          </w:tcPr>
          <w:p w14:paraId="253DA8B3" w14:textId="77777777" w:rsidR="00E052FE" w:rsidRDefault="005A1036">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70</w:t>
            </w:r>
          </w:p>
        </w:tc>
        <w:tc>
          <w:tcPr>
            <w:tcW w:w="846" w:type="dxa"/>
            <w:noWrap/>
            <w:vAlign w:val="bottom"/>
          </w:tcPr>
          <w:p w14:paraId="2CF00248"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0106C93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60.5</w:t>
            </w:r>
            <w:r>
              <w:rPr>
                <w:rFonts w:ascii="Arial" w:hAnsi="Arial" w:cs="Arial"/>
                <w:spacing w:val="-2"/>
                <w:sz w:val="20"/>
                <w:szCs w:val="20"/>
              </w:rPr>
              <w:t>±1.9</w:t>
            </w:r>
          </w:p>
        </w:tc>
        <w:tc>
          <w:tcPr>
            <w:tcW w:w="993" w:type="dxa"/>
            <w:vAlign w:val="center"/>
          </w:tcPr>
          <w:p w14:paraId="214F7FD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40.6</w:t>
            </w:r>
            <w:r>
              <w:rPr>
                <w:rFonts w:ascii="Arial" w:hAnsi="Arial" w:cs="Arial"/>
                <w:spacing w:val="-2"/>
                <w:sz w:val="20"/>
                <w:szCs w:val="20"/>
              </w:rPr>
              <w:t>±1.3</w:t>
            </w:r>
          </w:p>
        </w:tc>
        <w:tc>
          <w:tcPr>
            <w:tcW w:w="992" w:type="dxa"/>
            <w:vAlign w:val="center"/>
          </w:tcPr>
          <w:p w14:paraId="3879E6DC"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25.1</w:t>
            </w:r>
            <w:r>
              <w:rPr>
                <w:rFonts w:ascii="Arial" w:hAnsi="Arial" w:cs="Arial"/>
                <w:spacing w:val="-2"/>
                <w:sz w:val="20"/>
                <w:szCs w:val="20"/>
              </w:rPr>
              <w:t>±1.4</w:t>
            </w:r>
          </w:p>
        </w:tc>
        <w:tc>
          <w:tcPr>
            <w:tcW w:w="992" w:type="dxa"/>
            <w:vAlign w:val="center"/>
          </w:tcPr>
          <w:p w14:paraId="6B6C297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17.2</w:t>
            </w:r>
            <w:r>
              <w:rPr>
                <w:rFonts w:ascii="Arial" w:hAnsi="Arial" w:cs="Arial"/>
                <w:spacing w:val="-2"/>
                <w:sz w:val="20"/>
                <w:szCs w:val="20"/>
              </w:rPr>
              <w:t>±1.6</w:t>
            </w:r>
          </w:p>
        </w:tc>
        <w:tc>
          <w:tcPr>
            <w:tcW w:w="992" w:type="dxa"/>
            <w:vAlign w:val="center"/>
          </w:tcPr>
          <w:p w14:paraId="64D75D6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10.9</w:t>
            </w:r>
            <w:r>
              <w:rPr>
                <w:rFonts w:ascii="Arial" w:hAnsi="Arial" w:cs="Arial"/>
                <w:spacing w:val="-2"/>
                <w:sz w:val="20"/>
                <w:szCs w:val="20"/>
              </w:rPr>
              <w:t>±2.1</w:t>
            </w:r>
          </w:p>
        </w:tc>
        <w:tc>
          <w:tcPr>
            <w:tcW w:w="993" w:type="dxa"/>
            <w:vAlign w:val="center"/>
          </w:tcPr>
          <w:p w14:paraId="3C20505D"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7.1</w:t>
            </w:r>
            <w:r>
              <w:rPr>
                <w:rFonts w:ascii="Arial" w:hAnsi="Arial" w:cs="Arial"/>
                <w:spacing w:val="-2"/>
                <w:sz w:val="20"/>
                <w:szCs w:val="20"/>
              </w:rPr>
              <w:t>±0.9</w:t>
            </w:r>
          </w:p>
        </w:tc>
        <w:tc>
          <w:tcPr>
            <w:tcW w:w="992" w:type="dxa"/>
            <w:vAlign w:val="center"/>
          </w:tcPr>
          <w:p w14:paraId="1CE7520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3.9</w:t>
            </w:r>
            <w:r>
              <w:rPr>
                <w:rFonts w:ascii="Arial" w:hAnsi="Arial" w:cs="Arial"/>
                <w:spacing w:val="-2"/>
                <w:sz w:val="20"/>
                <w:szCs w:val="20"/>
              </w:rPr>
              <w:t>±0.4</w:t>
            </w:r>
          </w:p>
        </w:tc>
        <w:tc>
          <w:tcPr>
            <w:tcW w:w="992" w:type="dxa"/>
            <w:vAlign w:val="center"/>
          </w:tcPr>
          <w:p w14:paraId="5A2A224F"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  2.5</w:t>
            </w:r>
            <w:r>
              <w:rPr>
                <w:rFonts w:ascii="Arial" w:hAnsi="Arial" w:cs="Arial"/>
                <w:spacing w:val="-2"/>
                <w:sz w:val="20"/>
                <w:szCs w:val="20"/>
              </w:rPr>
              <w:t>±0.1</w:t>
            </w:r>
          </w:p>
        </w:tc>
        <w:tc>
          <w:tcPr>
            <w:tcW w:w="992" w:type="dxa"/>
            <w:vAlign w:val="center"/>
          </w:tcPr>
          <w:p w14:paraId="71E5539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1.3</w:t>
            </w:r>
            <w:r>
              <w:rPr>
                <w:rFonts w:ascii="Arial" w:hAnsi="Arial" w:cs="Arial"/>
                <w:spacing w:val="-2"/>
                <w:sz w:val="20"/>
                <w:szCs w:val="20"/>
              </w:rPr>
              <w:t>±0.4</w:t>
            </w:r>
          </w:p>
        </w:tc>
        <w:tc>
          <w:tcPr>
            <w:tcW w:w="993" w:type="dxa"/>
            <w:vAlign w:val="center"/>
          </w:tcPr>
          <w:p w14:paraId="0369DFDC"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1.1</w:t>
            </w:r>
            <w:r>
              <w:rPr>
                <w:rFonts w:ascii="Arial" w:hAnsi="Arial" w:cs="Arial"/>
                <w:spacing w:val="-2"/>
                <w:sz w:val="20"/>
                <w:szCs w:val="20"/>
              </w:rPr>
              <w:t>±0.1</w:t>
            </w:r>
          </w:p>
        </w:tc>
        <w:tc>
          <w:tcPr>
            <w:tcW w:w="992" w:type="dxa"/>
            <w:vAlign w:val="center"/>
          </w:tcPr>
          <w:p w14:paraId="2EF1C0F3"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0.6</w:t>
            </w:r>
            <w:r>
              <w:rPr>
                <w:rFonts w:ascii="Arial" w:hAnsi="Arial" w:cs="Arial"/>
                <w:spacing w:val="-2"/>
                <w:sz w:val="20"/>
                <w:szCs w:val="20"/>
              </w:rPr>
              <w:t>±0.1</w:t>
            </w:r>
          </w:p>
        </w:tc>
        <w:tc>
          <w:tcPr>
            <w:tcW w:w="992" w:type="dxa"/>
            <w:vAlign w:val="center"/>
          </w:tcPr>
          <w:p w14:paraId="13044FBC"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0.3</w:t>
            </w:r>
            <w:r>
              <w:rPr>
                <w:rFonts w:ascii="Arial" w:hAnsi="Arial" w:cs="Arial"/>
                <w:spacing w:val="-2"/>
                <w:sz w:val="20"/>
                <w:szCs w:val="20"/>
              </w:rPr>
              <w:t>±0.1</w:t>
            </w:r>
          </w:p>
        </w:tc>
      </w:tr>
      <w:tr w:rsidR="00E052FE" w14:paraId="1E9D94F4" w14:textId="77777777">
        <w:trPr>
          <w:trHeight w:val="330"/>
        </w:trPr>
        <w:tc>
          <w:tcPr>
            <w:tcW w:w="1422" w:type="dxa"/>
            <w:vAlign w:val="center"/>
          </w:tcPr>
          <w:p w14:paraId="4BA1313C" w14:textId="77777777" w:rsidR="00E052FE" w:rsidRDefault="005A1036">
            <w:pPr>
              <w:spacing w:after="0" w:line="480" w:lineRule="auto"/>
              <w:jc w:val="center"/>
              <w:rPr>
                <w:rFonts w:ascii="Arial" w:eastAsia="Times New Roman" w:hAnsi="Arial" w:cs="Arial"/>
                <w:b/>
                <w:bCs/>
                <w:color w:val="000000"/>
                <w:sz w:val="20"/>
                <w:szCs w:val="20"/>
                <w:lang w:eastAsia="fr-FR"/>
              </w:rPr>
            </w:pPr>
            <w:r>
              <w:rPr>
                <w:rFonts w:ascii="Arial" w:eastAsia="Times New Roman" w:hAnsi="Arial" w:cs="Arial"/>
                <w:b/>
                <w:bCs/>
                <w:color w:val="000000"/>
                <w:sz w:val="20"/>
                <w:szCs w:val="20"/>
                <w:lang w:eastAsia="fr-FR"/>
              </w:rPr>
              <w:t>75</w:t>
            </w:r>
          </w:p>
        </w:tc>
        <w:tc>
          <w:tcPr>
            <w:tcW w:w="846" w:type="dxa"/>
            <w:noWrap/>
            <w:vAlign w:val="bottom"/>
          </w:tcPr>
          <w:p w14:paraId="4C5D6013"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1138" w:type="dxa"/>
            <w:vAlign w:val="center"/>
          </w:tcPr>
          <w:p w14:paraId="05CFE61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34.2</w:t>
            </w:r>
            <w:r>
              <w:rPr>
                <w:rFonts w:ascii="Arial" w:hAnsi="Arial" w:cs="Arial"/>
                <w:spacing w:val="-2"/>
                <w:sz w:val="20"/>
                <w:szCs w:val="20"/>
              </w:rPr>
              <w:t>±1.7</w:t>
            </w:r>
          </w:p>
        </w:tc>
        <w:tc>
          <w:tcPr>
            <w:tcW w:w="993" w:type="dxa"/>
            <w:vAlign w:val="center"/>
          </w:tcPr>
          <w:p w14:paraId="15C1EBB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13.5</w:t>
            </w:r>
            <w:r>
              <w:rPr>
                <w:rFonts w:ascii="Arial" w:hAnsi="Arial" w:cs="Arial"/>
                <w:spacing w:val="-2"/>
                <w:sz w:val="20"/>
                <w:szCs w:val="20"/>
              </w:rPr>
              <w:t>±1.6</w:t>
            </w:r>
          </w:p>
        </w:tc>
        <w:tc>
          <w:tcPr>
            <w:tcW w:w="992" w:type="dxa"/>
            <w:vAlign w:val="center"/>
          </w:tcPr>
          <w:p w14:paraId="66B8D03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w:t>
            </w:r>
            <w:r>
              <w:rPr>
                <w:rFonts w:ascii="Arial" w:hAnsi="Arial" w:cs="Arial"/>
                <w:spacing w:val="-2"/>
                <w:sz w:val="20"/>
                <w:szCs w:val="20"/>
              </w:rPr>
              <w:t>±0.5</w:t>
            </w:r>
          </w:p>
        </w:tc>
        <w:tc>
          <w:tcPr>
            <w:tcW w:w="992" w:type="dxa"/>
            <w:vAlign w:val="center"/>
          </w:tcPr>
          <w:p w14:paraId="52601627"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2.9</w:t>
            </w:r>
            <w:r>
              <w:rPr>
                <w:rFonts w:ascii="Arial" w:hAnsi="Arial" w:cs="Arial"/>
                <w:spacing w:val="-2"/>
                <w:sz w:val="20"/>
                <w:szCs w:val="20"/>
              </w:rPr>
              <w:t>±1.1</w:t>
            </w:r>
          </w:p>
        </w:tc>
        <w:tc>
          <w:tcPr>
            <w:tcW w:w="992" w:type="dxa"/>
            <w:vAlign w:val="center"/>
          </w:tcPr>
          <w:p w14:paraId="1E3F175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1.6</w:t>
            </w:r>
            <w:r>
              <w:rPr>
                <w:rFonts w:ascii="Arial" w:hAnsi="Arial" w:cs="Arial"/>
                <w:spacing w:val="-2"/>
                <w:sz w:val="20"/>
                <w:szCs w:val="20"/>
              </w:rPr>
              <w:t>±0.4</w:t>
            </w:r>
          </w:p>
        </w:tc>
        <w:tc>
          <w:tcPr>
            <w:tcW w:w="993" w:type="dxa"/>
            <w:vAlign w:val="center"/>
          </w:tcPr>
          <w:p w14:paraId="1E90447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0.9</w:t>
            </w:r>
            <w:r>
              <w:rPr>
                <w:rFonts w:ascii="Arial" w:hAnsi="Arial" w:cs="Arial"/>
                <w:spacing w:val="-2"/>
                <w:sz w:val="20"/>
                <w:szCs w:val="20"/>
              </w:rPr>
              <w:t>±0.3</w:t>
            </w:r>
          </w:p>
        </w:tc>
        <w:tc>
          <w:tcPr>
            <w:tcW w:w="992" w:type="dxa"/>
            <w:vAlign w:val="center"/>
          </w:tcPr>
          <w:p w14:paraId="5960557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0,4</w:t>
            </w:r>
            <w:r>
              <w:rPr>
                <w:rFonts w:ascii="Arial" w:hAnsi="Arial" w:cs="Arial"/>
                <w:spacing w:val="-2"/>
                <w:sz w:val="20"/>
                <w:szCs w:val="20"/>
              </w:rPr>
              <w:t>±0.1</w:t>
            </w:r>
          </w:p>
        </w:tc>
        <w:tc>
          <w:tcPr>
            <w:tcW w:w="992" w:type="dxa"/>
            <w:vAlign w:val="center"/>
          </w:tcPr>
          <w:p w14:paraId="2DF8B04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0,3</w:t>
            </w:r>
            <w:r>
              <w:rPr>
                <w:rFonts w:ascii="Arial" w:hAnsi="Arial" w:cs="Arial"/>
                <w:spacing w:val="-2"/>
                <w:sz w:val="20"/>
                <w:szCs w:val="20"/>
              </w:rPr>
              <w:t>±0.1</w:t>
            </w:r>
          </w:p>
        </w:tc>
        <w:tc>
          <w:tcPr>
            <w:tcW w:w="992" w:type="dxa"/>
            <w:vAlign w:val="center"/>
          </w:tcPr>
          <w:p w14:paraId="3D40ADD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0,1</w:t>
            </w:r>
            <w:r>
              <w:rPr>
                <w:rFonts w:ascii="Arial" w:hAnsi="Arial" w:cs="Arial"/>
                <w:spacing w:val="-2"/>
                <w:sz w:val="20"/>
                <w:szCs w:val="20"/>
              </w:rPr>
              <w:t>±0.0</w:t>
            </w:r>
          </w:p>
        </w:tc>
        <w:tc>
          <w:tcPr>
            <w:tcW w:w="993" w:type="dxa"/>
            <w:vAlign w:val="center"/>
          </w:tcPr>
          <w:p w14:paraId="7DB5D49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0,06</w:t>
            </w:r>
            <w:r>
              <w:rPr>
                <w:rFonts w:ascii="Arial" w:hAnsi="Arial" w:cs="Arial"/>
                <w:spacing w:val="-2"/>
                <w:sz w:val="20"/>
                <w:szCs w:val="20"/>
              </w:rPr>
              <w:t>±0.0</w:t>
            </w:r>
          </w:p>
        </w:tc>
        <w:tc>
          <w:tcPr>
            <w:tcW w:w="992" w:type="dxa"/>
            <w:vAlign w:val="center"/>
          </w:tcPr>
          <w:p w14:paraId="130FE05F"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0,02</w:t>
            </w:r>
            <w:r>
              <w:rPr>
                <w:rFonts w:ascii="Arial" w:hAnsi="Arial" w:cs="Arial"/>
                <w:spacing w:val="-2"/>
                <w:sz w:val="20"/>
                <w:szCs w:val="20"/>
              </w:rPr>
              <w:t>±0.4</w:t>
            </w:r>
          </w:p>
        </w:tc>
        <w:tc>
          <w:tcPr>
            <w:tcW w:w="992" w:type="dxa"/>
            <w:vAlign w:val="center"/>
          </w:tcPr>
          <w:p w14:paraId="7FBCC28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0,01</w:t>
            </w:r>
            <w:r>
              <w:rPr>
                <w:rFonts w:ascii="Arial" w:hAnsi="Arial" w:cs="Arial"/>
                <w:spacing w:val="-2"/>
                <w:sz w:val="20"/>
                <w:szCs w:val="20"/>
              </w:rPr>
              <w:t>±0</w:t>
            </w:r>
          </w:p>
        </w:tc>
      </w:tr>
    </w:tbl>
    <w:p w14:paraId="57C52761" w14:textId="77777777" w:rsidR="00E052FE" w:rsidRDefault="00E052FE">
      <w:pPr>
        <w:spacing w:before="183" w:after="0" w:line="240" w:lineRule="auto"/>
        <w:jc w:val="center"/>
        <w:rPr>
          <w:rFonts w:ascii="Arial" w:hAnsi="Arial" w:cs="Arial"/>
          <w:b/>
          <w:lang w:val="en"/>
        </w:rPr>
      </w:pPr>
    </w:p>
    <w:p w14:paraId="5B631D09" w14:textId="77777777" w:rsidR="00E052FE" w:rsidRDefault="00E052FE">
      <w:pPr>
        <w:spacing w:before="183" w:after="0" w:line="240" w:lineRule="auto"/>
        <w:jc w:val="both"/>
        <w:rPr>
          <w:rFonts w:ascii="Arial" w:hAnsi="Arial" w:cs="Arial"/>
          <w:b/>
          <w:lang w:val="en"/>
        </w:rPr>
      </w:pPr>
    </w:p>
    <w:p w14:paraId="32FE7FF6" w14:textId="77777777" w:rsidR="00E052FE" w:rsidRDefault="00E052FE">
      <w:pPr>
        <w:spacing w:before="183" w:after="0" w:line="240" w:lineRule="auto"/>
        <w:jc w:val="both"/>
        <w:rPr>
          <w:rFonts w:ascii="Arial" w:hAnsi="Arial" w:cs="Arial"/>
          <w:b/>
          <w:lang w:val="en"/>
        </w:rPr>
      </w:pPr>
    </w:p>
    <w:p w14:paraId="7624CC37" w14:textId="77777777" w:rsidR="00E052FE" w:rsidRDefault="00E052FE">
      <w:pPr>
        <w:spacing w:before="183" w:after="0" w:line="240" w:lineRule="auto"/>
        <w:jc w:val="both"/>
        <w:rPr>
          <w:rFonts w:ascii="Arial" w:hAnsi="Arial" w:cs="Arial"/>
          <w:b/>
          <w:lang w:val="en"/>
        </w:rPr>
      </w:pPr>
    </w:p>
    <w:p w14:paraId="4BC18571" w14:textId="77777777" w:rsidR="00050688" w:rsidRDefault="00050688">
      <w:pPr>
        <w:spacing w:before="183" w:after="0" w:line="240" w:lineRule="auto"/>
        <w:jc w:val="both"/>
        <w:rPr>
          <w:rFonts w:ascii="Arial" w:hAnsi="Arial" w:cs="Arial"/>
          <w:b/>
          <w:sz w:val="20"/>
          <w:szCs w:val="20"/>
          <w:lang w:val="en"/>
        </w:rPr>
      </w:pPr>
    </w:p>
    <w:p w14:paraId="768DE917" w14:textId="77777777" w:rsidR="00050688" w:rsidRDefault="00050688">
      <w:pPr>
        <w:spacing w:before="183" w:after="0" w:line="240" w:lineRule="auto"/>
        <w:jc w:val="both"/>
        <w:rPr>
          <w:rFonts w:ascii="Arial" w:hAnsi="Arial" w:cs="Arial"/>
          <w:b/>
          <w:sz w:val="20"/>
          <w:szCs w:val="20"/>
          <w:lang w:val="en"/>
        </w:rPr>
      </w:pPr>
    </w:p>
    <w:p w14:paraId="12813A63" w14:textId="77777777" w:rsidR="00050688" w:rsidRDefault="00050688">
      <w:pPr>
        <w:spacing w:before="183" w:after="0" w:line="240" w:lineRule="auto"/>
        <w:jc w:val="both"/>
        <w:rPr>
          <w:rFonts w:ascii="Arial" w:hAnsi="Arial" w:cs="Arial"/>
          <w:b/>
          <w:sz w:val="20"/>
          <w:szCs w:val="20"/>
          <w:lang w:val="en"/>
        </w:rPr>
      </w:pPr>
    </w:p>
    <w:p w14:paraId="3FE82DC8" w14:textId="77777777" w:rsidR="00050688" w:rsidRDefault="00050688">
      <w:pPr>
        <w:spacing w:before="183" w:after="0" w:line="240" w:lineRule="auto"/>
        <w:jc w:val="both"/>
        <w:rPr>
          <w:rFonts w:ascii="Arial" w:hAnsi="Arial" w:cs="Arial"/>
          <w:b/>
          <w:sz w:val="20"/>
          <w:szCs w:val="20"/>
          <w:lang w:val="en"/>
        </w:rPr>
      </w:pPr>
    </w:p>
    <w:p w14:paraId="008956DB" w14:textId="77777777" w:rsidR="00050688" w:rsidRDefault="00050688">
      <w:pPr>
        <w:spacing w:before="183" w:after="0" w:line="240" w:lineRule="auto"/>
        <w:jc w:val="both"/>
        <w:rPr>
          <w:rFonts w:ascii="Arial" w:hAnsi="Arial" w:cs="Arial"/>
          <w:b/>
          <w:sz w:val="20"/>
          <w:szCs w:val="20"/>
          <w:lang w:val="en"/>
        </w:rPr>
      </w:pPr>
    </w:p>
    <w:p w14:paraId="36C4C0A6" w14:textId="77777777" w:rsidR="00050688" w:rsidRDefault="00050688">
      <w:pPr>
        <w:spacing w:before="183" w:after="0" w:line="240" w:lineRule="auto"/>
        <w:jc w:val="both"/>
        <w:rPr>
          <w:rFonts w:ascii="Arial" w:hAnsi="Arial" w:cs="Arial"/>
          <w:b/>
          <w:sz w:val="20"/>
          <w:szCs w:val="20"/>
          <w:lang w:val="en"/>
        </w:rPr>
      </w:pPr>
    </w:p>
    <w:p w14:paraId="14D870FE" w14:textId="77777777" w:rsidR="00050688" w:rsidRDefault="00050688">
      <w:pPr>
        <w:spacing w:before="183" w:after="0" w:line="240" w:lineRule="auto"/>
        <w:jc w:val="both"/>
        <w:rPr>
          <w:rFonts w:ascii="Arial" w:hAnsi="Arial" w:cs="Arial"/>
          <w:b/>
          <w:sz w:val="20"/>
          <w:szCs w:val="20"/>
          <w:lang w:val="en"/>
        </w:rPr>
      </w:pPr>
    </w:p>
    <w:p w14:paraId="3FFE0979" w14:textId="77777777" w:rsidR="00050688" w:rsidRDefault="00050688">
      <w:pPr>
        <w:spacing w:before="183" w:after="0" w:line="240" w:lineRule="auto"/>
        <w:jc w:val="both"/>
        <w:rPr>
          <w:rFonts w:ascii="Arial" w:hAnsi="Arial" w:cs="Arial"/>
          <w:b/>
          <w:sz w:val="20"/>
          <w:szCs w:val="20"/>
          <w:lang w:val="en"/>
        </w:rPr>
      </w:pPr>
    </w:p>
    <w:p w14:paraId="6E6E9BF2" w14:textId="0FBE30EA" w:rsidR="00E052FE" w:rsidRPr="00050688" w:rsidRDefault="005A1036" w:rsidP="00050688">
      <w:pPr>
        <w:spacing w:before="183" w:after="0" w:line="240" w:lineRule="auto"/>
        <w:jc w:val="center"/>
        <w:rPr>
          <w:rFonts w:ascii="Arial" w:hAnsi="Arial" w:cs="Arial"/>
          <w:b/>
          <w:sz w:val="20"/>
          <w:szCs w:val="20"/>
        </w:rPr>
      </w:pPr>
      <w:r w:rsidRPr="00050688">
        <w:rPr>
          <w:rFonts w:ascii="Arial" w:hAnsi="Arial" w:cs="Arial"/>
          <w:b/>
          <w:sz w:val="20"/>
          <w:szCs w:val="20"/>
          <w:lang w:val="en"/>
        </w:rPr>
        <w:t>Table3:</w:t>
      </w:r>
      <w:r w:rsidR="00050688">
        <w:rPr>
          <w:rFonts w:ascii="Arial" w:hAnsi="Arial" w:cs="Arial"/>
          <w:b/>
          <w:sz w:val="20"/>
          <w:szCs w:val="20"/>
          <w:lang w:val="en"/>
        </w:rPr>
        <w:t xml:space="preserve"> </w:t>
      </w:r>
      <w:r w:rsidRPr="00050688">
        <w:rPr>
          <w:rFonts w:ascii="Arial" w:hAnsi="Arial" w:cs="Arial"/>
          <w:b/>
          <w:sz w:val="20"/>
          <w:szCs w:val="20"/>
          <w:lang w:val="en"/>
        </w:rPr>
        <w:t>Residual activities of activated polyphenol oxidase from yam (</w:t>
      </w:r>
      <w:r w:rsidRPr="00050688">
        <w:rPr>
          <w:rFonts w:ascii="Arial" w:hAnsi="Arial" w:cs="Arial"/>
          <w:b/>
          <w:i/>
          <w:iCs/>
          <w:sz w:val="20"/>
          <w:szCs w:val="20"/>
          <w:lang w:val="en"/>
        </w:rPr>
        <w:t>Dioscorea cayenensis-rotundata</w:t>
      </w:r>
      <w:r w:rsidRPr="00050688">
        <w:rPr>
          <w:rFonts w:ascii="Arial" w:hAnsi="Arial" w:cs="Arial"/>
          <w:b/>
          <w:sz w:val="20"/>
          <w:szCs w:val="20"/>
          <w:lang w:val="en"/>
        </w:rPr>
        <w:t>) cultivar "Zrèzrou" as a function of temperature (35 °C to 55 °C) and pre-incubation time (5 min to 60 min)</w:t>
      </w:r>
    </w:p>
    <w:tbl>
      <w:tblPr>
        <w:tblpPr w:leftFromText="141" w:rightFromText="141" w:vertAnchor="text" w:horzAnchor="margin" w:tblpXSpec="center" w:tblpY="291"/>
        <w:tblW w:w="1063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27"/>
        <w:gridCol w:w="825"/>
        <w:gridCol w:w="910"/>
        <w:gridCol w:w="1021"/>
        <w:gridCol w:w="910"/>
        <w:gridCol w:w="910"/>
        <w:gridCol w:w="910"/>
        <w:gridCol w:w="910"/>
        <w:gridCol w:w="910"/>
        <w:gridCol w:w="910"/>
        <w:gridCol w:w="910"/>
        <w:gridCol w:w="910"/>
        <w:gridCol w:w="910"/>
      </w:tblGrid>
      <w:tr w:rsidR="00E052FE" w14:paraId="73822089" w14:textId="77777777">
        <w:trPr>
          <w:trHeight w:val="413"/>
        </w:trPr>
        <w:tc>
          <w:tcPr>
            <w:tcW w:w="1727" w:type="dxa"/>
            <w:vMerge w:val="restart"/>
            <w:tcBorders>
              <w:top w:val="single" w:sz="4" w:space="0" w:color="auto"/>
            </w:tcBorders>
            <w:noWrap/>
            <w:vAlign w:val="center"/>
          </w:tcPr>
          <w:p w14:paraId="16FFF345"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Temperature (°C)</w:t>
            </w:r>
          </w:p>
        </w:tc>
        <w:tc>
          <w:tcPr>
            <w:tcW w:w="8905" w:type="dxa"/>
            <w:gridSpan w:val="12"/>
            <w:tcBorders>
              <w:top w:val="single" w:sz="4" w:space="0" w:color="auto"/>
              <w:bottom w:val="single" w:sz="4" w:space="0" w:color="auto"/>
            </w:tcBorders>
            <w:noWrap/>
            <w:vAlign w:val="center"/>
          </w:tcPr>
          <w:p w14:paraId="4D399A67"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Residual activity (%) for each pre-inc</w:t>
            </w:r>
            <w:r>
              <w:rPr>
                <w:rFonts w:ascii="Arial" w:eastAsia="Times New Roman" w:hAnsi="Arial" w:cs="Arial"/>
                <w:b/>
                <w:bCs/>
                <w:color w:val="000000"/>
                <w:lang w:eastAsia="fr-FR"/>
              </w:rPr>
              <w:t>ubation time (min)</w:t>
            </w:r>
          </w:p>
          <w:p w14:paraId="5801BD6A" w14:textId="77777777" w:rsidR="00E052FE" w:rsidRDefault="00E052FE">
            <w:pPr>
              <w:spacing w:after="0" w:line="240" w:lineRule="auto"/>
              <w:jc w:val="center"/>
              <w:rPr>
                <w:rFonts w:ascii="Arial" w:eastAsia="Times New Roman" w:hAnsi="Arial" w:cs="Arial"/>
                <w:b/>
                <w:bCs/>
                <w:color w:val="000000"/>
                <w:lang w:eastAsia="fr-FR"/>
              </w:rPr>
            </w:pPr>
          </w:p>
        </w:tc>
      </w:tr>
      <w:tr w:rsidR="00E052FE" w14:paraId="4CE8804A" w14:textId="77777777">
        <w:trPr>
          <w:trHeight w:val="90"/>
        </w:trPr>
        <w:tc>
          <w:tcPr>
            <w:tcW w:w="1727" w:type="dxa"/>
            <w:vMerge/>
            <w:tcBorders>
              <w:bottom w:val="single" w:sz="4" w:space="0" w:color="auto"/>
            </w:tcBorders>
            <w:vAlign w:val="center"/>
          </w:tcPr>
          <w:p w14:paraId="76A5A46A" w14:textId="77777777" w:rsidR="00E052FE" w:rsidRDefault="00E052FE">
            <w:pPr>
              <w:spacing w:after="0" w:line="240" w:lineRule="auto"/>
              <w:jc w:val="both"/>
              <w:rPr>
                <w:rFonts w:ascii="Arial" w:eastAsia="Times New Roman" w:hAnsi="Arial" w:cs="Arial"/>
                <w:b/>
                <w:bCs/>
                <w:color w:val="000000"/>
                <w:lang w:eastAsia="fr-FR"/>
              </w:rPr>
            </w:pPr>
          </w:p>
        </w:tc>
        <w:tc>
          <w:tcPr>
            <w:tcW w:w="825" w:type="dxa"/>
            <w:tcBorders>
              <w:top w:val="single" w:sz="4" w:space="0" w:color="auto"/>
              <w:bottom w:val="single" w:sz="4" w:space="0" w:color="auto"/>
            </w:tcBorders>
            <w:noWrap/>
            <w:vAlign w:val="bottom"/>
          </w:tcPr>
          <w:p w14:paraId="5EEDD269"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0</w:t>
            </w:r>
          </w:p>
        </w:tc>
        <w:tc>
          <w:tcPr>
            <w:tcW w:w="850" w:type="dxa"/>
            <w:tcBorders>
              <w:top w:val="single" w:sz="4" w:space="0" w:color="auto"/>
              <w:bottom w:val="single" w:sz="4" w:space="0" w:color="auto"/>
            </w:tcBorders>
            <w:noWrap/>
            <w:vAlign w:val="bottom"/>
          </w:tcPr>
          <w:p w14:paraId="7982122E"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5</w:t>
            </w:r>
          </w:p>
        </w:tc>
        <w:tc>
          <w:tcPr>
            <w:tcW w:w="709" w:type="dxa"/>
            <w:tcBorders>
              <w:top w:val="single" w:sz="4" w:space="0" w:color="auto"/>
              <w:bottom w:val="single" w:sz="4" w:space="0" w:color="auto"/>
            </w:tcBorders>
            <w:noWrap/>
            <w:vAlign w:val="bottom"/>
          </w:tcPr>
          <w:p w14:paraId="1D06AF49"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10</w:t>
            </w:r>
          </w:p>
        </w:tc>
        <w:tc>
          <w:tcPr>
            <w:tcW w:w="680" w:type="dxa"/>
            <w:tcBorders>
              <w:top w:val="single" w:sz="4" w:space="0" w:color="auto"/>
              <w:bottom w:val="single" w:sz="4" w:space="0" w:color="auto"/>
            </w:tcBorders>
            <w:noWrap/>
            <w:vAlign w:val="bottom"/>
          </w:tcPr>
          <w:p w14:paraId="2342567D"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15</w:t>
            </w:r>
          </w:p>
        </w:tc>
        <w:tc>
          <w:tcPr>
            <w:tcW w:w="680" w:type="dxa"/>
            <w:tcBorders>
              <w:top w:val="single" w:sz="4" w:space="0" w:color="auto"/>
              <w:bottom w:val="single" w:sz="4" w:space="0" w:color="auto"/>
            </w:tcBorders>
            <w:noWrap/>
            <w:vAlign w:val="bottom"/>
          </w:tcPr>
          <w:p w14:paraId="539554E7"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20</w:t>
            </w:r>
          </w:p>
        </w:tc>
        <w:tc>
          <w:tcPr>
            <w:tcW w:w="766" w:type="dxa"/>
            <w:tcBorders>
              <w:top w:val="single" w:sz="4" w:space="0" w:color="auto"/>
              <w:bottom w:val="single" w:sz="4" w:space="0" w:color="auto"/>
            </w:tcBorders>
            <w:noWrap/>
            <w:vAlign w:val="bottom"/>
          </w:tcPr>
          <w:p w14:paraId="2ED37D10"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30</w:t>
            </w:r>
          </w:p>
        </w:tc>
        <w:tc>
          <w:tcPr>
            <w:tcW w:w="709" w:type="dxa"/>
            <w:tcBorders>
              <w:top w:val="single" w:sz="4" w:space="0" w:color="auto"/>
              <w:bottom w:val="single" w:sz="4" w:space="0" w:color="auto"/>
            </w:tcBorders>
            <w:noWrap/>
            <w:vAlign w:val="bottom"/>
          </w:tcPr>
          <w:p w14:paraId="309ABC0B"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35</w:t>
            </w:r>
          </w:p>
        </w:tc>
        <w:tc>
          <w:tcPr>
            <w:tcW w:w="709" w:type="dxa"/>
            <w:tcBorders>
              <w:top w:val="single" w:sz="4" w:space="0" w:color="auto"/>
              <w:bottom w:val="single" w:sz="4" w:space="0" w:color="auto"/>
            </w:tcBorders>
            <w:noWrap/>
            <w:vAlign w:val="bottom"/>
          </w:tcPr>
          <w:p w14:paraId="1E70C0F2"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40</w:t>
            </w:r>
          </w:p>
        </w:tc>
        <w:tc>
          <w:tcPr>
            <w:tcW w:w="709" w:type="dxa"/>
            <w:tcBorders>
              <w:top w:val="single" w:sz="4" w:space="0" w:color="auto"/>
              <w:bottom w:val="single" w:sz="4" w:space="0" w:color="auto"/>
            </w:tcBorders>
            <w:noWrap/>
            <w:vAlign w:val="bottom"/>
          </w:tcPr>
          <w:p w14:paraId="140422E7"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45</w:t>
            </w:r>
          </w:p>
        </w:tc>
        <w:tc>
          <w:tcPr>
            <w:tcW w:w="708" w:type="dxa"/>
            <w:tcBorders>
              <w:top w:val="single" w:sz="4" w:space="0" w:color="auto"/>
              <w:bottom w:val="single" w:sz="4" w:space="0" w:color="auto"/>
            </w:tcBorders>
            <w:noWrap/>
            <w:vAlign w:val="bottom"/>
          </w:tcPr>
          <w:p w14:paraId="1C762A7D"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50</w:t>
            </w:r>
          </w:p>
        </w:tc>
        <w:tc>
          <w:tcPr>
            <w:tcW w:w="851" w:type="dxa"/>
            <w:tcBorders>
              <w:top w:val="single" w:sz="4" w:space="0" w:color="auto"/>
              <w:bottom w:val="single" w:sz="4" w:space="0" w:color="auto"/>
            </w:tcBorders>
            <w:noWrap/>
            <w:vAlign w:val="bottom"/>
          </w:tcPr>
          <w:p w14:paraId="7F9F97D5"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55</w:t>
            </w:r>
          </w:p>
        </w:tc>
        <w:tc>
          <w:tcPr>
            <w:tcW w:w="709" w:type="dxa"/>
            <w:tcBorders>
              <w:top w:val="single" w:sz="4" w:space="0" w:color="auto"/>
              <w:bottom w:val="single" w:sz="4" w:space="0" w:color="auto"/>
            </w:tcBorders>
            <w:noWrap/>
            <w:vAlign w:val="bottom"/>
          </w:tcPr>
          <w:p w14:paraId="144583DD" w14:textId="77777777" w:rsidR="00E052FE" w:rsidRDefault="005A1036">
            <w:pPr>
              <w:spacing w:after="0" w:line="240" w:lineRule="auto"/>
              <w:jc w:val="center"/>
              <w:rPr>
                <w:rFonts w:ascii="Arial" w:eastAsia="Times New Roman" w:hAnsi="Arial" w:cs="Arial"/>
                <w:b/>
                <w:bCs/>
                <w:color w:val="000000"/>
                <w:lang w:eastAsia="fr-FR"/>
              </w:rPr>
            </w:pPr>
            <w:r>
              <w:rPr>
                <w:rFonts w:ascii="Arial" w:eastAsia="Times New Roman" w:hAnsi="Arial" w:cs="Arial"/>
                <w:b/>
                <w:bCs/>
                <w:color w:val="000000"/>
                <w:lang w:eastAsia="fr-FR"/>
              </w:rPr>
              <w:t>60</w:t>
            </w:r>
          </w:p>
        </w:tc>
      </w:tr>
      <w:tr w:rsidR="00E052FE" w14:paraId="127E5785" w14:textId="77777777">
        <w:trPr>
          <w:trHeight w:val="315"/>
        </w:trPr>
        <w:tc>
          <w:tcPr>
            <w:tcW w:w="1727" w:type="dxa"/>
            <w:tcBorders>
              <w:top w:val="single" w:sz="4" w:space="0" w:color="auto"/>
            </w:tcBorders>
            <w:noWrap/>
            <w:vAlign w:val="bottom"/>
          </w:tcPr>
          <w:p w14:paraId="17101864" w14:textId="77777777" w:rsidR="00E052FE" w:rsidRDefault="005A1036">
            <w:pPr>
              <w:spacing w:after="0" w:line="480" w:lineRule="auto"/>
              <w:jc w:val="both"/>
              <w:rPr>
                <w:rFonts w:ascii="Arial" w:eastAsia="Times New Roman" w:hAnsi="Arial" w:cs="Arial"/>
                <w:b/>
                <w:bCs/>
                <w:color w:val="000000"/>
                <w:lang w:eastAsia="fr-FR"/>
              </w:rPr>
            </w:pPr>
            <w:r>
              <w:rPr>
                <w:rFonts w:ascii="Arial" w:eastAsia="Times New Roman" w:hAnsi="Arial" w:cs="Arial"/>
                <w:b/>
                <w:bCs/>
                <w:color w:val="000000"/>
                <w:lang w:eastAsia="fr-FR"/>
              </w:rPr>
              <w:t>35°C</w:t>
            </w:r>
          </w:p>
        </w:tc>
        <w:tc>
          <w:tcPr>
            <w:tcW w:w="825" w:type="dxa"/>
            <w:tcBorders>
              <w:top w:val="single" w:sz="4" w:space="0" w:color="auto"/>
            </w:tcBorders>
            <w:noWrap/>
            <w:vAlign w:val="bottom"/>
          </w:tcPr>
          <w:p w14:paraId="7918D705"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850" w:type="dxa"/>
            <w:tcBorders>
              <w:top w:val="single" w:sz="4" w:space="0" w:color="auto"/>
            </w:tcBorders>
            <w:noWrap/>
            <w:vAlign w:val="bottom"/>
          </w:tcPr>
          <w:p w14:paraId="4A0EFC4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98.0</w:t>
            </w:r>
            <w:r>
              <w:rPr>
                <w:rFonts w:ascii="Arial" w:hAnsi="Arial" w:cs="Arial"/>
                <w:spacing w:val="-2"/>
                <w:sz w:val="20"/>
                <w:szCs w:val="20"/>
              </w:rPr>
              <w:t>±1.4</w:t>
            </w:r>
          </w:p>
        </w:tc>
        <w:tc>
          <w:tcPr>
            <w:tcW w:w="709" w:type="dxa"/>
            <w:tcBorders>
              <w:top w:val="single" w:sz="4" w:space="0" w:color="auto"/>
            </w:tcBorders>
            <w:noWrap/>
            <w:vAlign w:val="bottom"/>
          </w:tcPr>
          <w:p w14:paraId="5F7CCE7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97.12</w:t>
            </w:r>
            <w:r>
              <w:rPr>
                <w:rFonts w:ascii="Arial" w:hAnsi="Arial" w:cs="Arial"/>
                <w:spacing w:val="-2"/>
                <w:sz w:val="20"/>
                <w:szCs w:val="20"/>
              </w:rPr>
              <w:t>±0.3</w:t>
            </w:r>
          </w:p>
        </w:tc>
        <w:tc>
          <w:tcPr>
            <w:tcW w:w="680" w:type="dxa"/>
            <w:tcBorders>
              <w:top w:val="single" w:sz="4" w:space="0" w:color="auto"/>
            </w:tcBorders>
            <w:noWrap/>
            <w:vAlign w:val="bottom"/>
          </w:tcPr>
          <w:p w14:paraId="7857E3B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95.1</w:t>
            </w:r>
            <w:r>
              <w:rPr>
                <w:rFonts w:ascii="Arial" w:hAnsi="Arial" w:cs="Arial"/>
                <w:spacing w:val="-2"/>
                <w:sz w:val="20"/>
                <w:szCs w:val="20"/>
              </w:rPr>
              <w:t>±4.1</w:t>
            </w:r>
          </w:p>
        </w:tc>
        <w:tc>
          <w:tcPr>
            <w:tcW w:w="680" w:type="dxa"/>
            <w:tcBorders>
              <w:top w:val="single" w:sz="4" w:space="0" w:color="auto"/>
            </w:tcBorders>
            <w:noWrap/>
            <w:vAlign w:val="bottom"/>
          </w:tcPr>
          <w:p w14:paraId="5E4AB4F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93.2</w:t>
            </w:r>
            <w:r>
              <w:rPr>
                <w:rFonts w:ascii="Arial" w:hAnsi="Arial" w:cs="Arial"/>
                <w:spacing w:val="-2"/>
                <w:sz w:val="20"/>
                <w:szCs w:val="20"/>
              </w:rPr>
              <w:t>±1.4</w:t>
            </w:r>
          </w:p>
        </w:tc>
        <w:tc>
          <w:tcPr>
            <w:tcW w:w="766" w:type="dxa"/>
            <w:tcBorders>
              <w:top w:val="single" w:sz="4" w:space="0" w:color="auto"/>
            </w:tcBorders>
            <w:noWrap/>
            <w:vAlign w:val="bottom"/>
          </w:tcPr>
          <w:p w14:paraId="5DBC3543"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90.5</w:t>
            </w:r>
            <w:r>
              <w:rPr>
                <w:rFonts w:ascii="Arial" w:hAnsi="Arial" w:cs="Arial"/>
                <w:spacing w:val="-2"/>
                <w:sz w:val="20"/>
                <w:szCs w:val="20"/>
              </w:rPr>
              <w:t>±2</w:t>
            </w:r>
          </w:p>
        </w:tc>
        <w:tc>
          <w:tcPr>
            <w:tcW w:w="709" w:type="dxa"/>
            <w:tcBorders>
              <w:top w:val="single" w:sz="4" w:space="0" w:color="auto"/>
            </w:tcBorders>
            <w:noWrap/>
            <w:vAlign w:val="bottom"/>
          </w:tcPr>
          <w:p w14:paraId="51D5CA07"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88.7</w:t>
            </w:r>
            <w:r>
              <w:rPr>
                <w:rFonts w:ascii="Arial" w:hAnsi="Arial" w:cs="Arial"/>
                <w:spacing w:val="-2"/>
                <w:sz w:val="20"/>
                <w:szCs w:val="20"/>
              </w:rPr>
              <w:t>±0.6</w:t>
            </w:r>
          </w:p>
        </w:tc>
        <w:tc>
          <w:tcPr>
            <w:tcW w:w="709" w:type="dxa"/>
            <w:tcBorders>
              <w:top w:val="single" w:sz="4" w:space="0" w:color="auto"/>
            </w:tcBorders>
            <w:noWrap/>
            <w:vAlign w:val="bottom"/>
          </w:tcPr>
          <w:p w14:paraId="72188D4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86.9</w:t>
            </w:r>
            <w:r>
              <w:rPr>
                <w:rFonts w:ascii="Arial" w:hAnsi="Arial" w:cs="Arial"/>
                <w:spacing w:val="-2"/>
                <w:sz w:val="20"/>
                <w:szCs w:val="20"/>
              </w:rPr>
              <w:t>±2.1</w:t>
            </w:r>
          </w:p>
        </w:tc>
        <w:tc>
          <w:tcPr>
            <w:tcW w:w="709" w:type="dxa"/>
            <w:tcBorders>
              <w:top w:val="single" w:sz="4" w:space="0" w:color="auto"/>
            </w:tcBorders>
            <w:noWrap/>
            <w:vAlign w:val="bottom"/>
          </w:tcPr>
          <w:p w14:paraId="205B4805"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85.2</w:t>
            </w:r>
            <w:r>
              <w:rPr>
                <w:rFonts w:ascii="Arial" w:hAnsi="Arial" w:cs="Arial"/>
                <w:spacing w:val="-2"/>
                <w:sz w:val="20"/>
                <w:szCs w:val="20"/>
              </w:rPr>
              <w:t>±1.6</w:t>
            </w:r>
          </w:p>
        </w:tc>
        <w:tc>
          <w:tcPr>
            <w:tcW w:w="708" w:type="dxa"/>
            <w:tcBorders>
              <w:top w:val="single" w:sz="4" w:space="0" w:color="auto"/>
            </w:tcBorders>
            <w:noWrap/>
            <w:vAlign w:val="bottom"/>
          </w:tcPr>
          <w:p w14:paraId="1D051D82"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82</w:t>
            </w:r>
            <w:r>
              <w:rPr>
                <w:rFonts w:ascii="Arial" w:hAnsi="Arial" w:cs="Arial"/>
                <w:spacing w:val="-2"/>
                <w:sz w:val="20"/>
                <w:szCs w:val="20"/>
              </w:rPr>
              <w:t>±1.6</w:t>
            </w:r>
          </w:p>
        </w:tc>
        <w:tc>
          <w:tcPr>
            <w:tcW w:w="851" w:type="dxa"/>
            <w:tcBorders>
              <w:top w:val="single" w:sz="4" w:space="0" w:color="auto"/>
            </w:tcBorders>
            <w:noWrap/>
            <w:vAlign w:val="bottom"/>
          </w:tcPr>
          <w:p w14:paraId="2DE9E065"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83.8</w:t>
            </w:r>
            <w:r>
              <w:rPr>
                <w:rFonts w:ascii="Arial" w:hAnsi="Arial" w:cs="Arial"/>
                <w:spacing w:val="-2"/>
                <w:sz w:val="20"/>
                <w:szCs w:val="20"/>
              </w:rPr>
              <w:t>±1.5</w:t>
            </w:r>
          </w:p>
        </w:tc>
        <w:tc>
          <w:tcPr>
            <w:tcW w:w="709" w:type="dxa"/>
            <w:tcBorders>
              <w:top w:val="single" w:sz="4" w:space="0" w:color="auto"/>
            </w:tcBorders>
            <w:noWrap/>
            <w:vAlign w:val="bottom"/>
          </w:tcPr>
          <w:p w14:paraId="3D96A8C1"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81.9</w:t>
            </w:r>
            <w:r>
              <w:rPr>
                <w:rFonts w:ascii="Arial" w:hAnsi="Arial" w:cs="Arial"/>
                <w:spacing w:val="-2"/>
                <w:sz w:val="20"/>
                <w:szCs w:val="20"/>
              </w:rPr>
              <w:t>±3.1</w:t>
            </w:r>
          </w:p>
        </w:tc>
      </w:tr>
      <w:tr w:rsidR="00E052FE" w14:paraId="059548FD" w14:textId="77777777">
        <w:trPr>
          <w:trHeight w:val="315"/>
        </w:trPr>
        <w:tc>
          <w:tcPr>
            <w:tcW w:w="1727" w:type="dxa"/>
            <w:noWrap/>
            <w:vAlign w:val="bottom"/>
          </w:tcPr>
          <w:p w14:paraId="14B2E55D" w14:textId="77777777" w:rsidR="00E052FE" w:rsidRDefault="005A1036">
            <w:pPr>
              <w:spacing w:after="0" w:line="480" w:lineRule="auto"/>
              <w:jc w:val="both"/>
              <w:rPr>
                <w:rFonts w:ascii="Arial" w:eastAsia="Times New Roman" w:hAnsi="Arial" w:cs="Arial"/>
                <w:b/>
                <w:bCs/>
                <w:color w:val="000000"/>
                <w:lang w:eastAsia="fr-FR"/>
              </w:rPr>
            </w:pPr>
            <w:r>
              <w:rPr>
                <w:rFonts w:ascii="Arial" w:eastAsia="Times New Roman" w:hAnsi="Arial" w:cs="Arial"/>
                <w:b/>
                <w:bCs/>
                <w:color w:val="000000"/>
                <w:lang w:eastAsia="fr-FR"/>
              </w:rPr>
              <w:t>40 °C</w:t>
            </w:r>
          </w:p>
        </w:tc>
        <w:tc>
          <w:tcPr>
            <w:tcW w:w="825" w:type="dxa"/>
            <w:noWrap/>
            <w:vAlign w:val="bottom"/>
          </w:tcPr>
          <w:p w14:paraId="4C189E30"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850" w:type="dxa"/>
            <w:noWrap/>
            <w:vAlign w:val="bottom"/>
          </w:tcPr>
          <w:p w14:paraId="3D994F0D"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92.2</w:t>
            </w:r>
            <w:r>
              <w:rPr>
                <w:rFonts w:ascii="Arial" w:hAnsi="Arial" w:cs="Arial"/>
                <w:spacing w:val="-2"/>
                <w:sz w:val="20"/>
                <w:szCs w:val="20"/>
              </w:rPr>
              <w:t>±2.1</w:t>
            </w:r>
          </w:p>
        </w:tc>
        <w:tc>
          <w:tcPr>
            <w:tcW w:w="709" w:type="dxa"/>
            <w:noWrap/>
            <w:vAlign w:val="bottom"/>
          </w:tcPr>
          <w:p w14:paraId="7229FCB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88.7</w:t>
            </w:r>
            <w:r>
              <w:rPr>
                <w:rFonts w:ascii="Arial" w:hAnsi="Arial" w:cs="Arial"/>
                <w:spacing w:val="-2"/>
                <w:sz w:val="20"/>
                <w:szCs w:val="20"/>
              </w:rPr>
              <w:t>±1.2</w:t>
            </w:r>
          </w:p>
        </w:tc>
        <w:tc>
          <w:tcPr>
            <w:tcW w:w="680" w:type="dxa"/>
            <w:noWrap/>
            <w:vAlign w:val="bottom"/>
          </w:tcPr>
          <w:p w14:paraId="07C2A39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83.5</w:t>
            </w:r>
            <w:r>
              <w:rPr>
                <w:rFonts w:ascii="Arial" w:hAnsi="Arial" w:cs="Arial"/>
                <w:spacing w:val="-2"/>
                <w:sz w:val="20"/>
                <w:szCs w:val="20"/>
              </w:rPr>
              <w:t>±2.1</w:t>
            </w:r>
          </w:p>
        </w:tc>
        <w:tc>
          <w:tcPr>
            <w:tcW w:w="680" w:type="dxa"/>
            <w:noWrap/>
            <w:vAlign w:val="bottom"/>
          </w:tcPr>
          <w:p w14:paraId="38D0D7F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78.7</w:t>
            </w:r>
            <w:r>
              <w:rPr>
                <w:rFonts w:ascii="Arial" w:hAnsi="Arial" w:cs="Arial"/>
                <w:spacing w:val="-2"/>
                <w:sz w:val="20"/>
                <w:szCs w:val="20"/>
              </w:rPr>
              <w:t>±0.7</w:t>
            </w:r>
          </w:p>
        </w:tc>
        <w:tc>
          <w:tcPr>
            <w:tcW w:w="766" w:type="dxa"/>
            <w:noWrap/>
            <w:vAlign w:val="bottom"/>
          </w:tcPr>
          <w:p w14:paraId="37EC01CC"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72.6</w:t>
            </w:r>
            <w:r>
              <w:rPr>
                <w:rFonts w:ascii="Arial" w:hAnsi="Arial" w:cs="Arial"/>
                <w:spacing w:val="-2"/>
                <w:sz w:val="20"/>
                <w:szCs w:val="20"/>
              </w:rPr>
              <w:t>±0.6</w:t>
            </w:r>
          </w:p>
        </w:tc>
        <w:tc>
          <w:tcPr>
            <w:tcW w:w="709" w:type="dxa"/>
            <w:noWrap/>
            <w:vAlign w:val="bottom"/>
          </w:tcPr>
          <w:p w14:paraId="5C8893C5"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69.1</w:t>
            </w:r>
            <w:r>
              <w:rPr>
                <w:rFonts w:ascii="Arial" w:hAnsi="Arial" w:cs="Arial"/>
                <w:spacing w:val="-2"/>
                <w:sz w:val="20"/>
                <w:szCs w:val="20"/>
              </w:rPr>
              <w:t>±4.4</w:t>
            </w:r>
          </w:p>
        </w:tc>
        <w:tc>
          <w:tcPr>
            <w:tcW w:w="709" w:type="dxa"/>
            <w:noWrap/>
            <w:vAlign w:val="bottom"/>
          </w:tcPr>
          <w:p w14:paraId="3ED89250"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65.7</w:t>
            </w:r>
            <w:r>
              <w:rPr>
                <w:rFonts w:ascii="Arial" w:hAnsi="Arial" w:cs="Arial"/>
                <w:spacing w:val="-2"/>
                <w:sz w:val="20"/>
                <w:szCs w:val="20"/>
              </w:rPr>
              <w:t>±1.7</w:t>
            </w:r>
          </w:p>
        </w:tc>
        <w:tc>
          <w:tcPr>
            <w:tcW w:w="709" w:type="dxa"/>
            <w:noWrap/>
            <w:vAlign w:val="bottom"/>
          </w:tcPr>
          <w:p w14:paraId="221EC30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61.9</w:t>
            </w:r>
            <w:r>
              <w:rPr>
                <w:rFonts w:ascii="Arial" w:hAnsi="Arial" w:cs="Arial"/>
                <w:spacing w:val="-2"/>
                <w:sz w:val="20"/>
                <w:szCs w:val="20"/>
              </w:rPr>
              <w:t>±3.4</w:t>
            </w:r>
          </w:p>
        </w:tc>
        <w:tc>
          <w:tcPr>
            <w:tcW w:w="708" w:type="dxa"/>
            <w:noWrap/>
            <w:vAlign w:val="bottom"/>
          </w:tcPr>
          <w:p w14:paraId="1E97C04D"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58.3</w:t>
            </w:r>
            <w:r>
              <w:rPr>
                <w:rFonts w:ascii="Arial" w:hAnsi="Arial" w:cs="Arial"/>
                <w:spacing w:val="-2"/>
                <w:sz w:val="20"/>
                <w:szCs w:val="20"/>
              </w:rPr>
              <w:t>±0.9</w:t>
            </w:r>
          </w:p>
        </w:tc>
        <w:tc>
          <w:tcPr>
            <w:tcW w:w="851" w:type="dxa"/>
            <w:noWrap/>
            <w:vAlign w:val="bottom"/>
          </w:tcPr>
          <w:p w14:paraId="05B4250E"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55.4</w:t>
            </w:r>
            <w:r>
              <w:rPr>
                <w:rFonts w:ascii="Arial" w:hAnsi="Arial" w:cs="Arial"/>
                <w:spacing w:val="-2"/>
                <w:sz w:val="20"/>
                <w:szCs w:val="20"/>
              </w:rPr>
              <w:t>±0.7</w:t>
            </w:r>
          </w:p>
        </w:tc>
        <w:tc>
          <w:tcPr>
            <w:tcW w:w="709" w:type="dxa"/>
            <w:noWrap/>
            <w:vAlign w:val="bottom"/>
          </w:tcPr>
          <w:p w14:paraId="5E726FBE"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53.3</w:t>
            </w:r>
            <w:r>
              <w:rPr>
                <w:rFonts w:ascii="Arial" w:hAnsi="Arial" w:cs="Arial"/>
                <w:spacing w:val="-2"/>
                <w:sz w:val="20"/>
                <w:szCs w:val="20"/>
              </w:rPr>
              <w:t>±2.8</w:t>
            </w:r>
          </w:p>
        </w:tc>
      </w:tr>
      <w:tr w:rsidR="00E052FE" w14:paraId="5E898CA1" w14:textId="77777777">
        <w:trPr>
          <w:trHeight w:val="315"/>
        </w:trPr>
        <w:tc>
          <w:tcPr>
            <w:tcW w:w="1727" w:type="dxa"/>
            <w:noWrap/>
            <w:vAlign w:val="bottom"/>
          </w:tcPr>
          <w:p w14:paraId="7265F628" w14:textId="77777777" w:rsidR="00E052FE" w:rsidRDefault="005A1036">
            <w:pPr>
              <w:spacing w:after="0" w:line="480" w:lineRule="auto"/>
              <w:jc w:val="both"/>
              <w:rPr>
                <w:rFonts w:ascii="Arial" w:eastAsia="Times New Roman" w:hAnsi="Arial" w:cs="Arial"/>
                <w:b/>
                <w:bCs/>
                <w:color w:val="000000"/>
                <w:lang w:eastAsia="fr-FR"/>
              </w:rPr>
            </w:pPr>
            <w:r>
              <w:rPr>
                <w:rFonts w:ascii="Arial" w:eastAsia="Times New Roman" w:hAnsi="Arial" w:cs="Arial"/>
                <w:b/>
                <w:bCs/>
                <w:color w:val="000000"/>
                <w:lang w:eastAsia="fr-FR"/>
              </w:rPr>
              <w:t>45 °C</w:t>
            </w:r>
          </w:p>
        </w:tc>
        <w:tc>
          <w:tcPr>
            <w:tcW w:w="825" w:type="dxa"/>
            <w:noWrap/>
            <w:vAlign w:val="bottom"/>
          </w:tcPr>
          <w:p w14:paraId="38E46D16"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850" w:type="dxa"/>
            <w:noWrap/>
            <w:vAlign w:val="bottom"/>
          </w:tcPr>
          <w:p w14:paraId="3677B9D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86.9</w:t>
            </w:r>
            <w:r>
              <w:rPr>
                <w:rFonts w:ascii="Arial" w:hAnsi="Arial" w:cs="Arial"/>
                <w:spacing w:val="-2"/>
                <w:sz w:val="20"/>
                <w:szCs w:val="20"/>
              </w:rPr>
              <w:t>±1.7</w:t>
            </w:r>
          </w:p>
        </w:tc>
        <w:tc>
          <w:tcPr>
            <w:tcW w:w="709" w:type="dxa"/>
            <w:noWrap/>
            <w:vAlign w:val="bottom"/>
          </w:tcPr>
          <w:p w14:paraId="294E054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80.3</w:t>
            </w:r>
            <w:r>
              <w:rPr>
                <w:rFonts w:ascii="Arial" w:hAnsi="Arial" w:cs="Arial"/>
                <w:spacing w:val="-2"/>
                <w:sz w:val="20"/>
                <w:szCs w:val="20"/>
              </w:rPr>
              <w:t>±0.9</w:t>
            </w:r>
          </w:p>
        </w:tc>
        <w:tc>
          <w:tcPr>
            <w:tcW w:w="680" w:type="dxa"/>
            <w:noWrap/>
            <w:vAlign w:val="bottom"/>
          </w:tcPr>
          <w:p w14:paraId="3486138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71.9</w:t>
            </w:r>
            <w:r>
              <w:rPr>
                <w:rFonts w:ascii="Arial" w:hAnsi="Arial" w:cs="Arial"/>
                <w:spacing w:val="-2"/>
                <w:sz w:val="20"/>
                <w:szCs w:val="20"/>
              </w:rPr>
              <w:t>±1.7</w:t>
            </w:r>
          </w:p>
        </w:tc>
        <w:tc>
          <w:tcPr>
            <w:tcW w:w="680" w:type="dxa"/>
            <w:noWrap/>
            <w:vAlign w:val="bottom"/>
          </w:tcPr>
          <w:p w14:paraId="6FCDE15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62.5</w:t>
            </w:r>
            <w:r>
              <w:rPr>
                <w:rFonts w:ascii="Arial" w:hAnsi="Arial" w:cs="Arial"/>
                <w:spacing w:val="-2"/>
                <w:sz w:val="20"/>
                <w:szCs w:val="20"/>
              </w:rPr>
              <w:t>±2.3</w:t>
            </w:r>
          </w:p>
        </w:tc>
        <w:tc>
          <w:tcPr>
            <w:tcW w:w="766" w:type="dxa"/>
            <w:noWrap/>
            <w:vAlign w:val="bottom"/>
          </w:tcPr>
          <w:p w14:paraId="3FEB2A5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52.7</w:t>
            </w:r>
            <w:r>
              <w:rPr>
                <w:rFonts w:ascii="Arial" w:hAnsi="Arial" w:cs="Arial"/>
                <w:spacing w:val="-2"/>
                <w:sz w:val="20"/>
                <w:szCs w:val="20"/>
              </w:rPr>
              <w:t>±0.7</w:t>
            </w:r>
          </w:p>
        </w:tc>
        <w:tc>
          <w:tcPr>
            <w:tcW w:w="709" w:type="dxa"/>
            <w:noWrap/>
            <w:vAlign w:val="bottom"/>
          </w:tcPr>
          <w:p w14:paraId="0980A94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47.5</w:t>
            </w:r>
            <w:r>
              <w:rPr>
                <w:rFonts w:ascii="Arial" w:hAnsi="Arial" w:cs="Arial"/>
                <w:spacing w:val="-2"/>
                <w:sz w:val="20"/>
                <w:szCs w:val="20"/>
              </w:rPr>
              <w:t>±2.9</w:t>
            </w:r>
          </w:p>
        </w:tc>
        <w:tc>
          <w:tcPr>
            <w:tcW w:w="709" w:type="dxa"/>
            <w:noWrap/>
            <w:vAlign w:val="bottom"/>
          </w:tcPr>
          <w:p w14:paraId="1FDCDBBD"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41.5</w:t>
            </w:r>
            <w:r>
              <w:rPr>
                <w:rFonts w:ascii="Arial" w:hAnsi="Arial" w:cs="Arial"/>
                <w:spacing w:val="-2"/>
                <w:sz w:val="20"/>
                <w:szCs w:val="20"/>
              </w:rPr>
              <w:t>±2.5</w:t>
            </w:r>
          </w:p>
        </w:tc>
        <w:tc>
          <w:tcPr>
            <w:tcW w:w="709" w:type="dxa"/>
            <w:noWrap/>
            <w:vAlign w:val="bottom"/>
          </w:tcPr>
          <w:p w14:paraId="7442518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38.3</w:t>
            </w:r>
            <w:r>
              <w:rPr>
                <w:rFonts w:ascii="Arial" w:hAnsi="Arial" w:cs="Arial"/>
                <w:spacing w:val="-2"/>
                <w:sz w:val="20"/>
                <w:szCs w:val="20"/>
              </w:rPr>
              <w:t>±0.7</w:t>
            </w:r>
          </w:p>
        </w:tc>
        <w:tc>
          <w:tcPr>
            <w:tcW w:w="708" w:type="dxa"/>
            <w:noWrap/>
            <w:vAlign w:val="bottom"/>
          </w:tcPr>
          <w:p w14:paraId="2EDEE9B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32.6</w:t>
            </w:r>
            <w:r>
              <w:rPr>
                <w:rFonts w:ascii="Arial" w:hAnsi="Arial" w:cs="Arial"/>
                <w:spacing w:val="-2"/>
                <w:sz w:val="20"/>
                <w:szCs w:val="20"/>
              </w:rPr>
              <w:t>±3.4</w:t>
            </w:r>
          </w:p>
        </w:tc>
        <w:tc>
          <w:tcPr>
            <w:tcW w:w="851" w:type="dxa"/>
            <w:noWrap/>
            <w:vAlign w:val="bottom"/>
          </w:tcPr>
          <w:p w14:paraId="1C897BA2"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28.6</w:t>
            </w:r>
            <w:r>
              <w:rPr>
                <w:rFonts w:ascii="Arial" w:hAnsi="Arial" w:cs="Arial"/>
                <w:spacing w:val="-2"/>
                <w:sz w:val="20"/>
                <w:szCs w:val="20"/>
              </w:rPr>
              <w:t>±2.1</w:t>
            </w:r>
          </w:p>
        </w:tc>
        <w:tc>
          <w:tcPr>
            <w:tcW w:w="709" w:type="dxa"/>
            <w:noWrap/>
            <w:vAlign w:val="bottom"/>
          </w:tcPr>
          <w:p w14:paraId="2F9F8FB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25.7</w:t>
            </w:r>
            <w:r>
              <w:rPr>
                <w:rFonts w:ascii="Arial" w:hAnsi="Arial" w:cs="Arial"/>
                <w:spacing w:val="-2"/>
                <w:sz w:val="20"/>
                <w:szCs w:val="20"/>
              </w:rPr>
              <w:t>±1.4</w:t>
            </w:r>
          </w:p>
        </w:tc>
      </w:tr>
      <w:tr w:rsidR="00E052FE" w14:paraId="5A1F5365" w14:textId="77777777">
        <w:trPr>
          <w:trHeight w:val="315"/>
        </w:trPr>
        <w:tc>
          <w:tcPr>
            <w:tcW w:w="1727" w:type="dxa"/>
            <w:noWrap/>
            <w:vAlign w:val="bottom"/>
          </w:tcPr>
          <w:p w14:paraId="15965244" w14:textId="77777777" w:rsidR="00E052FE" w:rsidRDefault="005A1036">
            <w:pPr>
              <w:spacing w:after="0" w:line="480" w:lineRule="auto"/>
              <w:jc w:val="both"/>
              <w:rPr>
                <w:rFonts w:ascii="Arial" w:eastAsia="Times New Roman" w:hAnsi="Arial" w:cs="Arial"/>
                <w:b/>
                <w:bCs/>
                <w:color w:val="000000"/>
                <w:lang w:eastAsia="fr-FR"/>
              </w:rPr>
            </w:pPr>
            <w:r>
              <w:rPr>
                <w:rFonts w:ascii="Arial" w:eastAsia="Times New Roman" w:hAnsi="Arial" w:cs="Arial"/>
                <w:b/>
                <w:bCs/>
                <w:color w:val="000000"/>
                <w:lang w:eastAsia="fr-FR"/>
              </w:rPr>
              <w:t>50 °C</w:t>
            </w:r>
          </w:p>
        </w:tc>
        <w:tc>
          <w:tcPr>
            <w:tcW w:w="825" w:type="dxa"/>
            <w:noWrap/>
            <w:vAlign w:val="bottom"/>
          </w:tcPr>
          <w:p w14:paraId="4E2E0962"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850" w:type="dxa"/>
            <w:noWrap/>
            <w:vAlign w:val="bottom"/>
          </w:tcPr>
          <w:p w14:paraId="1F3168C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77.8</w:t>
            </w:r>
            <w:r>
              <w:rPr>
                <w:rFonts w:ascii="Arial" w:hAnsi="Arial" w:cs="Arial"/>
                <w:spacing w:val="-2"/>
                <w:sz w:val="20"/>
                <w:szCs w:val="20"/>
              </w:rPr>
              <w:t>±3.1</w:t>
            </w:r>
          </w:p>
        </w:tc>
        <w:tc>
          <w:tcPr>
            <w:tcW w:w="709" w:type="dxa"/>
            <w:noWrap/>
            <w:vAlign w:val="bottom"/>
          </w:tcPr>
          <w:p w14:paraId="6963F12E"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67.1</w:t>
            </w:r>
            <w:r>
              <w:rPr>
                <w:rFonts w:ascii="Arial" w:hAnsi="Arial" w:cs="Arial"/>
                <w:spacing w:val="-2"/>
                <w:sz w:val="20"/>
                <w:szCs w:val="20"/>
              </w:rPr>
              <w:t>±0.4</w:t>
            </w:r>
          </w:p>
        </w:tc>
        <w:tc>
          <w:tcPr>
            <w:tcW w:w="680" w:type="dxa"/>
            <w:noWrap/>
            <w:vAlign w:val="bottom"/>
          </w:tcPr>
          <w:p w14:paraId="24D1D74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56.5</w:t>
            </w:r>
            <w:r>
              <w:rPr>
                <w:rFonts w:ascii="Arial" w:hAnsi="Arial" w:cs="Arial"/>
                <w:spacing w:val="-2"/>
                <w:sz w:val="20"/>
                <w:szCs w:val="20"/>
              </w:rPr>
              <w:t>±2.4</w:t>
            </w:r>
          </w:p>
        </w:tc>
        <w:tc>
          <w:tcPr>
            <w:tcW w:w="680" w:type="dxa"/>
            <w:noWrap/>
            <w:vAlign w:val="bottom"/>
          </w:tcPr>
          <w:p w14:paraId="0A72CC80"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43</w:t>
            </w:r>
            <w:r>
              <w:rPr>
                <w:rFonts w:ascii="Arial" w:hAnsi="Arial" w:cs="Arial"/>
                <w:spacing w:val="-2"/>
                <w:sz w:val="20"/>
                <w:szCs w:val="20"/>
              </w:rPr>
              <w:t>±0.4</w:t>
            </w:r>
          </w:p>
        </w:tc>
        <w:tc>
          <w:tcPr>
            <w:tcW w:w="766" w:type="dxa"/>
            <w:noWrap/>
            <w:vAlign w:val="bottom"/>
          </w:tcPr>
          <w:p w14:paraId="44CB9AB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31.3</w:t>
            </w:r>
            <w:r>
              <w:rPr>
                <w:rFonts w:ascii="Arial" w:hAnsi="Arial" w:cs="Arial"/>
                <w:spacing w:val="-2"/>
                <w:sz w:val="20"/>
                <w:szCs w:val="20"/>
              </w:rPr>
              <w:t>±1.3</w:t>
            </w:r>
          </w:p>
        </w:tc>
        <w:tc>
          <w:tcPr>
            <w:tcW w:w="709" w:type="dxa"/>
            <w:noWrap/>
            <w:vAlign w:val="bottom"/>
          </w:tcPr>
          <w:p w14:paraId="58E53289"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24.3</w:t>
            </w:r>
            <w:r>
              <w:rPr>
                <w:rFonts w:ascii="Arial" w:hAnsi="Arial" w:cs="Arial"/>
                <w:spacing w:val="-2"/>
                <w:sz w:val="20"/>
                <w:szCs w:val="20"/>
              </w:rPr>
              <w:t>±1.3</w:t>
            </w:r>
          </w:p>
        </w:tc>
        <w:tc>
          <w:tcPr>
            <w:tcW w:w="709" w:type="dxa"/>
            <w:noWrap/>
            <w:vAlign w:val="bottom"/>
          </w:tcPr>
          <w:p w14:paraId="53271FE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20.8</w:t>
            </w:r>
            <w:r>
              <w:rPr>
                <w:rFonts w:ascii="Arial" w:hAnsi="Arial" w:cs="Arial"/>
                <w:spacing w:val="-2"/>
                <w:sz w:val="20"/>
                <w:szCs w:val="20"/>
              </w:rPr>
              <w:t>±0.6</w:t>
            </w:r>
          </w:p>
        </w:tc>
        <w:tc>
          <w:tcPr>
            <w:tcW w:w="709" w:type="dxa"/>
            <w:noWrap/>
            <w:vAlign w:val="bottom"/>
          </w:tcPr>
          <w:p w14:paraId="6219962A"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16.5</w:t>
            </w:r>
            <w:r>
              <w:rPr>
                <w:rFonts w:ascii="Arial" w:hAnsi="Arial" w:cs="Arial"/>
                <w:spacing w:val="-2"/>
                <w:sz w:val="20"/>
                <w:szCs w:val="20"/>
              </w:rPr>
              <w:t>±3.4</w:t>
            </w:r>
          </w:p>
        </w:tc>
        <w:tc>
          <w:tcPr>
            <w:tcW w:w="708" w:type="dxa"/>
            <w:noWrap/>
            <w:vAlign w:val="bottom"/>
          </w:tcPr>
          <w:p w14:paraId="0FD31B8C"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14.2</w:t>
            </w:r>
            <w:r>
              <w:rPr>
                <w:rFonts w:ascii="Arial" w:hAnsi="Arial" w:cs="Arial"/>
                <w:spacing w:val="-2"/>
                <w:sz w:val="20"/>
                <w:szCs w:val="20"/>
              </w:rPr>
              <w:t>±1.2</w:t>
            </w:r>
          </w:p>
        </w:tc>
        <w:tc>
          <w:tcPr>
            <w:tcW w:w="851" w:type="dxa"/>
            <w:noWrap/>
            <w:vAlign w:val="bottom"/>
          </w:tcPr>
          <w:p w14:paraId="043F447C"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11.7</w:t>
            </w:r>
            <w:r>
              <w:rPr>
                <w:rFonts w:ascii="Arial" w:hAnsi="Arial" w:cs="Arial"/>
                <w:spacing w:val="-2"/>
                <w:sz w:val="20"/>
                <w:szCs w:val="20"/>
              </w:rPr>
              <w:t>±2.3</w:t>
            </w:r>
          </w:p>
        </w:tc>
        <w:tc>
          <w:tcPr>
            <w:tcW w:w="709" w:type="dxa"/>
            <w:noWrap/>
            <w:vAlign w:val="bottom"/>
          </w:tcPr>
          <w:p w14:paraId="1F7E10F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9.07</w:t>
            </w:r>
            <w:r>
              <w:rPr>
                <w:rFonts w:ascii="Arial" w:hAnsi="Arial" w:cs="Arial"/>
                <w:spacing w:val="-2"/>
                <w:sz w:val="20"/>
                <w:szCs w:val="20"/>
              </w:rPr>
              <w:t>±1.1</w:t>
            </w:r>
          </w:p>
        </w:tc>
      </w:tr>
      <w:tr w:rsidR="00E052FE" w14:paraId="6547FE85" w14:textId="77777777">
        <w:trPr>
          <w:trHeight w:val="315"/>
        </w:trPr>
        <w:tc>
          <w:tcPr>
            <w:tcW w:w="1727" w:type="dxa"/>
            <w:noWrap/>
            <w:vAlign w:val="bottom"/>
          </w:tcPr>
          <w:p w14:paraId="2E036A20" w14:textId="77777777" w:rsidR="00E052FE" w:rsidRDefault="005A1036">
            <w:pPr>
              <w:spacing w:after="0" w:line="480" w:lineRule="auto"/>
              <w:jc w:val="both"/>
              <w:rPr>
                <w:rFonts w:ascii="Arial" w:eastAsia="Times New Roman" w:hAnsi="Arial" w:cs="Arial"/>
                <w:b/>
                <w:bCs/>
                <w:color w:val="000000"/>
                <w:lang w:eastAsia="fr-FR"/>
              </w:rPr>
            </w:pPr>
            <w:r>
              <w:rPr>
                <w:rFonts w:ascii="Arial" w:eastAsia="Times New Roman" w:hAnsi="Arial" w:cs="Arial"/>
                <w:b/>
                <w:bCs/>
                <w:color w:val="000000"/>
                <w:lang w:eastAsia="fr-FR"/>
              </w:rPr>
              <w:t>55 °C</w:t>
            </w:r>
          </w:p>
        </w:tc>
        <w:tc>
          <w:tcPr>
            <w:tcW w:w="825" w:type="dxa"/>
            <w:noWrap/>
            <w:vAlign w:val="bottom"/>
          </w:tcPr>
          <w:p w14:paraId="1F49E2C3" w14:textId="77777777" w:rsidR="00E052FE" w:rsidRDefault="005A1036">
            <w:pPr>
              <w:spacing w:after="0" w:line="480" w:lineRule="auto"/>
              <w:jc w:val="cente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100</w:t>
            </w:r>
          </w:p>
        </w:tc>
        <w:tc>
          <w:tcPr>
            <w:tcW w:w="850" w:type="dxa"/>
            <w:noWrap/>
            <w:vAlign w:val="bottom"/>
          </w:tcPr>
          <w:p w14:paraId="340D9F93"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63.7</w:t>
            </w:r>
            <w:r>
              <w:rPr>
                <w:rFonts w:ascii="Arial" w:hAnsi="Arial" w:cs="Arial"/>
                <w:spacing w:val="-2"/>
                <w:sz w:val="20"/>
                <w:szCs w:val="20"/>
              </w:rPr>
              <w:t>±1.6</w:t>
            </w:r>
          </w:p>
        </w:tc>
        <w:tc>
          <w:tcPr>
            <w:tcW w:w="709" w:type="dxa"/>
            <w:noWrap/>
            <w:vAlign w:val="bottom"/>
          </w:tcPr>
          <w:p w14:paraId="2F7F0F7C"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44.2</w:t>
            </w:r>
            <w:r>
              <w:rPr>
                <w:rFonts w:ascii="Arial" w:hAnsi="Arial" w:cs="Arial"/>
                <w:spacing w:val="-2"/>
                <w:sz w:val="20"/>
                <w:szCs w:val="20"/>
              </w:rPr>
              <w:t>±1.3</w:t>
            </w:r>
          </w:p>
        </w:tc>
        <w:tc>
          <w:tcPr>
            <w:tcW w:w="680" w:type="dxa"/>
            <w:noWrap/>
            <w:vAlign w:val="bottom"/>
          </w:tcPr>
          <w:p w14:paraId="0E6B05B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30.1</w:t>
            </w:r>
            <w:r>
              <w:rPr>
                <w:rFonts w:ascii="Arial" w:hAnsi="Arial" w:cs="Arial"/>
                <w:spacing w:val="-2"/>
                <w:sz w:val="20"/>
                <w:szCs w:val="20"/>
              </w:rPr>
              <w:t>±1.5</w:t>
            </w:r>
          </w:p>
        </w:tc>
        <w:tc>
          <w:tcPr>
            <w:tcW w:w="680" w:type="dxa"/>
            <w:noWrap/>
            <w:vAlign w:val="bottom"/>
          </w:tcPr>
          <w:p w14:paraId="2680AE1F"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20.3</w:t>
            </w:r>
            <w:r>
              <w:rPr>
                <w:rFonts w:ascii="Arial" w:hAnsi="Arial" w:cs="Arial"/>
                <w:spacing w:val="-2"/>
                <w:sz w:val="20"/>
                <w:szCs w:val="20"/>
              </w:rPr>
              <w:t>±1.3</w:t>
            </w:r>
          </w:p>
        </w:tc>
        <w:tc>
          <w:tcPr>
            <w:tcW w:w="766" w:type="dxa"/>
            <w:noWrap/>
            <w:vAlign w:val="bottom"/>
          </w:tcPr>
          <w:p w14:paraId="4678D734"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10.7</w:t>
            </w:r>
            <w:r>
              <w:rPr>
                <w:rFonts w:ascii="Arial" w:hAnsi="Arial" w:cs="Arial"/>
                <w:spacing w:val="-2"/>
                <w:sz w:val="20"/>
                <w:szCs w:val="20"/>
              </w:rPr>
              <w:t>±0.8</w:t>
            </w:r>
          </w:p>
        </w:tc>
        <w:tc>
          <w:tcPr>
            <w:tcW w:w="709" w:type="dxa"/>
            <w:noWrap/>
            <w:vAlign w:val="bottom"/>
          </w:tcPr>
          <w:p w14:paraId="5959107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7.2</w:t>
            </w:r>
            <w:r>
              <w:rPr>
                <w:rFonts w:ascii="Arial" w:hAnsi="Arial" w:cs="Arial"/>
                <w:spacing w:val="-2"/>
                <w:sz w:val="20"/>
                <w:szCs w:val="20"/>
              </w:rPr>
              <w:t>±0.4</w:t>
            </w:r>
          </w:p>
        </w:tc>
        <w:tc>
          <w:tcPr>
            <w:tcW w:w="709" w:type="dxa"/>
            <w:noWrap/>
            <w:vAlign w:val="bottom"/>
          </w:tcPr>
          <w:p w14:paraId="64C7E87E"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4.9</w:t>
            </w:r>
            <w:r>
              <w:rPr>
                <w:rFonts w:ascii="Arial" w:hAnsi="Arial" w:cs="Arial"/>
                <w:spacing w:val="-2"/>
                <w:sz w:val="20"/>
                <w:szCs w:val="20"/>
              </w:rPr>
              <w:t>±1.9</w:t>
            </w:r>
          </w:p>
        </w:tc>
        <w:tc>
          <w:tcPr>
            <w:tcW w:w="709" w:type="dxa"/>
            <w:noWrap/>
            <w:vAlign w:val="bottom"/>
          </w:tcPr>
          <w:p w14:paraId="345E589B"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3.9</w:t>
            </w:r>
            <w:r>
              <w:rPr>
                <w:rFonts w:ascii="Arial" w:hAnsi="Arial" w:cs="Arial"/>
                <w:spacing w:val="-2"/>
                <w:sz w:val="20"/>
                <w:szCs w:val="20"/>
              </w:rPr>
              <w:t>±1.7</w:t>
            </w:r>
          </w:p>
        </w:tc>
        <w:tc>
          <w:tcPr>
            <w:tcW w:w="708" w:type="dxa"/>
            <w:noWrap/>
            <w:vAlign w:val="bottom"/>
          </w:tcPr>
          <w:p w14:paraId="742B8E86"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2.7</w:t>
            </w:r>
            <w:r>
              <w:rPr>
                <w:rFonts w:ascii="Arial" w:hAnsi="Arial" w:cs="Arial"/>
                <w:spacing w:val="-2"/>
                <w:sz w:val="20"/>
                <w:szCs w:val="20"/>
              </w:rPr>
              <w:t>±2.2</w:t>
            </w:r>
          </w:p>
        </w:tc>
        <w:tc>
          <w:tcPr>
            <w:tcW w:w="851" w:type="dxa"/>
            <w:noWrap/>
            <w:vAlign w:val="bottom"/>
          </w:tcPr>
          <w:p w14:paraId="4EAF3E58"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2.1</w:t>
            </w:r>
            <w:r>
              <w:rPr>
                <w:rFonts w:ascii="Arial" w:hAnsi="Arial" w:cs="Arial"/>
                <w:spacing w:val="-2"/>
                <w:sz w:val="20"/>
                <w:szCs w:val="20"/>
              </w:rPr>
              <w:t>±0.3</w:t>
            </w:r>
          </w:p>
        </w:tc>
        <w:tc>
          <w:tcPr>
            <w:tcW w:w="709" w:type="dxa"/>
            <w:noWrap/>
            <w:vAlign w:val="bottom"/>
          </w:tcPr>
          <w:p w14:paraId="14DF33F3" w14:textId="77777777" w:rsidR="00E052FE" w:rsidRDefault="005A1036">
            <w:pPr>
              <w:spacing w:after="0" w:line="48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1.5</w:t>
            </w:r>
            <w:r>
              <w:rPr>
                <w:rFonts w:ascii="Arial" w:hAnsi="Arial" w:cs="Arial"/>
                <w:spacing w:val="-2"/>
                <w:sz w:val="20"/>
                <w:szCs w:val="20"/>
              </w:rPr>
              <w:t>±2.1</w:t>
            </w:r>
          </w:p>
        </w:tc>
      </w:tr>
    </w:tbl>
    <w:p w14:paraId="356C92DE" w14:textId="77777777" w:rsidR="00E052FE" w:rsidRDefault="00E052FE">
      <w:pPr>
        <w:spacing w:after="0" w:line="240" w:lineRule="auto"/>
        <w:jc w:val="both"/>
        <w:rPr>
          <w:rFonts w:ascii="Arial" w:hAnsi="Arial" w:cs="Arial"/>
        </w:rPr>
        <w:sectPr w:rsidR="00E052FE">
          <w:pgSz w:w="15840" w:h="12240" w:orient="landscape"/>
          <w:pgMar w:top="709" w:right="851" w:bottom="709" w:left="1418" w:header="720" w:footer="720" w:gutter="0"/>
          <w:cols w:space="720"/>
          <w:docGrid w:linePitch="299"/>
        </w:sectPr>
      </w:pPr>
    </w:p>
    <w:p w14:paraId="6BAB421F" w14:textId="77777777" w:rsidR="00E052FE" w:rsidRDefault="005A1036" w:rsidP="00050688">
      <w:pPr>
        <w:tabs>
          <w:tab w:val="left" w:pos="4064"/>
          <w:tab w:val="left" w:pos="4969"/>
          <w:tab w:val="left" w:pos="5448"/>
          <w:tab w:val="left" w:pos="5875"/>
          <w:tab w:val="left" w:pos="6958"/>
          <w:tab w:val="left" w:pos="7383"/>
          <w:tab w:val="left" w:pos="8501"/>
          <w:tab w:val="left" w:pos="8983"/>
        </w:tabs>
        <w:spacing w:before="76" w:after="0" w:line="240" w:lineRule="auto"/>
        <w:ind w:right="-2"/>
        <w:jc w:val="right"/>
        <w:rPr>
          <w:rFonts w:ascii="Arial" w:hAnsi="Arial" w:cs="Arial"/>
          <w:b/>
          <w:spacing w:val="-2"/>
          <w:lang w:val="en"/>
        </w:rPr>
      </w:pPr>
      <w:r>
        <w:rPr>
          <w:rFonts w:ascii="Arial" w:hAnsi="Arial" w:cs="Arial"/>
          <w:b/>
          <w:spacing w:val="-2"/>
        </w:rPr>
        <w:lastRenderedPageBreak/>
        <w:t>4-1-2-</w:t>
      </w:r>
      <w:r>
        <w:rPr>
          <w:rFonts w:ascii="Arial" w:hAnsi="Arial" w:cs="Arial"/>
          <w:b/>
        </w:rPr>
        <w:t xml:space="preserve"> </w:t>
      </w:r>
      <w:r>
        <w:rPr>
          <w:rFonts w:ascii="Arial" w:hAnsi="Arial" w:cs="Arial"/>
          <w:b/>
          <w:spacing w:val="-2"/>
          <w:lang w:val="en"/>
        </w:rPr>
        <w:t>Rate constants of the reaction and half-life of polyphenol oxidase</w:t>
      </w:r>
    </w:p>
    <w:p w14:paraId="250D7E09" w14:textId="77777777" w:rsidR="00E052FE" w:rsidRDefault="00E052FE">
      <w:pPr>
        <w:tabs>
          <w:tab w:val="left" w:pos="4064"/>
          <w:tab w:val="left" w:pos="4969"/>
          <w:tab w:val="left" w:pos="5448"/>
          <w:tab w:val="left" w:pos="5875"/>
          <w:tab w:val="left" w:pos="6958"/>
          <w:tab w:val="left" w:pos="7383"/>
          <w:tab w:val="left" w:pos="8501"/>
          <w:tab w:val="left" w:pos="8983"/>
        </w:tabs>
        <w:spacing w:before="76" w:after="0" w:line="240" w:lineRule="auto"/>
        <w:ind w:right="813"/>
        <w:jc w:val="both"/>
        <w:rPr>
          <w:rFonts w:ascii="Arial" w:hAnsi="Arial" w:cs="Arial"/>
          <w:b/>
          <w:spacing w:val="-2"/>
          <w:lang w:val="en"/>
        </w:rPr>
      </w:pPr>
    </w:p>
    <w:p w14:paraId="76C56ADE" w14:textId="5A2E27E3" w:rsidR="00E052FE" w:rsidRDefault="005A1036">
      <w:pPr>
        <w:tabs>
          <w:tab w:val="left" w:pos="4064"/>
          <w:tab w:val="left" w:pos="4969"/>
          <w:tab w:val="left" w:pos="5448"/>
          <w:tab w:val="left" w:pos="5875"/>
          <w:tab w:val="left" w:pos="6958"/>
          <w:tab w:val="left" w:pos="7383"/>
          <w:tab w:val="left" w:pos="8501"/>
          <w:tab w:val="left" w:pos="8983"/>
        </w:tabs>
        <w:spacing w:after="0" w:line="240" w:lineRule="auto"/>
        <w:jc w:val="both"/>
        <w:rPr>
          <w:rFonts w:ascii="Arial" w:hAnsi="Arial" w:cs="Arial"/>
          <w:bCs/>
          <w:spacing w:val="-2"/>
          <w:sz w:val="20"/>
          <w:szCs w:val="20"/>
          <w:lang w:val="en"/>
        </w:rPr>
      </w:pPr>
      <w:r>
        <w:rPr>
          <w:rFonts w:ascii="Arial" w:hAnsi="Arial" w:cs="Arial"/>
          <w:bCs/>
          <w:spacing w:val="-2"/>
          <w:sz w:val="20"/>
          <w:szCs w:val="20"/>
          <w:lang w:val="en"/>
        </w:rPr>
        <w:t>Graphical representations of Ln At/Ao as a function of the pre-incubation time of polyphenol oxidase at temperatures between 35 and 75 °C yielded linear relationships indicating first-order kinetics (Figures 1 and 2). The half-lives of the polyphenol oxida</w:t>
      </w:r>
      <w:r>
        <w:rPr>
          <w:rFonts w:ascii="Arial" w:hAnsi="Arial" w:cs="Arial"/>
          <w:bCs/>
          <w:spacing w:val="-2"/>
          <w:sz w:val="20"/>
          <w:szCs w:val="20"/>
          <w:lang w:val="en"/>
        </w:rPr>
        <w:t xml:space="preserve">se-catalyzed reactions decrease as the temperature increases. At 55 °C, the half-lives are </w:t>
      </w:r>
      <w:r w:rsidRPr="00050688">
        <w:rPr>
          <w:rFonts w:ascii="Arial" w:hAnsi="Arial" w:cs="Arial"/>
          <w:sz w:val="20"/>
          <w:szCs w:val="20"/>
        </w:rPr>
        <w:t xml:space="preserve">33.01 </w:t>
      </w:r>
      <w:r w:rsidRPr="00050688">
        <w:rPr>
          <w:rFonts w:ascii="Arial" w:hAnsi="Arial" w:cs="Arial"/>
          <w:spacing w:val="-2"/>
          <w:sz w:val="20"/>
          <w:szCs w:val="20"/>
        </w:rPr>
        <w:t xml:space="preserve">± 2.1 </w:t>
      </w:r>
      <w:r>
        <w:rPr>
          <w:rFonts w:ascii="Arial" w:hAnsi="Arial" w:cs="Arial"/>
          <w:bCs/>
          <w:spacing w:val="-2"/>
          <w:sz w:val="20"/>
          <w:szCs w:val="20"/>
          <w:lang w:val="en"/>
        </w:rPr>
        <w:t>and 9.63</w:t>
      </w:r>
      <w:r>
        <w:rPr>
          <w:rFonts w:ascii="Arial" w:hAnsi="Arial" w:cs="Arial"/>
          <w:spacing w:val="-2"/>
          <w:sz w:val="20"/>
          <w:szCs w:val="20"/>
        </w:rPr>
        <w:t>±</w:t>
      </w:r>
      <w:r>
        <w:rPr>
          <w:rFonts w:ascii="Arial" w:hAnsi="Arial" w:cs="Arial"/>
          <w:spacing w:val="-2"/>
        </w:rPr>
        <w:t xml:space="preserve"> </w:t>
      </w:r>
      <w:r w:rsidRPr="00050688">
        <w:rPr>
          <w:rFonts w:ascii="Arial" w:hAnsi="Arial" w:cs="Arial"/>
          <w:spacing w:val="-2"/>
          <w:sz w:val="20"/>
          <w:szCs w:val="20"/>
        </w:rPr>
        <w:t>1.6</w:t>
      </w:r>
      <w:r>
        <w:rPr>
          <w:rFonts w:ascii="Arial" w:hAnsi="Arial" w:cs="Arial"/>
          <w:bCs/>
          <w:spacing w:val="-2"/>
          <w:sz w:val="20"/>
          <w:szCs w:val="20"/>
          <w:lang w:val="en"/>
        </w:rPr>
        <w:t xml:space="preserve"> min, respectively, for the polyphenol oxidase</w:t>
      </w:r>
      <w:r w:rsidR="00050688">
        <w:rPr>
          <w:rFonts w:ascii="Arial" w:hAnsi="Arial" w:cs="Arial"/>
          <w:bCs/>
          <w:spacing w:val="-2"/>
          <w:sz w:val="20"/>
          <w:szCs w:val="20"/>
          <w:lang w:val="en"/>
        </w:rPr>
        <w:t xml:space="preserve"> </w:t>
      </w:r>
      <w:r>
        <w:rPr>
          <w:rFonts w:ascii="Arial" w:hAnsi="Arial" w:cs="Arial"/>
          <w:bCs/>
          <w:spacing w:val="-2"/>
          <w:sz w:val="20"/>
          <w:szCs w:val="20"/>
          <w:lang w:val="en"/>
        </w:rPr>
        <w:t>catalyzed reactions in the absence and presence of SDS (Tables 4).</w:t>
      </w:r>
    </w:p>
    <w:p w14:paraId="5993E848" w14:textId="77777777" w:rsidR="00E052FE" w:rsidRDefault="005A1036">
      <w:pPr>
        <w:tabs>
          <w:tab w:val="left" w:pos="4064"/>
          <w:tab w:val="left" w:pos="4969"/>
          <w:tab w:val="left" w:pos="5448"/>
          <w:tab w:val="left" w:pos="5875"/>
          <w:tab w:val="left" w:pos="6958"/>
          <w:tab w:val="left" w:pos="7383"/>
          <w:tab w:val="left" w:pos="8501"/>
          <w:tab w:val="left" w:pos="8983"/>
        </w:tabs>
        <w:spacing w:before="76" w:after="0" w:line="240" w:lineRule="auto"/>
        <w:ind w:right="813"/>
        <w:jc w:val="center"/>
        <w:rPr>
          <w:rFonts w:ascii="Arial" w:hAnsi="Arial" w:cs="Arial"/>
        </w:rPr>
      </w:pPr>
      <w:r>
        <w:rPr>
          <w:rFonts w:ascii="Arial" w:hAnsi="Arial" w:cs="Arial"/>
          <w:noProof/>
          <w:lang w:val="en-US"/>
        </w:rPr>
        <w:drawing>
          <wp:inline distT="0" distB="0" distL="0" distR="0" wp14:anchorId="3D131CEF" wp14:editId="2149D0AC">
            <wp:extent cx="5810250" cy="2419350"/>
            <wp:effectExtent l="0" t="0" r="0" b="0"/>
            <wp:docPr id="2117025468"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025468" name="Imag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810250" cy="2419350"/>
                    </a:xfrm>
                    <a:prstGeom prst="rect">
                      <a:avLst/>
                    </a:prstGeom>
                    <a:noFill/>
                    <a:ln>
                      <a:noFill/>
                    </a:ln>
                  </pic:spPr>
                </pic:pic>
              </a:graphicData>
            </a:graphic>
          </wp:inline>
        </w:drawing>
      </w:r>
    </w:p>
    <w:p w14:paraId="21336FED" w14:textId="77777777" w:rsidR="00E052FE" w:rsidRDefault="005A1036">
      <w:pPr>
        <w:spacing w:after="0" w:line="240" w:lineRule="auto"/>
        <w:jc w:val="center"/>
        <w:rPr>
          <w:rFonts w:ascii="Arial" w:hAnsi="Arial" w:cs="Arial"/>
          <w:lang w:val="en"/>
        </w:rPr>
      </w:pPr>
      <w:r>
        <w:rPr>
          <w:rFonts w:ascii="Arial" w:hAnsi="Arial" w:cs="Arial"/>
          <w:noProof/>
          <w:lang w:val="en-US"/>
        </w:rPr>
        <w:drawing>
          <wp:inline distT="0" distB="0" distL="0" distR="0" wp14:anchorId="27D713C7" wp14:editId="011E831A">
            <wp:extent cx="5762625" cy="2457450"/>
            <wp:effectExtent l="0" t="0" r="9525" b="0"/>
            <wp:docPr id="1789681434"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81434" name="Imag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62625" cy="2457450"/>
                    </a:xfrm>
                    <a:prstGeom prst="rect">
                      <a:avLst/>
                    </a:prstGeom>
                    <a:noFill/>
                    <a:ln>
                      <a:noFill/>
                    </a:ln>
                  </pic:spPr>
                </pic:pic>
              </a:graphicData>
            </a:graphic>
          </wp:inline>
        </w:drawing>
      </w:r>
    </w:p>
    <w:p w14:paraId="1A713C05" w14:textId="77777777" w:rsidR="00E052FE" w:rsidRDefault="005A1036">
      <w:pPr>
        <w:spacing w:after="0" w:line="240" w:lineRule="auto"/>
        <w:jc w:val="center"/>
        <w:rPr>
          <w:rFonts w:ascii="Arial" w:hAnsi="Arial" w:cs="Arial"/>
          <w:sz w:val="20"/>
          <w:szCs w:val="20"/>
        </w:rPr>
      </w:pPr>
      <w:r>
        <w:rPr>
          <w:rFonts w:ascii="Arial" w:hAnsi="Arial" w:cs="Arial"/>
          <w:sz w:val="20"/>
          <w:szCs w:val="20"/>
          <w:lang w:val="en"/>
        </w:rPr>
        <w:t xml:space="preserve">A0 and </w:t>
      </w:r>
      <w:proofErr w:type="gramStart"/>
      <w:r>
        <w:rPr>
          <w:rFonts w:ascii="Arial" w:hAnsi="Arial" w:cs="Arial"/>
          <w:sz w:val="20"/>
          <w:szCs w:val="20"/>
          <w:lang w:val="en"/>
        </w:rPr>
        <w:t>At</w:t>
      </w:r>
      <w:proofErr w:type="gramEnd"/>
      <w:r>
        <w:rPr>
          <w:rFonts w:ascii="Arial" w:hAnsi="Arial" w:cs="Arial"/>
          <w:sz w:val="20"/>
          <w:szCs w:val="20"/>
          <w:lang w:val="en"/>
        </w:rPr>
        <w:t xml:space="preserve"> are the </w:t>
      </w:r>
      <w:r>
        <w:rPr>
          <w:rFonts w:ascii="Arial" w:hAnsi="Arial" w:cs="Arial"/>
          <w:sz w:val="20"/>
          <w:szCs w:val="20"/>
          <w:lang w:val="en"/>
        </w:rPr>
        <w:t>enzymatic activities before and after heating, respectively.</w:t>
      </w:r>
    </w:p>
    <w:p w14:paraId="50B4E33D" w14:textId="77777777" w:rsidR="00E052FE" w:rsidRPr="00050688" w:rsidRDefault="005A1036">
      <w:pPr>
        <w:tabs>
          <w:tab w:val="left" w:pos="4064"/>
          <w:tab w:val="left" w:pos="4969"/>
          <w:tab w:val="left" w:pos="5448"/>
          <w:tab w:val="left" w:pos="5875"/>
          <w:tab w:val="left" w:pos="6958"/>
          <w:tab w:val="left" w:pos="7383"/>
          <w:tab w:val="left" w:pos="8501"/>
          <w:tab w:val="left" w:pos="8983"/>
        </w:tabs>
        <w:spacing w:before="76" w:after="0" w:line="240" w:lineRule="auto"/>
        <w:ind w:right="813"/>
        <w:jc w:val="center"/>
        <w:rPr>
          <w:rFonts w:ascii="Arial" w:hAnsi="Arial" w:cs="Arial"/>
          <w:b/>
          <w:spacing w:val="-2"/>
          <w:sz w:val="20"/>
          <w:szCs w:val="20"/>
        </w:rPr>
      </w:pPr>
      <w:r w:rsidRPr="00050688">
        <w:rPr>
          <w:rFonts w:ascii="Arial" w:hAnsi="Arial" w:cs="Arial"/>
          <w:b/>
          <w:spacing w:val="-2"/>
          <w:sz w:val="20"/>
          <w:szCs w:val="20"/>
          <w:lang w:val="en"/>
        </w:rPr>
        <w:t>Figure 1: Influence of pre-incubation time at different temperatures (35 to 75 °C) on the latent form of polyphenol oxidase from the tuber of yam (</w:t>
      </w:r>
      <w:r w:rsidRPr="00050688">
        <w:rPr>
          <w:rFonts w:ascii="Arial" w:hAnsi="Arial" w:cs="Arial"/>
          <w:b/>
          <w:i/>
          <w:iCs/>
          <w:spacing w:val="-2"/>
          <w:sz w:val="20"/>
          <w:szCs w:val="20"/>
          <w:lang w:val="en"/>
        </w:rPr>
        <w:t>Dioscorea cayenensis-rotundata</w:t>
      </w:r>
      <w:r w:rsidRPr="00050688">
        <w:rPr>
          <w:rFonts w:ascii="Arial" w:hAnsi="Arial" w:cs="Arial"/>
          <w:b/>
          <w:spacing w:val="-2"/>
          <w:sz w:val="20"/>
          <w:szCs w:val="20"/>
          <w:lang w:val="en"/>
        </w:rPr>
        <w:t>) cultivar "Zrèzro</w:t>
      </w:r>
      <w:r w:rsidRPr="00050688">
        <w:rPr>
          <w:rFonts w:ascii="Arial" w:hAnsi="Arial" w:cs="Arial"/>
          <w:b/>
          <w:spacing w:val="-2"/>
          <w:sz w:val="20"/>
          <w:szCs w:val="20"/>
          <w:lang w:val="en"/>
        </w:rPr>
        <w:t>u".</w:t>
      </w:r>
    </w:p>
    <w:p w14:paraId="04BE9407" w14:textId="77777777" w:rsidR="00E052FE" w:rsidRDefault="00E052FE">
      <w:pPr>
        <w:pStyle w:val="Heading5"/>
        <w:spacing w:after="0" w:line="240" w:lineRule="auto"/>
        <w:ind w:right="50"/>
        <w:jc w:val="center"/>
        <w:rPr>
          <w:rFonts w:ascii="Arial" w:hAnsi="Arial" w:cs="Arial"/>
          <w:b/>
          <w:bCs/>
          <w:color w:val="auto"/>
          <w:lang w:val="en"/>
        </w:rPr>
      </w:pPr>
    </w:p>
    <w:p w14:paraId="0B826FFD" w14:textId="77777777" w:rsidR="00E052FE" w:rsidRDefault="00E052FE" w:rsidP="00050688">
      <w:pPr>
        <w:jc w:val="center"/>
        <w:rPr>
          <w:lang w:val="en"/>
        </w:rPr>
      </w:pPr>
    </w:p>
    <w:p w14:paraId="5802CF36" w14:textId="77777777" w:rsidR="00E052FE" w:rsidRDefault="005A1036">
      <w:pPr>
        <w:spacing w:after="0" w:line="240" w:lineRule="auto"/>
        <w:jc w:val="both"/>
        <w:rPr>
          <w:rFonts w:ascii="Arial" w:hAnsi="Arial" w:cs="Arial"/>
        </w:rPr>
      </w:pPr>
      <w:r>
        <w:rPr>
          <w:rFonts w:ascii="Arial" w:hAnsi="Arial" w:cs="Arial"/>
          <w:noProof/>
          <w:lang w:val="en-US"/>
        </w:rPr>
        <w:lastRenderedPageBreak/>
        <w:drawing>
          <wp:inline distT="0" distB="0" distL="0" distR="0" wp14:anchorId="0A982CB4" wp14:editId="0AF7A7F9">
            <wp:extent cx="6400800" cy="2559050"/>
            <wp:effectExtent l="0" t="0" r="0" b="12700"/>
            <wp:docPr id="1282878829"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78829" name="Imag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420781" cy="2567038"/>
                    </a:xfrm>
                    <a:prstGeom prst="rect">
                      <a:avLst/>
                    </a:prstGeom>
                    <a:noFill/>
                    <a:ln>
                      <a:noFill/>
                    </a:ln>
                  </pic:spPr>
                </pic:pic>
              </a:graphicData>
            </a:graphic>
          </wp:inline>
        </w:drawing>
      </w:r>
    </w:p>
    <w:p w14:paraId="37ED38AE" w14:textId="77777777" w:rsidR="00E052FE" w:rsidRDefault="005A1036">
      <w:pPr>
        <w:spacing w:after="0" w:line="240" w:lineRule="auto"/>
        <w:jc w:val="both"/>
        <w:rPr>
          <w:rFonts w:ascii="Arial" w:hAnsi="Arial" w:cs="Arial"/>
        </w:rPr>
      </w:pPr>
      <w:r>
        <w:rPr>
          <w:rFonts w:ascii="Arial" w:hAnsi="Arial" w:cs="Arial"/>
        </w:rPr>
        <w:t xml:space="preserve"> </w:t>
      </w:r>
    </w:p>
    <w:p w14:paraId="30F109BC" w14:textId="77777777" w:rsidR="00E052FE" w:rsidRPr="00050688" w:rsidRDefault="005A1036">
      <w:pPr>
        <w:pStyle w:val="Heading5"/>
        <w:spacing w:after="0" w:line="240" w:lineRule="auto"/>
        <w:ind w:right="50"/>
        <w:jc w:val="center"/>
        <w:rPr>
          <w:rFonts w:ascii="Arial" w:hAnsi="Arial" w:cs="Arial"/>
          <w:b/>
          <w:bCs/>
          <w:color w:val="auto"/>
          <w:sz w:val="20"/>
          <w:szCs w:val="20"/>
          <w:lang w:val="en"/>
        </w:rPr>
      </w:pPr>
      <w:r w:rsidRPr="00050688">
        <w:rPr>
          <w:rFonts w:ascii="Arial" w:hAnsi="Arial" w:cs="Arial"/>
          <w:b/>
          <w:bCs/>
          <w:color w:val="auto"/>
          <w:sz w:val="20"/>
          <w:szCs w:val="20"/>
          <w:lang w:val="en"/>
        </w:rPr>
        <w:t>Figure 2: Influence of pre-incubation time at different temperatures (35 to 55°C) on activated polyphenol oxidase of yam tuber (</w:t>
      </w:r>
      <w:r w:rsidRPr="00050688">
        <w:rPr>
          <w:rFonts w:ascii="Arial" w:hAnsi="Arial" w:cs="Arial"/>
          <w:b/>
          <w:bCs/>
          <w:i/>
          <w:iCs/>
          <w:color w:val="auto"/>
          <w:sz w:val="20"/>
          <w:szCs w:val="20"/>
          <w:lang w:val="en"/>
        </w:rPr>
        <w:t>Dioscorea cayenensis-rotundata</w:t>
      </w:r>
      <w:r w:rsidRPr="00050688">
        <w:rPr>
          <w:rFonts w:ascii="Arial" w:hAnsi="Arial" w:cs="Arial"/>
          <w:b/>
          <w:bCs/>
          <w:color w:val="auto"/>
          <w:sz w:val="20"/>
          <w:szCs w:val="20"/>
          <w:lang w:val="en"/>
        </w:rPr>
        <w:t>) cultivar "Zrèzrou".</w:t>
      </w:r>
    </w:p>
    <w:p w14:paraId="11F42165" w14:textId="77777777" w:rsidR="00E052FE" w:rsidRPr="00050688" w:rsidRDefault="00E052FE">
      <w:pPr>
        <w:spacing w:after="0" w:line="240" w:lineRule="auto"/>
        <w:jc w:val="center"/>
        <w:rPr>
          <w:rFonts w:ascii="Arial" w:hAnsi="Arial" w:cs="Arial"/>
          <w:b/>
          <w:sz w:val="20"/>
          <w:szCs w:val="20"/>
          <w:lang w:val="en"/>
        </w:rPr>
      </w:pPr>
    </w:p>
    <w:p w14:paraId="41281E09" w14:textId="77777777" w:rsidR="00E052FE" w:rsidRPr="00050688" w:rsidRDefault="005A1036">
      <w:pPr>
        <w:spacing w:after="0" w:line="240" w:lineRule="auto"/>
        <w:jc w:val="center"/>
        <w:rPr>
          <w:rFonts w:ascii="Arial" w:hAnsi="Arial" w:cs="Arial"/>
          <w:b/>
          <w:sz w:val="20"/>
          <w:szCs w:val="20"/>
          <w:lang w:val="en"/>
        </w:rPr>
      </w:pPr>
      <w:r w:rsidRPr="00050688">
        <w:rPr>
          <w:rFonts w:ascii="Arial" w:hAnsi="Arial" w:cs="Arial"/>
          <w:b/>
          <w:sz w:val="20"/>
          <w:szCs w:val="20"/>
          <w:lang w:val="en"/>
        </w:rPr>
        <w:t xml:space="preserve">Table 4: Rate constants of the reaction catalyzed by the latent </w:t>
      </w:r>
      <w:r w:rsidRPr="00050688">
        <w:rPr>
          <w:rFonts w:ascii="Arial" w:hAnsi="Arial" w:cs="Arial"/>
          <w:b/>
          <w:sz w:val="20"/>
          <w:szCs w:val="20"/>
          <w:lang w:val="en"/>
        </w:rPr>
        <w:t>and activated forms of polyphenol oxidase from the tuber of yam (</w:t>
      </w:r>
      <w:r w:rsidRPr="00050688">
        <w:rPr>
          <w:rFonts w:ascii="Arial" w:hAnsi="Arial" w:cs="Arial"/>
          <w:b/>
          <w:i/>
          <w:iCs/>
          <w:sz w:val="20"/>
          <w:szCs w:val="20"/>
          <w:lang w:val="en"/>
        </w:rPr>
        <w:t>Dioscorea cayenensis-rotundata</w:t>
      </w:r>
      <w:r w:rsidRPr="00050688">
        <w:rPr>
          <w:rFonts w:ascii="Arial" w:hAnsi="Arial" w:cs="Arial"/>
          <w:b/>
          <w:sz w:val="20"/>
          <w:szCs w:val="20"/>
          <w:lang w:val="en"/>
        </w:rPr>
        <w:t>) cultivar "Zrèzrou" during thermal inactivation between 35-75 °C</w:t>
      </w:r>
    </w:p>
    <w:p w14:paraId="3E43F9F7" w14:textId="77777777" w:rsidR="00E052FE" w:rsidRDefault="00E052FE">
      <w:pPr>
        <w:spacing w:after="0" w:line="240" w:lineRule="auto"/>
        <w:jc w:val="center"/>
        <w:rPr>
          <w:rFonts w:ascii="Arial" w:hAnsi="Arial" w:cs="Arial"/>
        </w:rPr>
      </w:pPr>
    </w:p>
    <w:tbl>
      <w:tblPr>
        <w:tblStyle w:val="TableNormal1"/>
        <w:tblpPr w:leftFromText="141" w:rightFromText="141" w:vertAnchor="text" w:horzAnchor="margin" w:tblpXSpec="center" w:tblpY="96"/>
        <w:tblW w:w="7238" w:type="dxa"/>
        <w:tblLayout w:type="fixed"/>
        <w:tblCellMar>
          <w:top w:w="15" w:type="dxa"/>
          <w:left w:w="15" w:type="dxa"/>
          <w:bottom w:w="15" w:type="dxa"/>
          <w:right w:w="15" w:type="dxa"/>
        </w:tblCellMar>
        <w:tblLook w:val="04A0" w:firstRow="1" w:lastRow="0" w:firstColumn="1" w:lastColumn="0" w:noHBand="0" w:noVBand="1"/>
      </w:tblPr>
      <w:tblGrid>
        <w:gridCol w:w="1417"/>
        <w:gridCol w:w="1560"/>
        <w:gridCol w:w="1278"/>
        <w:gridCol w:w="1559"/>
        <w:gridCol w:w="1424"/>
      </w:tblGrid>
      <w:tr w:rsidR="00E052FE" w14:paraId="18434925" w14:textId="77777777">
        <w:tc>
          <w:tcPr>
            <w:tcW w:w="1417" w:type="dxa"/>
            <w:vMerge w:val="restart"/>
            <w:tcBorders>
              <w:top w:val="single" w:sz="4" w:space="0" w:color="auto"/>
            </w:tcBorders>
          </w:tcPr>
          <w:p w14:paraId="3E627184" w14:textId="77777777" w:rsidR="00E052FE" w:rsidRDefault="005A1036">
            <w:pPr>
              <w:widowControl/>
              <w:autoSpaceDE/>
              <w:autoSpaceDN/>
              <w:spacing w:after="0" w:line="240" w:lineRule="auto"/>
              <w:jc w:val="center"/>
              <w:rPr>
                <w:rFonts w:ascii="Arial" w:hAnsi="Arial" w:cs="Arial"/>
                <w:b/>
                <w:sz w:val="20"/>
                <w:szCs w:val="20"/>
                <w:lang w:eastAsia="fr-FR"/>
              </w:rPr>
            </w:pPr>
            <w:r>
              <w:rPr>
                <w:rFonts w:ascii="Arial" w:hAnsi="Arial" w:cs="Arial"/>
                <w:b/>
                <w:sz w:val="20"/>
                <w:szCs w:val="20"/>
                <w:lang w:eastAsia="fr-FR"/>
              </w:rPr>
              <w:t>Temperature</w:t>
            </w:r>
          </w:p>
          <w:p w14:paraId="2A68372F" w14:textId="77777777" w:rsidR="00E052FE" w:rsidRDefault="005A1036">
            <w:pPr>
              <w:widowControl/>
              <w:autoSpaceDE/>
              <w:autoSpaceDN/>
              <w:spacing w:after="0" w:line="240" w:lineRule="auto"/>
              <w:jc w:val="center"/>
              <w:rPr>
                <w:rFonts w:ascii="Arial" w:hAnsi="Arial" w:cs="Arial"/>
                <w:b/>
                <w:sz w:val="20"/>
                <w:szCs w:val="20"/>
                <w:lang w:eastAsia="fr-FR"/>
              </w:rPr>
            </w:pPr>
            <w:r>
              <w:rPr>
                <w:rFonts w:ascii="Arial" w:hAnsi="Arial" w:cs="Arial"/>
                <w:b/>
                <w:sz w:val="20"/>
                <w:szCs w:val="20"/>
                <w:lang w:eastAsia="fr-FR"/>
              </w:rPr>
              <w:t>(°C)</w:t>
            </w:r>
          </w:p>
        </w:tc>
        <w:tc>
          <w:tcPr>
            <w:tcW w:w="2838" w:type="dxa"/>
            <w:gridSpan w:val="2"/>
            <w:tcBorders>
              <w:top w:val="single" w:sz="4" w:space="0" w:color="auto"/>
              <w:bottom w:val="single" w:sz="4" w:space="0" w:color="auto"/>
            </w:tcBorders>
          </w:tcPr>
          <w:p w14:paraId="18DE4C24" w14:textId="77777777" w:rsidR="00E052FE" w:rsidRDefault="005A1036">
            <w:pPr>
              <w:spacing w:after="0" w:line="240" w:lineRule="auto"/>
              <w:jc w:val="center"/>
              <w:rPr>
                <w:rFonts w:ascii="Arial" w:hAnsi="Arial" w:cs="Arial"/>
                <w:b/>
                <w:sz w:val="20"/>
                <w:szCs w:val="20"/>
                <w:lang w:eastAsia="fr-FR"/>
              </w:rPr>
            </w:pPr>
            <w:r>
              <w:rPr>
                <w:rFonts w:ascii="Arial" w:hAnsi="Arial" w:cs="Arial"/>
                <w:b/>
                <w:sz w:val="20"/>
                <w:szCs w:val="20"/>
                <w:lang w:eastAsia="fr-FR"/>
              </w:rPr>
              <w:t>t</w:t>
            </w:r>
            <w:r>
              <w:rPr>
                <w:rFonts w:ascii="Arial" w:hAnsi="Arial" w:cs="Arial"/>
                <w:b/>
                <w:sz w:val="20"/>
                <w:szCs w:val="20"/>
                <w:vertAlign w:val="subscript"/>
                <w:lang w:eastAsia="fr-FR"/>
              </w:rPr>
              <w:t>½</w:t>
            </w:r>
            <w:r>
              <w:rPr>
                <w:rFonts w:ascii="Arial" w:hAnsi="Arial" w:cs="Arial"/>
                <w:b/>
                <w:sz w:val="20"/>
                <w:szCs w:val="20"/>
                <w:lang w:eastAsia="fr-FR"/>
              </w:rPr>
              <w:t xml:space="preserve"> (</w:t>
            </w:r>
            <w:r>
              <w:rPr>
                <w:rFonts w:ascii="Arial" w:eastAsiaTheme="majorEastAsia" w:hAnsi="Arial" w:cs="Arial"/>
                <w:b/>
                <w:sz w:val="20"/>
                <w:szCs w:val="20"/>
                <w:lang w:val="en" w:eastAsia="fr-FR"/>
              </w:rPr>
              <w:t>half-life) (min)</w:t>
            </w:r>
          </w:p>
          <w:p w14:paraId="1D4ED4CC" w14:textId="77777777" w:rsidR="00E052FE" w:rsidRDefault="00E052FE">
            <w:pPr>
              <w:widowControl/>
              <w:autoSpaceDE/>
              <w:autoSpaceDN/>
              <w:spacing w:after="0" w:line="240" w:lineRule="auto"/>
              <w:jc w:val="both"/>
              <w:rPr>
                <w:rFonts w:ascii="Arial" w:hAnsi="Arial" w:cs="Arial"/>
                <w:b/>
                <w:sz w:val="20"/>
                <w:szCs w:val="20"/>
                <w:lang w:eastAsia="fr-FR"/>
              </w:rPr>
            </w:pPr>
          </w:p>
        </w:tc>
        <w:tc>
          <w:tcPr>
            <w:tcW w:w="2983" w:type="dxa"/>
            <w:gridSpan w:val="2"/>
            <w:tcBorders>
              <w:top w:val="single" w:sz="4" w:space="0" w:color="auto"/>
              <w:bottom w:val="single" w:sz="4" w:space="0" w:color="auto"/>
            </w:tcBorders>
          </w:tcPr>
          <w:p w14:paraId="13E181C8" w14:textId="77777777" w:rsidR="00E052FE" w:rsidRDefault="005A1036">
            <w:pPr>
              <w:spacing w:after="0" w:line="240" w:lineRule="auto"/>
              <w:jc w:val="center"/>
              <w:rPr>
                <w:rFonts w:ascii="Arial" w:hAnsi="Arial" w:cs="Arial"/>
                <w:b/>
                <w:sz w:val="20"/>
                <w:szCs w:val="20"/>
                <w:lang w:eastAsia="fr-FR"/>
              </w:rPr>
            </w:pPr>
            <w:r>
              <w:rPr>
                <w:rFonts w:ascii="Arial" w:hAnsi="Arial" w:cs="Arial"/>
                <w:b/>
                <w:sz w:val="20"/>
                <w:szCs w:val="20"/>
                <w:lang w:eastAsia="fr-FR"/>
              </w:rPr>
              <w:t>k (</w:t>
            </w:r>
            <w:r>
              <w:rPr>
                <w:rFonts w:ascii="Arial" w:eastAsiaTheme="majorEastAsia" w:hAnsi="Arial" w:cs="Arial"/>
                <w:b/>
                <w:sz w:val="20"/>
                <w:szCs w:val="20"/>
                <w:lang w:val="en" w:eastAsia="fr-FR"/>
              </w:rPr>
              <w:t>constant speed in min-1</w:t>
            </w:r>
            <w:r>
              <w:rPr>
                <w:rFonts w:ascii="Arial" w:hAnsi="Arial" w:cs="Arial"/>
                <w:b/>
                <w:sz w:val="20"/>
                <w:szCs w:val="20"/>
                <w:lang w:eastAsia="fr-FR"/>
              </w:rPr>
              <w:t>)</w:t>
            </w:r>
          </w:p>
        </w:tc>
      </w:tr>
      <w:tr w:rsidR="00E052FE" w14:paraId="23CC42DB" w14:textId="77777777">
        <w:tc>
          <w:tcPr>
            <w:tcW w:w="1417" w:type="dxa"/>
            <w:vMerge/>
            <w:tcBorders>
              <w:bottom w:val="single" w:sz="4" w:space="0" w:color="auto"/>
            </w:tcBorders>
            <w:vAlign w:val="center"/>
          </w:tcPr>
          <w:p w14:paraId="61D8BC03" w14:textId="77777777" w:rsidR="00E052FE" w:rsidRDefault="00E052FE">
            <w:pPr>
              <w:widowControl/>
              <w:autoSpaceDE/>
              <w:autoSpaceDN/>
              <w:spacing w:after="0" w:line="240" w:lineRule="auto"/>
              <w:jc w:val="both"/>
              <w:rPr>
                <w:rFonts w:ascii="Arial" w:hAnsi="Arial" w:cs="Arial"/>
                <w:b/>
                <w:sz w:val="20"/>
                <w:szCs w:val="20"/>
                <w:lang w:eastAsia="fr-FR"/>
              </w:rPr>
            </w:pPr>
          </w:p>
        </w:tc>
        <w:tc>
          <w:tcPr>
            <w:tcW w:w="1560" w:type="dxa"/>
            <w:tcBorders>
              <w:top w:val="single" w:sz="4" w:space="0" w:color="auto"/>
              <w:bottom w:val="single" w:sz="4" w:space="0" w:color="auto"/>
            </w:tcBorders>
          </w:tcPr>
          <w:p w14:paraId="5CBE0228" w14:textId="77777777" w:rsidR="00E052FE" w:rsidRDefault="005A1036">
            <w:pPr>
              <w:widowControl/>
              <w:autoSpaceDE/>
              <w:autoSpaceDN/>
              <w:spacing w:after="0" w:line="240" w:lineRule="auto"/>
              <w:rPr>
                <w:rFonts w:ascii="Arial" w:hAnsi="Arial" w:cs="Arial"/>
                <w:b/>
                <w:bCs/>
                <w:sz w:val="20"/>
                <w:szCs w:val="20"/>
                <w:lang w:eastAsia="fr-FR"/>
              </w:rPr>
            </w:pPr>
            <w:r>
              <w:rPr>
                <w:rFonts w:ascii="Arial" w:hAnsi="Arial" w:cs="Arial"/>
                <w:b/>
                <w:bCs/>
                <w:sz w:val="20"/>
                <w:szCs w:val="20"/>
                <w:lang w:eastAsia="fr-FR"/>
              </w:rPr>
              <w:t>Latente</w:t>
            </w:r>
          </w:p>
        </w:tc>
        <w:tc>
          <w:tcPr>
            <w:tcW w:w="1278" w:type="dxa"/>
            <w:tcBorders>
              <w:top w:val="single" w:sz="4" w:space="0" w:color="auto"/>
              <w:bottom w:val="single" w:sz="4" w:space="0" w:color="auto"/>
            </w:tcBorders>
          </w:tcPr>
          <w:p w14:paraId="0A8772F2" w14:textId="77777777" w:rsidR="00E052FE" w:rsidRDefault="005A1036">
            <w:pPr>
              <w:widowControl/>
              <w:autoSpaceDE/>
              <w:autoSpaceDN/>
              <w:spacing w:after="0" w:line="240" w:lineRule="auto"/>
              <w:rPr>
                <w:rFonts w:ascii="Arial" w:hAnsi="Arial" w:cs="Arial"/>
                <w:b/>
                <w:bCs/>
                <w:sz w:val="20"/>
                <w:szCs w:val="20"/>
                <w:lang w:eastAsia="fr-FR"/>
              </w:rPr>
            </w:pPr>
            <w:r>
              <w:rPr>
                <w:rFonts w:ascii="Arial" w:hAnsi="Arial" w:cs="Arial"/>
                <w:b/>
                <w:bCs/>
                <w:sz w:val="20"/>
                <w:szCs w:val="20"/>
                <w:lang w:eastAsia="fr-FR"/>
              </w:rPr>
              <w:t>Activated</w:t>
            </w:r>
          </w:p>
        </w:tc>
        <w:tc>
          <w:tcPr>
            <w:tcW w:w="1559" w:type="dxa"/>
            <w:tcBorders>
              <w:top w:val="single" w:sz="4" w:space="0" w:color="auto"/>
              <w:bottom w:val="single" w:sz="4" w:space="0" w:color="auto"/>
            </w:tcBorders>
          </w:tcPr>
          <w:p w14:paraId="430884C8" w14:textId="77777777" w:rsidR="00E052FE" w:rsidRDefault="005A1036">
            <w:pPr>
              <w:widowControl/>
              <w:autoSpaceDE/>
              <w:autoSpaceDN/>
              <w:spacing w:after="0" w:line="240" w:lineRule="auto"/>
              <w:rPr>
                <w:rFonts w:ascii="Arial" w:hAnsi="Arial" w:cs="Arial"/>
                <w:b/>
                <w:bCs/>
                <w:sz w:val="20"/>
                <w:szCs w:val="20"/>
                <w:lang w:eastAsia="fr-FR"/>
              </w:rPr>
            </w:pPr>
            <w:r>
              <w:rPr>
                <w:rFonts w:ascii="Arial" w:hAnsi="Arial" w:cs="Arial"/>
                <w:b/>
                <w:bCs/>
                <w:sz w:val="20"/>
                <w:szCs w:val="20"/>
                <w:lang w:eastAsia="fr-FR"/>
              </w:rPr>
              <w:t>Latente</w:t>
            </w:r>
          </w:p>
        </w:tc>
        <w:tc>
          <w:tcPr>
            <w:tcW w:w="1424" w:type="dxa"/>
            <w:tcBorders>
              <w:top w:val="single" w:sz="4" w:space="0" w:color="auto"/>
              <w:bottom w:val="single" w:sz="4" w:space="0" w:color="auto"/>
            </w:tcBorders>
          </w:tcPr>
          <w:p w14:paraId="4CA07C61" w14:textId="77777777" w:rsidR="00E052FE" w:rsidRDefault="005A1036">
            <w:pPr>
              <w:widowControl/>
              <w:autoSpaceDE/>
              <w:autoSpaceDN/>
              <w:spacing w:after="0" w:line="240" w:lineRule="auto"/>
              <w:rPr>
                <w:rFonts w:ascii="Arial" w:hAnsi="Arial" w:cs="Arial"/>
                <w:b/>
                <w:bCs/>
                <w:sz w:val="20"/>
                <w:szCs w:val="20"/>
                <w:lang w:eastAsia="fr-FR"/>
              </w:rPr>
            </w:pPr>
            <w:r>
              <w:rPr>
                <w:rFonts w:ascii="Arial" w:hAnsi="Arial" w:cs="Arial"/>
                <w:b/>
                <w:bCs/>
                <w:sz w:val="20"/>
                <w:szCs w:val="20"/>
                <w:lang w:eastAsia="fr-FR"/>
              </w:rPr>
              <w:t>Ativated</w:t>
            </w:r>
          </w:p>
        </w:tc>
      </w:tr>
      <w:tr w:rsidR="00E052FE" w14:paraId="3C46FFC2" w14:textId="77777777">
        <w:tc>
          <w:tcPr>
            <w:tcW w:w="1417" w:type="dxa"/>
            <w:tcBorders>
              <w:top w:val="single" w:sz="4" w:space="0" w:color="auto"/>
              <w:bottom w:val="nil"/>
            </w:tcBorders>
          </w:tcPr>
          <w:p w14:paraId="022911B6" w14:textId="77777777" w:rsidR="00E052FE" w:rsidRDefault="005A1036">
            <w:pPr>
              <w:widowControl/>
              <w:autoSpaceDE/>
              <w:autoSpaceDN/>
              <w:spacing w:after="0" w:line="480" w:lineRule="auto"/>
              <w:jc w:val="center"/>
              <w:rPr>
                <w:rFonts w:ascii="Arial" w:hAnsi="Arial" w:cs="Arial"/>
                <w:b/>
                <w:sz w:val="20"/>
                <w:szCs w:val="20"/>
                <w:lang w:eastAsia="fr-FR"/>
              </w:rPr>
            </w:pPr>
            <w:r>
              <w:rPr>
                <w:rFonts w:ascii="Arial" w:hAnsi="Arial" w:cs="Arial"/>
                <w:b/>
                <w:sz w:val="20"/>
                <w:szCs w:val="20"/>
                <w:lang w:eastAsia="fr-FR"/>
              </w:rPr>
              <w:t>35</w:t>
            </w:r>
          </w:p>
        </w:tc>
        <w:tc>
          <w:tcPr>
            <w:tcW w:w="1560" w:type="dxa"/>
            <w:tcBorders>
              <w:top w:val="single" w:sz="4" w:space="0" w:color="auto"/>
              <w:bottom w:val="nil"/>
              <w:right w:val="nil"/>
            </w:tcBorders>
          </w:tcPr>
          <w:p w14:paraId="6392CA1B" w14:textId="77777777" w:rsidR="00E052FE" w:rsidRDefault="005A1036">
            <w:pPr>
              <w:widowControl/>
              <w:autoSpaceDE/>
              <w:autoSpaceDN/>
              <w:spacing w:after="0" w:line="480" w:lineRule="auto"/>
              <w:jc w:val="both"/>
              <w:rPr>
                <w:rFonts w:ascii="Arial" w:hAnsi="Arial" w:cs="Arial"/>
                <w:sz w:val="20"/>
                <w:szCs w:val="20"/>
                <w:lang w:eastAsia="fr-FR"/>
              </w:rPr>
            </w:pPr>
            <w:proofErr w:type="gramStart"/>
            <w:r>
              <w:rPr>
                <w:rFonts w:ascii="Arial" w:hAnsi="Arial" w:cs="Arial"/>
                <w:sz w:val="20"/>
                <w:szCs w:val="20"/>
                <w:lang w:eastAsia="fr-FR"/>
              </w:rPr>
              <w:t xml:space="preserve">231.0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4.6</w:t>
            </w:r>
          </w:p>
        </w:tc>
        <w:tc>
          <w:tcPr>
            <w:tcW w:w="1278" w:type="dxa"/>
            <w:tcBorders>
              <w:top w:val="single" w:sz="4" w:space="0" w:color="auto"/>
              <w:left w:val="nil"/>
              <w:bottom w:val="nil"/>
            </w:tcBorders>
          </w:tcPr>
          <w:p w14:paraId="1690636F"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231   </w:t>
            </w:r>
            <w:r>
              <w:rPr>
                <w:rFonts w:ascii="Arial" w:hAnsi="Arial" w:cs="Arial"/>
                <w:spacing w:val="-2"/>
                <w:sz w:val="20"/>
                <w:szCs w:val="20"/>
                <w:lang w:eastAsia="fr-FR"/>
              </w:rPr>
              <w:t>± 3.7</w:t>
            </w:r>
          </w:p>
        </w:tc>
        <w:tc>
          <w:tcPr>
            <w:tcW w:w="1559" w:type="dxa"/>
            <w:tcBorders>
              <w:top w:val="single" w:sz="4" w:space="0" w:color="auto"/>
              <w:bottom w:val="nil"/>
              <w:right w:val="nil"/>
            </w:tcBorders>
          </w:tcPr>
          <w:p w14:paraId="71D4A5BA"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0.003 </w:t>
            </w:r>
            <w:r>
              <w:rPr>
                <w:rFonts w:ascii="Arial" w:hAnsi="Arial" w:cs="Arial"/>
                <w:spacing w:val="-2"/>
                <w:sz w:val="20"/>
                <w:szCs w:val="20"/>
                <w:lang w:eastAsia="fr-FR"/>
              </w:rPr>
              <w:t>± 0,001</w:t>
            </w:r>
          </w:p>
        </w:tc>
        <w:tc>
          <w:tcPr>
            <w:tcW w:w="1424" w:type="dxa"/>
            <w:tcBorders>
              <w:top w:val="single" w:sz="4" w:space="0" w:color="auto"/>
              <w:left w:val="nil"/>
              <w:bottom w:val="nil"/>
            </w:tcBorders>
          </w:tcPr>
          <w:p w14:paraId="5A3B3E58"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0.003 </w:t>
            </w:r>
            <w:r>
              <w:rPr>
                <w:rFonts w:ascii="Arial" w:hAnsi="Arial" w:cs="Arial"/>
                <w:spacing w:val="-2"/>
                <w:sz w:val="20"/>
                <w:szCs w:val="20"/>
                <w:lang w:eastAsia="fr-FR"/>
              </w:rPr>
              <w:t>± 0,002</w:t>
            </w:r>
          </w:p>
        </w:tc>
      </w:tr>
      <w:tr w:rsidR="00E052FE" w14:paraId="33E3D4FB" w14:textId="77777777">
        <w:tc>
          <w:tcPr>
            <w:tcW w:w="1417" w:type="dxa"/>
            <w:tcBorders>
              <w:top w:val="nil"/>
              <w:bottom w:val="nil"/>
            </w:tcBorders>
          </w:tcPr>
          <w:p w14:paraId="2B818867" w14:textId="77777777" w:rsidR="00E052FE" w:rsidRDefault="005A1036">
            <w:pPr>
              <w:widowControl/>
              <w:autoSpaceDE/>
              <w:autoSpaceDN/>
              <w:spacing w:after="0" w:line="480" w:lineRule="auto"/>
              <w:jc w:val="center"/>
              <w:rPr>
                <w:rFonts w:ascii="Arial" w:hAnsi="Arial" w:cs="Arial"/>
                <w:b/>
                <w:sz w:val="20"/>
                <w:szCs w:val="20"/>
                <w:lang w:eastAsia="fr-FR"/>
              </w:rPr>
            </w:pPr>
            <w:r>
              <w:rPr>
                <w:rFonts w:ascii="Arial" w:hAnsi="Arial" w:cs="Arial"/>
                <w:b/>
                <w:sz w:val="20"/>
                <w:szCs w:val="20"/>
                <w:lang w:eastAsia="fr-FR"/>
              </w:rPr>
              <w:t>40</w:t>
            </w:r>
          </w:p>
        </w:tc>
        <w:tc>
          <w:tcPr>
            <w:tcW w:w="1560" w:type="dxa"/>
            <w:tcBorders>
              <w:top w:val="nil"/>
              <w:bottom w:val="nil"/>
              <w:right w:val="nil"/>
            </w:tcBorders>
          </w:tcPr>
          <w:p w14:paraId="4AB9D3AC" w14:textId="77777777" w:rsidR="00E052FE" w:rsidRDefault="005A1036">
            <w:pPr>
              <w:widowControl/>
              <w:autoSpaceDE/>
              <w:autoSpaceDN/>
              <w:spacing w:after="0" w:line="480" w:lineRule="auto"/>
              <w:jc w:val="both"/>
              <w:rPr>
                <w:rFonts w:ascii="Arial" w:hAnsi="Arial" w:cs="Arial"/>
                <w:sz w:val="20"/>
                <w:szCs w:val="20"/>
                <w:lang w:eastAsia="fr-FR"/>
              </w:rPr>
            </w:pPr>
            <w:proofErr w:type="gramStart"/>
            <w:r>
              <w:rPr>
                <w:rFonts w:ascii="Arial" w:hAnsi="Arial" w:cs="Arial"/>
                <w:sz w:val="20"/>
                <w:szCs w:val="20"/>
                <w:lang w:eastAsia="fr-FR"/>
              </w:rPr>
              <w:t>99.02</w:t>
            </w:r>
            <w:r>
              <w:rPr>
                <w:rFonts w:ascii="Arial" w:hAnsi="Arial" w:cs="Arial"/>
                <w:spacing w:val="-2"/>
                <w:sz w:val="20"/>
                <w:szCs w:val="20"/>
                <w:lang w:eastAsia="fr-FR"/>
              </w:rPr>
              <w:t xml:space="preserve">  ±</w:t>
            </w:r>
            <w:proofErr w:type="gramEnd"/>
            <w:r>
              <w:rPr>
                <w:rFonts w:ascii="Arial" w:hAnsi="Arial" w:cs="Arial"/>
                <w:spacing w:val="-2"/>
                <w:sz w:val="20"/>
                <w:szCs w:val="20"/>
                <w:lang w:eastAsia="fr-FR"/>
              </w:rPr>
              <w:t xml:space="preserve">  3.9</w:t>
            </w:r>
          </w:p>
        </w:tc>
        <w:tc>
          <w:tcPr>
            <w:tcW w:w="1278" w:type="dxa"/>
            <w:tcBorders>
              <w:top w:val="nil"/>
              <w:left w:val="nil"/>
              <w:bottom w:val="nil"/>
            </w:tcBorders>
          </w:tcPr>
          <w:p w14:paraId="6956C2B3" w14:textId="77777777" w:rsidR="00E052FE" w:rsidRDefault="005A1036">
            <w:pPr>
              <w:widowControl/>
              <w:autoSpaceDE/>
              <w:autoSpaceDN/>
              <w:spacing w:after="0" w:line="480" w:lineRule="auto"/>
              <w:jc w:val="both"/>
              <w:rPr>
                <w:rFonts w:ascii="Arial" w:hAnsi="Arial" w:cs="Arial"/>
                <w:sz w:val="20"/>
                <w:szCs w:val="20"/>
                <w:lang w:eastAsia="fr-FR"/>
              </w:rPr>
            </w:pPr>
            <w:proofErr w:type="gramStart"/>
            <w:r>
              <w:rPr>
                <w:rFonts w:ascii="Arial" w:hAnsi="Arial" w:cs="Arial"/>
                <w:sz w:val="20"/>
                <w:szCs w:val="20"/>
                <w:lang w:eastAsia="fr-FR"/>
              </w:rPr>
              <w:t xml:space="preserve">69.3  </w:t>
            </w:r>
            <w:r>
              <w:rPr>
                <w:rFonts w:ascii="Arial" w:hAnsi="Arial" w:cs="Arial"/>
                <w:spacing w:val="-2"/>
                <w:sz w:val="20"/>
                <w:szCs w:val="20"/>
                <w:lang w:eastAsia="fr-FR"/>
              </w:rPr>
              <w:t>±</w:t>
            </w:r>
            <w:proofErr w:type="gramEnd"/>
            <w:r>
              <w:rPr>
                <w:rFonts w:ascii="Arial" w:hAnsi="Arial" w:cs="Arial"/>
                <w:sz w:val="20"/>
                <w:szCs w:val="20"/>
                <w:lang w:eastAsia="fr-FR"/>
              </w:rPr>
              <w:t xml:space="preserve"> 2.1</w:t>
            </w:r>
          </w:p>
        </w:tc>
        <w:tc>
          <w:tcPr>
            <w:tcW w:w="1559" w:type="dxa"/>
            <w:tcBorders>
              <w:top w:val="nil"/>
              <w:bottom w:val="nil"/>
              <w:right w:val="nil"/>
            </w:tcBorders>
          </w:tcPr>
          <w:p w14:paraId="76F05769"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0.007 </w:t>
            </w:r>
            <w:r>
              <w:rPr>
                <w:rFonts w:ascii="Arial" w:hAnsi="Arial" w:cs="Arial"/>
                <w:spacing w:val="-2"/>
                <w:sz w:val="20"/>
                <w:szCs w:val="20"/>
                <w:lang w:eastAsia="fr-FR"/>
              </w:rPr>
              <w:t>± 0,002</w:t>
            </w:r>
          </w:p>
        </w:tc>
        <w:tc>
          <w:tcPr>
            <w:tcW w:w="1424" w:type="dxa"/>
            <w:tcBorders>
              <w:top w:val="nil"/>
              <w:left w:val="nil"/>
              <w:bottom w:val="nil"/>
            </w:tcBorders>
          </w:tcPr>
          <w:p w14:paraId="53E8DA6B"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0.010 </w:t>
            </w:r>
            <w:r>
              <w:rPr>
                <w:rFonts w:ascii="Arial" w:hAnsi="Arial" w:cs="Arial"/>
                <w:spacing w:val="-2"/>
                <w:sz w:val="20"/>
                <w:szCs w:val="20"/>
                <w:lang w:eastAsia="fr-FR"/>
              </w:rPr>
              <w:t>± 0.010</w:t>
            </w:r>
          </w:p>
        </w:tc>
      </w:tr>
      <w:tr w:rsidR="00E052FE" w14:paraId="4E24ABA4" w14:textId="77777777">
        <w:tc>
          <w:tcPr>
            <w:tcW w:w="1417" w:type="dxa"/>
            <w:tcBorders>
              <w:top w:val="nil"/>
              <w:bottom w:val="nil"/>
            </w:tcBorders>
          </w:tcPr>
          <w:p w14:paraId="3CD26EDB" w14:textId="77777777" w:rsidR="00E052FE" w:rsidRDefault="005A1036">
            <w:pPr>
              <w:widowControl/>
              <w:autoSpaceDE/>
              <w:autoSpaceDN/>
              <w:spacing w:after="0" w:line="480" w:lineRule="auto"/>
              <w:ind w:hanging="20"/>
              <w:jc w:val="center"/>
              <w:rPr>
                <w:rFonts w:ascii="Arial" w:hAnsi="Arial" w:cs="Arial"/>
                <w:b/>
                <w:sz w:val="20"/>
                <w:szCs w:val="20"/>
                <w:lang w:eastAsia="fr-FR"/>
              </w:rPr>
            </w:pPr>
            <w:r>
              <w:rPr>
                <w:rFonts w:ascii="Arial" w:hAnsi="Arial" w:cs="Arial"/>
                <w:b/>
                <w:sz w:val="20"/>
                <w:szCs w:val="20"/>
                <w:lang w:eastAsia="fr-FR"/>
              </w:rPr>
              <w:t>45</w:t>
            </w:r>
          </w:p>
        </w:tc>
        <w:tc>
          <w:tcPr>
            <w:tcW w:w="1560" w:type="dxa"/>
            <w:tcBorders>
              <w:top w:val="nil"/>
              <w:bottom w:val="nil"/>
              <w:right w:val="nil"/>
            </w:tcBorders>
          </w:tcPr>
          <w:p w14:paraId="7B450177" w14:textId="77777777" w:rsidR="00E052FE" w:rsidRDefault="005A1036">
            <w:pPr>
              <w:widowControl/>
              <w:autoSpaceDE/>
              <w:autoSpaceDN/>
              <w:spacing w:after="0" w:line="480" w:lineRule="auto"/>
              <w:jc w:val="both"/>
              <w:rPr>
                <w:rFonts w:ascii="Arial" w:hAnsi="Arial" w:cs="Arial"/>
                <w:sz w:val="20"/>
                <w:szCs w:val="20"/>
                <w:lang w:eastAsia="fr-FR"/>
              </w:rPr>
            </w:pPr>
            <w:proofErr w:type="gramStart"/>
            <w:r>
              <w:rPr>
                <w:rFonts w:ascii="Arial" w:hAnsi="Arial" w:cs="Arial"/>
                <w:sz w:val="20"/>
                <w:szCs w:val="20"/>
                <w:lang w:eastAsia="fr-FR"/>
              </w:rPr>
              <w:t xml:space="preserve">77.02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5.2</w:t>
            </w:r>
          </w:p>
        </w:tc>
        <w:tc>
          <w:tcPr>
            <w:tcW w:w="1278" w:type="dxa"/>
            <w:tcBorders>
              <w:top w:val="nil"/>
              <w:left w:val="nil"/>
              <w:bottom w:val="nil"/>
            </w:tcBorders>
          </w:tcPr>
          <w:p w14:paraId="2381531E"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31.50 </w:t>
            </w:r>
            <w:r>
              <w:rPr>
                <w:rFonts w:ascii="Arial" w:hAnsi="Arial" w:cs="Arial"/>
                <w:spacing w:val="-2"/>
                <w:sz w:val="20"/>
                <w:szCs w:val="20"/>
                <w:lang w:eastAsia="fr-FR"/>
              </w:rPr>
              <w:t>± 1.7</w:t>
            </w:r>
          </w:p>
        </w:tc>
        <w:tc>
          <w:tcPr>
            <w:tcW w:w="1559" w:type="dxa"/>
            <w:tcBorders>
              <w:top w:val="nil"/>
              <w:bottom w:val="nil"/>
              <w:right w:val="nil"/>
            </w:tcBorders>
          </w:tcPr>
          <w:p w14:paraId="1A19267D"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0.009 </w:t>
            </w:r>
            <w:r>
              <w:rPr>
                <w:rFonts w:ascii="Arial" w:hAnsi="Arial" w:cs="Arial"/>
                <w:spacing w:val="-2"/>
                <w:sz w:val="20"/>
                <w:szCs w:val="20"/>
                <w:lang w:eastAsia="fr-FR"/>
              </w:rPr>
              <w:t>± 0,005</w:t>
            </w:r>
          </w:p>
        </w:tc>
        <w:tc>
          <w:tcPr>
            <w:tcW w:w="1424" w:type="dxa"/>
            <w:tcBorders>
              <w:top w:val="nil"/>
              <w:left w:val="nil"/>
              <w:bottom w:val="nil"/>
            </w:tcBorders>
          </w:tcPr>
          <w:p w14:paraId="63F1C880"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0.022 </w:t>
            </w:r>
            <w:r>
              <w:rPr>
                <w:rFonts w:ascii="Arial" w:hAnsi="Arial" w:cs="Arial"/>
                <w:spacing w:val="-2"/>
                <w:sz w:val="20"/>
                <w:szCs w:val="20"/>
                <w:lang w:eastAsia="fr-FR"/>
              </w:rPr>
              <w:t>± 0,026</w:t>
            </w:r>
          </w:p>
        </w:tc>
      </w:tr>
      <w:tr w:rsidR="00E052FE" w14:paraId="276CFC3E" w14:textId="77777777">
        <w:tc>
          <w:tcPr>
            <w:tcW w:w="1417" w:type="dxa"/>
            <w:tcBorders>
              <w:top w:val="nil"/>
              <w:bottom w:val="nil"/>
            </w:tcBorders>
          </w:tcPr>
          <w:p w14:paraId="2D8005AD" w14:textId="77777777" w:rsidR="00E052FE" w:rsidRDefault="005A1036">
            <w:pPr>
              <w:widowControl/>
              <w:autoSpaceDE/>
              <w:autoSpaceDN/>
              <w:spacing w:after="0" w:line="480" w:lineRule="auto"/>
              <w:jc w:val="center"/>
              <w:rPr>
                <w:rFonts w:ascii="Arial" w:hAnsi="Arial" w:cs="Arial"/>
                <w:b/>
                <w:sz w:val="20"/>
                <w:szCs w:val="20"/>
                <w:lang w:eastAsia="fr-FR"/>
              </w:rPr>
            </w:pPr>
            <w:r>
              <w:rPr>
                <w:rFonts w:ascii="Arial" w:hAnsi="Arial" w:cs="Arial"/>
                <w:b/>
                <w:sz w:val="20"/>
                <w:szCs w:val="20"/>
                <w:lang w:eastAsia="fr-FR"/>
              </w:rPr>
              <w:t>50</w:t>
            </w:r>
          </w:p>
        </w:tc>
        <w:tc>
          <w:tcPr>
            <w:tcW w:w="1560" w:type="dxa"/>
            <w:tcBorders>
              <w:top w:val="nil"/>
              <w:bottom w:val="nil"/>
              <w:right w:val="nil"/>
            </w:tcBorders>
          </w:tcPr>
          <w:p w14:paraId="5E31F0E4" w14:textId="77777777" w:rsidR="00E052FE" w:rsidRDefault="005A1036">
            <w:pPr>
              <w:widowControl/>
              <w:autoSpaceDE/>
              <w:autoSpaceDN/>
              <w:spacing w:after="0" w:line="480" w:lineRule="auto"/>
              <w:jc w:val="both"/>
              <w:rPr>
                <w:rFonts w:ascii="Arial" w:hAnsi="Arial" w:cs="Arial"/>
                <w:sz w:val="20"/>
                <w:szCs w:val="20"/>
                <w:lang w:eastAsia="fr-FR"/>
              </w:rPr>
            </w:pPr>
            <w:proofErr w:type="gramStart"/>
            <w:r>
              <w:rPr>
                <w:rFonts w:ascii="Arial" w:hAnsi="Arial" w:cs="Arial"/>
                <w:sz w:val="20"/>
                <w:szCs w:val="20"/>
                <w:lang w:eastAsia="fr-FR"/>
              </w:rPr>
              <w:t xml:space="preserve">49.51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2.6</w:t>
            </w:r>
          </w:p>
        </w:tc>
        <w:tc>
          <w:tcPr>
            <w:tcW w:w="1278" w:type="dxa"/>
            <w:tcBorders>
              <w:top w:val="nil"/>
              <w:left w:val="nil"/>
              <w:bottom w:val="nil"/>
            </w:tcBorders>
          </w:tcPr>
          <w:p w14:paraId="234E46D1"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17.77 </w:t>
            </w:r>
            <w:r>
              <w:rPr>
                <w:rFonts w:ascii="Arial" w:hAnsi="Arial" w:cs="Arial"/>
                <w:spacing w:val="-2"/>
                <w:sz w:val="20"/>
                <w:szCs w:val="20"/>
                <w:lang w:eastAsia="fr-FR"/>
              </w:rPr>
              <w:t>± 1.1</w:t>
            </w:r>
          </w:p>
        </w:tc>
        <w:tc>
          <w:tcPr>
            <w:tcW w:w="1559" w:type="dxa"/>
            <w:tcBorders>
              <w:top w:val="nil"/>
              <w:bottom w:val="nil"/>
              <w:right w:val="nil"/>
            </w:tcBorders>
          </w:tcPr>
          <w:p w14:paraId="67860644"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0.014 </w:t>
            </w:r>
            <w:r>
              <w:rPr>
                <w:rFonts w:ascii="Arial" w:hAnsi="Arial" w:cs="Arial"/>
                <w:spacing w:val="-2"/>
                <w:sz w:val="20"/>
                <w:szCs w:val="20"/>
                <w:lang w:eastAsia="fr-FR"/>
              </w:rPr>
              <w:t>± 0,013</w:t>
            </w:r>
          </w:p>
        </w:tc>
        <w:tc>
          <w:tcPr>
            <w:tcW w:w="1424" w:type="dxa"/>
            <w:tcBorders>
              <w:top w:val="nil"/>
              <w:left w:val="nil"/>
              <w:bottom w:val="nil"/>
            </w:tcBorders>
          </w:tcPr>
          <w:p w14:paraId="728D32EC"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0.039 </w:t>
            </w:r>
            <w:r>
              <w:rPr>
                <w:rFonts w:ascii="Arial" w:hAnsi="Arial" w:cs="Arial"/>
                <w:spacing w:val="-2"/>
                <w:sz w:val="20"/>
                <w:szCs w:val="20"/>
                <w:lang w:eastAsia="fr-FR"/>
              </w:rPr>
              <w:t>± 0,014</w:t>
            </w:r>
          </w:p>
        </w:tc>
      </w:tr>
      <w:tr w:rsidR="00E052FE" w14:paraId="32C17906" w14:textId="77777777">
        <w:tc>
          <w:tcPr>
            <w:tcW w:w="1417" w:type="dxa"/>
            <w:tcBorders>
              <w:top w:val="nil"/>
              <w:bottom w:val="nil"/>
            </w:tcBorders>
          </w:tcPr>
          <w:p w14:paraId="436CE951" w14:textId="77777777" w:rsidR="00E052FE" w:rsidRDefault="005A1036">
            <w:pPr>
              <w:widowControl/>
              <w:autoSpaceDE/>
              <w:autoSpaceDN/>
              <w:spacing w:after="0" w:line="480" w:lineRule="auto"/>
              <w:jc w:val="center"/>
              <w:rPr>
                <w:rFonts w:ascii="Arial" w:hAnsi="Arial" w:cs="Arial"/>
                <w:b/>
                <w:sz w:val="20"/>
                <w:szCs w:val="20"/>
                <w:lang w:eastAsia="fr-FR"/>
              </w:rPr>
            </w:pPr>
            <w:r>
              <w:rPr>
                <w:rFonts w:ascii="Arial" w:hAnsi="Arial" w:cs="Arial"/>
                <w:b/>
                <w:sz w:val="20"/>
                <w:szCs w:val="20"/>
                <w:lang w:eastAsia="fr-FR"/>
              </w:rPr>
              <w:t>55</w:t>
            </w:r>
          </w:p>
        </w:tc>
        <w:tc>
          <w:tcPr>
            <w:tcW w:w="1560" w:type="dxa"/>
            <w:tcBorders>
              <w:top w:val="nil"/>
              <w:bottom w:val="nil"/>
              <w:right w:val="nil"/>
            </w:tcBorders>
          </w:tcPr>
          <w:p w14:paraId="0BD3AC54" w14:textId="77777777" w:rsidR="00E052FE" w:rsidRDefault="005A1036">
            <w:pPr>
              <w:widowControl/>
              <w:autoSpaceDE/>
              <w:autoSpaceDN/>
              <w:spacing w:after="0" w:line="480" w:lineRule="auto"/>
              <w:jc w:val="both"/>
              <w:rPr>
                <w:rFonts w:ascii="Arial" w:hAnsi="Arial" w:cs="Arial"/>
                <w:sz w:val="20"/>
                <w:szCs w:val="20"/>
                <w:lang w:eastAsia="fr-FR"/>
              </w:rPr>
            </w:pPr>
            <w:proofErr w:type="gramStart"/>
            <w:r>
              <w:rPr>
                <w:rFonts w:ascii="Arial" w:hAnsi="Arial" w:cs="Arial"/>
                <w:sz w:val="20"/>
                <w:szCs w:val="20"/>
                <w:lang w:eastAsia="fr-FR"/>
              </w:rPr>
              <w:t xml:space="preserve">33.01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w:t>
            </w:r>
            <w:r>
              <w:rPr>
                <w:rFonts w:ascii="Arial" w:hAnsi="Arial" w:cs="Arial"/>
                <w:spacing w:val="-2"/>
                <w:sz w:val="20"/>
                <w:szCs w:val="20"/>
                <w:lang w:eastAsia="fr-FR"/>
              </w:rPr>
              <w:t>2.1</w:t>
            </w:r>
          </w:p>
        </w:tc>
        <w:tc>
          <w:tcPr>
            <w:tcW w:w="1278" w:type="dxa"/>
            <w:tcBorders>
              <w:top w:val="nil"/>
              <w:left w:val="nil"/>
              <w:bottom w:val="nil"/>
            </w:tcBorders>
          </w:tcPr>
          <w:p w14:paraId="02FCC2EC"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9.63   </w:t>
            </w:r>
            <w:r>
              <w:rPr>
                <w:rFonts w:ascii="Arial" w:hAnsi="Arial" w:cs="Arial"/>
                <w:spacing w:val="-2"/>
                <w:sz w:val="20"/>
                <w:szCs w:val="20"/>
                <w:lang w:eastAsia="fr-FR"/>
              </w:rPr>
              <w:t>± 1.6</w:t>
            </w:r>
          </w:p>
        </w:tc>
        <w:tc>
          <w:tcPr>
            <w:tcW w:w="1559" w:type="dxa"/>
            <w:tcBorders>
              <w:top w:val="nil"/>
              <w:bottom w:val="nil"/>
              <w:right w:val="nil"/>
            </w:tcBorders>
          </w:tcPr>
          <w:p w14:paraId="2CB74BC4"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0.021 </w:t>
            </w:r>
            <w:r>
              <w:rPr>
                <w:rFonts w:ascii="Arial" w:hAnsi="Arial" w:cs="Arial"/>
                <w:spacing w:val="-2"/>
                <w:sz w:val="20"/>
                <w:szCs w:val="20"/>
                <w:lang w:eastAsia="fr-FR"/>
              </w:rPr>
              <w:t>± 0,017</w:t>
            </w:r>
          </w:p>
        </w:tc>
        <w:tc>
          <w:tcPr>
            <w:tcW w:w="1424" w:type="dxa"/>
            <w:tcBorders>
              <w:top w:val="nil"/>
              <w:left w:val="nil"/>
              <w:bottom w:val="nil"/>
            </w:tcBorders>
          </w:tcPr>
          <w:p w14:paraId="101135D0"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0.072 </w:t>
            </w:r>
            <w:r>
              <w:rPr>
                <w:rFonts w:ascii="Arial" w:hAnsi="Arial" w:cs="Arial"/>
                <w:spacing w:val="-2"/>
                <w:sz w:val="20"/>
                <w:szCs w:val="20"/>
                <w:lang w:eastAsia="fr-FR"/>
              </w:rPr>
              <w:t>± 0,037</w:t>
            </w:r>
          </w:p>
        </w:tc>
      </w:tr>
      <w:tr w:rsidR="00E052FE" w14:paraId="5870F669" w14:textId="77777777">
        <w:tc>
          <w:tcPr>
            <w:tcW w:w="1417" w:type="dxa"/>
            <w:tcBorders>
              <w:top w:val="nil"/>
              <w:bottom w:val="nil"/>
            </w:tcBorders>
          </w:tcPr>
          <w:p w14:paraId="4EF9E0DA" w14:textId="77777777" w:rsidR="00E052FE" w:rsidRDefault="005A1036">
            <w:pPr>
              <w:widowControl/>
              <w:autoSpaceDE/>
              <w:autoSpaceDN/>
              <w:spacing w:after="0" w:line="480" w:lineRule="auto"/>
              <w:jc w:val="center"/>
              <w:rPr>
                <w:rFonts w:ascii="Arial" w:hAnsi="Arial" w:cs="Arial"/>
                <w:b/>
                <w:sz w:val="20"/>
                <w:szCs w:val="20"/>
                <w:lang w:eastAsia="fr-FR"/>
              </w:rPr>
            </w:pPr>
            <w:r>
              <w:rPr>
                <w:rFonts w:ascii="Arial" w:hAnsi="Arial" w:cs="Arial"/>
                <w:b/>
                <w:sz w:val="20"/>
                <w:szCs w:val="20"/>
                <w:lang w:eastAsia="fr-FR"/>
              </w:rPr>
              <w:t>60</w:t>
            </w:r>
          </w:p>
        </w:tc>
        <w:tc>
          <w:tcPr>
            <w:tcW w:w="1560" w:type="dxa"/>
            <w:tcBorders>
              <w:top w:val="nil"/>
              <w:bottom w:val="nil"/>
              <w:right w:val="nil"/>
            </w:tcBorders>
          </w:tcPr>
          <w:p w14:paraId="1EAAEA87" w14:textId="77777777" w:rsidR="00E052FE" w:rsidRDefault="005A1036">
            <w:pPr>
              <w:widowControl/>
              <w:autoSpaceDE/>
              <w:autoSpaceDN/>
              <w:spacing w:after="0" w:line="480" w:lineRule="auto"/>
              <w:jc w:val="both"/>
              <w:rPr>
                <w:rFonts w:ascii="Arial" w:hAnsi="Arial" w:cs="Arial"/>
                <w:sz w:val="20"/>
                <w:szCs w:val="20"/>
                <w:lang w:eastAsia="fr-FR"/>
              </w:rPr>
            </w:pPr>
            <w:proofErr w:type="gramStart"/>
            <w:r>
              <w:rPr>
                <w:rFonts w:ascii="Arial" w:hAnsi="Arial" w:cs="Arial"/>
                <w:sz w:val="20"/>
                <w:szCs w:val="20"/>
                <w:lang w:eastAsia="fr-FR"/>
              </w:rPr>
              <w:t xml:space="preserve">30.14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1.8</w:t>
            </w:r>
          </w:p>
        </w:tc>
        <w:tc>
          <w:tcPr>
            <w:tcW w:w="1278" w:type="dxa"/>
            <w:vMerge w:val="restart"/>
            <w:tcBorders>
              <w:top w:val="nil"/>
              <w:left w:val="nil"/>
              <w:bottom w:val="nil"/>
            </w:tcBorders>
          </w:tcPr>
          <w:p w14:paraId="7BA5EEEF" w14:textId="77777777" w:rsidR="00E052FE" w:rsidRDefault="00E052FE">
            <w:pPr>
              <w:widowControl/>
              <w:autoSpaceDE/>
              <w:autoSpaceDN/>
              <w:spacing w:after="0" w:line="480" w:lineRule="auto"/>
              <w:jc w:val="both"/>
              <w:rPr>
                <w:rFonts w:ascii="Arial" w:hAnsi="Arial" w:cs="Arial"/>
                <w:sz w:val="20"/>
                <w:szCs w:val="20"/>
                <w:lang w:eastAsia="fr-FR"/>
              </w:rPr>
            </w:pPr>
          </w:p>
        </w:tc>
        <w:tc>
          <w:tcPr>
            <w:tcW w:w="1559" w:type="dxa"/>
            <w:tcBorders>
              <w:top w:val="nil"/>
              <w:bottom w:val="nil"/>
              <w:right w:val="nil"/>
            </w:tcBorders>
          </w:tcPr>
          <w:p w14:paraId="6347E521"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0.022 </w:t>
            </w:r>
            <w:r>
              <w:rPr>
                <w:rFonts w:ascii="Arial" w:hAnsi="Arial" w:cs="Arial"/>
                <w:spacing w:val="-2"/>
                <w:sz w:val="20"/>
                <w:szCs w:val="20"/>
                <w:lang w:eastAsia="fr-FR"/>
              </w:rPr>
              <w:t>± 0,012</w:t>
            </w:r>
          </w:p>
        </w:tc>
        <w:tc>
          <w:tcPr>
            <w:tcW w:w="1424" w:type="dxa"/>
            <w:vMerge w:val="restart"/>
            <w:tcBorders>
              <w:top w:val="nil"/>
              <w:left w:val="nil"/>
              <w:bottom w:val="nil"/>
            </w:tcBorders>
          </w:tcPr>
          <w:p w14:paraId="07A3F445" w14:textId="77777777" w:rsidR="00E052FE" w:rsidRDefault="00E052FE">
            <w:pPr>
              <w:widowControl/>
              <w:autoSpaceDE/>
              <w:autoSpaceDN/>
              <w:spacing w:after="0" w:line="480" w:lineRule="auto"/>
              <w:jc w:val="both"/>
              <w:rPr>
                <w:rFonts w:ascii="Arial" w:hAnsi="Arial" w:cs="Arial"/>
                <w:sz w:val="20"/>
                <w:szCs w:val="20"/>
                <w:lang w:eastAsia="fr-FR"/>
              </w:rPr>
            </w:pPr>
          </w:p>
        </w:tc>
      </w:tr>
      <w:tr w:rsidR="00E052FE" w14:paraId="6EEF96CC" w14:textId="77777777">
        <w:tc>
          <w:tcPr>
            <w:tcW w:w="1417" w:type="dxa"/>
            <w:tcBorders>
              <w:top w:val="nil"/>
              <w:bottom w:val="nil"/>
            </w:tcBorders>
          </w:tcPr>
          <w:p w14:paraId="37E97CFD" w14:textId="77777777" w:rsidR="00E052FE" w:rsidRDefault="005A1036">
            <w:pPr>
              <w:widowControl/>
              <w:autoSpaceDE/>
              <w:autoSpaceDN/>
              <w:spacing w:after="0" w:line="480" w:lineRule="auto"/>
              <w:jc w:val="center"/>
              <w:rPr>
                <w:rFonts w:ascii="Arial" w:hAnsi="Arial" w:cs="Arial"/>
                <w:b/>
                <w:sz w:val="20"/>
                <w:szCs w:val="20"/>
                <w:lang w:eastAsia="fr-FR"/>
              </w:rPr>
            </w:pPr>
            <w:r>
              <w:rPr>
                <w:rFonts w:ascii="Arial" w:hAnsi="Arial" w:cs="Arial"/>
                <w:b/>
                <w:sz w:val="20"/>
                <w:szCs w:val="20"/>
                <w:lang w:eastAsia="fr-FR"/>
              </w:rPr>
              <w:t>65</w:t>
            </w:r>
          </w:p>
        </w:tc>
        <w:tc>
          <w:tcPr>
            <w:tcW w:w="1560" w:type="dxa"/>
            <w:tcBorders>
              <w:top w:val="nil"/>
              <w:bottom w:val="nil"/>
              <w:right w:val="nil"/>
            </w:tcBorders>
          </w:tcPr>
          <w:p w14:paraId="1650C32C" w14:textId="77777777" w:rsidR="00E052FE" w:rsidRDefault="005A1036">
            <w:pPr>
              <w:widowControl/>
              <w:autoSpaceDE/>
              <w:autoSpaceDN/>
              <w:spacing w:after="0" w:line="480" w:lineRule="auto"/>
              <w:jc w:val="both"/>
              <w:rPr>
                <w:rFonts w:ascii="Arial" w:hAnsi="Arial" w:cs="Arial"/>
                <w:sz w:val="20"/>
                <w:szCs w:val="20"/>
                <w:lang w:eastAsia="fr-FR"/>
              </w:rPr>
            </w:pPr>
            <w:proofErr w:type="gramStart"/>
            <w:r>
              <w:rPr>
                <w:rFonts w:ascii="Arial" w:hAnsi="Arial" w:cs="Arial"/>
                <w:sz w:val="20"/>
                <w:szCs w:val="20"/>
                <w:lang w:eastAsia="fr-FR"/>
              </w:rPr>
              <w:t xml:space="preserve">19.25  </w:t>
            </w:r>
            <w:r>
              <w:rPr>
                <w:rFonts w:ascii="Arial" w:hAnsi="Arial" w:cs="Arial"/>
                <w:spacing w:val="-2"/>
                <w:sz w:val="20"/>
                <w:szCs w:val="20"/>
                <w:lang w:eastAsia="fr-FR"/>
              </w:rPr>
              <w:t>±</w:t>
            </w:r>
            <w:proofErr w:type="gramEnd"/>
            <w:r>
              <w:rPr>
                <w:rFonts w:ascii="Arial" w:hAnsi="Arial" w:cs="Arial"/>
                <w:spacing w:val="-2"/>
                <w:sz w:val="20"/>
                <w:szCs w:val="20"/>
                <w:lang w:eastAsia="fr-FR"/>
              </w:rPr>
              <w:t xml:space="preserve">  1.4</w:t>
            </w:r>
          </w:p>
        </w:tc>
        <w:tc>
          <w:tcPr>
            <w:tcW w:w="1278" w:type="dxa"/>
            <w:vMerge/>
            <w:tcBorders>
              <w:top w:val="nil"/>
              <w:left w:val="nil"/>
              <w:bottom w:val="nil"/>
            </w:tcBorders>
            <w:vAlign w:val="center"/>
          </w:tcPr>
          <w:p w14:paraId="132A16EB" w14:textId="77777777" w:rsidR="00E052FE" w:rsidRDefault="00E052FE">
            <w:pPr>
              <w:widowControl/>
              <w:autoSpaceDE/>
              <w:autoSpaceDN/>
              <w:spacing w:after="0" w:line="480" w:lineRule="auto"/>
              <w:jc w:val="both"/>
              <w:rPr>
                <w:rFonts w:ascii="Arial" w:hAnsi="Arial" w:cs="Arial"/>
                <w:sz w:val="20"/>
                <w:szCs w:val="20"/>
                <w:lang w:eastAsia="fr-FR"/>
              </w:rPr>
            </w:pPr>
          </w:p>
        </w:tc>
        <w:tc>
          <w:tcPr>
            <w:tcW w:w="1559" w:type="dxa"/>
            <w:tcBorders>
              <w:top w:val="nil"/>
              <w:bottom w:val="nil"/>
              <w:right w:val="nil"/>
            </w:tcBorders>
          </w:tcPr>
          <w:p w14:paraId="68902E8D"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0.036 </w:t>
            </w:r>
            <w:r>
              <w:rPr>
                <w:rFonts w:ascii="Arial" w:hAnsi="Arial" w:cs="Arial"/>
                <w:spacing w:val="-2"/>
                <w:sz w:val="20"/>
                <w:szCs w:val="20"/>
                <w:lang w:eastAsia="fr-FR"/>
              </w:rPr>
              <w:t>± 0,019</w:t>
            </w:r>
          </w:p>
        </w:tc>
        <w:tc>
          <w:tcPr>
            <w:tcW w:w="1424" w:type="dxa"/>
            <w:vMerge/>
            <w:tcBorders>
              <w:top w:val="nil"/>
              <w:left w:val="nil"/>
              <w:bottom w:val="nil"/>
            </w:tcBorders>
            <w:vAlign w:val="center"/>
          </w:tcPr>
          <w:p w14:paraId="32A65CD6" w14:textId="77777777" w:rsidR="00E052FE" w:rsidRDefault="00E052FE">
            <w:pPr>
              <w:widowControl/>
              <w:autoSpaceDE/>
              <w:autoSpaceDN/>
              <w:spacing w:after="0" w:line="480" w:lineRule="auto"/>
              <w:jc w:val="both"/>
              <w:rPr>
                <w:rFonts w:ascii="Arial" w:hAnsi="Arial" w:cs="Arial"/>
                <w:sz w:val="20"/>
                <w:szCs w:val="20"/>
                <w:lang w:eastAsia="fr-FR"/>
              </w:rPr>
            </w:pPr>
          </w:p>
        </w:tc>
      </w:tr>
      <w:tr w:rsidR="00E052FE" w14:paraId="2FA9504A" w14:textId="77777777">
        <w:tc>
          <w:tcPr>
            <w:tcW w:w="1417" w:type="dxa"/>
            <w:tcBorders>
              <w:top w:val="nil"/>
              <w:bottom w:val="nil"/>
            </w:tcBorders>
          </w:tcPr>
          <w:p w14:paraId="06ECA5E2" w14:textId="77777777" w:rsidR="00E052FE" w:rsidRDefault="005A1036">
            <w:pPr>
              <w:widowControl/>
              <w:autoSpaceDE/>
              <w:autoSpaceDN/>
              <w:spacing w:after="0" w:line="480" w:lineRule="auto"/>
              <w:jc w:val="center"/>
              <w:rPr>
                <w:rFonts w:ascii="Arial" w:hAnsi="Arial" w:cs="Arial"/>
                <w:b/>
                <w:sz w:val="20"/>
                <w:szCs w:val="20"/>
                <w:lang w:eastAsia="fr-FR"/>
              </w:rPr>
            </w:pPr>
            <w:r>
              <w:rPr>
                <w:rFonts w:ascii="Arial" w:hAnsi="Arial" w:cs="Arial"/>
                <w:b/>
                <w:sz w:val="20"/>
                <w:szCs w:val="20"/>
                <w:lang w:eastAsia="fr-FR"/>
              </w:rPr>
              <w:t>70</w:t>
            </w:r>
          </w:p>
        </w:tc>
        <w:tc>
          <w:tcPr>
            <w:tcW w:w="1560" w:type="dxa"/>
            <w:tcBorders>
              <w:top w:val="nil"/>
              <w:bottom w:val="nil"/>
              <w:right w:val="nil"/>
            </w:tcBorders>
          </w:tcPr>
          <w:p w14:paraId="0E6850B7"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8.35    </w:t>
            </w:r>
            <w:proofErr w:type="gramStart"/>
            <w:r>
              <w:rPr>
                <w:rFonts w:ascii="Arial" w:hAnsi="Arial" w:cs="Arial"/>
                <w:spacing w:val="-2"/>
                <w:sz w:val="20"/>
                <w:szCs w:val="20"/>
                <w:lang w:eastAsia="fr-FR"/>
              </w:rPr>
              <w:t>±  1</w:t>
            </w:r>
            <w:proofErr w:type="gramEnd"/>
            <w:r>
              <w:rPr>
                <w:rFonts w:ascii="Arial" w:hAnsi="Arial" w:cs="Arial"/>
                <w:spacing w:val="-2"/>
                <w:sz w:val="20"/>
                <w:szCs w:val="20"/>
                <w:lang w:eastAsia="fr-FR"/>
              </w:rPr>
              <w:t>.7</w:t>
            </w:r>
          </w:p>
        </w:tc>
        <w:tc>
          <w:tcPr>
            <w:tcW w:w="1278" w:type="dxa"/>
            <w:vMerge/>
            <w:tcBorders>
              <w:top w:val="nil"/>
              <w:left w:val="nil"/>
              <w:bottom w:val="nil"/>
            </w:tcBorders>
            <w:vAlign w:val="center"/>
          </w:tcPr>
          <w:p w14:paraId="6A99A2C1" w14:textId="77777777" w:rsidR="00E052FE" w:rsidRDefault="00E052FE">
            <w:pPr>
              <w:widowControl/>
              <w:autoSpaceDE/>
              <w:autoSpaceDN/>
              <w:spacing w:after="0" w:line="480" w:lineRule="auto"/>
              <w:jc w:val="both"/>
              <w:rPr>
                <w:rFonts w:ascii="Arial" w:hAnsi="Arial" w:cs="Arial"/>
                <w:sz w:val="20"/>
                <w:szCs w:val="20"/>
                <w:lang w:eastAsia="fr-FR"/>
              </w:rPr>
            </w:pPr>
          </w:p>
        </w:tc>
        <w:tc>
          <w:tcPr>
            <w:tcW w:w="1559" w:type="dxa"/>
            <w:tcBorders>
              <w:top w:val="nil"/>
              <w:bottom w:val="nil"/>
              <w:right w:val="nil"/>
            </w:tcBorders>
          </w:tcPr>
          <w:p w14:paraId="379D6BD9"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0.083 </w:t>
            </w:r>
            <w:r>
              <w:rPr>
                <w:rFonts w:ascii="Arial" w:hAnsi="Arial" w:cs="Arial"/>
                <w:spacing w:val="-2"/>
                <w:sz w:val="20"/>
                <w:szCs w:val="20"/>
                <w:lang w:eastAsia="fr-FR"/>
              </w:rPr>
              <w:t>± 0,126</w:t>
            </w:r>
          </w:p>
        </w:tc>
        <w:tc>
          <w:tcPr>
            <w:tcW w:w="1424" w:type="dxa"/>
            <w:vMerge/>
            <w:tcBorders>
              <w:top w:val="nil"/>
              <w:left w:val="nil"/>
              <w:bottom w:val="nil"/>
            </w:tcBorders>
            <w:vAlign w:val="center"/>
          </w:tcPr>
          <w:p w14:paraId="3461A35B" w14:textId="77777777" w:rsidR="00E052FE" w:rsidRDefault="00E052FE">
            <w:pPr>
              <w:widowControl/>
              <w:autoSpaceDE/>
              <w:autoSpaceDN/>
              <w:spacing w:after="0" w:line="480" w:lineRule="auto"/>
              <w:jc w:val="both"/>
              <w:rPr>
                <w:rFonts w:ascii="Arial" w:hAnsi="Arial" w:cs="Arial"/>
                <w:sz w:val="20"/>
                <w:szCs w:val="20"/>
                <w:lang w:eastAsia="fr-FR"/>
              </w:rPr>
            </w:pPr>
          </w:p>
        </w:tc>
      </w:tr>
      <w:tr w:rsidR="00E052FE" w14:paraId="6CB48B7F" w14:textId="77777777">
        <w:tc>
          <w:tcPr>
            <w:tcW w:w="1417" w:type="dxa"/>
            <w:tcBorders>
              <w:top w:val="nil"/>
              <w:bottom w:val="single" w:sz="4" w:space="0" w:color="auto"/>
            </w:tcBorders>
          </w:tcPr>
          <w:p w14:paraId="72107998" w14:textId="77777777" w:rsidR="00E052FE" w:rsidRDefault="005A1036">
            <w:pPr>
              <w:widowControl/>
              <w:autoSpaceDE/>
              <w:autoSpaceDN/>
              <w:spacing w:after="0" w:line="480" w:lineRule="auto"/>
              <w:jc w:val="center"/>
              <w:rPr>
                <w:rFonts w:ascii="Arial" w:hAnsi="Arial" w:cs="Arial"/>
                <w:b/>
                <w:sz w:val="20"/>
                <w:szCs w:val="20"/>
                <w:lang w:eastAsia="fr-FR"/>
              </w:rPr>
            </w:pPr>
            <w:r>
              <w:rPr>
                <w:rFonts w:ascii="Arial" w:hAnsi="Arial" w:cs="Arial"/>
                <w:b/>
                <w:sz w:val="20"/>
                <w:szCs w:val="20"/>
                <w:lang w:eastAsia="fr-FR"/>
              </w:rPr>
              <w:t>75</w:t>
            </w:r>
          </w:p>
        </w:tc>
        <w:tc>
          <w:tcPr>
            <w:tcW w:w="1560" w:type="dxa"/>
            <w:tcBorders>
              <w:top w:val="nil"/>
              <w:bottom w:val="single" w:sz="4" w:space="0" w:color="auto"/>
              <w:right w:val="nil"/>
            </w:tcBorders>
          </w:tcPr>
          <w:p w14:paraId="7827C781"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4.95    </w:t>
            </w:r>
            <w:proofErr w:type="gramStart"/>
            <w:r>
              <w:rPr>
                <w:rFonts w:ascii="Arial" w:hAnsi="Arial" w:cs="Arial"/>
                <w:spacing w:val="-2"/>
                <w:sz w:val="20"/>
                <w:szCs w:val="20"/>
                <w:lang w:eastAsia="fr-FR"/>
              </w:rPr>
              <w:t>±  0</w:t>
            </w:r>
            <w:proofErr w:type="gramEnd"/>
            <w:r>
              <w:rPr>
                <w:rFonts w:ascii="Arial" w:hAnsi="Arial" w:cs="Arial"/>
                <w:spacing w:val="-2"/>
                <w:sz w:val="20"/>
                <w:szCs w:val="20"/>
                <w:lang w:eastAsia="fr-FR"/>
              </w:rPr>
              <w:t>.3</w:t>
            </w:r>
          </w:p>
        </w:tc>
        <w:tc>
          <w:tcPr>
            <w:tcW w:w="1278" w:type="dxa"/>
            <w:vMerge/>
            <w:tcBorders>
              <w:top w:val="nil"/>
              <w:left w:val="nil"/>
              <w:bottom w:val="single" w:sz="4" w:space="0" w:color="auto"/>
            </w:tcBorders>
            <w:vAlign w:val="center"/>
          </w:tcPr>
          <w:p w14:paraId="4E77E689" w14:textId="77777777" w:rsidR="00E052FE" w:rsidRDefault="00E052FE">
            <w:pPr>
              <w:widowControl/>
              <w:autoSpaceDE/>
              <w:autoSpaceDN/>
              <w:spacing w:after="0" w:line="480" w:lineRule="auto"/>
              <w:jc w:val="both"/>
              <w:rPr>
                <w:rFonts w:ascii="Arial" w:hAnsi="Arial" w:cs="Arial"/>
                <w:sz w:val="20"/>
                <w:szCs w:val="20"/>
                <w:lang w:eastAsia="fr-FR"/>
              </w:rPr>
            </w:pPr>
          </w:p>
        </w:tc>
        <w:tc>
          <w:tcPr>
            <w:tcW w:w="1559" w:type="dxa"/>
            <w:tcBorders>
              <w:top w:val="nil"/>
              <w:bottom w:val="single" w:sz="4" w:space="0" w:color="auto"/>
              <w:right w:val="nil"/>
            </w:tcBorders>
          </w:tcPr>
          <w:p w14:paraId="3E8AC49A"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0.140 </w:t>
            </w:r>
            <w:r>
              <w:rPr>
                <w:rFonts w:ascii="Arial" w:hAnsi="Arial" w:cs="Arial"/>
                <w:spacing w:val="-2"/>
                <w:sz w:val="20"/>
                <w:szCs w:val="20"/>
                <w:lang w:eastAsia="fr-FR"/>
              </w:rPr>
              <w:t>± 0.104</w:t>
            </w:r>
          </w:p>
        </w:tc>
        <w:tc>
          <w:tcPr>
            <w:tcW w:w="1424" w:type="dxa"/>
            <w:vMerge/>
            <w:tcBorders>
              <w:top w:val="nil"/>
              <w:left w:val="nil"/>
              <w:bottom w:val="single" w:sz="4" w:space="0" w:color="auto"/>
            </w:tcBorders>
            <w:vAlign w:val="center"/>
          </w:tcPr>
          <w:p w14:paraId="413AA06F" w14:textId="77777777" w:rsidR="00E052FE" w:rsidRDefault="00E052FE">
            <w:pPr>
              <w:widowControl/>
              <w:autoSpaceDE/>
              <w:autoSpaceDN/>
              <w:spacing w:after="0" w:line="480" w:lineRule="auto"/>
              <w:jc w:val="both"/>
              <w:rPr>
                <w:rFonts w:ascii="Arial" w:hAnsi="Arial" w:cs="Arial"/>
                <w:sz w:val="20"/>
                <w:szCs w:val="20"/>
                <w:lang w:eastAsia="fr-FR"/>
              </w:rPr>
            </w:pPr>
          </w:p>
        </w:tc>
      </w:tr>
    </w:tbl>
    <w:p w14:paraId="7A36AE01" w14:textId="77777777" w:rsidR="00E052FE" w:rsidRDefault="00E052FE">
      <w:pPr>
        <w:spacing w:after="0" w:line="240" w:lineRule="auto"/>
        <w:jc w:val="both"/>
        <w:rPr>
          <w:rFonts w:ascii="Arial" w:hAnsi="Arial" w:cs="Arial"/>
        </w:rPr>
        <w:sectPr w:rsidR="00E052FE">
          <w:pgSz w:w="12240" w:h="15840"/>
          <w:pgMar w:top="851" w:right="1043" w:bottom="1418" w:left="1134" w:header="720" w:footer="720" w:gutter="0"/>
          <w:cols w:space="720"/>
          <w:docGrid w:linePitch="299"/>
        </w:sectPr>
      </w:pPr>
    </w:p>
    <w:p w14:paraId="2462F040" w14:textId="415A4C9F" w:rsidR="00E052FE" w:rsidRDefault="005A1036">
      <w:pPr>
        <w:spacing w:after="0" w:line="240" w:lineRule="auto"/>
        <w:jc w:val="right"/>
        <w:rPr>
          <w:rFonts w:ascii="Arial" w:hAnsi="Arial" w:cs="Arial"/>
          <w:b/>
          <w:lang w:val="en"/>
        </w:rPr>
      </w:pPr>
      <w:r>
        <w:rPr>
          <w:rFonts w:ascii="Arial" w:hAnsi="Arial" w:cs="Arial"/>
          <w:b/>
          <w:lang w:val="en"/>
        </w:rPr>
        <w:lastRenderedPageBreak/>
        <w:t>4-1-3- D, Z, and Ea Values Polyphenol Oxidase During Thermal</w:t>
      </w:r>
      <w:r>
        <w:rPr>
          <w:rFonts w:ascii="Arial" w:hAnsi="Arial" w:cs="Arial"/>
          <w:b/>
          <w:lang w:val="en"/>
        </w:rPr>
        <w:t xml:space="preserve"> Inactivation</w:t>
      </w:r>
    </w:p>
    <w:p w14:paraId="05960FBA" w14:textId="77777777" w:rsidR="00E052FE" w:rsidRDefault="00E052FE">
      <w:pPr>
        <w:spacing w:after="0" w:line="240" w:lineRule="auto"/>
        <w:jc w:val="both"/>
        <w:rPr>
          <w:rFonts w:ascii="Arial" w:hAnsi="Arial" w:cs="Arial"/>
          <w:bCs/>
          <w:sz w:val="20"/>
          <w:szCs w:val="20"/>
        </w:rPr>
      </w:pPr>
    </w:p>
    <w:p w14:paraId="564B3A8C" w14:textId="77777777" w:rsidR="00E052FE" w:rsidRDefault="005A1036">
      <w:pPr>
        <w:spacing w:after="0" w:line="240" w:lineRule="auto"/>
        <w:jc w:val="both"/>
        <w:rPr>
          <w:rFonts w:ascii="Arial" w:hAnsi="Arial" w:cs="Arial"/>
          <w:bCs/>
          <w:sz w:val="20"/>
          <w:szCs w:val="20"/>
          <w:lang w:val="en"/>
        </w:rPr>
      </w:pPr>
      <w:r>
        <w:rPr>
          <w:rFonts w:ascii="Arial" w:hAnsi="Arial" w:cs="Arial"/>
          <w:bCs/>
          <w:sz w:val="20"/>
          <w:szCs w:val="20"/>
          <w:lang w:val="en"/>
        </w:rPr>
        <w:t>The graph of ln k as a function of the inverse of the temperature (expressed in °kelvins) gives a straight line with a negative slope (Figure 3). This kinetics is described by the equation: ln k = -9294.9 (1/T) + 24.475 (R² = 0.9679) for the</w:t>
      </w:r>
      <w:r>
        <w:rPr>
          <w:rFonts w:ascii="Arial" w:hAnsi="Arial" w:cs="Arial"/>
          <w:bCs/>
          <w:sz w:val="20"/>
          <w:szCs w:val="20"/>
          <w:lang w:val="en"/>
        </w:rPr>
        <w:t xml:space="preserve"> latent form and ln k = -15634 (1/T) + 45.166 (R² = 0.979) for the activated form, where T represents the absolute temperature. The activation energies (Ea) of polyphenol oxidase are positive. They are 77.24 ± 0.66 kJ/mol and 129.92 ± 1.59 kJ/mol (Table 5)</w:t>
      </w:r>
      <w:r>
        <w:rPr>
          <w:rFonts w:ascii="Arial" w:hAnsi="Arial" w:cs="Arial"/>
          <w:bCs/>
          <w:sz w:val="20"/>
          <w:szCs w:val="20"/>
          <w:lang w:val="en"/>
        </w:rPr>
        <w:t xml:space="preserve"> for the latent and activated forms, respectively. The D values ​​obtained at pre-incubation temperatures of 35 to 75 °C decreased linearly (Table 5), from 767.67 ± 1.2 to 16.45 ± 0.52 min for the latent form and from 767.67 ± 1.7 to 31.99 ± 0.35 min for t</w:t>
      </w:r>
      <w:r>
        <w:rPr>
          <w:rFonts w:ascii="Arial" w:hAnsi="Arial" w:cs="Arial"/>
          <w:bCs/>
          <w:sz w:val="20"/>
          <w:szCs w:val="20"/>
          <w:lang w:val="en"/>
        </w:rPr>
        <w:t>he activated form (Table 5). The graph of log D as a function of the pre-incubation temperature of polyphenol oxidase is a straight line (Figure 4). The equation of this line is: Log D = -0.00377T + 14.433 (R² = 0.972) for the latent form and Log D = -0.00</w:t>
      </w:r>
      <w:r>
        <w:rPr>
          <w:rFonts w:ascii="Arial" w:hAnsi="Arial" w:cs="Arial"/>
          <w:bCs/>
          <w:sz w:val="20"/>
          <w:szCs w:val="20"/>
          <w:lang w:val="en"/>
        </w:rPr>
        <w:t>67T + 23.424 (R² = 0.9738) for the activated form. This allowed us to determine the Z values, which are 26.52 ± 0.65°C and 14.93 ± 0.27°C for the latent and activated forms, respectively (Table 5).</w:t>
      </w:r>
    </w:p>
    <w:p w14:paraId="7100EFD7" w14:textId="77777777" w:rsidR="00E052FE" w:rsidRDefault="005A1036">
      <w:pPr>
        <w:spacing w:after="0" w:line="240" w:lineRule="auto"/>
        <w:jc w:val="center"/>
        <w:rPr>
          <w:rFonts w:ascii="Arial" w:hAnsi="Arial" w:cs="Arial"/>
          <w:bCs/>
          <w:sz w:val="20"/>
          <w:szCs w:val="20"/>
          <w:lang w:val="en"/>
        </w:rPr>
      </w:pPr>
      <w:r>
        <w:rPr>
          <w:rFonts w:ascii="Arial" w:hAnsi="Arial" w:cs="Arial"/>
          <w:noProof/>
          <w:lang w:val="en-US"/>
        </w:rPr>
        <w:drawing>
          <wp:inline distT="0" distB="0" distL="0" distR="0" wp14:anchorId="59F3AB5F" wp14:editId="74024EA3">
            <wp:extent cx="5186045" cy="2632710"/>
            <wp:effectExtent l="0" t="0" r="14605" b="15240"/>
            <wp:docPr id="2145078140"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61609EA" w14:textId="77777777" w:rsidR="00E052FE" w:rsidRPr="00050688" w:rsidRDefault="005A1036">
      <w:pPr>
        <w:pStyle w:val="Heading5"/>
        <w:spacing w:after="0" w:line="240" w:lineRule="auto"/>
        <w:ind w:right="-1"/>
        <w:jc w:val="center"/>
        <w:rPr>
          <w:rFonts w:ascii="Arial" w:hAnsi="Arial" w:cs="Arial"/>
          <w:b/>
          <w:bCs/>
          <w:color w:val="auto"/>
          <w:sz w:val="20"/>
          <w:szCs w:val="20"/>
          <w:lang w:val="en"/>
        </w:rPr>
      </w:pPr>
      <w:r w:rsidRPr="00050688">
        <w:rPr>
          <w:rFonts w:ascii="Arial" w:hAnsi="Arial" w:cs="Arial"/>
          <w:b/>
          <w:bCs/>
          <w:color w:val="auto"/>
          <w:sz w:val="20"/>
          <w:szCs w:val="20"/>
          <w:lang w:val="en"/>
        </w:rPr>
        <w:t xml:space="preserve">Figure 3: Influence of temperature on the rate constant </w:t>
      </w:r>
      <w:r w:rsidRPr="00050688">
        <w:rPr>
          <w:rFonts w:ascii="Arial" w:hAnsi="Arial" w:cs="Arial"/>
          <w:b/>
          <w:bCs/>
          <w:color w:val="auto"/>
          <w:sz w:val="20"/>
          <w:szCs w:val="20"/>
          <w:lang w:val="en"/>
        </w:rPr>
        <w:t>of the reaction catalyzed by polyphenol oxidase of the yam tuber (</w:t>
      </w:r>
      <w:r w:rsidRPr="00050688">
        <w:rPr>
          <w:rFonts w:ascii="Arial" w:hAnsi="Arial" w:cs="Arial"/>
          <w:b/>
          <w:bCs/>
          <w:i/>
          <w:iCs/>
          <w:color w:val="auto"/>
          <w:sz w:val="20"/>
          <w:szCs w:val="20"/>
          <w:lang w:val="en"/>
        </w:rPr>
        <w:t>Dioscorea cayenensis-rotundata</w:t>
      </w:r>
      <w:r w:rsidRPr="00050688">
        <w:rPr>
          <w:rFonts w:ascii="Arial" w:hAnsi="Arial" w:cs="Arial"/>
          <w:b/>
          <w:bCs/>
          <w:color w:val="auto"/>
          <w:sz w:val="20"/>
          <w:szCs w:val="20"/>
          <w:lang w:val="en"/>
        </w:rPr>
        <w:t>) cultivar "Zrèzrou".</w:t>
      </w:r>
    </w:p>
    <w:p w14:paraId="3E4B8743" w14:textId="77777777" w:rsidR="00E052FE" w:rsidRPr="00050688" w:rsidRDefault="005A1036">
      <w:pPr>
        <w:jc w:val="center"/>
        <w:rPr>
          <w:sz w:val="20"/>
          <w:szCs w:val="20"/>
          <w:lang w:val="en"/>
        </w:rPr>
      </w:pPr>
      <w:r w:rsidRPr="00050688">
        <w:rPr>
          <w:rFonts w:ascii="Arial" w:hAnsi="Arial" w:cs="Arial"/>
          <w:sz w:val="20"/>
          <w:szCs w:val="20"/>
        </w:rPr>
        <w:t xml:space="preserve">Symbole ; Δ Latente form Ο activated form     </w:t>
      </w:r>
    </w:p>
    <w:p w14:paraId="6F6BF9A5" w14:textId="77777777" w:rsidR="00E052FE" w:rsidRDefault="005A1036">
      <w:pPr>
        <w:spacing w:after="0" w:line="240" w:lineRule="auto"/>
        <w:jc w:val="center"/>
        <w:rPr>
          <w:rFonts w:ascii="Arial" w:hAnsi="Arial" w:cs="Arial"/>
          <w:b/>
        </w:rPr>
      </w:pPr>
      <w:proofErr w:type="gramStart"/>
      <w:r>
        <w:rPr>
          <w:rFonts w:ascii="Arial" w:hAnsi="Arial" w:cs="Arial"/>
        </w:rPr>
        <w:t>ˆ</w:t>
      </w:r>
      <w:proofErr w:type="gramEnd"/>
      <w:r>
        <w:rPr>
          <w:rFonts w:ascii="Arial" w:hAnsi="Arial" w:cs="Arial"/>
          <w:noProof/>
          <w:lang w:val="en-US"/>
        </w:rPr>
        <w:drawing>
          <wp:inline distT="0" distB="0" distL="0" distR="0" wp14:anchorId="178FB3C3" wp14:editId="3930F217">
            <wp:extent cx="5083810" cy="2781300"/>
            <wp:effectExtent l="0" t="0" r="2540" b="0"/>
            <wp:docPr id="74160153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7299AE" w14:textId="43CA6BF4" w:rsidR="00E052FE" w:rsidRPr="00050688" w:rsidRDefault="005A1036">
      <w:pPr>
        <w:spacing w:after="0" w:line="240" w:lineRule="auto"/>
        <w:jc w:val="center"/>
        <w:rPr>
          <w:rFonts w:ascii="Arial" w:hAnsi="Arial" w:cs="Arial"/>
          <w:b/>
          <w:sz w:val="20"/>
          <w:szCs w:val="20"/>
        </w:rPr>
      </w:pPr>
      <w:r w:rsidRPr="00050688">
        <w:rPr>
          <w:rFonts w:ascii="Arial" w:hAnsi="Arial" w:cs="Arial"/>
          <w:b/>
          <w:sz w:val="20"/>
          <w:szCs w:val="20"/>
          <w:lang w:val="en"/>
        </w:rPr>
        <w:t>Figure 4: Influence of temperature on D values during thermal inactivation of latent and</w:t>
      </w:r>
      <w:r w:rsidRPr="00050688">
        <w:rPr>
          <w:rFonts w:ascii="Arial" w:hAnsi="Arial" w:cs="Arial"/>
          <w:b/>
          <w:sz w:val="20"/>
          <w:szCs w:val="20"/>
          <w:lang w:val="en"/>
        </w:rPr>
        <w:t xml:space="preserve"> activated forms of polyphenoloxidase from yam </w:t>
      </w:r>
      <w:r w:rsidRPr="00050688">
        <w:rPr>
          <w:rFonts w:ascii="Arial" w:hAnsi="Arial" w:cs="Arial"/>
          <w:b/>
          <w:i/>
          <w:iCs/>
          <w:sz w:val="20"/>
          <w:szCs w:val="20"/>
          <w:lang w:val="en"/>
        </w:rPr>
        <w:t>Dioscorea cayenensis-rotundata</w:t>
      </w:r>
      <w:r w:rsidRPr="00050688">
        <w:rPr>
          <w:rFonts w:ascii="Arial" w:hAnsi="Arial" w:cs="Arial"/>
          <w:b/>
          <w:sz w:val="20"/>
          <w:szCs w:val="20"/>
          <w:lang w:val="en"/>
        </w:rPr>
        <w:t xml:space="preserve"> cultivar "Zrèzrou".</w:t>
      </w:r>
    </w:p>
    <w:p w14:paraId="7FF66661" w14:textId="77777777" w:rsidR="00E052FE" w:rsidRPr="00050688" w:rsidRDefault="005A1036">
      <w:pPr>
        <w:spacing w:after="0"/>
        <w:jc w:val="center"/>
        <w:rPr>
          <w:sz w:val="20"/>
          <w:szCs w:val="20"/>
          <w:lang w:val="en"/>
        </w:rPr>
      </w:pPr>
      <w:r w:rsidRPr="00050688">
        <w:rPr>
          <w:rFonts w:ascii="Arial" w:hAnsi="Arial" w:cs="Arial"/>
          <w:sz w:val="20"/>
          <w:szCs w:val="20"/>
        </w:rPr>
        <w:t xml:space="preserve">Symbol ; Δ Latente form Ο activated form     </w:t>
      </w:r>
    </w:p>
    <w:p w14:paraId="696AADBF" w14:textId="77777777" w:rsidR="00E052FE" w:rsidRDefault="00E052FE">
      <w:pPr>
        <w:spacing w:after="0" w:line="240" w:lineRule="auto"/>
        <w:jc w:val="both"/>
        <w:rPr>
          <w:rFonts w:ascii="Arial" w:hAnsi="Arial" w:cs="Arial"/>
          <w:b/>
          <w:bCs/>
          <w:lang w:val="en"/>
        </w:rPr>
      </w:pPr>
    </w:p>
    <w:p w14:paraId="5E1F3738" w14:textId="77777777" w:rsidR="00E052FE" w:rsidRDefault="00E052FE">
      <w:pPr>
        <w:spacing w:after="0" w:line="240" w:lineRule="auto"/>
        <w:jc w:val="both"/>
        <w:rPr>
          <w:rFonts w:ascii="Arial" w:hAnsi="Arial" w:cs="Arial"/>
          <w:b/>
          <w:bCs/>
          <w:lang w:val="en"/>
        </w:rPr>
      </w:pPr>
    </w:p>
    <w:p w14:paraId="03215936" w14:textId="77777777" w:rsidR="00E052FE" w:rsidRDefault="00E052FE">
      <w:pPr>
        <w:spacing w:after="0" w:line="240" w:lineRule="auto"/>
        <w:jc w:val="both"/>
        <w:rPr>
          <w:rFonts w:ascii="Arial" w:hAnsi="Arial" w:cs="Arial"/>
          <w:b/>
          <w:bCs/>
          <w:lang w:val="en"/>
        </w:rPr>
      </w:pPr>
    </w:p>
    <w:p w14:paraId="6FC3F1BA" w14:textId="77777777" w:rsidR="00E052FE" w:rsidRDefault="00E052FE">
      <w:pPr>
        <w:spacing w:after="0" w:line="240" w:lineRule="auto"/>
        <w:jc w:val="both"/>
        <w:rPr>
          <w:rFonts w:ascii="Arial" w:hAnsi="Arial" w:cs="Arial"/>
          <w:b/>
          <w:bCs/>
          <w:lang w:val="en"/>
        </w:rPr>
      </w:pPr>
    </w:p>
    <w:p w14:paraId="2C650960" w14:textId="77777777" w:rsidR="00E052FE" w:rsidRDefault="00E052FE">
      <w:pPr>
        <w:spacing w:after="0" w:line="240" w:lineRule="auto"/>
        <w:jc w:val="both"/>
        <w:rPr>
          <w:rFonts w:ascii="Arial" w:hAnsi="Arial" w:cs="Arial"/>
          <w:b/>
          <w:bCs/>
          <w:lang w:val="en"/>
        </w:rPr>
      </w:pPr>
    </w:p>
    <w:p w14:paraId="30237277" w14:textId="561F2E55" w:rsidR="00E052FE" w:rsidRPr="00050688" w:rsidRDefault="005A1036">
      <w:pPr>
        <w:spacing w:after="0" w:line="240" w:lineRule="auto"/>
        <w:jc w:val="center"/>
        <w:rPr>
          <w:rFonts w:ascii="Arial" w:hAnsi="Arial" w:cs="Arial"/>
          <w:b/>
          <w:bCs/>
          <w:sz w:val="20"/>
          <w:szCs w:val="20"/>
          <w:lang w:val="en"/>
        </w:rPr>
      </w:pPr>
      <w:r w:rsidRPr="00050688">
        <w:rPr>
          <w:rFonts w:ascii="Arial" w:hAnsi="Arial" w:cs="Arial"/>
          <w:b/>
          <w:bCs/>
          <w:sz w:val="20"/>
          <w:szCs w:val="20"/>
          <w:lang w:val="en"/>
        </w:rPr>
        <w:lastRenderedPageBreak/>
        <w:t>Table 5: Values of D, Z and Ea during thermal inactivation between 35 and 75 °C of the latent and activated</w:t>
      </w:r>
      <w:r w:rsidRPr="00050688">
        <w:rPr>
          <w:rFonts w:ascii="Arial" w:hAnsi="Arial" w:cs="Arial"/>
          <w:b/>
          <w:bCs/>
          <w:sz w:val="20"/>
          <w:szCs w:val="20"/>
          <w:lang w:val="en"/>
        </w:rPr>
        <w:t xml:space="preserve"> forms of polyphenol oxidase in yam (</w:t>
      </w:r>
      <w:r w:rsidRPr="00050688">
        <w:rPr>
          <w:rFonts w:ascii="Arial" w:hAnsi="Arial" w:cs="Arial"/>
          <w:b/>
          <w:bCs/>
          <w:i/>
          <w:iCs/>
          <w:sz w:val="20"/>
          <w:szCs w:val="20"/>
          <w:lang w:val="en"/>
        </w:rPr>
        <w:t>Dioscorea cayenensis-rotundata</w:t>
      </w:r>
      <w:r w:rsidRPr="00050688">
        <w:rPr>
          <w:rFonts w:ascii="Arial" w:hAnsi="Arial" w:cs="Arial"/>
          <w:b/>
          <w:bCs/>
          <w:sz w:val="20"/>
          <w:szCs w:val="20"/>
          <w:lang w:val="en"/>
        </w:rPr>
        <w:t>) cultivar "Zrèzrou".</w:t>
      </w:r>
    </w:p>
    <w:p w14:paraId="6B073A56" w14:textId="77777777" w:rsidR="00E052FE" w:rsidRDefault="00E052FE">
      <w:pPr>
        <w:spacing w:after="0" w:line="240" w:lineRule="auto"/>
        <w:jc w:val="center"/>
        <w:rPr>
          <w:rFonts w:ascii="Arial" w:hAnsi="Arial" w:cs="Arial"/>
          <w:b/>
          <w:bCs/>
        </w:rPr>
      </w:pPr>
    </w:p>
    <w:tbl>
      <w:tblPr>
        <w:tblStyle w:val="TableNormal1"/>
        <w:tblW w:w="0" w:type="auto"/>
        <w:jc w:val="center"/>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01"/>
        <w:gridCol w:w="2410"/>
        <w:gridCol w:w="1559"/>
      </w:tblGrid>
      <w:tr w:rsidR="00E052FE" w14:paraId="46019EBB" w14:textId="77777777">
        <w:trPr>
          <w:jc w:val="center"/>
        </w:trPr>
        <w:tc>
          <w:tcPr>
            <w:tcW w:w="1701" w:type="dxa"/>
            <w:vMerge w:val="restart"/>
            <w:tcBorders>
              <w:top w:val="single" w:sz="4" w:space="0" w:color="auto"/>
              <w:bottom w:val="nil"/>
            </w:tcBorders>
          </w:tcPr>
          <w:p w14:paraId="42B3887F" w14:textId="77777777" w:rsidR="00E052FE" w:rsidRDefault="00E052FE">
            <w:pPr>
              <w:widowControl/>
              <w:autoSpaceDE/>
              <w:autoSpaceDN/>
              <w:spacing w:after="0" w:line="240" w:lineRule="auto"/>
              <w:jc w:val="both"/>
              <w:rPr>
                <w:rFonts w:ascii="Arial" w:hAnsi="Arial" w:cs="Arial"/>
                <w:b/>
                <w:sz w:val="20"/>
                <w:szCs w:val="20"/>
                <w:lang w:eastAsia="fr-FR"/>
              </w:rPr>
            </w:pPr>
          </w:p>
          <w:p w14:paraId="42DCF6E9" w14:textId="77777777" w:rsidR="00E052FE" w:rsidRDefault="005A1036">
            <w:pPr>
              <w:widowControl/>
              <w:autoSpaceDE/>
              <w:autoSpaceDN/>
              <w:spacing w:after="0" w:line="240" w:lineRule="auto"/>
              <w:jc w:val="both"/>
              <w:rPr>
                <w:rFonts w:ascii="Arial" w:hAnsi="Arial" w:cs="Arial"/>
                <w:b/>
                <w:sz w:val="20"/>
                <w:szCs w:val="20"/>
                <w:lang w:eastAsia="fr-FR"/>
              </w:rPr>
            </w:pPr>
            <w:r>
              <w:rPr>
                <w:rFonts w:ascii="Arial" w:hAnsi="Arial" w:cs="Arial"/>
                <w:b/>
                <w:sz w:val="20"/>
                <w:szCs w:val="20"/>
                <w:lang w:eastAsia="fr-FR"/>
              </w:rPr>
              <w:t>D, Z et Ea</w:t>
            </w:r>
          </w:p>
        </w:tc>
        <w:tc>
          <w:tcPr>
            <w:tcW w:w="3969" w:type="dxa"/>
            <w:gridSpan w:val="2"/>
            <w:tcBorders>
              <w:top w:val="single" w:sz="4" w:space="0" w:color="auto"/>
              <w:bottom w:val="single" w:sz="4" w:space="0" w:color="auto"/>
            </w:tcBorders>
          </w:tcPr>
          <w:p w14:paraId="12E9EEE8" w14:textId="77777777" w:rsidR="00E052FE" w:rsidRDefault="005A1036">
            <w:pPr>
              <w:widowControl/>
              <w:autoSpaceDE/>
              <w:autoSpaceDN/>
              <w:spacing w:after="0" w:line="240" w:lineRule="auto"/>
              <w:jc w:val="both"/>
              <w:rPr>
                <w:rFonts w:ascii="Arial" w:hAnsi="Arial" w:cs="Arial"/>
                <w:b/>
                <w:sz w:val="20"/>
                <w:szCs w:val="20"/>
                <w:lang w:eastAsia="fr-FR"/>
              </w:rPr>
            </w:pPr>
            <w:r>
              <w:rPr>
                <w:rFonts w:ascii="Arial" w:hAnsi="Arial" w:cs="Arial"/>
                <w:b/>
                <w:sz w:val="20"/>
                <w:szCs w:val="20"/>
                <w:lang w:eastAsia="fr-FR"/>
              </w:rPr>
              <w:t>Values</w:t>
            </w:r>
          </w:p>
        </w:tc>
      </w:tr>
      <w:tr w:rsidR="00E052FE" w14:paraId="7B4CAA70" w14:textId="77777777">
        <w:trPr>
          <w:jc w:val="center"/>
        </w:trPr>
        <w:tc>
          <w:tcPr>
            <w:tcW w:w="1701" w:type="dxa"/>
            <w:vMerge/>
            <w:tcBorders>
              <w:top w:val="nil"/>
              <w:bottom w:val="single" w:sz="4" w:space="0" w:color="auto"/>
            </w:tcBorders>
            <w:vAlign w:val="center"/>
          </w:tcPr>
          <w:p w14:paraId="19E45A4B" w14:textId="77777777" w:rsidR="00E052FE" w:rsidRDefault="00E052FE">
            <w:pPr>
              <w:widowControl/>
              <w:autoSpaceDE/>
              <w:autoSpaceDN/>
              <w:spacing w:after="0" w:line="240" w:lineRule="auto"/>
              <w:jc w:val="both"/>
              <w:rPr>
                <w:rFonts w:ascii="Arial" w:hAnsi="Arial" w:cs="Arial"/>
                <w:b/>
                <w:sz w:val="20"/>
                <w:szCs w:val="20"/>
                <w:lang w:eastAsia="fr-FR"/>
              </w:rPr>
            </w:pPr>
          </w:p>
        </w:tc>
        <w:tc>
          <w:tcPr>
            <w:tcW w:w="2410" w:type="dxa"/>
            <w:tcBorders>
              <w:top w:val="single" w:sz="4" w:space="0" w:color="auto"/>
              <w:bottom w:val="single" w:sz="4" w:space="0" w:color="auto"/>
            </w:tcBorders>
          </w:tcPr>
          <w:p w14:paraId="39676A1F" w14:textId="77777777" w:rsidR="00E052FE" w:rsidRDefault="005A1036">
            <w:pPr>
              <w:widowControl/>
              <w:autoSpaceDE/>
              <w:autoSpaceDN/>
              <w:spacing w:after="0" w:line="240" w:lineRule="auto"/>
              <w:rPr>
                <w:rFonts w:ascii="Arial" w:hAnsi="Arial" w:cs="Arial"/>
                <w:sz w:val="20"/>
                <w:szCs w:val="20"/>
                <w:lang w:eastAsia="fr-FR"/>
              </w:rPr>
            </w:pPr>
            <w:r>
              <w:rPr>
                <w:rFonts w:ascii="Arial" w:hAnsi="Arial" w:cs="Arial"/>
                <w:b/>
                <w:sz w:val="20"/>
                <w:szCs w:val="20"/>
                <w:lang w:eastAsia="fr-FR"/>
              </w:rPr>
              <w:t>latente Form</w:t>
            </w:r>
          </w:p>
        </w:tc>
        <w:tc>
          <w:tcPr>
            <w:tcW w:w="1559" w:type="dxa"/>
            <w:tcBorders>
              <w:top w:val="single" w:sz="4" w:space="0" w:color="auto"/>
              <w:bottom w:val="single" w:sz="4" w:space="0" w:color="auto"/>
            </w:tcBorders>
          </w:tcPr>
          <w:p w14:paraId="1959B1FB" w14:textId="77777777" w:rsidR="00E052FE" w:rsidRDefault="005A1036">
            <w:pPr>
              <w:widowControl/>
              <w:autoSpaceDE/>
              <w:autoSpaceDN/>
              <w:spacing w:after="0" w:line="240" w:lineRule="auto"/>
              <w:jc w:val="both"/>
              <w:rPr>
                <w:rFonts w:ascii="Arial" w:hAnsi="Arial" w:cs="Arial"/>
                <w:sz w:val="20"/>
                <w:szCs w:val="20"/>
                <w:lang w:eastAsia="fr-FR"/>
              </w:rPr>
            </w:pPr>
            <w:r>
              <w:rPr>
                <w:rFonts w:ascii="Arial" w:hAnsi="Arial" w:cs="Arial"/>
                <w:b/>
                <w:sz w:val="20"/>
                <w:szCs w:val="20"/>
                <w:lang w:eastAsia="fr-FR"/>
              </w:rPr>
              <w:t>activated Form</w:t>
            </w:r>
          </w:p>
        </w:tc>
      </w:tr>
      <w:tr w:rsidR="00E052FE" w14:paraId="13EA1D10" w14:textId="77777777">
        <w:trPr>
          <w:jc w:val="center"/>
        </w:trPr>
        <w:tc>
          <w:tcPr>
            <w:tcW w:w="1701" w:type="dxa"/>
            <w:tcBorders>
              <w:top w:val="single" w:sz="4" w:space="0" w:color="auto"/>
            </w:tcBorders>
          </w:tcPr>
          <w:p w14:paraId="38495B45"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D35 (min)</w:t>
            </w:r>
          </w:p>
        </w:tc>
        <w:tc>
          <w:tcPr>
            <w:tcW w:w="2410" w:type="dxa"/>
            <w:tcBorders>
              <w:top w:val="single" w:sz="4" w:space="0" w:color="auto"/>
            </w:tcBorders>
            <w:vAlign w:val="center"/>
          </w:tcPr>
          <w:p w14:paraId="2A947B38"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767.67 ± 1.2</w:t>
            </w:r>
          </w:p>
        </w:tc>
        <w:tc>
          <w:tcPr>
            <w:tcW w:w="1559" w:type="dxa"/>
            <w:tcBorders>
              <w:top w:val="single" w:sz="4" w:space="0" w:color="auto"/>
            </w:tcBorders>
          </w:tcPr>
          <w:p w14:paraId="069F80A7"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767,67 </w:t>
            </w:r>
            <w:r>
              <w:rPr>
                <w:rFonts w:ascii="Arial" w:hAnsi="Arial" w:cs="Arial"/>
                <w:spacing w:val="-2"/>
                <w:sz w:val="20"/>
                <w:szCs w:val="20"/>
                <w:lang w:eastAsia="fr-FR"/>
              </w:rPr>
              <w:t>± 1.7</w:t>
            </w:r>
          </w:p>
        </w:tc>
      </w:tr>
      <w:tr w:rsidR="00E052FE" w14:paraId="06B76CCF" w14:textId="77777777">
        <w:trPr>
          <w:jc w:val="center"/>
        </w:trPr>
        <w:tc>
          <w:tcPr>
            <w:tcW w:w="1701" w:type="dxa"/>
          </w:tcPr>
          <w:p w14:paraId="71AB8DBA"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D40 (min)</w:t>
            </w:r>
          </w:p>
        </w:tc>
        <w:tc>
          <w:tcPr>
            <w:tcW w:w="2410" w:type="dxa"/>
            <w:vAlign w:val="center"/>
          </w:tcPr>
          <w:p w14:paraId="7A6F9AF3"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329.0 ±3.05</w:t>
            </w:r>
          </w:p>
        </w:tc>
        <w:tc>
          <w:tcPr>
            <w:tcW w:w="1559" w:type="dxa"/>
          </w:tcPr>
          <w:p w14:paraId="7A358A09"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230,30 </w:t>
            </w:r>
            <w:r>
              <w:rPr>
                <w:rFonts w:ascii="Arial" w:hAnsi="Arial" w:cs="Arial"/>
                <w:spacing w:val="-2"/>
                <w:sz w:val="20"/>
                <w:szCs w:val="20"/>
                <w:lang w:eastAsia="fr-FR"/>
              </w:rPr>
              <w:t>± 2.41</w:t>
            </w:r>
          </w:p>
        </w:tc>
      </w:tr>
      <w:tr w:rsidR="00E052FE" w14:paraId="6B903CD3" w14:textId="77777777">
        <w:trPr>
          <w:jc w:val="center"/>
        </w:trPr>
        <w:tc>
          <w:tcPr>
            <w:tcW w:w="1701" w:type="dxa"/>
          </w:tcPr>
          <w:p w14:paraId="2AD88F88"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D45 (min)</w:t>
            </w:r>
          </w:p>
        </w:tc>
        <w:tc>
          <w:tcPr>
            <w:tcW w:w="2410" w:type="dxa"/>
            <w:vAlign w:val="center"/>
          </w:tcPr>
          <w:p w14:paraId="76A9C747"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255.89 ± 0.16</w:t>
            </w:r>
          </w:p>
        </w:tc>
        <w:tc>
          <w:tcPr>
            <w:tcW w:w="1559" w:type="dxa"/>
          </w:tcPr>
          <w:p w14:paraId="2090C765"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104,68 </w:t>
            </w:r>
            <w:r>
              <w:rPr>
                <w:rFonts w:ascii="Arial" w:hAnsi="Arial" w:cs="Arial"/>
                <w:spacing w:val="-2"/>
                <w:sz w:val="20"/>
                <w:szCs w:val="20"/>
                <w:lang w:eastAsia="fr-FR"/>
              </w:rPr>
              <w:t>± 1.03</w:t>
            </w:r>
          </w:p>
        </w:tc>
      </w:tr>
      <w:tr w:rsidR="00E052FE" w14:paraId="2A798BA6" w14:textId="77777777">
        <w:trPr>
          <w:jc w:val="center"/>
        </w:trPr>
        <w:tc>
          <w:tcPr>
            <w:tcW w:w="1701" w:type="dxa"/>
          </w:tcPr>
          <w:p w14:paraId="564A7A81"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D50</w:t>
            </w:r>
            <w:r>
              <w:rPr>
                <w:rFonts w:ascii="Arial" w:hAnsi="Arial" w:cs="Arial"/>
                <w:b/>
                <w:sz w:val="20"/>
                <w:szCs w:val="20"/>
                <w:lang w:eastAsia="fr-FR"/>
              </w:rPr>
              <w:t xml:space="preserve"> (min)</w:t>
            </w:r>
          </w:p>
        </w:tc>
        <w:tc>
          <w:tcPr>
            <w:tcW w:w="2410" w:type="dxa"/>
            <w:vAlign w:val="center"/>
          </w:tcPr>
          <w:p w14:paraId="210DC0CA"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164.51 ± 02</w:t>
            </w:r>
          </w:p>
        </w:tc>
        <w:tc>
          <w:tcPr>
            <w:tcW w:w="1559" w:type="dxa"/>
          </w:tcPr>
          <w:p w14:paraId="793D0021"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59,05 </w:t>
            </w:r>
            <w:r>
              <w:rPr>
                <w:rFonts w:ascii="Arial" w:hAnsi="Arial" w:cs="Arial"/>
                <w:spacing w:val="-2"/>
                <w:sz w:val="20"/>
                <w:szCs w:val="20"/>
                <w:lang w:eastAsia="fr-FR"/>
              </w:rPr>
              <w:t>± 0.81</w:t>
            </w:r>
          </w:p>
        </w:tc>
      </w:tr>
      <w:tr w:rsidR="00E052FE" w14:paraId="41B3A496" w14:textId="77777777">
        <w:trPr>
          <w:jc w:val="center"/>
        </w:trPr>
        <w:tc>
          <w:tcPr>
            <w:tcW w:w="1701" w:type="dxa"/>
          </w:tcPr>
          <w:p w14:paraId="2BB71640"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D55 (min)</w:t>
            </w:r>
          </w:p>
        </w:tc>
        <w:tc>
          <w:tcPr>
            <w:tcW w:w="2410" w:type="dxa"/>
            <w:vAlign w:val="center"/>
          </w:tcPr>
          <w:p w14:paraId="1C4B4025"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109.67 ± 2.36</w:t>
            </w:r>
          </w:p>
        </w:tc>
        <w:tc>
          <w:tcPr>
            <w:tcW w:w="1559" w:type="dxa"/>
          </w:tcPr>
          <w:p w14:paraId="5FB536DC"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31,99 </w:t>
            </w:r>
            <w:r>
              <w:rPr>
                <w:rFonts w:ascii="Arial" w:hAnsi="Arial" w:cs="Arial"/>
                <w:spacing w:val="-2"/>
                <w:sz w:val="20"/>
                <w:szCs w:val="20"/>
                <w:lang w:eastAsia="fr-FR"/>
              </w:rPr>
              <w:t>± 0.35</w:t>
            </w:r>
          </w:p>
        </w:tc>
      </w:tr>
      <w:tr w:rsidR="00E052FE" w14:paraId="18226E69" w14:textId="77777777">
        <w:trPr>
          <w:jc w:val="center"/>
        </w:trPr>
        <w:tc>
          <w:tcPr>
            <w:tcW w:w="1701" w:type="dxa"/>
          </w:tcPr>
          <w:p w14:paraId="3FA43BDE"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D60 (min)</w:t>
            </w:r>
          </w:p>
        </w:tc>
        <w:tc>
          <w:tcPr>
            <w:tcW w:w="2410" w:type="dxa"/>
            <w:vAlign w:val="center"/>
          </w:tcPr>
          <w:p w14:paraId="1AA0D04B"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100.13 ± 1.14</w:t>
            </w:r>
          </w:p>
        </w:tc>
        <w:tc>
          <w:tcPr>
            <w:tcW w:w="1559" w:type="dxa"/>
            <w:vMerge w:val="restart"/>
          </w:tcPr>
          <w:p w14:paraId="4017B6F7" w14:textId="77777777" w:rsidR="00E052FE" w:rsidRDefault="00E052FE">
            <w:pPr>
              <w:widowControl/>
              <w:autoSpaceDE/>
              <w:autoSpaceDN/>
              <w:spacing w:after="0" w:line="480" w:lineRule="auto"/>
              <w:jc w:val="both"/>
              <w:rPr>
                <w:rFonts w:ascii="Arial" w:hAnsi="Arial" w:cs="Arial"/>
                <w:sz w:val="20"/>
                <w:szCs w:val="20"/>
                <w:lang w:eastAsia="fr-FR"/>
              </w:rPr>
            </w:pPr>
          </w:p>
        </w:tc>
      </w:tr>
      <w:tr w:rsidR="00E052FE" w14:paraId="492C7C73" w14:textId="77777777">
        <w:trPr>
          <w:jc w:val="center"/>
        </w:trPr>
        <w:tc>
          <w:tcPr>
            <w:tcW w:w="1701" w:type="dxa"/>
          </w:tcPr>
          <w:p w14:paraId="3DB79AFD"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D65 (min)</w:t>
            </w:r>
          </w:p>
        </w:tc>
        <w:tc>
          <w:tcPr>
            <w:tcW w:w="2410" w:type="dxa"/>
            <w:vAlign w:val="center"/>
          </w:tcPr>
          <w:p w14:paraId="33D38BEE"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63.97 ± 0.42</w:t>
            </w:r>
          </w:p>
        </w:tc>
        <w:tc>
          <w:tcPr>
            <w:tcW w:w="1559" w:type="dxa"/>
            <w:vMerge/>
            <w:vAlign w:val="center"/>
          </w:tcPr>
          <w:p w14:paraId="2BCEF2ED" w14:textId="77777777" w:rsidR="00E052FE" w:rsidRDefault="00E052FE">
            <w:pPr>
              <w:widowControl/>
              <w:autoSpaceDE/>
              <w:autoSpaceDN/>
              <w:spacing w:after="0" w:line="480" w:lineRule="auto"/>
              <w:jc w:val="both"/>
              <w:rPr>
                <w:rFonts w:ascii="Arial" w:hAnsi="Arial" w:cs="Arial"/>
                <w:sz w:val="20"/>
                <w:szCs w:val="20"/>
                <w:lang w:eastAsia="fr-FR"/>
              </w:rPr>
            </w:pPr>
          </w:p>
        </w:tc>
      </w:tr>
      <w:tr w:rsidR="00E052FE" w14:paraId="3E34343B" w14:textId="77777777">
        <w:trPr>
          <w:jc w:val="center"/>
        </w:trPr>
        <w:tc>
          <w:tcPr>
            <w:tcW w:w="1701" w:type="dxa"/>
          </w:tcPr>
          <w:p w14:paraId="3491117F"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D70 (min)</w:t>
            </w:r>
          </w:p>
        </w:tc>
        <w:tc>
          <w:tcPr>
            <w:tcW w:w="2410" w:type="dxa"/>
            <w:vAlign w:val="center"/>
          </w:tcPr>
          <w:p w14:paraId="65E07537"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27.75 ± 0.99</w:t>
            </w:r>
          </w:p>
        </w:tc>
        <w:tc>
          <w:tcPr>
            <w:tcW w:w="1559" w:type="dxa"/>
            <w:vMerge/>
            <w:vAlign w:val="center"/>
          </w:tcPr>
          <w:p w14:paraId="111DF1B4" w14:textId="77777777" w:rsidR="00E052FE" w:rsidRDefault="00E052FE">
            <w:pPr>
              <w:widowControl/>
              <w:autoSpaceDE/>
              <w:autoSpaceDN/>
              <w:spacing w:after="0" w:line="480" w:lineRule="auto"/>
              <w:jc w:val="both"/>
              <w:rPr>
                <w:rFonts w:ascii="Arial" w:hAnsi="Arial" w:cs="Arial"/>
                <w:sz w:val="20"/>
                <w:szCs w:val="20"/>
                <w:lang w:eastAsia="fr-FR"/>
              </w:rPr>
            </w:pPr>
          </w:p>
        </w:tc>
      </w:tr>
      <w:tr w:rsidR="00E052FE" w14:paraId="5AA3EE24" w14:textId="77777777">
        <w:trPr>
          <w:jc w:val="center"/>
        </w:trPr>
        <w:tc>
          <w:tcPr>
            <w:tcW w:w="1701" w:type="dxa"/>
          </w:tcPr>
          <w:p w14:paraId="68787FA8"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D75 (min)</w:t>
            </w:r>
          </w:p>
        </w:tc>
        <w:tc>
          <w:tcPr>
            <w:tcW w:w="2410" w:type="dxa"/>
            <w:vAlign w:val="center"/>
          </w:tcPr>
          <w:p w14:paraId="410D53C0"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16.45 ± 0.52</w:t>
            </w:r>
          </w:p>
        </w:tc>
        <w:tc>
          <w:tcPr>
            <w:tcW w:w="1559" w:type="dxa"/>
            <w:vMerge/>
            <w:vAlign w:val="center"/>
          </w:tcPr>
          <w:p w14:paraId="015F5F30" w14:textId="77777777" w:rsidR="00E052FE" w:rsidRDefault="00E052FE">
            <w:pPr>
              <w:widowControl/>
              <w:autoSpaceDE/>
              <w:autoSpaceDN/>
              <w:spacing w:after="0" w:line="480" w:lineRule="auto"/>
              <w:jc w:val="both"/>
              <w:rPr>
                <w:rFonts w:ascii="Arial" w:hAnsi="Arial" w:cs="Arial"/>
                <w:sz w:val="20"/>
                <w:szCs w:val="20"/>
                <w:lang w:eastAsia="fr-FR"/>
              </w:rPr>
            </w:pPr>
          </w:p>
        </w:tc>
      </w:tr>
      <w:tr w:rsidR="00E052FE" w14:paraId="1C7692A0" w14:textId="77777777">
        <w:trPr>
          <w:jc w:val="center"/>
        </w:trPr>
        <w:tc>
          <w:tcPr>
            <w:tcW w:w="1701" w:type="dxa"/>
          </w:tcPr>
          <w:p w14:paraId="47C8BFD7"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Z (°C)</w:t>
            </w:r>
          </w:p>
        </w:tc>
        <w:tc>
          <w:tcPr>
            <w:tcW w:w="2410" w:type="dxa"/>
            <w:vAlign w:val="center"/>
          </w:tcPr>
          <w:p w14:paraId="43ECD3F5"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26,52 ± 0.65</w:t>
            </w:r>
          </w:p>
        </w:tc>
        <w:tc>
          <w:tcPr>
            <w:tcW w:w="1559" w:type="dxa"/>
          </w:tcPr>
          <w:p w14:paraId="2461A88A"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14,93 </w:t>
            </w:r>
            <w:r>
              <w:rPr>
                <w:rFonts w:ascii="Arial" w:hAnsi="Arial" w:cs="Arial"/>
                <w:spacing w:val="-2"/>
                <w:sz w:val="20"/>
                <w:szCs w:val="20"/>
                <w:lang w:eastAsia="fr-FR"/>
              </w:rPr>
              <w:t>± 0.27</w:t>
            </w:r>
          </w:p>
        </w:tc>
      </w:tr>
      <w:tr w:rsidR="00E052FE" w14:paraId="4BAE4E59" w14:textId="77777777">
        <w:trPr>
          <w:jc w:val="center"/>
        </w:trPr>
        <w:tc>
          <w:tcPr>
            <w:tcW w:w="1701" w:type="dxa"/>
          </w:tcPr>
          <w:p w14:paraId="7F0BC5CE" w14:textId="77777777" w:rsidR="00E052FE" w:rsidRDefault="005A1036">
            <w:pPr>
              <w:widowControl/>
              <w:autoSpaceDE/>
              <w:autoSpaceDN/>
              <w:spacing w:after="0" w:line="480" w:lineRule="auto"/>
              <w:jc w:val="both"/>
              <w:rPr>
                <w:rFonts w:ascii="Arial" w:hAnsi="Arial" w:cs="Arial"/>
                <w:b/>
                <w:sz w:val="20"/>
                <w:szCs w:val="20"/>
                <w:lang w:eastAsia="fr-FR"/>
              </w:rPr>
            </w:pPr>
            <w:r>
              <w:rPr>
                <w:rFonts w:ascii="Arial" w:hAnsi="Arial" w:cs="Arial"/>
                <w:b/>
                <w:sz w:val="20"/>
                <w:szCs w:val="20"/>
                <w:lang w:eastAsia="fr-FR"/>
              </w:rPr>
              <w:t>Ea (kJ/mol)</w:t>
            </w:r>
          </w:p>
        </w:tc>
        <w:tc>
          <w:tcPr>
            <w:tcW w:w="2410" w:type="dxa"/>
            <w:vAlign w:val="center"/>
          </w:tcPr>
          <w:p w14:paraId="620D21EA"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color w:val="000000"/>
                <w:sz w:val="20"/>
                <w:szCs w:val="20"/>
                <w:lang w:eastAsia="fr-FR"/>
              </w:rPr>
              <w:t>77,24 ± 0.66</w:t>
            </w:r>
          </w:p>
        </w:tc>
        <w:tc>
          <w:tcPr>
            <w:tcW w:w="1559" w:type="dxa"/>
          </w:tcPr>
          <w:p w14:paraId="076CAEF0" w14:textId="77777777" w:rsidR="00E052FE" w:rsidRDefault="005A1036">
            <w:pPr>
              <w:widowControl/>
              <w:autoSpaceDE/>
              <w:autoSpaceDN/>
              <w:spacing w:after="0" w:line="480" w:lineRule="auto"/>
              <w:jc w:val="both"/>
              <w:rPr>
                <w:rFonts w:ascii="Arial" w:hAnsi="Arial" w:cs="Arial"/>
                <w:sz w:val="20"/>
                <w:szCs w:val="20"/>
                <w:lang w:eastAsia="fr-FR"/>
              </w:rPr>
            </w:pPr>
            <w:r>
              <w:rPr>
                <w:rFonts w:ascii="Arial" w:hAnsi="Arial" w:cs="Arial"/>
                <w:sz w:val="20"/>
                <w:szCs w:val="20"/>
                <w:lang w:eastAsia="fr-FR"/>
              </w:rPr>
              <w:t xml:space="preserve">129,92 </w:t>
            </w:r>
            <w:r>
              <w:rPr>
                <w:rFonts w:ascii="Arial" w:hAnsi="Arial" w:cs="Arial"/>
                <w:spacing w:val="-2"/>
                <w:sz w:val="20"/>
                <w:szCs w:val="20"/>
                <w:lang w:eastAsia="fr-FR"/>
              </w:rPr>
              <w:t>± 1.59</w:t>
            </w:r>
          </w:p>
        </w:tc>
      </w:tr>
    </w:tbl>
    <w:p w14:paraId="04E79887" w14:textId="77777777" w:rsidR="00E052FE" w:rsidRDefault="00E052FE">
      <w:pPr>
        <w:spacing w:after="0" w:line="240" w:lineRule="auto"/>
        <w:jc w:val="both"/>
        <w:rPr>
          <w:rFonts w:ascii="Arial" w:eastAsia="Times New Roman" w:hAnsi="Arial" w:cs="Arial"/>
          <w:lang w:val="en" w:eastAsia="fr-FR"/>
        </w:rPr>
      </w:pPr>
    </w:p>
    <w:p w14:paraId="3033B38F" w14:textId="77777777" w:rsidR="00E052FE" w:rsidRDefault="005A103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val="en" w:eastAsia="fr-FR"/>
        </w:rPr>
        <w:t xml:space="preserve">D, Z and </w:t>
      </w:r>
      <w:r>
        <w:rPr>
          <w:rFonts w:ascii="Arial" w:eastAsia="Times New Roman" w:hAnsi="Arial" w:cs="Arial"/>
          <w:sz w:val="20"/>
          <w:szCs w:val="20"/>
          <w:lang w:val="en" w:eastAsia="fr-FR"/>
        </w:rPr>
        <w:t>Ea are respectively the decimal reduction time, the thermal resistance constant and the activation energy of the polyphenol oxidase.</w:t>
      </w:r>
    </w:p>
    <w:p w14:paraId="2FDB02AF" w14:textId="77777777" w:rsidR="00E052FE" w:rsidRDefault="005A1036">
      <w:pPr>
        <w:pStyle w:val="BodyText"/>
        <w:spacing w:before="3" w:after="0" w:afterAutospacing="0"/>
        <w:jc w:val="right"/>
        <w:rPr>
          <w:rFonts w:ascii="Arial" w:eastAsiaTheme="majorEastAsia" w:hAnsi="Arial" w:cs="Arial"/>
          <w:b/>
          <w:bCs/>
          <w:spacing w:val="-4"/>
          <w:sz w:val="22"/>
          <w:szCs w:val="22"/>
          <w:lang w:val="en"/>
        </w:rPr>
      </w:pPr>
      <w:r>
        <w:rPr>
          <w:rFonts w:ascii="Arial" w:eastAsiaTheme="majorEastAsia" w:hAnsi="Arial" w:cs="Arial"/>
          <w:b/>
          <w:bCs/>
          <w:spacing w:val="-4"/>
          <w:sz w:val="22"/>
          <w:szCs w:val="22"/>
          <w:lang w:val="en"/>
        </w:rPr>
        <w:t>4-2- Thermodynamic Analyses of Thermal Inactivation of Polyphenol Oxidase</w:t>
      </w:r>
    </w:p>
    <w:p w14:paraId="0A810FC2" w14:textId="4E303117" w:rsidR="00E052FE" w:rsidRPr="00050688" w:rsidRDefault="005A1036">
      <w:pPr>
        <w:pStyle w:val="BodyText"/>
        <w:spacing w:before="3" w:after="0" w:afterAutospacing="0"/>
        <w:jc w:val="both"/>
        <w:rPr>
          <w:rFonts w:ascii="Arial" w:eastAsiaTheme="majorEastAsia" w:hAnsi="Arial" w:cs="Arial"/>
          <w:spacing w:val="-4"/>
          <w:sz w:val="20"/>
          <w:szCs w:val="20"/>
          <w:lang w:val="en"/>
        </w:rPr>
      </w:pPr>
      <w:r w:rsidRPr="00050688">
        <w:rPr>
          <w:rFonts w:ascii="Arial" w:eastAsiaTheme="majorEastAsia" w:hAnsi="Arial" w:cs="Arial"/>
          <w:spacing w:val="-4"/>
          <w:sz w:val="20"/>
          <w:szCs w:val="20"/>
          <w:lang w:val="en"/>
        </w:rPr>
        <w:t>The thermodynamic parameter values of the thermal</w:t>
      </w:r>
      <w:r w:rsidRPr="00050688">
        <w:rPr>
          <w:rFonts w:ascii="Arial" w:eastAsiaTheme="majorEastAsia" w:hAnsi="Arial" w:cs="Arial"/>
          <w:spacing w:val="-4"/>
          <w:sz w:val="20"/>
          <w:szCs w:val="20"/>
          <w:lang w:val="en"/>
        </w:rPr>
        <w:t xml:space="preserve"> inactivation system of polyphenol oxidase in yam (</w:t>
      </w:r>
      <w:r w:rsidRPr="00050688">
        <w:rPr>
          <w:rFonts w:ascii="Arial" w:eastAsiaTheme="majorEastAsia" w:hAnsi="Arial" w:cs="Arial"/>
          <w:i/>
          <w:iCs/>
          <w:spacing w:val="-4"/>
          <w:sz w:val="20"/>
          <w:szCs w:val="20"/>
          <w:lang w:val="en"/>
        </w:rPr>
        <w:t>Dioscorea cayenensis-rotundata</w:t>
      </w:r>
      <w:r w:rsidRPr="00050688">
        <w:rPr>
          <w:rFonts w:ascii="Arial" w:eastAsiaTheme="majorEastAsia" w:hAnsi="Arial" w:cs="Arial"/>
          <w:spacing w:val="-4"/>
          <w:sz w:val="20"/>
          <w:szCs w:val="20"/>
          <w:lang w:val="en"/>
        </w:rPr>
        <w:t xml:space="preserve">) cultivar "Zrèzrou" are recorded in Table </w:t>
      </w:r>
      <w:r w:rsidR="00050688" w:rsidRPr="00050688">
        <w:rPr>
          <w:rFonts w:ascii="Arial" w:eastAsiaTheme="majorEastAsia" w:hAnsi="Arial" w:cs="Arial"/>
          <w:spacing w:val="-4"/>
          <w:sz w:val="20"/>
          <w:szCs w:val="20"/>
          <w:lang w:val="en"/>
        </w:rPr>
        <w:t>6</w:t>
      </w:r>
      <w:r w:rsidRPr="00050688">
        <w:rPr>
          <w:rFonts w:ascii="Arial" w:eastAsiaTheme="majorEastAsia" w:hAnsi="Arial" w:cs="Arial"/>
          <w:spacing w:val="-4"/>
          <w:sz w:val="20"/>
          <w:szCs w:val="20"/>
          <w:lang w:val="en"/>
        </w:rPr>
        <w:t>. The values of ∆H</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and ∆G</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are both positive, while those of ∆S</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are negative for the latent form and positive for the activated f</w:t>
      </w:r>
      <w:r w:rsidRPr="00050688">
        <w:rPr>
          <w:rFonts w:ascii="Arial" w:eastAsiaTheme="majorEastAsia" w:hAnsi="Arial" w:cs="Arial"/>
          <w:spacing w:val="-4"/>
          <w:sz w:val="20"/>
          <w:szCs w:val="20"/>
          <w:lang w:val="en"/>
        </w:rPr>
        <w:t>orm. The values of ∆H</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and ∆S</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for the latent form decrease as the temperature increases. The opposite occurs with ∆G</w:t>
      </w:r>
      <w:r w:rsidRPr="00050688">
        <w:rPr>
          <w:rFonts w:ascii="Arial" w:eastAsiaTheme="majorEastAsia" w:hAnsi="Arial" w:cs="Arial"/>
          <w:spacing w:val="-4"/>
          <w:sz w:val="20"/>
          <w:szCs w:val="20"/>
          <w:vertAlign w:val="superscript"/>
          <w:lang w:val="en"/>
        </w:rPr>
        <w:t>#.</w:t>
      </w:r>
      <w:r w:rsidRPr="00050688">
        <w:rPr>
          <w:rFonts w:ascii="Arial" w:eastAsiaTheme="majorEastAsia" w:hAnsi="Arial" w:cs="Arial"/>
          <w:spacing w:val="-4"/>
          <w:sz w:val="20"/>
          <w:szCs w:val="20"/>
          <w:lang w:val="en"/>
        </w:rPr>
        <w:t xml:space="preserve"> Conversely, the thermodynamic values of the activated form decrease as the temperature increases.</w:t>
      </w:r>
    </w:p>
    <w:p w14:paraId="750ABEC7"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1B39ACB2"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1F722F16"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6C0C76E2"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2194ECC8"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61C65D39"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31C4F05D"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5A170BFB"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37F3D3DD"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5D79CDC9"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617F4E04" w14:textId="77777777" w:rsidR="00050688" w:rsidRDefault="00050688">
      <w:pPr>
        <w:pStyle w:val="BodyText"/>
        <w:spacing w:before="0" w:beforeAutospacing="0" w:after="0" w:afterAutospacing="0"/>
        <w:jc w:val="both"/>
        <w:rPr>
          <w:rFonts w:ascii="Arial" w:eastAsiaTheme="majorEastAsia" w:hAnsi="Arial" w:cs="Arial"/>
          <w:spacing w:val="-4"/>
          <w:sz w:val="20"/>
          <w:szCs w:val="20"/>
        </w:rPr>
      </w:pPr>
    </w:p>
    <w:p w14:paraId="2D208B2F" w14:textId="77777777" w:rsidR="00050688" w:rsidRDefault="00050688">
      <w:pPr>
        <w:pStyle w:val="BodyText"/>
        <w:spacing w:before="0" w:beforeAutospacing="0" w:after="0" w:afterAutospacing="0"/>
        <w:jc w:val="both"/>
        <w:rPr>
          <w:rFonts w:ascii="Arial" w:eastAsiaTheme="majorEastAsia" w:hAnsi="Arial" w:cs="Arial"/>
          <w:spacing w:val="-4"/>
          <w:sz w:val="20"/>
          <w:szCs w:val="20"/>
        </w:rPr>
      </w:pPr>
    </w:p>
    <w:p w14:paraId="1C0F06B3" w14:textId="77777777" w:rsidR="00050688" w:rsidRDefault="00050688">
      <w:pPr>
        <w:pStyle w:val="BodyText"/>
        <w:spacing w:before="0" w:beforeAutospacing="0" w:after="0" w:afterAutospacing="0"/>
        <w:jc w:val="both"/>
        <w:rPr>
          <w:rFonts w:ascii="Arial" w:eastAsiaTheme="majorEastAsia" w:hAnsi="Arial" w:cs="Arial"/>
          <w:spacing w:val="-4"/>
          <w:sz w:val="20"/>
          <w:szCs w:val="20"/>
        </w:rPr>
      </w:pPr>
    </w:p>
    <w:p w14:paraId="5F600014"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15AEAD58"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4C2A0388"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686F9256"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06DDEFD6"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664A38F1"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19F24C47"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0FD57452"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4C9F9F50"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282F994A" w14:textId="77777777" w:rsidR="00E052FE" w:rsidRDefault="00E052FE">
      <w:pPr>
        <w:pStyle w:val="BodyText"/>
        <w:spacing w:before="0" w:beforeAutospacing="0" w:after="0" w:afterAutospacing="0"/>
        <w:jc w:val="both"/>
        <w:rPr>
          <w:rFonts w:ascii="Arial" w:eastAsiaTheme="majorEastAsia" w:hAnsi="Arial" w:cs="Arial"/>
          <w:spacing w:val="-4"/>
          <w:sz w:val="20"/>
          <w:szCs w:val="20"/>
        </w:rPr>
      </w:pPr>
    </w:p>
    <w:p w14:paraId="05504FDE" w14:textId="45E476FE" w:rsidR="00050688" w:rsidRDefault="005A1036" w:rsidP="00F00E07">
      <w:pPr>
        <w:pStyle w:val="Heading5"/>
        <w:spacing w:before="0" w:after="0" w:line="240" w:lineRule="auto"/>
        <w:ind w:right="50"/>
        <w:jc w:val="center"/>
        <w:rPr>
          <w:rFonts w:ascii="Arial" w:hAnsi="Arial" w:cs="Arial"/>
          <w:b/>
          <w:bCs/>
          <w:color w:val="auto"/>
          <w:sz w:val="20"/>
          <w:szCs w:val="20"/>
          <w:lang w:val="en"/>
        </w:rPr>
      </w:pPr>
      <w:r>
        <w:rPr>
          <w:rFonts w:ascii="Arial" w:hAnsi="Arial" w:cs="Arial"/>
          <w:b/>
          <w:bCs/>
          <w:color w:val="auto"/>
          <w:sz w:val="20"/>
          <w:szCs w:val="20"/>
          <w:lang w:val="en"/>
        </w:rPr>
        <w:lastRenderedPageBreak/>
        <w:t xml:space="preserve">Table 6: </w:t>
      </w:r>
      <w:r>
        <w:rPr>
          <w:rFonts w:ascii="Arial" w:hAnsi="Arial" w:cs="Arial"/>
          <w:b/>
          <w:bCs/>
          <w:color w:val="auto"/>
          <w:sz w:val="20"/>
          <w:szCs w:val="20"/>
          <w:lang w:val="en"/>
        </w:rPr>
        <w:t>Thermodynamic parameters of thermal inactivation of the latent and activated forms of polyphenol oxidase of yam tuber (</w:t>
      </w:r>
      <w:r>
        <w:rPr>
          <w:rFonts w:ascii="Arial" w:hAnsi="Arial" w:cs="Arial"/>
          <w:b/>
          <w:bCs/>
          <w:i/>
          <w:iCs/>
          <w:color w:val="auto"/>
          <w:sz w:val="20"/>
          <w:szCs w:val="20"/>
          <w:lang w:val="en"/>
        </w:rPr>
        <w:t>Dioscorea cayenensis- rotundata</w:t>
      </w:r>
      <w:r>
        <w:rPr>
          <w:rFonts w:ascii="Arial" w:hAnsi="Arial" w:cs="Arial"/>
          <w:b/>
          <w:bCs/>
          <w:color w:val="auto"/>
          <w:sz w:val="20"/>
          <w:szCs w:val="20"/>
          <w:lang w:val="en"/>
        </w:rPr>
        <w:t>) cultivar "Zrèzrou" between 35 and 75 °C.</w:t>
      </w:r>
    </w:p>
    <w:p w14:paraId="203558EF" w14:textId="77777777" w:rsidR="00F00E07" w:rsidRPr="00F00E07" w:rsidRDefault="00F00E07" w:rsidP="00F00E07">
      <w:pPr>
        <w:spacing w:after="0"/>
        <w:rPr>
          <w:lang w:val="en"/>
        </w:rPr>
      </w:pPr>
    </w:p>
    <w:tbl>
      <w:tblPr>
        <w:tblStyle w:val="Grilledutableau1"/>
        <w:tblW w:w="10139" w:type="dxa"/>
        <w:jc w:val="center"/>
        <w:tblLayout w:type="fixed"/>
        <w:tblCellMar>
          <w:top w:w="15" w:type="dxa"/>
          <w:left w:w="15" w:type="dxa"/>
          <w:bottom w:w="15" w:type="dxa"/>
          <w:right w:w="15" w:type="dxa"/>
        </w:tblCellMar>
        <w:tblLook w:val="04A0" w:firstRow="1" w:lastRow="0" w:firstColumn="1" w:lastColumn="0" w:noHBand="0" w:noVBand="1"/>
      </w:tblPr>
      <w:tblGrid>
        <w:gridCol w:w="1418"/>
        <w:gridCol w:w="1409"/>
        <w:gridCol w:w="1560"/>
        <w:gridCol w:w="1417"/>
        <w:gridCol w:w="1559"/>
        <w:gridCol w:w="1418"/>
        <w:gridCol w:w="1358"/>
      </w:tblGrid>
      <w:tr w:rsidR="00E052FE" w14:paraId="0EAB44F6" w14:textId="77777777">
        <w:trPr>
          <w:jc w:val="center"/>
        </w:trPr>
        <w:tc>
          <w:tcPr>
            <w:tcW w:w="1418" w:type="dxa"/>
            <w:vMerge w:val="restart"/>
            <w:tcBorders>
              <w:top w:val="outset" w:sz="6" w:space="0" w:color="auto"/>
              <w:bottom w:val="outset" w:sz="6" w:space="0" w:color="auto"/>
            </w:tcBorders>
          </w:tcPr>
          <w:p w14:paraId="7A79DBE4" w14:textId="77777777" w:rsidR="00E052FE" w:rsidRDefault="00E052FE">
            <w:pPr>
              <w:spacing w:after="0" w:line="240" w:lineRule="auto"/>
              <w:jc w:val="both"/>
              <w:rPr>
                <w:rFonts w:ascii="Arial" w:eastAsia="Calibri" w:hAnsi="Arial" w:cs="Arial"/>
                <w:b/>
                <w:sz w:val="20"/>
                <w:szCs w:val="20"/>
                <w:lang w:eastAsia="fr-FR"/>
              </w:rPr>
            </w:pPr>
          </w:p>
          <w:p w14:paraId="0AD758B3" w14:textId="77777777" w:rsidR="00E052FE" w:rsidRDefault="00E052FE">
            <w:pPr>
              <w:spacing w:after="0" w:line="240" w:lineRule="auto"/>
              <w:jc w:val="both"/>
              <w:rPr>
                <w:rFonts w:ascii="Arial" w:hAnsi="Arial" w:cs="Arial"/>
                <w:b/>
                <w:sz w:val="20"/>
                <w:szCs w:val="20"/>
                <w:lang w:eastAsia="fr-FR"/>
              </w:rPr>
            </w:pPr>
          </w:p>
          <w:p w14:paraId="7A5F5927" w14:textId="77777777" w:rsidR="00E052FE" w:rsidRDefault="005A1036">
            <w:pPr>
              <w:spacing w:after="0" w:line="240" w:lineRule="auto"/>
              <w:jc w:val="both"/>
              <w:rPr>
                <w:rFonts w:ascii="Arial" w:hAnsi="Arial" w:cs="Arial"/>
                <w:b/>
                <w:sz w:val="20"/>
                <w:szCs w:val="20"/>
                <w:lang w:eastAsia="fr-FR"/>
              </w:rPr>
            </w:pPr>
            <w:r>
              <w:rPr>
                <w:rFonts w:ascii="Arial" w:hAnsi="Arial" w:cs="Arial"/>
                <w:b/>
                <w:sz w:val="20"/>
                <w:szCs w:val="20"/>
                <w:lang w:eastAsia="fr-FR"/>
              </w:rPr>
              <w:t>Température</w:t>
            </w:r>
          </w:p>
          <w:p w14:paraId="0E2AF11E" w14:textId="77777777" w:rsidR="00E052FE" w:rsidRDefault="00E052FE">
            <w:pPr>
              <w:spacing w:after="0" w:line="480" w:lineRule="auto"/>
              <w:jc w:val="both"/>
              <w:rPr>
                <w:rFonts w:ascii="Arial" w:hAnsi="Arial" w:cs="Arial"/>
                <w:sz w:val="20"/>
                <w:szCs w:val="20"/>
                <w:lang w:eastAsia="fr-FR"/>
              </w:rPr>
            </w:pPr>
          </w:p>
        </w:tc>
        <w:tc>
          <w:tcPr>
            <w:tcW w:w="8721" w:type="dxa"/>
            <w:gridSpan w:val="6"/>
            <w:tcBorders>
              <w:top w:val="outset" w:sz="6" w:space="0" w:color="auto"/>
              <w:bottom w:val="outset" w:sz="6" w:space="0" w:color="auto"/>
            </w:tcBorders>
          </w:tcPr>
          <w:p w14:paraId="5BA8CC61" w14:textId="77777777" w:rsidR="00E052FE" w:rsidRDefault="005A1036">
            <w:pPr>
              <w:spacing w:after="0" w:line="240" w:lineRule="auto"/>
              <w:jc w:val="center"/>
              <w:rPr>
                <w:rFonts w:ascii="Arial" w:eastAsia="Calibri" w:hAnsi="Arial" w:cs="Arial"/>
                <w:sz w:val="20"/>
                <w:szCs w:val="20"/>
                <w:lang w:eastAsia="fr-FR"/>
              </w:rPr>
            </w:pPr>
            <w:proofErr w:type="gramStart"/>
            <w:r>
              <w:rPr>
                <w:rFonts w:ascii="Arial" w:eastAsia="Calibri" w:hAnsi="Arial" w:cs="Arial"/>
                <w:b/>
                <w:sz w:val="20"/>
                <w:szCs w:val="20"/>
                <w:lang w:eastAsia="fr-FR"/>
              </w:rPr>
              <w:t>thermodynamic</w:t>
            </w:r>
            <w:proofErr w:type="gramEnd"/>
            <w:r>
              <w:rPr>
                <w:rFonts w:ascii="Arial" w:eastAsia="Calibri" w:hAnsi="Arial" w:cs="Arial"/>
                <w:b/>
                <w:sz w:val="20"/>
                <w:szCs w:val="20"/>
                <w:lang w:eastAsia="fr-FR"/>
              </w:rPr>
              <w:t xml:space="preserve"> Parameters</w:t>
            </w:r>
          </w:p>
        </w:tc>
      </w:tr>
      <w:tr w:rsidR="00E052FE" w14:paraId="42C83525" w14:textId="77777777">
        <w:trPr>
          <w:jc w:val="center"/>
        </w:trPr>
        <w:tc>
          <w:tcPr>
            <w:tcW w:w="1418" w:type="dxa"/>
            <w:vMerge/>
            <w:tcBorders>
              <w:top w:val="outset" w:sz="6" w:space="0" w:color="auto"/>
              <w:bottom w:val="outset" w:sz="6" w:space="0" w:color="auto"/>
            </w:tcBorders>
            <w:vAlign w:val="center"/>
          </w:tcPr>
          <w:p w14:paraId="1AB56D50" w14:textId="77777777" w:rsidR="00E052FE" w:rsidRDefault="00E052FE">
            <w:pPr>
              <w:spacing w:after="0" w:line="480" w:lineRule="auto"/>
              <w:jc w:val="both"/>
              <w:rPr>
                <w:rFonts w:ascii="Arial" w:hAnsi="Arial" w:cs="Arial"/>
                <w:sz w:val="20"/>
                <w:szCs w:val="20"/>
                <w:lang w:eastAsia="fr-FR"/>
              </w:rPr>
            </w:pPr>
          </w:p>
        </w:tc>
        <w:tc>
          <w:tcPr>
            <w:tcW w:w="2969" w:type="dxa"/>
            <w:gridSpan w:val="2"/>
            <w:tcBorders>
              <w:top w:val="nil"/>
              <w:bottom w:val="outset" w:sz="6" w:space="0" w:color="auto"/>
            </w:tcBorders>
          </w:tcPr>
          <w:p w14:paraId="6C307E3C" w14:textId="30D935F7" w:rsidR="00E052FE" w:rsidRDefault="005A1036">
            <w:pPr>
              <w:spacing w:after="0" w:line="240" w:lineRule="auto"/>
              <w:jc w:val="center"/>
              <w:rPr>
                <w:rFonts w:ascii="Arial" w:eastAsia="Calibri" w:hAnsi="Arial" w:cs="Arial"/>
                <w:sz w:val="20"/>
                <w:szCs w:val="20"/>
                <w:lang w:eastAsia="fr-FR"/>
              </w:rPr>
            </w:pPr>
            <w:r>
              <w:rPr>
                <w:rFonts w:ascii="Arial" w:eastAsia="Calibri" w:hAnsi="Arial" w:cs="Arial"/>
                <w:b/>
                <w:sz w:val="20"/>
                <w:szCs w:val="20"/>
                <w:lang w:eastAsia="fr-FR"/>
              </w:rPr>
              <w:t>∆</w:t>
            </w:r>
            <w:r>
              <w:rPr>
                <w:rFonts w:ascii="Arial" w:eastAsia="Calibri" w:hAnsi="Arial" w:cs="Arial"/>
                <w:b/>
                <w:sz w:val="20"/>
                <w:szCs w:val="20"/>
                <w:lang w:eastAsia="fr-FR"/>
              </w:rPr>
              <w:t>H</w:t>
            </w:r>
            <w:r>
              <w:rPr>
                <w:rFonts w:ascii="Arial" w:eastAsia="Calibri" w:hAnsi="Arial" w:cs="Arial"/>
                <w:b/>
                <w:sz w:val="20"/>
                <w:szCs w:val="20"/>
                <w:vertAlign w:val="superscript"/>
                <w:lang w:eastAsia="fr-FR"/>
              </w:rPr>
              <w:t>#</w:t>
            </w:r>
            <w:r>
              <w:rPr>
                <w:rFonts w:ascii="Arial" w:eastAsia="Calibri" w:hAnsi="Arial" w:cs="Arial"/>
                <w:b/>
                <w:sz w:val="20"/>
                <w:szCs w:val="20"/>
                <w:lang w:eastAsia="fr-FR"/>
              </w:rPr>
              <w:t xml:space="preserve"> (kJ/mol)</w:t>
            </w:r>
          </w:p>
        </w:tc>
        <w:tc>
          <w:tcPr>
            <w:tcW w:w="2976" w:type="dxa"/>
            <w:gridSpan w:val="2"/>
            <w:tcBorders>
              <w:top w:val="outset" w:sz="6" w:space="0" w:color="auto"/>
              <w:left w:val="nil"/>
              <w:bottom w:val="outset" w:sz="6" w:space="0" w:color="auto"/>
            </w:tcBorders>
          </w:tcPr>
          <w:p w14:paraId="2C8A9A50" w14:textId="77777777" w:rsidR="00E052FE" w:rsidRDefault="005A1036">
            <w:pPr>
              <w:spacing w:after="0" w:line="240" w:lineRule="auto"/>
              <w:jc w:val="center"/>
              <w:rPr>
                <w:rFonts w:ascii="Arial" w:eastAsia="Calibri" w:hAnsi="Arial" w:cs="Arial"/>
                <w:sz w:val="20"/>
                <w:szCs w:val="20"/>
                <w:lang w:eastAsia="fr-FR"/>
              </w:rPr>
            </w:pPr>
            <w:r>
              <w:rPr>
                <w:rFonts w:ascii="Arial" w:eastAsia="Calibri" w:hAnsi="Arial" w:cs="Arial"/>
                <w:b/>
                <w:sz w:val="20"/>
                <w:szCs w:val="20"/>
                <w:lang w:eastAsia="fr-FR"/>
              </w:rPr>
              <w:t>∆</w:t>
            </w:r>
            <w:r>
              <w:rPr>
                <w:rFonts w:ascii="Arial" w:eastAsia="Calibri" w:hAnsi="Arial" w:cs="Arial"/>
                <w:b/>
                <w:sz w:val="20"/>
                <w:szCs w:val="20"/>
                <w:lang w:eastAsia="fr-FR"/>
              </w:rPr>
              <w:t>S</w:t>
            </w:r>
            <w:r>
              <w:rPr>
                <w:rFonts w:ascii="Arial" w:eastAsia="Calibri" w:hAnsi="Arial" w:cs="Arial"/>
                <w:b/>
                <w:sz w:val="20"/>
                <w:szCs w:val="20"/>
                <w:vertAlign w:val="superscript"/>
                <w:lang w:eastAsia="fr-FR"/>
              </w:rPr>
              <w:t>#</w:t>
            </w:r>
            <w:r>
              <w:rPr>
                <w:rFonts w:ascii="Arial" w:eastAsia="Calibri" w:hAnsi="Arial" w:cs="Arial"/>
                <w:b/>
                <w:sz w:val="20"/>
                <w:szCs w:val="20"/>
                <w:lang w:eastAsia="fr-FR"/>
              </w:rPr>
              <w:t xml:space="preserve"> </w:t>
            </w:r>
            <w:r>
              <w:rPr>
                <w:rFonts w:ascii="Arial" w:eastAsia="Calibri" w:hAnsi="Arial" w:cs="Arial"/>
                <w:b/>
                <w:sz w:val="20"/>
                <w:szCs w:val="20"/>
                <w:vertAlign w:val="superscript"/>
                <w:lang w:eastAsia="fr-FR"/>
              </w:rPr>
              <w:t>(</w:t>
            </w:r>
            <w:r>
              <w:rPr>
                <w:rFonts w:ascii="Arial" w:eastAsia="Calibri" w:hAnsi="Arial" w:cs="Arial"/>
                <w:b/>
                <w:sz w:val="20"/>
                <w:szCs w:val="20"/>
                <w:lang w:eastAsia="fr-FR"/>
              </w:rPr>
              <w:t>(J</w:t>
            </w:r>
            <w:r>
              <w:rPr>
                <w:rFonts w:ascii="Arial" w:eastAsia="Calibri" w:hAnsi="Arial" w:cs="Arial"/>
                <w:b/>
                <w:sz w:val="20"/>
                <w:szCs w:val="20"/>
                <w:lang w:eastAsia="fr-FR"/>
              </w:rPr>
              <w:t xml:space="preserve"> mol</w:t>
            </w:r>
            <w:r>
              <w:rPr>
                <w:rFonts w:ascii="Arial" w:eastAsia="Calibri" w:hAnsi="Arial" w:cs="Arial"/>
                <w:b/>
                <w:sz w:val="20"/>
                <w:szCs w:val="20"/>
                <w:vertAlign w:val="superscript"/>
                <w:lang w:eastAsia="fr-FR"/>
              </w:rPr>
              <w:t>-1</w:t>
            </w:r>
            <w:r>
              <w:rPr>
                <w:rFonts w:ascii="Arial" w:eastAsia="Calibri" w:hAnsi="Arial" w:cs="Arial"/>
                <w:b/>
                <w:sz w:val="20"/>
                <w:szCs w:val="20"/>
                <w:lang w:eastAsia="fr-FR"/>
              </w:rPr>
              <w:t xml:space="preserve"> K</w:t>
            </w:r>
            <w:r>
              <w:rPr>
                <w:rFonts w:ascii="Arial" w:eastAsia="Calibri" w:hAnsi="Arial" w:cs="Arial"/>
                <w:b/>
                <w:sz w:val="20"/>
                <w:szCs w:val="20"/>
                <w:vertAlign w:val="superscript"/>
                <w:lang w:eastAsia="fr-FR"/>
              </w:rPr>
              <w:t>-</w:t>
            </w:r>
            <w:proofErr w:type="gramStart"/>
            <w:r>
              <w:rPr>
                <w:rFonts w:ascii="Arial" w:eastAsia="Calibri" w:hAnsi="Arial" w:cs="Arial"/>
                <w:b/>
                <w:sz w:val="20"/>
                <w:szCs w:val="20"/>
                <w:vertAlign w:val="superscript"/>
                <w:lang w:eastAsia="fr-FR"/>
              </w:rPr>
              <w:t>1</w:t>
            </w:r>
            <w:r>
              <w:rPr>
                <w:rFonts w:ascii="Arial" w:eastAsia="Calibri" w:hAnsi="Arial" w:cs="Arial"/>
                <w:b/>
                <w:sz w:val="20"/>
                <w:szCs w:val="20"/>
                <w:lang w:eastAsia="fr-FR"/>
              </w:rPr>
              <w:t xml:space="preserve"> )</w:t>
            </w:r>
            <w:proofErr w:type="gramEnd"/>
          </w:p>
        </w:tc>
        <w:tc>
          <w:tcPr>
            <w:tcW w:w="2776" w:type="dxa"/>
            <w:gridSpan w:val="2"/>
            <w:tcBorders>
              <w:top w:val="outset" w:sz="6" w:space="0" w:color="auto"/>
              <w:bottom w:val="outset" w:sz="6" w:space="0" w:color="auto"/>
            </w:tcBorders>
          </w:tcPr>
          <w:p w14:paraId="30F30A58" w14:textId="17F801F3" w:rsidR="00E052FE" w:rsidRDefault="005A1036">
            <w:pPr>
              <w:spacing w:after="0" w:line="240" w:lineRule="auto"/>
              <w:jc w:val="center"/>
              <w:rPr>
                <w:rFonts w:ascii="Arial" w:eastAsia="Calibri" w:hAnsi="Arial" w:cs="Arial"/>
                <w:sz w:val="20"/>
                <w:szCs w:val="20"/>
                <w:lang w:eastAsia="fr-FR"/>
              </w:rPr>
            </w:pPr>
            <w:r>
              <w:rPr>
                <w:rFonts w:ascii="Arial" w:eastAsia="Calibri" w:hAnsi="Arial" w:cs="Arial"/>
                <w:b/>
                <w:sz w:val="20"/>
                <w:szCs w:val="20"/>
                <w:lang w:eastAsia="fr-FR"/>
              </w:rPr>
              <w:t>∆</w:t>
            </w:r>
            <w:r>
              <w:rPr>
                <w:rFonts w:ascii="Arial" w:eastAsia="Calibri" w:hAnsi="Arial" w:cs="Arial"/>
                <w:b/>
                <w:sz w:val="20"/>
                <w:szCs w:val="20"/>
                <w:lang w:eastAsia="fr-FR"/>
              </w:rPr>
              <w:t>G</w:t>
            </w:r>
            <w:r>
              <w:rPr>
                <w:rFonts w:ascii="Arial" w:eastAsia="Calibri" w:hAnsi="Arial" w:cs="Arial"/>
                <w:b/>
                <w:sz w:val="20"/>
                <w:szCs w:val="20"/>
                <w:vertAlign w:val="superscript"/>
                <w:lang w:eastAsia="fr-FR"/>
              </w:rPr>
              <w:t>#</w:t>
            </w:r>
            <w:r>
              <w:rPr>
                <w:rFonts w:ascii="Arial" w:eastAsia="Calibri" w:hAnsi="Arial" w:cs="Arial"/>
                <w:b/>
                <w:sz w:val="20"/>
                <w:szCs w:val="20"/>
                <w:lang w:eastAsia="fr-FR"/>
              </w:rPr>
              <w:t xml:space="preserve"> (kJ/mol)</w:t>
            </w:r>
          </w:p>
        </w:tc>
      </w:tr>
      <w:tr w:rsidR="00E052FE" w14:paraId="06E9C390" w14:textId="77777777">
        <w:trPr>
          <w:trHeight w:val="527"/>
          <w:jc w:val="center"/>
        </w:trPr>
        <w:tc>
          <w:tcPr>
            <w:tcW w:w="1418" w:type="dxa"/>
            <w:vMerge/>
            <w:tcBorders>
              <w:top w:val="outset" w:sz="6" w:space="0" w:color="auto"/>
              <w:bottom w:val="outset" w:sz="6" w:space="0" w:color="auto"/>
            </w:tcBorders>
            <w:vAlign w:val="center"/>
          </w:tcPr>
          <w:p w14:paraId="28BC58D4" w14:textId="77777777" w:rsidR="00E052FE" w:rsidRDefault="00E052FE">
            <w:pPr>
              <w:spacing w:after="0" w:line="480" w:lineRule="auto"/>
              <w:jc w:val="both"/>
              <w:rPr>
                <w:rFonts w:ascii="Arial" w:hAnsi="Arial" w:cs="Arial"/>
                <w:sz w:val="20"/>
                <w:szCs w:val="20"/>
                <w:lang w:eastAsia="fr-FR"/>
              </w:rPr>
            </w:pPr>
          </w:p>
        </w:tc>
        <w:tc>
          <w:tcPr>
            <w:tcW w:w="1409" w:type="dxa"/>
            <w:tcBorders>
              <w:top w:val="nil"/>
              <w:bottom w:val="outset" w:sz="6" w:space="0" w:color="auto"/>
              <w:right w:val="nil"/>
            </w:tcBorders>
          </w:tcPr>
          <w:p w14:paraId="70C42A29" w14:textId="77777777" w:rsidR="00E052FE" w:rsidRDefault="005A1036">
            <w:pPr>
              <w:spacing w:after="0" w:line="240" w:lineRule="auto"/>
              <w:jc w:val="center"/>
              <w:rPr>
                <w:rFonts w:ascii="Arial" w:eastAsia="Calibri" w:hAnsi="Arial" w:cs="Arial"/>
                <w:b/>
                <w:bCs/>
                <w:sz w:val="20"/>
                <w:szCs w:val="20"/>
                <w:lang w:eastAsia="fr-FR"/>
              </w:rPr>
            </w:pPr>
            <w:r>
              <w:rPr>
                <w:rFonts w:ascii="Arial" w:eastAsia="Calibri" w:hAnsi="Arial" w:cs="Arial"/>
                <w:b/>
                <w:bCs/>
                <w:sz w:val="20"/>
                <w:szCs w:val="20"/>
                <w:lang w:eastAsia="fr-FR"/>
              </w:rPr>
              <w:t>Latente</w:t>
            </w:r>
          </w:p>
          <w:p w14:paraId="4E7E8DF6" w14:textId="77777777" w:rsidR="00E052FE" w:rsidRDefault="005A1036">
            <w:pPr>
              <w:spacing w:after="0" w:line="240" w:lineRule="auto"/>
              <w:jc w:val="center"/>
              <w:rPr>
                <w:rFonts w:ascii="Arial" w:eastAsia="Calibri" w:hAnsi="Arial" w:cs="Arial"/>
                <w:b/>
                <w:bCs/>
                <w:sz w:val="20"/>
                <w:szCs w:val="20"/>
                <w:lang w:eastAsia="fr-FR"/>
              </w:rPr>
            </w:pPr>
            <w:proofErr w:type="gramStart"/>
            <w:r>
              <w:rPr>
                <w:rFonts w:ascii="Arial" w:eastAsia="Calibri" w:hAnsi="Arial" w:cs="Arial"/>
                <w:b/>
                <w:bCs/>
                <w:sz w:val="20"/>
                <w:szCs w:val="20"/>
                <w:lang w:eastAsia="fr-FR"/>
              </w:rPr>
              <w:t>form</w:t>
            </w:r>
            <w:proofErr w:type="gramEnd"/>
          </w:p>
        </w:tc>
        <w:tc>
          <w:tcPr>
            <w:tcW w:w="1560" w:type="dxa"/>
            <w:tcBorders>
              <w:top w:val="nil"/>
              <w:left w:val="nil"/>
              <w:bottom w:val="outset" w:sz="6" w:space="0" w:color="auto"/>
            </w:tcBorders>
          </w:tcPr>
          <w:p w14:paraId="0EB0AC3D" w14:textId="77777777" w:rsidR="00E052FE" w:rsidRDefault="005A1036">
            <w:pPr>
              <w:spacing w:after="0" w:line="240" w:lineRule="auto"/>
              <w:jc w:val="center"/>
              <w:rPr>
                <w:rFonts w:ascii="Arial" w:eastAsia="Calibri" w:hAnsi="Arial" w:cs="Arial"/>
                <w:b/>
                <w:bCs/>
                <w:sz w:val="20"/>
                <w:szCs w:val="20"/>
                <w:lang w:eastAsia="fr-FR"/>
              </w:rPr>
            </w:pPr>
            <w:r>
              <w:rPr>
                <w:rFonts w:ascii="Arial" w:eastAsia="Calibri" w:hAnsi="Arial" w:cs="Arial"/>
                <w:b/>
                <w:bCs/>
                <w:sz w:val="20"/>
                <w:szCs w:val="20"/>
                <w:lang w:eastAsia="fr-FR"/>
              </w:rPr>
              <w:t>Activated</w:t>
            </w:r>
          </w:p>
          <w:p w14:paraId="3B6E45F1" w14:textId="77777777" w:rsidR="00E052FE" w:rsidRDefault="005A1036">
            <w:pPr>
              <w:spacing w:after="0" w:line="240" w:lineRule="auto"/>
              <w:jc w:val="center"/>
              <w:rPr>
                <w:rFonts w:ascii="Arial" w:eastAsia="Calibri" w:hAnsi="Arial" w:cs="Arial"/>
                <w:b/>
                <w:bCs/>
                <w:sz w:val="20"/>
                <w:szCs w:val="20"/>
                <w:lang w:eastAsia="fr-FR"/>
              </w:rPr>
            </w:pPr>
            <w:r>
              <w:rPr>
                <w:rFonts w:ascii="Arial" w:eastAsia="Calibri" w:hAnsi="Arial" w:cs="Arial"/>
                <w:b/>
                <w:bCs/>
                <w:sz w:val="20"/>
                <w:szCs w:val="20"/>
                <w:lang w:eastAsia="fr-FR"/>
              </w:rPr>
              <w:t xml:space="preserve"> Form</w:t>
            </w:r>
          </w:p>
        </w:tc>
        <w:tc>
          <w:tcPr>
            <w:tcW w:w="1417" w:type="dxa"/>
            <w:tcBorders>
              <w:top w:val="nil"/>
              <w:left w:val="nil"/>
              <w:bottom w:val="outset" w:sz="6" w:space="0" w:color="auto"/>
              <w:right w:val="nil"/>
            </w:tcBorders>
          </w:tcPr>
          <w:p w14:paraId="2A9A36E0" w14:textId="77777777" w:rsidR="00E052FE" w:rsidRDefault="005A1036">
            <w:pPr>
              <w:spacing w:after="0" w:line="240" w:lineRule="auto"/>
              <w:jc w:val="center"/>
              <w:rPr>
                <w:rFonts w:ascii="Arial" w:eastAsia="Calibri" w:hAnsi="Arial" w:cs="Arial"/>
                <w:b/>
                <w:bCs/>
                <w:sz w:val="20"/>
                <w:szCs w:val="20"/>
                <w:lang w:eastAsia="fr-FR"/>
              </w:rPr>
            </w:pPr>
            <w:proofErr w:type="gramStart"/>
            <w:r>
              <w:rPr>
                <w:rFonts w:ascii="Arial" w:eastAsia="Calibri" w:hAnsi="Arial" w:cs="Arial"/>
                <w:b/>
                <w:bCs/>
                <w:sz w:val="20"/>
                <w:szCs w:val="20"/>
                <w:lang w:eastAsia="fr-FR"/>
              </w:rPr>
              <w:t>latente</w:t>
            </w:r>
            <w:proofErr w:type="gramEnd"/>
            <w:r>
              <w:rPr>
                <w:rFonts w:ascii="Arial" w:eastAsia="Calibri" w:hAnsi="Arial" w:cs="Arial"/>
                <w:b/>
                <w:bCs/>
                <w:sz w:val="20"/>
                <w:szCs w:val="20"/>
                <w:lang w:eastAsia="fr-FR"/>
              </w:rPr>
              <w:t xml:space="preserve"> </w:t>
            </w:r>
          </w:p>
          <w:p w14:paraId="29F1E750" w14:textId="77777777" w:rsidR="00E052FE" w:rsidRDefault="005A1036">
            <w:pPr>
              <w:spacing w:after="0" w:line="240" w:lineRule="auto"/>
              <w:jc w:val="center"/>
              <w:rPr>
                <w:rFonts w:ascii="Arial" w:eastAsia="Calibri" w:hAnsi="Arial" w:cs="Arial"/>
                <w:b/>
                <w:bCs/>
                <w:sz w:val="20"/>
                <w:szCs w:val="20"/>
                <w:lang w:eastAsia="fr-FR"/>
              </w:rPr>
            </w:pPr>
            <w:proofErr w:type="gramStart"/>
            <w:r>
              <w:rPr>
                <w:rFonts w:ascii="Arial" w:eastAsia="Calibri" w:hAnsi="Arial" w:cs="Arial"/>
                <w:b/>
                <w:bCs/>
                <w:sz w:val="20"/>
                <w:szCs w:val="20"/>
                <w:lang w:eastAsia="fr-FR"/>
              </w:rPr>
              <w:t>form</w:t>
            </w:r>
            <w:proofErr w:type="gramEnd"/>
          </w:p>
        </w:tc>
        <w:tc>
          <w:tcPr>
            <w:tcW w:w="1559" w:type="dxa"/>
            <w:tcBorders>
              <w:top w:val="outset" w:sz="6" w:space="0" w:color="auto"/>
              <w:left w:val="nil"/>
              <w:bottom w:val="outset" w:sz="6" w:space="0" w:color="auto"/>
            </w:tcBorders>
          </w:tcPr>
          <w:p w14:paraId="34B44B42" w14:textId="77777777" w:rsidR="00E052FE" w:rsidRDefault="005A1036">
            <w:pPr>
              <w:spacing w:after="0" w:line="240" w:lineRule="auto"/>
              <w:jc w:val="center"/>
              <w:rPr>
                <w:rFonts w:ascii="Arial" w:eastAsia="Calibri" w:hAnsi="Arial" w:cs="Arial"/>
                <w:b/>
                <w:bCs/>
                <w:sz w:val="20"/>
                <w:szCs w:val="20"/>
                <w:lang w:eastAsia="fr-FR"/>
              </w:rPr>
            </w:pPr>
            <w:proofErr w:type="gramStart"/>
            <w:r>
              <w:rPr>
                <w:rFonts w:ascii="Arial" w:eastAsia="Calibri" w:hAnsi="Arial" w:cs="Arial"/>
                <w:b/>
                <w:bCs/>
                <w:sz w:val="20"/>
                <w:szCs w:val="20"/>
                <w:lang w:eastAsia="fr-FR"/>
              </w:rPr>
              <w:t>activated</w:t>
            </w:r>
            <w:proofErr w:type="gramEnd"/>
            <w:r>
              <w:rPr>
                <w:rFonts w:ascii="Arial" w:eastAsia="Calibri" w:hAnsi="Arial" w:cs="Arial"/>
                <w:b/>
                <w:bCs/>
                <w:sz w:val="20"/>
                <w:szCs w:val="20"/>
                <w:lang w:eastAsia="fr-FR"/>
              </w:rPr>
              <w:t xml:space="preserve"> </w:t>
            </w:r>
          </w:p>
          <w:p w14:paraId="36B4EF84" w14:textId="77777777" w:rsidR="00E052FE" w:rsidRDefault="005A1036">
            <w:pPr>
              <w:spacing w:after="0" w:line="240" w:lineRule="auto"/>
              <w:jc w:val="center"/>
              <w:rPr>
                <w:rFonts w:ascii="Arial" w:eastAsia="Calibri" w:hAnsi="Arial" w:cs="Arial"/>
                <w:b/>
                <w:bCs/>
                <w:sz w:val="20"/>
                <w:szCs w:val="20"/>
                <w:lang w:eastAsia="fr-FR"/>
              </w:rPr>
            </w:pPr>
            <w:r>
              <w:rPr>
                <w:rFonts w:ascii="Arial" w:eastAsia="Calibri" w:hAnsi="Arial" w:cs="Arial"/>
                <w:b/>
                <w:bCs/>
                <w:sz w:val="20"/>
                <w:szCs w:val="20"/>
                <w:lang w:eastAsia="fr-FR"/>
              </w:rPr>
              <w:t>Form</w:t>
            </w:r>
          </w:p>
        </w:tc>
        <w:tc>
          <w:tcPr>
            <w:tcW w:w="1418" w:type="dxa"/>
            <w:tcBorders>
              <w:top w:val="outset" w:sz="6" w:space="0" w:color="auto"/>
              <w:bottom w:val="outset" w:sz="6" w:space="0" w:color="auto"/>
              <w:right w:val="nil"/>
            </w:tcBorders>
          </w:tcPr>
          <w:p w14:paraId="06DC0D6E" w14:textId="77777777" w:rsidR="00E052FE" w:rsidRDefault="005A1036">
            <w:pPr>
              <w:spacing w:after="0" w:line="240" w:lineRule="auto"/>
              <w:jc w:val="center"/>
              <w:rPr>
                <w:rFonts w:ascii="Arial" w:eastAsia="Calibri" w:hAnsi="Arial" w:cs="Arial"/>
                <w:b/>
                <w:bCs/>
                <w:sz w:val="20"/>
                <w:szCs w:val="20"/>
                <w:lang w:eastAsia="fr-FR"/>
              </w:rPr>
            </w:pPr>
            <w:proofErr w:type="gramStart"/>
            <w:r>
              <w:rPr>
                <w:rFonts w:ascii="Arial" w:eastAsia="Calibri" w:hAnsi="Arial" w:cs="Arial"/>
                <w:b/>
                <w:bCs/>
                <w:sz w:val="20"/>
                <w:szCs w:val="20"/>
                <w:lang w:eastAsia="fr-FR"/>
              </w:rPr>
              <w:t>latente</w:t>
            </w:r>
            <w:proofErr w:type="gramEnd"/>
            <w:r>
              <w:rPr>
                <w:rFonts w:ascii="Arial" w:eastAsia="Calibri" w:hAnsi="Arial" w:cs="Arial"/>
                <w:b/>
                <w:bCs/>
                <w:sz w:val="20"/>
                <w:szCs w:val="20"/>
                <w:lang w:eastAsia="fr-FR"/>
              </w:rPr>
              <w:t xml:space="preserve"> </w:t>
            </w:r>
          </w:p>
          <w:p w14:paraId="1D4DDB2C" w14:textId="77777777" w:rsidR="00E052FE" w:rsidRDefault="005A1036">
            <w:pPr>
              <w:spacing w:after="0" w:line="240" w:lineRule="auto"/>
              <w:jc w:val="center"/>
              <w:rPr>
                <w:rFonts w:ascii="Arial" w:eastAsia="Calibri" w:hAnsi="Arial" w:cs="Arial"/>
                <w:b/>
                <w:bCs/>
                <w:sz w:val="20"/>
                <w:szCs w:val="20"/>
                <w:lang w:eastAsia="fr-FR"/>
              </w:rPr>
            </w:pPr>
            <w:r>
              <w:rPr>
                <w:rFonts w:ascii="Arial" w:eastAsia="Calibri" w:hAnsi="Arial" w:cs="Arial"/>
                <w:b/>
                <w:bCs/>
                <w:sz w:val="20"/>
                <w:szCs w:val="20"/>
                <w:lang w:eastAsia="fr-FR"/>
              </w:rPr>
              <w:t>Form</w:t>
            </w:r>
          </w:p>
        </w:tc>
        <w:tc>
          <w:tcPr>
            <w:tcW w:w="1358" w:type="dxa"/>
            <w:tcBorders>
              <w:top w:val="outset" w:sz="6" w:space="0" w:color="auto"/>
              <w:left w:val="nil"/>
              <w:bottom w:val="outset" w:sz="6" w:space="0" w:color="auto"/>
            </w:tcBorders>
          </w:tcPr>
          <w:p w14:paraId="4A5C6861" w14:textId="77777777" w:rsidR="00E052FE" w:rsidRDefault="005A1036">
            <w:pPr>
              <w:spacing w:after="0" w:line="240" w:lineRule="auto"/>
              <w:jc w:val="center"/>
              <w:rPr>
                <w:rFonts w:ascii="Arial" w:eastAsia="Calibri" w:hAnsi="Arial" w:cs="Arial"/>
                <w:b/>
                <w:bCs/>
                <w:sz w:val="20"/>
                <w:szCs w:val="20"/>
                <w:lang w:eastAsia="fr-FR"/>
              </w:rPr>
            </w:pPr>
            <w:proofErr w:type="gramStart"/>
            <w:r>
              <w:rPr>
                <w:rFonts w:ascii="Arial" w:eastAsia="Calibri" w:hAnsi="Arial" w:cs="Arial"/>
                <w:b/>
                <w:bCs/>
                <w:sz w:val="20"/>
                <w:szCs w:val="20"/>
                <w:lang w:eastAsia="fr-FR"/>
              </w:rPr>
              <w:t>activated</w:t>
            </w:r>
            <w:proofErr w:type="gramEnd"/>
            <w:r>
              <w:rPr>
                <w:rFonts w:ascii="Arial" w:eastAsia="Calibri" w:hAnsi="Arial" w:cs="Arial"/>
                <w:b/>
                <w:bCs/>
                <w:sz w:val="20"/>
                <w:szCs w:val="20"/>
                <w:lang w:eastAsia="fr-FR"/>
              </w:rPr>
              <w:t xml:space="preserve"> </w:t>
            </w:r>
          </w:p>
          <w:p w14:paraId="49E9C797" w14:textId="77777777" w:rsidR="00E052FE" w:rsidRDefault="005A1036">
            <w:pPr>
              <w:spacing w:after="0" w:line="240" w:lineRule="auto"/>
              <w:jc w:val="center"/>
              <w:rPr>
                <w:rFonts w:ascii="Arial" w:eastAsia="Calibri" w:hAnsi="Arial" w:cs="Arial"/>
                <w:b/>
                <w:bCs/>
                <w:sz w:val="20"/>
                <w:szCs w:val="20"/>
                <w:lang w:eastAsia="fr-FR"/>
              </w:rPr>
            </w:pPr>
            <w:r>
              <w:rPr>
                <w:rFonts w:ascii="Arial" w:eastAsia="Calibri" w:hAnsi="Arial" w:cs="Arial"/>
                <w:b/>
                <w:bCs/>
                <w:sz w:val="20"/>
                <w:szCs w:val="20"/>
                <w:lang w:eastAsia="fr-FR"/>
              </w:rPr>
              <w:t>Form</w:t>
            </w:r>
          </w:p>
        </w:tc>
      </w:tr>
      <w:tr w:rsidR="00E052FE" w14:paraId="722B7851" w14:textId="77777777">
        <w:trPr>
          <w:trHeight w:val="320"/>
          <w:jc w:val="center"/>
        </w:trPr>
        <w:tc>
          <w:tcPr>
            <w:tcW w:w="1418" w:type="dxa"/>
            <w:tcBorders>
              <w:top w:val="nil"/>
              <w:bottom w:val="nil"/>
            </w:tcBorders>
          </w:tcPr>
          <w:p w14:paraId="47457BDD" w14:textId="77777777" w:rsidR="00E052FE" w:rsidRDefault="005A1036">
            <w:pPr>
              <w:spacing w:after="0" w:line="480" w:lineRule="auto"/>
              <w:jc w:val="center"/>
              <w:rPr>
                <w:rFonts w:ascii="Arial" w:eastAsia="Calibri" w:hAnsi="Arial" w:cs="Arial"/>
                <w:sz w:val="20"/>
                <w:szCs w:val="20"/>
                <w:lang w:eastAsia="fr-FR"/>
              </w:rPr>
            </w:pPr>
            <w:r>
              <w:rPr>
                <w:rFonts w:ascii="Arial" w:eastAsia="Calibri" w:hAnsi="Arial" w:cs="Arial"/>
                <w:b/>
                <w:sz w:val="20"/>
                <w:szCs w:val="20"/>
                <w:lang w:eastAsia="fr-FR"/>
              </w:rPr>
              <w:t>35</w:t>
            </w:r>
          </w:p>
        </w:tc>
        <w:tc>
          <w:tcPr>
            <w:tcW w:w="1409" w:type="dxa"/>
            <w:tcBorders>
              <w:top w:val="nil"/>
              <w:bottom w:val="nil"/>
              <w:right w:val="nil"/>
            </w:tcBorders>
            <w:vAlign w:val="center"/>
          </w:tcPr>
          <w:p w14:paraId="2B228888"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74.68 ± 0.94</w:t>
            </w:r>
          </w:p>
        </w:tc>
        <w:tc>
          <w:tcPr>
            <w:tcW w:w="1560" w:type="dxa"/>
            <w:tcBorders>
              <w:top w:val="nil"/>
              <w:left w:val="nil"/>
              <w:bottom w:val="nil"/>
            </w:tcBorders>
            <w:vAlign w:val="center"/>
          </w:tcPr>
          <w:p w14:paraId="07E01B05"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127,36 ± 0.30</w:t>
            </w:r>
          </w:p>
        </w:tc>
        <w:tc>
          <w:tcPr>
            <w:tcW w:w="1417" w:type="dxa"/>
            <w:tcBorders>
              <w:top w:val="nil"/>
              <w:left w:val="nil"/>
              <w:bottom w:val="nil"/>
              <w:right w:val="nil"/>
            </w:tcBorders>
          </w:tcPr>
          <w:p w14:paraId="1E0F795F"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-41,68 </w:t>
            </w:r>
            <w:r>
              <w:rPr>
                <w:rFonts w:ascii="Arial" w:eastAsia="Calibri" w:hAnsi="Arial" w:cs="Arial"/>
                <w:color w:val="000000"/>
                <w:sz w:val="20"/>
                <w:szCs w:val="20"/>
                <w:lang w:eastAsia="fr-FR"/>
              </w:rPr>
              <w:t>± 0.57</w:t>
            </w:r>
          </w:p>
        </w:tc>
        <w:tc>
          <w:tcPr>
            <w:tcW w:w="1559" w:type="dxa"/>
            <w:tcBorders>
              <w:top w:val="nil"/>
              <w:left w:val="nil"/>
              <w:bottom w:val="nil"/>
            </w:tcBorders>
          </w:tcPr>
          <w:p w14:paraId="1E392B36"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130,22 </w:t>
            </w:r>
            <w:r>
              <w:rPr>
                <w:rFonts w:ascii="Arial" w:eastAsia="Calibri" w:hAnsi="Arial" w:cs="Arial"/>
                <w:color w:val="000000"/>
                <w:sz w:val="20"/>
                <w:szCs w:val="20"/>
                <w:lang w:eastAsia="fr-FR"/>
              </w:rPr>
              <w:t>± 0.31</w:t>
            </w:r>
          </w:p>
        </w:tc>
        <w:tc>
          <w:tcPr>
            <w:tcW w:w="1418" w:type="dxa"/>
            <w:tcBorders>
              <w:top w:val="nil"/>
              <w:right w:val="nil"/>
            </w:tcBorders>
            <w:vAlign w:val="center"/>
          </w:tcPr>
          <w:p w14:paraId="11A7AC49"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87,51 ± 0.32</w:t>
            </w:r>
          </w:p>
        </w:tc>
        <w:tc>
          <w:tcPr>
            <w:tcW w:w="1358" w:type="dxa"/>
            <w:tcBorders>
              <w:top w:val="nil"/>
              <w:left w:val="nil"/>
            </w:tcBorders>
          </w:tcPr>
          <w:p w14:paraId="291B90F9"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87,25 </w:t>
            </w:r>
            <w:r>
              <w:rPr>
                <w:rFonts w:ascii="Arial" w:eastAsia="Calibri" w:hAnsi="Arial" w:cs="Arial"/>
                <w:color w:val="000000"/>
                <w:sz w:val="20"/>
                <w:szCs w:val="20"/>
                <w:lang w:eastAsia="fr-FR"/>
              </w:rPr>
              <w:t>± 1.01</w:t>
            </w:r>
          </w:p>
        </w:tc>
      </w:tr>
      <w:tr w:rsidR="00E052FE" w14:paraId="6F7941EE" w14:textId="77777777">
        <w:trPr>
          <w:jc w:val="center"/>
        </w:trPr>
        <w:tc>
          <w:tcPr>
            <w:tcW w:w="1418" w:type="dxa"/>
            <w:tcBorders>
              <w:top w:val="nil"/>
              <w:bottom w:val="nil"/>
            </w:tcBorders>
          </w:tcPr>
          <w:p w14:paraId="21A1CA73" w14:textId="77777777" w:rsidR="00E052FE" w:rsidRDefault="005A1036">
            <w:pPr>
              <w:spacing w:after="0" w:line="480" w:lineRule="auto"/>
              <w:jc w:val="center"/>
              <w:rPr>
                <w:rFonts w:ascii="Arial" w:eastAsia="Calibri" w:hAnsi="Arial" w:cs="Arial"/>
                <w:sz w:val="20"/>
                <w:szCs w:val="20"/>
                <w:lang w:eastAsia="fr-FR"/>
              </w:rPr>
            </w:pPr>
            <w:r>
              <w:rPr>
                <w:rFonts w:ascii="Arial" w:eastAsia="Calibri" w:hAnsi="Arial" w:cs="Arial"/>
                <w:b/>
                <w:sz w:val="20"/>
                <w:szCs w:val="20"/>
                <w:lang w:eastAsia="fr-FR"/>
              </w:rPr>
              <w:t>40</w:t>
            </w:r>
          </w:p>
        </w:tc>
        <w:tc>
          <w:tcPr>
            <w:tcW w:w="1409" w:type="dxa"/>
            <w:tcBorders>
              <w:top w:val="nil"/>
              <w:bottom w:val="nil"/>
              <w:right w:val="nil"/>
            </w:tcBorders>
            <w:vAlign w:val="center"/>
          </w:tcPr>
          <w:p w14:paraId="553E1F24"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74.63 ± 0.75</w:t>
            </w:r>
          </w:p>
        </w:tc>
        <w:tc>
          <w:tcPr>
            <w:tcW w:w="1560" w:type="dxa"/>
            <w:tcBorders>
              <w:top w:val="nil"/>
              <w:left w:val="nil"/>
              <w:bottom w:val="nil"/>
            </w:tcBorders>
            <w:vAlign w:val="center"/>
          </w:tcPr>
          <w:p w14:paraId="42A2C493"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127,32 ± 0.40</w:t>
            </w:r>
          </w:p>
        </w:tc>
        <w:tc>
          <w:tcPr>
            <w:tcW w:w="1417" w:type="dxa"/>
            <w:tcBorders>
              <w:top w:val="nil"/>
              <w:left w:val="nil"/>
              <w:bottom w:val="nil"/>
              <w:right w:val="nil"/>
            </w:tcBorders>
          </w:tcPr>
          <w:p w14:paraId="72E9367F"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-41,81 </w:t>
            </w:r>
            <w:r>
              <w:rPr>
                <w:rFonts w:ascii="Arial" w:eastAsia="Calibri" w:hAnsi="Arial" w:cs="Arial"/>
                <w:color w:val="000000"/>
                <w:sz w:val="20"/>
                <w:szCs w:val="20"/>
                <w:lang w:eastAsia="fr-FR"/>
              </w:rPr>
              <w:t>± 0.46</w:t>
            </w:r>
          </w:p>
        </w:tc>
        <w:tc>
          <w:tcPr>
            <w:tcW w:w="1559" w:type="dxa"/>
            <w:tcBorders>
              <w:top w:val="nil"/>
              <w:left w:val="nil"/>
              <w:bottom w:val="nil"/>
            </w:tcBorders>
          </w:tcPr>
          <w:p w14:paraId="3F4208C6"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130,09 </w:t>
            </w:r>
            <w:r>
              <w:rPr>
                <w:rFonts w:ascii="Arial" w:eastAsia="Calibri" w:hAnsi="Arial" w:cs="Arial"/>
                <w:color w:val="000000"/>
                <w:sz w:val="20"/>
                <w:szCs w:val="20"/>
                <w:lang w:eastAsia="fr-FR"/>
              </w:rPr>
              <w:t xml:space="preserve">± </w:t>
            </w:r>
            <w:r>
              <w:rPr>
                <w:rFonts w:ascii="Arial" w:eastAsia="Calibri" w:hAnsi="Arial" w:cs="Arial"/>
                <w:color w:val="000000"/>
                <w:sz w:val="20"/>
                <w:szCs w:val="20"/>
                <w:lang w:eastAsia="fr-FR"/>
              </w:rPr>
              <w:t>0.62</w:t>
            </w:r>
          </w:p>
        </w:tc>
        <w:tc>
          <w:tcPr>
            <w:tcW w:w="1418" w:type="dxa"/>
            <w:tcBorders>
              <w:top w:val="nil"/>
              <w:bottom w:val="nil"/>
              <w:right w:val="nil"/>
            </w:tcBorders>
            <w:vAlign w:val="center"/>
          </w:tcPr>
          <w:p w14:paraId="6C9EB8FD"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87,73 ± 0.35</w:t>
            </w:r>
          </w:p>
        </w:tc>
        <w:tc>
          <w:tcPr>
            <w:tcW w:w="1358" w:type="dxa"/>
            <w:tcBorders>
              <w:top w:val="nil"/>
              <w:left w:val="nil"/>
              <w:bottom w:val="nil"/>
            </w:tcBorders>
          </w:tcPr>
          <w:p w14:paraId="127377FD"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86,60 </w:t>
            </w:r>
            <w:r>
              <w:rPr>
                <w:rFonts w:ascii="Arial" w:eastAsia="Calibri" w:hAnsi="Arial" w:cs="Arial"/>
                <w:color w:val="000000"/>
                <w:sz w:val="20"/>
                <w:szCs w:val="20"/>
                <w:lang w:eastAsia="fr-FR"/>
              </w:rPr>
              <w:t>± 0.52</w:t>
            </w:r>
          </w:p>
        </w:tc>
      </w:tr>
      <w:tr w:rsidR="00E052FE" w14:paraId="2564A64B" w14:textId="77777777">
        <w:trPr>
          <w:jc w:val="center"/>
        </w:trPr>
        <w:tc>
          <w:tcPr>
            <w:tcW w:w="1418" w:type="dxa"/>
            <w:tcBorders>
              <w:top w:val="nil"/>
              <w:bottom w:val="nil"/>
            </w:tcBorders>
          </w:tcPr>
          <w:p w14:paraId="2ADF71AD" w14:textId="77777777" w:rsidR="00E052FE" w:rsidRDefault="005A1036">
            <w:pPr>
              <w:spacing w:after="0" w:line="480" w:lineRule="auto"/>
              <w:jc w:val="center"/>
              <w:rPr>
                <w:rFonts w:ascii="Arial" w:eastAsia="Calibri" w:hAnsi="Arial" w:cs="Arial"/>
                <w:sz w:val="20"/>
                <w:szCs w:val="20"/>
                <w:lang w:eastAsia="fr-FR"/>
              </w:rPr>
            </w:pPr>
            <w:r>
              <w:rPr>
                <w:rFonts w:ascii="Arial" w:eastAsia="Calibri" w:hAnsi="Arial" w:cs="Arial"/>
                <w:b/>
                <w:sz w:val="20"/>
                <w:szCs w:val="20"/>
                <w:lang w:eastAsia="fr-FR"/>
              </w:rPr>
              <w:t>45</w:t>
            </w:r>
          </w:p>
        </w:tc>
        <w:tc>
          <w:tcPr>
            <w:tcW w:w="1409" w:type="dxa"/>
            <w:tcBorders>
              <w:top w:val="nil"/>
              <w:bottom w:val="nil"/>
              <w:right w:val="nil"/>
            </w:tcBorders>
            <w:vAlign w:val="center"/>
          </w:tcPr>
          <w:p w14:paraId="35ABE1D3"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74.60 ± 0.27</w:t>
            </w:r>
          </w:p>
        </w:tc>
        <w:tc>
          <w:tcPr>
            <w:tcW w:w="1560" w:type="dxa"/>
            <w:tcBorders>
              <w:top w:val="nil"/>
              <w:left w:val="nil"/>
              <w:bottom w:val="nil"/>
            </w:tcBorders>
            <w:vAlign w:val="center"/>
          </w:tcPr>
          <w:p w14:paraId="6F1F2BAE"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127,28 ± 0.53</w:t>
            </w:r>
          </w:p>
        </w:tc>
        <w:tc>
          <w:tcPr>
            <w:tcW w:w="1417" w:type="dxa"/>
            <w:tcBorders>
              <w:top w:val="nil"/>
              <w:left w:val="nil"/>
              <w:bottom w:val="nil"/>
              <w:right w:val="nil"/>
            </w:tcBorders>
          </w:tcPr>
          <w:p w14:paraId="08ADB92B"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-41,94 </w:t>
            </w:r>
            <w:r>
              <w:rPr>
                <w:rFonts w:ascii="Arial" w:eastAsia="Calibri" w:hAnsi="Arial" w:cs="Arial"/>
                <w:color w:val="000000"/>
                <w:sz w:val="20"/>
                <w:szCs w:val="20"/>
                <w:lang w:eastAsia="fr-FR"/>
              </w:rPr>
              <w:t>± 0.45</w:t>
            </w:r>
          </w:p>
        </w:tc>
        <w:tc>
          <w:tcPr>
            <w:tcW w:w="1559" w:type="dxa"/>
            <w:tcBorders>
              <w:top w:val="nil"/>
              <w:left w:val="nil"/>
              <w:bottom w:val="nil"/>
            </w:tcBorders>
          </w:tcPr>
          <w:p w14:paraId="141B3F3D"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129,96 </w:t>
            </w:r>
            <w:r>
              <w:rPr>
                <w:rFonts w:ascii="Arial" w:eastAsia="Calibri" w:hAnsi="Arial" w:cs="Arial"/>
                <w:color w:val="000000"/>
                <w:sz w:val="20"/>
                <w:szCs w:val="20"/>
                <w:lang w:eastAsia="fr-FR"/>
              </w:rPr>
              <w:t>± 0.38</w:t>
            </w:r>
          </w:p>
        </w:tc>
        <w:tc>
          <w:tcPr>
            <w:tcW w:w="1418" w:type="dxa"/>
            <w:tcBorders>
              <w:top w:val="nil"/>
              <w:bottom w:val="nil"/>
              <w:right w:val="nil"/>
            </w:tcBorders>
            <w:vAlign w:val="center"/>
          </w:tcPr>
          <w:p w14:paraId="502203A7"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87,94 ± 0.30</w:t>
            </w:r>
          </w:p>
        </w:tc>
        <w:tc>
          <w:tcPr>
            <w:tcW w:w="1358" w:type="dxa"/>
            <w:tcBorders>
              <w:top w:val="nil"/>
              <w:left w:val="nil"/>
              <w:bottom w:val="nil"/>
            </w:tcBorders>
          </w:tcPr>
          <w:p w14:paraId="76D40DD1"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85,95 </w:t>
            </w:r>
            <w:r>
              <w:rPr>
                <w:rFonts w:ascii="Arial" w:eastAsia="Calibri" w:hAnsi="Arial" w:cs="Arial"/>
                <w:color w:val="000000"/>
                <w:sz w:val="20"/>
                <w:szCs w:val="20"/>
                <w:lang w:eastAsia="fr-FR"/>
              </w:rPr>
              <w:t>± 0.41</w:t>
            </w:r>
          </w:p>
        </w:tc>
      </w:tr>
      <w:tr w:rsidR="00E052FE" w14:paraId="691A230C" w14:textId="77777777">
        <w:trPr>
          <w:jc w:val="center"/>
        </w:trPr>
        <w:tc>
          <w:tcPr>
            <w:tcW w:w="1418" w:type="dxa"/>
            <w:tcBorders>
              <w:top w:val="nil"/>
            </w:tcBorders>
          </w:tcPr>
          <w:p w14:paraId="5A2E6FC5" w14:textId="77777777" w:rsidR="00E052FE" w:rsidRDefault="005A1036">
            <w:pPr>
              <w:spacing w:after="0" w:line="480" w:lineRule="auto"/>
              <w:jc w:val="center"/>
              <w:rPr>
                <w:rFonts w:ascii="Arial" w:eastAsia="Calibri" w:hAnsi="Arial" w:cs="Arial"/>
                <w:sz w:val="20"/>
                <w:szCs w:val="20"/>
                <w:lang w:eastAsia="fr-FR"/>
              </w:rPr>
            </w:pPr>
            <w:r>
              <w:rPr>
                <w:rFonts w:ascii="Arial" w:eastAsia="Calibri" w:hAnsi="Arial" w:cs="Arial"/>
                <w:b/>
                <w:sz w:val="20"/>
                <w:szCs w:val="20"/>
                <w:lang w:eastAsia="fr-FR"/>
              </w:rPr>
              <w:t>50</w:t>
            </w:r>
          </w:p>
        </w:tc>
        <w:tc>
          <w:tcPr>
            <w:tcW w:w="1409" w:type="dxa"/>
            <w:tcBorders>
              <w:top w:val="nil"/>
              <w:right w:val="nil"/>
            </w:tcBorders>
            <w:vAlign w:val="center"/>
          </w:tcPr>
          <w:p w14:paraId="00895CC7"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74.56 ± 0.90</w:t>
            </w:r>
          </w:p>
        </w:tc>
        <w:tc>
          <w:tcPr>
            <w:tcW w:w="1560" w:type="dxa"/>
            <w:tcBorders>
              <w:top w:val="nil"/>
              <w:left w:val="nil"/>
            </w:tcBorders>
            <w:vAlign w:val="center"/>
          </w:tcPr>
          <w:p w14:paraId="533D37DC"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127,23 ± 0.15</w:t>
            </w:r>
          </w:p>
        </w:tc>
        <w:tc>
          <w:tcPr>
            <w:tcW w:w="1417" w:type="dxa"/>
            <w:tcBorders>
              <w:top w:val="nil"/>
              <w:left w:val="nil"/>
              <w:right w:val="nil"/>
            </w:tcBorders>
          </w:tcPr>
          <w:p w14:paraId="6D4421C8"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-42,07 </w:t>
            </w:r>
            <w:r>
              <w:rPr>
                <w:rFonts w:ascii="Arial" w:eastAsia="Calibri" w:hAnsi="Arial" w:cs="Arial"/>
                <w:color w:val="000000"/>
                <w:sz w:val="20"/>
                <w:szCs w:val="20"/>
                <w:lang w:eastAsia="fr-FR"/>
              </w:rPr>
              <w:t>± 0.59</w:t>
            </w:r>
          </w:p>
        </w:tc>
        <w:tc>
          <w:tcPr>
            <w:tcW w:w="1559" w:type="dxa"/>
            <w:tcBorders>
              <w:top w:val="nil"/>
              <w:left w:val="nil"/>
            </w:tcBorders>
          </w:tcPr>
          <w:p w14:paraId="13399BE1"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129,83 </w:t>
            </w:r>
            <w:r>
              <w:rPr>
                <w:rFonts w:ascii="Arial" w:eastAsia="Calibri" w:hAnsi="Arial" w:cs="Arial"/>
                <w:color w:val="000000"/>
                <w:sz w:val="20"/>
                <w:szCs w:val="20"/>
                <w:lang w:eastAsia="fr-FR"/>
              </w:rPr>
              <w:t>± 0.41</w:t>
            </w:r>
          </w:p>
        </w:tc>
        <w:tc>
          <w:tcPr>
            <w:tcW w:w="1418" w:type="dxa"/>
            <w:tcBorders>
              <w:top w:val="nil"/>
              <w:right w:val="nil"/>
            </w:tcBorders>
            <w:vAlign w:val="center"/>
          </w:tcPr>
          <w:p w14:paraId="570C4EA7"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88,15 ± 0.40</w:t>
            </w:r>
          </w:p>
        </w:tc>
        <w:tc>
          <w:tcPr>
            <w:tcW w:w="1358" w:type="dxa"/>
            <w:tcBorders>
              <w:top w:val="nil"/>
              <w:left w:val="nil"/>
              <w:bottom w:val="nil"/>
            </w:tcBorders>
          </w:tcPr>
          <w:p w14:paraId="7EEB0AB1"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85,30 </w:t>
            </w:r>
            <w:r>
              <w:rPr>
                <w:rFonts w:ascii="Arial" w:eastAsia="Calibri" w:hAnsi="Arial" w:cs="Arial"/>
                <w:color w:val="000000"/>
                <w:sz w:val="20"/>
                <w:szCs w:val="20"/>
                <w:lang w:eastAsia="fr-FR"/>
              </w:rPr>
              <w:t>± 0.38</w:t>
            </w:r>
          </w:p>
        </w:tc>
      </w:tr>
      <w:tr w:rsidR="00E052FE" w14:paraId="00E3569F" w14:textId="77777777">
        <w:trPr>
          <w:jc w:val="center"/>
        </w:trPr>
        <w:tc>
          <w:tcPr>
            <w:tcW w:w="1418" w:type="dxa"/>
            <w:tcBorders>
              <w:top w:val="nil"/>
              <w:bottom w:val="nil"/>
            </w:tcBorders>
          </w:tcPr>
          <w:p w14:paraId="74FF90C6" w14:textId="77777777" w:rsidR="00E052FE" w:rsidRDefault="005A1036">
            <w:pPr>
              <w:spacing w:after="0" w:line="480" w:lineRule="auto"/>
              <w:jc w:val="center"/>
              <w:rPr>
                <w:rFonts w:ascii="Arial" w:eastAsia="Calibri" w:hAnsi="Arial" w:cs="Arial"/>
                <w:sz w:val="20"/>
                <w:szCs w:val="20"/>
                <w:lang w:eastAsia="fr-FR"/>
              </w:rPr>
            </w:pPr>
            <w:r>
              <w:rPr>
                <w:rFonts w:ascii="Arial" w:eastAsia="Calibri" w:hAnsi="Arial" w:cs="Arial"/>
                <w:b/>
                <w:sz w:val="20"/>
                <w:szCs w:val="20"/>
                <w:lang w:eastAsia="fr-FR"/>
              </w:rPr>
              <w:t>55</w:t>
            </w:r>
          </w:p>
        </w:tc>
        <w:tc>
          <w:tcPr>
            <w:tcW w:w="1409" w:type="dxa"/>
            <w:tcBorders>
              <w:top w:val="nil"/>
              <w:bottom w:val="nil"/>
              <w:right w:val="nil"/>
            </w:tcBorders>
            <w:vAlign w:val="center"/>
          </w:tcPr>
          <w:p w14:paraId="6C0DB1F2"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74.52 ± 1.06</w:t>
            </w:r>
          </w:p>
        </w:tc>
        <w:tc>
          <w:tcPr>
            <w:tcW w:w="1560" w:type="dxa"/>
            <w:tcBorders>
              <w:top w:val="nil"/>
              <w:left w:val="nil"/>
              <w:bottom w:val="nil"/>
            </w:tcBorders>
            <w:vAlign w:val="center"/>
          </w:tcPr>
          <w:p w14:paraId="486CB56B"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127,19 ± 0.46</w:t>
            </w:r>
          </w:p>
        </w:tc>
        <w:tc>
          <w:tcPr>
            <w:tcW w:w="1417" w:type="dxa"/>
            <w:tcBorders>
              <w:top w:val="nil"/>
              <w:left w:val="nil"/>
              <w:bottom w:val="nil"/>
              <w:right w:val="nil"/>
            </w:tcBorders>
          </w:tcPr>
          <w:p w14:paraId="461D6DC3"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-42,20 </w:t>
            </w:r>
            <w:r>
              <w:rPr>
                <w:rFonts w:ascii="Arial" w:eastAsia="Calibri" w:hAnsi="Arial" w:cs="Arial"/>
                <w:color w:val="000000"/>
                <w:sz w:val="20"/>
                <w:szCs w:val="20"/>
                <w:lang w:eastAsia="fr-FR"/>
              </w:rPr>
              <w:t>± 0.66</w:t>
            </w:r>
          </w:p>
        </w:tc>
        <w:tc>
          <w:tcPr>
            <w:tcW w:w="1559" w:type="dxa"/>
            <w:tcBorders>
              <w:top w:val="nil"/>
              <w:left w:val="nil"/>
              <w:bottom w:val="nil"/>
            </w:tcBorders>
          </w:tcPr>
          <w:p w14:paraId="27BC35A7"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129,70 </w:t>
            </w:r>
            <w:r>
              <w:rPr>
                <w:rFonts w:ascii="Arial" w:eastAsia="Calibri" w:hAnsi="Arial" w:cs="Arial"/>
                <w:color w:val="000000"/>
                <w:sz w:val="20"/>
                <w:szCs w:val="20"/>
                <w:lang w:eastAsia="fr-FR"/>
              </w:rPr>
              <w:t xml:space="preserve">± </w:t>
            </w:r>
            <w:r>
              <w:rPr>
                <w:rFonts w:ascii="Arial" w:eastAsia="Calibri" w:hAnsi="Arial" w:cs="Arial"/>
                <w:color w:val="000000"/>
                <w:sz w:val="20"/>
                <w:szCs w:val="20"/>
                <w:lang w:eastAsia="fr-FR"/>
              </w:rPr>
              <w:t>0.55</w:t>
            </w:r>
          </w:p>
        </w:tc>
        <w:tc>
          <w:tcPr>
            <w:tcW w:w="1418" w:type="dxa"/>
            <w:tcBorders>
              <w:top w:val="nil"/>
              <w:bottom w:val="nil"/>
              <w:right w:val="nil"/>
            </w:tcBorders>
            <w:vAlign w:val="center"/>
          </w:tcPr>
          <w:p w14:paraId="30B88C61"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88,36 ± 0.12</w:t>
            </w:r>
          </w:p>
        </w:tc>
        <w:tc>
          <w:tcPr>
            <w:tcW w:w="1358" w:type="dxa"/>
            <w:tcBorders>
              <w:top w:val="nil"/>
              <w:left w:val="nil"/>
              <w:bottom w:val="nil"/>
            </w:tcBorders>
          </w:tcPr>
          <w:p w14:paraId="02A7FF24"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84,65 </w:t>
            </w:r>
            <w:r>
              <w:rPr>
                <w:rFonts w:ascii="Arial" w:eastAsia="Calibri" w:hAnsi="Arial" w:cs="Arial"/>
                <w:color w:val="000000"/>
                <w:sz w:val="20"/>
                <w:szCs w:val="20"/>
                <w:lang w:eastAsia="fr-FR"/>
              </w:rPr>
              <w:t>± 0.71</w:t>
            </w:r>
          </w:p>
        </w:tc>
      </w:tr>
      <w:tr w:rsidR="00E052FE" w14:paraId="455587B7" w14:textId="77777777">
        <w:trPr>
          <w:jc w:val="center"/>
        </w:trPr>
        <w:tc>
          <w:tcPr>
            <w:tcW w:w="1418" w:type="dxa"/>
            <w:tcBorders>
              <w:top w:val="nil"/>
              <w:bottom w:val="nil"/>
            </w:tcBorders>
          </w:tcPr>
          <w:p w14:paraId="01A90132" w14:textId="77777777" w:rsidR="00E052FE" w:rsidRDefault="005A1036">
            <w:pPr>
              <w:spacing w:after="0" w:line="480" w:lineRule="auto"/>
              <w:jc w:val="center"/>
              <w:rPr>
                <w:rFonts w:ascii="Arial" w:eastAsia="Calibri" w:hAnsi="Arial" w:cs="Arial"/>
                <w:sz w:val="20"/>
                <w:szCs w:val="20"/>
                <w:lang w:eastAsia="fr-FR"/>
              </w:rPr>
            </w:pPr>
            <w:r>
              <w:rPr>
                <w:rFonts w:ascii="Arial" w:eastAsia="Calibri" w:hAnsi="Arial" w:cs="Arial"/>
                <w:b/>
                <w:sz w:val="20"/>
                <w:szCs w:val="20"/>
                <w:lang w:eastAsia="fr-FR"/>
              </w:rPr>
              <w:t>60</w:t>
            </w:r>
          </w:p>
        </w:tc>
        <w:tc>
          <w:tcPr>
            <w:tcW w:w="1409" w:type="dxa"/>
            <w:tcBorders>
              <w:top w:val="nil"/>
              <w:bottom w:val="nil"/>
              <w:right w:val="nil"/>
            </w:tcBorders>
            <w:vAlign w:val="center"/>
          </w:tcPr>
          <w:p w14:paraId="76A981D3"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74.47 ± 0.36</w:t>
            </w:r>
          </w:p>
        </w:tc>
        <w:tc>
          <w:tcPr>
            <w:tcW w:w="1560" w:type="dxa"/>
            <w:vMerge w:val="restart"/>
            <w:tcBorders>
              <w:top w:val="nil"/>
              <w:left w:val="nil"/>
              <w:bottom w:val="nil"/>
            </w:tcBorders>
          </w:tcPr>
          <w:p w14:paraId="4C0EF8D1" w14:textId="77777777" w:rsidR="00E052FE" w:rsidRDefault="00E052FE">
            <w:pPr>
              <w:spacing w:after="0" w:line="480" w:lineRule="auto"/>
              <w:rPr>
                <w:rFonts w:ascii="Arial" w:eastAsia="Calibri" w:hAnsi="Arial" w:cs="Arial"/>
                <w:sz w:val="20"/>
                <w:szCs w:val="20"/>
                <w:lang w:eastAsia="fr-FR"/>
              </w:rPr>
            </w:pPr>
          </w:p>
        </w:tc>
        <w:tc>
          <w:tcPr>
            <w:tcW w:w="1417" w:type="dxa"/>
            <w:tcBorders>
              <w:top w:val="nil"/>
              <w:left w:val="nil"/>
              <w:bottom w:val="nil"/>
              <w:right w:val="nil"/>
            </w:tcBorders>
          </w:tcPr>
          <w:p w14:paraId="4BE226BB"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-42,32 </w:t>
            </w:r>
            <w:r>
              <w:rPr>
                <w:rFonts w:ascii="Arial" w:eastAsia="Calibri" w:hAnsi="Arial" w:cs="Arial"/>
                <w:color w:val="000000"/>
                <w:sz w:val="20"/>
                <w:szCs w:val="20"/>
                <w:lang w:eastAsia="fr-FR"/>
              </w:rPr>
              <w:t>± 0.47</w:t>
            </w:r>
          </w:p>
        </w:tc>
        <w:tc>
          <w:tcPr>
            <w:tcW w:w="1559" w:type="dxa"/>
            <w:vMerge w:val="restart"/>
            <w:tcBorders>
              <w:top w:val="nil"/>
              <w:left w:val="nil"/>
              <w:bottom w:val="nil"/>
            </w:tcBorders>
          </w:tcPr>
          <w:p w14:paraId="78D4073F" w14:textId="77777777" w:rsidR="00E052FE" w:rsidRDefault="00E052FE">
            <w:pPr>
              <w:spacing w:after="0" w:line="480" w:lineRule="auto"/>
              <w:jc w:val="both"/>
              <w:rPr>
                <w:rFonts w:ascii="Arial" w:eastAsia="Calibri" w:hAnsi="Arial" w:cs="Arial"/>
                <w:sz w:val="20"/>
                <w:szCs w:val="20"/>
                <w:lang w:eastAsia="fr-FR"/>
              </w:rPr>
            </w:pPr>
          </w:p>
        </w:tc>
        <w:tc>
          <w:tcPr>
            <w:tcW w:w="1418" w:type="dxa"/>
            <w:tcBorders>
              <w:top w:val="nil"/>
              <w:right w:val="nil"/>
            </w:tcBorders>
            <w:vAlign w:val="center"/>
          </w:tcPr>
          <w:p w14:paraId="7F6ED1A7"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88,57 ± 0.61</w:t>
            </w:r>
          </w:p>
        </w:tc>
        <w:tc>
          <w:tcPr>
            <w:tcW w:w="1358" w:type="dxa"/>
            <w:vMerge w:val="restart"/>
            <w:tcBorders>
              <w:top w:val="nil"/>
              <w:left w:val="nil"/>
              <w:bottom w:val="nil"/>
            </w:tcBorders>
          </w:tcPr>
          <w:p w14:paraId="27B96A90" w14:textId="77777777" w:rsidR="00E052FE" w:rsidRDefault="00E052FE">
            <w:pPr>
              <w:spacing w:after="0" w:line="480" w:lineRule="auto"/>
              <w:jc w:val="both"/>
              <w:rPr>
                <w:rFonts w:ascii="Arial" w:eastAsia="Calibri" w:hAnsi="Arial" w:cs="Arial"/>
                <w:sz w:val="20"/>
                <w:szCs w:val="20"/>
                <w:lang w:eastAsia="fr-FR"/>
              </w:rPr>
            </w:pPr>
          </w:p>
        </w:tc>
      </w:tr>
      <w:tr w:rsidR="00E052FE" w14:paraId="4ECC60DD" w14:textId="77777777">
        <w:trPr>
          <w:jc w:val="center"/>
        </w:trPr>
        <w:tc>
          <w:tcPr>
            <w:tcW w:w="1418" w:type="dxa"/>
            <w:tcBorders>
              <w:top w:val="nil"/>
              <w:bottom w:val="nil"/>
            </w:tcBorders>
          </w:tcPr>
          <w:p w14:paraId="39DAD115" w14:textId="77777777" w:rsidR="00E052FE" w:rsidRDefault="005A1036">
            <w:pPr>
              <w:spacing w:after="0" w:line="480" w:lineRule="auto"/>
              <w:jc w:val="center"/>
              <w:rPr>
                <w:rFonts w:ascii="Arial" w:eastAsia="Calibri" w:hAnsi="Arial" w:cs="Arial"/>
                <w:sz w:val="20"/>
                <w:szCs w:val="20"/>
                <w:lang w:eastAsia="fr-FR"/>
              </w:rPr>
            </w:pPr>
            <w:r>
              <w:rPr>
                <w:rFonts w:ascii="Arial" w:eastAsia="Calibri" w:hAnsi="Arial" w:cs="Arial"/>
                <w:b/>
                <w:sz w:val="20"/>
                <w:szCs w:val="20"/>
                <w:lang w:eastAsia="fr-FR"/>
              </w:rPr>
              <w:t>65</w:t>
            </w:r>
          </w:p>
        </w:tc>
        <w:tc>
          <w:tcPr>
            <w:tcW w:w="1409" w:type="dxa"/>
            <w:tcBorders>
              <w:top w:val="nil"/>
              <w:bottom w:val="nil"/>
              <w:right w:val="nil"/>
            </w:tcBorders>
            <w:vAlign w:val="center"/>
          </w:tcPr>
          <w:p w14:paraId="36FC25E2"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74.43 ± 1.03</w:t>
            </w:r>
          </w:p>
        </w:tc>
        <w:tc>
          <w:tcPr>
            <w:tcW w:w="1560" w:type="dxa"/>
            <w:vMerge/>
            <w:tcBorders>
              <w:top w:val="nil"/>
              <w:left w:val="nil"/>
              <w:bottom w:val="nil"/>
            </w:tcBorders>
            <w:vAlign w:val="center"/>
          </w:tcPr>
          <w:p w14:paraId="7675B035" w14:textId="77777777" w:rsidR="00E052FE" w:rsidRDefault="00E052FE">
            <w:pPr>
              <w:spacing w:after="0" w:line="480" w:lineRule="auto"/>
              <w:jc w:val="both"/>
              <w:rPr>
                <w:rFonts w:ascii="Arial" w:hAnsi="Arial" w:cs="Arial"/>
                <w:sz w:val="20"/>
                <w:szCs w:val="20"/>
                <w:lang w:eastAsia="fr-FR"/>
              </w:rPr>
            </w:pPr>
          </w:p>
        </w:tc>
        <w:tc>
          <w:tcPr>
            <w:tcW w:w="1417" w:type="dxa"/>
            <w:tcBorders>
              <w:top w:val="nil"/>
              <w:left w:val="nil"/>
              <w:bottom w:val="nil"/>
              <w:right w:val="nil"/>
            </w:tcBorders>
          </w:tcPr>
          <w:p w14:paraId="4CF6A4BE"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-42,45 </w:t>
            </w:r>
            <w:r>
              <w:rPr>
                <w:rFonts w:ascii="Arial" w:eastAsia="Calibri" w:hAnsi="Arial" w:cs="Arial"/>
                <w:color w:val="000000"/>
                <w:sz w:val="20"/>
                <w:szCs w:val="20"/>
                <w:lang w:eastAsia="fr-FR"/>
              </w:rPr>
              <w:t>± 0.32</w:t>
            </w:r>
          </w:p>
        </w:tc>
        <w:tc>
          <w:tcPr>
            <w:tcW w:w="1559" w:type="dxa"/>
            <w:vMerge/>
            <w:tcBorders>
              <w:top w:val="nil"/>
              <w:left w:val="nil"/>
              <w:bottom w:val="nil"/>
            </w:tcBorders>
            <w:vAlign w:val="center"/>
          </w:tcPr>
          <w:p w14:paraId="182141E0" w14:textId="77777777" w:rsidR="00E052FE" w:rsidRDefault="00E052FE">
            <w:pPr>
              <w:spacing w:after="0" w:line="480" w:lineRule="auto"/>
              <w:jc w:val="both"/>
              <w:rPr>
                <w:rFonts w:ascii="Arial" w:hAnsi="Arial" w:cs="Arial"/>
                <w:sz w:val="20"/>
                <w:szCs w:val="20"/>
                <w:lang w:eastAsia="fr-FR"/>
              </w:rPr>
            </w:pPr>
          </w:p>
        </w:tc>
        <w:tc>
          <w:tcPr>
            <w:tcW w:w="1418" w:type="dxa"/>
            <w:tcBorders>
              <w:top w:val="nil"/>
              <w:bottom w:val="nil"/>
            </w:tcBorders>
            <w:vAlign w:val="center"/>
          </w:tcPr>
          <w:p w14:paraId="22A0379E"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88,78 ± 1.02</w:t>
            </w:r>
          </w:p>
        </w:tc>
        <w:tc>
          <w:tcPr>
            <w:tcW w:w="1358" w:type="dxa"/>
            <w:vMerge/>
            <w:tcBorders>
              <w:top w:val="nil"/>
              <w:left w:val="nil"/>
              <w:bottom w:val="nil"/>
            </w:tcBorders>
            <w:vAlign w:val="center"/>
          </w:tcPr>
          <w:p w14:paraId="035D7E56" w14:textId="77777777" w:rsidR="00E052FE" w:rsidRDefault="00E052FE">
            <w:pPr>
              <w:spacing w:after="0" w:line="480" w:lineRule="auto"/>
              <w:jc w:val="both"/>
              <w:rPr>
                <w:rFonts w:ascii="Arial" w:hAnsi="Arial" w:cs="Arial"/>
                <w:sz w:val="20"/>
                <w:szCs w:val="20"/>
                <w:lang w:eastAsia="fr-FR"/>
              </w:rPr>
            </w:pPr>
          </w:p>
        </w:tc>
      </w:tr>
      <w:tr w:rsidR="00E052FE" w14:paraId="18F1B45E" w14:textId="77777777">
        <w:trPr>
          <w:jc w:val="center"/>
        </w:trPr>
        <w:tc>
          <w:tcPr>
            <w:tcW w:w="1418" w:type="dxa"/>
            <w:tcBorders>
              <w:top w:val="nil"/>
              <w:bottom w:val="nil"/>
            </w:tcBorders>
          </w:tcPr>
          <w:p w14:paraId="5FCDAB43" w14:textId="77777777" w:rsidR="00E052FE" w:rsidRDefault="005A1036">
            <w:pPr>
              <w:spacing w:after="0" w:line="480" w:lineRule="auto"/>
              <w:jc w:val="center"/>
              <w:rPr>
                <w:rFonts w:ascii="Arial" w:eastAsia="Calibri" w:hAnsi="Arial" w:cs="Arial"/>
                <w:sz w:val="20"/>
                <w:szCs w:val="20"/>
                <w:lang w:eastAsia="fr-FR"/>
              </w:rPr>
            </w:pPr>
            <w:r>
              <w:rPr>
                <w:rFonts w:ascii="Arial" w:eastAsia="Calibri" w:hAnsi="Arial" w:cs="Arial"/>
                <w:b/>
                <w:sz w:val="20"/>
                <w:szCs w:val="20"/>
                <w:lang w:eastAsia="fr-FR"/>
              </w:rPr>
              <w:t>70</w:t>
            </w:r>
          </w:p>
        </w:tc>
        <w:tc>
          <w:tcPr>
            <w:tcW w:w="1409" w:type="dxa"/>
            <w:tcBorders>
              <w:top w:val="nil"/>
              <w:bottom w:val="nil"/>
              <w:right w:val="nil"/>
            </w:tcBorders>
            <w:vAlign w:val="center"/>
          </w:tcPr>
          <w:p w14:paraId="1D20A174"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74.39 ± 0.46</w:t>
            </w:r>
          </w:p>
        </w:tc>
        <w:tc>
          <w:tcPr>
            <w:tcW w:w="1560" w:type="dxa"/>
            <w:vMerge/>
            <w:tcBorders>
              <w:top w:val="nil"/>
              <w:left w:val="nil"/>
              <w:bottom w:val="nil"/>
            </w:tcBorders>
            <w:vAlign w:val="center"/>
          </w:tcPr>
          <w:p w14:paraId="2999380B" w14:textId="77777777" w:rsidR="00E052FE" w:rsidRDefault="00E052FE">
            <w:pPr>
              <w:spacing w:after="0" w:line="480" w:lineRule="auto"/>
              <w:jc w:val="both"/>
              <w:rPr>
                <w:rFonts w:ascii="Arial" w:hAnsi="Arial" w:cs="Arial"/>
                <w:sz w:val="20"/>
                <w:szCs w:val="20"/>
                <w:lang w:eastAsia="fr-FR"/>
              </w:rPr>
            </w:pPr>
          </w:p>
        </w:tc>
        <w:tc>
          <w:tcPr>
            <w:tcW w:w="1417" w:type="dxa"/>
            <w:tcBorders>
              <w:top w:val="nil"/>
              <w:left w:val="nil"/>
              <w:bottom w:val="nil"/>
              <w:right w:val="nil"/>
            </w:tcBorders>
          </w:tcPr>
          <w:p w14:paraId="53B84650"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-42,57 </w:t>
            </w:r>
            <w:r>
              <w:rPr>
                <w:rFonts w:ascii="Arial" w:eastAsia="Calibri" w:hAnsi="Arial" w:cs="Arial"/>
                <w:color w:val="000000"/>
                <w:sz w:val="20"/>
                <w:szCs w:val="20"/>
                <w:lang w:eastAsia="fr-FR"/>
              </w:rPr>
              <w:t>± 0.72</w:t>
            </w:r>
          </w:p>
        </w:tc>
        <w:tc>
          <w:tcPr>
            <w:tcW w:w="1559" w:type="dxa"/>
            <w:vMerge/>
            <w:tcBorders>
              <w:top w:val="nil"/>
              <w:left w:val="nil"/>
              <w:bottom w:val="nil"/>
            </w:tcBorders>
            <w:vAlign w:val="center"/>
          </w:tcPr>
          <w:p w14:paraId="0AD9C6F5" w14:textId="77777777" w:rsidR="00E052FE" w:rsidRDefault="00E052FE">
            <w:pPr>
              <w:spacing w:after="0" w:line="480" w:lineRule="auto"/>
              <w:jc w:val="both"/>
              <w:rPr>
                <w:rFonts w:ascii="Arial" w:hAnsi="Arial" w:cs="Arial"/>
                <w:sz w:val="20"/>
                <w:szCs w:val="20"/>
                <w:lang w:eastAsia="fr-FR"/>
              </w:rPr>
            </w:pPr>
          </w:p>
        </w:tc>
        <w:tc>
          <w:tcPr>
            <w:tcW w:w="1418" w:type="dxa"/>
            <w:tcBorders>
              <w:top w:val="nil"/>
              <w:bottom w:val="nil"/>
            </w:tcBorders>
            <w:vAlign w:val="center"/>
          </w:tcPr>
          <w:p w14:paraId="2E0E55C2"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88,99 ± 0.57</w:t>
            </w:r>
          </w:p>
        </w:tc>
        <w:tc>
          <w:tcPr>
            <w:tcW w:w="1358" w:type="dxa"/>
            <w:vMerge/>
            <w:tcBorders>
              <w:top w:val="nil"/>
              <w:left w:val="nil"/>
              <w:bottom w:val="nil"/>
            </w:tcBorders>
            <w:vAlign w:val="center"/>
          </w:tcPr>
          <w:p w14:paraId="7C8AE339" w14:textId="77777777" w:rsidR="00E052FE" w:rsidRDefault="00E052FE">
            <w:pPr>
              <w:spacing w:after="0" w:line="480" w:lineRule="auto"/>
              <w:jc w:val="both"/>
              <w:rPr>
                <w:rFonts w:ascii="Arial" w:hAnsi="Arial" w:cs="Arial"/>
                <w:sz w:val="20"/>
                <w:szCs w:val="20"/>
                <w:lang w:eastAsia="fr-FR"/>
              </w:rPr>
            </w:pPr>
          </w:p>
        </w:tc>
      </w:tr>
      <w:tr w:rsidR="00E052FE" w14:paraId="494991ED" w14:textId="77777777">
        <w:trPr>
          <w:jc w:val="center"/>
        </w:trPr>
        <w:tc>
          <w:tcPr>
            <w:tcW w:w="1418" w:type="dxa"/>
            <w:tcBorders>
              <w:top w:val="nil"/>
              <w:bottom w:val="single" w:sz="4" w:space="0" w:color="auto"/>
            </w:tcBorders>
          </w:tcPr>
          <w:p w14:paraId="48601F31" w14:textId="77777777" w:rsidR="00E052FE" w:rsidRDefault="005A1036">
            <w:pPr>
              <w:spacing w:after="0" w:line="480" w:lineRule="auto"/>
              <w:jc w:val="center"/>
              <w:rPr>
                <w:rFonts w:ascii="Arial" w:eastAsia="Calibri" w:hAnsi="Arial" w:cs="Arial"/>
                <w:sz w:val="20"/>
                <w:szCs w:val="20"/>
                <w:lang w:eastAsia="fr-FR"/>
              </w:rPr>
            </w:pPr>
            <w:r>
              <w:rPr>
                <w:rFonts w:ascii="Arial" w:eastAsia="Calibri" w:hAnsi="Arial" w:cs="Arial"/>
                <w:b/>
                <w:sz w:val="20"/>
                <w:szCs w:val="20"/>
                <w:lang w:eastAsia="fr-FR"/>
              </w:rPr>
              <w:t>75</w:t>
            </w:r>
          </w:p>
        </w:tc>
        <w:tc>
          <w:tcPr>
            <w:tcW w:w="1409" w:type="dxa"/>
            <w:tcBorders>
              <w:top w:val="nil"/>
              <w:bottom w:val="single" w:sz="4" w:space="0" w:color="auto"/>
              <w:right w:val="nil"/>
            </w:tcBorders>
            <w:vAlign w:val="center"/>
          </w:tcPr>
          <w:p w14:paraId="61A7FC95"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74.35 ± 0.37</w:t>
            </w:r>
          </w:p>
        </w:tc>
        <w:tc>
          <w:tcPr>
            <w:tcW w:w="1560" w:type="dxa"/>
            <w:vMerge/>
            <w:tcBorders>
              <w:top w:val="nil"/>
              <w:left w:val="nil"/>
              <w:bottom w:val="single" w:sz="4" w:space="0" w:color="auto"/>
            </w:tcBorders>
            <w:vAlign w:val="center"/>
          </w:tcPr>
          <w:p w14:paraId="20939622" w14:textId="77777777" w:rsidR="00E052FE" w:rsidRDefault="00E052FE">
            <w:pPr>
              <w:spacing w:after="0" w:line="480" w:lineRule="auto"/>
              <w:jc w:val="both"/>
              <w:rPr>
                <w:rFonts w:ascii="Arial" w:hAnsi="Arial" w:cs="Arial"/>
                <w:sz w:val="20"/>
                <w:szCs w:val="20"/>
                <w:lang w:eastAsia="fr-FR"/>
              </w:rPr>
            </w:pPr>
          </w:p>
        </w:tc>
        <w:tc>
          <w:tcPr>
            <w:tcW w:w="1417" w:type="dxa"/>
            <w:tcBorders>
              <w:top w:val="nil"/>
              <w:left w:val="nil"/>
              <w:bottom w:val="single" w:sz="4" w:space="0" w:color="auto"/>
              <w:right w:val="nil"/>
            </w:tcBorders>
          </w:tcPr>
          <w:p w14:paraId="37084B83"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sz w:val="20"/>
                <w:szCs w:val="20"/>
                <w:lang w:eastAsia="fr-FR"/>
              </w:rPr>
              <w:t xml:space="preserve">-42,69 </w:t>
            </w:r>
            <w:r>
              <w:rPr>
                <w:rFonts w:ascii="Arial" w:eastAsia="Calibri" w:hAnsi="Arial" w:cs="Arial"/>
                <w:color w:val="000000"/>
                <w:sz w:val="20"/>
                <w:szCs w:val="20"/>
                <w:lang w:eastAsia="fr-FR"/>
              </w:rPr>
              <w:t>± 0.40</w:t>
            </w:r>
          </w:p>
        </w:tc>
        <w:tc>
          <w:tcPr>
            <w:tcW w:w="1559" w:type="dxa"/>
            <w:vMerge/>
            <w:tcBorders>
              <w:top w:val="nil"/>
              <w:left w:val="nil"/>
              <w:bottom w:val="single" w:sz="4" w:space="0" w:color="auto"/>
            </w:tcBorders>
            <w:vAlign w:val="center"/>
          </w:tcPr>
          <w:p w14:paraId="4AD57DB5" w14:textId="77777777" w:rsidR="00E052FE" w:rsidRDefault="00E052FE">
            <w:pPr>
              <w:spacing w:after="0" w:line="480" w:lineRule="auto"/>
              <w:jc w:val="both"/>
              <w:rPr>
                <w:rFonts w:ascii="Arial" w:hAnsi="Arial" w:cs="Arial"/>
                <w:sz w:val="20"/>
                <w:szCs w:val="20"/>
                <w:lang w:eastAsia="fr-FR"/>
              </w:rPr>
            </w:pPr>
          </w:p>
        </w:tc>
        <w:tc>
          <w:tcPr>
            <w:tcW w:w="1418" w:type="dxa"/>
            <w:tcBorders>
              <w:top w:val="nil"/>
              <w:bottom w:val="single" w:sz="4" w:space="0" w:color="auto"/>
            </w:tcBorders>
            <w:vAlign w:val="center"/>
          </w:tcPr>
          <w:p w14:paraId="55C1F3DA" w14:textId="77777777" w:rsidR="00E052FE" w:rsidRDefault="005A1036">
            <w:pPr>
              <w:spacing w:after="0" w:line="480" w:lineRule="auto"/>
              <w:jc w:val="both"/>
              <w:rPr>
                <w:rFonts w:ascii="Arial" w:eastAsia="Calibri" w:hAnsi="Arial" w:cs="Arial"/>
                <w:sz w:val="20"/>
                <w:szCs w:val="20"/>
                <w:lang w:eastAsia="fr-FR"/>
              </w:rPr>
            </w:pPr>
            <w:r>
              <w:rPr>
                <w:rFonts w:ascii="Arial" w:eastAsia="Calibri" w:hAnsi="Arial" w:cs="Arial"/>
                <w:color w:val="000000"/>
                <w:sz w:val="20"/>
                <w:szCs w:val="20"/>
                <w:lang w:eastAsia="fr-FR"/>
              </w:rPr>
              <w:t>89,21 ± 1.27</w:t>
            </w:r>
          </w:p>
        </w:tc>
        <w:tc>
          <w:tcPr>
            <w:tcW w:w="1358" w:type="dxa"/>
            <w:vMerge/>
            <w:tcBorders>
              <w:top w:val="nil"/>
              <w:left w:val="nil"/>
              <w:bottom w:val="single" w:sz="4" w:space="0" w:color="auto"/>
            </w:tcBorders>
            <w:vAlign w:val="center"/>
          </w:tcPr>
          <w:p w14:paraId="51ED0A14" w14:textId="77777777" w:rsidR="00E052FE" w:rsidRDefault="00E052FE">
            <w:pPr>
              <w:spacing w:after="0" w:line="480" w:lineRule="auto"/>
              <w:jc w:val="both"/>
              <w:rPr>
                <w:rFonts w:ascii="Arial" w:hAnsi="Arial" w:cs="Arial"/>
                <w:sz w:val="20"/>
                <w:szCs w:val="20"/>
                <w:lang w:eastAsia="fr-FR"/>
              </w:rPr>
            </w:pPr>
          </w:p>
        </w:tc>
      </w:tr>
    </w:tbl>
    <w:p w14:paraId="76CD07CA" w14:textId="77777777" w:rsidR="00E052FE" w:rsidRDefault="00E052FE">
      <w:pPr>
        <w:spacing w:after="0" w:line="240" w:lineRule="auto"/>
        <w:jc w:val="both"/>
        <w:rPr>
          <w:rFonts w:ascii="Arial" w:hAnsi="Arial" w:cs="Arial"/>
        </w:rPr>
      </w:pPr>
    </w:p>
    <w:p w14:paraId="117A1D25" w14:textId="77777777" w:rsidR="00E052FE" w:rsidRDefault="005A1036">
      <w:pPr>
        <w:spacing w:after="0" w:line="240" w:lineRule="auto"/>
        <w:jc w:val="right"/>
        <w:rPr>
          <w:rFonts w:ascii="Arial" w:hAnsi="Arial" w:cs="Arial"/>
          <w:b/>
          <w:bCs/>
        </w:rPr>
      </w:pPr>
      <w:r>
        <w:rPr>
          <w:rFonts w:ascii="Arial" w:hAnsi="Arial" w:cs="Arial"/>
          <w:b/>
          <w:bCs/>
        </w:rPr>
        <w:t>DISCUSSION</w:t>
      </w:r>
    </w:p>
    <w:p w14:paraId="50B76FDE" w14:textId="77777777" w:rsidR="00E052FE" w:rsidRDefault="00E052FE">
      <w:pPr>
        <w:spacing w:after="0" w:line="240" w:lineRule="auto"/>
        <w:jc w:val="both"/>
        <w:rPr>
          <w:rFonts w:ascii="Arial" w:hAnsi="Arial" w:cs="Arial"/>
          <w:b/>
          <w:bCs/>
        </w:rPr>
      </w:pPr>
    </w:p>
    <w:p w14:paraId="58A6CAD2" w14:textId="77777777" w:rsidR="00E052FE" w:rsidRPr="006069A7" w:rsidRDefault="005A1036">
      <w:pPr>
        <w:spacing w:line="256" w:lineRule="auto"/>
        <w:jc w:val="both"/>
        <w:rPr>
          <w:rFonts w:ascii="Arial" w:hAnsi="Arial" w:cs="Arial"/>
          <w:sz w:val="20"/>
          <w:szCs w:val="20"/>
          <w:lang w:val="fr"/>
        </w:rPr>
      </w:pPr>
      <w:r w:rsidRPr="006069A7">
        <w:rPr>
          <w:rFonts w:ascii="Arial" w:eastAsia="Calibri" w:hAnsi="Arial" w:cs="Arial"/>
          <w:sz w:val="20"/>
          <w:szCs w:val="20"/>
          <w:lang w:val="fr" w:eastAsia="zh-CN" w:bidi="ar"/>
        </w:rPr>
        <w:t xml:space="preserve">This study characterized and compared the kinetic and thermodynamic properties of the latent and activated forms of polyphenol oxidase (PPO) extracted from tubers of the yam </w:t>
      </w:r>
      <w:r w:rsidRPr="006069A7">
        <w:rPr>
          <w:rFonts w:ascii="Arial" w:eastAsia="Calibri" w:hAnsi="Arial" w:cs="Arial"/>
          <w:i/>
          <w:iCs/>
          <w:sz w:val="20"/>
          <w:szCs w:val="20"/>
          <w:lang w:val="fr" w:eastAsia="zh-CN" w:bidi="ar"/>
        </w:rPr>
        <w:t xml:space="preserve">Dioscorea cayenensis subsp. </w:t>
      </w:r>
      <w:proofErr w:type="gramStart"/>
      <w:r w:rsidRPr="006069A7">
        <w:rPr>
          <w:rFonts w:ascii="Arial" w:eastAsia="Calibri" w:hAnsi="Arial" w:cs="Arial"/>
          <w:i/>
          <w:iCs/>
          <w:sz w:val="20"/>
          <w:szCs w:val="20"/>
          <w:lang w:val="fr" w:eastAsia="zh-CN" w:bidi="ar"/>
        </w:rPr>
        <w:t>rotundata</w:t>
      </w:r>
      <w:proofErr w:type="gramEnd"/>
      <w:r w:rsidRPr="006069A7">
        <w:rPr>
          <w:rFonts w:ascii="Arial" w:eastAsia="Calibri" w:hAnsi="Arial" w:cs="Arial"/>
          <w:sz w:val="20"/>
          <w:szCs w:val="20"/>
          <w:lang w:val="fr" w:eastAsia="zh-CN" w:bidi="ar"/>
        </w:rPr>
        <w:t>, cultivar Zrèzrou, grown in Côte d'Ivoire. T</w:t>
      </w:r>
      <w:r w:rsidRPr="006069A7">
        <w:rPr>
          <w:rFonts w:ascii="Arial" w:eastAsia="Calibri" w:hAnsi="Arial" w:cs="Arial"/>
          <w:sz w:val="20"/>
          <w:szCs w:val="20"/>
          <w:lang w:val="fr" w:eastAsia="zh-CN" w:bidi="ar"/>
        </w:rPr>
        <w:t>he results provide new insights into the regulatory mechanisms of this enzyme in a local yam cultivar, a species for which scientific documentation remains limited to date, and offer a scientific basis for controlling enzymatic browning during processing o</w:t>
      </w:r>
      <w:r w:rsidRPr="006069A7">
        <w:rPr>
          <w:rFonts w:ascii="Arial" w:eastAsia="Calibri" w:hAnsi="Arial" w:cs="Arial"/>
          <w:sz w:val="20"/>
          <w:szCs w:val="20"/>
          <w:lang w:val="fr" w:eastAsia="zh-CN" w:bidi="ar"/>
        </w:rPr>
        <w:t>f this tuber (Sugihara et al., 2021).</w:t>
      </w:r>
    </w:p>
    <w:p w14:paraId="1D3FE656" w14:textId="3C0B0840" w:rsidR="00E052FE" w:rsidRPr="006069A7" w:rsidRDefault="005A1036">
      <w:pPr>
        <w:spacing w:line="256" w:lineRule="auto"/>
        <w:jc w:val="both"/>
        <w:rPr>
          <w:rFonts w:ascii="Arial" w:hAnsi="Arial" w:cs="Arial"/>
          <w:sz w:val="20"/>
          <w:szCs w:val="20"/>
          <w:lang w:val="fr"/>
        </w:rPr>
      </w:pPr>
      <w:r w:rsidRPr="006069A7">
        <w:rPr>
          <w:rFonts w:ascii="Arial" w:eastAsia="Calibri" w:hAnsi="Arial" w:cs="Arial"/>
          <w:sz w:val="20"/>
          <w:szCs w:val="20"/>
          <w:lang w:val="fr" w:eastAsia="zh-CN" w:bidi="ar"/>
        </w:rPr>
        <w:t xml:space="preserve">Substrate specificity is determined using two kinetic </w:t>
      </w:r>
      <w:proofErr w:type="gramStart"/>
      <w:r w:rsidRPr="006069A7">
        <w:rPr>
          <w:rFonts w:ascii="Arial" w:eastAsia="Calibri" w:hAnsi="Arial" w:cs="Arial"/>
          <w:sz w:val="20"/>
          <w:szCs w:val="20"/>
          <w:lang w:val="fr" w:eastAsia="zh-CN" w:bidi="ar"/>
        </w:rPr>
        <w:t>parameters:</w:t>
      </w:r>
      <w:proofErr w:type="gramEnd"/>
      <w:r w:rsidRPr="006069A7">
        <w:rPr>
          <w:rFonts w:ascii="Arial" w:eastAsia="Calibri" w:hAnsi="Arial" w:cs="Arial"/>
          <w:sz w:val="20"/>
          <w:szCs w:val="20"/>
          <w:lang w:val="fr" w:eastAsia="zh-CN" w:bidi="ar"/>
        </w:rPr>
        <w:t xml:space="preserve"> the KM value, which reflects the enzyme's affinity for the substrate, and the maximum catalytic rate (Vmax). The determined kinetic parameters reveal si</w:t>
      </w:r>
      <w:r w:rsidRPr="006069A7">
        <w:rPr>
          <w:rFonts w:ascii="Arial" w:eastAsia="Calibri" w:hAnsi="Arial" w:cs="Arial"/>
          <w:sz w:val="20"/>
          <w:szCs w:val="20"/>
          <w:lang w:val="fr" w:eastAsia="zh-CN" w:bidi="ar"/>
        </w:rPr>
        <w:t xml:space="preserve">gnificant differences between the latent and activated forms of Zrèzrou yam PPO. The activated form has a higher Vmax value than the latent form, while the KM value is identical for both </w:t>
      </w:r>
      <w:proofErr w:type="gramStart"/>
      <w:r w:rsidRPr="006069A7">
        <w:rPr>
          <w:rFonts w:ascii="Arial" w:eastAsia="Calibri" w:hAnsi="Arial" w:cs="Arial"/>
          <w:sz w:val="20"/>
          <w:szCs w:val="20"/>
          <w:lang w:val="fr" w:eastAsia="zh-CN" w:bidi="ar"/>
        </w:rPr>
        <w:t>forms;</w:t>
      </w:r>
      <w:proofErr w:type="gramEnd"/>
      <w:r w:rsidRPr="006069A7">
        <w:rPr>
          <w:rFonts w:ascii="Arial" w:eastAsia="Calibri" w:hAnsi="Arial" w:cs="Arial"/>
          <w:sz w:val="20"/>
          <w:szCs w:val="20"/>
          <w:lang w:val="fr" w:eastAsia="zh-CN" w:bidi="ar"/>
        </w:rPr>
        <w:t xml:space="preserve"> both show increased affinity for dopamine. This study demonstr</w:t>
      </w:r>
      <w:r w:rsidRPr="006069A7">
        <w:rPr>
          <w:rFonts w:ascii="Arial" w:eastAsia="Calibri" w:hAnsi="Arial" w:cs="Arial"/>
          <w:sz w:val="20"/>
          <w:szCs w:val="20"/>
          <w:lang w:val="fr" w:eastAsia="zh-CN" w:bidi="ar"/>
        </w:rPr>
        <w:t xml:space="preserve">ates that PPO from tubers of </w:t>
      </w:r>
      <w:r w:rsidRPr="006069A7">
        <w:rPr>
          <w:rFonts w:ascii="Arial" w:eastAsia="Calibri" w:hAnsi="Arial" w:cs="Arial"/>
          <w:i/>
          <w:iCs/>
          <w:sz w:val="20"/>
          <w:szCs w:val="20"/>
          <w:lang w:val="fr" w:eastAsia="zh-CN" w:bidi="ar"/>
        </w:rPr>
        <w:t>Dioscorea cayenensis rotundata</w:t>
      </w:r>
      <w:r w:rsidRPr="006069A7">
        <w:rPr>
          <w:rFonts w:ascii="Arial" w:eastAsia="Calibri" w:hAnsi="Arial" w:cs="Arial"/>
          <w:sz w:val="20"/>
          <w:szCs w:val="20"/>
          <w:lang w:val="fr" w:eastAsia="zh-CN" w:bidi="ar"/>
        </w:rPr>
        <w:t xml:space="preserve"> cultivar "Zrèzrou" catalyzes the oxidation of ortho-diphenolic substrates (catechol, dopamine, and catechin). Both forms are therefore ortho-diphenolases, as also shown by Lee et al. (20</w:t>
      </w:r>
      <w:r w:rsidR="00756742" w:rsidRPr="006069A7">
        <w:rPr>
          <w:rFonts w:ascii="Arial" w:eastAsia="Calibri" w:hAnsi="Arial" w:cs="Arial"/>
          <w:sz w:val="20"/>
          <w:szCs w:val="20"/>
          <w:lang w:val="fr" w:eastAsia="zh-CN" w:bidi="ar"/>
        </w:rPr>
        <w:t>12</w:t>
      </w:r>
      <w:r w:rsidRPr="006069A7">
        <w:rPr>
          <w:rFonts w:ascii="Arial" w:eastAsia="Calibri" w:hAnsi="Arial" w:cs="Arial"/>
          <w:sz w:val="20"/>
          <w:szCs w:val="20"/>
          <w:lang w:val="fr" w:eastAsia="zh-CN" w:bidi="ar"/>
        </w:rPr>
        <w:t>) for PP</w:t>
      </w:r>
      <w:r w:rsidRPr="006069A7">
        <w:rPr>
          <w:rFonts w:ascii="Arial" w:eastAsia="Calibri" w:hAnsi="Arial" w:cs="Arial"/>
          <w:sz w:val="20"/>
          <w:szCs w:val="20"/>
          <w:lang w:val="fr" w:eastAsia="zh-CN" w:bidi="ar"/>
        </w:rPr>
        <w:t>O from red clover (</w:t>
      </w:r>
      <w:r w:rsidRPr="006069A7">
        <w:rPr>
          <w:rFonts w:ascii="Arial" w:eastAsia="Calibri" w:hAnsi="Arial" w:cs="Arial"/>
          <w:i/>
          <w:iCs/>
          <w:sz w:val="20"/>
          <w:szCs w:val="20"/>
          <w:lang w:val="fr" w:eastAsia="zh-CN" w:bidi="ar"/>
        </w:rPr>
        <w:t>Trifolium pratense L</w:t>
      </w:r>
      <w:r w:rsidRPr="006069A7">
        <w:rPr>
          <w:rFonts w:ascii="Arial" w:eastAsia="Calibri" w:hAnsi="Arial" w:cs="Arial"/>
          <w:sz w:val="20"/>
          <w:szCs w:val="20"/>
          <w:lang w:val="fr" w:eastAsia="zh-CN" w:bidi="ar"/>
        </w:rPr>
        <w:t>.) and Gnangui et al. (2009) for PPO from yam tubers (</w:t>
      </w:r>
      <w:r w:rsidRPr="006069A7">
        <w:rPr>
          <w:rFonts w:ascii="Arial" w:eastAsia="Calibri" w:hAnsi="Arial" w:cs="Arial"/>
          <w:i/>
          <w:iCs/>
          <w:sz w:val="20"/>
          <w:szCs w:val="20"/>
          <w:lang w:val="fr" w:eastAsia="zh-CN" w:bidi="ar"/>
        </w:rPr>
        <w:t>Dioscorea cayenensis-rotundata</w:t>
      </w:r>
      <w:r w:rsidRPr="006069A7">
        <w:rPr>
          <w:rFonts w:ascii="Arial" w:eastAsia="Calibri" w:hAnsi="Arial" w:cs="Arial"/>
          <w:sz w:val="20"/>
          <w:szCs w:val="20"/>
          <w:lang w:val="fr" w:eastAsia="zh-CN" w:bidi="ar"/>
        </w:rPr>
        <w:t>) cultivar 'longbô', which only catalyzes the oxidation of ortho-diphenols. The catalytic efficiency of Zrèzrou yam PPO is higher for</w:t>
      </w:r>
      <w:r w:rsidRPr="006069A7">
        <w:rPr>
          <w:rFonts w:ascii="Arial" w:eastAsia="Calibri" w:hAnsi="Arial" w:cs="Arial"/>
          <w:sz w:val="20"/>
          <w:szCs w:val="20"/>
          <w:lang w:val="fr" w:eastAsia="zh-CN" w:bidi="ar"/>
        </w:rPr>
        <w:t xml:space="preserve"> dopamine than for catechol and catechin, making this compound the best phenolic substrate for this enzyme. This result suggests that this biocatalyst is a dopamine oxidase, similar to PPO characterized in plants rich in ortho-diphenols such as red clover </w:t>
      </w:r>
      <w:r w:rsidRPr="006069A7">
        <w:rPr>
          <w:rFonts w:ascii="Arial" w:eastAsia="Calibri" w:hAnsi="Arial" w:cs="Arial"/>
          <w:sz w:val="20"/>
          <w:szCs w:val="20"/>
          <w:lang w:val="fr" w:eastAsia="zh-CN" w:bidi="ar"/>
        </w:rPr>
        <w:t>(Lee et al., 20</w:t>
      </w:r>
      <w:r w:rsidR="00756742" w:rsidRPr="006069A7">
        <w:rPr>
          <w:rFonts w:ascii="Arial" w:eastAsia="Calibri" w:hAnsi="Arial" w:cs="Arial"/>
          <w:sz w:val="20"/>
          <w:szCs w:val="20"/>
          <w:lang w:val="fr" w:eastAsia="zh-CN" w:bidi="ar"/>
        </w:rPr>
        <w:t>12</w:t>
      </w:r>
      <w:r w:rsidRPr="006069A7">
        <w:rPr>
          <w:rFonts w:ascii="Arial" w:eastAsia="Calibri" w:hAnsi="Arial" w:cs="Arial"/>
          <w:sz w:val="20"/>
          <w:szCs w:val="20"/>
          <w:lang w:val="fr" w:eastAsia="zh-CN" w:bidi="ar"/>
        </w:rPr>
        <w:t>) and PPO from yam tubers (</w:t>
      </w:r>
      <w:r w:rsidRPr="006069A7">
        <w:rPr>
          <w:rFonts w:ascii="Arial" w:eastAsia="Calibri" w:hAnsi="Arial" w:cs="Arial"/>
          <w:i/>
          <w:iCs/>
          <w:sz w:val="20"/>
          <w:szCs w:val="20"/>
          <w:lang w:val="fr" w:eastAsia="zh-CN" w:bidi="ar"/>
        </w:rPr>
        <w:t>Dioscorea cayenensis-rotundata</w:t>
      </w:r>
      <w:r w:rsidRPr="006069A7">
        <w:rPr>
          <w:rFonts w:ascii="Arial" w:eastAsia="Calibri" w:hAnsi="Arial" w:cs="Arial"/>
          <w:sz w:val="20"/>
          <w:szCs w:val="20"/>
          <w:lang w:val="fr" w:eastAsia="zh-CN" w:bidi="ar"/>
        </w:rPr>
        <w:t>) cultivar 'Longbô'. The KM values of the latent and activated forms are identical, but the Vmax values differ. The consistency of the KM value after activation suggests that the tra</w:t>
      </w:r>
      <w:r w:rsidRPr="006069A7">
        <w:rPr>
          <w:rFonts w:ascii="Arial" w:eastAsia="Calibri" w:hAnsi="Arial" w:cs="Arial"/>
          <w:sz w:val="20"/>
          <w:szCs w:val="20"/>
          <w:lang w:val="fr" w:eastAsia="zh-CN" w:bidi="ar"/>
        </w:rPr>
        <w:t>nsition from the latent to the activated form involves structural modifications of the enzyme, likely at the active site, that preserve substrate binding. Furthermore, the KM values obtained for the latent and activated forms of Zrèzrou PPO are higher than</w:t>
      </w:r>
      <w:r w:rsidRPr="006069A7">
        <w:rPr>
          <w:rFonts w:ascii="Arial" w:eastAsia="Calibri" w:hAnsi="Arial" w:cs="Arial"/>
          <w:sz w:val="20"/>
          <w:szCs w:val="20"/>
          <w:lang w:val="fr" w:eastAsia="zh-CN" w:bidi="ar"/>
        </w:rPr>
        <w:t xml:space="preserve"> those reported for the latent form of apricot PPO (Tran et al., 2025).</w:t>
      </w:r>
    </w:p>
    <w:p w14:paraId="52A12475" w14:textId="77777777" w:rsidR="00E052FE" w:rsidRPr="006069A7" w:rsidRDefault="005A1036">
      <w:pPr>
        <w:spacing w:line="256" w:lineRule="auto"/>
        <w:jc w:val="both"/>
        <w:rPr>
          <w:rFonts w:ascii="Arial" w:hAnsi="Arial" w:cs="Arial"/>
          <w:sz w:val="20"/>
          <w:szCs w:val="20"/>
          <w:lang w:val="fr"/>
        </w:rPr>
      </w:pPr>
      <w:r w:rsidRPr="006069A7">
        <w:rPr>
          <w:rFonts w:ascii="Arial" w:eastAsia="Calibri" w:hAnsi="Arial" w:cs="Arial"/>
          <w:sz w:val="20"/>
          <w:szCs w:val="20"/>
          <w:lang w:val="fr" w:eastAsia="zh-CN" w:bidi="ar"/>
        </w:rPr>
        <w:t>Thermal inactivation studies show that latent form activity ceases above 75 °C, unlike the activated form, whose activity stops above 55 °C. SDS therefore appears to promote thermal de</w:t>
      </w:r>
      <w:r w:rsidRPr="006069A7">
        <w:rPr>
          <w:rFonts w:ascii="Arial" w:eastAsia="Calibri" w:hAnsi="Arial" w:cs="Arial"/>
          <w:sz w:val="20"/>
          <w:szCs w:val="20"/>
          <w:lang w:val="fr" w:eastAsia="zh-CN" w:bidi="ar"/>
        </w:rPr>
        <w:t xml:space="preserve">naturation of polyphenol oxidase. This result could indicate that SDS, as a denaturing agent, exposes the enzyme to heat, thereby facilitating its denaturation. This is a similar mechanism to that observed by Xu et al. (2025) during the interaction of PPO </w:t>
      </w:r>
      <w:r w:rsidRPr="006069A7">
        <w:rPr>
          <w:rFonts w:ascii="Arial" w:eastAsia="Calibri" w:hAnsi="Arial" w:cs="Arial"/>
          <w:sz w:val="20"/>
          <w:szCs w:val="20"/>
          <w:lang w:val="fr" w:eastAsia="zh-CN" w:bidi="ar"/>
        </w:rPr>
        <w:t>with deep eutectic solvents, which modify the enzyme's conformation and influence its thermal stability.</w:t>
      </w:r>
    </w:p>
    <w:p w14:paraId="0B81F363" w14:textId="1501C1B7" w:rsidR="00E052FE" w:rsidRPr="006069A7" w:rsidRDefault="005A1036" w:rsidP="00242CB3">
      <w:pPr>
        <w:spacing w:after="0" w:line="256" w:lineRule="auto"/>
        <w:jc w:val="both"/>
        <w:rPr>
          <w:rFonts w:ascii="Arial" w:hAnsi="Arial" w:cs="Arial"/>
          <w:sz w:val="20"/>
          <w:szCs w:val="20"/>
          <w:lang w:val="fr"/>
        </w:rPr>
      </w:pPr>
      <w:r w:rsidRPr="006069A7">
        <w:rPr>
          <w:rFonts w:ascii="Arial" w:eastAsia="Calibri" w:hAnsi="Arial" w:cs="Arial"/>
          <w:sz w:val="20"/>
          <w:szCs w:val="20"/>
          <w:lang w:val="fr" w:eastAsia="zh-CN" w:bidi="ar"/>
        </w:rPr>
        <w:lastRenderedPageBreak/>
        <w:t>The plot of Ln At/A0 against pre-incubation time at temperatures between 35 and 75 °C reveals first-order kinetics. This result suggests that Zrèzrou y</w:t>
      </w:r>
      <w:r w:rsidRPr="006069A7">
        <w:rPr>
          <w:rFonts w:ascii="Arial" w:eastAsia="Calibri" w:hAnsi="Arial" w:cs="Arial"/>
          <w:sz w:val="20"/>
          <w:szCs w:val="20"/>
          <w:lang w:val="fr" w:eastAsia="zh-CN" w:bidi="ar"/>
        </w:rPr>
        <w:t xml:space="preserve">am PPO is the only enzyme present in the reaction medium capable of oxidizing dopamine in the presence of molecular oxygen. In fact, the presence of isoforms generally results in </w:t>
      </w:r>
      <w:proofErr w:type="gramStart"/>
      <w:r w:rsidRPr="006069A7">
        <w:rPr>
          <w:rFonts w:ascii="Arial" w:eastAsia="Calibri" w:hAnsi="Arial" w:cs="Arial"/>
          <w:sz w:val="20"/>
          <w:szCs w:val="20"/>
          <w:lang w:val="fr" w:eastAsia="zh-CN" w:bidi="ar"/>
        </w:rPr>
        <w:t>a</w:t>
      </w:r>
      <w:proofErr w:type="gramEnd"/>
      <w:r w:rsidRPr="006069A7">
        <w:rPr>
          <w:rFonts w:ascii="Arial" w:eastAsia="Calibri" w:hAnsi="Arial" w:cs="Arial"/>
          <w:sz w:val="20"/>
          <w:szCs w:val="20"/>
          <w:lang w:val="fr" w:eastAsia="zh-CN" w:bidi="ar"/>
        </w:rPr>
        <w:t xml:space="preserve"> multi-phasic curve. These results are consistent with those obtained by Dog</w:t>
      </w:r>
      <w:r w:rsidRPr="006069A7">
        <w:rPr>
          <w:rFonts w:ascii="Arial" w:eastAsia="Calibri" w:hAnsi="Arial" w:cs="Arial"/>
          <w:sz w:val="20"/>
          <w:szCs w:val="20"/>
          <w:lang w:val="fr" w:eastAsia="zh-CN" w:bidi="ar"/>
        </w:rPr>
        <w:t>an et al. (2005), Ditchfield et al. (2006), Rapeanu et al. (2006), Wang et al. (202</w:t>
      </w:r>
      <w:r w:rsidR="005B6B4A" w:rsidRPr="006069A7">
        <w:rPr>
          <w:rFonts w:ascii="Arial" w:eastAsia="Calibri" w:hAnsi="Arial" w:cs="Arial"/>
          <w:sz w:val="20"/>
          <w:szCs w:val="20"/>
          <w:lang w:val="fr" w:eastAsia="zh-CN" w:bidi="ar"/>
        </w:rPr>
        <w:t>0</w:t>
      </w:r>
      <w:r w:rsidRPr="006069A7">
        <w:rPr>
          <w:rFonts w:ascii="Arial" w:eastAsia="Calibri" w:hAnsi="Arial" w:cs="Arial"/>
          <w:sz w:val="20"/>
          <w:szCs w:val="20"/>
          <w:lang w:val="fr" w:eastAsia="zh-CN" w:bidi="ar"/>
        </w:rPr>
        <w:t>), and Liu et al. (2021) for PPO from oregano, banana puree, grapes, lily bulbs (</w:t>
      </w:r>
      <w:r w:rsidRPr="006069A7">
        <w:rPr>
          <w:rFonts w:ascii="Arial" w:eastAsia="Calibri" w:hAnsi="Arial" w:cs="Arial"/>
          <w:i/>
          <w:iCs/>
          <w:sz w:val="20"/>
          <w:szCs w:val="20"/>
          <w:lang w:val="fr" w:eastAsia="zh-CN" w:bidi="ar"/>
        </w:rPr>
        <w:t>Lilium spp</w:t>
      </w:r>
      <w:r w:rsidRPr="006069A7">
        <w:rPr>
          <w:rFonts w:ascii="Arial" w:eastAsia="Calibri" w:hAnsi="Arial" w:cs="Arial"/>
          <w:sz w:val="20"/>
          <w:szCs w:val="20"/>
          <w:lang w:val="fr" w:eastAsia="zh-CN" w:bidi="ar"/>
        </w:rPr>
        <w:t>.), and kudzu (</w:t>
      </w:r>
      <w:r w:rsidRPr="006069A7">
        <w:rPr>
          <w:rFonts w:ascii="Arial" w:eastAsia="Calibri" w:hAnsi="Arial" w:cs="Arial"/>
          <w:i/>
          <w:iCs/>
          <w:sz w:val="20"/>
          <w:szCs w:val="20"/>
          <w:lang w:val="fr" w:eastAsia="zh-CN" w:bidi="ar"/>
        </w:rPr>
        <w:t>Pueraria lobata</w:t>
      </w:r>
      <w:r w:rsidRPr="006069A7">
        <w:rPr>
          <w:rFonts w:ascii="Arial" w:eastAsia="Calibri" w:hAnsi="Arial" w:cs="Arial"/>
          <w:sz w:val="20"/>
          <w:szCs w:val="20"/>
          <w:lang w:val="fr" w:eastAsia="zh-CN" w:bidi="ar"/>
        </w:rPr>
        <w:t>), respectively, whose thermal inactivation also fo</w:t>
      </w:r>
      <w:r w:rsidRPr="006069A7">
        <w:rPr>
          <w:rFonts w:ascii="Arial" w:eastAsia="Calibri" w:hAnsi="Arial" w:cs="Arial"/>
          <w:sz w:val="20"/>
          <w:szCs w:val="20"/>
          <w:lang w:val="fr" w:eastAsia="zh-CN" w:bidi="ar"/>
        </w:rPr>
        <w:t>llows first-order kinetics. Increasing the temperature from 35 to 75 °C leads to a decrease in enzymatic activity and a reduction in half-life. The enzyme's rate constants increase with rising pre-incubation temperature, indicating that this biocatalyst is</w:t>
      </w:r>
      <w:r w:rsidRPr="006069A7">
        <w:rPr>
          <w:rFonts w:ascii="Arial" w:eastAsia="Calibri" w:hAnsi="Arial" w:cs="Arial"/>
          <w:sz w:val="20"/>
          <w:szCs w:val="20"/>
          <w:lang w:val="fr" w:eastAsia="zh-CN" w:bidi="ar"/>
        </w:rPr>
        <w:t xml:space="preserve"> sensitive to temperature variations.</w:t>
      </w:r>
    </w:p>
    <w:p w14:paraId="48381830" w14:textId="039312B2" w:rsidR="00E052FE" w:rsidRPr="006069A7" w:rsidRDefault="005A1036" w:rsidP="00793D2D">
      <w:pPr>
        <w:jc w:val="both"/>
      </w:pPr>
      <w:r w:rsidRPr="006069A7">
        <w:rPr>
          <w:rFonts w:ascii="Arial" w:eastAsia="Calibri" w:hAnsi="Arial" w:cs="Arial"/>
          <w:sz w:val="20"/>
          <w:szCs w:val="20"/>
          <w:lang w:val="fr" w:eastAsia="zh-CN" w:bidi="ar"/>
        </w:rPr>
        <w:t>The kinetic parameters D, Z, and Ea are used to assess the degree of enzyme stability under temperature variations. The decimal reduction time (D) is the time required to reduce enzymatic activity by 90%, the thermal r</w:t>
      </w:r>
      <w:r w:rsidRPr="006069A7">
        <w:rPr>
          <w:rFonts w:ascii="Arial" w:eastAsia="Calibri" w:hAnsi="Arial" w:cs="Arial"/>
          <w:sz w:val="20"/>
          <w:szCs w:val="20"/>
          <w:lang w:val="fr" w:eastAsia="zh-CN" w:bidi="ar"/>
        </w:rPr>
        <w:t>esistance constant (Z) is the temperature increase needed to reduce the D value by 90%, and the activation energy (Ea) is the amount of energy required to maintain the enzyme-substrate complex in its activated form. The D values of the latent form are high</w:t>
      </w:r>
      <w:r w:rsidRPr="006069A7">
        <w:rPr>
          <w:rFonts w:ascii="Arial" w:eastAsia="Calibri" w:hAnsi="Arial" w:cs="Arial"/>
          <w:sz w:val="20"/>
          <w:szCs w:val="20"/>
          <w:lang w:val="fr" w:eastAsia="zh-CN" w:bidi="ar"/>
        </w:rPr>
        <w:t xml:space="preserve">er than those of the activated form at the same temperatures, indicating that Zrèzrou yam PPO is more stable to temperature variations in its latent form, as </w:t>
      </w:r>
      <w:proofErr w:type="gramStart"/>
      <w:r w:rsidRPr="006069A7">
        <w:rPr>
          <w:rFonts w:ascii="Arial" w:eastAsia="Calibri" w:hAnsi="Arial" w:cs="Arial"/>
          <w:sz w:val="20"/>
          <w:szCs w:val="20"/>
          <w:lang w:val="fr" w:eastAsia="zh-CN" w:bidi="ar"/>
        </w:rPr>
        <w:t>a</w:t>
      </w:r>
      <w:proofErr w:type="gramEnd"/>
      <w:r w:rsidRPr="006069A7">
        <w:rPr>
          <w:rFonts w:ascii="Arial" w:eastAsia="Calibri" w:hAnsi="Arial" w:cs="Arial"/>
          <w:sz w:val="20"/>
          <w:szCs w:val="20"/>
          <w:lang w:val="fr" w:eastAsia="zh-CN" w:bidi="ar"/>
        </w:rPr>
        <w:t xml:space="preserve"> high D value is indicative of better thermostability (Liu et al., 2021). This statement is suppo</w:t>
      </w:r>
      <w:r w:rsidRPr="006069A7">
        <w:rPr>
          <w:rFonts w:ascii="Arial" w:eastAsia="Calibri" w:hAnsi="Arial" w:cs="Arial"/>
          <w:sz w:val="20"/>
          <w:szCs w:val="20"/>
          <w:lang w:val="fr" w:eastAsia="zh-CN" w:bidi="ar"/>
        </w:rPr>
        <w:t>rted by the Z values obtained (25 °C for the latent form vs. 13.16 °C for the activated form). According to Wang et al. (202</w:t>
      </w:r>
      <w:r w:rsidR="005B6B4A" w:rsidRPr="006069A7">
        <w:rPr>
          <w:rFonts w:ascii="Arial" w:eastAsia="Calibri" w:hAnsi="Arial" w:cs="Arial"/>
          <w:sz w:val="20"/>
          <w:szCs w:val="20"/>
          <w:lang w:val="fr" w:eastAsia="zh-CN" w:bidi="ar"/>
        </w:rPr>
        <w:t>0</w:t>
      </w:r>
      <w:r w:rsidRPr="006069A7">
        <w:rPr>
          <w:rFonts w:ascii="Arial" w:eastAsia="Calibri" w:hAnsi="Arial" w:cs="Arial"/>
          <w:sz w:val="20"/>
          <w:szCs w:val="20"/>
          <w:lang w:val="fr" w:eastAsia="zh-CN" w:bidi="ar"/>
        </w:rPr>
        <w:t xml:space="preserve">), low Z values (&lt; 20 °C) indicate high heat sensitivity, while high values reveal increased resistance. The Z value of the latent </w:t>
      </w:r>
      <w:r w:rsidRPr="006069A7">
        <w:rPr>
          <w:rFonts w:ascii="Arial" w:eastAsia="Calibri" w:hAnsi="Arial" w:cs="Arial"/>
          <w:sz w:val="20"/>
          <w:szCs w:val="20"/>
          <w:lang w:val="fr" w:eastAsia="zh-CN" w:bidi="ar"/>
        </w:rPr>
        <w:t xml:space="preserve">form is lower than that reported </w:t>
      </w:r>
      <w:r w:rsidR="009C0024" w:rsidRPr="006069A7">
        <w:rPr>
          <w:rFonts w:ascii="Arial" w:eastAsia="Calibri" w:hAnsi="Arial" w:cs="Arial"/>
          <w:sz w:val="20"/>
          <w:szCs w:val="20"/>
          <w:lang w:val="fr" w:eastAsia="zh-CN" w:bidi="ar"/>
        </w:rPr>
        <w:t xml:space="preserve">for the PPO from taro (Yemenicioglu et al., 1997), indicating that the PPO from taro is more </w:t>
      </w:r>
      <w:r w:rsidRPr="006069A7">
        <w:rPr>
          <w:rFonts w:ascii="Arial" w:eastAsia="Calibri" w:hAnsi="Arial" w:cs="Arial"/>
          <w:sz w:val="20"/>
          <w:szCs w:val="20"/>
          <w:lang w:val="fr" w:eastAsia="zh-CN" w:bidi="ar"/>
        </w:rPr>
        <w:t>resistant to temperature variations than the latent form of Zrèzrou yam PPO. Conversely, the latent and activated forms of Zrèzrou</w:t>
      </w:r>
      <w:r w:rsidRPr="006069A7">
        <w:rPr>
          <w:rFonts w:ascii="Arial" w:eastAsia="Calibri" w:hAnsi="Arial" w:cs="Arial"/>
          <w:sz w:val="20"/>
          <w:szCs w:val="20"/>
          <w:lang w:val="fr" w:eastAsia="zh-CN" w:bidi="ar"/>
        </w:rPr>
        <w:t xml:space="preserve"> yam PPO are more heat-resistant than those reported by Tran et al. (2025) for fruits and vegetables (Z values ranging from 8.5 to 10.1 °C).</w:t>
      </w:r>
    </w:p>
    <w:p w14:paraId="305F083D" w14:textId="16F5F1AE" w:rsidR="00E052FE" w:rsidRPr="006069A7" w:rsidRDefault="005A1036" w:rsidP="00242CB3">
      <w:pPr>
        <w:spacing w:after="0" w:line="256" w:lineRule="auto"/>
        <w:jc w:val="both"/>
        <w:rPr>
          <w:rFonts w:ascii="Arial" w:hAnsi="Arial" w:cs="Arial"/>
          <w:sz w:val="20"/>
          <w:szCs w:val="20"/>
          <w:lang w:val="fr"/>
        </w:rPr>
      </w:pPr>
      <w:r w:rsidRPr="006069A7">
        <w:rPr>
          <w:rFonts w:ascii="Arial" w:eastAsia="Calibri" w:hAnsi="Arial" w:cs="Arial"/>
          <w:sz w:val="20"/>
          <w:szCs w:val="20"/>
          <w:lang w:val="fr" w:eastAsia="zh-CN" w:bidi="ar"/>
        </w:rPr>
        <w:t xml:space="preserve">The activation energy (Ea) values determined in the thermal inactivation range of latent and activated PPO are </w:t>
      </w:r>
      <w:proofErr w:type="gramStart"/>
      <w:r w:rsidRPr="006069A7">
        <w:rPr>
          <w:rFonts w:ascii="Arial" w:eastAsia="Calibri" w:hAnsi="Arial" w:cs="Arial"/>
          <w:sz w:val="20"/>
          <w:szCs w:val="20"/>
          <w:lang w:val="fr" w:eastAsia="zh-CN" w:bidi="ar"/>
        </w:rPr>
        <w:t>high</w:t>
      </w:r>
      <w:r w:rsidRPr="006069A7">
        <w:rPr>
          <w:rFonts w:ascii="Arial" w:eastAsia="Calibri" w:hAnsi="Arial" w:cs="Arial"/>
          <w:sz w:val="20"/>
          <w:szCs w:val="20"/>
          <w:lang w:val="fr" w:eastAsia="zh-CN" w:bidi="ar"/>
        </w:rPr>
        <w:t>:</w:t>
      </w:r>
      <w:proofErr w:type="gramEnd"/>
      <w:r w:rsidRPr="006069A7">
        <w:rPr>
          <w:rFonts w:ascii="Arial" w:eastAsia="Calibri" w:hAnsi="Arial" w:cs="Arial"/>
          <w:sz w:val="20"/>
          <w:szCs w:val="20"/>
          <w:lang w:val="fr" w:eastAsia="zh-CN" w:bidi="ar"/>
        </w:rPr>
        <w:t xml:space="preserve"> 77.24 kJ·mol⁻¹ for the latent form and 129.82 kJ·mol⁻¹ for the activated form. These positive values indicate the sensitivity of these enzymes to increasing temperature (Wang et al., 202</w:t>
      </w:r>
      <w:r w:rsidR="005B6B4A" w:rsidRPr="006069A7">
        <w:rPr>
          <w:rFonts w:ascii="Arial" w:eastAsia="Calibri" w:hAnsi="Arial" w:cs="Arial"/>
          <w:sz w:val="20"/>
          <w:szCs w:val="20"/>
          <w:lang w:val="fr" w:eastAsia="zh-CN" w:bidi="ar"/>
        </w:rPr>
        <w:t>0</w:t>
      </w:r>
      <w:r w:rsidRPr="006069A7">
        <w:rPr>
          <w:rFonts w:ascii="Arial" w:eastAsia="Calibri" w:hAnsi="Arial" w:cs="Arial"/>
          <w:sz w:val="20"/>
          <w:szCs w:val="20"/>
          <w:lang w:val="fr" w:eastAsia="zh-CN" w:bidi="ar"/>
        </w:rPr>
        <w:t>). Exposing zrèzrou PPO to SDS makes the enzyme thermolabile. The E</w:t>
      </w:r>
      <w:r w:rsidRPr="006069A7">
        <w:rPr>
          <w:rFonts w:ascii="Arial" w:eastAsia="Calibri" w:hAnsi="Arial" w:cs="Arial"/>
          <w:sz w:val="20"/>
          <w:szCs w:val="20"/>
          <w:lang w:val="fr" w:eastAsia="zh-CN" w:bidi="ar"/>
        </w:rPr>
        <w:t>a value in the thermal inactivation range (Kouamé et al., 2015) is much higher than that measured in the thermal activation range of the same enzyme. This activation energy is higher than those reported for rice PPO (23.3 kJ·mol⁻¹, A</w:t>
      </w:r>
      <w:r w:rsidR="00F00E07" w:rsidRPr="006069A7">
        <w:rPr>
          <w:rFonts w:ascii="Arial" w:eastAsia="Calibri" w:hAnsi="Arial" w:cs="Arial"/>
          <w:sz w:val="20"/>
          <w:szCs w:val="20"/>
          <w:lang w:val="fr" w:eastAsia="zh-CN" w:bidi="ar"/>
        </w:rPr>
        <w:t>g</w:t>
      </w:r>
      <w:r w:rsidRPr="006069A7">
        <w:rPr>
          <w:rFonts w:ascii="Arial" w:eastAsia="Calibri" w:hAnsi="Arial" w:cs="Arial"/>
          <w:sz w:val="20"/>
          <w:szCs w:val="20"/>
          <w:lang w:val="fr" w:eastAsia="zh-CN" w:bidi="ar"/>
        </w:rPr>
        <w:t>uilera et al., 1987, c</w:t>
      </w:r>
      <w:r w:rsidRPr="006069A7">
        <w:rPr>
          <w:rFonts w:ascii="Arial" w:eastAsia="Calibri" w:hAnsi="Arial" w:cs="Arial"/>
          <w:sz w:val="20"/>
          <w:szCs w:val="20"/>
          <w:lang w:val="fr" w:eastAsia="zh-CN" w:bidi="ar"/>
        </w:rPr>
        <w:t>ited by Xu et al., 2025), kiwifruit PPO (33.67 kJ·mol⁻¹, Park and Luh, 1985, cited by Wang et al., 202</w:t>
      </w:r>
      <w:r w:rsidR="00DB2514" w:rsidRPr="006069A7">
        <w:rPr>
          <w:rFonts w:ascii="Arial" w:eastAsia="Calibri" w:hAnsi="Arial" w:cs="Arial"/>
          <w:sz w:val="20"/>
          <w:szCs w:val="20"/>
          <w:lang w:val="fr" w:eastAsia="zh-CN" w:bidi="ar"/>
        </w:rPr>
        <w:t>0</w:t>
      </w:r>
      <w:r w:rsidRPr="006069A7">
        <w:rPr>
          <w:rFonts w:ascii="Arial" w:eastAsia="Calibri" w:hAnsi="Arial" w:cs="Arial"/>
          <w:sz w:val="20"/>
          <w:szCs w:val="20"/>
          <w:lang w:val="fr" w:eastAsia="zh-CN" w:bidi="ar"/>
        </w:rPr>
        <w:t xml:space="preserve">) </w:t>
      </w:r>
      <w:r w:rsidR="00A11A42" w:rsidRPr="006069A7">
        <w:rPr>
          <w:rFonts w:ascii="Arial" w:eastAsia="Calibri" w:hAnsi="Arial" w:cs="Arial"/>
          <w:sz w:val="20"/>
          <w:szCs w:val="20"/>
          <w:lang w:val="fr" w:eastAsia="zh-CN" w:bidi="ar"/>
        </w:rPr>
        <w:t xml:space="preserve">and </w:t>
      </w:r>
      <w:r w:rsidRPr="006069A7">
        <w:rPr>
          <w:rFonts w:ascii="Arial" w:eastAsia="Calibri" w:hAnsi="Arial" w:cs="Arial"/>
          <w:sz w:val="20"/>
          <w:szCs w:val="20"/>
          <w:lang w:val="fr" w:eastAsia="zh-CN" w:bidi="ar"/>
        </w:rPr>
        <w:t>plantain PPO (18 kJ·mol⁻¹, Ngalani et al., 1993, cited by Liu et al., 2021), but lower than th</w:t>
      </w:r>
      <w:r w:rsidR="00DB2514" w:rsidRPr="006069A7">
        <w:rPr>
          <w:rFonts w:ascii="Arial" w:eastAsia="Calibri" w:hAnsi="Arial" w:cs="Arial"/>
          <w:sz w:val="20"/>
          <w:szCs w:val="20"/>
          <w:lang w:val="fr" w:eastAsia="zh-CN" w:bidi="ar"/>
        </w:rPr>
        <w:t>at</w:t>
      </w:r>
      <w:r w:rsidRPr="006069A7">
        <w:rPr>
          <w:rFonts w:ascii="Arial" w:eastAsia="Calibri" w:hAnsi="Arial" w:cs="Arial"/>
          <w:sz w:val="20"/>
          <w:szCs w:val="20"/>
          <w:lang w:val="fr" w:eastAsia="zh-CN" w:bidi="ar"/>
        </w:rPr>
        <w:t xml:space="preserve"> of apple PPO (241–323 kJ·mol⁻¹, Yemenicioglu et al</w:t>
      </w:r>
      <w:r w:rsidRPr="006069A7">
        <w:rPr>
          <w:rFonts w:ascii="Arial" w:eastAsia="Calibri" w:hAnsi="Arial" w:cs="Arial"/>
          <w:sz w:val="20"/>
          <w:szCs w:val="20"/>
          <w:lang w:val="fr" w:eastAsia="zh-CN" w:bidi="ar"/>
        </w:rPr>
        <w:t>., 1997. Thus, the latent and activated forms of Zrèzrou yam PPO are more heat-sensitive than those of wild rice, plantain, kiwifruit, and "Longbô" yam, but less sensitive than those of banana, apple, and taro.</w:t>
      </w:r>
    </w:p>
    <w:p w14:paraId="2B6E15FB" w14:textId="1F58C138" w:rsidR="00E052FE" w:rsidRDefault="005A1036">
      <w:pPr>
        <w:spacing w:line="256" w:lineRule="auto"/>
        <w:jc w:val="both"/>
        <w:rPr>
          <w:rFonts w:ascii="Arial" w:hAnsi="Arial" w:cs="Arial"/>
          <w:sz w:val="20"/>
          <w:szCs w:val="20"/>
          <w:lang w:val="fr"/>
        </w:rPr>
      </w:pPr>
      <w:r w:rsidRPr="006069A7">
        <w:rPr>
          <w:rFonts w:ascii="Arial" w:eastAsia="Calibri" w:hAnsi="Arial" w:cs="Arial"/>
          <w:sz w:val="20"/>
          <w:szCs w:val="20"/>
          <w:lang w:val="fr" w:eastAsia="zh-CN" w:bidi="ar"/>
        </w:rPr>
        <w:t xml:space="preserve">Thermodynamic parameters (entropy, enthalpy, </w:t>
      </w:r>
      <w:r w:rsidRPr="006069A7">
        <w:rPr>
          <w:rFonts w:ascii="Arial" w:eastAsia="Calibri" w:hAnsi="Arial" w:cs="Arial"/>
          <w:sz w:val="20"/>
          <w:szCs w:val="20"/>
          <w:lang w:val="fr" w:eastAsia="zh-CN" w:bidi="ar"/>
        </w:rPr>
        <w:t>and Gibbs free energy) provide information on the probability, rate, and mode of catalytic reactions with different enzymes. The enthalpy (∆H</w:t>
      </w:r>
      <w:r w:rsidRPr="006069A7">
        <w:rPr>
          <w:rFonts w:ascii="Arial" w:eastAsia="Calibri" w:hAnsi="Arial" w:cs="Arial"/>
          <w:sz w:val="20"/>
          <w:szCs w:val="20"/>
          <w:vertAlign w:val="superscript"/>
          <w:lang w:val="fr" w:eastAsia="zh-CN" w:bidi="ar"/>
        </w:rPr>
        <w:t>#</w:t>
      </w:r>
      <w:r w:rsidRPr="006069A7">
        <w:rPr>
          <w:rFonts w:ascii="Arial" w:eastAsia="Calibri" w:hAnsi="Arial" w:cs="Arial"/>
          <w:sz w:val="20"/>
          <w:szCs w:val="20"/>
          <w:lang w:val="fr" w:eastAsia="zh-CN" w:bidi="ar"/>
        </w:rPr>
        <w:t>) value of zrèzrou yam latent PPO differs from that of the activated form, indicating that the number of non-coval</w:t>
      </w:r>
      <w:r w:rsidRPr="006069A7">
        <w:rPr>
          <w:rFonts w:ascii="Arial" w:eastAsia="Calibri" w:hAnsi="Arial" w:cs="Arial"/>
          <w:sz w:val="20"/>
          <w:szCs w:val="20"/>
          <w:lang w:val="fr" w:eastAsia="zh-CN" w:bidi="ar"/>
        </w:rPr>
        <w:t>ent bonds broken during transition state formation during inactivation of the latent form is very different from that observed for the activated form (Lee et al., 20</w:t>
      </w:r>
      <w:r w:rsidR="00756742" w:rsidRPr="006069A7">
        <w:rPr>
          <w:rFonts w:ascii="Arial" w:eastAsia="Calibri" w:hAnsi="Arial" w:cs="Arial"/>
          <w:sz w:val="20"/>
          <w:szCs w:val="20"/>
          <w:lang w:val="fr" w:eastAsia="zh-CN" w:bidi="ar"/>
        </w:rPr>
        <w:t>12</w:t>
      </w:r>
      <w:r w:rsidRPr="006069A7">
        <w:rPr>
          <w:rFonts w:ascii="Arial" w:eastAsia="Calibri" w:hAnsi="Arial" w:cs="Arial"/>
          <w:sz w:val="20"/>
          <w:szCs w:val="20"/>
          <w:lang w:val="fr" w:eastAsia="zh-CN" w:bidi="ar"/>
        </w:rPr>
        <w:t xml:space="preserve">). These reactions are strongly favored by a high degree of disorder for activated PPO, </w:t>
      </w:r>
      <w:r w:rsidRPr="006069A7">
        <w:rPr>
          <w:rFonts w:ascii="Arial" w:eastAsia="Calibri" w:hAnsi="Arial" w:cs="Arial"/>
          <w:sz w:val="20"/>
          <w:szCs w:val="20"/>
          <w:lang w:val="fr" w:eastAsia="zh-CN" w:bidi="ar"/>
        </w:rPr>
        <w:t>as evidenced by the high positive entropy values obtained. This result supports the hypothesis that SDS exposes the enzyme to heat effects. The high enthalpy values observed during thermal inactivation of Zrèzrou PPO indicate that the enzyme undergoes cons</w:t>
      </w:r>
      <w:r w:rsidRPr="006069A7">
        <w:rPr>
          <w:rFonts w:ascii="Arial" w:eastAsia="Calibri" w:hAnsi="Arial" w:cs="Arial"/>
          <w:sz w:val="20"/>
          <w:szCs w:val="20"/>
          <w:lang w:val="fr" w:eastAsia="zh-CN" w:bidi="ar"/>
        </w:rPr>
        <w:t>iderable conformational change to switch to its activated form during heat treatment (Xu et al., 2025). In the absence of SDS, this situation is further explained by the negative entropy values obtained, which are not close to zero. As a physical parameter</w:t>
      </w:r>
      <w:r w:rsidRPr="006069A7">
        <w:rPr>
          <w:rFonts w:ascii="Arial" w:eastAsia="Calibri" w:hAnsi="Arial" w:cs="Arial"/>
          <w:sz w:val="20"/>
          <w:szCs w:val="20"/>
          <w:lang w:val="fr" w:eastAsia="zh-CN" w:bidi="ar"/>
        </w:rPr>
        <w:t xml:space="preserve"> related to reactant concentration, steric hindrance, and the orientation of functional groups, entropy can be interpreted as a measure of the degree of disorder of a system at the microscopic level (Lu et al., 2025). Thus, the higher the entropy of the sy</w:t>
      </w:r>
      <w:r w:rsidRPr="006069A7">
        <w:rPr>
          <w:rFonts w:ascii="Arial" w:eastAsia="Calibri" w:hAnsi="Arial" w:cs="Arial"/>
          <w:sz w:val="20"/>
          <w:szCs w:val="20"/>
          <w:lang w:val="fr" w:eastAsia="zh-CN" w:bidi="ar"/>
        </w:rPr>
        <w:t>stem, the less ordered and interconnected its components are, the less capable they are of producing effects, and the greater the proportion of energy used to perform work hence the high free energy values. The low ∆S</w:t>
      </w:r>
      <w:r w:rsidRPr="006069A7">
        <w:rPr>
          <w:rFonts w:ascii="Arial" w:eastAsia="Calibri" w:hAnsi="Arial" w:cs="Arial"/>
          <w:sz w:val="20"/>
          <w:szCs w:val="20"/>
          <w:vertAlign w:val="superscript"/>
          <w:lang w:val="fr" w:eastAsia="zh-CN" w:bidi="ar"/>
        </w:rPr>
        <w:t>#</w:t>
      </w:r>
      <w:r w:rsidRPr="006069A7">
        <w:rPr>
          <w:rFonts w:ascii="Arial" w:eastAsia="Calibri" w:hAnsi="Arial" w:cs="Arial"/>
          <w:sz w:val="20"/>
          <w:szCs w:val="20"/>
          <w:lang w:val="fr" w:eastAsia="zh-CN" w:bidi="ar"/>
        </w:rPr>
        <w:t xml:space="preserve"> values of </w:t>
      </w:r>
      <w:r w:rsidR="00242CB3" w:rsidRPr="006069A7">
        <w:rPr>
          <w:rFonts w:ascii="Arial" w:eastAsia="Calibri" w:hAnsi="Arial" w:cs="Arial"/>
          <w:sz w:val="20"/>
          <w:szCs w:val="20"/>
          <w:lang w:val="fr" w:eastAsia="zh-CN" w:bidi="ar"/>
        </w:rPr>
        <w:t>z</w:t>
      </w:r>
      <w:r w:rsidRPr="006069A7">
        <w:rPr>
          <w:rFonts w:ascii="Arial" w:eastAsia="Calibri" w:hAnsi="Arial" w:cs="Arial"/>
          <w:sz w:val="20"/>
          <w:szCs w:val="20"/>
          <w:lang w:val="fr" w:eastAsia="zh-CN" w:bidi="ar"/>
        </w:rPr>
        <w:t>rèzrou yam latent PPO refl</w:t>
      </w:r>
      <w:r w:rsidRPr="006069A7">
        <w:rPr>
          <w:rFonts w:ascii="Arial" w:eastAsia="Calibri" w:hAnsi="Arial" w:cs="Arial"/>
          <w:sz w:val="20"/>
          <w:szCs w:val="20"/>
          <w:lang w:val="fr" w:eastAsia="zh-CN" w:bidi="ar"/>
        </w:rPr>
        <w:t>ect a low state of disorder during the transition state following thermal inactivation, which naturally leads to a reduction in enthalpy (∆H</w:t>
      </w:r>
      <w:r w:rsidRPr="006069A7">
        <w:rPr>
          <w:rFonts w:ascii="Arial" w:eastAsia="Calibri" w:hAnsi="Arial" w:cs="Arial"/>
          <w:sz w:val="20"/>
          <w:szCs w:val="20"/>
          <w:vertAlign w:val="superscript"/>
          <w:lang w:val="fr" w:eastAsia="zh-CN" w:bidi="ar"/>
        </w:rPr>
        <w:t>#</w:t>
      </w:r>
      <w:r w:rsidRPr="006069A7">
        <w:rPr>
          <w:rFonts w:ascii="Arial" w:eastAsia="Calibri" w:hAnsi="Arial" w:cs="Arial"/>
          <w:sz w:val="20"/>
          <w:szCs w:val="20"/>
          <w:lang w:val="fr" w:eastAsia="zh-CN" w:bidi="ar"/>
        </w:rPr>
        <w:t xml:space="preserve">) values. </w:t>
      </w:r>
      <w:r w:rsidRPr="006069A7">
        <w:rPr>
          <w:rFonts w:ascii="Arial" w:eastAsia="Calibri" w:hAnsi="Arial" w:cs="Arial"/>
          <w:sz w:val="20"/>
          <w:szCs w:val="20"/>
          <w:lang w:val="en-US" w:eastAsia="zh-CN" w:bidi="ar"/>
        </w:rPr>
        <w:t xml:space="preserve">The entropy of the activated form becomes positive; in this case, according to </w:t>
      </w:r>
      <w:r w:rsidR="004928C5" w:rsidRPr="006069A7">
        <w:rPr>
          <w:rFonts w:ascii="Arial" w:eastAsia="Calibri" w:hAnsi="Arial" w:cs="Arial"/>
          <w:sz w:val="20"/>
          <w:szCs w:val="20"/>
          <w:lang w:val="en-US" w:eastAsia="zh-CN" w:bidi="ar"/>
        </w:rPr>
        <w:t>(</w:t>
      </w:r>
      <w:r w:rsidRPr="006069A7">
        <w:rPr>
          <w:rFonts w:ascii="Arial" w:eastAsia="Calibri" w:hAnsi="Arial" w:cs="Arial"/>
          <w:sz w:val="20"/>
          <w:szCs w:val="20"/>
          <w:lang w:val="en-US" w:eastAsia="zh-CN" w:bidi="ar"/>
        </w:rPr>
        <w:t>Xu et al., 2025), the agg</w:t>
      </w:r>
      <w:r w:rsidRPr="006069A7">
        <w:rPr>
          <w:rFonts w:ascii="Arial" w:eastAsia="Calibri" w:hAnsi="Arial" w:cs="Arial"/>
          <w:sz w:val="20"/>
          <w:szCs w:val="20"/>
          <w:lang w:val="en-US" w:eastAsia="zh-CN" w:bidi="ar"/>
        </w:rPr>
        <w:t>regate formation process becomes negligible, indicating that the denaturation of the activated form is irreversible</w:t>
      </w:r>
      <w:r>
        <w:rPr>
          <w:rFonts w:ascii="Arial" w:eastAsia="Calibri" w:hAnsi="Arial" w:cs="Arial"/>
          <w:sz w:val="20"/>
          <w:szCs w:val="20"/>
          <w:lang w:val="en-US" w:eastAsia="zh-CN" w:bidi="ar"/>
        </w:rPr>
        <w:t>.</w:t>
      </w:r>
    </w:p>
    <w:p w14:paraId="196BFEDB" w14:textId="77777777" w:rsidR="00E052FE" w:rsidRDefault="005A1036">
      <w:pPr>
        <w:spacing w:after="0" w:line="240" w:lineRule="auto"/>
        <w:jc w:val="right"/>
        <w:rPr>
          <w:rFonts w:ascii="Arial" w:hAnsi="Arial" w:cs="Arial"/>
          <w:b/>
          <w:bCs/>
        </w:rPr>
      </w:pPr>
      <w:r>
        <w:rPr>
          <w:rFonts w:ascii="Arial" w:hAnsi="Arial" w:cs="Arial"/>
          <w:b/>
          <w:bCs/>
        </w:rPr>
        <w:t>5. CONCLUSION</w:t>
      </w:r>
    </w:p>
    <w:p w14:paraId="1B49049B" w14:textId="77777777" w:rsidR="00E052FE" w:rsidRDefault="00E052FE">
      <w:pPr>
        <w:spacing w:after="0" w:line="240" w:lineRule="auto"/>
        <w:jc w:val="both"/>
        <w:rPr>
          <w:rFonts w:ascii="Arial" w:hAnsi="Arial" w:cs="Arial"/>
          <w:b/>
          <w:bCs/>
        </w:rPr>
      </w:pPr>
    </w:p>
    <w:p w14:paraId="1B9E78BB" w14:textId="225FA209" w:rsidR="00E052FE" w:rsidRPr="00242CB3" w:rsidRDefault="005A1036">
      <w:pPr>
        <w:spacing w:after="0" w:line="240" w:lineRule="auto"/>
        <w:jc w:val="both"/>
        <w:rPr>
          <w:rFonts w:ascii="Arial" w:hAnsi="Arial" w:cs="Arial"/>
          <w:sz w:val="20"/>
          <w:szCs w:val="20"/>
          <w:lang w:val="en"/>
        </w:rPr>
      </w:pPr>
      <w:r w:rsidRPr="00242CB3">
        <w:rPr>
          <w:rFonts w:ascii="Arial" w:hAnsi="Arial" w:cs="Arial"/>
          <w:sz w:val="20"/>
          <w:szCs w:val="20"/>
          <w:lang w:val="en"/>
        </w:rPr>
        <w:t>In conclusion, this study highlighted significant differences between the kinetic and thermodynamic properties of the latent</w:t>
      </w:r>
      <w:r w:rsidRPr="00242CB3">
        <w:rPr>
          <w:rFonts w:ascii="Arial" w:hAnsi="Arial" w:cs="Arial"/>
          <w:sz w:val="20"/>
          <w:szCs w:val="20"/>
          <w:lang w:val="en"/>
        </w:rPr>
        <w:t xml:space="preserve"> and activated forms of PPO from the </w:t>
      </w:r>
      <w:r w:rsidR="00242CB3">
        <w:rPr>
          <w:rFonts w:ascii="Arial" w:hAnsi="Arial" w:cs="Arial"/>
          <w:sz w:val="20"/>
          <w:szCs w:val="20"/>
          <w:lang w:val="en"/>
        </w:rPr>
        <w:t>z</w:t>
      </w:r>
      <w:r w:rsidRPr="00242CB3">
        <w:rPr>
          <w:rFonts w:ascii="Arial" w:hAnsi="Arial" w:cs="Arial"/>
          <w:sz w:val="20"/>
          <w:szCs w:val="20"/>
          <w:lang w:val="en"/>
        </w:rPr>
        <w:t>rèzrou yam, an economically important Ivorian cultivar. The study of kinetic parameters such as Km and Vmax</w:t>
      </w:r>
      <w:r w:rsidRPr="00242CB3">
        <w:rPr>
          <w:rFonts w:ascii="Arial" w:hAnsi="Arial" w:cs="Arial"/>
          <w:sz w:val="20"/>
          <w:szCs w:val="20"/>
          <w:lang w:val="en"/>
        </w:rPr>
        <w:t xml:space="preserve"> revealed that Km values are identical for the latent and activated forms of the </w:t>
      </w:r>
      <w:r w:rsidR="00242CB3">
        <w:rPr>
          <w:rFonts w:ascii="Arial" w:hAnsi="Arial" w:cs="Arial"/>
          <w:sz w:val="20"/>
          <w:szCs w:val="20"/>
          <w:lang w:val="en"/>
        </w:rPr>
        <w:t>z</w:t>
      </w:r>
      <w:r w:rsidRPr="00242CB3">
        <w:rPr>
          <w:rFonts w:ascii="Arial" w:hAnsi="Arial" w:cs="Arial"/>
          <w:sz w:val="20"/>
          <w:szCs w:val="20"/>
          <w:lang w:val="en"/>
        </w:rPr>
        <w:t xml:space="preserve">rèzrou yam polyphenol </w:t>
      </w:r>
      <w:r w:rsidRPr="00242CB3">
        <w:rPr>
          <w:rFonts w:ascii="Arial" w:hAnsi="Arial" w:cs="Arial"/>
          <w:sz w:val="20"/>
          <w:szCs w:val="20"/>
          <w:lang w:val="en"/>
        </w:rPr>
        <w:t>oxidase, but Vmax values differed between these two forms, with high catalytic efficiency for dopamine in both forms. The thermal inactivation of dopamine oxidase was described by a first-order kinetic model regardless of the enzyme</w:t>
      </w:r>
      <w:r>
        <w:rPr>
          <w:rFonts w:ascii="Arial" w:hAnsi="Arial" w:cs="Arial"/>
          <w:lang w:val="en"/>
        </w:rPr>
        <w:t xml:space="preserve"> </w:t>
      </w:r>
      <w:r w:rsidRPr="00242CB3">
        <w:rPr>
          <w:rFonts w:ascii="Arial" w:hAnsi="Arial" w:cs="Arial"/>
          <w:sz w:val="20"/>
          <w:szCs w:val="20"/>
          <w:lang w:val="en"/>
        </w:rPr>
        <w:t>form. The oxidation rea</w:t>
      </w:r>
      <w:r w:rsidRPr="00242CB3">
        <w:rPr>
          <w:rFonts w:ascii="Arial" w:hAnsi="Arial" w:cs="Arial"/>
          <w:sz w:val="20"/>
          <w:szCs w:val="20"/>
          <w:lang w:val="en"/>
        </w:rPr>
        <w:t>ctions catalyzed by this enzyme are not spontaneous, as the free energy values are positive (ΔG</w:t>
      </w:r>
      <w:r w:rsidR="00242CB3">
        <w:rPr>
          <w:rFonts w:ascii="Arial" w:eastAsia="Calibri" w:hAnsi="Arial" w:cs="Arial"/>
          <w:sz w:val="20"/>
          <w:szCs w:val="20"/>
          <w:vertAlign w:val="superscript"/>
          <w:lang w:val="fr" w:eastAsia="zh-CN" w:bidi="ar"/>
        </w:rPr>
        <w:t>#</w:t>
      </w:r>
      <w:r w:rsidRPr="00242CB3">
        <w:rPr>
          <w:rFonts w:ascii="Arial" w:hAnsi="Arial" w:cs="Arial"/>
          <w:sz w:val="20"/>
          <w:szCs w:val="20"/>
          <w:lang w:val="en"/>
        </w:rPr>
        <w:t xml:space="preserve"> &gt; 0). They are endothermic (the enthalpy values (∆H</w:t>
      </w:r>
      <w:r w:rsidR="00242CB3">
        <w:rPr>
          <w:rFonts w:ascii="Arial" w:eastAsia="Calibri" w:hAnsi="Arial" w:cs="Arial"/>
          <w:sz w:val="20"/>
          <w:szCs w:val="20"/>
          <w:vertAlign w:val="superscript"/>
          <w:lang w:val="fr" w:eastAsia="zh-CN" w:bidi="ar"/>
        </w:rPr>
        <w:t>#</w:t>
      </w:r>
      <w:r w:rsidRPr="00242CB3">
        <w:rPr>
          <w:rFonts w:ascii="Arial" w:hAnsi="Arial" w:cs="Arial"/>
          <w:sz w:val="20"/>
          <w:szCs w:val="20"/>
          <w:lang w:val="en"/>
        </w:rPr>
        <w:t>) are positive), reversible in the absence of SDS and irreversible in the presence of SDS because the avera</w:t>
      </w:r>
      <w:r w:rsidRPr="00242CB3">
        <w:rPr>
          <w:rFonts w:ascii="Arial" w:hAnsi="Arial" w:cs="Arial"/>
          <w:sz w:val="20"/>
          <w:szCs w:val="20"/>
          <w:lang w:val="en"/>
        </w:rPr>
        <w:t>ge entropy values are respectively less than and greater than zero (∆S</w:t>
      </w:r>
      <w:r w:rsidR="00242CB3">
        <w:rPr>
          <w:rFonts w:ascii="Arial" w:eastAsia="Calibri" w:hAnsi="Arial" w:cs="Arial"/>
          <w:sz w:val="20"/>
          <w:szCs w:val="20"/>
          <w:vertAlign w:val="superscript"/>
          <w:lang w:val="fr" w:eastAsia="zh-CN" w:bidi="ar"/>
        </w:rPr>
        <w:t>#</w:t>
      </w:r>
      <w:r w:rsidRPr="00242CB3">
        <w:rPr>
          <w:rFonts w:ascii="Arial" w:hAnsi="Arial" w:cs="Arial"/>
          <w:sz w:val="20"/>
          <w:szCs w:val="20"/>
          <w:lang w:val="en"/>
        </w:rPr>
        <w:t xml:space="preserve"> &lt; 0 and ∆S</w:t>
      </w:r>
      <w:r w:rsidR="00242CB3">
        <w:rPr>
          <w:rFonts w:ascii="Arial" w:eastAsia="Calibri" w:hAnsi="Arial" w:cs="Arial"/>
          <w:sz w:val="20"/>
          <w:szCs w:val="20"/>
          <w:vertAlign w:val="superscript"/>
          <w:lang w:val="fr" w:eastAsia="zh-CN" w:bidi="ar"/>
        </w:rPr>
        <w:t>#</w:t>
      </w:r>
      <w:r w:rsidRPr="00242CB3">
        <w:rPr>
          <w:rFonts w:ascii="Arial" w:hAnsi="Arial" w:cs="Arial"/>
          <w:sz w:val="20"/>
          <w:szCs w:val="20"/>
          <w:lang w:val="en"/>
        </w:rPr>
        <w:t xml:space="preserve"> &gt; 0).</w:t>
      </w:r>
    </w:p>
    <w:p w14:paraId="43187612" w14:textId="714D6130" w:rsidR="00E052FE" w:rsidRPr="00242CB3" w:rsidRDefault="005A1036">
      <w:pPr>
        <w:spacing w:after="0" w:line="240" w:lineRule="auto"/>
        <w:jc w:val="both"/>
        <w:rPr>
          <w:rFonts w:ascii="Arial" w:hAnsi="Arial" w:cs="Arial"/>
          <w:sz w:val="20"/>
          <w:szCs w:val="20"/>
        </w:rPr>
      </w:pPr>
      <w:r w:rsidRPr="00242CB3">
        <w:rPr>
          <w:rFonts w:ascii="Arial" w:hAnsi="Arial" w:cs="Arial"/>
          <w:sz w:val="20"/>
          <w:szCs w:val="20"/>
          <w:lang w:val="en"/>
        </w:rPr>
        <w:lastRenderedPageBreak/>
        <w:t>These results contribute to a better understanding of the regulatory mechanisms of PPO in this species and provide a scientific basis for developing effective strateg</w:t>
      </w:r>
      <w:r w:rsidRPr="00242CB3">
        <w:rPr>
          <w:rFonts w:ascii="Arial" w:hAnsi="Arial" w:cs="Arial"/>
          <w:sz w:val="20"/>
          <w:szCs w:val="20"/>
          <w:lang w:val="en"/>
        </w:rPr>
        <w:t>ies to control enzymatic browning</w:t>
      </w:r>
      <w:r w:rsidRPr="00242CB3">
        <w:rPr>
          <w:rFonts w:ascii="Arial" w:hAnsi="Arial" w:cs="Arial"/>
          <w:sz w:val="20"/>
          <w:szCs w:val="20"/>
        </w:rPr>
        <w:t xml:space="preserve">. </w:t>
      </w:r>
      <w:r w:rsidRPr="00242CB3">
        <w:rPr>
          <w:rFonts w:ascii="Arial" w:hAnsi="Arial" w:cs="Arial"/>
          <w:sz w:val="20"/>
          <w:szCs w:val="20"/>
          <w:lang w:val="en"/>
        </w:rPr>
        <w:t>The research avenues opened up by this work should allow for a deeper understanding of this knowledge and promote the optimal use of yam in Côte d'Ivoire. Like any study, this work has some limitations. First, PPO activat</w:t>
      </w:r>
      <w:r w:rsidRPr="00242CB3">
        <w:rPr>
          <w:rFonts w:ascii="Arial" w:hAnsi="Arial" w:cs="Arial"/>
          <w:sz w:val="20"/>
          <w:szCs w:val="20"/>
          <w:lang w:val="en"/>
        </w:rPr>
        <w:t xml:space="preserve">ion was carried out in vitro under controlled conditions, which may not exactly reflect in vivo conditions in tuber tissues. Further studies are therefore needed to investigate PPO activation under conditions closer to reality. Future research could focus </w:t>
      </w:r>
      <w:r w:rsidRPr="00242CB3">
        <w:rPr>
          <w:rFonts w:ascii="Arial" w:hAnsi="Arial" w:cs="Arial"/>
          <w:sz w:val="20"/>
          <w:szCs w:val="20"/>
          <w:lang w:val="en"/>
        </w:rPr>
        <w:t>on identifying the factors that govern this activation (inhibitory proteins, post-translational modifications, etc.) and on the structural characterization of the latent and activated forms of the enzyme. This would validate the usefulness of the data obta</w:t>
      </w:r>
      <w:r w:rsidRPr="00242CB3">
        <w:rPr>
          <w:rFonts w:ascii="Arial" w:hAnsi="Arial" w:cs="Arial"/>
          <w:sz w:val="20"/>
          <w:szCs w:val="20"/>
          <w:lang w:val="en"/>
        </w:rPr>
        <w:t xml:space="preserve">ined for the industrial and food processing of </w:t>
      </w:r>
      <w:r w:rsidR="00242CB3" w:rsidRPr="00242CB3">
        <w:rPr>
          <w:rFonts w:ascii="Arial" w:hAnsi="Arial" w:cs="Arial"/>
          <w:sz w:val="20"/>
          <w:szCs w:val="20"/>
          <w:lang w:val="en"/>
        </w:rPr>
        <w:t>z</w:t>
      </w:r>
      <w:r w:rsidRPr="00242CB3">
        <w:rPr>
          <w:rFonts w:ascii="Arial" w:hAnsi="Arial" w:cs="Arial"/>
          <w:sz w:val="20"/>
          <w:szCs w:val="20"/>
          <w:lang w:val="en"/>
        </w:rPr>
        <w:t>rèzrou yam.</w:t>
      </w:r>
    </w:p>
    <w:p w14:paraId="74A847B3" w14:textId="77777777" w:rsidR="00E052FE" w:rsidRDefault="00E052FE">
      <w:pPr>
        <w:spacing w:after="0" w:line="240" w:lineRule="auto"/>
        <w:jc w:val="both"/>
        <w:rPr>
          <w:rFonts w:ascii="Arial" w:hAnsi="Arial" w:cs="Arial"/>
        </w:rPr>
      </w:pPr>
    </w:p>
    <w:p w14:paraId="12CBC581" w14:textId="77777777" w:rsidR="00E052FE" w:rsidRDefault="005A1036" w:rsidP="00242CB3">
      <w:pPr>
        <w:spacing w:after="0" w:line="240" w:lineRule="auto"/>
        <w:jc w:val="right"/>
        <w:rPr>
          <w:rFonts w:ascii="Arial" w:hAnsi="Arial" w:cs="Arial"/>
          <w:b/>
          <w:bCs/>
          <w:lang w:val="en"/>
        </w:rPr>
      </w:pPr>
      <w:r>
        <w:rPr>
          <w:rFonts w:ascii="Arial" w:hAnsi="Arial" w:cs="Arial"/>
          <w:b/>
          <w:bCs/>
        </w:rPr>
        <w:t>R</w:t>
      </w:r>
      <w:r>
        <w:rPr>
          <w:rFonts w:ascii="Arial" w:hAnsi="Arial" w:cs="Arial"/>
          <w:b/>
          <w:bCs/>
          <w:lang w:val="en"/>
        </w:rPr>
        <w:t>EFERENCES</w:t>
      </w:r>
    </w:p>
    <w:p w14:paraId="244DFB2B" w14:textId="1BEB81DE" w:rsidR="00092879" w:rsidRPr="00D85635" w:rsidRDefault="00092879" w:rsidP="00092879">
      <w:pPr>
        <w:jc w:val="both"/>
        <w:rPr>
          <w:rFonts w:ascii="Arial" w:hAnsi="Arial" w:cs="Arial"/>
          <w:i/>
          <w:sz w:val="20"/>
          <w:szCs w:val="20"/>
        </w:rPr>
      </w:pPr>
      <w:r w:rsidRPr="00D85635">
        <w:rPr>
          <w:rFonts w:ascii="Arial" w:eastAsia="Times New Roman" w:hAnsi="Arial" w:cs="Arial"/>
          <w:color w:val="000000"/>
          <w:sz w:val="20"/>
          <w:szCs w:val="20"/>
          <w:lang w:eastAsia="fr-FR"/>
        </w:rPr>
        <w:t xml:space="preserve">Al-Jeddawi W, Northcutt JK, Dawson P (2023). Effect of pre-treatment and freezing on the polyphenol oxidase activity and color stability of sliced peaches. J Sci Food Agric. 2023 </w:t>
      </w:r>
      <w:proofErr w:type="gramStart"/>
      <w:r w:rsidRPr="00D85635">
        <w:rPr>
          <w:rFonts w:ascii="Arial" w:eastAsia="Times New Roman" w:hAnsi="Arial" w:cs="Arial"/>
          <w:color w:val="000000"/>
          <w:sz w:val="20"/>
          <w:szCs w:val="20"/>
          <w:lang w:eastAsia="fr-FR"/>
        </w:rPr>
        <w:t>May;</w:t>
      </w:r>
      <w:proofErr w:type="gramEnd"/>
      <w:r w:rsidRPr="00D85635">
        <w:rPr>
          <w:rFonts w:ascii="Arial" w:eastAsia="Times New Roman" w:hAnsi="Arial" w:cs="Arial"/>
          <w:color w:val="000000"/>
          <w:sz w:val="20"/>
          <w:szCs w:val="20"/>
          <w:lang w:eastAsia="fr-FR"/>
        </w:rPr>
        <w:t xml:space="preserve">103(7):3376-3389. </w:t>
      </w:r>
      <w:proofErr w:type="gramStart"/>
      <w:r w:rsidR="00093734" w:rsidRPr="00D85635">
        <w:rPr>
          <w:rFonts w:ascii="Arial" w:hAnsi="Arial" w:cs="Arial"/>
          <w:sz w:val="20"/>
          <w:szCs w:val="20"/>
        </w:rPr>
        <w:t>https://doi.org/</w:t>
      </w:r>
      <w:r w:rsidRPr="00D85635">
        <w:rPr>
          <w:rFonts w:ascii="Arial" w:eastAsia="Times New Roman" w:hAnsi="Arial" w:cs="Arial"/>
          <w:color w:val="000000"/>
          <w:sz w:val="20"/>
          <w:szCs w:val="20"/>
          <w:lang w:eastAsia="fr-FR"/>
        </w:rPr>
        <w:t>doi:</w:t>
      </w:r>
      <w:proofErr w:type="gramEnd"/>
      <w:r w:rsidRPr="00D85635">
        <w:rPr>
          <w:rFonts w:ascii="Arial" w:eastAsia="Times New Roman" w:hAnsi="Arial" w:cs="Arial"/>
          <w:color w:val="000000"/>
          <w:sz w:val="20"/>
          <w:szCs w:val="20"/>
          <w:lang w:eastAsia="fr-FR"/>
        </w:rPr>
        <w:t xml:space="preserve"> 10.1002/jsfa.12495. </w:t>
      </w:r>
      <w:proofErr w:type="gramStart"/>
      <w:r w:rsidRPr="00D85635">
        <w:rPr>
          <w:rFonts w:ascii="Arial" w:eastAsia="Times New Roman" w:hAnsi="Arial" w:cs="Arial"/>
          <w:color w:val="000000"/>
          <w:sz w:val="20"/>
          <w:szCs w:val="20"/>
          <w:lang w:eastAsia="fr-FR"/>
        </w:rPr>
        <w:t>Epub  Feb</w:t>
      </w:r>
      <w:proofErr w:type="gramEnd"/>
      <w:r w:rsidRPr="00D85635">
        <w:rPr>
          <w:rFonts w:ascii="Arial" w:eastAsia="Times New Roman" w:hAnsi="Arial" w:cs="Arial"/>
          <w:color w:val="000000"/>
          <w:sz w:val="20"/>
          <w:szCs w:val="20"/>
          <w:lang w:eastAsia="fr-FR"/>
        </w:rPr>
        <w:t xml:space="preserve"> 24. </w:t>
      </w:r>
      <w:proofErr w:type="gramStart"/>
      <w:r w:rsidRPr="00D85635">
        <w:rPr>
          <w:rFonts w:ascii="Arial" w:eastAsia="Times New Roman" w:hAnsi="Arial" w:cs="Arial"/>
          <w:color w:val="000000"/>
          <w:sz w:val="20"/>
          <w:szCs w:val="20"/>
          <w:lang w:eastAsia="fr-FR"/>
        </w:rPr>
        <w:t>PMID:</w:t>
      </w:r>
      <w:proofErr w:type="gramEnd"/>
      <w:r w:rsidRPr="00D85635">
        <w:rPr>
          <w:rFonts w:ascii="Arial" w:eastAsia="Times New Roman" w:hAnsi="Arial" w:cs="Arial"/>
          <w:color w:val="000000"/>
          <w:sz w:val="20"/>
          <w:szCs w:val="20"/>
          <w:lang w:eastAsia="fr-FR"/>
        </w:rPr>
        <w:t xml:space="preserve"> 36764928.</w:t>
      </w:r>
    </w:p>
    <w:p w14:paraId="04759B32" w14:textId="2C31F272" w:rsidR="00151CE0" w:rsidRPr="00D85635" w:rsidRDefault="00151CE0" w:rsidP="00143C45">
      <w:pPr>
        <w:pStyle w:val="NormalWeb"/>
        <w:jc w:val="both"/>
        <w:rPr>
          <w:rStyle w:val="Hyperlink"/>
          <w:rFonts w:ascii="Arial" w:hAnsi="Arial" w:cs="Arial"/>
          <w:sz w:val="20"/>
          <w:szCs w:val="20"/>
        </w:rPr>
      </w:pPr>
      <w:r w:rsidRPr="00D85635">
        <w:rPr>
          <w:rFonts w:ascii="Arial" w:hAnsi="Arial" w:cs="Arial"/>
          <w:sz w:val="20"/>
          <w:szCs w:val="20"/>
        </w:rPr>
        <w:t xml:space="preserve">Aquilera JM, Oppermann K., Sanchez F. (1987). Kinetics of browning of sultana grapes. </w:t>
      </w:r>
      <w:r w:rsidRPr="00D85635">
        <w:rPr>
          <w:rFonts w:ascii="Arial" w:hAnsi="Arial" w:cs="Arial"/>
          <w:i/>
          <w:sz w:val="20"/>
          <w:szCs w:val="20"/>
        </w:rPr>
        <w:t>Journal of Food Science</w:t>
      </w:r>
      <w:r w:rsidRPr="00D85635">
        <w:rPr>
          <w:rFonts w:ascii="Arial" w:hAnsi="Arial" w:cs="Arial"/>
          <w:sz w:val="20"/>
          <w:szCs w:val="20"/>
        </w:rPr>
        <w:t>, 52: 990-993.</w:t>
      </w:r>
      <w:r w:rsidR="00143C45" w:rsidRPr="00D85635">
        <w:rPr>
          <w:rStyle w:val="CommentReference"/>
          <w:rFonts w:ascii="Arial" w:hAnsi="Arial" w:cs="Arial"/>
          <w:sz w:val="20"/>
          <w:szCs w:val="20"/>
        </w:rPr>
        <w:t xml:space="preserve"> </w:t>
      </w:r>
      <w:r w:rsidR="00143C45" w:rsidRPr="00D85635">
        <w:rPr>
          <w:rFonts w:ascii="Arial" w:hAnsi="Arial" w:cs="Arial"/>
          <w:sz w:val="20"/>
          <w:szCs w:val="20"/>
        </w:rPr>
        <w:t>https://doi.org/</w:t>
      </w:r>
      <w:hyperlink r:id="rId25" w:history="1">
        <w:r w:rsidR="00143C45" w:rsidRPr="00D85635">
          <w:rPr>
            <w:rStyle w:val="Hyperlink"/>
            <w:rFonts w:ascii="Arial" w:hAnsi="Arial" w:cs="Arial"/>
            <w:sz w:val="20"/>
            <w:szCs w:val="20"/>
          </w:rPr>
          <w:t>10.1111/j.1365-</w:t>
        </w:r>
        <w:proofErr w:type="gramStart"/>
        <w:r w:rsidR="00143C45" w:rsidRPr="00D85635">
          <w:rPr>
            <w:rStyle w:val="Hyperlink"/>
            <w:rFonts w:ascii="Arial" w:hAnsi="Arial" w:cs="Arial"/>
            <w:sz w:val="20"/>
            <w:szCs w:val="20"/>
          </w:rPr>
          <w:t>2621.1987.tb</w:t>
        </w:r>
        <w:proofErr w:type="gramEnd"/>
        <w:r w:rsidR="00143C45" w:rsidRPr="00D85635">
          <w:rPr>
            <w:rStyle w:val="Hyperlink"/>
            <w:rFonts w:ascii="Arial" w:hAnsi="Arial" w:cs="Arial"/>
            <w:sz w:val="20"/>
            <w:szCs w:val="20"/>
          </w:rPr>
          <w:t>14258.x</w:t>
        </w:r>
      </w:hyperlink>
    </w:p>
    <w:p w14:paraId="19F64DAC" w14:textId="77777777" w:rsidR="00143C45" w:rsidRPr="00D85635" w:rsidRDefault="00143C45" w:rsidP="00143C45">
      <w:pPr>
        <w:pStyle w:val="NormalWeb"/>
        <w:jc w:val="both"/>
        <w:rPr>
          <w:rFonts w:ascii="Arial" w:hAnsi="Arial" w:cs="Arial"/>
          <w:sz w:val="20"/>
          <w:szCs w:val="20"/>
        </w:rPr>
      </w:pPr>
    </w:p>
    <w:p w14:paraId="647B39B4" w14:textId="6868150C" w:rsidR="00151CE0" w:rsidRPr="00D85635" w:rsidRDefault="00151CE0" w:rsidP="00151CE0">
      <w:pPr>
        <w:spacing w:after="0" w:line="240" w:lineRule="auto"/>
        <w:jc w:val="both"/>
        <w:rPr>
          <w:rFonts w:ascii="Arial" w:hAnsi="Arial" w:cs="Arial"/>
          <w:sz w:val="20"/>
          <w:szCs w:val="20"/>
        </w:rPr>
      </w:pPr>
      <w:r w:rsidRPr="00D85635">
        <w:rPr>
          <w:rFonts w:ascii="Arial" w:hAnsi="Arial" w:cs="Arial"/>
          <w:sz w:val="20"/>
          <w:szCs w:val="20"/>
        </w:rPr>
        <w:t xml:space="preserve">Arrhenius S. (1889). Ubre die reaktionsgeschwindigkeit bei der inversion von rohrzucker durch sauren. </w:t>
      </w:r>
      <w:r w:rsidRPr="00D85635">
        <w:rPr>
          <w:rFonts w:ascii="Arial" w:hAnsi="Arial" w:cs="Arial"/>
          <w:i/>
          <w:sz w:val="20"/>
          <w:szCs w:val="20"/>
        </w:rPr>
        <w:t>Zeitschrift fur Physik Chimie</w:t>
      </w:r>
      <w:r w:rsidRPr="00D85635">
        <w:rPr>
          <w:rFonts w:ascii="Arial" w:hAnsi="Arial" w:cs="Arial"/>
          <w:sz w:val="20"/>
          <w:szCs w:val="20"/>
        </w:rPr>
        <w:t xml:space="preserve">, </w:t>
      </w:r>
      <w:proofErr w:type="gramStart"/>
      <w:r w:rsidRPr="00D85635">
        <w:rPr>
          <w:rFonts w:ascii="Arial" w:hAnsi="Arial" w:cs="Arial"/>
          <w:sz w:val="20"/>
          <w:szCs w:val="20"/>
        </w:rPr>
        <w:t>4:</w:t>
      </w:r>
      <w:proofErr w:type="gramEnd"/>
      <w:r w:rsidRPr="00D85635">
        <w:rPr>
          <w:rFonts w:ascii="Arial" w:hAnsi="Arial" w:cs="Arial"/>
          <w:sz w:val="20"/>
          <w:szCs w:val="20"/>
        </w:rPr>
        <w:t xml:space="preserve"> 226-248. </w:t>
      </w:r>
      <w:r w:rsidR="00143C45" w:rsidRPr="00D85635">
        <w:rPr>
          <w:rFonts w:ascii="Arial" w:hAnsi="Arial" w:cs="Arial"/>
          <w:sz w:val="20"/>
          <w:szCs w:val="20"/>
        </w:rPr>
        <w:t>https://doi.org/</w:t>
      </w:r>
      <w:hyperlink r:id="rId26" w:history="1">
        <w:r w:rsidR="00143C45" w:rsidRPr="00D85635">
          <w:rPr>
            <w:rStyle w:val="Hyperlink"/>
            <w:rFonts w:ascii="Arial" w:hAnsi="Arial" w:cs="Arial"/>
            <w:sz w:val="20"/>
            <w:szCs w:val="20"/>
          </w:rPr>
          <w:t>10.1515/zpch-1889-0416</w:t>
        </w:r>
      </w:hyperlink>
    </w:p>
    <w:p w14:paraId="2ECF8EE1" w14:textId="66619291" w:rsidR="00151CE0" w:rsidRPr="00D85635" w:rsidRDefault="00151CE0" w:rsidP="00151CE0">
      <w:pPr>
        <w:jc w:val="both"/>
        <w:rPr>
          <w:rFonts w:ascii="Arial" w:hAnsi="Arial" w:cs="Arial"/>
          <w:sz w:val="20"/>
          <w:szCs w:val="20"/>
        </w:rPr>
      </w:pPr>
    </w:p>
    <w:p w14:paraId="6BA91B0C" w14:textId="32C5C3B4" w:rsidR="00151CE0" w:rsidRPr="00D85635" w:rsidRDefault="00151CE0" w:rsidP="00151CE0">
      <w:pPr>
        <w:jc w:val="both"/>
        <w:rPr>
          <w:rFonts w:ascii="Arial" w:hAnsi="Arial" w:cs="Arial"/>
          <w:sz w:val="20"/>
          <w:szCs w:val="20"/>
        </w:rPr>
      </w:pPr>
      <w:r w:rsidRPr="00D85635">
        <w:rPr>
          <w:rFonts w:ascii="Arial" w:hAnsi="Arial" w:cs="Arial"/>
          <w:sz w:val="20"/>
          <w:szCs w:val="20"/>
        </w:rPr>
        <w:t>Chikezie, P. C. D. (20</w:t>
      </w:r>
      <w:r w:rsidR="00143C45" w:rsidRPr="00D85635">
        <w:rPr>
          <w:rFonts w:ascii="Arial" w:hAnsi="Arial" w:cs="Arial"/>
          <w:sz w:val="20"/>
          <w:szCs w:val="20"/>
        </w:rPr>
        <w:t>15</w:t>
      </w:r>
      <w:r w:rsidRPr="00D85635">
        <w:rPr>
          <w:rFonts w:ascii="Arial" w:hAnsi="Arial" w:cs="Arial"/>
          <w:sz w:val="20"/>
          <w:szCs w:val="20"/>
        </w:rPr>
        <w:t>). Kinetic studies of polyphenol oxidase from white yam (</w:t>
      </w:r>
      <w:r w:rsidRPr="00D85635">
        <w:rPr>
          <w:rFonts w:ascii="Arial" w:hAnsi="Arial" w:cs="Arial"/>
          <w:i/>
          <w:iCs/>
          <w:sz w:val="20"/>
          <w:szCs w:val="20"/>
        </w:rPr>
        <w:t>Dioscorea rotundata Poir</w:t>
      </w:r>
      <w:r w:rsidRPr="00D85635">
        <w:rPr>
          <w:rFonts w:ascii="Arial" w:hAnsi="Arial" w:cs="Arial"/>
          <w:sz w:val="20"/>
          <w:szCs w:val="20"/>
        </w:rPr>
        <w:t>.) tuber. Journal of Food Biochemistry, 50(2), 34391. https://www.longdom.org/open-access/kinetic-studies-of-polyphenol-oxidase-from-white-yam-emdioscorea-rotundata-poirem-tuber-34391.html</w:t>
      </w:r>
    </w:p>
    <w:p w14:paraId="26AC6E87" w14:textId="4508410B" w:rsidR="00151CE0" w:rsidRPr="00D85635" w:rsidRDefault="00151CE0" w:rsidP="00151CE0">
      <w:pPr>
        <w:jc w:val="both"/>
        <w:rPr>
          <w:rFonts w:ascii="Arial" w:hAnsi="Arial" w:cs="Arial"/>
          <w:sz w:val="20"/>
          <w:szCs w:val="20"/>
        </w:rPr>
      </w:pPr>
      <w:r w:rsidRPr="00D85635">
        <w:rPr>
          <w:rFonts w:ascii="Arial" w:hAnsi="Arial" w:cs="Arial"/>
          <w:sz w:val="20"/>
          <w:szCs w:val="20"/>
        </w:rPr>
        <w:t xml:space="preserve">Ditchfield C, Tadini CC, Singh RK and Toledo RT. (2006). Velocity and temperature profiles, heat transfer coefficients and residence time distribution of a temperature dependent Herschel-Bulkley fluid in tubular heat exchanger. </w:t>
      </w:r>
      <w:r w:rsidRPr="00D85635">
        <w:rPr>
          <w:rFonts w:ascii="Arial" w:hAnsi="Arial" w:cs="Arial"/>
          <w:i/>
          <w:sz w:val="20"/>
          <w:szCs w:val="20"/>
        </w:rPr>
        <w:t>Journal of Food Engineering</w:t>
      </w:r>
      <w:r w:rsidRPr="00D85635">
        <w:rPr>
          <w:rFonts w:ascii="Arial" w:hAnsi="Arial" w:cs="Arial"/>
          <w:sz w:val="20"/>
          <w:szCs w:val="20"/>
        </w:rPr>
        <w:t xml:space="preserve">, </w:t>
      </w:r>
      <w:proofErr w:type="gramStart"/>
      <w:r w:rsidRPr="00D85635">
        <w:rPr>
          <w:rFonts w:ascii="Arial" w:hAnsi="Arial" w:cs="Arial"/>
          <w:sz w:val="20"/>
          <w:szCs w:val="20"/>
        </w:rPr>
        <w:t>76:</w:t>
      </w:r>
      <w:proofErr w:type="gramEnd"/>
      <w:r w:rsidRPr="00D85635">
        <w:rPr>
          <w:rFonts w:ascii="Arial" w:hAnsi="Arial" w:cs="Arial"/>
          <w:sz w:val="20"/>
          <w:szCs w:val="20"/>
        </w:rPr>
        <w:t xml:space="preserve"> 632-638.</w:t>
      </w:r>
      <w:r w:rsidR="00143C45" w:rsidRPr="00D85635">
        <w:rPr>
          <w:rFonts w:ascii="Arial" w:hAnsi="Arial" w:cs="Arial"/>
          <w:sz w:val="20"/>
          <w:szCs w:val="20"/>
        </w:rPr>
        <w:t xml:space="preserve"> https://doi.org/</w:t>
      </w:r>
      <w:hyperlink r:id="rId27" w:history="1">
        <w:r w:rsidR="00143C45" w:rsidRPr="00D85635">
          <w:rPr>
            <w:rStyle w:val="Hyperlink"/>
            <w:rFonts w:ascii="Arial" w:hAnsi="Arial" w:cs="Arial"/>
            <w:sz w:val="20"/>
            <w:szCs w:val="20"/>
          </w:rPr>
          <w:t>10.1016/j.jfoodeng.2005.06.015</w:t>
        </w:r>
      </w:hyperlink>
    </w:p>
    <w:p w14:paraId="2FAD22BC" w14:textId="5EDBBD25" w:rsidR="00252DF8" w:rsidRPr="00D85635" w:rsidRDefault="00252DF8" w:rsidP="00151CE0">
      <w:pPr>
        <w:jc w:val="both"/>
        <w:rPr>
          <w:rFonts w:ascii="Arial" w:hAnsi="Arial" w:cs="Arial"/>
          <w:sz w:val="20"/>
          <w:szCs w:val="20"/>
        </w:rPr>
      </w:pPr>
      <w:r w:rsidRPr="00D85635">
        <w:rPr>
          <w:rFonts w:ascii="Arial" w:hAnsi="Arial" w:cs="Arial"/>
          <w:sz w:val="20"/>
          <w:szCs w:val="20"/>
        </w:rPr>
        <w:t>Djina Y, Brou K S, N’Zebo J-M, Gonnety J T, Kouame L P (2025). Kinetic and thermodynamic characterization of thermal inactivation of polyphenol oxidases and peroxidases in cassava roots (</w:t>
      </w:r>
      <w:r w:rsidRPr="00D85635">
        <w:rPr>
          <w:rFonts w:ascii="Arial" w:hAnsi="Arial" w:cs="Arial"/>
          <w:i/>
          <w:iCs/>
          <w:sz w:val="20"/>
          <w:szCs w:val="20"/>
        </w:rPr>
        <w:t>Manihot esculenta</w:t>
      </w:r>
      <w:r w:rsidRPr="00D85635">
        <w:rPr>
          <w:rFonts w:ascii="Arial" w:hAnsi="Arial" w:cs="Arial"/>
          <w:sz w:val="20"/>
          <w:szCs w:val="20"/>
        </w:rPr>
        <w:t xml:space="preserve"> Crantz) variety yacé. Int J Chem </w:t>
      </w:r>
      <w:proofErr w:type="gramStart"/>
      <w:r w:rsidRPr="00D85635">
        <w:rPr>
          <w:rFonts w:ascii="Arial" w:hAnsi="Arial" w:cs="Arial"/>
          <w:sz w:val="20"/>
          <w:szCs w:val="20"/>
        </w:rPr>
        <w:t>Stud;</w:t>
      </w:r>
      <w:proofErr w:type="gramEnd"/>
      <w:r w:rsidRPr="00D85635">
        <w:rPr>
          <w:rFonts w:ascii="Arial" w:hAnsi="Arial" w:cs="Arial"/>
          <w:sz w:val="20"/>
          <w:szCs w:val="20"/>
        </w:rPr>
        <w:t xml:space="preserve">13(4):130-134. </w:t>
      </w:r>
      <w:proofErr w:type="gramStart"/>
      <w:r w:rsidRPr="00D85635">
        <w:rPr>
          <w:rFonts w:ascii="Arial" w:hAnsi="Arial" w:cs="Arial"/>
          <w:sz w:val="20"/>
          <w:szCs w:val="20"/>
        </w:rPr>
        <w:t>DOI:</w:t>
      </w:r>
      <w:proofErr w:type="gramEnd"/>
      <w:r w:rsidRPr="00D85635">
        <w:rPr>
          <w:rFonts w:ascii="Arial" w:hAnsi="Arial" w:cs="Arial"/>
          <w:sz w:val="20"/>
          <w:szCs w:val="20"/>
        </w:rPr>
        <w:t xml:space="preserve"> </w:t>
      </w:r>
      <w:hyperlink r:id="rId28" w:tgtFrame="_blank" w:history="1">
        <w:r w:rsidRPr="00D85635">
          <w:rPr>
            <w:rStyle w:val="Hyperlink"/>
            <w:rFonts w:ascii="Arial" w:hAnsi="Arial" w:cs="Arial"/>
            <w:sz w:val="20"/>
            <w:szCs w:val="20"/>
          </w:rPr>
          <w:t>10.22271/chemi.2025.v13.i4b.12576</w:t>
        </w:r>
      </w:hyperlink>
    </w:p>
    <w:p w14:paraId="401909E9" w14:textId="46CFDF0F" w:rsidR="00151CE0" w:rsidRPr="00D85635" w:rsidRDefault="00151CE0" w:rsidP="00151CE0">
      <w:pPr>
        <w:jc w:val="both"/>
        <w:rPr>
          <w:rFonts w:ascii="Arial" w:hAnsi="Arial" w:cs="Arial"/>
          <w:sz w:val="20"/>
          <w:szCs w:val="20"/>
        </w:rPr>
      </w:pPr>
      <w:r w:rsidRPr="00D85635">
        <w:rPr>
          <w:rFonts w:ascii="Arial" w:hAnsi="Arial" w:cs="Arial"/>
          <w:sz w:val="20"/>
          <w:szCs w:val="20"/>
        </w:rPr>
        <w:t>Dogan S, Turan Y, Erturk H and Arslan O. (2005). Characterization and purification of polyphenol oxidase from artichoke (</w:t>
      </w:r>
      <w:r w:rsidRPr="00D85635">
        <w:rPr>
          <w:rFonts w:ascii="Arial" w:hAnsi="Arial" w:cs="Arial"/>
          <w:i/>
          <w:sz w:val="20"/>
          <w:szCs w:val="20"/>
        </w:rPr>
        <w:t>Cynarascolymus L.). Journal of Agricultural and Food Chemistry</w:t>
      </w:r>
      <w:r w:rsidRPr="00D85635">
        <w:rPr>
          <w:rFonts w:ascii="Arial" w:hAnsi="Arial" w:cs="Arial"/>
          <w:sz w:val="20"/>
          <w:szCs w:val="20"/>
        </w:rPr>
        <w:t>, 53(3</w:t>
      </w:r>
      <w:proofErr w:type="gramStart"/>
      <w:r w:rsidRPr="00D85635">
        <w:rPr>
          <w:rFonts w:ascii="Arial" w:hAnsi="Arial" w:cs="Arial"/>
          <w:sz w:val="20"/>
          <w:szCs w:val="20"/>
        </w:rPr>
        <w:t>):</w:t>
      </w:r>
      <w:proofErr w:type="gramEnd"/>
      <w:r w:rsidRPr="00D85635">
        <w:rPr>
          <w:rFonts w:ascii="Arial" w:hAnsi="Arial" w:cs="Arial"/>
          <w:sz w:val="20"/>
          <w:szCs w:val="20"/>
        </w:rPr>
        <w:t xml:space="preserve"> 776-785.</w:t>
      </w:r>
      <w:r w:rsidR="00143C45" w:rsidRPr="00D85635">
        <w:rPr>
          <w:rFonts w:ascii="Arial" w:hAnsi="Arial" w:cs="Arial"/>
          <w:sz w:val="20"/>
          <w:szCs w:val="20"/>
        </w:rPr>
        <w:t xml:space="preserve"> https://doi.org/ </w:t>
      </w:r>
      <w:hyperlink r:id="rId29" w:history="1">
        <w:r w:rsidR="00143C45" w:rsidRPr="00D85635">
          <w:rPr>
            <w:rStyle w:val="Hyperlink"/>
            <w:rFonts w:ascii="Arial" w:hAnsi="Arial" w:cs="Arial"/>
            <w:sz w:val="20"/>
            <w:szCs w:val="20"/>
          </w:rPr>
          <w:t>10.1021/jf049053g</w:t>
        </w:r>
      </w:hyperlink>
    </w:p>
    <w:p w14:paraId="1B9DF375" w14:textId="198882C8" w:rsidR="00151CE0" w:rsidRPr="00D85635" w:rsidRDefault="00151CE0" w:rsidP="00151CE0">
      <w:pPr>
        <w:jc w:val="both"/>
        <w:rPr>
          <w:rFonts w:ascii="Arial" w:hAnsi="Arial" w:cs="Arial"/>
          <w:sz w:val="20"/>
          <w:szCs w:val="20"/>
        </w:rPr>
      </w:pPr>
      <w:r w:rsidRPr="00D85635">
        <w:rPr>
          <w:rFonts w:ascii="Arial" w:hAnsi="Arial" w:cs="Arial"/>
          <w:sz w:val="20"/>
          <w:szCs w:val="20"/>
        </w:rPr>
        <w:t>Eshun, N. A., Dor Leku, W.-P., Saalia, F. I. K., Alvarez, M. N., &amp; Aryee, A. N. A. (20</w:t>
      </w:r>
      <w:r w:rsidR="0053101E" w:rsidRPr="00D85635">
        <w:rPr>
          <w:rFonts w:ascii="Arial" w:hAnsi="Arial" w:cs="Arial"/>
          <w:sz w:val="20"/>
          <w:szCs w:val="20"/>
        </w:rPr>
        <w:t>22</w:t>
      </w:r>
      <w:r w:rsidRPr="00D85635">
        <w:rPr>
          <w:rFonts w:ascii="Arial" w:hAnsi="Arial" w:cs="Arial"/>
          <w:sz w:val="20"/>
          <w:szCs w:val="20"/>
        </w:rPr>
        <w:t>). Effect of organic acid pre-treatment on polyphenol oxidase induced browning and sensory quality of frozen yam chips. Applied Food Research, 2(2), 100165. https://doi.org/10.1016/j.afres.2022.100165</w:t>
      </w:r>
    </w:p>
    <w:p w14:paraId="644F63B0" w14:textId="77777777" w:rsidR="0053101E" w:rsidRPr="00D85635" w:rsidRDefault="0053101E" w:rsidP="0053101E">
      <w:pPr>
        <w:jc w:val="both"/>
        <w:rPr>
          <w:rFonts w:ascii="Arial" w:hAnsi="Arial" w:cs="Arial"/>
          <w:sz w:val="20"/>
          <w:szCs w:val="20"/>
        </w:rPr>
      </w:pPr>
      <w:r w:rsidRPr="00D85635">
        <w:rPr>
          <w:rFonts w:ascii="Arial" w:hAnsi="Arial" w:cs="Arial"/>
          <w:sz w:val="20"/>
          <w:szCs w:val="20"/>
        </w:rPr>
        <w:t>FAO, (2021) https://www.fao.org/faostat/fr/#data/QCL</w:t>
      </w:r>
    </w:p>
    <w:p w14:paraId="67CF1023" w14:textId="77777777" w:rsidR="00814A7F" w:rsidRPr="00D85635" w:rsidRDefault="00814A7F" w:rsidP="00814A7F">
      <w:pPr>
        <w:spacing w:after="0" w:line="240" w:lineRule="auto"/>
        <w:jc w:val="both"/>
        <w:rPr>
          <w:rFonts w:ascii="Arial" w:hAnsi="Arial" w:cs="Arial"/>
          <w:sz w:val="20"/>
          <w:szCs w:val="20"/>
        </w:rPr>
      </w:pPr>
      <w:r w:rsidRPr="00D85635">
        <w:rPr>
          <w:rFonts w:ascii="Arial" w:hAnsi="Arial" w:cs="Arial"/>
          <w:sz w:val="20"/>
          <w:szCs w:val="20"/>
        </w:rPr>
        <w:t xml:space="preserve">Gandía-Herrero F, Jiménez-Atiénzar M, Cabanes J, García-Carmona F and Escribano J (2005). Differential Activation of a Latent Polyphenol Oxidase Mediated by Sodium Dodecyl </w:t>
      </w:r>
      <w:proofErr w:type="gramStart"/>
      <w:r w:rsidRPr="00D85635">
        <w:rPr>
          <w:rFonts w:ascii="Arial" w:hAnsi="Arial" w:cs="Arial"/>
          <w:sz w:val="20"/>
          <w:szCs w:val="20"/>
        </w:rPr>
        <w:t>Sulfate:</w:t>
      </w:r>
      <w:proofErr w:type="gramEnd"/>
      <w:r w:rsidRPr="00D85635">
        <w:rPr>
          <w:rFonts w:ascii="Arial" w:hAnsi="Arial" w:cs="Arial"/>
          <w:sz w:val="20"/>
          <w:szCs w:val="20"/>
        </w:rPr>
        <w:t xml:space="preserve"> Journal of Agricultural and Food Chemistry 53 (17). 6825–6830 https://doi.org/10.1021/jf050505e</w:t>
      </w:r>
    </w:p>
    <w:p w14:paraId="2F3C2F69" w14:textId="3E90AC09" w:rsidR="00151CE0" w:rsidRPr="00D85635" w:rsidRDefault="00151CE0" w:rsidP="00151CE0">
      <w:pPr>
        <w:jc w:val="both"/>
        <w:rPr>
          <w:rFonts w:ascii="Arial" w:hAnsi="Arial" w:cs="Arial"/>
          <w:sz w:val="20"/>
          <w:szCs w:val="20"/>
        </w:rPr>
      </w:pPr>
      <w:r w:rsidRPr="00D85635">
        <w:rPr>
          <w:rFonts w:ascii="Arial" w:hAnsi="Arial" w:cs="Arial"/>
          <w:sz w:val="20"/>
          <w:szCs w:val="20"/>
        </w:rPr>
        <w:t>Gnangui SN, Niamke SL and Kouamé LP. (2009a). Some characteristics of polyphenol oxidase purified from edible yam (</w:t>
      </w:r>
      <w:r w:rsidRPr="00D85635">
        <w:rPr>
          <w:rFonts w:ascii="Arial" w:hAnsi="Arial" w:cs="Arial"/>
          <w:i/>
          <w:sz w:val="20"/>
          <w:szCs w:val="20"/>
        </w:rPr>
        <w:t xml:space="preserve">Dioscorea cayenensis-rotundata </w:t>
      </w:r>
      <w:r w:rsidRPr="00D85635">
        <w:rPr>
          <w:rFonts w:ascii="Arial" w:hAnsi="Arial" w:cs="Arial"/>
          <w:sz w:val="20"/>
          <w:szCs w:val="20"/>
        </w:rPr>
        <w:t xml:space="preserve">cv. Longbô) cultivated in Côte d‟Ivoire. </w:t>
      </w:r>
      <w:r w:rsidRPr="00D85635">
        <w:rPr>
          <w:rFonts w:ascii="Arial" w:hAnsi="Arial" w:cs="Arial"/>
          <w:i/>
          <w:sz w:val="20"/>
          <w:szCs w:val="20"/>
        </w:rPr>
        <w:t>International Journal of Food Science and Technology</w:t>
      </w:r>
      <w:r w:rsidRPr="00D85635">
        <w:rPr>
          <w:rFonts w:ascii="Arial" w:hAnsi="Arial" w:cs="Arial"/>
          <w:sz w:val="20"/>
          <w:szCs w:val="20"/>
        </w:rPr>
        <w:t xml:space="preserve">, </w:t>
      </w:r>
      <w:proofErr w:type="gramStart"/>
      <w:r w:rsidRPr="00D85635">
        <w:rPr>
          <w:rFonts w:ascii="Arial" w:hAnsi="Arial" w:cs="Arial"/>
          <w:sz w:val="20"/>
          <w:szCs w:val="20"/>
        </w:rPr>
        <w:t>44:</w:t>
      </w:r>
      <w:proofErr w:type="gramEnd"/>
      <w:r w:rsidRPr="00D85635">
        <w:rPr>
          <w:rFonts w:ascii="Arial" w:hAnsi="Arial" w:cs="Arial"/>
          <w:sz w:val="20"/>
          <w:szCs w:val="20"/>
        </w:rPr>
        <w:t xml:space="preserve"> 2005–2012.</w:t>
      </w:r>
      <w:r w:rsidR="00DB4D72" w:rsidRPr="00D85635">
        <w:rPr>
          <w:rStyle w:val="CommentReference"/>
          <w:rFonts w:ascii="Arial" w:hAnsi="Arial" w:cs="Arial"/>
          <w:sz w:val="20"/>
          <w:szCs w:val="20"/>
        </w:rPr>
        <w:t xml:space="preserve"> </w:t>
      </w:r>
      <w:r w:rsidR="00DB4D72" w:rsidRPr="00D85635">
        <w:rPr>
          <w:rFonts w:ascii="Arial" w:hAnsi="Arial" w:cs="Arial"/>
          <w:sz w:val="20"/>
          <w:szCs w:val="20"/>
        </w:rPr>
        <w:t>https://doi.org/</w:t>
      </w:r>
      <w:hyperlink r:id="rId30" w:history="1">
        <w:r w:rsidR="00DB4D72" w:rsidRPr="00D85635">
          <w:rPr>
            <w:rStyle w:val="Hyperlink"/>
            <w:rFonts w:ascii="Arial" w:hAnsi="Arial" w:cs="Arial"/>
            <w:sz w:val="20"/>
            <w:szCs w:val="20"/>
          </w:rPr>
          <w:t>10.1111/j.1365-2621.</w:t>
        </w:r>
        <w:proofErr w:type="gramStart"/>
        <w:r w:rsidR="00DB4D72" w:rsidRPr="00D85635">
          <w:rPr>
            <w:rStyle w:val="Hyperlink"/>
            <w:rFonts w:ascii="Arial" w:hAnsi="Arial" w:cs="Arial"/>
            <w:sz w:val="20"/>
            <w:szCs w:val="20"/>
          </w:rPr>
          <w:t>2008.01899.x</w:t>
        </w:r>
        <w:proofErr w:type="gramEnd"/>
      </w:hyperlink>
    </w:p>
    <w:p w14:paraId="66F5C264" w14:textId="0F8FAB66" w:rsidR="00793D2D" w:rsidRPr="00D85635" w:rsidRDefault="00793D2D" w:rsidP="00151CE0">
      <w:pPr>
        <w:jc w:val="both"/>
        <w:rPr>
          <w:rFonts w:ascii="Arial" w:hAnsi="Arial" w:cs="Arial"/>
          <w:sz w:val="20"/>
          <w:szCs w:val="20"/>
          <w:highlight w:val="yellow"/>
        </w:rPr>
      </w:pPr>
      <w:r w:rsidRPr="00D85635">
        <w:rPr>
          <w:rFonts w:ascii="Arial" w:hAnsi="Arial" w:cs="Arial"/>
          <w:sz w:val="20"/>
          <w:szCs w:val="20"/>
        </w:rPr>
        <w:t xml:space="preserve">Lago-Vanzela ES, Pavezzi FC, Martin N, Gomes E, Da Silva R. (2011) Isolation and characterization of latent and active polyphenoloxidase in BRS Clara (CNPUV 154-147 × Centennial seedless) and BRS Morena (Marroo seedless × Centennial seedless) seedless table grapes. Plant Physiol Biochem. </w:t>
      </w:r>
      <w:proofErr w:type="gramStart"/>
      <w:r w:rsidRPr="00D85635">
        <w:rPr>
          <w:rFonts w:ascii="Arial" w:hAnsi="Arial" w:cs="Arial"/>
          <w:sz w:val="20"/>
          <w:szCs w:val="20"/>
        </w:rPr>
        <w:t>Nov;</w:t>
      </w:r>
      <w:proofErr w:type="gramEnd"/>
      <w:r w:rsidRPr="00D85635">
        <w:rPr>
          <w:rFonts w:ascii="Arial" w:hAnsi="Arial" w:cs="Arial"/>
          <w:sz w:val="20"/>
          <w:szCs w:val="20"/>
        </w:rPr>
        <w:t xml:space="preserve">49(11):1251-8. </w:t>
      </w:r>
      <w:proofErr w:type="gramStart"/>
      <w:r w:rsidRPr="00D85635">
        <w:rPr>
          <w:rFonts w:ascii="Arial" w:hAnsi="Arial" w:cs="Arial"/>
          <w:sz w:val="20"/>
          <w:szCs w:val="20"/>
        </w:rPr>
        <w:t>doi:</w:t>
      </w:r>
      <w:proofErr w:type="gramEnd"/>
      <w:r w:rsidRPr="00D85635">
        <w:rPr>
          <w:rFonts w:ascii="Arial" w:hAnsi="Arial" w:cs="Arial"/>
          <w:sz w:val="20"/>
          <w:szCs w:val="20"/>
        </w:rPr>
        <w:t xml:space="preserve"> 10.1016/j.plaphy.2011.09.004</w:t>
      </w:r>
      <w:r w:rsidRPr="00D85635">
        <w:rPr>
          <w:rFonts w:ascii="Arial" w:hAnsi="Arial" w:cs="Arial"/>
          <w:sz w:val="20"/>
          <w:szCs w:val="20"/>
          <w:highlight w:val="yellow"/>
        </w:rPr>
        <w:t xml:space="preserve">. </w:t>
      </w:r>
    </w:p>
    <w:p w14:paraId="20F6D29C" w14:textId="77777777" w:rsidR="00BC612E" w:rsidRPr="00D85635" w:rsidRDefault="00BC612E" w:rsidP="00151CE0">
      <w:pPr>
        <w:jc w:val="both"/>
        <w:rPr>
          <w:rFonts w:ascii="Arial" w:hAnsi="Arial" w:cs="Arial"/>
          <w:sz w:val="20"/>
          <w:szCs w:val="20"/>
        </w:rPr>
      </w:pPr>
      <w:r w:rsidRPr="00D85635">
        <w:rPr>
          <w:rFonts w:ascii="Arial" w:hAnsi="Arial" w:cs="Arial"/>
          <w:sz w:val="20"/>
          <w:szCs w:val="20"/>
        </w:rPr>
        <w:t>Lee, Michael, Tweed, J. K. S., Sullivan, M. L. (2012) Oxidation of ortho</w:t>
      </w:r>
      <w:r w:rsidRPr="00D85635">
        <w:rPr>
          <w:rFonts w:ascii="Cambria Math" w:hAnsi="Cambria Math" w:cs="Cambria Math"/>
          <w:sz w:val="20"/>
          <w:szCs w:val="20"/>
        </w:rPr>
        <w:t>‐</w:t>
      </w:r>
      <w:r w:rsidRPr="00D85635">
        <w:rPr>
          <w:rFonts w:ascii="Arial" w:hAnsi="Arial" w:cs="Arial"/>
          <w:sz w:val="20"/>
          <w:szCs w:val="20"/>
        </w:rPr>
        <w:t>diphenols in red clover with and without polyphenol oxidase (PPO) activity and their role in PPO activation and inactivation. Grass and Forage Science, 68 (1). pp. 83-92. ISSN 0142-5242</w:t>
      </w:r>
    </w:p>
    <w:p w14:paraId="79DB72D8" w14:textId="6E1118F1" w:rsidR="00151CE0" w:rsidRPr="00D85635" w:rsidRDefault="00151CE0" w:rsidP="00151CE0">
      <w:pPr>
        <w:jc w:val="both"/>
        <w:rPr>
          <w:rFonts w:ascii="Arial" w:hAnsi="Arial" w:cs="Arial"/>
          <w:i/>
          <w:sz w:val="20"/>
          <w:szCs w:val="20"/>
        </w:rPr>
      </w:pPr>
      <w:r w:rsidRPr="00D85635">
        <w:rPr>
          <w:rFonts w:ascii="Arial" w:hAnsi="Arial" w:cs="Arial"/>
          <w:i/>
          <w:sz w:val="20"/>
          <w:szCs w:val="20"/>
        </w:rPr>
        <w:t>Liu, J., Zhang, J., Liao, T., Zhou, L., Zou, L., Liu, Y., Zhang, L. &amp; Liu, W. (2021). Thermal Inactivation Kinetics of Kudzu (Pueraria lobata) Polyphenol Oxidase and the Influence of Food Constituents. Foods, 10(6), 1320. https://doi.org/10.3390/foods10061320</w:t>
      </w:r>
    </w:p>
    <w:p w14:paraId="72D1C273" w14:textId="6DE9908E" w:rsidR="00151CE0" w:rsidRPr="00D85635" w:rsidRDefault="00151CE0" w:rsidP="00151CE0">
      <w:pPr>
        <w:jc w:val="both"/>
        <w:rPr>
          <w:rFonts w:ascii="Arial" w:hAnsi="Arial" w:cs="Arial"/>
          <w:sz w:val="20"/>
          <w:szCs w:val="20"/>
        </w:rPr>
      </w:pPr>
      <w:r w:rsidRPr="00D85635">
        <w:rPr>
          <w:rFonts w:ascii="Arial" w:hAnsi="Arial" w:cs="Arial"/>
          <w:sz w:val="20"/>
          <w:szCs w:val="20"/>
        </w:rPr>
        <w:lastRenderedPageBreak/>
        <w:t xml:space="preserve">Lowry OH, Rosebrough NJ, Farrra L and Randall RJ. (1951). Protein measurement with Folin-phenol reagent.  </w:t>
      </w:r>
      <w:r w:rsidRPr="00D85635">
        <w:rPr>
          <w:rFonts w:ascii="Arial" w:hAnsi="Arial" w:cs="Arial"/>
          <w:i/>
          <w:sz w:val="20"/>
          <w:szCs w:val="20"/>
        </w:rPr>
        <w:t xml:space="preserve">Journal of Biology and Chemistry. </w:t>
      </w:r>
      <w:proofErr w:type="gramStart"/>
      <w:r w:rsidRPr="00D85635">
        <w:rPr>
          <w:rFonts w:ascii="Arial" w:hAnsi="Arial" w:cs="Arial"/>
          <w:sz w:val="20"/>
          <w:szCs w:val="20"/>
        </w:rPr>
        <w:t>193:</w:t>
      </w:r>
      <w:proofErr w:type="gramEnd"/>
      <w:r w:rsidRPr="00D85635">
        <w:rPr>
          <w:rFonts w:ascii="Arial" w:hAnsi="Arial" w:cs="Arial"/>
          <w:sz w:val="20"/>
          <w:szCs w:val="20"/>
        </w:rPr>
        <w:t xml:space="preserve"> 265-275.</w:t>
      </w:r>
      <w:r w:rsidR="00BC612E" w:rsidRPr="00D85635">
        <w:rPr>
          <w:rStyle w:val="CommentReference"/>
          <w:rFonts w:ascii="Arial" w:hAnsi="Arial" w:cs="Arial"/>
          <w:sz w:val="20"/>
          <w:szCs w:val="20"/>
        </w:rPr>
        <w:t xml:space="preserve"> </w:t>
      </w:r>
      <w:r w:rsidR="00BC612E" w:rsidRPr="00D85635">
        <w:rPr>
          <w:rFonts w:ascii="Arial" w:hAnsi="Arial" w:cs="Arial"/>
          <w:i/>
          <w:sz w:val="20"/>
          <w:szCs w:val="20"/>
        </w:rPr>
        <w:t>https://doi.org/</w:t>
      </w:r>
      <w:hyperlink r:id="rId31" w:history="1">
        <w:r w:rsidR="00BC612E" w:rsidRPr="00D85635">
          <w:rPr>
            <w:rStyle w:val="Hyperlink"/>
            <w:rFonts w:ascii="Arial" w:hAnsi="Arial" w:cs="Arial"/>
            <w:sz w:val="20"/>
            <w:szCs w:val="20"/>
          </w:rPr>
          <w:t>10.1016/s0021-9258(19)52451-6</w:t>
        </w:r>
      </w:hyperlink>
    </w:p>
    <w:p w14:paraId="741DAAE3" w14:textId="77777777" w:rsidR="00151CE0" w:rsidRPr="00D85635" w:rsidRDefault="00151CE0" w:rsidP="00151CE0">
      <w:pPr>
        <w:jc w:val="both"/>
        <w:rPr>
          <w:rFonts w:ascii="Arial" w:hAnsi="Arial" w:cs="Arial"/>
          <w:i/>
          <w:sz w:val="20"/>
          <w:szCs w:val="20"/>
        </w:rPr>
      </w:pPr>
      <w:r w:rsidRPr="00D85635">
        <w:rPr>
          <w:rFonts w:ascii="Arial" w:hAnsi="Arial" w:cs="Arial"/>
          <w:i/>
          <w:sz w:val="20"/>
          <w:szCs w:val="20"/>
        </w:rPr>
        <w:t xml:space="preserve">Lu, Z., He, H., Pedros, P. &amp; Metghalchi, H. (2025). Determination of enthalpy and entropy of per- and polyfluoroalkyl substances. ASME Open Journal of Engineering, 4(1), 041011. </w:t>
      </w:r>
      <w:hyperlink r:id="rId32" w:history="1">
        <w:r w:rsidRPr="00D85635">
          <w:rPr>
            <w:rStyle w:val="Hyperlink"/>
            <w:rFonts w:ascii="Arial" w:hAnsi="Arial" w:cs="Arial"/>
            <w:i/>
            <w:sz w:val="20"/>
            <w:szCs w:val="20"/>
          </w:rPr>
          <w:t>https://doi.org/10.1115/1.4068541</w:t>
        </w:r>
      </w:hyperlink>
    </w:p>
    <w:p w14:paraId="3131C312" w14:textId="293E7381" w:rsidR="00151CE0" w:rsidRPr="00D85635" w:rsidRDefault="00151CE0" w:rsidP="00151CE0">
      <w:pPr>
        <w:jc w:val="both"/>
        <w:rPr>
          <w:rFonts w:ascii="Arial" w:hAnsi="Arial" w:cs="Arial"/>
          <w:sz w:val="20"/>
          <w:szCs w:val="20"/>
        </w:rPr>
      </w:pPr>
      <w:r w:rsidRPr="00D85635">
        <w:rPr>
          <w:rFonts w:ascii="Arial" w:hAnsi="Arial" w:cs="Arial"/>
          <w:sz w:val="20"/>
          <w:szCs w:val="20"/>
        </w:rPr>
        <w:t xml:space="preserve">Ngalani JA, Signoret A and Crouzet J. (1993). Partial purification and properties of plantain polyphenol oxidase. </w:t>
      </w:r>
      <w:r w:rsidRPr="00D85635">
        <w:rPr>
          <w:rFonts w:ascii="Arial" w:hAnsi="Arial" w:cs="Arial"/>
          <w:i/>
          <w:sz w:val="20"/>
          <w:szCs w:val="20"/>
        </w:rPr>
        <w:t>Journal of Food Chemistry</w:t>
      </w:r>
      <w:r w:rsidRPr="00D85635">
        <w:rPr>
          <w:rFonts w:ascii="Arial" w:hAnsi="Arial" w:cs="Arial"/>
          <w:sz w:val="20"/>
          <w:szCs w:val="20"/>
        </w:rPr>
        <w:t xml:space="preserve">, </w:t>
      </w:r>
      <w:proofErr w:type="gramStart"/>
      <w:r w:rsidRPr="00D85635">
        <w:rPr>
          <w:rFonts w:ascii="Arial" w:hAnsi="Arial" w:cs="Arial"/>
          <w:sz w:val="20"/>
          <w:szCs w:val="20"/>
        </w:rPr>
        <w:t>48:</w:t>
      </w:r>
      <w:proofErr w:type="gramEnd"/>
      <w:r w:rsidRPr="00D85635">
        <w:rPr>
          <w:rFonts w:ascii="Arial" w:hAnsi="Arial" w:cs="Arial"/>
          <w:sz w:val="20"/>
          <w:szCs w:val="20"/>
        </w:rPr>
        <w:t xml:space="preserve"> 341-347.</w:t>
      </w:r>
      <w:r w:rsidR="00076426" w:rsidRPr="00D85635">
        <w:rPr>
          <w:rStyle w:val="CommentReference"/>
          <w:rFonts w:ascii="Arial" w:hAnsi="Arial" w:cs="Arial"/>
          <w:sz w:val="20"/>
          <w:szCs w:val="20"/>
        </w:rPr>
        <w:t xml:space="preserve"> </w:t>
      </w:r>
      <w:r w:rsidR="00076426" w:rsidRPr="00D85635">
        <w:rPr>
          <w:rFonts w:ascii="Arial" w:hAnsi="Arial" w:cs="Arial"/>
          <w:i/>
          <w:sz w:val="20"/>
          <w:szCs w:val="20"/>
        </w:rPr>
        <w:t>https://doi.org/</w:t>
      </w:r>
      <w:r w:rsidR="00076426" w:rsidRPr="00D85635">
        <w:rPr>
          <w:rFonts w:ascii="Arial" w:hAnsi="Arial" w:cs="Arial"/>
          <w:sz w:val="20"/>
          <w:szCs w:val="20"/>
        </w:rPr>
        <w:t xml:space="preserve"> </w:t>
      </w:r>
      <w:hyperlink r:id="rId33" w:history="1">
        <w:r w:rsidR="00076426" w:rsidRPr="00D85635">
          <w:rPr>
            <w:rStyle w:val="Hyperlink"/>
            <w:rFonts w:ascii="Arial" w:hAnsi="Arial" w:cs="Arial"/>
            <w:sz w:val="20"/>
            <w:szCs w:val="20"/>
          </w:rPr>
          <w:t>10.1016/0308-8146(93)90315-7</w:t>
        </w:r>
      </w:hyperlink>
    </w:p>
    <w:p w14:paraId="5D156613" w14:textId="0AFB6F92" w:rsidR="00151CE0" w:rsidRPr="00D85635" w:rsidRDefault="00151CE0" w:rsidP="00417AF1">
      <w:pPr>
        <w:jc w:val="both"/>
        <w:rPr>
          <w:rFonts w:ascii="Arial" w:hAnsi="Arial" w:cs="Arial"/>
          <w:sz w:val="20"/>
          <w:szCs w:val="20"/>
        </w:rPr>
      </w:pPr>
      <w:r w:rsidRPr="00D85635">
        <w:rPr>
          <w:rFonts w:ascii="Arial" w:hAnsi="Arial" w:cs="Arial"/>
          <w:sz w:val="20"/>
          <w:szCs w:val="20"/>
        </w:rPr>
        <w:t xml:space="preserve">OrganicWay (2025). What are the benefits of </w:t>
      </w:r>
      <w:proofErr w:type="gramStart"/>
      <w:r w:rsidRPr="00D85635">
        <w:rPr>
          <w:rFonts w:ascii="Arial" w:hAnsi="Arial" w:cs="Arial"/>
          <w:sz w:val="20"/>
          <w:szCs w:val="20"/>
        </w:rPr>
        <w:t>yams?</w:t>
      </w:r>
      <w:proofErr w:type="gramEnd"/>
      <w:r w:rsidRPr="00D85635">
        <w:rPr>
          <w:rFonts w:ascii="Arial" w:hAnsi="Arial" w:cs="Arial"/>
          <w:sz w:val="20"/>
          <w:szCs w:val="20"/>
        </w:rPr>
        <w:t xml:space="preserve"> </w:t>
      </w:r>
      <w:r w:rsidR="00076426" w:rsidRPr="00D85635">
        <w:rPr>
          <w:rFonts w:ascii="Arial" w:hAnsi="Arial" w:cs="Arial"/>
          <w:sz w:val="20"/>
          <w:szCs w:val="20"/>
        </w:rPr>
        <w:t>The Versatile Power of Organic Yam Powder</w:t>
      </w:r>
      <w:r w:rsidRPr="00D85635">
        <w:rPr>
          <w:rFonts w:ascii="Arial" w:hAnsi="Arial" w:cs="Arial"/>
          <w:sz w:val="20"/>
          <w:szCs w:val="20"/>
        </w:rPr>
        <w:t>. https://www.organic-way.com/news/what-are-the-benefits-of-yams-the-nutrient-powerhouse-of-organic-yam-powder/</w:t>
      </w:r>
    </w:p>
    <w:p w14:paraId="18F9CD42" w14:textId="13732EC1" w:rsidR="00151CE0" w:rsidRPr="00D85635" w:rsidRDefault="00151CE0" w:rsidP="00151CE0">
      <w:pPr>
        <w:jc w:val="both"/>
        <w:rPr>
          <w:rFonts w:ascii="Arial" w:hAnsi="Arial" w:cs="Arial"/>
          <w:sz w:val="20"/>
          <w:szCs w:val="20"/>
        </w:rPr>
      </w:pPr>
      <w:r w:rsidRPr="00D85635">
        <w:rPr>
          <w:rFonts w:ascii="Arial" w:hAnsi="Arial" w:cs="Arial"/>
          <w:sz w:val="20"/>
          <w:szCs w:val="20"/>
        </w:rPr>
        <w:t xml:space="preserve">Park EY and Luh BS. (1985). Polyphenol oxidase of kiwifruit. </w:t>
      </w:r>
      <w:r w:rsidRPr="00D85635">
        <w:rPr>
          <w:rFonts w:ascii="Arial" w:hAnsi="Arial" w:cs="Arial"/>
          <w:i/>
          <w:sz w:val="20"/>
          <w:szCs w:val="20"/>
        </w:rPr>
        <w:t>Journal of Food Science</w:t>
      </w:r>
      <w:r w:rsidRPr="00D85635">
        <w:rPr>
          <w:rFonts w:ascii="Arial" w:hAnsi="Arial" w:cs="Arial"/>
          <w:sz w:val="20"/>
          <w:szCs w:val="20"/>
        </w:rPr>
        <w:t xml:space="preserve">, </w:t>
      </w:r>
      <w:proofErr w:type="gramStart"/>
      <w:r w:rsidRPr="00D85635">
        <w:rPr>
          <w:rFonts w:ascii="Arial" w:hAnsi="Arial" w:cs="Arial"/>
          <w:sz w:val="20"/>
          <w:szCs w:val="20"/>
        </w:rPr>
        <w:t>50:</w:t>
      </w:r>
      <w:proofErr w:type="gramEnd"/>
      <w:r w:rsidRPr="00D85635">
        <w:rPr>
          <w:rFonts w:ascii="Arial" w:hAnsi="Arial" w:cs="Arial"/>
          <w:sz w:val="20"/>
          <w:szCs w:val="20"/>
        </w:rPr>
        <w:t xml:space="preserve"> 679-684.</w:t>
      </w:r>
      <w:r w:rsidR="00DE0555" w:rsidRPr="00D85635">
        <w:rPr>
          <w:rStyle w:val="CommentReference"/>
          <w:rFonts w:ascii="Arial" w:hAnsi="Arial" w:cs="Arial"/>
          <w:sz w:val="20"/>
          <w:szCs w:val="20"/>
        </w:rPr>
        <w:t xml:space="preserve"> </w:t>
      </w:r>
      <w:r w:rsidR="00DE0555" w:rsidRPr="00D85635">
        <w:rPr>
          <w:rFonts w:ascii="Arial" w:hAnsi="Arial" w:cs="Arial"/>
          <w:i/>
          <w:sz w:val="20"/>
          <w:szCs w:val="20"/>
        </w:rPr>
        <w:t>https://doi.org/</w:t>
      </w:r>
      <w:r w:rsidR="00DE0555" w:rsidRPr="00D85635">
        <w:rPr>
          <w:rFonts w:ascii="Arial" w:hAnsi="Arial" w:cs="Arial"/>
          <w:sz w:val="20"/>
          <w:szCs w:val="20"/>
        </w:rPr>
        <w:t xml:space="preserve"> </w:t>
      </w:r>
      <w:hyperlink r:id="rId34" w:history="1">
        <w:r w:rsidR="00DE0555" w:rsidRPr="00D85635">
          <w:rPr>
            <w:rStyle w:val="Hyperlink"/>
            <w:rFonts w:ascii="Arial" w:hAnsi="Arial" w:cs="Arial"/>
            <w:sz w:val="20"/>
            <w:szCs w:val="20"/>
          </w:rPr>
          <w:t>10.1111/j.1365-</w:t>
        </w:r>
        <w:proofErr w:type="gramStart"/>
        <w:r w:rsidR="00DE0555" w:rsidRPr="00D85635">
          <w:rPr>
            <w:rStyle w:val="Hyperlink"/>
            <w:rFonts w:ascii="Arial" w:hAnsi="Arial" w:cs="Arial"/>
            <w:sz w:val="20"/>
            <w:szCs w:val="20"/>
          </w:rPr>
          <w:t>2621.1985.tb</w:t>
        </w:r>
        <w:proofErr w:type="gramEnd"/>
        <w:r w:rsidR="00DE0555" w:rsidRPr="00D85635">
          <w:rPr>
            <w:rStyle w:val="Hyperlink"/>
            <w:rFonts w:ascii="Arial" w:hAnsi="Arial" w:cs="Arial"/>
            <w:sz w:val="20"/>
            <w:szCs w:val="20"/>
          </w:rPr>
          <w:t>13771.x</w:t>
        </w:r>
      </w:hyperlink>
    </w:p>
    <w:p w14:paraId="42441519" w14:textId="696DD820" w:rsidR="00151CE0" w:rsidRPr="00D85635" w:rsidRDefault="00151CE0" w:rsidP="00151CE0">
      <w:pPr>
        <w:jc w:val="both"/>
        <w:rPr>
          <w:rFonts w:ascii="Arial" w:hAnsi="Arial" w:cs="Arial"/>
          <w:sz w:val="20"/>
          <w:szCs w:val="20"/>
        </w:rPr>
      </w:pPr>
      <w:r w:rsidRPr="00D85635">
        <w:rPr>
          <w:rFonts w:ascii="Arial" w:hAnsi="Arial" w:cs="Arial"/>
          <w:sz w:val="20"/>
          <w:szCs w:val="20"/>
        </w:rPr>
        <w:t>Rapeanu G, Van Loey A, Smout C et Hendrickx M. (2006). Characterization and process stability of polyphenol oxydase extracted from victoria grape (</w:t>
      </w:r>
      <w:r w:rsidRPr="00D85635">
        <w:rPr>
          <w:rFonts w:ascii="Arial" w:hAnsi="Arial" w:cs="Arial"/>
          <w:i/>
          <w:sz w:val="20"/>
          <w:szCs w:val="20"/>
        </w:rPr>
        <w:t xml:space="preserve">Vitis vinifera </w:t>
      </w:r>
      <w:proofErr w:type="gramStart"/>
      <w:r w:rsidRPr="00D85635">
        <w:rPr>
          <w:rFonts w:ascii="Arial" w:hAnsi="Arial" w:cs="Arial"/>
          <w:i/>
          <w:sz w:val="20"/>
          <w:szCs w:val="20"/>
        </w:rPr>
        <w:t>ssp.sativa</w:t>
      </w:r>
      <w:proofErr w:type="gramEnd"/>
      <w:r w:rsidRPr="00D85635">
        <w:rPr>
          <w:rFonts w:ascii="Arial" w:hAnsi="Arial" w:cs="Arial"/>
          <w:sz w:val="20"/>
          <w:szCs w:val="20"/>
        </w:rPr>
        <w:t xml:space="preserve">). </w:t>
      </w:r>
      <w:r w:rsidRPr="00D85635">
        <w:rPr>
          <w:rFonts w:ascii="Arial" w:hAnsi="Arial" w:cs="Arial"/>
          <w:i/>
          <w:sz w:val="20"/>
          <w:szCs w:val="20"/>
        </w:rPr>
        <w:t>Food Chemistry</w:t>
      </w:r>
      <w:r w:rsidRPr="00D85635">
        <w:rPr>
          <w:rFonts w:ascii="Arial" w:hAnsi="Arial" w:cs="Arial"/>
          <w:sz w:val="20"/>
          <w:szCs w:val="20"/>
        </w:rPr>
        <w:t xml:space="preserve">, </w:t>
      </w:r>
      <w:proofErr w:type="gramStart"/>
      <w:r w:rsidRPr="00D85635">
        <w:rPr>
          <w:rFonts w:ascii="Arial" w:hAnsi="Arial" w:cs="Arial"/>
          <w:sz w:val="20"/>
          <w:szCs w:val="20"/>
        </w:rPr>
        <w:t>94:</w:t>
      </w:r>
      <w:proofErr w:type="gramEnd"/>
      <w:r w:rsidRPr="00D85635">
        <w:rPr>
          <w:rFonts w:ascii="Arial" w:hAnsi="Arial" w:cs="Arial"/>
          <w:sz w:val="20"/>
          <w:szCs w:val="20"/>
        </w:rPr>
        <w:t xml:space="preserve"> 253-261.</w:t>
      </w:r>
      <w:r w:rsidR="00DE0555" w:rsidRPr="00D85635">
        <w:rPr>
          <w:rStyle w:val="CommentReference"/>
          <w:rFonts w:ascii="Arial" w:hAnsi="Arial" w:cs="Arial"/>
          <w:sz w:val="20"/>
          <w:szCs w:val="20"/>
        </w:rPr>
        <w:t xml:space="preserve"> </w:t>
      </w:r>
      <w:r w:rsidR="00DE0555" w:rsidRPr="00D85635">
        <w:rPr>
          <w:rFonts w:ascii="Arial" w:hAnsi="Arial" w:cs="Arial"/>
          <w:i/>
          <w:sz w:val="20"/>
          <w:szCs w:val="20"/>
        </w:rPr>
        <w:t>https://doi.org/</w:t>
      </w:r>
      <w:r w:rsidR="00DE0555" w:rsidRPr="00D85635">
        <w:rPr>
          <w:rFonts w:ascii="Arial" w:hAnsi="Arial" w:cs="Arial"/>
          <w:sz w:val="20"/>
          <w:szCs w:val="20"/>
        </w:rPr>
        <w:t xml:space="preserve"> </w:t>
      </w:r>
      <w:hyperlink r:id="rId35" w:history="1">
        <w:r w:rsidR="00DE0555" w:rsidRPr="00D85635">
          <w:rPr>
            <w:rStyle w:val="Hyperlink"/>
            <w:rFonts w:ascii="Arial" w:hAnsi="Arial" w:cs="Arial"/>
            <w:sz w:val="20"/>
            <w:szCs w:val="20"/>
          </w:rPr>
          <w:t>10.1016/j.foodchem.2004.10.058</w:t>
        </w:r>
      </w:hyperlink>
    </w:p>
    <w:p w14:paraId="5D04C12C" w14:textId="0DE0E981" w:rsidR="00151CE0" w:rsidRPr="00D85635" w:rsidRDefault="00151CE0" w:rsidP="00151CE0">
      <w:pPr>
        <w:jc w:val="both"/>
        <w:rPr>
          <w:rFonts w:ascii="Arial" w:hAnsi="Arial" w:cs="Arial"/>
          <w:sz w:val="20"/>
          <w:szCs w:val="20"/>
        </w:rPr>
      </w:pPr>
      <w:r w:rsidRPr="00D85635">
        <w:rPr>
          <w:rFonts w:ascii="Arial" w:hAnsi="Arial" w:cs="Arial"/>
          <w:sz w:val="20"/>
          <w:szCs w:val="20"/>
        </w:rPr>
        <w:t>Soto Gomez, M., Pokorny, L., Kantar, M. B., Forest, F., Leitch, I. J., Gravendeel, B., Wilkin, P., Graham, S. W., &amp; Viruel, J. (20</w:t>
      </w:r>
      <w:r w:rsidR="006E05B3" w:rsidRPr="00D85635">
        <w:rPr>
          <w:rFonts w:ascii="Arial" w:hAnsi="Arial" w:cs="Arial"/>
          <w:sz w:val="20"/>
          <w:szCs w:val="20"/>
        </w:rPr>
        <w:t>19</w:t>
      </w:r>
      <w:r w:rsidRPr="00D85635">
        <w:rPr>
          <w:rFonts w:ascii="Arial" w:hAnsi="Arial" w:cs="Arial"/>
          <w:sz w:val="20"/>
          <w:szCs w:val="20"/>
        </w:rPr>
        <w:t xml:space="preserve">). A customized nuclear target enrichment approach for developing a phylogenomic baseline for Dioscorea yams (Dioscoreaceae). Applications in Plant Sciences, 13(11), e11254. </w:t>
      </w:r>
      <w:hyperlink r:id="rId36" w:history="1">
        <w:r w:rsidR="006E05B3" w:rsidRPr="00D85635">
          <w:rPr>
            <w:rStyle w:val="Hyperlink"/>
            <w:rFonts w:ascii="Arial" w:hAnsi="Arial" w:cs="Arial"/>
            <w:sz w:val="20"/>
            <w:szCs w:val="20"/>
          </w:rPr>
          <w:t>https://doi.org/10.1002/aps3.11254</w:t>
        </w:r>
      </w:hyperlink>
      <w:r w:rsidR="006E05B3" w:rsidRPr="00D85635">
        <w:rPr>
          <w:rFonts w:ascii="Arial" w:hAnsi="Arial" w:cs="Arial"/>
          <w:sz w:val="20"/>
          <w:szCs w:val="20"/>
        </w:rPr>
        <w:t xml:space="preserve"> </w:t>
      </w:r>
    </w:p>
    <w:p w14:paraId="1A2056A4" w14:textId="22B22854" w:rsidR="002F14BC" w:rsidRPr="00D85635" w:rsidRDefault="002F14BC" w:rsidP="002F14BC">
      <w:pPr>
        <w:jc w:val="both"/>
        <w:rPr>
          <w:rFonts w:ascii="Arial" w:hAnsi="Arial" w:cs="Arial"/>
          <w:i/>
          <w:sz w:val="20"/>
          <w:szCs w:val="20"/>
        </w:rPr>
      </w:pPr>
      <w:r w:rsidRPr="00D85635">
        <w:rPr>
          <w:rFonts w:ascii="Arial" w:hAnsi="Arial" w:cs="Arial"/>
          <w:i/>
          <w:sz w:val="20"/>
          <w:szCs w:val="20"/>
        </w:rPr>
        <w:t xml:space="preserve">Stumbo CR. (1973). Thermobacteriology in food processing. 2nd edition, Academic Press, New York, NY, p </w:t>
      </w:r>
      <w:proofErr w:type="gramStart"/>
      <w:r w:rsidRPr="00D85635">
        <w:rPr>
          <w:rFonts w:ascii="Arial" w:hAnsi="Arial" w:cs="Arial"/>
          <w:i/>
          <w:sz w:val="20"/>
          <w:szCs w:val="20"/>
        </w:rPr>
        <w:t>336,.</w:t>
      </w:r>
      <w:proofErr w:type="gramEnd"/>
    </w:p>
    <w:p w14:paraId="1D9BA8D6" w14:textId="461F644E" w:rsidR="006E05B3" w:rsidRPr="00D85635" w:rsidRDefault="00151CE0" w:rsidP="006E05B3">
      <w:pPr>
        <w:jc w:val="both"/>
        <w:rPr>
          <w:rFonts w:ascii="Arial" w:hAnsi="Arial" w:cs="Arial"/>
          <w:sz w:val="20"/>
          <w:szCs w:val="20"/>
        </w:rPr>
      </w:pPr>
      <w:r w:rsidRPr="00D85635">
        <w:rPr>
          <w:rFonts w:ascii="Arial" w:hAnsi="Arial" w:cs="Arial"/>
          <w:i/>
          <w:sz w:val="20"/>
          <w:szCs w:val="20"/>
        </w:rPr>
        <w:t xml:space="preserve">Sugihara, Y., Kudoh, A., Tamiru, M. O., Takagi, H., Natsume, S., Shimizu, M., Abe, A., Asiedu, R., Asfaw, A., Adebola, P. &amp; Terauchi, R. (2021). Population genomics of </w:t>
      </w:r>
      <w:proofErr w:type="gramStart"/>
      <w:r w:rsidRPr="00D85635">
        <w:rPr>
          <w:rFonts w:ascii="Arial" w:hAnsi="Arial" w:cs="Arial"/>
          <w:i/>
          <w:sz w:val="20"/>
          <w:szCs w:val="20"/>
        </w:rPr>
        <w:t>yams:</w:t>
      </w:r>
      <w:proofErr w:type="gramEnd"/>
      <w:r w:rsidRPr="00D85635">
        <w:rPr>
          <w:rFonts w:ascii="Arial" w:hAnsi="Arial" w:cs="Arial"/>
          <w:i/>
          <w:sz w:val="20"/>
          <w:szCs w:val="20"/>
        </w:rPr>
        <w:t xml:space="preserve"> Evolution and domestication of Dioscorea species. Population Genomics, 94, 113–132. </w:t>
      </w:r>
      <w:r w:rsidR="006E05B3" w:rsidRPr="00D85635">
        <w:rPr>
          <w:rFonts w:ascii="Arial" w:hAnsi="Arial" w:cs="Arial"/>
          <w:i/>
          <w:sz w:val="20"/>
          <w:szCs w:val="20"/>
        </w:rPr>
        <w:t>https://doi.org/10.1007/</w:t>
      </w:r>
      <w:hyperlink r:id="rId37" w:tgtFrame="_blank" w:history="1">
        <w:r w:rsidR="006E05B3" w:rsidRPr="00D85635">
          <w:rPr>
            <w:rStyle w:val="Hyperlink"/>
            <w:rFonts w:ascii="Arial" w:hAnsi="Arial" w:cs="Arial"/>
            <w:sz w:val="20"/>
            <w:szCs w:val="20"/>
          </w:rPr>
          <w:t>13836_2021_94</w:t>
        </w:r>
      </w:hyperlink>
    </w:p>
    <w:p w14:paraId="1A739A71" w14:textId="77A8D7A1" w:rsidR="00151CE0" w:rsidRPr="00D85635" w:rsidRDefault="00151CE0" w:rsidP="002F14BC">
      <w:pPr>
        <w:jc w:val="both"/>
        <w:rPr>
          <w:rFonts w:ascii="Arial" w:hAnsi="Arial" w:cs="Arial"/>
          <w:i/>
          <w:sz w:val="20"/>
          <w:szCs w:val="20"/>
        </w:rPr>
      </w:pPr>
    </w:p>
    <w:p w14:paraId="5FF89247" w14:textId="77777777" w:rsidR="00151CE0" w:rsidRPr="00D85635" w:rsidRDefault="00151CE0" w:rsidP="00151CE0">
      <w:pPr>
        <w:jc w:val="both"/>
        <w:rPr>
          <w:rFonts w:ascii="Arial" w:hAnsi="Arial" w:cs="Arial"/>
          <w:i/>
          <w:sz w:val="20"/>
          <w:szCs w:val="20"/>
        </w:rPr>
      </w:pPr>
      <w:r w:rsidRPr="00D85635">
        <w:rPr>
          <w:rFonts w:ascii="Arial" w:hAnsi="Arial" w:cs="Arial"/>
          <w:i/>
          <w:sz w:val="20"/>
          <w:szCs w:val="20"/>
        </w:rPr>
        <w:t xml:space="preserve">Tran, T., Xu, Z., Coupland, J. &amp; Zhang, Y. (2025). Acid-Adapted Polyphenol Oxidases from Agricultural </w:t>
      </w:r>
      <w:proofErr w:type="gramStart"/>
      <w:r w:rsidRPr="00D85635">
        <w:rPr>
          <w:rFonts w:ascii="Arial" w:hAnsi="Arial" w:cs="Arial"/>
          <w:i/>
          <w:sz w:val="20"/>
          <w:szCs w:val="20"/>
        </w:rPr>
        <w:t>Wastes:</w:t>
      </w:r>
      <w:proofErr w:type="gramEnd"/>
      <w:r w:rsidRPr="00D85635">
        <w:rPr>
          <w:rFonts w:ascii="Arial" w:hAnsi="Arial" w:cs="Arial"/>
          <w:i/>
          <w:sz w:val="20"/>
          <w:szCs w:val="20"/>
        </w:rPr>
        <w:t xml:space="preserve"> Extraction, Characterization, and Application in Plant Protein Crosslinking. Foods, 14(19), 3312. https://doi.org/10.3390/foods14193312</w:t>
      </w:r>
    </w:p>
    <w:p w14:paraId="3D5F5685" w14:textId="77777777" w:rsidR="007E1459" w:rsidRPr="00D85635" w:rsidRDefault="00151CE0" w:rsidP="007E1459">
      <w:pPr>
        <w:jc w:val="both"/>
        <w:rPr>
          <w:rFonts w:ascii="Arial" w:hAnsi="Arial" w:cs="Arial"/>
          <w:i/>
          <w:sz w:val="20"/>
          <w:szCs w:val="20"/>
        </w:rPr>
      </w:pPr>
      <w:r w:rsidRPr="00D85635">
        <w:rPr>
          <w:rFonts w:ascii="Arial" w:hAnsi="Arial" w:cs="Arial"/>
          <w:i/>
          <w:sz w:val="20"/>
          <w:szCs w:val="20"/>
        </w:rPr>
        <w:t>Wang, X., Yang, L. Z., Liu, J., Wang, R., Zhang, Q., Shan, Y. &amp; Ding, S. (202</w:t>
      </w:r>
      <w:r w:rsidR="007E1459" w:rsidRPr="00D85635">
        <w:rPr>
          <w:rFonts w:ascii="Arial" w:hAnsi="Arial" w:cs="Arial"/>
          <w:i/>
          <w:sz w:val="20"/>
          <w:szCs w:val="20"/>
        </w:rPr>
        <w:t>0</w:t>
      </w:r>
      <w:r w:rsidRPr="00D85635">
        <w:rPr>
          <w:rFonts w:ascii="Arial" w:hAnsi="Arial" w:cs="Arial"/>
          <w:i/>
          <w:sz w:val="20"/>
          <w:szCs w:val="20"/>
        </w:rPr>
        <w:t xml:space="preserve">). Comparison of the biochemical properties and thermal inactivation of polyphenol oxidase from three lily bulb cultivars. Journal of Food Biochemistry, 49(11), e13431. </w:t>
      </w:r>
      <w:hyperlink r:id="rId38" w:history="1">
        <w:r w:rsidR="007E1459" w:rsidRPr="00D85635">
          <w:rPr>
            <w:rStyle w:val="Hyperlink"/>
            <w:rFonts w:ascii="Arial" w:hAnsi="Arial" w:cs="Arial"/>
            <w:i/>
            <w:sz w:val="20"/>
            <w:szCs w:val="20"/>
          </w:rPr>
          <w:t>https://doi.org/10.1111/jfbc.13431</w:t>
        </w:r>
      </w:hyperlink>
      <w:r w:rsidR="007E1459" w:rsidRPr="00D85635">
        <w:rPr>
          <w:rFonts w:ascii="Arial" w:hAnsi="Arial" w:cs="Arial"/>
          <w:i/>
          <w:sz w:val="20"/>
          <w:szCs w:val="20"/>
        </w:rPr>
        <w:t xml:space="preserve"> changer date</w:t>
      </w:r>
    </w:p>
    <w:p w14:paraId="46653427" w14:textId="1C503A15" w:rsidR="00151CE0" w:rsidRPr="00D85635" w:rsidRDefault="00151CE0" w:rsidP="00151CE0">
      <w:pPr>
        <w:rPr>
          <w:rFonts w:ascii="Arial" w:hAnsi="Arial" w:cs="Arial"/>
          <w:i/>
          <w:sz w:val="20"/>
          <w:szCs w:val="20"/>
        </w:rPr>
      </w:pPr>
      <w:r w:rsidRPr="00D85635">
        <w:rPr>
          <w:rFonts w:ascii="Arial" w:hAnsi="Arial" w:cs="Arial"/>
          <w:i/>
          <w:sz w:val="20"/>
          <w:szCs w:val="20"/>
        </w:rPr>
        <w:t xml:space="preserve">Xu, Y., Xiao, S. L., Liu, Y., Wang, Y., Hou, S. &amp; Teng, J. (2025). The stability of polyphenol oxidase in deep eutectic </w:t>
      </w:r>
      <w:proofErr w:type="gramStart"/>
      <w:r w:rsidRPr="00D85635">
        <w:rPr>
          <w:rFonts w:ascii="Arial" w:hAnsi="Arial" w:cs="Arial"/>
          <w:i/>
          <w:sz w:val="20"/>
          <w:szCs w:val="20"/>
        </w:rPr>
        <w:t>solvents:</w:t>
      </w:r>
      <w:proofErr w:type="gramEnd"/>
      <w:r w:rsidRPr="00D85635">
        <w:rPr>
          <w:rFonts w:ascii="Arial" w:hAnsi="Arial" w:cs="Arial"/>
          <w:i/>
          <w:sz w:val="20"/>
          <w:szCs w:val="20"/>
        </w:rPr>
        <w:t xml:space="preserve"> Insights from spectroscopy and molecular docking. International Journal of Biological Macromolecules, 258, 145540. </w:t>
      </w:r>
      <w:hyperlink r:id="rId39" w:history="1">
        <w:r w:rsidR="006E05B3" w:rsidRPr="00D85635">
          <w:rPr>
            <w:rStyle w:val="Hyperlink"/>
            <w:rFonts w:ascii="Arial" w:hAnsi="Arial" w:cs="Arial"/>
            <w:i/>
            <w:sz w:val="20"/>
            <w:szCs w:val="20"/>
          </w:rPr>
          <w:t>https://doi.org/10.1016/j.ijbiomac.2025.145540</w:t>
        </w:r>
      </w:hyperlink>
    </w:p>
    <w:p w14:paraId="338EA4D8" w14:textId="1638AD97" w:rsidR="00151CE0" w:rsidRPr="00D85635" w:rsidRDefault="00151CE0" w:rsidP="00151CE0">
      <w:pPr>
        <w:jc w:val="both"/>
        <w:rPr>
          <w:rFonts w:ascii="Arial" w:hAnsi="Arial" w:cs="Arial"/>
          <w:sz w:val="20"/>
          <w:szCs w:val="20"/>
        </w:rPr>
      </w:pPr>
      <w:r w:rsidRPr="00D85635">
        <w:rPr>
          <w:rFonts w:ascii="Arial" w:hAnsi="Arial" w:cs="Arial"/>
          <w:sz w:val="20"/>
          <w:szCs w:val="20"/>
        </w:rPr>
        <w:t xml:space="preserve">Yemenicioglu A, Özkan M and Cemeroglu B. (1997). Heat inactivation kinetics of apple polyphenol oxidase and activation of its latent form. </w:t>
      </w:r>
      <w:r w:rsidRPr="00D85635">
        <w:rPr>
          <w:rFonts w:ascii="Arial" w:hAnsi="Arial" w:cs="Arial"/>
          <w:i/>
          <w:sz w:val="20"/>
          <w:szCs w:val="20"/>
        </w:rPr>
        <w:t>Journal of Food Science</w:t>
      </w:r>
      <w:r w:rsidRPr="00D85635">
        <w:rPr>
          <w:rFonts w:ascii="Arial" w:hAnsi="Arial" w:cs="Arial"/>
          <w:sz w:val="20"/>
          <w:szCs w:val="20"/>
        </w:rPr>
        <w:t xml:space="preserve">, </w:t>
      </w:r>
      <w:proofErr w:type="gramStart"/>
      <w:r w:rsidRPr="00D85635">
        <w:rPr>
          <w:rFonts w:ascii="Arial" w:hAnsi="Arial" w:cs="Arial"/>
          <w:sz w:val="20"/>
          <w:szCs w:val="20"/>
        </w:rPr>
        <w:t>62:</w:t>
      </w:r>
      <w:proofErr w:type="gramEnd"/>
      <w:r w:rsidRPr="00D85635">
        <w:rPr>
          <w:rFonts w:ascii="Arial" w:hAnsi="Arial" w:cs="Arial"/>
          <w:sz w:val="20"/>
          <w:szCs w:val="20"/>
        </w:rPr>
        <w:t xml:space="preserve"> 508-10</w:t>
      </w:r>
      <w:r w:rsidR="00C76E26" w:rsidRPr="00D85635">
        <w:rPr>
          <w:rFonts w:ascii="Arial" w:hAnsi="Arial" w:cs="Arial"/>
          <w:sz w:val="20"/>
          <w:szCs w:val="20"/>
        </w:rPr>
        <w:t xml:space="preserve"> https://doi.org/</w:t>
      </w:r>
      <w:hyperlink r:id="rId40" w:history="1">
        <w:r w:rsidR="00C76E26" w:rsidRPr="00D85635">
          <w:rPr>
            <w:rStyle w:val="Hyperlink"/>
            <w:rFonts w:ascii="Arial" w:hAnsi="Arial" w:cs="Arial"/>
            <w:sz w:val="20"/>
            <w:szCs w:val="20"/>
          </w:rPr>
          <w:t>10.1111/J.1365-2621.1997.TB04417.X</w:t>
        </w:r>
      </w:hyperlink>
    </w:p>
    <w:p w14:paraId="0256C2CC" w14:textId="77777777" w:rsidR="00151CE0" w:rsidRPr="00D85635" w:rsidRDefault="00151CE0" w:rsidP="0055637C">
      <w:pPr>
        <w:spacing w:after="0"/>
        <w:jc w:val="both"/>
        <w:rPr>
          <w:rFonts w:ascii="Arial" w:hAnsi="Arial" w:cs="Arial"/>
          <w:sz w:val="20"/>
          <w:szCs w:val="20"/>
        </w:rPr>
      </w:pPr>
      <w:r w:rsidRPr="00D85635">
        <w:rPr>
          <w:rFonts w:ascii="Arial" w:hAnsi="Arial" w:cs="Arial"/>
          <w:sz w:val="20"/>
          <w:szCs w:val="20"/>
        </w:rPr>
        <w:t xml:space="preserve">Zhong, X., Lin, H., Zheng, B., Yu, Q., Xie, J., Shu, Q., &amp; Hu, X. (2025). Polyphenol oxidase from Dendrobium officinale </w:t>
      </w:r>
      <w:proofErr w:type="gramStart"/>
      <w:r w:rsidRPr="00D85635">
        <w:rPr>
          <w:rFonts w:ascii="Arial" w:hAnsi="Arial" w:cs="Arial"/>
          <w:sz w:val="20"/>
          <w:szCs w:val="20"/>
        </w:rPr>
        <w:t>flowers:</w:t>
      </w:r>
      <w:proofErr w:type="gramEnd"/>
      <w:r w:rsidRPr="00D85635">
        <w:rPr>
          <w:rFonts w:ascii="Arial" w:hAnsi="Arial" w:cs="Arial"/>
          <w:sz w:val="20"/>
          <w:szCs w:val="20"/>
        </w:rPr>
        <w:t xml:space="preserve"> Characterization and browning-promoting mechanism. ACS FigShare. https://doi.org/10.6084/m9.figshare.30337271.v1</w:t>
      </w:r>
    </w:p>
    <w:p w14:paraId="59C84828" w14:textId="77777777" w:rsidR="00E052FE" w:rsidRDefault="00E052FE"/>
    <w:p w14:paraId="7373CFA6" w14:textId="5071DA5D" w:rsidR="0055637C" w:rsidRPr="00F00E07" w:rsidRDefault="00421AAB" w:rsidP="0055637C">
      <w:pPr>
        <w:spacing w:after="0"/>
        <w:ind w:left="567" w:hanging="567"/>
        <w:jc w:val="both"/>
        <w:rPr>
          <w:rFonts w:ascii="Arial" w:hAnsi="Arial" w:cs="Arial"/>
          <w:sz w:val="20"/>
          <w:szCs w:val="20"/>
        </w:rPr>
      </w:pPr>
      <w:r w:rsidRPr="00F00E07">
        <w:rPr>
          <w:rFonts w:ascii="Arial" w:hAnsi="Arial" w:cs="Arial"/>
          <w:sz w:val="20"/>
          <w:szCs w:val="20"/>
        </w:rPr>
        <w:t>A</w:t>
      </w:r>
      <w:r w:rsidR="0055637C" w:rsidRPr="00F00E07">
        <w:rPr>
          <w:rFonts w:ascii="Arial" w:hAnsi="Arial" w:cs="Arial"/>
          <w:sz w:val="20"/>
          <w:szCs w:val="20"/>
        </w:rPr>
        <w:t>g</w:t>
      </w:r>
      <w:r w:rsidRPr="00F00E07">
        <w:rPr>
          <w:rFonts w:ascii="Arial" w:hAnsi="Arial" w:cs="Arial"/>
          <w:sz w:val="20"/>
          <w:szCs w:val="20"/>
        </w:rPr>
        <w:t xml:space="preserve">uilera, J. M., Oppermann, K., &amp; Sanchez, F. (1987). Kinetics of browning of sultana grapes. Journal of Food Science, 52, 990–993. </w:t>
      </w:r>
    </w:p>
    <w:p w14:paraId="2168DF2D" w14:textId="2B1583F3" w:rsidR="00421AAB" w:rsidRPr="00F00E07" w:rsidRDefault="00421AAB" w:rsidP="0055637C">
      <w:pPr>
        <w:spacing w:after="0"/>
        <w:ind w:left="567"/>
        <w:jc w:val="both"/>
        <w:rPr>
          <w:rFonts w:ascii="Arial" w:hAnsi="Arial" w:cs="Arial"/>
          <w:sz w:val="20"/>
          <w:szCs w:val="20"/>
        </w:rPr>
      </w:pPr>
      <w:r w:rsidRPr="00F00E07">
        <w:rPr>
          <w:rFonts w:ascii="Arial" w:hAnsi="Arial" w:cs="Arial"/>
          <w:sz w:val="20"/>
          <w:szCs w:val="20"/>
        </w:rPr>
        <w:t>https://doi.org/10.1111/j.1365-2621.1987.tb14258.x</w:t>
      </w:r>
    </w:p>
    <w:p w14:paraId="28CEDAC9" w14:textId="77777777" w:rsidR="0055637C" w:rsidRPr="00F00E07" w:rsidRDefault="00421AAB" w:rsidP="0055637C">
      <w:pPr>
        <w:spacing w:after="0"/>
        <w:ind w:left="567" w:hanging="567"/>
        <w:jc w:val="both"/>
        <w:rPr>
          <w:rFonts w:ascii="Arial" w:hAnsi="Arial" w:cs="Arial"/>
          <w:sz w:val="20"/>
          <w:szCs w:val="20"/>
        </w:rPr>
      </w:pPr>
      <w:r w:rsidRPr="00F00E07">
        <w:rPr>
          <w:rFonts w:ascii="Arial" w:hAnsi="Arial" w:cs="Arial"/>
          <w:sz w:val="20"/>
          <w:szCs w:val="20"/>
        </w:rPr>
        <w:t xml:space="preserve">Arrhenius, S. (1889). Über die Reaktionsgeschwindigkeit bei der Inversion von Rohrzucker durch Säuren. Zeitschrift für Physikalische Chemie, 4, 226–248. </w:t>
      </w:r>
    </w:p>
    <w:p w14:paraId="5DFF48AF" w14:textId="71E63D69" w:rsidR="00421AAB" w:rsidRPr="00F00E07" w:rsidRDefault="00421AAB" w:rsidP="0055637C">
      <w:pPr>
        <w:spacing w:after="0"/>
        <w:ind w:left="567"/>
        <w:jc w:val="both"/>
        <w:rPr>
          <w:rFonts w:ascii="Arial" w:hAnsi="Arial" w:cs="Arial"/>
          <w:sz w:val="20"/>
          <w:szCs w:val="20"/>
        </w:rPr>
      </w:pPr>
      <w:r w:rsidRPr="00F00E07">
        <w:rPr>
          <w:rFonts w:ascii="Arial" w:hAnsi="Arial" w:cs="Arial"/>
          <w:sz w:val="20"/>
          <w:szCs w:val="20"/>
        </w:rPr>
        <w:t>https://doi.org/10.1515/zpch-1889-0416</w:t>
      </w:r>
    </w:p>
    <w:p w14:paraId="5A9196B2" w14:textId="77777777" w:rsidR="0055637C" w:rsidRPr="00F00E07" w:rsidRDefault="00421AAB" w:rsidP="0055637C">
      <w:pPr>
        <w:spacing w:after="0"/>
        <w:ind w:left="567" w:hanging="567"/>
        <w:jc w:val="both"/>
        <w:rPr>
          <w:rFonts w:ascii="Arial" w:hAnsi="Arial" w:cs="Arial"/>
          <w:sz w:val="20"/>
          <w:szCs w:val="20"/>
        </w:rPr>
      </w:pPr>
      <w:r w:rsidRPr="00F00E07">
        <w:rPr>
          <w:rFonts w:ascii="Arial" w:hAnsi="Arial" w:cs="Arial"/>
          <w:sz w:val="20"/>
          <w:szCs w:val="20"/>
        </w:rPr>
        <w:t xml:space="preserve">Chikezie, P. C. (2015). Kinetic studies of polyphenol oxidase from white yam (Dioscorea rotundata Poir.) tuber. Journal of Food Biochemistry, 50(2), 34391. </w:t>
      </w:r>
    </w:p>
    <w:p w14:paraId="1659BE2B" w14:textId="76AC6823" w:rsidR="0055637C" w:rsidRPr="00F00E07" w:rsidRDefault="005A1036" w:rsidP="0055637C">
      <w:pPr>
        <w:spacing w:after="0"/>
        <w:ind w:left="567"/>
        <w:jc w:val="both"/>
        <w:rPr>
          <w:rFonts w:ascii="Arial" w:hAnsi="Arial" w:cs="Arial"/>
          <w:sz w:val="20"/>
          <w:szCs w:val="20"/>
        </w:rPr>
      </w:pPr>
      <w:hyperlink r:id="rId41" w:history="1">
        <w:r w:rsidR="0055637C" w:rsidRPr="00F00E07">
          <w:rPr>
            <w:rStyle w:val="Hyperlink"/>
            <w:rFonts w:ascii="Arial" w:hAnsi="Arial" w:cs="Arial"/>
            <w:sz w:val="20"/>
            <w:szCs w:val="20"/>
          </w:rPr>
          <w:t>https://www.longdom.org/open-access/</w:t>
        </w:r>
      </w:hyperlink>
    </w:p>
    <w:p w14:paraId="0C0C9B82" w14:textId="77777777" w:rsidR="0055637C" w:rsidRPr="00F00E07" w:rsidRDefault="00421AAB" w:rsidP="0055637C">
      <w:pPr>
        <w:spacing w:after="0"/>
        <w:ind w:left="567" w:hanging="567"/>
        <w:jc w:val="both"/>
        <w:rPr>
          <w:rFonts w:ascii="Arial" w:hAnsi="Arial" w:cs="Arial"/>
          <w:sz w:val="20"/>
          <w:szCs w:val="20"/>
        </w:rPr>
      </w:pPr>
      <w:r w:rsidRPr="00F00E07">
        <w:rPr>
          <w:rFonts w:ascii="Arial" w:hAnsi="Arial" w:cs="Arial"/>
          <w:sz w:val="20"/>
          <w:szCs w:val="20"/>
        </w:rPr>
        <w:lastRenderedPageBreak/>
        <w:t xml:space="preserve">Ditchfield, C., Tadini, C. C., Singh, R. K., &amp; Toledo, R. T. (2006). Velocity and temperature profiles, heat transfer coefficients and residence time distribution of a temperature dependent Herschel-Bulkley fluid in tubular heat exchanger. Journal of Food Engineering, 76, 632–638. </w:t>
      </w:r>
    </w:p>
    <w:p w14:paraId="6DBE95EC" w14:textId="2CAD3665" w:rsidR="00421AAB" w:rsidRPr="00F00E07" w:rsidRDefault="00421AAB" w:rsidP="0055637C">
      <w:pPr>
        <w:spacing w:after="0"/>
        <w:ind w:left="567"/>
        <w:jc w:val="both"/>
        <w:rPr>
          <w:rFonts w:ascii="Arial" w:hAnsi="Arial" w:cs="Arial"/>
          <w:sz w:val="20"/>
          <w:szCs w:val="20"/>
        </w:rPr>
      </w:pPr>
      <w:r w:rsidRPr="00F00E07">
        <w:rPr>
          <w:rFonts w:ascii="Arial" w:hAnsi="Arial" w:cs="Arial"/>
          <w:sz w:val="20"/>
          <w:szCs w:val="20"/>
        </w:rPr>
        <w:t>https://doi.org/10.1016/j.jfoodeng.2005.06.015</w:t>
      </w:r>
    </w:p>
    <w:p w14:paraId="30C7AADF" w14:textId="042AF72B" w:rsidR="00421AAB" w:rsidRPr="00F00E07" w:rsidRDefault="00421AAB" w:rsidP="0055637C">
      <w:pPr>
        <w:spacing w:after="0"/>
        <w:ind w:left="567" w:hanging="567"/>
        <w:jc w:val="both"/>
        <w:rPr>
          <w:rFonts w:ascii="Arial" w:hAnsi="Arial" w:cs="Arial"/>
          <w:sz w:val="20"/>
          <w:szCs w:val="20"/>
        </w:rPr>
      </w:pPr>
      <w:r w:rsidRPr="00F00E07">
        <w:rPr>
          <w:rFonts w:ascii="Arial" w:hAnsi="Arial" w:cs="Arial"/>
          <w:sz w:val="20"/>
          <w:szCs w:val="20"/>
        </w:rPr>
        <w:t>Djina, Y., Brou, K. S., N’Zebo, J.-M., Gonnety, J. T., &amp; Kouame, L. P. (2025). Kinetic and thermodynamic characterization of thermal inactivation of polyphenol oxidases and peroxidases in cassava roots (Manihot esculenta Crantz) variety yacé. Int J Chem Stud, 13(4), 130–134. https://doi.org/10.22271/chemi.2025.v13.i4b.12576</w:t>
      </w:r>
    </w:p>
    <w:p w14:paraId="60BFF461" w14:textId="4BCEEAE7" w:rsidR="00421AAB" w:rsidRPr="00F00E07" w:rsidRDefault="00421AAB" w:rsidP="0055637C">
      <w:pPr>
        <w:spacing w:after="0"/>
        <w:ind w:left="567" w:hanging="567"/>
        <w:jc w:val="both"/>
        <w:rPr>
          <w:rFonts w:ascii="Arial" w:hAnsi="Arial" w:cs="Arial"/>
          <w:sz w:val="20"/>
          <w:szCs w:val="20"/>
        </w:rPr>
      </w:pPr>
      <w:r w:rsidRPr="00F00E07">
        <w:rPr>
          <w:rFonts w:ascii="Arial" w:hAnsi="Arial" w:cs="Arial"/>
          <w:sz w:val="20"/>
          <w:szCs w:val="20"/>
        </w:rPr>
        <w:t>Dogan, S., Turan, Y., Erturk, H., &amp; Arslan, O. (2005). Characterization and purification of polyphenol oxidase from artichoke (Cynara scolymus L.). Journal of Agricultural and Food Chemistry, 53(3), 776–785. https://doi.org/10.1021/jf049053g</w:t>
      </w:r>
    </w:p>
    <w:p w14:paraId="6CEEC04C" w14:textId="77777777" w:rsidR="0055637C" w:rsidRPr="00F00E07" w:rsidRDefault="00421AAB" w:rsidP="0055637C">
      <w:pPr>
        <w:spacing w:after="0"/>
        <w:ind w:left="567" w:hanging="567"/>
        <w:jc w:val="both"/>
        <w:rPr>
          <w:rFonts w:ascii="Arial" w:hAnsi="Arial" w:cs="Arial"/>
          <w:sz w:val="20"/>
          <w:szCs w:val="20"/>
        </w:rPr>
      </w:pPr>
      <w:r w:rsidRPr="00F00E07">
        <w:rPr>
          <w:rFonts w:ascii="Arial" w:hAnsi="Arial" w:cs="Arial"/>
          <w:sz w:val="20"/>
          <w:szCs w:val="20"/>
        </w:rPr>
        <w:t xml:space="preserve">Eshun, N. A., Dor Leku, W.-P., Saalia, F. I. K., Alvarez, M. N., &amp; Aryee, A. N. A. (2022). Effect of organic acid pre-treatment on polyphenol oxidase induced browning and sensory quality of frozen yam chips. Applied Food Research, 2(2), 100165. </w:t>
      </w:r>
    </w:p>
    <w:p w14:paraId="4146FCA4" w14:textId="1EB04FB6" w:rsidR="00421AAB" w:rsidRPr="00F00E07" w:rsidRDefault="00421AAB" w:rsidP="0055637C">
      <w:pPr>
        <w:spacing w:after="0"/>
        <w:ind w:left="567"/>
        <w:jc w:val="both"/>
        <w:rPr>
          <w:rFonts w:ascii="Arial" w:hAnsi="Arial" w:cs="Arial"/>
          <w:sz w:val="20"/>
          <w:szCs w:val="20"/>
        </w:rPr>
      </w:pPr>
      <w:r w:rsidRPr="00F00E07">
        <w:rPr>
          <w:rFonts w:ascii="Arial" w:hAnsi="Arial" w:cs="Arial"/>
          <w:sz w:val="20"/>
          <w:szCs w:val="20"/>
        </w:rPr>
        <w:t>https://doi.org/10.1016/j.afres.2022.100165</w:t>
      </w:r>
    </w:p>
    <w:p w14:paraId="66D19CB0" w14:textId="77777777" w:rsidR="0055637C" w:rsidRPr="00F00E07" w:rsidRDefault="00421AAB" w:rsidP="0055637C">
      <w:pPr>
        <w:spacing w:after="0"/>
        <w:jc w:val="both"/>
        <w:rPr>
          <w:rFonts w:ascii="Arial" w:hAnsi="Arial" w:cs="Arial"/>
          <w:sz w:val="20"/>
          <w:szCs w:val="20"/>
        </w:rPr>
      </w:pPr>
      <w:r w:rsidRPr="00F00E07">
        <w:rPr>
          <w:rFonts w:ascii="Arial" w:hAnsi="Arial" w:cs="Arial"/>
          <w:sz w:val="20"/>
          <w:szCs w:val="20"/>
        </w:rPr>
        <w:t xml:space="preserve">FAO. (2021). FAOSTAT données QCL. </w:t>
      </w:r>
    </w:p>
    <w:p w14:paraId="329FD010" w14:textId="1E20AE76" w:rsidR="00421AAB" w:rsidRPr="00F00E07" w:rsidRDefault="00421AAB" w:rsidP="0055637C">
      <w:pPr>
        <w:spacing w:after="0"/>
        <w:ind w:left="567"/>
        <w:jc w:val="both"/>
        <w:rPr>
          <w:rFonts w:ascii="Arial" w:hAnsi="Arial" w:cs="Arial"/>
          <w:sz w:val="20"/>
          <w:szCs w:val="20"/>
        </w:rPr>
      </w:pPr>
      <w:r w:rsidRPr="00F00E07">
        <w:rPr>
          <w:rFonts w:ascii="Arial" w:hAnsi="Arial" w:cs="Arial"/>
          <w:sz w:val="20"/>
          <w:szCs w:val="20"/>
        </w:rPr>
        <w:t>https://www.fao.org/faostat/fr/#data/QCL</w:t>
      </w:r>
    </w:p>
    <w:p w14:paraId="5DEF98E1" w14:textId="77777777" w:rsidR="000D3C68"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 xml:space="preserve">Gandía-Herrero, F., Jiménez-Atiénzar, M., Cabanes, J., García-Carmona, F., &amp; Escribano, J. (2005). Differential Activation of a Latent Polyphenol Oxidase Mediated by Sodium Dodecyl Sulfate. Journal of Agricultural and Food Chemistry, 53(17), 6825–6830. </w:t>
      </w:r>
    </w:p>
    <w:p w14:paraId="1BBB71E2" w14:textId="51059345" w:rsidR="00421AAB" w:rsidRPr="00F00E07" w:rsidRDefault="00421AAB" w:rsidP="000D3C68">
      <w:pPr>
        <w:spacing w:after="0"/>
        <w:ind w:left="567"/>
        <w:jc w:val="both"/>
        <w:rPr>
          <w:rFonts w:ascii="Arial" w:hAnsi="Arial" w:cs="Arial"/>
          <w:sz w:val="20"/>
          <w:szCs w:val="20"/>
        </w:rPr>
      </w:pPr>
      <w:r w:rsidRPr="00F00E07">
        <w:rPr>
          <w:rFonts w:ascii="Arial" w:hAnsi="Arial" w:cs="Arial"/>
          <w:sz w:val="20"/>
          <w:szCs w:val="20"/>
        </w:rPr>
        <w:t>https://doi.org/10.1021/jf050505e</w:t>
      </w:r>
    </w:p>
    <w:p w14:paraId="0297C297" w14:textId="77777777" w:rsidR="000D3C68"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Gnangui, S. N., Niamke, S. L., &amp; Kouamé, L. P. (2009). Some characteristics of polyphenol oxidase purified from edible yam (</w:t>
      </w:r>
      <w:r w:rsidRPr="00F00E07">
        <w:rPr>
          <w:rFonts w:ascii="Arial" w:hAnsi="Arial" w:cs="Arial"/>
          <w:i/>
          <w:iCs/>
          <w:sz w:val="20"/>
          <w:szCs w:val="20"/>
        </w:rPr>
        <w:t>Dioscorea cayenensis-rotundata</w:t>
      </w:r>
      <w:r w:rsidRPr="00F00E07">
        <w:rPr>
          <w:rFonts w:ascii="Arial" w:hAnsi="Arial" w:cs="Arial"/>
          <w:sz w:val="20"/>
          <w:szCs w:val="20"/>
        </w:rPr>
        <w:t xml:space="preserve"> cv. Longbô) cultivated in Côte d’Ivoire. International Journal of Food Science and Technology, 44, 2005–2012. </w:t>
      </w:r>
    </w:p>
    <w:p w14:paraId="5C2C6570" w14:textId="259C91F2" w:rsidR="00421AAB" w:rsidRPr="00F00E07" w:rsidRDefault="00421AAB" w:rsidP="000D3C68">
      <w:pPr>
        <w:tabs>
          <w:tab w:val="left" w:pos="3686"/>
        </w:tabs>
        <w:spacing w:after="0"/>
        <w:ind w:left="567"/>
        <w:jc w:val="both"/>
        <w:rPr>
          <w:rFonts w:ascii="Arial" w:hAnsi="Arial" w:cs="Arial"/>
          <w:sz w:val="20"/>
          <w:szCs w:val="20"/>
        </w:rPr>
      </w:pPr>
      <w:r w:rsidRPr="00F00E07">
        <w:rPr>
          <w:rFonts w:ascii="Arial" w:hAnsi="Arial" w:cs="Arial"/>
          <w:sz w:val="20"/>
          <w:szCs w:val="20"/>
        </w:rPr>
        <w:t>https://doi.org/10.1111/j.1365-2621.2008.01899.x</w:t>
      </w:r>
    </w:p>
    <w:p w14:paraId="5B4BFFF4" w14:textId="5A328E60" w:rsidR="00421AAB"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 xml:space="preserve">Lago-Vanzela, E. S., Pavezzi, F. C., Martin, N., Gomes, E., &amp; Da Silva, R. (2011). Isolation and characterization of latent and active polyphenoloxidase in BRS Clara (CNPUV 154-147 × Centennial seedless) and BRS Morena (Marroo seedless × Centennial seedless) seedless table grapes. Plant Physiology and Biochemistry, 49(11), 1251–1258. https://doi.org/10.1016/j.plaphy.2011.09.004 </w:t>
      </w:r>
    </w:p>
    <w:p w14:paraId="5F2CBD4A" w14:textId="041C61A2" w:rsidR="00421AAB"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Lee, M., Tweed, J. K. S., &amp; Sullivan, M. L. (2012). Oxidation of ortho</w:t>
      </w:r>
      <w:r w:rsidRPr="00F00E07">
        <w:rPr>
          <w:rFonts w:ascii="Cambria Math" w:hAnsi="Cambria Math" w:cs="Cambria Math"/>
          <w:sz w:val="20"/>
          <w:szCs w:val="20"/>
        </w:rPr>
        <w:t>‐</w:t>
      </w:r>
      <w:r w:rsidRPr="00F00E07">
        <w:rPr>
          <w:rFonts w:ascii="Arial" w:hAnsi="Arial" w:cs="Arial"/>
          <w:sz w:val="20"/>
          <w:szCs w:val="20"/>
        </w:rPr>
        <w:t>diphenols in red clover with and without polyphenol oxidase (PPO) activity and their role in PPO activation and inactivation. Grass and Forage Science, 68(1), 83–92. ISSN 0142-5242</w:t>
      </w:r>
    </w:p>
    <w:p w14:paraId="49099301" w14:textId="3F6CFC98" w:rsidR="00421AAB"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Liu, J., Zhang, J., Liao, T., Zhou, L., Zou, L., Liu, Y., Zhang, L., &amp; Liu, W. (2021). Thermal Inactivation Kinetics of Kudzu (Pueraria lobata) Polyphenol Oxidase and the Influence of Food Constituents. Foods, 10(6), 1320. https://doi.org/10.3390/foods10061320</w:t>
      </w:r>
    </w:p>
    <w:p w14:paraId="1A1A531E" w14:textId="77777777" w:rsidR="000D3C68"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 xml:space="preserve">Lowry, O. H., Rosebrough, N. J., Farr, A. L., &amp; Randall, R. J. (1951). Protein measurement with the Folin phenol reagent. Journal of Biological Chemistry, 193, 265–275. </w:t>
      </w:r>
    </w:p>
    <w:p w14:paraId="72327A92" w14:textId="6CAF3F3F" w:rsidR="00421AAB" w:rsidRPr="00F00E07" w:rsidRDefault="00421AAB" w:rsidP="000D3C68">
      <w:pPr>
        <w:spacing w:after="0"/>
        <w:ind w:left="567"/>
        <w:jc w:val="both"/>
        <w:rPr>
          <w:rFonts w:ascii="Arial" w:hAnsi="Arial" w:cs="Arial"/>
          <w:sz w:val="20"/>
          <w:szCs w:val="20"/>
        </w:rPr>
      </w:pPr>
      <w:r w:rsidRPr="00F00E07">
        <w:rPr>
          <w:rFonts w:ascii="Arial" w:hAnsi="Arial" w:cs="Arial"/>
          <w:sz w:val="20"/>
          <w:szCs w:val="20"/>
        </w:rPr>
        <w:t>https://doi.org/10.1016/s0021-9258(19)52451-6</w:t>
      </w:r>
    </w:p>
    <w:p w14:paraId="3A7F0796" w14:textId="77777777" w:rsidR="000D3C68"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 xml:space="preserve">Lu, Z., He, H., Pedros, P., &amp; Metghalchi, H. (2025). Determination of enthalpy and entropy of per- and polyfluoroalkyl substances. ASME Open Journal of Engineering, 4(1), 041011. </w:t>
      </w:r>
    </w:p>
    <w:p w14:paraId="1696D1F6" w14:textId="4CCEF44D" w:rsidR="00421AAB" w:rsidRPr="00F00E07" w:rsidRDefault="00421AAB" w:rsidP="000D3C68">
      <w:pPr>
        <w:spacing w:after="0"/>
        <w:ind w:left="567"/>
        <w:jc w:val="both"/>
        <w:rPr>
          <w:rFonts w:ascii="Arial" w:hAnsi="Arial" w:cs="Arial"/>
          <w:sz w:val="20"/>
          <w:szCs w:val="20"/>
        </w:rPr>
      </w:pPr>
      <w:r w:rsidRPr="00F00E07">
        <w:rPr>
          <w:rFonts w:ascii="Arial" w:hAnsi="Arial" w:cs="Arial"/>
          <w:sz w:val="20"/>
          <w:szCs w:val="20"/>
        </w:rPr>
        <w:t>https://doi.org/10.1115/1.4068541</w:t>
      </w:r>
    </w:p>
    <w:p w14:paraId="36C2EA24" w14:textId="77777777" w:rsidR="000D3C68"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 xml:space="preserve">Ngalani, J. A., Signoret, A., &amp; Crouzet, J. (1993). Partial purification and properties of plantain polyphenol oxidase. Food Chemistry, 48, 341–347. </w:t>
      </w:r>
    </w:p>
    <w:p w14:paraId="5E1718AE" w14:textId="270E9C5A" w:rsidR="00421AAB" w:rsidRPr="00F00E07" w:rsidRDefault="00421AAB" w:rsidP="000D3C68">
      <w:pPr>
        <w:spacing w:after="0"/>
        <w:ind w:left="567"/>
        <w:jc w:val="both"/>
        <w:rPr>
          <w:rFonts w:ascii="Arial" w:hAnsi="Arial" w:cs="Arial"/>
          <w:sz w:val="20"/>
          <w:szCs w:val="20"/>
        </w:rPr>
      </w:pPr>
      <w:r w:rsidRPr="00F00E07">
        <w:rPr>
          <w:rFonts w:ascii="Arial" w:hAnsi="Arial" w:cs="Arial"/>
          <w:sz w:val="20"/>
          <w:szCs w:val="20"/>
        </w:rPr>
        <w:t>https://doi.org/10.1016/0308-8146(93)90315-7</w:t>
      </w:r>
    </w:p>
    <w:p w14:paraId="146013B7" w14:textId="4EA63FB0" w:rsidR="00421AAB"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 xml:space="preserve">OrganicWay. (2025). What are the benefits of </w:t>
      </w:r>
      <w:proofErr w:type="gramStart"/>
      <w:r w:rsidRPr="00F00E07">
        <w:rPr>
          <w:rFonts w:ascii="Arial" w:hAnsi="Arial" w:cs="Arial"/>
          <w:sz w:val="20"/>
          <w:szCs w:val="20"/>
        </w:rPr>
        <w:t>yams?</w:t>
      </w:r>
      <w:proofErr w:type="gramEnd"/>
      <w:r w:rsidRPr="00F00E07">
        <w:rPr>
          <w:rFonts w:ascii="Arial" w:hAnsi="Arial" w:cs="Arial"/>
          <w:sz w:val="20"/>
          <w:szCs w:val="20"/>
        </w:rPr>
        <w:t xml:space="preserve"> The Nutrient Powerhouse of Organic Yam Powder. https://www.organic-way.com/news/what-are-the-benefits-of-yams-the-nutrient-powerhouse-of-organic-yam-powder/</w:t>
      </w:r>
    </w:p>
    <w:p w14:paraId="0B3BAF7E" w14:textId="51EB541E" w:rsidR="00421AAB"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Park, E. Y., &amp; Luh, B. S. (1985). Polyphenol oxidase of kiwifruit. Journal of Food Science, 50, 679–684. https://doi.org/10.1111/j.1365-2621.1985.tb13771.x</w:t>
      </w:r>
    </w:p>
    <w:p w14:paraId="1B43B3D3" w14:textId="33ED9C54" w:rsidR="00421AAB"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 xml:space="preserve">Rapeanu, G., Van Loey, A., Smout, C., &amp; Hendrickx, M. (2006). Characterization and process stability of polyphenol oxidase extracted from victoria grape (Vitis vinifera ssp. </w:t>
      </w:r>
      <w:proofErr w:type="gramStart"/>
      <w:r w:rsidRPr="00F00E07">
        <w:rPr>
          <w:rFonts w:ascii="Arial" w:hAnsi="Arial" w:cs="Arial"/>
          <w:sz w:val="20"/>
          <w:szCs w:val="20"/>
        </w:rPr>
        <w:t>sativa</w:t>
      </w:r>
      <w:proofErr w:type="gramEnd"/>
      <w:r w:rsidRPr="00F00E07">
        <w:rPr>
          <w:rFonts w:ascii="Arial" w:hAnsi="Arial" w:cs="Arial"/>
          <w:sz w:val="20"/>
          <w:szCs w:val="20"/>
        </w:rPr>
        <w:t>). Food Chemistry, 94, 253–261. https://doi.org/10.1016/j.foodchem.2004.10.058</w:t>
      </w:r>
    </w:p>
    <w:p w14:paraId="035A827A" w14:textId="50992561" w:rsidR="00421AAB" w:rsidRPr="00F00E07" w:rsidRDefault="00421AAB" w:rsidP="000D3C68">
      <w:pPr>
        <w:spacing w:after="0"/>
        <w:ind w:left="567" w:hanging="567"/>
        <w:jc w:val="both"/>
        <w:rPr>
          <w:rFonts w:ascii="Arial" w:hAnsi="Arial" w:cs="Arial"/>
          <w:sz w:val="20"/>
          <w:szCs w:val="20"/>
        </w:rPr>
      </w:pPr>
      <w:r w:rsidRPr="00F00E07">
        <w:rPr>
          <w:rFonts w:ascii="Arial" w:hAnsi="Arial" w:cs="Arial"/>
          <w:sz w:val="20"/>
          <w:szCs w:val="20"/>
        </w:rPr>
        <w:t xml:space="preserve">Soto Gomez, M., Pokorny, L., Kantar, M. B., Forest, F., Leitch, I. J., Gravendeel, B., Wilkin, P., Graham, S. W., &amp; Viruel, J. (2019). A customized nuclear target enrichment approach for developing a phylogenomic baseline for Dioscorea yams (Dioscoreaceae). Applications in Plant Sciences, 7(6), e11254. https://doi.org/10.1002/aps3.11254 </w:t>
      </w:r>
    </w:p>
    <w:p w14:paraId="00990635" w14:textId="2E98A0EC" w:rsidR="00421AAB" w:rsidRPr="00F00E07" w:rsidRDefault="00421AAB" w:rsidP="000D3C68">
      <w:pPr>
        <w:spacing w:after="0"/>
        <w:jc w:val="both"/>
        <w:rPr>
          <w:rFonts w:ascii="Arial" w:hAnsi="Arial" w:cs="Arial"/>
          <w:sz w:val="20"/>
          <w:szCs w:val="20"/>
        </w:rPr>
      </w:pPr>
      <w:r w:rsidRPr="00F00E07">
        <w:rPr>
          <w:rFonts w:ascii="Arial" w:hAnsi="Arial" w:cs="Arial"/>
          <w:sz w:val="20"/>
          <w:szCs w:val="20"/>
        </w:rPr>
        <w:t>Stumbo, C. R. (1973). Thermobacteriology in food processing (2nd ed.). Academic Press.</w:t>
      </w:r>
    </w:p>
    <w:p w14:paraId="62880CF4" w14:textId="77777777" w:rsidR="000D3C68" w:rsidRPr="00F00E07" w:rsidRDefault="00421AAB" w:rsidP="00421AAB">
      <w:pPr>
        <w:spacing w:after="0"/>
        <w:ind w:left="567" w:hanging="567"/>
        <w:jc w:val="both"/>
        <w:rPr>
          <w:rFonts w:ascii="Arial" w:hAnsi="Arial" w:cs="Arial"/>
          <w:sz w:val="20"/>
          <w:szCs w:val="20"/>
        </w:rPr>
      </w:pPr>
      <w:r w:rsidRPr="00F00E07">
        <w:rPr>
          <w:rFonts w:ascii="Arial" w:hAnsi="Arial" w:cs="Arial"/>
          <w:sz w:val="20"/>
          <w:szCs w:val="20"/>
        </w:rPr>
        <w:lastRenderedPageBreak/>
        <w:t xml:space="preserve">Sugihara, Y., Kudoh, A., Tamiru, M. O., Takagi, H., Natsume, S., Shimizu, M., Abe, A., Asiedu, R., Asfaw, A., Adebola, P., &amp; Terauchi, R. (2021). Population genomics of </w:t>
      </w:r>
      <w:proofErr w:type="gramStart"/>
      <w:r w:rsidRPr="00F00E07">
        <w:rPr>
          <w:rFonts w:ascii="Arial" w:hAnsi="Arial" w:cs="Arial"/>
          <w:sz w:val="20"/>
          <w:szCs w:val="20"/>
        </w:rPr>
        <w:t>yams:</w:t>
      </w:r>
      <w:proofErr w:type="gramEnd"/>
      <w:r w:rsidRPr="00F00E07">
        <w:rPr>
          <w:rFonts w:ascii="Arial" w:hAnsi="Arial" w:cs="Arial"/>
          <w:sz w:val="20"/>
          <w:szCs w:val="20"/>
        </w:rPr>
        <w:t xml:space="preserve"> Evolution and domestication of Dioscorea species. In Population Genomics (Vol. 94, pp. 113–132). Springer. </w:t>
      </w:r>
    </w:p>
    <w:p w14:paraId="6E8E365A" w14:textId="50BC4AA2" w:rsidR="00421AAB" w:rsidRPr="00F00E07" w:rsidRDefault="00421AAB" w:rsidP="000D3C68">
      <w:pPr>
        <w:spacing w:after="0"/>
        <w:ind w:left="567"/>
        <w:jc w:val="both"/>
        <w:rPr>
          <w:rFonts w:ascii="Arial" w:hAnsi="Arial" w:cs="Arial"/>
          <w:sz w:val="20"/>
          <w:szCs w:val="20"/>
        </w:rPr>
      </w:pPr>
      <w:r w:rsidRPr="00F00E07">
        <w:rPr>
          <w:rFonts w:ascii="Arial" w:hAnsi="Arial" w:cs="Arial"/>
          <w:sz w:val="20"/>
          <w:szCs w:val="20"/>
        </w:rPr>
        <w:t>https://doi.org/10.1007/13836_2021_94</w:t>
      </w:r>
    </w:p>
    <w:p w14:paraId="7767EF13" w14:textId="485958B9" w:rsidR="00421AAB" w:rsidRPr="00F00E07" w:rsidRDefault="00421AAB" w:rsidP="00421AAB">
      <w:pPr>
        <w:spacing w:after="0"/>
        <w:ind w:left="567" w:hanging="567"/>
        <w:jc w:val="both"/>
        <w:rPr>
          <w:rFonts w:ascii="Arial" w:hAnsi="Arial" w:cs="Arial"/>
          <w:sz w:val="20"/>
          <w:szCs w:val="20"/>
        </w:rPr>
      </w:pPr>
      <w:r w:rsidRPr="00F00E07">
        <w:rPr>
          <w:rFonts w:ascii="Arial" w:hAnsi="Arial" w:cs="Arial"/>
          <w:sz w:val="20"/>
          <w:szCs w:val="20"/>
        </w:rPr>
        <w:t>Soro, S., Konan, G., Elleingand, E., N’guessan, D., &amp; Koffi, E. (2013). Formulation of infant foods based on soy-enriched yam flour. African Journal of Food, Agriculture, Nutrition, and Development, 3(5), 8313–8339. https://doi.org/10.6084/m9.figshare.30337271.v1</w:t>
      </w:r>
    </w:p>
    <w:p w14:paraId="18836935" w14:textId="367D6B37" w:rsidR="00421AAB" w:rsidRPr="00F00E07" w:rsidRDefault="00421AAB" w:rsidP="00421AAB">
      <w:pPr>
        <w:spacing w:after="0"/>
        <w:ind w:left="567" w:hanging="567"/>
        <w:jc w:val="both"/>
        <w:rPr>
          <w:rFonts w:ascii="Arial" w:hAnsi="Arial" w:cs="Arial"/>
          <w:sz w:val="20"/>
          <w:szCs w:val="20"/>
        </w:rPr>
      </w:pPr>
      <w:r w:rsidRPr="00F00E07">
        <w:rPr>
          <w:rFonts w:ascii="Arial" w:hAnsi="Arial" w:cs="Arial"/>
          <w:sz w:val="20"/>
          <w:szCs w:val="20"/>
        </w:rPr>
        <w:t xml:space="preserve">Tran, T., Xu, Z., Coupland, J., &amp; Zhang, Y. (2025). Acid-Adapted Polyphenol Oxidases from Agricultural </w:t>
      </w:r>
      <w:proofErr w:type="gramStart"/>
      <w:r w:rsidRPr="00F00E07">
        <w:rPr>
          <w:rFonts w:ascii="Arial" w:hAnsi="Arial" w:cs="Arial"/>
          <w:sz w:val="20"/>
          <w:szCs w:val="20"/>
        </w:rPr>
        <w:t>Wastes:</w:t>
      </w:r>
      <w:proofErr w:type="gramEnd"/>
      <w:r w:rsidRPr="00F00E07">
        <w:rPr>
          <w:rFonts w:ascii="Arial" w:hAnsi="Arial" w:cs="Arial"/>
          <w:sz w:val="20"/>
          <w:szCs w:val="20"/>
        </w:rPr>
        <w:t xml:space="preserve"> Extraction, Characterization, and Application in Plant Protein Crosslinking. Foods, 14(19), 3312. https://doi.org/10.3390/foods14193312</w:t>
      </w:r>
    </w:p>
    <w:p w14:paraId="5337A4D7" w14:textId="77777777" w:rsidR="00421AAB" w:rsidRPr="00F00E07" w:rsidRDefault="00421AAB" w:rsidP="00421AAB">
      <w:pPr>
        <w:spacing w:after="0"/>
        <w:ind w:left="567" w:hanging="567"/>
        <w:jc w:val="both"/>
        <w:rPr>
          <w:rFonts w:ascii="Arial" w:hAnsi="Arial" w:cs="Arial"/>
          <w:sz w:val="20"/>
          <w:szCs w:val="20"/>
        </w:rPr>
      </w:pPr>
      <w:r w:rsidRPr="00F00E07">
        <w:rPr>
          <w:rFonts w:ascii="Arial" w:hAnsi="Arial" w:cs="Arial"/>
          <w:sz w:val="20"/>
          <w:szCs w:val="20"/>
        </w:rPr>
        <w:t xml:space="preserve">Wang, X., Yang, L. Z., Liu, J., Wang, R., Zhang, Q., Shan, Y., &amp; Ding, S. (2020). Comparison of the biochemical properties and thermal inactivation of polyphenol oxidase from three lily bulb cultivars. Journal of Food Biochemistry, 49(11), e13431. </w:t>
      </w:r>
    </w:p>
    <w:p w14:paraId="20C64DAA" w14:textId="45A12B87" w:rsidR="00421AAB" w:rsidRPr="00F00E07" w:rsidRDefault="00421AAB" w:rsidP="00421AAB">
      <w:pPr>
        <w:spacing w:after="0"/>
        <w:ind w:left="567"/>
        <w:jc w:val="both"/>
        <w:rPr>
          <w:rFonts w:ascii="Arial" w:hAnsi="Arial" w:cs="Arial"/>
          <w:sz w:val="20"/>
          <w:szCs w:val="20"/>
        </w:rPr>
      </w:pPr>
      <w:r w:rsidRPr="00F00E07">
        <w:rPr>
          <w:rFonts w:ascii="Arial" w:hAnsi="Arial" w:cs="Arial"/>
          <w:sz w:val="20"/>
          <w:szCs w:val="20"/>
        </w:rPr>
        <w:t>https://doi.org/10.1111/jfbc.13431</w:t>
      </w:r>
    </w:p>
    <w:p w14:paraId="60064E6F" w14:textId="77777777" w:rsidR="00421AAB" w:rsidRPr="00F00E07" w:rsidRDefault="00421AAB" w:rsidP="00421AAB">
      <w:pPr>
        <w:spacing w:after="0"/>
        <w:ind w:left="567" w:hanging="567"/>
        <w:jc w:val="both"/>
        <w:rPr>
          <w:rFonts w:ascii="Arial" w:hAnsi="Arial" w:cs="Arial"/>
          <w:sz w:val="20"/>
          <w:szCs w:val="20"/>
        </w:rPr>
      </w:pPr>
      <w:r w:rsidRPr="00F00E07">
        <w:rPr>
          <w:rFonts w:ascii="Arial" w:hAnsi="Arial" w:cs="Arial"/>
          <w:sz w:val="20"/>
          <w:szCs w:val="20"/>
        </w:rPr>
        <w:t xml:space="preserve">Xu, Y., Xiao, S. L., Liu, Y., Wang, Y., Hou, S., &amp; Teng, J. (2025). The stability of polyphenol oxidase in deep eutectic </w:t>
      </w:r>
      <w:proofErr w:type="gramStart"/>
      <w:r w:rsidRPr="00F00E07">
        <w:rPr>
          <w:rFonts w:ascii="Arial" w:hAnsi="Arial" w:cs="Arial"/>
          <w:sz w:val="20"/>
          <w:szCs w:val="20"/>
        </w:rPr>
        <w:t>solvents:</w:t>
      </w:r>
      <w:proofErr w:type="gramEnd"/>
      <w:r w:rsidRPr="00F00E07">
        <w:rPr>
          <w:rFonts w:ascii="Arial" w:hAnsi="Arial" w:cs="Arial"/>
          <w:sz w:val="20"/>
          <w:szCs w:val="20"/>
        </w:rPr>
        <w:t xml:space="preserve"> Insights from spectroscopy and molecular docking. International Journal of Biological Macromolecules, 258, 145540. </w:t>
      </w:r>
    </w:p>
    <w:p w14:paraId="3824FDDC" w14:textId="19BFF5F2" w:rsidR="00421AAB" w:rsidRPr="00F00E07" w:rsidRDefault="00421AAB" w:rsidP="00421AAB">
      <w:pPr>
        <w:spacing w:after="0"/>
        <w:ind w:left="567"/>
        <w:jc w:val="both"/>
        <w:rPr>
          <w:rFonts w:ascii="Arial" w:hAnsi="Arial" w:cs="Arial"/>
          <w:sz w:val="20"/>
          <w:szCs w:val="20"/>
        </w:rPr>
      </w:pPr>
      <w:r w:rsidRPr="00F00E07">
        <w:rPr>
          <w:rFonts w:ascii="Arial" w:hAnsi="Arial" w:cs="Arial"/>
          <w:sz w:val="20"/>
          <w:szCs w:val="20"/>
        </w:rPr>
        <w:t>https://doi.org/10.1016/j.ijbiomac.2025.145540</w:t>
      </w:r>
    </w:p>
    <w:p w14:paraId="38617B36" w14:textId="77777777" w:rsidR="00421AAB" w:rsidRPr="00F00E07" w:rsidRDefault="00421AAB" w:rsidP="00421AAB">
      <w:pPr>
        <w:spacing w:after="0"/>
        <w:ind w:left="567" w:hanging="567"/>
        <w:jc w:val="both"/>
        <w:rPr>
          <w:rFonts w:ascii="Arial" w:hAnsi="Arial" w:cs="Arial"/>
          <w:sz w:val="20"/>
          <w:szCs w:val="20"/>
        </w:rPr>
      </w:pPr>
      <w:r w:rsidRPr="00F00E07">
        <w:rPr>
          <w:rFonts w:ascii="Arial" w:hAnsi="Arial" w:cs="Arial"/>
          <w:sz w:val="20"/>
          <w:szCs w:val="20"/>
        </w:rPr>
        <w:t xml:space="preserve">Yemenicioglu, A., Özkan, M., &amp; Cemeroglu, B. (1997). Heat inactivation kinetics of apple polyphenol oxidase and activation of its latent form. Journal of Food Science, 62, 508–510. </w:t>
      </w:r>
    </w:p>
    <w:p w14:paraId="6AB4CA08" w14:textId="7A72CE25" w:rsidR="00421AAB" w:rsidRPr="00F00E07" w:rsidRDefault="00421AAB" w:rsidP="00421AAB">
      <w:pPr>
        <w:spacing w:after="0"/>
        <w:ind w:left="567"/>
        <w:jc w:val="both"/>
        <w:rPr>
          <w:rFonts w:ascii="Arial" w:hAnsi="Arial" w:cs="Arial"/>
          <w:sz w:val="20"/>
          <w:szCs w:val="20"/>
        </w:rPr>
      </w:pPr>
      <w:r w:rsidRPr="00F00E07">
        <w:rPr>
          <w:rFonts w:ascii="Arial" w:hAnsi="Arial" w:cs="Arial"/>
          <w:sz w:val="20"/>
          <w:szCs w:val="20"/>
        </w:rPr>
        <w:t>https://doi.org/10.1111/j.1365-2621.1997.tb04417.x</w:t>
      </w:r>
    </w:p>
    <w:p w14:paraId="34B78D9E" w14:textId="77777777" w:rsidR="00421AAB" w:rsidRPr="00F00E07" w:rsidRDefault="00421AAB" w:rsidP="00421AAB">
      <w:pPr>
        <w:ind w:left="567" w:hanging="567"/>
        <w:jc w:val="both"/>
        <w:rPr>
          <w:rFonts w:ascii="Arial" w:hAnsi="Arial" w:cs="Arial"/>
          <w:sz w:val="20"/>
          <w:szCs w:val="20"/>
        </w:rPr>
      </w:pPr>
      <w:r w:rsidRPr="00F00E07">
        <w:rPr>
          <w:rFonts w:ascii="Arial" w:hAnsi="Arial" w:cs="Arial"/>
          <w:sz w:val="20"/>
          <w:szCs w:val="20"/>
        </w:rPr>
        <w:t xml:space="preserve">Zhong, X., Lin, H., Zheng, B., Yu, Q., Xie, J., Shu, Q., &amp; Hu, X. (2025). Polyphenol oxidase from Dendrobium officinale </w:t>
      </w:r>
      <w:proofErr w:type="gramStart"/>
      <w:r w:rsidRPr="00F00E07">
        <w:rPr>
          <w:rFonts w:ascii="Arial" w:hAnsi="Arial" w:cs="Arial"/>
          <w:sz w:val="20"/>
          <w:szCs w:val="20"/>
        </w:rPr>
        <w:t>flowers:</w:t>
      </w:r>
      <w:proofErr w:type="gramEnd"/>
      <w:r w:rsidRPr="00F00E07">
        <w:rPr>
          <w:rFonts w:ascii="Arial" w:hAnsi="Arial" w:cs="Arial"/>
          <w:sz w:val="20"/>
          <w:szCs w:val="20"/>
        </w:rPr>
        <w:t xml:space="preserve"> Characterization and browning-promoting mechanism. ACS FigShare. https://doi.org/10.6084/m9.figshare.30337271.v1</w:t>
      </w:r>
    </w:p>
    <w:p w14:paraId="3BF75814" w14:textId="77777777" w:rsidR="00421AAB" w:rsidRPr="00F00E07" w:rsidRDefault="00421AAB">
      <w:pPr>
        <w:rPr>
          <w:rFonts w:ascii="Arial" w:hAnsi="Arial" w:cs="Arial"/>
          <w:sz w:val="20"/>
          <w:szCs w:val="20"/>
        </w:rPr>
      </w:pPr>
    </w:p>
    <w:sectPr w:rsidR="00421AAB" w:rsidRPr="00F00E07">
      <w:headerReference w:type="even" r:id="rId42"/>
      <w:headerReference w:type="default" r:id="rId43"/>
      <w:footerReference w:type="default" r:id="rId44"/>
      <w:headerReference w:type="first" r:id="rId45"/>
      <w:pgSz w:w="11906" w:h="16838"/>
      <w:pgMar w:top="709"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C7D9E" w14:textId="77777777" w:rsidR="005A1036" w:rsidRDefault="005A1036">
      <w:pPr>
        <w:spacing w:line="240" w:lineRule="auto"/>
      </w:pPr>
      <w:r>
        <w:separator/>
      </w:r>
    </w:p>
  </w:endnote>
  <w:endnote w:type="continuationSeparator" w:id="0">
    <w:p w14:paraId="49739CED" w14:textId="77777777" w:rsidR="005A1036" w:rsidRDefault="005A10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BAEED" w14:textId="77777777" w:rsidR="00E052FE" w:rsidRDefault="00E052F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CB8CE" w14:textId="77777777" w:rsidR="005A1036" w:rsidRDefault="005A1036">
      <w:pPr>
        <w:spacing w:after="0"/>
      </w:pPr>
      <w:r>
        <w:separator/>
      </w:r>
    </w:p>
  </w:footnote>
  <w:footnote w:type="continuationSeparator" w:id="0">
    <w:p w14:paraId="140931A5" w14:textId="77777777" w:rsidR="005A1036" w:rsidRDefault="005A10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F29D7" w14:textId="77777777" w:rsidR="00E052FE" w:rsidRDefault="005A1036">
    <w:pPr>
      <w:pStyle w:val="Header"/>
    </w:pPr>
    <w:r>
      <w:pict w14:anchorId="38E90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0" o:spid="_x0000_s2057" type="#_x0000_t136" style="position:absolute;margin-left:0;margin-top:0;width:630.5pt;height:118.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40C3C" w14:textId="77777777" w:rsidR="00E052FE" w:rsidRDefault="005A1036">
    <w:pPr>
      <w:pStyle w:val="Header"/>
    </w:pPr>
    <w:r>
      <w:pict w14:anchorId="653C1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1" o:spid="_x0000_s2056" type="#_x0000_t136" style="position:absolute;margin-left:0;margin-top:0;width:630.5pt;height:118.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285C" w14:textId="77777777" w:rsidR="00E052FE" w:rsidRDefault="005A1036">
    <w:pPr>
      <w:pStyle w:val="Header"/>
    </w:pPr>
    <w:r>
      <w:pict w14:anchorId="0F3A7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19" o:spid="_x0000_s2055" type="#_x0000_t136" style="position:absolute;margin-left:0;margin-top:0;width:630.5pt;height:118.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299F1" w14:textId="77777777" w:rsidR="00E052FE" w:rsidRDefault="005A1036">
    <w:pPr>
      <w:pStyle w:val="Header"/>
    </w:pPr>
    <w:r>
      <w:pict w14:anchorId="33978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3" o:spid="_x0000_s2053" type="#_x0000_t136" style="position:absolute;margin-left:0;margin-top:0;width:630.5pt;height:118.9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0164" w14:textId="77777777" w:rsidR="00E052FE" w:rsidRDefault="005A1036">
    <w:pPr>
      <w:pStyle w:val="Header"/>
    </w:pPr>
    <w:r>
      <w:pict w14:anchorId="1FF84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4" o:spid="_x0000_s2054" type="#_x0000_t136" style="position:absolute;margin-left:0;margin-top:0;width:630.5pt;height:118.9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80871" w14:textId="77777777" w:rsidR="00E052FE" w:rsidRDefault="005A1036">
    <w:pPr>
      <w:pStyle w:val="Header"/>
    </w:pPr>
    <w:r>
      <w:pict w14:anchorId="476F2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596722" o:spid="_x0000_s2052" type="#_x0000_t136" style="position:absolute;margin-left:0;margin-top:0;width:630.5pt;height:118.9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8"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05"/>
    <w:rsid w:val="00011BC1"/>
    <w:rsid w:val="00012883"/>
    <w:rsid w:val="0001743B"/>
    <w:rsid w:val="00027B39"/>
    <w:rsid w:val="00035519"/>
    <w:rsid w:val="00044165"/>
    <w:rsid w:val="00047CB8"/>
    <w:rsid w:val="00050688"/>
    <w:rsid w:val="00052CA8"/>
    <w:rsid w:val="00076426"/>
    <w:rsid w:val="000855BA"/>
    <w:rsid w:val="00085E65"/>
    <w:rsid w:val="00092879"/>
    <w:rsid w:val="00093734"/>
    <w:rsid w:val="000973A8"/>
    <w:rsid w:val="000A0EBA"/>
    <w:rsid w:val="000B51C7"/>
    <w:rsid w:val="000D3C68"/>
    <w:rsid w:val="000E6CA9"/>
    <w:rsid w:val="000F7834"/>
    <w:rsid w:val="00113765"/>
    <w:rsid w:val="00114B5E"/>
    <w:rsid w:val="00116D6E"/>
    <w:rsid w:val="001274E2"/>
    <w:rsid w:val="00127584"/>
    <w:rsid w:val="001345E4"/>
    <w:rsid w:val="00134722"/>
    <w:rsid w:val="00143C45"/>
    <w:rsid w:val="00151CE0"/>
    <w:rsid w:val="00166470"/>
    <w:rsid w:val="001A3D3C"/>
    <w:rsid w:val="001B12E6"/>
    <w:rsid w:val="001B1F48"/>
    <w:rsid w:val="001B20EB"/>
    <w:rsid w:val="001B3B4C"/>
    <w:rsid w:val="001C038F"/>
    <w:rsid w:val="001C1E17"/>
    <w:rsid w:val="001C6107"/>
    <w:rsid w:val="001E1DA1"/>
    <w:rsid w:val="001E5CBF"/>
    <w:rsid w:val="001E6E67"/>
    <w:rsid w:val="001F6DE9"/>
    <w:rsid w:val="002251B0"/>
    <w:rsid w:val="00242CB3"/>
    <w:rsid w:val="00243065"/>
    <w:rsid w:val="0024547C"/>
    <w:rsid w:val="00252DF8"/>
    <w:rsid w:val="00267840"/>
    <w:rsid w:val="002D5EDE"/>
    <w:rsid w:val="002F136C"/>
    <w:rsid w:val="002F14BC"/>
    <w:rsid w:val="00304EBB"/>
    <w:rsid w:val="00310596"/>
    <w:rsid w:val="003143A8"/>
    <w:rsid w:val="00314C9F"/>
    <w:rsid w:val="00320363"/>
    <w:rsid w:val="00321AC8"/>
    <w:rsid w:val="00332823"/>
    <w:rsid w:val="00334568"/>
    <w:rsid w:val="00341D2C"/>
    <w:rsid w:val="003422BF"/>
    <w:rsid w:val="003429B5"/>
    <w:rsid w:val="00354A71"/>
    <w:rsid w:val="003704D0"/>
    <w:rsid w:val="00373E29"/>
    <w:rsid w:val="00394FA4"/>
    <w:rsid w:val="003A76BD"/>
    <w:rsid w:val="003B1D82"/>
    <w:rsid w:val="003B5A53"/>
    <w:rsid w:val="003B74EA"/>
    <w:rsid w:val="003D7533"/>
    <w:rsid w:val="003D7C0C"/>
    <w:rsid w:val="003E613A"/>
    <w:rsid w:val="00402F61"/>
    <w:rsid w:val="00404B3D"/>
    <w:rsid w:val="00404C9D"/>
    <w:rsid w:val="00417AF1"/>
    <w:rsid w:val="0042196D"/>
    <w:rsid w:val="00421AAB"/>
    <w:rsid w:val="0042270E"/>
    <w:rsid w:val="0042486C"/>
    <w:rsid w:val="00441395"/>
    <w:rsid w:val="00446533"/>
    <w:rsid w:val="00462668"/>
    <w:rsid w:val="004662E8"/>
    <w:rsid w:val="004719A8"/>
    <w:rsid w:val="004836D5"/>
    <w:rsid w:val="00483E98"/>
    <w:rsid w:val="004848A0"/>
    <w:rsid w:val="00492011"/>
    <w:rsid w:val="004928C5"/>
    <w:rsid w:val="004933B4"/>
    <w:rsid w:val="004D63E5"/>
    <w:rsid w:val="004E393B"/>
    <w:rsid w:val="00513CA0"/>
    <w:rsid w:val="00524B16"/>
    <w:rsid w:val="00525B67"/>
    <w:rsid w:val="005260E7"/>
    <w:rsid w:val="0053101E"/>
    <w:rsid w:val="00552D4B"/>
    <w:rsid w:val="0055637C"/>
    <w:rsid w:val="005614E7"/>
    <w:rsid w:val="0056681F"/>
    <w:rsid w:val="00572D1F"/>
    <w:rsid w:val="00580FF2"/>
    <w:rsid w:val="00585B70"/>
    <w:rsid w:val="00595E23"/>
    <w:rsid w:val="00597815"/>
    <w:rsid w:val="005A1036"/>
    <w:rsid w:val="005B6B4A"/>
    <w:rsid w:val="005D088C"/>
    <w:rsid w:val="005D305E"/>
    <w:rsid w:val="006069A7"/>
    <w:rsid w:val="006438C6"/>
    <w:rsid w:val="00644EC7"/>
    <w:rsid w:val="00645FFB"/>
    <w:rsid w:val="00655272"/>
    <w:rsid w:val="006632D8"/>
    <w:rsid w:val="006674A4"/>
    <w:rsid w:val="006738DC"/>
    <w:rsid w:val="00673CDC"/>
    <w:rsid w:val="00682831"/>
    <w:rsid w:val="00683B95"/>
    <w:rsid w:val="00695B3C"/>
    <w:rsid w:val="006A1DF1"/>
    <w:rsid w:val="006A2751"/>
    <w:rsid w:val="006A3A07"/>
    <w:rsid w:val="006A5C69"/>
    <w:rsid w:val="006B1B5C"/>
    <w:rsid w:val="006B21C6"/>
    <w:rsid w:val="006B5308"/>
    <w:rsid w:val="006D617B"/>
    <w:rsid w:val="006E02E3"/>
    <w:rsid w:val="006E05B3"/>
    <w:rsid w:val="006E5A1A"/>
    <w:rsid w:val="006F09B8"/>
    <w:rsid w:val="006F45C0"/>
    <w:rsid w:val="006F74B3"/>
    <w:rsid w:val="007013BA"/>
    <w:rsid w:val="00703C4A"/>
    <w:rsid w:val="00705504"/>
    <w:rsid w:val="00707F0A"/>
    <w:rsid w:val="00713821"/>
    <w:rsid w:val="00713A1F"/>
    <w:rsid w:val="00722D0C"/>
    <w:rsid w:val="00734970"/>
    <w:rsid w:val="0075115D"/>
    <w:rsid w:val="00756742"/>
    <w:rsid w:val="00757E9D"/>
    <w:rsid w:val="00770B63"/>
    <w:rsid w:val="00776410"/>
    <w:rsid w:val="0077717A"/>
    <w:rsid w:val="007829E6"/>
    <w:rsid w:val="00783490"/>
    <w:rsid w:val="00790F5A"/>
    <w:rsid w:val="00793D2D"/>
    <w:rsid w:val="007A46D3"/>
    <w:rsid w:val="007B24D6"/>
    <w:rsid w:val="007D274F"/>
    <w:rsid w:val="007D46C9"/>
    <w:rsid w:val="007D6F69"/>
    <w:rsid w:val="007E13CC"/>
    <w:rsid w:val="007E1459"/>
    <w:rsid w:val="00801B84"/>
    <w:rsid w:val="00814A7F"/>
    <w:rsid w:val="00823378"/>
    <w:rsid w:val="00825D21"/>
    <w:rsid w:val="00834020"/>
    <w:rsid w:val="008360DE"/>
    <w:rsid w:val="008400DA"/>
    <w:rsid w:val="00843B85"/>
    <w:rsid w:val="008561C7"/>
    <w:rsid w:val="0087522D"/>
    <w:rsid w:val="00885998"/>
    <w:rsid w:val="00891BE4"/>
    <w:rsid w:val="008B07E9"/>
    <w:rsid w:val="008B1E66"/>
    <w:rsid w:val="008B59B8"/>
    <w:rsid w:val="008C145C"/>
    <w:rsid w:val="008C3677"/>
    <w:rsid w:val="008C504B"/>
    <w:rsid w:val="008C7CF8"/>
    <w:rsid w:val="008E3EA6"/>
    <w:rsid w:val="008E74AA"/>
    <w:rsid w:val="00903263"/>
    <w:rsid w:val="00911BAF"/>
    <w:rsid w:val="00915A11"/>
    <w:rsid w:val="00926881"/>
    <w:rsid w:val="00933DCA"/>
    <w:rsid w:val="0093438A"/>
    <w:rsid w:val="0093784C"/>
    <w:rsid w:val="0096198A"/>
    <w:rsid w:val="00975B93"/>
    <w:rsid w:val="00997D73"/>
    <w:rsid w:val="009A35D0"/>
    <w:rsid w:val="009A4E4C"/>
    <w:rsid w:val="009C0024"/>
    <w:rsid w:val="009F5957"/>
    <w:rsid w:val="009F60E5"/>
    <w:rsid w:val="00A02957"/>
    <w:rsid w:val="00A06609"/>
    <w:rsid w:val="00A07C80"/>
    <w:rsid w:val="00A11A42"/>
    <w:rsid w:val="00A14830"/>
    <w:rsid w:val="00A20C35"/>
    <w:rsid w:val="00A24A63"/>
    <w:rsid w:val="00A36AE7"/>
    <w:rsid w:val="00A431D2"/>
    <w:rsid w:val="00A55039"/>
    <w:rsid w:val="00A61D8D"/>
    <w:rsid w:val="00A63E01"/>
    <w:rsid w:val="00A72637"/>
    <w:rsid w:val="00AA4AEA"/>
    <w:rsid w:val="00AA57D0"/>
    <w:rsid w:val="00AA679B"/>
    <w:rsid w:val="00AB170C"/>
    <w:rsid w:val="00B03AC4"/>
    <w:rsid w:val="00B22157"/>
    <w:rsid w:val="00B23E2F"/>
    <w:rsid w:val="00B469D8"/>
    <w:rsid w:val="00B578DC"/>
    <w:rsid w:val="00B70FE6"/>
    <w:rsid w:val="00B71AC0"/>
    <w:rsid w:val="00BC612E"/>
    <w:rsid w:val="00BC6B0D"/>
    <w:rsid w:val="00BD19D8"/>
    <w:rsid w:val="00BD265F"/>
    <w:rsid w:val="00BF2CA7"/>
    <w:rsid w:val="00BF5B21"/>
    <w:rsid w:val="00C12A9D"/>
    <w:rsid w:val="00C14026"/>
    <w:rsid w:val="00C302EC"/>
    <w:rsid w:val="00C41226"/>
    <w:rsid w:val="00C529D5"/>
    <w:rsid w:val="00C76E26"/>
    <w:rsid w:val="00C81FCD"/>
    <w:rsid w:val="00C91BCE"/>
    <w:rsid w:val="00C94091"/>
    <w:rsid w:val="00C97EE6"/>
    <w:rsid w:val="00CA1001"/>
    <w:rsid w:val="00CA351B"/>
    <w:rsid w:val="00CB1D12"/>
    <w:rsid w:val="00CB2D42"/>
    <w:rsid w:val="00CB55DC"/>
    <w:rsid w:val="00CC5724"/>
    <w:rsid w:val="00CD1E81"/>
    <w:rsid w:val="00CD25A8"/>
    <w:rsid w:val="00CD25E9"/>
    <w:rsid w:val="00CD3205"/>
    <w:rsid w:val="00CE41F0"/>
    <w:rsid w:val="00CE75F9"/>
    <w:rsid w:val="00D16EC1"/>
    <w:rsid w:val="00D210F1"/>
    <w:rsid w:val="00D52990"/>
    <w:rsid w:val="00D62776"/>
    <w:rsid w:val="00D6370A"/>
    <w:rsid w:val="00D85635"/>
    <w:rsid w:val="00D929A4"/>
    <w:rsid w:val="00DA1A11"/>
    <w:rsid w:val="00DB051D"/>
    <w:rsid w:val="00DB2514"/>
    <w:rsid w:val="00DB4D72"/>
    <w:rsid w:val="00DC0178"/>
    <w:rsid w:val="00DE0555"/>
    <w:rsid w:val="00DE14C5"/>
    <w:rsid w:val="00DE22BE"/>
    <w:rsid w:val="00DE4A2C"/>
    <w:rsid w:val="00E041ED"/>
    <w:rsid w:val="00E052FE"/>
    <w:rsid w:val="00E106FC"/>
    <w:rsid w:val="00E13F70"/>
    <w:rsid w:val="00E22060"/>
    <w:rsid w:val="00E24F4A"/>
    <w:rsid w:val="00E351EB"/>
    <w:rsid w:val="00E437EE"/>
    <w:rsid w:val="00E45AA5"/>
    <w:rsid w:val="00E5223B"/>
    <w:rsid w:val="00E56F37"/>
    <w:rsid w:val="00E81A86"/>
    <w:rsid w:val="00EA1F5E"/>
    <w:rsid w:val="00EB4107"/>
    <w:rsid w:val="00ED0508"/>
    <w:rsid w:val="00F00E07"/>
    <w:rsid w:val="00F11E8A"/>
    <w:rsid w:val="00F34043"/>
    <w:rsid w:val="00F36DA2"/>
    <w:rsid w:val="00F61436"/>
    <w:rsid w:val="00F63A19"/>
    <w:rsid w:val="00F64B54"/>
    <w:rsid w:val="00F74CB8"/>
    <w:rsid w:val="00FA72E3"/>
    <w:rsid w:val="00FB0A20"/>
    <w:rsid w:val="00FB63F1"/>
    <w:rsid w:val="00FE7F10"/>
    <w:rsid w:val="00FF03BB"/>
    <w:rsid w:val="00FF5454"/>
    <w:rsid w:val="19D13606"/>
    <w:rsid w:val="240C1DCE"/>
    <w:rsid w:val="36D27CE6"/>
    <w:rsid w:val="3F0700B9"/>
    <w:rsid w:val="6E092D63"/>
    <w:rsid w:val="770C2B89"/>
    <w:rsid w:val="7AE914D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o:shapedefaults>
    <o:shapelayout v:ext="edit">
      <o:idmap v:ext="edit" data="1"/>
    </o:shapelayout>
  </w:shapeDefaults>
  <w:decimalSymbol w:val="."/>
  <w:listSeparator w:val=","/>
  <w14:docId w14:val="1A1C38A9"/>
  <w15:docId w15:val="{BCD2E6F9-1E29-4A47-B673-92FF7114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HTMLPreformatted">
    <w:name w:val="HTML Preformatted"/>
    <w:basedOn w:val="Normal"/>
    <w:link w:val="HTMLPreformattedChar"/>
    <w:uiPriority w:val="99"/>
    <w:unhideWhenUsed/>
    <w:qFormat/>
    <w:pPr>
      <w:spacing w:after="0" w:line="240" w:lineRule="auto"/>
    </w:pPr>
    <w:rPr>
      <w:rFonts w:ascii="Consolas" w:hAnsi="Consolas"/>
      <w:sz w:val="20"/>
      <w:szCs w:val="20"/>
    </w:rPr>
  </w:style>
  <w:style w:type="paragraph" w:styleId="CommentText">
    <w:name w:val="annotation text"/>
    <w:basedOn w:val="Normal"/>
    <w:uiPriority w:val="99"/>
    <w:semiHidden/>
    <w:unhideWhenUsed/>
    <w:qFormat/>
    <w:pPr>
      <w:spacing w:line="240" w:lineRule="auto"/>
    </w:pPr>
    <w:rPr>
      <w:sz w:val="20"/>
      <w:szCs w:val="20"/>
    </w:rPr>
  </w:style>
  <w:style w:type="paragraph" w:styleId="BodyText">
    <w:name w:val="Body Text"/>
    <w:basedOn w:val="Normal"/>
    <w:link w:val="BodyTextChar"/>
    <w:uiPriority w:val="1"/>
    <w:unhideWhenUsed/>
    <w:qFormat/>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1"/>
    <w:qFormat/>
    <w:pPr>
      <w:ind w:left="720"/>
      <w:contextualSpacing/>
    </w:pPr>
  </w:style>
  <w:style w:type="character" w:customStyle="1" w:styleId="Accentuationintense1">
    <w:name w:val="Accentuation intense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Rfrenceintense1">
    <w:name w:val="Référence intense1"/>
    <w:basedOn w:val="DefaultParagraphFont"/>
    <w:uiPriority w:val="32"/>
    <w:qFormat/>
    <w:rPr>
      <w:b/>
      <w:bCs/>
      <w:smallCaps/>
      <w:color w:val="2F5496" w:themeColor="accent1" w:themeShade="BF"/>
      <w:spacing w:val="5"/>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lang w:eastAsia="fr-FR"/>
    </w:rPr>
  </w:style>
  <w:style w:type="paragraph" w:customStyle="1" w:styleId="TableParagraph">
    <w:name w:val="Table Paragraph"/>
    <w:basedOn w:val="Normal"/>
    <w:uiPriority w:val="1"/>
    <w:qFormat/>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deliste1">
    <w:name w:val="Paragraphe de liste1"/>
    <w:basedOn w:val="Normal"/>
    <w:qFormat/>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10">
    <w:name w:val="10"/>
    <w:basedOn w:val="DefaultParagraphFont"/>
    <w:qFormat/>
    <w:rPr>
      <w:rFonts w:ascii="Calibri" w:hAnsi="Calibri" w:cs="Calibri" w:hint="default"/>
    </w:rPr>
  </w:style>
  <w:style w:type="character" w:customStyle="1" w:styleId="15">
    <w:name w:val="15"/>
    <w:basedOn w:val="DefaultParagraphFont"/>
    <w:qFormat/>
    <w:rPr>
      <w:rFonts w:ascii="Calibri" w:hAnsi="Calibri" w:cs="Calibri" w:hint="default"/>
    </w:rPr>
  </w:style>
  <w:style w:type="table" w:customStyle="1" w:styleId="TableauNormal1">
    <w:name w:val="Tableau Normal1"/>
    <w:semiHidden/>
    <w:qFormat/>
    <w:rPr>
      <w:rFonts w:ascii="Times New Roman" w:eastAsia="Times New Roman" w:hAnsi="Times New Roman" w:cs="Times New Roman"/>
    </w:rPr>
    <w:tblPr>
      <w:tblCellMar>
        <w:top w:w="0" w:type="dxa"/>
        <w:left w:w="0" w:type="dxa"/>
        <w:bottom w:w="0" w:type="dxa"/>
        <w:right w:w="0" w:type="dxa"/>
      </w:tblCellMar>
    </w:tblPr>
  </w:style>
  <w:style w:type="table" w:customStyle="1" w:styleId="Grilledutableau1">
    <w:name w:val="Grille du tableau1"/>
    <w:basedOn w:val="TableNormal"/>
    <w:qFormat/>
    <w:rPr>
      <w:rFonts w:ascii="Times New Roman" w:eastAsia="Times New Roman" w:hAnsi="Times New Roman" w:cs="Times New Roman"/>
    </w:rPr>
    <w:tblPr>
      <w:tblCellMar>
        <w:left w:w="0" w:type="dxa"/>
        <w:right w:w="0" w:type="dxa"/>
      </w:tblCellMar>
    </w:tblPr>
  </w:style>
  <w:style w:type="table" w:customStyle="1" w:styleId="TableNormal1">
    <w:name w:val="Table Normal1"/>
    <w:basedOn w:val="TableNormal"/>
    <w:uiPriority w:val="2"/>
    <w:qFormat/>
    <w:pPr>
      <w:widowControl w:val="0"/>
      <w:autoSpaceDE w:val="0"/>
      <w:autoSpaceDN w:val="0"/>
    </w:pPr>
    <w:rPr>
      <w:rFonts w:ascii="Times New Roman" w:eastAsia="Times New Roman" w:hAnsi="Times New Roman" w:cs="Times New Roman"/>
      <w:lang w:val="en-US"/>
    </w:rPr>
    <w:tblPr>
      <w:tblCellMar>
        <w:left w:w="0" w:type="dxa"/>
        <w:right w:w="0" w:type="dxa"/>
      </w:tblCellMar>
    </w:tblPr>
  </w:style>
  <w:style w:type="character" w:customStyle="1" w:styleId="Mentionnonrsolue1">
    <w:name w:val="Mention non résolue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151CE0"/>
    <w:rPr>
      <w:color w:val="605E5C"/>
      <w:shd w:val="clear" w:color="auto" w:fill="E1DFDD"/>
    </w:rPr>
  </w:style>
  <w:style w:type="character" w:styleId="Strong">
    <w:name w:val="Strong"/>
    <w:basedOn w:val="DefaultParagraphFont"/>
    <w:uiPriority w:val="22"/>
    <w:qFormat/>
    <w:rsid w:val="00143C45"/>
    <w:rPr>
      <w:b/>
      <w:bCs/>
    </w:rPr>
  </w:style>
  <w:style w:type="paragraph" w:styleId="NormalWeb">
    <w:name w:val="Normal (Web)"/>
    <w:basedOn w:val="Normal"/>
    <w:uiPriority w:val="99"/>
    <w:unhideWhenUsed/>
    <w:qFormat/>
    <w:rsid w:val="00143C45"/>
    <w:pPr>
      <w:spacing w:before="75" w:after="75" w:line="240" w:lineRule="auto"/>
    </w:pPr>
    <w:rPr>
      <w:rFonts w:ascii="Times New Roman" w:eastAsiaTheme="minorEastAsia" w:hAnsi="Times New Roman" w:cs="Times New Roman"/>
      <w:sz w:val="24"/>
      <w:szCs w:val="24"/>
      <w:lang w:val="en-IN" w:eastAsia="en-IN"/>
    </w:rPr>
  </w:style>
  <w:style w:type="paragraph" w:styleId="BalloonText">
    <w:name w:val="Balloon Text"/>
    <w:basedOn w:val="Normal"/>
    <w:link w:val="BalloonTextChar"/>
    <w:uiPriority w:val="99"/>
    <w:semiHidden/>
    <w:unhideWhenUsed/>
    <w:rsid w:val="001F6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DE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hyperlink" Target="https://doi.org/10.1515/zpch-1889-0416" TargetMode="External"/><Relationship Id="rId39" Type="http://schemas.openxmlformats.org/officeDocument/2006/relationships/hyperlink" Target="https://doi.org/10.1016/j.ijbiomac.2025.145540" TargetMode="External"/><Relationship Id="rId21" Type="http://schemas.openxmlformats.org/officeDocument/2006/relationships/image" Target="media/image11.jpeg"/><Relationship Id="rId34" Type="http://schemas.openxmlformats.org/officeDocument/2006/relationships/hyperlink" Target="https://doi.org/10.1111/j.1365-2621.1985.tb13771.x"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doi.org/10.1021/jf04905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2.xml"/><Relationship Id="rId32" Type="http://schemas.openxmlformats.org/officeDocument/2006/relationships/hyperlink" Target="https://doi.org/10.1115/1.4068541" TargetMode="External"/><Relationship Id="rId37" Type="http://schemas.openxmlformats.org/officeDocument/2006/relationships/hyperlink" Target="https://doi.org/10.1007/13836_2021_94" TargetMode="External"/><Relationship Id="rId40" Type="http://schemas.openxmlformats.org/officeDocument/2006/relationships/hyperlink" Target="https://doi.org/10.1111/J.1365-2621.1997.TB04417.X"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hart" Target="charts/chart1.xml"/><Relationship Id="rId28" Type="http://schemas.openxmlformats.org/officeDocument/2006/relationships/hyperlink" Target="https://www.doi.org/10.22271/chemi.2025.v13.i4b.12576" TargetMode="External"/><Relationship Id="rId36" Type="http://schemas.openxmlformats.org/officeDocument/2006/relationships/hyperlink" Target="https://doi.org/10.1002/aps3.11254" TargetMode="Externa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https://doi.org/10.1016/s0021-9258(19)52451-6"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jpeg"/><Relationship Id="rId27" Type="http://schemas.openxmlformats.org/officeDocument/2006/relationships/hyperlink" Target="https://doi.org/10.1016/j.jfoodeng.2005.06.015" TargetMode="External"/><Relationship Id="rId30" Type="http://schemas.openxmlformats.org/officeDocument/2006/relationships/hyperlink" Target="https://doi.org/10.1111/j.1365-2621.2008.01899.x" TargetMode="External"/><Relationship Id="rId35" Type="http://schemas.openxmlformats.org/officeDocument/2006/relationships/hyperlink" Target="https://doi.org/10.1016/j.foodchem.2004.10.058" TargetMode="External"/><Relationship Id="rId43"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hyperlink" Target="https://doi.org/10.1111/j.1365-2621.1987.tb14258.x" TargetMode="External"/><Relationship Id="rId33" Type="http://schemas.openxmlformats.org/officeDocument/2006/relationships/hyperlink" Target="https://doi.org/10.1016/0308-8146(93)90315-7" TargetMode="External"/><Relationship Id="rId38" Type="http://schemas.openxmlformats.org/officeDocument/2006/relationships/hyperlink" Target="https://doi.org/10.1111/jfbc.13431" TargetMode="External"/><Relationship Id="rId46" Type="http://schemas.openxmlformats.org/officeDocument/2006/relationships/fontTable" Target="fontTable.xml"/><Relationship Id="rId20" Type="http://schemas.openxmlformats.org/officeDocument/2006/relationships/image" Target="media/image10.jpeg"/><Relationship Id="rId41" Type="http://schemas.openxmlformats.org/officeDocument/2006/relationships/hyperlink" Target="https://www.longdom.org/open-acces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dossiers%20publications\Thermo%20publi%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r>
              <a:rPr lang="fr-FR" sz="1000">
                <a:latin typeface="Arial" panose="020B0604020202020204" pitchFamily="2" charset="0"/>
                <a:cs typeface="Arial" panose="020B0604020202020204" pitchFamily="2" charset="0"/>
              </a:rPr>
              <a:t>1/T</a:t>
            </a:r>
          </a:p>
        </c:rich>
      </c:tx>
      <c:overlay val="0"/>
      <c:spPr>
        <a:noFill/>
        <a:ln>
          <a:noFill/>
        </a:ln>
        <a:effectLst/>
      </c:spPr>
      <c:txPr>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8931671437483"/>
          <c:y val="0.22959991795526299"/>
          <c:w val="0.80939482785050998"/>
          <c:h val="0.61357080726703705"/>
        </c:manualLayout>
      </c:layout>
      <c:scatterChart>
        <c:scatterStyle val="lineMarker"/>
        <c:varyColors val="0"/>
        <c:ser>
          <c:idx val="0"/>
          <c:order val="0"/>
          <c:tx>
            <c:strRef>
              <c:f>B!$A$22</c:f>
              <c:strCache>
                <c:ptCount val="1"/>
                <c:pt idx="0">
                  <c:v>lnk</c:v>
                </c:pt>
              </c:strCache>
            </c:strRef>
          </c:tx>
          <c:spPr>
            <a:ln w="28575" cap="rnd">
              <a:noFill/>
              <a:round/>
            </a:ln>
            <a:effectLst/>
          </c:spPr>
          <c:marker>
            <c:symbol val="circle"/>
            <c:size val="7"/>
            <c:spPr>
              <a:noFill/>
              <a:ln w="15875">
                <a:solidFill>
                  <a:schemeClr val="tx1"/>
                </a:solidFill>
              </a:ln>
              <a:effectLst/>
            </c:spPr>
          </c:marker>
          <c:trendline>
            <c:spPr>
              <a:ln w="6350" cap="rnd">
                <a:solidFill>
                  <a:schemeClr val="tx1"/>
                </a:solidFill>
                <a:prstDash val="solid"/>
              </a:ln>
              <a:effectLst/>
            </c:spPr>
            <c:trendlineType val="linear"/>
            <c:dispRSqr val="1"/>
            <c:dispEq val="1"/>
            <c:trendlineLbl>
              <c:layout>
                <c:manualLayout>
                  <c:x val="6.6579833770778696E-2"/>
                  <c:y val="-0.30617745698454402"/>
                </c:manualLayout>
              </c:layout>
              <c:numFmt formatCode="General" sourceLinked="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trendlineLbl>
          </c:trendline>
          <c:xVal>
            <c:numRef>
              <c:f>B!$B$21:$J$21</c:f>
              <c:numCache>
                <c:formatCode>0.00000</c:formatCode>
                <c:ptCount val="9"/>
                <c:pt idx="0">
                  <c:v>3.24675324675325E-3</c:v>
                </c:pt>
                <c:pt idx="1">
                  <c:v>3.1948881789137401E-3</c:v>
                </c:pt>
                <c:pt idx="2">
                  <c:v>3.1446540880503099E-3</c:v>
                </c:pt>
                <c:pt idx="3">
                  <c:v>3.09597523219814E-3</c:v>
                </c:pt>
                <c:pt idx="4">
                  <c:v>3.0487804878048799E-3</c:v>
                </c:pt>
                <c:pt idx="5">
                  <c:v>3.0030030030029999E-3</c:v>
                </c:pt>
                <c:pt idx="6">
                  <c:v>2.9585798816567999E-3</c:v>
                </c:pt>
                <c:pt idx="7">
                  <c:v>2.91545189504373E-3</c:v>
                </c:pt>
                <c:pt idx="8">
                  <c:v>2.8735632183907998E-3</c:v>
                </c:pt>
              </c:numCache>
            </c:numRef>
          </c:xVal>
          <c:yVal>
            <c:numRef>
              <c:f>B!$B$22:$J$22</c:f>
              <c:numCache>
                <c:formatCode>General</c:formatCode>
                <c:ptCount val="9"/>
                <c:pt idx="0">
                  <c:v>-5.8091429903140304</c:v>
                </c:pt>
                <c:pt idx="1">
                  <c:v>-4.60517018598809</c:v>
                </c:pt>
                <c:pt idx="2">
                  <c:v>-3.8167128256238199</c:v>
                </c:pt>
                <c:pt idx="3">
                  <c:v>-3.2441936328524901</c:v>
                </c:pt>
                <c:pt idx="4">
                  <c:v>-2.6310891599660802</c:v>
                </c:pt>
              </c:numCache>
            </c:numRef>
          </c:yVal>
          <c:smooth val="0"/>
          <c:extLst>
            <c:ext xmlns:c16="http://schemas.microsoft.com/office/drawing/2014/chart" uri="{C3380CC4-5D6E-409C-BE32-E72D297353CC}">
              <c16:uniqueId val="{00000001-C7A7-4759-A428-488A19F46060}"/>
            </c:ext>
          </c:extLst>
        </c:ser>
        <c:ser>
          <c:idx val="1"/>
          <c:order val="1"/>
          <c:tx>
            <c:strRef>
              <c:f>B!$A$23</c:f>
              <c:strCache>
                <c:ptCount val="1"/>
                <c:pt idx="0">
                  <c:v>lnK'</c:v>
                </c:pt>
              </c:strCache>
            </c:strRef>
          </c:tx>
          <c:spPr>
            <a:ln w="28575" cap="rnd">
              <a:noFill/>
              <a:round/>
            </a:ln>
            <a:effectLst/>
          </c:spPr>
          <c:marker>
            <c:symbol val="triangle"/>
            <c:size val="8"/>
            <c:spPr>
              <a:noFill/>
              <a:ln w="9525">
                <a:solidFill>
                  <a:schemeClr val="tx1"/>
                </a:solidFill>
              </a:ln>
              <a:effectLst/>
            </c:spPr>
          </c:marker>
          <c:trendline>
            <c:spPr>
              <a:ln w="6350" cap="rnd">
                <a:solidFill>
                  <a:schemeClr val="tx1"/>
                </a:solidFill>
                <a:prstDash val="solid"/>
              </a:ln>
              <a:effectLst/>
            </c:spPr>
            <c:trendlineType val="linear"/>
            <c:dispRSqr val="1"/>
            <c:dispEq val="1"/>
            <c:trendlineLbl>
              <c:layout>
                <c:manualLayout>
                  <c:x val="-0.206464849418005"/>
                  <c:y val="7.1982102092520706E-2"/>
                </c:manualLayout>
              </c:layout>
              <c:numFmt formatCode="General" sourceLinked="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trendlineLbl>
          </c:trendline>
          <c:xVal>
            <c:numRef>
              <c:f>B!$B$21:$J$21</c:f>
              <c:numCache>
                <c:formatCode>0.00000</c:formatCode>
                <c:ptCount val="9"/>
                <c:pt idx="0">
                  <c:v>3.24675324675325E-3</c:v>
                </c:pt>
                <c:pt idx="1">
                  <c:v>3.1948881789137401E-3</c:v>
                </c:pt>
                <c:pt idx="2">
                  <c:v>3.1446540880503099E-3</c:v>
                </c:pt>
                <c:pt idx="3">
                  <c:v>3.09597523219814E-3</c:v>
                </c:pt>
                <c:pt idx="4">
                  <c:v>3.0487804878048799E-3</c:v>
                </c:pt>
                <c:pt idx="5">
                  <c:v>3.0030030030029999E-3</c:v>
                </c:pt>
                <c:pt idx="6">
                  <c:v>2.9585798816567999E-3</c:v>
                </c:pt>
                <c:pt idx="7">
                  <c:v>2.91545189504373E-3</c:v>
                </c:pt>
                <c:pt idx="8">
                  <c:v>2.8735632183907998E-3</c:v>
                </c:pt>
              </c:numCache>
            </c:numRef>
          </c:xVal>
          <c:yVal>
            <c:numRef>
              <c:f>B!$B$23:$J$23</c:f>
              <c:numCache>
                <c:formatCode>General</c:formatCode>
                <c:ptCount val="9"/>
                <c:pt idx="0">
                  <c:v>-5.8091429903140304</c:v>
                </c:pt>
                <c:pt idx="1">
                  <c:v>-4.9618451299268198</c:v>
                </c:pt>
                <c:pt idx="2">
                  <c:v>-4.7105307016459204</c:v>
                </c:pt>
                <c:pt idx="3">
                  <c:v>-4.2686979493668797</c:v>
                </c:pt>
                <c:pt idx="4">
                  <c:v>-3.8632328412587098</c:v>
                </c:pt>
                <c:pt idx="5">
                  <c:v>-3.7722610630529898</c:v>
                </c:pt>
                <c:pt idx="6">
                  <c:v>-3.32423634052603</c:v>
                </c:pt>
                <c:pt idx="7">
                  <c:v>-2.4889146711855399</c:v>
                </c:pt>
                <c:pt idx="8">
                  <c:v>-1.9661128563728301</c:v>
                </c:pt>
              </c:numCache>
            </c:numRef>
          </c:yVal>
          <c:smooth val="0"/>
          <c:extLst>
            <c:ext xmlns:c16="http://schemas.microsoft.com/office/drawing/2014/chart" uri="{C3380CC4-5D6E-409C-BE32-E72D297353CC}">
              <c16:uniqueId val="{00000003-C7A7-4759-A428-488A19F46060}"/>
            </c:ext>
          </c:extLst>
        </c:ser>
        <c:dLbls>
          <c:showLegendKey val="0"/>
          <c:showVal val="0"/>
          <c:showCatName val="0"/>
          <c:showSerName val="0"/>
          <c:showPercent val="0"/>
          <c:showBubbleSize val="0"/>
        </c:dLbls>
        <c:axId val="355008976"/>
        <c:axId val="354704192"/>
      </c:scatterChart>
      <c:valAx>
        <c:axId val="355008976"/>
        <c:scaling>
          <c:orientation val="minMax"/>
        </c:scaling>
        <c:delete val="0"/>
        <c:axPos val="b"/>
        <c:numFmt formatCode="0.00000" sourceLinked="1"/>
        <c:majorTickMark val="none"/>
        <c:minorTickMark val="none"/>
        <c:tickLblPos val="high"/>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54704192"/>
        <c:crosses val="autoZero"/>
        <c:crossBetween val="midCat"/>
      </c:valAx>
      <c:valAx>
        <c:axId val="354704192"/>
        <c:scaling>
          <c:orientation val="minMax"/>
          <c:max val="0"/>
        </c:scaling>
        <c:delete val="0"/>
        <c:axPos val="l"/>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fr-FR"/>
                  <a:t>Ln k</a:t>
                </a:r>
              </a:p>
            </c:rich>
          </c:tx>
          <c:layout>
            <c:manualLayout>
              <c:xMode val="edge"/>
              <c:yMode val="edge"/>
              <c:x val="1.76234490830681E-2"/>
              <c:y val="0.43429887834208902"/>
            </c:manualLayout>
          </c:layout>
          <c:overlay val="0"/>
          <c:spPr>
            <a:noFill/>
            <a:ln>
              <a:noFill/>
            </a:ln>
            <a:effectLst/>
          </c:spPr>
          <c:txPr>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55008976"/>
        <c:crosses val="autoZero"/>
        <c:crossBetween val="midCat"/>
      </c:valAx>
      <c:spPr>
        <a:noFill/>
        <a:ln>
          <a:noFill/>
        </a:ln>
        <a:effectLst/>
      </c:spPr>
    </c:plotArea>
    <c:plotVisOnly val="1"/>
    <c:dispBlanksAs val="gap"/>
    <c:showDLblsOverMax val="0"/>
    <c:extLst>
      <c:ext uri="{0b15fc19-7d7d-44ad-8c2d-2c3a37ce22c3}">
        <chartProps xmlns="https://web.wps.cn/et/2018/main" chartId="{3baf3285-d50c-4f45-8d6e-07d389224348}"/>
      </c:ext>
    </c:extLst>
  </c:chart>
  <c:spPr>
    <a:solidFill>
      <a:schemeClr val="bg1"/>
    </a:solidFill>
    <a:ln w="9525" cap="flat" cmpd="sng" algn="ctr">
      <a:noFill/>
      <a:round/>
    </a:ln>
    <a:effectLst/>
  </c:spPr>
  <c:txPr>
    <a:bodyPr/>
    <a:lstStyle/>
    <a:p>
      <a:pPr>
        <a:defRPr lang="fr-F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59664896997"/>
          <c:y val="9.5890410958904104E-2"/>
          <c:w val="0.79790373755116695"/>
          <c:h val="0.7455553158594902"/>
        </c:manualLayout>
      </c:layout>
      <c:scatterChart>
        <c:scatterStyle val="lineMarker"/>
        <c:varyColors val="0"/>
        <c:ser>
          <c:idx val="0"/>
          <c:order val="0"/>
          <c:tx>
            <c:strRef>
              <c:f>B!$A$16</c:f>
              <c:strCache>
                <c:ptCount val="1"/>
                <c:pt idx="0">
                  <c:v>logDL</c:v>
                </c:pt>
              </c:strCache>
            </c:strRef>
          </c:tx>
          <c:spPr>
            <a:ln w="28575" cap="rnd">
              <a:noFill/>
              <a:round/>
            </a:ln>
            <a:effectLst/>
          </c:spPr>
          <c:marker>
            <c:symbol val="triangle"/>
            <c:size val="8"/>
            <c:spPr>
              <a:noFill/>
              <a:ln w="9525">
                <a:solidFill>
                  <a:schemeClr val="tx1"/>
                </a:solidFill>
              </a:ln>
              <a:effectLst/>
            </c:spPr>
          </c:marker>
          <c:trendline>
            <c:spPr>
              <a:ln w="19050" cap="rnd">
                <a:solidFill>
                  <a:schemeClr val="accent1"/>
                </a:solidFill>
                <a:prstDash val="sysDot"/>
              </a:ln>
              <a:effectLst/>
            </c:spPr>
            <c:trendlineType val="linear"/>
            <c:dispRSqr val="0"/>
            <c:dispEq val="1"/>
            <c:trendlineLbl>
              <c:layout>
                <c:manualLayout>
                  <c:x val="-0.168846790104272"/>
                  <c:y val="-0.27557293352029599"/>
                </c:manualLayout>
              </c:layout>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en-US" sz="1000" b="0" baseline="0"/>
                      <a:t>y = -0,0377x + 14,433</a:t>
                    </a:r>
                    <a:endParaRPr lang="en-US" sz="1000" b="0"/>
                  </a:p>
                </c:rich>
              </c:tx>
              <c:numFmt formatCode="General" sourceLinked="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sysDot"/>
              </a:ln>
              <a:effectLst/>
            </c:spPr>
            <c:trendlineType val="linear"/>
            <c:dispRSqr val="0"/>
            <c:dispEq val="0"/>
          </c:trendline>
          <c:trendline>
            <c:spPr>
              <a:ln w="12700" cap="rnd">
                <a:solidFill>
                  <a:schemeClr val="tx1"/>
                </a:solidFill>
                <a:prstDash val="solid"/>
              </a:ln>
              <a:effectLst/>
            </c:spPr>
            <c:trendlineType val="linear"/>
            <c:dispRSqr val="1"/>
            <c:dispEq val="0"/>
            <c:trendlineLbl>
              <c:layout>
                <c:manualLayout>
                  <c:x val="-0.22556684848568301"/>
                  <c:y val="-0.20970517383957099"/>
                </c:manualLayout>
              </c:layout>
              <c:numFmt formatCode="General" sourceLinked="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2700" cap="rnd">
                <a:solidFill>
                  <a:schemeClr val="accent1"/>
                </a:solidFill>
                <a:prstDash val="sysDot"/>
              </a:ln>
              <a:effectLst/>
            </c:spPr>
            <c:trendlineType val="linear"/>
            <c:dispRSqr val="0"/>
            <c:dispEq val="0"/>
          </c:trendline>
          <c:xVal>
            <c:numRef>
              <c:f>B!$B$15:$J$15</c:f>
              <c:numCache>
                <c:formatCode>General</c:formatCode>
                <c:ptCount val="9"/>
                <c:pt idx="0">
                  <c:v>308</c:v>
                </c:pt>
                <c:pt idx="1">
                  <c:v>313</c:v>
                </c:pt>
                <c:pt idx="2">
                  <c:v>318</c:v>
                </c:pt>
                <c:pt idx="3">
                  <c:v>323</c:v>
                </c:pt>
                <c:pt idx="4">
                  <c:v>328</c:v>
                </c:pt>
                <c:pt idx="5">
                  <c:v>333</c:v>
                </c:pt>
                <c:pt idx="6">
                  <c:v>338</c:v>
                </c:pt>
                <c:pt idx="7">
                  <c:v>343</c:v>
                </c:pt>
                <c:pt idx="8">
                  <c:v>348</c:v>
                </c:pt>
              </c:numCache>
            </c:numRef>
          </c:xVal>
          <c:yVal>
            <c:numRef>
              <c:f>B!$B$16:$J$16</c:f>
              <c:numCache>
                <c:formatCode>0.000</c:formatCode>
                <c:ptCount val="9"/>
                <c:pt idx="0">
                  <c:v>2.8851726832445701</c:v>
                </c:pt>
                <c:pt idx="1">
                  <c:v>2.51719589794997</c:v>
                </c:pt>
                <c:pt idx="2">
                  <c:v>2.4080514285249102</c:v>
                </c:pt>
                <c:pt idx="3">
                  <c:v>2.2161659022859901</c:v>
                </c:pt>
                <c:pt idx="4">
                  <c:v>2.0400746432303101</c:v>
                </c:pt>
                <c:pt idx="5">
                  <c:v>2.0005661019466401</c:v>
                </c:pt>
                <c:pt idx="6">
                  <c:v>1.8059914371969401</c:v>
                </c:pt>
                <c:pt idx="7">
                  <c:v>1.4432158455881601</c:v>
                </c:pt>
                <c:pt idx="8">
                  <c:v>1.2161659022859901</c:v>
                </c:pt>
              </c:numCache>
            </c:numRef>
          </c:yVal>
          <c:smooth val="0"/>
          <c:extLst>
            <c:ext xmlns:c16="http://schemas.microsoft.com/office/drawing/2014/chart" uri="{C3380CC4-5D6E-409C-BE32-E72D297353CC}">
              <c16:uniqueId val="{00000004-DE32-47A0-B11A-FB34DD349B4B}"/>
            </c:ext>
          </c:extLst>
        </c:ser>
        <c:ser>
          <c:idx val="1"/>
          <c:order val="1"/>
          <c:tx>
            <c:strRef>
              <c:f>B!$A$17</c:f>
              <c:strCache>
                <c:ptCount val="1"/>
                <c:pt idx="0">
                  <c:v>logDA</c:v>
                </c:pt>
              </c:strCache>
            </c:strRef>
          </c:tx>
          <c:spPr>
            <a:ln w="28575" cap="rnd">
              <a:noFill/>
              <a:round/>
            </a:ln>
            <a:effectLst/>
          </c:spPr>
          <c:marker>
            <c:symbol val="circle"/>
            <c:size val="8"/>
            <c:spPr>
              <a:noFill/>
              <a:ln w="12700">
                <a:solidFill>
                  <a:schemeClr val="tx1"/>
                </a:solidFill>
              </a:ln>
              <a:effectLst/>
            </c:spPr>
          </c:marker>
          <c:trendline>
            <c:spPr>
              <a:ln w="19050" cap="rnd">
                <a:solidFill>
                  <a:schemeClr val="accent2"/>
                </a:solidFill>
                <a:prstDash val="sysDot"/>
              </a:ln>
              <a:effectLst/>
            </c:spPr>
            <c:trendlineType val="linear"/>
            <c:dispRSqr val="1"/>
            <c:dispEq val="1"/>
            <c:trendlineLbl>
              <c:layout>
                <c:manualLayout>
                  <c:x val="-0.336421109364827"/>
                  <c:y val="-5.01215259051523E-2"/>
                </c:manualLayout>
              </c:layout>
              <c:tx>
                <c:rich>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r>
                      <a:rPr lang="en-US" sz="1000" b="0" baseline="0">
                        <a:latin typeface="Arial" panose="020B0604020202020204" pitchFamily="2" charset="0"/>
                        <a:cs typeface="Arial" panose="020B0604020202020204" pitchFamily="2" charset="0"/>
                      </a:rPr>
                      <a:t>y = -0,067x + 23,424</a:t>
                    </a:r>
                    <a:br>
                      <a:rPr lang="en-US" sz="1000" b="0" baseline="0">
                        <a:latin typeface="Arial" panose="020B0604020202020204" pitchFamily="2" charset="0"/>
                        <a:cs typeface="Arial" panose="020B0604020202020204" pitchFamily="2" charset="0"/>
                      </a:rPr>
                    </a:br>
                    <a:r>
                      <a:rPr lang="en-US" sz="1000" b="0" baseline="0">
                        <a:latin typeface="Arial" panose="020B0604020202020204" pitchFamily="2" charset="0"/>
                        <a:cs typeface="Arial" panose="020B0604020202020204" pitchFamily="2" charset="0"/>
                      </a:rPr>
                      <a:t>R² = 0,9738</a:t>
                    </a:r>
                    <a:endParaRPr lang="en-US" sz="1000" b="0">
                      <a:latin typeface="Arial" panose="020B0604020202020204" pitchFamily="2" charset="0"/>
                      <a:cs typeface="Arial" panose="020B0604020202020204" pitchFamily="2" charset="0"/>
                    </a:endParaRPr>
                  </a:p>
                </c:rich>
              </c:tx>
              <c:numFmt formatCode="General" sourceLinked="0"/>
              <c:spPr>
                <a:noFill/>
                <a:ln>
                  <a:noFill/>
                </a:ln>
                <a:effectLst/>
              </c:spPr>
              <c:txPr>
                <a:bodyPr rot="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2700" cap="rnd">
                <a:solidFill>
                  <a:schemeClr val="tx1"/>
                </a:solidFill>
                <a:prstDash val="solid"/>
              </a:ln>
              <a:effectLst/>
            </c:spPr>
            <c:trendlineType val="linear"/>
            <c:dispRSqr val="0"/>
            <c:dispEq val="0"/>
          </c:trendline>
          <c:xVal>
            <c:numRef>
              <c:f>B!$B$15:$J$15</c:f>
              <c:numCache>
                <c:formatCode>General</c:formatCode>
                <c:ptCount val="9"/>
                <c:pt idx="0">
                  <c:v>308</c:v>
                </c:pt>
                <c:pt idx="1">
                  <c:v>313</c:v>
                </c:pt>
                <c:pt idx="2">
                  <c:v>318</c:v>
                </c:pt>
                <c:pt idx="3">
                  <c:v>323</c:v>
                </c:pt>
                <c:pt idx="4">
                  <c:v>328</c:v>
                </c:pt>
                <c:pt idx="5">
                  <c:v>333</c:v>
                </c:pt>
                <c:pt idx="6">
                  <c:v>338</c:v>
                </c:pt>
                <c:pt idx="7">
                  <c:v>343</c:v>
                </c:pt>
                <c:pt idx="8">
                  <c:v>348</c:v>
                </c:pt>
              </c:numCache>
            </c:numRef>
          </c:xVal>
          <c:yVal>
            <c:numRef>
              <c:f>B!$B$17:$J$17</c:f>
              <c:numCache>
                <c:formatCode>0.000</c:formatCode>
                <c:ptCount val="9"/>
                <c:pt idx="0">
                  <c:v>2.8851726832445701</c:v>
                </c:pt>
                <c:pt idx="1">
                  <c:v>2.36229393796423</c:v>
                </c:pt>
                <c:pt idx="2">
                  <c:v>2.0198712571420199</c:v>
                </c:pt>
                <c:pt idx="3">
                  <c:v>1.7712293309377301</c:v>
                </c:pt>
                <c:pt idx="4">
                  <c:v>1.50496144153296</c:v>
                </c:pt>
              </c:numCache>
            </c:numRef>
          </c:yVal>
          <c:smooth val="0"/>
          <c:extLst>
            <c:ext xmlns:c16="http://schemas.microsoft.com/office/drawing/2014/chart" uri="{C3380CC4-5D6E-409C-BE32-E72D297353CC}">
              <c16:uniqueId val="{00000007-DE32-47A0-B11A-FB34DD349B4B}"/>
            </c:ext>
          </c:extLst>
        </c:ser>
        <c:dLbls>
          <c:showLegendKey val="0"/>
          <c:showVal val="0"/>
          <c:showCatName val="0"/>
          <c:showSerName val="0"/>
          <c:showPercent val="0"/>
          <c:showBubbleSize val="0"/>
        </c:dLbls>
        <c:axId val="354706544"/>
        <c:axId val="354704584"/>
      </c:scatterChart>
      <c:valAx>
        <c:axId val="354706544"/>
        <c:scaling>
          <c:orientation val="minMax"/>
        </c:scaling>
        <c:delete val="0"/>
        <c:axPos val="b"/>
        <c:title>
          <c:tx>
            <c:rich>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r>
                  <a:rPr lang="fr-FR" sz="1000" b="0">
                    <a:latin typeface="Arial" panose="020B0604020202020204" pitchFamily="2" charset="0"/>
                    <a:cs typeface="Arial" panose="020B0604020202020204" pitchFamily="2" charset="0"/>
                  </a:rPr>
                  <a:t>Temperature</a:t>
                </a:r>
                <a:r>
                  <a:rPr lang="fr-FR" sz="1000" b="0" baseline="0">
                    <a:latin typeface="Arial" panose="020B0604020202020204" pitchFamily="2" charset="0"/>
                    <a:cs typeface="Arial" panose="020B0604020202020204" pitchFamily="2" charset="0"/>
                  </a:rPr>
                  <a:t> (K)</a:t>
                </a:r>
                <a:endParaRPr lang="fr-FR" sz="1000" b="0">
                  <a:latin typeface="Arial" panose="020B0604020202020204" pitchFamily="2" charset="0"/>
                  <a:cs typeface="Arial" panose="020B0604020202020204" pitchFamily="2" charset="0"/>
                </a:endParaRPr>
              </a:p>
            </c:rich>
          </c:tx>
          <c:layout>
            <c:manualLayout>
              <c:xMode val="edge"/>
              <c:yMode val="edge"/>
              <c:x val="0.41332642250595508"/>
              <c:y val="0.9199766296336247"/>
            </c:manualLayout>
          </c:layout>
          <c:overlay val="0"/>
          <c:spPr>
            <a:noFill/>
            <a:ln>
              <a:noFill/>
            </a:ln>
            <a:effectLst/>
          </c:spPr>
          <c:txPr>
            <a:bodyPr rot="0" spcFirstLastPara="1" vertOverflow="ellipsis" vert="horz" wrap="square" anchor="ctr" anchorCtr="1"/>
            <a:lstStyle/>
            <a:p>
              <a:pPr>
                <a:defRPr lang="fr-FR" sz="1000" b="0" i="0" u="none" strike="noStrike" kern="1200" baseline="0">
                  <a:solidFill>
                    <a:schemeClr val="tx1">
                      <a:lumMod val="65000"/>
                      <a:lumOff val="35000"/>
                    </a:schemeClr>
                  </a:solidFill>
                  <a:latin typeface="Arial" panose="020B0604020202020204" pitchFamily="2" charset="0"/>
                  <a:ea typeface="+mn-ea"/>
                  <a:cs typeface="Arial" panose="020B0604020202020204" pitchFamily="2"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54704584"/>
        <c:crosses val="autoZero"/>
        <c:crossBetween val="midCat"/>
      </c:valAx>
      <c:valAx>
        <c:axId val="354704584"/>
        <c:scaling>
          <c:orientation val="minMax"/>
          <c:max val="4"/>
        </c:scaling>
        <c:delete val="0"/>
        <c:axPos val="l"/>
        <c:title>
          <c:tx>
            <c:rich>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r>
                  <a:rPr lang="fr-FR" sz="1000" b="0">
                    <a:latin typeface="Arial" panose="020B0604020202020204" pitchFamily="2" charset="0"/>
                    <a:cs typeface="Arial" panose="020B0604020202020204" pitchFamily="2" charset="0"/>
                  </a:rPr>
                  <a:t>LogD</a:t>
                </a:r>
              </a:p>
            </c:rich>
          </c:tx>
          <c:layout>
            <c:manualLayout>
              <c:xMode val="edge"/>
              <c:yMode val="edge"/>
              <c:x val="1.38888888888889E-2"/>
              <c:y val="0.35522058030417403"/>
            </c:manualLayout>
          </c:layout>
          <c:overlay val="0"/>
          <c:spPr>
            <a:noFill/>
            <a:ln>
              <a:noFill/>
            </a:ln>
            <a:effectLst/>
          </c:spPr>
          <c:txPr>
            <a:bodyPr rot="-5400000" spcFirstLastPara="1" vertOverflow="ellipsis" vert="horz" wrap="square" anchor="ctr" anchorCtr="1"/>
            <a:lstStyle/>
            <a:p>
              <a:pPr>
                <a:defRPr lang="fr-F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354706544"/>
        <c:crosses val="autoZero"/>
        <c:crossBetween val="midCat"/>
        <c:majorUnit val="1"/>
      </c:valAx>
      <c:spPr>
        <a:noFill/>
        <a:ln>
          <a:noFill/>
        </a:ln>
        <a:effectLst/>
      </c:spPr>
    </c:plotArea>
    <c:plotVisOnly val="1"/>
    <c:dispBlanksAs val="gap"/>
    <c:showDLblsOverMax val="0"/>
    <c:extLst>
      <c:ext uri="{0b15fc19-7d7d-44ad-8c2d-2c3a37ce22c3}">
        <chartProps xmlns="https://web.wps.cn/et/2018/main" chartId="{a6798943-2d08-4d0f-98dd-a19758794f28}"/>
      </c:ext>
    </c:extLst>
  </c:chart>
  <c:spPr>
    <a:solidFill>
      <a:schemeClr val="bg1"/>
    </a:solidFill>
    <a:ln w="9525" cap="flat" cmpd="sng" algn="ctr">
      <a:noFill/>
      <a:round/>
    </a:ln>
    <a:effectLst/>
  </c:spPr>
  <c:txPr>
    <a:bodyPr/>
    <a:lstStyle/>
    <a:p>
      <a:pPr>
        <a:defRPr lang="fr-F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6"/>
    <customShpInfo spid="_x0000_s2057"/>
    <customShpInfo spid="_x0000_s2055"/>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C7458-1150-4F04-A60E-FCA56752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17</Pages>
  <Words>7516</Words>
  <Characters>42844</Characters>
  <Application>Microsoft Office Word</Application>
  <DocSecurity>0</DocSecurity>
  <Lines>357</Lines>
  <Paragraphs>100</Paragraphs>
  <ScaleCrop>false</ScaleCrop>
  <Company/>
  <LinksUpToDate>false</LinksUpToDate>
  <CharactersWithSpaces>50260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cp:lastModifiedBy>
  <cp:revision>83</cp:revision>
  <dcterms:created xsi:type="dcterms:W3CDTF">2026-03-06T12:18:00Z</dcterms:created>
  <dcterms:modified xsi:type="dcterms:W3CDTF">2026-03-20T08:03:00Z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7A6C9F920A16492BBD537B57789B6794_13</vt:lpwstr>
  </property>
</Properties>
</file>