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F8B327" w14:textId="77777777" w:rsidR="000D53A3" w:rsidRDefault="000D53A3" w:rsidP="00E004DB">
      <w:pPr>
        <w:tabs>
          <w:tab w:val="left" w:pos="2460"/>
        </w:tabs>
        <w:spacing w:after="0" w:line="480" w:lineRule="auto"/>
        <w:contextualSpacing/>
        <w:jc w:val="both"/>
        <w:rPr>
          <w:rFonts w:ascii="Arial" w:eastAsia="Arial" w:hAnsi="Arial" w:cs="Arial"/>
          <w:b/>
          <w:bCs/>
          <w:lang w:val="en-US" w:eastAsia="fr-FR"/>
        </w:rPr>
      </w:pPr>
    </w:p>
    <w:p w14:paraId="713A5175" w14:textId="61F7FCC3" w:rsidR="00597F24" w:rsidRPr="003C5866" w:rsidRDefault="00C63D7F" w:rsidP="00E004DB">
      <w:pPr>
        <w:tabs>
          <w:tab w:val="left" w:pos="2460"/>
        </w:tabs>
        <w:spacing w:after="0" w:line="480" w:lineRule="auto"/>
        <w:contextualSpacing/>
        <w:jc w:val="both"/>
        <w:rPr>
          <w:rFonts w:ascii="Arial" w:eastAsiaTheme="minorEastAsia" w:hAnsi="Arial" w:cs="Arial"/>
          <w:b/>
          <w:i/>
          <w:lang w:val="en-US" w:eastAsia="fr-FR"/>
        </w:rPr>
      </w:pPr>
      <w:r w:rsidRPr="003C5866">
        <w:rPr>
          <w:rFonts w:ascii="Arial" w:eastAsia="Arial" w:hAnsi="Arial" w:cs="Arial"/>
          <w:b/>
          <w:bCs/>
          <w:lang w:val="en-US" w:eastAsia="fr-FR"/>
        </w:rPr>
        <w:t xml:space="preserve">Antifungal, Antibacterial, Insecticidal </w:t>
      </w:r>
      <w:r>
        <w:rPr>
          <w:rFonts w:ascii="Arial" w:eastAsia="Arial" w:hAnsi="Arial" w:cs="Arial"/>
          <w:b/>
          <w:bCs/>
          <w:lang w:val="en-US" w:eastAsia="fr-FR"/>
        </w:rPr>
        <w:t>a</w:t>
      </w:r>
      <w:r w:rsidRPr="003C5866">
        <w:rPr>
          <w:rFonts w:ascii="Arial" w:eastAsia="Arial" w:hAnsi="Arial" w:cs="Arial"/>
          <w:b/>
          <w:bCs/>
          <w:lang w:val="en-US" w:eastAsia="fr-FR"/>
        </w:rPr>
        <w:t xml:space="preserve">nd </w:t>
      </w:r>
      <w:proofErr w:type="spellStart"/>
      <w:r w:rsidRPr="003C5866">
        <w:rPr>
          <w:rFonts w:ascii="Arial" w:eastAsia="Arial" w:hAnsi="Arial" w:cs="Arial"/>
          <w:b/>
          <w:bCs/>
          <w:lang w:val="en-US" w:eastAsia="fr-FR"/>
        </w:rPr>
        <w:t>Nematicidal</w:t>
      </w:r>
      <w:proofErr w:type="spellEnd"/>
      <w:r w:rsidRPr="002D12B2">
        <w:rPr>
          <w:rFonts w:ascii="Arial" w:eastAsia="Arial" w:hAnsi="Arial" w:cs="Arial"/>
          <w:b/>
          <w:bCs/>
          <w:i/>
          <w:iCs/>
          <w:lang w:val="en-US" w:eastAsia="fr-FR"/>
        </w:rPr>
        <w:t xml:space="preserve"> In Vitro</w:t>
      </w:r>
      <w:r w:rsidRPr="003C5866">
        <w:rPr>
          <w:rFonts w:ascii="Arial" w:eastAsia="Arial" w:hAnsi="Arial" w:cs="Arial"/>
          <w:b/>
          <w:bCs/>
          <w:lang w:val="en-US" w:eastAsia="fr-FR"/>
        </w:rPr>
        <w:t xml:space="preserve"> Activity </w:t>
      </w:r>
      <w:r>
        <w:rPr>
          <w:rFonts w:ascii="Arial" w:eastAsia="Arial" w:hAnsi="Arial" w:cs="Arial"/>
          <w:b/>
          <w:bCs/>
          <w:lang w:val="en-US" w:eastAsia="fr-FR"/>
        </w:rPr>
        <w:t>o</w:t>
      </w:r>
      <w:r w:rsidRPr="003C5866">
        <w:rPr>
          <w:rFonts w:ascii="Arial" w:eastAsia="Arial" w:hAnsi="Arial" w:cs="Arial"/>
          <w:b/>
          <w:bCs/>
          <w:lang w:val="en-US" w:eastAsia="fr-FR"/>
        </w:rPr>
        <w:t>f Four Plant</w:t>
      </w:r>
      <w:r>
        <w:rPr>
          <w:rFonts w:ascii="Arial" w:eastAsia="Arial" w:hAnsi="Arial" w:cs="Arial"/>
          <w:b/>
          <w:bCs/>
          <w:lang w:val="en-US" w:eastAsia="fr-FR"/>
        </w:rPr>
        <w:t>-</w:t>
      </w:r>
      <w:r w:rsidRPr="003C5866">
        <w:rPr>
          <w:rFonts w:ascii="Arial" w:eastAsia="Arial" w:hAnsi="Arial" w:cs="Arial"/>
          <w:b/>
          <w:bCs/>
          <w:lang w:val="en-US" w:eastAsia="fr-FR"/>
        </w:rPr>
        <w:t>Based Biopesticides</w:t>
      </w:r>
    </w:p>
    <w:p w14:paraId="6553E3B9" w14:textId="77777777" w:rsidR="00597F24" w:rsidRPr="003C5866" w:rsidRDefault="00597F24" w:rsidP="00E004DB">
      <w:pPr>
        <w:spacing w:after="0" w:line="480" w:lineRule="auto"/>
        <w:contextualSpacing/>
        <w:jc w:val="both"/>
        <w:rPr>
          <w:rFonts w:ascii="Arial" w:eastAsiaTheme="minorEastAsia" w:hAnsi="Arial" w:cs="Arial"/>
          <w:lang w:val="en-US" w:eastAsia="fr-FR"/>
        </w:rPr>
      </w:pPr>
    </w:p>
    <w:p w14:paraId="714F7764" w14:textId="77777777" w:rsidR="00B248B8" w:rsidRPr="003C5866" w:rsidRDefault="00E004DB" w:rsidP="009953E1">
      <w:pPr>
        <w:tabs>
          <w:tab w:val="left" w:pos="1360"/>
        </w:tabs>
        <w:spacing w:after="0" w:line="480" w:lineRule="auto"/>
        <w:contextualSpacing/>
        <w:jc w:val="both"/>
        <w:rPr>
          <w:rFonts w:ascii="Arial" w:eastAsia="Arial" w:hAnsi="Arial" w:cs="Arial"/>
          <w:bCs/>
          <w:i/>
          <w:iCs/>
          <w:szCs w:val="24"/>
          <w:lang w:val="en-US" w:eastAsia="fr-FR"/>
        </w:rPr>
      </w:pPr>
      <w:r w:rsidRPr="003C5866">
        <w:rPr>
          <w:rFonts w:ascii="Arial" w:eastAsiaTheme="minorEastAsia" w:hAnsi="Arial" w:cs="Arial"/>
          <w:b/>
          <w:szCs w:val="24"/>
          <w:lang w:val="en-US" w:eastAsia="fr-FR"/>
        </w:rPr>
        <w:t>ABSTRACT</w:t>
      </w:r>
    </w:p>
    <w:p w14:paraId="10A434D6" w14:textId="39ABFD2F" w:rsidR="00E004DB" w:rsidRPr="003C5866" w:rsidRDefault="00C63D7F" w:rsidP="000B362B">
      <w:pPr>
        <w:spacing w:after="0" w:line="360" w:lineRule="auto"/>
        <w:jc w:val="both"/>
        <w:rPr>
          <w:rFonts w:ascii="Arial" w:eastAsia="Times New Roman" w:hAnsi="Arial" w:cs="Arial"/>
          <w:color w:val="242021"/>
          <w:szCs w:val="24"/>
          <w:lang w:val="en-US" w:eastAsia="fr-FR"/>
        </w:rPr>
      </w:pPr>
      <w:r>
        <w:rPr>
          <w:rFonts w:ascii="Arial" w:eastAsia="Times New Roman" w:hAnsi="Arial" w:cs="Arial"/>
          <w:b/>
          <w:color w:val="242021"/>
          <w:szCs w:val="24"/>
          <w:lang w:val="en-US" w:eastAsia="fr-FR"/>
        </w:rPr>
        <w:t xml:space="preserve">Background and </w:t>
      </w:r>
      <w:r w:rsidR="000B362B" w:rsidRPr="003C5866">
        <w:rPr>
          <w:rFonts w:ascii="Arial" w:eastAsia="Times New Roman" w:hAnsi="Arial" w:cs="Arial"/>
          <w:b/>
          <w:color w:val="242021"/>
          <w:szCs w:val="24"/>
          <w:lang w:val="en-US" w:eastAsia="fr-FR"/>
        </w:rPr>
        <w:t>Aims:</w:t>
      </w:r>
      <w:r w:rsidR="000B362B" w:rsidRPr="003C5866">
        <w:rPr>
          <w:rFonts w:ascii="Arial" w:eastAsia="Times New Roman" w:hAnsi="Arial" w:cs="Arial"/>
          <w:color w:val="242021"/>
          <w:szCs w:val="24"/>
          <w:lang w:val="en-US" w:eastAsia="fr-FR"/>
        </w:rPr>
        <w:t xml:space="preserve"> </w:t>
      </w:r>
      <w:r w:rsidR="00B248B8" w:rsidRPr="003C5866">
        <w:rPr>
          <w:rFonts w:ascii="Arial" w:eastAsia="Times New Roman" w:hAnsi="Arial" w:cs="Arial"/>
          <w:color w:val="242021"/>
          <w:szCs w:val="24"/>
          <w:lang w:val="en-US" w:eastAsia="fr-FR"/>
        </w:rPr>
        <w:t xml:space="preserve">Biopesticides are natural products used in agriculture to reduce </w:t>
      </w:r>
      <w:r w:rsidR="00B248B8" w:rsidRPr="00B15494">
        <w:rPr>
          <w:rFonts w:ascii="Arial" w:eastAsia="Times New Roman" w:hAnsi="Arial" w:cs="Arial"/>
          <w:color w:val="242021"/>
          <w:szCs w:val="24"/>
          <w:lang w:val="en-US" w:eastAsia="fr-FR"/>
        </w:rPr>
        <w:t xml:space="preserve">the incidence or </w:t>
      </w:r>
      <w:r w:rsidR="0003787D">
        <w:rPr>
          <w:rFonts w:ascii="Arial" w:eastAsia="Times New Roman" w:hAnsi="Arial" w:cs="Arial"/>
          <w:color w:val="242021"/>
          <w:szCs w:val="24"/>
          <w:lang w:val="en-US" w:eastAsia="fr-FR"/>
        </w:rPr>
        <w:t xml:space="preserve">to </w:t>
      </w:r>
      <w:r w:rsidR="00B248B8" w:rsidRPr="00B15494">
        <w:rPr>
          <w:rFonts w:ascii="Arial" w:eastAsia="Times New Roman" w:hAnsi="Arial" w:cs="Arial"/>
          <w:color w:val="242021"/>
          <w:szCs w:val="24"/>
          <w:lang w:val="en-US" w:eastAsia="fr-FR"/>
        </w:rPr>
        <w:t>eliminate crop pests.</w:t>
      </w:r>
      <w:r w:rsidR="00B248B8" w:rsidRPr="003C5866">
        <w:rPr>
          <w:rFonts w:ascii="Arial" w:eastAsia="Times New Roman" w:hAnsi="Arial" w:cs="Arial"/>
          <w:color w:val="242021"/>
          <w:szCs w:val="24"/>
          <w:lang w:val="en-US" w:eastAsia="fr-FR"/>
        </w:rPr>
        <w:t xml:space="preserve"> They represent an ecological and sustainable alternative to synthetic pesticides, the excessive use of which has serious impacts on human health and the environment. This work evalu</w:t>
      </w:r>
      <w:r w:rsidR="00683F21" w:rsidRPr="003C5866">
        <w:rPr>
          <w:rFonts w:ascii="Arial" w:eastAsia="Times New Roman" w:hAnsi="Arial" w:cs="Arial"/>
          <w:color w:val="242021"/>
          <w:szCs w:val="24"/>
          <w:lang w:val="en-US" w:eastAsia="fr-FR"/>
        </w:rPr>
        <w:t xml:space="preserve">ates the efficacy of four plant </w:t>
      </w:r>
      <w:r w:rsidR="00B248B8" w:rsidRPr="003C5866">
        <w:rPr>
          <w:rFonts w:ascii="Arial" w:eastAsia="Times New Roman" w:hAnsi="Arial" w:cs="Arial"/>
          <w:color w:val="242021"/>
          <w:szCs w:val="24"/>
          <w:lang w:val="en-US" w:eastAsia="fr-FR"/>
        </w:rPr>
        <w:t>based biopesticides against various plant pests, including insects (</w:t>
      </w:r>
      <w:proofErr w:type="spellStart"/>
      <w:r w:rsidR="00B248B8" w:rsidRPr="003C5866">
        <w:rPr>
          <w:rFonts w:ascii="Arial" w:eastAsia="Calibri" w:hAnsi="Arial" w:cs="Arial"/>
          <w:i/>
          <w:iCs/>
          <w:szCs w:val="24"/>
          <w:lang w:val="en-US"/>
        </w:rPr>
        <w:t>Aphidoidea</w:t>
      </w:r>
      <w:proofErr w:type="spellEnd"/>
      <w:r w:rsidR="00B248B8" w:rsidRPr="003C5866">
        <w:rPr>
          <w:rFonts w:ascii="Arial" w:eastAsia="Calibri" w:hAnsi="Arial" w:cs="Arial"/>
          <w:i/>
          <w:iCs/>
          <w:szCs w:val="24"/>
          <w:lang w:val="en-US"/>
        </w:rPr>
        <w:t xml:space="preserve">, </w:t>
      </w:r>
      <w:proofErr w:type="spellStart"/>
      <w:r w:rsidR="00B248B8" w:rsidRPr="003C5866">
        <w:rPr>
          <w:rFonts w:ascii="Arial" w:eastAsia="Calibri" w:hAnsi="Arial" w:cs="Arial"/>
          <w:i/>
          <w:iCs/>
          <w:szCs w:val="24"/>
          <w:lang w:val="en-US"/>
        </w:rPr>
        <w:t>Zonocerus</w:t>
      </w:r>
      <w:proofErr w:type="spellEnd"/>
      <w:r w:rsidR="00B248B8" w:rsidRPr="003C5866">
        <w:rPr>
          <w:rFonts w:ascii="Arial" w:eastAsia="Calibri" w:hAnsi="Arial" w:cs="Arial"/>
          <w:i/>
          <w:iCs/>
          <w:szCs w:val="24"/>
          <w:lang w:val="en-US"/>
        </w:rPr>
        <w:t xml:space="preserve"> variegatus</w:t>
      </w:r>
      <w:r w:rsidR="0016443A" w:rsidRPr="003C5866">
        <w:rPr>
          <w:rFonts w:ascii="Arial" w:hAnsi="Arial" w:cs="Arial"/>
          <w:i/>
          <w:szCs w:val="24"/>
          <w:lang w:val="en-US"/>
        </w:rPr>
        <w:t>, Cosmopolites sordidus</w:t>
      </w:r>
      <w:r w:rsidR="00B248B8" w:rsidRPr="003C5866">
        <w:rPr>
          <w:rFonts w:ascii="Arial" w:eastAsia="Times New Roman" w:hAnsi="Arial" w:cs="Arial"/>
          <w:color w:val="242021"/>
          <w:szCs w:val="24"/>
          <w:lang w:val="en-US" w:eastAsia="fr-FR"/>
        </w:rPr>
        <w:t xml:space="preserve">), </w:t>
      </w:r>
      <w:r w:rsidR="00683F21" w:rsidRPr="003C5866">
        <w:rPr>
          <w:rFonts w:ascii="Arial" w:eastAsia="Times New Roman" w:hAnsi="Arial" w:cs="Arial"/>
          <w:color w:val="242021"/>
          <w:szCs w:val="24"/>
          <w:lang w:val="en-US" w:eastAsia="fr-FR"/>
        </w:rPr>
        <w:t>fungi</w:t>
      </w:r>
      <w:r w:rsidR="00B248B8" w:rsidRPr="003C5866">
        <w:rPr>
          <w:rFonts w:ascii="Arial" w:eastAsia="Times New Roman" w:hAnsi="Arial" w:cs="Arial"/>
          <w:color w:val="242021"/>
          <w:szCs w:val="24"/>
          <w:lang w:val="en-US" w:eastAsia="fr-FR"/>
        </w:rPr>
        <w:t xml:space="preserve"> (</w:t>
      </w:r>
      <w:r w:rsidR="00B248B8" w:rsidRPr="003C5866">
        <w:rPr>
          <w:rFonts w:ascii="Arial" w:eastAsia="Calibri" w:hAnsi="Arial" w:cs="Arial"/>
          <w:i/>
          <w:iCs/>
          <w:szCs w:val="24"/>
          <w:lang w:val="en-US"/>
        </w:rPr>
        <w:t>Aspergillus flavus,</w:t>
      </w:r>
      <w:r w:rsidR="00683F21" w:rsidRPr="003C5866">
        <w:rPr>
          <w:rFonts w:ascii="Arial" w:eastAsia="Calibri" w:hAnsi="Arial" w:cs="Arial"/>
          <w:i/>
          <w:iCs/>
          <w:szCs w:val="24"/>
          <w:lang w:val="en-US"/>
        </w:rPr>
        <w:t xml:space="preserve"> </w:t>
      </w:r>
      <w:r w:rsidR="00B248B8" w:rsidRPr="003C5866">
        <w:rPr>
          <w:rFonts w:ascii="Arial" w:eastAsia="Calibri" w:hAnsi="Arial" w:cs="Arial"/>
          <w:i/>
          <w:szCs w:val="24"/>
          <w:lang w:val="en-US"/>
        </w:rPr>
        <w:t>Fusarium</w:t>
      </w:r>
      <w:r w:rsidR="00683F21" w:rsidRPr="003C5866">
        <w:rPr>
          <w:rFonts w:ascii="Arial" w:eastAsia="Calibri" w:hAnsi="Arial" w:cs="Arial"/>
          <w:i/>
          <w:szCs w:val="24"/>
          <w:lang w:val="en-US"/>
        </w:rPr>
        <w:t xml:space="preserve"> </w:t>
      </w:r>
      <w:r w:rsidR="00B248B8" w:rsidRPr="003C5866">
        <w:rPr>
          <w:rFonts w:ascii="Arial" w:eastAsia="Calibri" w:hAnsi="Arial" w:cs="Arial"/>
          <w:iCs/>
          <w:szCs w:val="24"/>
          <w:lang w:val="en-US"/>
        </w:rPr>
        <w:t>spp.</w:t>
      </w:r>
      <w:r w:rsidR="00C83321" w:rsidRPr="003C5866">
        <w:rPr>
          <w:rFonts w:ascii="Arial" w:eastAsia="Times New Roman" w:hAnsi="Arial" w:cs="Arial"/>
          <w:color w:val="242021"/>
          <w:szCs w:val="24"/>
          <w:lang w:val="en-US" w:eastAsia="fr-FR"/>
        </w:rPr>
        <w:t>), bacteria (</w:t>
      </w:r>
      <w:r w:rsidR="00B248B8" w:rsidRPr="003C5866">
        <w:rPr>
          <w:rFonts w:ascii="Arial" w:eastAsia="Times New Roman" w:hAnsi="Arial" w:cs="Arial"/>
          <w:i/>
          <w:color w:val="000000"/>
          <w:szCs w:val="24"/>
          <w:lang w:val="en-US" w:eastAsia="fr-FR"/>
        </w:rPr>
        <w:t>Pseudomonas spp.</w:t>
      </w:r>
      <w:r w:rsidR="00B248B8" w:rsidRPr="003C5866">
        <w:rPr>
          <w:rFonts w:ascii="Arial" w:eastAsia="Times New Roman" w:hAnsi="Arial" w:cs="Arial"/>
          <w:color w:val="000000"/>
          <w:szCs w:val="24"/>
          <w:lang w:val="en-US" w:eastAsia="fr-FR"/>
        </w:rPr>
        <w:t xml:space="preserve">, </w:t>
      </w:r>
      <w:r w:rsidR="00B248B8" w:rsidRPr="003C5866">
        <w:rPr>
          <w:rFonts w:ascii="Arial" w:eastAsia="Times New Roman" w:hAnsi="Arial" w:cs="Arial"/>
          <w:i/>
          <w:color w:val="000000"/>
          <w:szCs w:val="24"/>
          <w:lang w:val="en-US" w:eastAsia="fr-FR"/>
        </w:rPr>
        <w:t>Ralstonia solanacearum</w:t>
      </w:r>
      <w:r w:rsidR="00AF5C0A" w:rsidRPr="003C5866">
        <w:rPr>
          <w:rFonts w:ascii="Arial" w:eastAsia="Times New Roman" w:hAnsi="Arial" w:cs="Arial"/>
          <w:color w:val="000000"/>
          <w:szCs w:val="24"/>
          <w:lang w:val="en-US" w:eastAsia="fr-FR"/>
        </w:rPr>
        <w:t xml:space="preserve">) </w:t>
      </w:r>
      <w:r w:rsidR="00614E3E" w:rsidRPr="003C5866">
        <w:rPr>
          <w:rFonts w:ascii="Arial" w:eastAsia="Times New Roman" w:hAnsi="Arial" w:cs="Arial"/>
          <w:color w:val="242021"/>
          <w:szCs w:val="24"/>
          <w:lang w:val="en-US" w:eastAsia="fr-FR"/>
        </w:rPr>
        <w:t>and nematodes (</w:t>
      </w:r>
      <w:proofErr w:type="spellStart"/>
      <w:r w:rsidR="00D85DFB" w:rsidRPr="003C5866">
        <w:rPr>
          <w:rStyle w:val="lrzxr"/>
          <w:rFonts w:ascii="Arial" w:hAnsi="Arial" w:cs="Arial"/>
          <w:i/>
          <w:szCs w:val="24"/>
          <w:lang w:val="en-US"/>
        </w:rPr>
        <w:t>Radopholus</w:t>
      </w:r>
      <w:proofErr w:type="spellEnd"/>
      <w:r w:rsidR="00D85DFB" w:rsidRPr="003C5866">
        <w:rPr>
          <w:rStyle w:val="lrzxr"/>
          <w:rFonts w:ascii="Arial" w:hAnsi="Arial" w:cs="Arial"/>
          <w:i/>
          <w:szCs w:val="24"/>
          <w:lang w:val="en-US"/>
        </w:rPr>
        <w:t xml:space="preserve"> </w:t>
      </w:r>
      <w:proofErr w:type="spellStart"/>
      <w:r w:rsidR="00D85DFB" w:rsidRPr="003C5866">
        <w:rPr>
          <w:rStyle w:val="lrzxr"/>
          <w:rFonts w:ascii="Arial" w:hAnsi="Arial" w:cs="Arial"/>
          <w:i/>
          <w:szCs w:val="24"/>
          <w:lang w:val="en-US"/>
        </w:rPr>
        <w:t>similis</w:t>
      </w:r>
      <w:proofErr w:type="spellEnd"/>
      <w:r w:rsidR="00683F21" w:rsidRPr="003C5866">
        <w:rPr>
          <w:rStyle w:val="lrzxr"/>
          <w:rFonts w:ascii="Arial" w:hAnsi="Arial" w:cs="Arial"/>
          <w:szCs w:val="24"/>
          <w:lang w:val="en-US"/>
        </w:rPr>
        <w:t>)</w:t>
      </w:r>
      <w:r w:rsidR="00683F21" w:rsidRPr="003C5866">
        <w:rPr>
          <w:rFonts w:ascii="Arial" w:eastAsia="Times New Roman" w:hAnsi="Arial" w:cs="Arial"/>
          <w:color w:val="242021"/>
          <w:szCs w:val="24"/>
          <w:lang w:val="en-US" w:eastAsia="fr-FR"/>
        </w:rPr>
        <w:t xml:space="preserve">. </w:t>
      </w:r>
    </w:p>
    <w:p w14:paraId="068BB2D0" w14:textId="77777777" w:rsidR="000B362B" w:rsidRPr="00C2439E" w:rsidRDefault="000B362B" w:rsidP="000B362B">
      <w:pPr>
        <w:spacing w:after="0" w:line="360" w:lineRule="auto"/>
        <w:jc w:val="both"/>
        <w:rPr>
          <w:rFonts w:ascii="Arial" w:hAnsi="Arial" w:cs="Arial"/>
          <w:szCs w:val="24"/>
          <w:lang w:val="en-US"/>
        </w:rPr>
      </w:pPr>
      <w:r w:rsidRPr="00C2439E">
        <w:rPr>
          <w:rFonts w:ascii="Arial" w:hAnsi="Arial" w:cs="Arial"/>
          <w:b/>
          <w:szCs w:val="24"/>
          <w:lang w:val="en-US"/>
        </w:rPr>
        <w:t>Place and Duration of Study:</w:t>
      </w:r>
      <w:r w:rsidRPr="00C2439E">
        <w:rPr>
          <w:rFonts w:ascii="Arial" w:hAnsi="Arial" w:cs="Arial"/>
          <w:szCs w:val="24"/>
          <w:lang w:val="en-US"/>
        </w:rPr>
        <w:t xml:space="preserve"> Laboratory of Phytoprotection and </w:t>
      </w:r>
      <w:r w:rsidR="00B60041" w:rsidRPr="00C2439E">
        <w:rPr>
          <w:rFonts w:ascii="Arial" w:hAnsi="Arial" w:cs="Arial"/>
          <w:szCs w:val="24"/>
          <w:lang w:val="en-US"/>
        </w:rPr>
        <w:t>Valorization</w:t>
      </w:r>
      <w:r w:rsidRPr="00C2439E">
        <w:rPr>
          <w:rFonts w:ascii="Arial" w:hAnsi="Arial" w:cs="Arial"/>
          <w:szCs w:val="24"/>
          <w:lang w:val="en-US"/>
        </w:rPr>
        <w:t xml:space="preserve"> of Genetic Resources of the Centre for Biotechnology, University of Yaound</w:t>
      </w:r>
      <w:r w:rsidR="00B15494">
        <w:rPr>
          <w:rFonts w:ascii="Arial" w:hAnsi="Arial" w:cs="Arial"/>
          <w:szCs w:val="24"/>
          <w:lang w:val="en-US"/>
        </w:rPr>
        <w:t>e</w:t>
      </w:r>
      <w:r w:rsidRPr="00C2439E">
        <w:rPr>
          <w:rFonts w:ascii="Arial" w:hAnsi="Arial" w:cs="Arial"/>
          <w:szCs w:val="24"/>
          <w:lang w:val="en-US"/>
        </w:rPr>
        <w:t xml:space="preserve"> 1, between March and June 2025.</w:t>
      </w:r>
    </w:p>
    <w:p w14:paraId="38578A76" w14:textId="77777777" w:rsidR="00E004DB" w:rsidRPr="003C5866" w:rsidRDefault="00E004DB" w:rsidP="000B362B">
      <w:pPr>
        <w:spacing w:after="0" w:line="360" w:lineRule="auto"/>
        <w:jc w:val="both"/>
        <w:rPr>
          <w:rFonts w:ascii="Arial" w:eastAsia="Times New Roman" w:hAnsi="Arial" w:cs="Arial"/>
          <w:color w:val="242021"/>
          <w:szCs w:val="24"/>
          <w:lang w:val="en-US" w:eastAsia="fr-FR"/>
        </w:rPr>
      </w:pPr>
      <w:r w:rsidRPr="003C5866">
        <w:rPr>
          <w:rFonts w:ascii="Arial" w:eastAsia="Times New Roman" w:hAnsi="Arial" w:cs="Arial"/>
          <w:b/>
          <w:color w:val="242021"/>
          <w:szCs w:val="24"/>
          <w:lang w:val="en-US" w:eastAsia="fr-FR"/>
        </w:rPr>
        <w:t>Methodology:</w:t>
      </w:r>
      <w:r w:rsidRPr="003C5866">
        <w:rPr>
          <w:rFonts w:ascii="Arial" w:eastAsia="Times New Roman" w:hAnsi="Arial" w:cs="Arial"/>
          <w:color w:val="242021"/>
          <w:szCs w:val="24"/>
          <w:lang w:val="en-US" w:eastAsia="fr-FR"/>
        </w:rPr>
        <w:t xml:space="preserve"> </w:t>
      </w:r>
      <w:r w:rsidR="00683F21" w:rsidRPr="003C5866">
        <w:rPr>
          <w:rFonts w:ascii="Arial" w:eastAsia="Times New Roman" w:hAnsi="Arial" w:cs="Arial"/>
          <w:color w:val="242021"/>
          <w:szCs w:val="24"/>
          <w:lang w:val="en-US" w:eastAsia="fr-FR"/>
        </w:rPr>
        <w:t xml:space="preserve">Four plant </w:t>
      </w:r>
      <w:r w:rsidR="0016443A" w:rsidRPr="003C5866">
        <w:rPr>
          <w:rFonts w:ascii="Arial" w:eastAsia="Times New Roman" w:hAnsi="Arial" w:cs="Arial"/>
          <w:color w:val="242021"/>
          <w:szCs w:val="24"/>
          <w:lang w:val="en-US" w:eastAsia="fr-FR"/>
        </w:rPr>
        <w:t>based biopesticide</w:t>
      </w:r>
      <w:r w:rsidR="00F81E75" w:rsidRPr="003C5866">
        <w:rPr>
          <w:rFonts w:ascii="Arial" w:eastAsia="Times New Roman" w:hAnsi="Arial" w:cs="Arial"/>
          <w:color w:val="242021"/>
          <w:szCs w:val="24"/>
          <w:lang w:val="en-US" w:eastAsia="fr-FR"/>
        </w:rPr>
        <w:t>s</w:t>
      </w:r>
      <w:r w:rsidR="0016443A" w:rsidRPr="003C5866">
        <w:rPr>
          <w:rFonts w:ascii="Arial" w:eastAsia="Times New Roman" w:hAnsi="Arial" w:cs="Arial"/>
          <w:color w:val="242021"/>
          <w:szCs w:val="24"/>
          <w:lang w:val="en-US" w:eastAsia="fr-FR"/>
        </w:rPr>
        <w:t xml:space="preserve"> (BP1, BP2, BP3</w:t>
      </w:r>
      <w:r w:rsidR="00B15494">
        <w:rPr>
          <w:rFonts w:ascii="Arial" w:eastAsia="Times New Roman" w:hAnsi="Arial" w:cs="Arial"/>
          <w:color w:val="242021"/>
          <w:szCs w:val="24"/>
          <w:lang w:val="en-US" w:eastAsia="fr-FR"/>
        </w:rPr>
        <w:t xml:space="preserve"> and</w:t>
      </w:r>
      <w:r w:rsidR="0016443A" w:rsidRPr="003C5866">
        <w:rPr>
          <w:rFonts w:ascii="Arial" w:eastAsia="Times New Roman" w:hAnsi="Arial" w:cs="Arial"/>
          <w:color w:val="242021"/>
          <w:szCs w:val="24"/>
          <w:lang w:val="en-US" w:eastAsia="fr-FR"/>
        </w:rPr>
        <w:t xml:space="preserve"> BP4) were prepared</w:t>
      </w:r>
      <w:r w:rsidR="00B15494">
        <w:rPr>
          <w:rFonts w:ascii="Arial" w:eastAsia="Times New Roman" w:hAnsi="Arial" w:cs="Arial"/>
          <w:color w:val="242021"/>
          <w:szCs w:val="24"/>
          <w:lang w:val="en-US" w:eastAsia="fr-FR"/>
        </w:rPr>
        <w:t>,</w:t>
      </w:r>
      <w:r w:rsidR="0016443A" w:rsidRPr="003C5866">
        <w:rPr>
          <w:rFonts w:ascii="Arial" w:eastAsia="Times New Roman" w:hAnsi="Arial" w:cs="Arial"/>
          <w:color w:val="242021"/>
          <w:szCs w:val="24"/>
          <w:lang w:val="en-US" w:eastAsia="fr-FR"/>
        </w:rPr>
        <w:t xml:space="preserve"> and their effects were tested </w:t>
      </w:r>
      <w:r w:rsidR="0016443A" w:rsidRPr="003C5866">
        <w:rPr>
          <w:rFonts w:ascii="Arial" w:eastAsia="Times New Roman" w:hAnsi="Arial" w:cs="Arial"/>
          <w:i/>
          <w:color w:val="242021"/>
          <w:szCs w:val="24"/>
          <w:lang w:val="en-US" w:eastAsia="fr-FR"/>
        </w:rPr>
        <w:t>in vitro</w:t>
      </w:r>
      <w:r w:rsidR="0016443A" w:rsidRPr="003C5866">
        <w:rPr>
          <w:rFonts w:ascii="Arial" w:eastAsia="Times New Roman" w:hAnsi="Arial" w:cs="Arial"/>
          <w:color w:val="242021"/>
          <w:szCs w:val="24"/>
          <w:lang w:val="en-US" w:eastAsia="fr-FR"/>
        </w:rPr>
        <w:t xml:space="preserve"> on target organisms. </w:t>
      </w:r>
    </w:p>
    <w:p w14:paraId="1167B3DA" w14:textId="77777777" w:rsidR="00E004DB" w:rsidRPr="003C5866" w:rsidRDefault="00E004DB" w:rsidP="000B362B">
      <w:pPr>
        <w:spacing w:after="0" w:line="360" w:lineRule="auto"/>
        <w:jc w:val="both"/>
        <w:rPr>
          <w:rFonts w:ascii="Arial" w:eastAsia="Times New Roman" w:hAnsi="Arial" w:cs="Arial"/>
          <w:color w:val="242021"/>
          <w:szCs w:val="24"/>
          <w:lang w:val="en-US" w:eastAsia="fr-FR"/>
        </w:rPr>
      </w:pPr>
      <w:r w:rsidRPr="003C5866">
        <w:rPr>
          <w:rFonts w:ascii="Arial" w:eastAsia="Times New Roman" w:hAnsi="Arial" w:cs="Arial"/>
          <w:b/>
          <w:color w:val="242021"/>
          <w:szCs w:val="24"/>
          <w:lang w:val="en-US" w:eastAsia="fr-FR"/>
        </w:rPr>
        <w:t>Results:</w:t>
      </w:r>
      <w:r w:rsidRPr="003C5866">
        <w:rPr>
          <w:rFonts w:ascii="Arial" w:eastAsia="Times New Roman" w:hAnsi="Arial" w:cs="Arial"/>
          <w:color w:val="242021"/>
          <w:szCs w:val="24"/>
          <w:lang w:val="en-US" w:eastAsia="fr-FR"/>
        </w:rPr>
        <w:t xml:space="preserve"> </w:t>
      </w:r>
      <w:r w:rsidR="0016443A" w:rsidRPr="003C5866">
        <w:rPr>
          <w:rFonts w:ascii="Arial" w:eastAsia="Times New Roman" w:hAnsi="Arial" w:cs="Arial"/>
          <w:color w:val="242021"/>
          <w:szCs w:val="24"/>
          <w:lang w:val="en-US" w:eastAsia="fr-FR"/>
        </w:rPr>
        <w:t xml:space="preserve">The results of the </w:t>
      </w:r>
      <w:r w:rsidR="0016443A" w:rsidRPr="003C5866">
        <w:rPr>
          <w:rFonts w:ascii="Arial" w:eastAsia="Times New Roman" w:hAnsi="Arial" w:cs="Arial"/>
          <w:i/>
          <w:color w:val="242021"/>
          <w:szCs w:val="24"/>
          <w:lang w:val="en-US" w:eastAsia="fr-FR"/>
        </w:rPr>
        <w:t>in vitro</w:t>
      </w:r>
      <w:r w:rsidR="0016443A" w:rsidRPr="003C5866">
        <w:rPr>
          <w:rFonts w:ascii="Arial" w:eastAsia="Times New Roman" w:hAnsi="Arial" w:cs="Arial"/>
          <w:color w:val="242021"/>
          <w:szCs w:val="24"/>
          <w:lang w:val="en-US" w:eastAsia="fr-FR"/>
        </w:rPr>
        <w:t xml:space="preserve"> tests revealed significant repellent and lethal effects on insects, with repellent and mortality rates reaching over 70% after 48 h of exposure. Similarly, the biopesticides also showed marked antifungal (9</w:t>
      </w:r>
      <w:r w:rsidR="00AF5C0A" w:rsidRPr="003C5866">
        <w:rPr>
          <w:rFonts w:ascii="Arial" w:eastAsia="Times New Roman" w:hAnsi="Arial" w:cs="Arial"/>
          <w:color w:val="242021"/>
          <w:szCs w:val="24"/>
          <w:lang w:val="en-US" w:eastAsia="fr-FR"/>
        </w:rPr>
        <w:t xml:space="preserve">0-98%), antibacterial (64-93%) </w:t>
      </w:r>
      <w:r w:rsidR="0016443A" w:rsidRPr="003C5866">
        <w:rPr>
          <w:rFonts w:ascii="Arial" w:eastAsia="Times New Roman" w:hAnsi="Arial" w:cs="Arial"/>
          <w:color w:val="242021"/>
          <w:szCs w:val="24"/>
          <w:lang w:val="en-US" w:eastAsia="fr-FR"/>
        </w:rPr>
        <w:t xml:space="preserve">and </w:t>
      </w:r>
      <w:r w:rsidR="00B60041" w:rsidRPr="003C5866">
        <w:rPr>
          <w:rFonts w:ascii="Arial" w:eastAsia="Times New Roman" w:hAnsi="Arial" w:cs="Arial"/>
          <w:color w:val="242021"/>
          <w:szCs w:val="24"/>
          <w:lang w:val="en-US" w:eastAsia="fr-FR"/>
        </w:rPr>
        <w:t>nemat</w:t>
      </w:r>
      <w:r w:rsidR="00B15494">
        <w:rPr>
          <w:rFonts w:ascii="Arial" w:eastAsia="Times New Roman" w:hAnsi="Arial" w:cs="Arial"/>
          <w:color w:val="242021"/>
          <w:szCs w:val="24"/>
          <w:lang w:val="en-US" w:eastAsia="fr-FR"/>
        </w:rPr>
        <w:t>i</w:t>
      </w:r>
      <w:r w:rsidR="00B60041" w:rsidRPr="003C5866">
        <w:rPr>
          <w:rFonts w:ascii="Arial" w:eastAsia="Times New Roman" w:hAnsi="Arial" w:cs="Arial"/>
          <w:color w:val="242021"/>
          <w:szCs w:val="24"/>
          <w:lang w:val="en-US" w:eastAsia="fr-FR"/>
        </w:rPr>
        <w:t>cidal</w:t>
      </w:r>
      <w:r w:rsidR="0016443A" w:rsidRPr="003C5866">
        <w:rPr>
          <w:rFonts w:ascii="Arial" w:eastAsia="Times New Roman" w:hAnsi="Arial" w:cs="Arial"/>
          <w:color w:val="242021"/>
          <w:szCs w:val="24"/>
          <w:lang w:val="en-US" w:eastAsia="fr-FR"/>
        </w:rPr>
        <w:t xml:space="preserve"> (100%) activities, inhibiting the growth of the target organisms and enzymatic synthesis (amylase and cellulase) in the tested fun</w:t>
      </w:r>
      <w:r w:rsidR="0009465C" w:rsidRPr="003C5866">
        <w:rPr>
          <w:rFonts w:ascii="Arial" w:eastAsia="Times New Roman" w:hAnsi="Arial" w:cs="Arial"/>
          <w:color w:val="242021"/>
          <w:szCs w:val="24"/>
          <w:lang w:val="en-US" w:eastAsia="fr-FR"/>
        </w:rPr>
        <w:t>gi.</w:t>
      </w:r>
      <w:r w:rsidR="0016443A" w:rsidRPr="003C5866">
        <w:rPr>
          <w:rFonts w:ascii="Arial" w:eastAsia="Times New Roman" w:hAnsi="Arial" w:cs="Arial"/>
          <w:color w:val="242021"/>
          <w:szCs w:val="24"/>
          <w:lang w:val="en-US" w:eastAsia="fr-FR"/>
        </w:rPr>
        <w:t xml:space="preserve"> </w:t>
      </w:r>
    </w:p>
    <w:p w14:paraId="526B63A6" w14:textId="77777777" w:rsidR="002378C8" w:rsidRPr="003C5866" w:rsidRDefault="00E004DB" w:rsidP="000B362B">
      <w:pPr>
        <w:spacing w:after="0" w:line="360" w:lineRule="auto"/>
        <w:jc w:val="both"/>
        <w:rPr>
          <w:rFonts w:ascii="Arial" w:eastAsia="Times New Roman" w:hAnsi="Arial" w:cs="Arial"/>
          <w:color w:val="242021"/>
          <w:szCs w:val="24"/>
          <w:lang w:val="en-US" w:eastAsia="fr-FR"/>
        </w:rPr>
      </w:pPr>
      <w:r w:rsidRPr="003C5866">
        <w:rPr>
          <w:rFonts w:ascii="Arial" w:eastAsia="Times New Roman" w:hAnsi="Arial" w:cs="Arial"/>
          <w:b/>
          <w:color w:val="242021"/>
          <w:szCs w:val="24"/>
          <w:lang w:val="en-US" w:eastAsia="fr-FR"/>
        </w:rPr>
        <w:t>Conclusion</w:t>
      </w:r>
      <w:r w:rsidRPr="003C5866">
        <w:rPr>
          <w:rFonts w:ascii="Arial" w:eastAsia="Times New Roman" w:hAnsi="Arial" w:cs="Arial"/>
          <w:color w:val="242021"/>
          <w:szCs w:val="24"/>
          <w:lang w:val="en-US" w:eastAsia="fr-FR"/>
        </w:rPr>
        <w:t xml:space="preserve">: </w:t>
      </w:r>
      <w:r w:rsidR="0016443A" w:rsidRPr="003C5866">
        <w:rPr>
          <w:rFonts w:ascii="Arial" w:eastAsia="Times New Roman" w:hAnsi="Arial" w:cs="Arial"/>
          <w:color w:val="242021"/>
          <w:szCs w:val="24"/>
          <w:lang w:val="en-US" w:eastAsia="fr-FR"/>
        </w:rPr>
        <w:t>These performances demonstrate that the four plant-based biopesticides</w:t>
      </w:r>
      <w:r w:rsidR="00B248B8" w:rsidRPr="003C5866">
        <w:rPr>
          <w:rFonts w:ascii="Arial" w:eastAsia="Arial" w:hAnsi="Arial" w:cs="Arial"/>
          <w:bCs/>
          <w:i/>
          <w:szCs w:val="24"/>
          <w:lang w:val="en-US" w:eastAsia="fr-FR"/>
        </w:rPr>
        <w:t xml:space="preserve"> </w:t>
      </w:r>
      <w:r w:rsidR="00B248B8" w:rsidRPr="003C5866">
        <w:rPr>
          <w:rFonts w:ascii="Arial" w:eastAsia="Times New Roman" w:hAnsi="Arial" w:cs="Arial"/>
          <w:color w:val="242021"/>
          <w:szCs w:val="24"/>
          <w:lang w:val="en-US" w:eastAsia="fr-FR"/>
        </w:rPr>
        <w:t>(BP1, BP2, BP3</w:t>
      </w:r>
      <w:r w:rsidR="00B15494">
        <w:rPr>
          <w:rFonts w:ascii="Arial" w:eastAsia="Times New Roman" w:hAnsi="Arial" w:cs="Arial"/>
          <w:color w:val="242021"/>
          <w:szCs w:val="24"/>
          <w:lang w:val="en-US" w:eastAsia="fr-FR"/>
        </w:rPr>
        <w:t xml:space="preserve"> and</w:t>
      </w:r>
      <w:r w:rsidR="00B248B8" w:rsidRPr="003C5866">
        <w:rPr>
          <w:rFonts w:ascii="Arial" w:eastAsia="Times New Roman" w:hAnsi="Arial" w:cs="Arial"/>
          <w:color w:val="242021"/>
          <w:szCs w:val="24"/>
          <w:lang w:val="en-US" w:eastAsia="fr-FR"/>
        </w:rPr>
        <w:t xml:space="preserve"> BP4</w:t>
      </w:r>
      <w:r w:rsidR="00B248B8" w:rsidRPr="003C5866">
        <w:rPr>
          <w:rFonts w:ascii="Arial" w:eastAsia="Arial" w:hAnsi="Arial" w:cs="Arial"/>
          <w:bCs/>
          <w:szCs w:val="24"/>
          <w:lang w:val="en-US" w:eastAsia="fr-FR"/>
        </w:rPr>
        <w:t>)</w:t>
      </w:r>
      <w:r w:rsidR="00B248B8" w:rsidRPr="003C5866">
        <w:rPr>
          <w:rFonts w:ascii="Arial" w:eastAsia="Times New Roman" w:hAnsi="Arial" w:cs="Arial"/>
          <w:color w:val="242021"/>
          <w:szCs w:val="24"/>
          <w:lang w:val="en-US" w:eastAsia="fr-FR"/>
        </w:rPr>
        <w:t xml:space="preserve"> possess strong insectic</w:t>
      </w:r>
      <w:r w:rsidR="00AF5C0A" w:rsidRPr="003C5866">
        <w:rPr>
          <w:rFonts w:ascii="Arial" w:eastAsia="Times New Roman" w:hAnsi="Arial" w:cs="Arial"/>
          <w:color w:val="242021"/>
          <w:szCs w:val="24"/>
          <w:lang w:val="en-US" w:eastAsia="fr-FR"/>
        </w:rPr>
        <w:t>idal, antifungal, antibacterial</w:t>
      </w:r>
      <w:r w:rsidR="00B248B8" w:rsidRPr="003C5866">
        <w:rPr>
          <w:rFonts w:ascii="Arial" w:eastAsia="Times New Roman" w:hAnsi="Arial" w:cs="Arial"/>
          <w:color w:val="242021"/>
          <w:szCs w:val="24"/>
          <w:lang w:val="en-US" w:eastAsia="fr-FR"/>
        </w:rPr>
        <w:t xml:space="preserve"> and</w:t>
      </w:r>
      <w:r w:rsidR="00C84F43" w:rsidRPr="003C5866">
        <w:rPr>
          <w:rFonts w:ascii="Arial" w:eastAsia="Times New Roman" w:hAnsi="Arial" w:cs="Arial"/>
          <w:color w:val="242021"/>
          <w:szCs w:val="24"/>
          <w:lang w:val="en-US" w:eastAsia="fr-FR"/>
        </w:rPr>
        <w:t xml:space="preserve"> nematicidal potential that can </w:t>
      </w:r>
      <w:r w:rsidR="00B248B8" w:rsidRPr="003C5866">
        <w:rPr>
          <w:rFonts w:ascii="Arial" w:eastAsia="Times New Roman" w:hAnsi="Arial" w:cs="Arial"/>
          <w:color w:val="242021"/>
          <w:szCs w:val="24"/>
          <w:lang w:val="en-US" w:eastAsia="fr-FR"/>
        </w:rPr>
        <w:t xml:space="preserve">be utilized in integrated pest management and sustainable agricultural production programs. </w:t>
      </w:r>
      <w:r w:rsidR="0009465C" w:rsidRPr="003C5866">
        <w:rPr>
          <w:rFonts w:ascii="Arial" w:eastAsia="Times New Roman" w:hAnsi="Arial" w:cs="Arial"/>
          <w:color w:val="242021"/>
          <w:szCs w:val="24"/>
          <w:lang w:val="en-US" w:eastAsia="fr-FR"/>
        </w:rPr>
        <w:t>Also,</w:t>
      </w:r>
      <w:r w:rsidR="0009465C" w:rsidRPr="003C5866">
        <w:rPr>
          <w:rFonts w:ascii="Arial" w:hAnsi="Arial" w:cs="Arial"/>
          <w:szCs w:val="24"/>
          <w:lang w:val="en-US"/>
        </w:rPr>
        <w:t xml:space="preserve"> they</w:t>
      </w:r>
      <w:r w:rsidR="00384B65" w:rsidRPr="003C5866">
        <w:rPr>
          <w:rFonts w:ascii="Arial" w:hAnsi="Arial" w:cs="Arial"/>
          <w:szCs w:val="24"/>
          <w:lang w:val="en-US"/>
        </w:rPr>
        <w:t xml:space="preserve"> reinforce the interest in biopesticides as sustainable alternatives to chemical pesticides, the use of which is increasingly restricted due to their toxicity to the environment and human health.</w:t>
      </w:r>
    </w:p>
    <w:p w14:paraId="7CDAACA5" w14:textId="77777777" w:rsidR="00751BC5" w:rsidRPr="003C5866" w:rsidRDefault="00683F21" w:rsidP="000B362B">
      <w:pPr>
        <w:tabs>
          <w:tab w:val="left" w:pos="590"/>
        </w:tabs>
        <w:spacing w:after="0" w:line="360" w:lineRule="auto"/>
        <w:contextualSpacing/>
        <w:jc w:val="both"/>
        <w:rPr>
          <w:rFonts w:ascii="Arial" w:hAnsi="Arial" w:cs="Arial"/>
          <w:szCs w:val="24"/>
          <w:lang w:val="en-US"/>
        </w:rPr>
      </w:pPr>
      <w:r w:rsidRPr="005F4EAF">
        <w:rPr>
          <w:rFonts w:ascii="Arial" w:eastAsia="Arial" w:hAnsi="Arial" w:cs="Arial"/>
          <w:b/>
          <w:bCs/>
          <w:i/>
          <w:sz w:val="20"/>
          <w:szCs w:val="24"/>
          <w:lang w:val="en-US" w:eastAsia="fr-FR"/>
        </w:rPr>
        <w:t>Keywords</w:t>
      </w:r>
      <w:r w:rsidR="00B248B8" w:rsidRPr="003C5866">
        <w:rPr>
          <w:rFonts w:ascii="Arial" w:eastAsia="Arial" w:hAnsi="Arial" w:cs="Arial"/>
          <w:bCs/>
          <w:i/>
          <w:sz w:val="20"/>
          <w:szCs w:val="24"/>
          <w:lang w:val="en-US" w:eastAsia="fr-FR"/>
        </w:rPr>
        <w:t>:</w:t>
      </w:r>
      <w:r w:rsidRPr="003C5866">
        <w:rPr>
          <w:rFonts w:ascii="Arial" w:eastAsia="Arial" w:hAnsi="Arial" w:cs="Arial"/>
          <w:b/>
          <w:bCs/>
          <w:sz w:val="20"/>
          <w:szCs w:val="24"/>
          <w:lang w:val="en-US" w:eastAsia="fr-FR"/>
        </w:rPr>
        <w:t xml:space="preserve"> </w:t>
      </w:r>
      <w:r w:rsidR="00E004DB" w:rsidRPr="003C5866">
        <w:rPr>
          <w:rFonts w:ascii="Arial" w:eastAsia="Arial" w:hAnsi="Arial" w:cs="Arial"/>
          <w:bCs/>
          <w:i/>
          <w:sz w:val="20"/>
          <w:szCs w:val="24"/>
          <w:lang w:val="en-US" w:eastAsia="fr-FR"/>
        </w:rPr>
        <w:t>P</w:t>
      </w:r>
      <w:r w:rsidR="00B248B8" w:rsidRPr="003C5866">
        <w:rPr>
          <w:rFonts w:ascii="Arial" w:eastAsia="Arial" w:hAnsi="Arial" w:cs="Arial"/>
          <w:bCs/>
          <w:i/>
          <w:sz w:val="20"/>
          <w:szCs w:val="24"/>
          <w:lang w:val="en-US" w:eastAsia="fr-FR"/>
        </w:rPr>
        <w:t>lant</w:t>
      </w:r>
      <w:r w:rsidR="00E004DB" w:rsidRPr="003C5866">
        <w:rPr>
          <w:rFonts w:ascii="Arial" w:eastAsia="Arial" w:hAnsi="Arial" w:cs="Arial"/>
          <w:bCs/>
          <w:i/>
          <w:sz w:val="20"/>
          <w:szCs w:val="24"/>
          <w:lang w:val="en-US" w:eastAsia="fr-FR"/>
        </w:rPr>
        <w:t xml:space="preserve"> based</w:t>
      </w:r>
      <w:r w:rsidR="00B248B8" w:rsidRPr="003C5866">
        <w:rPr>
          <w:rFonts w:ascii="Arial" w:eastAsia="Arial" w:hAnsi="Arial" w:cs="Arial"/>
          <w:bCs/>
          <w:i/>
          <w:sz w:val="20"/>
          <w:szCs w:val="24"/>
          <w:lang w:val="en-US" w:eastAsia="fr-FR"/>
        </w:rPr>
        <w:t xml:space="preserve"> biopesticides, parasites and pests</w:t>
      </w:r>
      <w:r w:rsidR="00B248B8" w:rsidRPr="003C5866">
        <w:rPr>
          <w:rFonts w:ascii="Arial" w:hAnsi="Arial" w:cs="Arial"/>
          <w:i/>
          <w:sz w:val="20"/>
          <w:szCs w:val="24"/>
          <w:lang w:val="en-US"/>
        </w:rPr>
        <w:t>,</w:t>
      </w:r>
      <w:r w:rsidRPr="003C5866">
        <w:rPr>
          <w:rFonts w:ascii="Arial" w:hAnsi="Arial" w:cs="Arial"/>
          <w:i/>
          <w:sz w:val="20"/>
          <w:szCs w:val="24"/>
          <w:lang w:val="en-US"/>
        </w:rPr>
        <w:t xml:space="preserve"> b</w:t>
      </w:r>
      <w:r w:rsidR="00B248B8" w:rsidRPr="003C5866">
        <w:rPr>
          <w:rFonts w:ascii="Arial" w:hAnsi="Arial" w:cs="Arial"/>
          <w:i/>
          <w:sz w:val="20"/>
          <w:szCs w:val="24"/>
          <w:lang w:val="en-US"/>
        </w:rPr>
        <w:t>iological control, in vitro test.</w:t>
      </w:r>
    </w:p>
    <w:p w14:paraId="6C1E31DF" w14:textId="77777777" w:rsidR="000A4691" w:rsidRPr="003C5866" w:rsidRDefault="000A4691" w:rsidP="009953E1">
      <w:pPr>
        <w:tabs>
          <w:tab w:val="left" w:pos="590"/>
        </w:tabs>
        <w:spacing w:after="0" w:line="480" w:lineRule="auto"/>
        <w:contextualSpacing/>
        <w:jc w:val="both"/>
        <w:rPr>
          <w:rFonts w:ascii="Arial" w:eastAsia="Arial" w:hAnsi="Arial" w:cs="Arial"/>
          <w:b/>
          <w:bCs/>
          <w:sz w:val="24"/>
          <w:szCs w:val="24"/>
          <w:lang w:val="en-US" w:eastAsia="fr-FR"/>
        </w:rPr>
      </w:pPr>
    </w:p>
    <w:p w14:paraId="5D6C22A2" w14:textId="77777777" w:rsidR="00223439" w:rsidRPr="004B2091" w:rsidRDefault="00223439" w:rsidP="004B2091">
      <w:pPr>
        <w:pStyle w:val="ListParagraph"/>
        <w:numPr>
          <w:ilvl w:val="0"/>
          <w:numId w:val="9"/>
        </w:numPr>
        <w:tabs>
          <w:tab w:val="left" w:pos="426"/>
        </w:tabs>
        <w:spacing w:after="0" w:line="360" w:lineRule="auto"/>
        <w:ind w:left="284" w:hanging="284"/>
        <w:jc w:val="both"/>
        <w:rPr>
          <w:rFonts w:ascii="Arial" w:eastAsia="Arial" w:hAnsi="Arial" w:cs="Arial"/>
          <w:b/>
          <w:bCs/>
          <w:szCs w:val="24"/>
          <w:lang w:val="en-US" w:eastAsia="fr-FR"/>
        </w:rPr>
      </w:pPr>
      <w:r w:rsidRPr="003C5866">
        <w:rPr>
          <w:rFonts w:ascii="Arial" w:eastAsia="Arial" w:hAnsi="Arial" w:cs="Arial"/>
          <w:b/>
          <w:bCs/>
          <w:szCs w:val="24"/>
          <w:lang w:val="en-US" w:eastAsia="fr-FR"/>
        </w:rPr>
        <w:t>INTRODUCTION</w:t>
      </w:r>
    </w:p>
    <w:p w14:paraId="18798CFA" w14:textId="12207E85" w:rsidR="006322DF" w:rsidRPr="003C5866" w:rsidRDefault="00E126CF" w:rsidP="00223439">
      <w:pPr>
        <w:tabs>
          <w:tab w:val="left" w:pos="590"/>
        </w:tabs>
        <w:spacing w:after="0" w:line="360" w:lineRule="auto"/>
        <w:contextualSpacing/>
        <w:jc w:val="both"/>
        <w:rPr>
          <w:rFonts w:ascii="Arial" w:hAnsi="Arial" w:cs="Arial"/>
          <w:sz w:val="20"/>
          <w:szCs w:val="24"/>
          <w:lang w:val="en-US"/>
        </w:rPr>
      </w:pPr>
      <w:r w:rsidRPr="003C5866">
        <w:rPr>
          <w:rFonts w:ascii="Arial" w:hAnsi="Arial" w:cs="Arial"/>
          <w:sz w:val="20"/>
          <w:szCs w:val="24"/>
          <w:lang w:val="en-US"/>
        </w:rPr>
        <w:t xml:space="preserve">The intensive use of chemical pesticides increases agricultural productivity but also generates serious environmental and health problems. Furthermore, synthetic pesticides contribute to global warming due to their high carbon footprint, both during industrial production and field application. Their manufacture, heavily reliant on petrochemicals, generates significant </w:t>
      </w:r>
      <w:r w:rsidR="0003787D">
        <w:rPr>
          <w:rFonts w:ascii="Arial" w:hAnsi="Arial" w:cs="Arial"/>
          <w:sz w:val="20"/>
          <w:szCs w:val="24"/>
          <w:lang w:val="en-US"/>
        </w:rPr>
        <w:t xml:space="preserve">carbon dioxide </w:t>
      </w:r>
      <w:r w:rsidR="00B15494">
        <w:rPr>
          <w:rFonts w:ascii="Arial" w:hAnsi="Arial" w:cs="Arial"/>
          <w:sz w:val="20"/>
          <w:szCs w:val="24"/>
          <w:lang w:val="en-US"/>
        </w:rPr>
        <w:t>(</w:t>
      </w:r>
      <w:r w:rsidRPr="003C5866">
        <w:rPr>
          <w:rFonts w:ascii="Arial" w:hAnsi="Arial" w:cs="Arial"/>
          <w:sz w:val="20"/>
          <w:szCs w:val="24"/>
          <w:lang w:val="en-US"/>
        </w:rPr>
        <w:t>CO</w:t>
      </w:r>
      <w:r w:rsidRPr="003C5866">
        <w:rPr>
          <w:rFonts w:ascii="Cambria Math" w:hAnsi="Cambria Math" w:cs="Cambria Math"/>
          <w:sz w:val="20"/>
          <w:szCs w:val="24"/>
          <w:lang w:val="en-US"/>
        </w:rPr>
        <w:t>₂</w:t>
      </w:r>
      <w:r w:rsidR="00B15494">
        <w:rPr>
          <w:rFonts w:ascii="Cambria Math" w:hAnsi="Cambria Math" w:cs="Cambria Math"/>
          <w:sz w:val="20"/>
          <w:szCs w:val="24"/>
          <w:lang w:val="en-US"/>
        </w:rPr>
        <w:t>)</w:t>
      </w:r>
      <w:r w:rsidRPr="003C5866">
        <w:rPr>
          <w:rFonts w:ascii="Arial" w:hAnsi="Arial" w:cs="Arial"/>
          <w:sz w:val="20"/>
          <w:szCs w:val="24"/>
          <w:lang w:val="en-US"/>
        </w:rPr>
        <w:t xml:space="preserve"> and </w:t>
      </w:r>
      <w:r w:rsidR="00B15494" w:rsidRPr="003C5866">
        <w:rPr>
          <w:rFonts w:ascii="Arial" w:hAnsi="Arial" w:cs="Arial"/>
          <w:sz w:val="20"/>
          <w:szCs w:val="24"/>
          <w:lang w:val="en-US"/>
        </w:rPr>
        <w:t xml:space="preserve">nitrous </w:t>
      </w:r>
      <w:r w:rsidR="00B15494" w:rsidRPr="003C5866">
        <w:rPr>
          <w:rFonts w:ascii="Arial" w:hAnsi="Arial" w:cs="Arial"/>
          <w:sz w:val="20"/>
          <w:szCs w:val="24"/>
          <w:lang w:val="en-US"/>
        </w:rPr>
        <w:lastRenderedPageBreak/>
        <w:t xml:space="preserve">oxide </w:t>
      </w:r>
      <w:r w:rsidR="00B15494">
        <w:rPr>
          <w:rFonts w:ascii="Arial" w:hAnsi="Arial" w:cs="Arial"/>
          <w:sz w:val="20"/>
          <w:szCs w:val="24"/>
          <w:lang w:val="en-US"/>
        </w:rPr>
        <w:t>(</w:t>
      </w:r>
      <w:r w:rsidRPr="003C5866">
        <w:rPr>
          <w:rFonts w:ascii="Arial" w:hAnsi="Arial" w:cs="Arial"/>
          <w:sz w:val="20"/>
          <w:szCs w:val="24"/>
          <w:lang w:val="en-US"/>
        </w:rPr>
        <w:t>N</w:t>
      </w:r>
      <w:r w:rsidRPr="003C5866">
        <w:rPr>
          <w:rFonts w:ascii="Cambria Math" w:hAnsi="Cambria Math" w:cs="Cambria Math"/>
          <w:sz w:val="20"/>
          <w:szCs w:val="24"/>
          <w:lang w:val="en-US"/>
        </w:rPr>
        <w:t>₂</w:t>
      </w:r>
      <w:r w:rsidRPr="003C5866">
        <w:rPr>
          <w:rFonts w:ascii="Arial" w:hAnsi="Arial" w:cs="Arial"/>
          <w:sz w:val="20"/>
          <w:szCs w:val="24"/>
          <w:lang w:val="en-US"/>
        </w:rPr>
        <w:t>O</w:t>
      </w:r>
      <w:r w:rsidR="00B15494">
        <w:rPr>
          <w:rFonts w:ascii="Arial" w:hAnsi="Arial" w:cs="Arial"/>
          <w:sz w:val="20"/>
          <w:szCs w:val="24"/>
          <w:lang w:val="en-US"/>
        </w:rPr>
        <w:t>)</w:t>
      </w:r>
      <w:r w:rsidRPr="003C5866">
        <w:rPr>
          <w:rFonts w:ascii="Arial" w:hAnsi="Arial" w:cs="Arial"/>
          <w:sz w:val="20"/>
          <w:szCs w:val="24"/>
          <w:lang w:val="en-US"/>
        </w:rPr>
        <w:t xml:space="preserve"> emissions due to energy-intensive processes and compl</w:t>
      </w:r>
      <w:r w:rsidR="00C9364B">
        <w:rPr>
          <w:rFonts w:ascii="Arial" w:hAnsi="Arial" w:cs="Arial"/>
          <w:sz w:val="20"/>
          <w:szCs w:val="24"/>
          <w:lang w:val="en-US"/>
        </w:rPr>
        <w:t>ex chemical transformations (</w:t>
      </w:r>
      <w:r w:rsidR="00C9364B" w:rsidRPr="00C9364B">
        <w:rPr>
          <w:rFonts w:ascii="Arial" w:hAnsi="Arial" w:cs="Arial"/>
          <w:color w:val="FF0000"/>
          <w:sz w:val="20"/>
          <w:szCs w:val="24"/>
          <w:lang w:val="en-US"/>
        </w:rPr>
        <w:t>Tian</w:t>
      </w:r>
      <w:r w:rsidRPr="00C9364B">
        <w:rPr>
          <w:rFonts w:ascii="Arial" w:hAnsi="Arial" w:cs="Arial"/>
          <w:color w:val="FF0000"/>
          <w:sz w:val="20"/>
          <w:szCs w:val="24"/>
          <w:lang w:val="en-US"/>
        </w:rPr>
        <w:t xml:space="preserve"> </w:t>
      </w:r>
      <w:r w:rsidRPr="00C9364B">
        <w:rPr>
          <w:rFonts w:ascii="Arial" w:hAnsi="Arial" w:cs="Arial"/>
          <w:i/>
          <w:color w:val="FF0000"/>
          <w:sz w:val="20"/>
          <w:szCs w:val="24"/>
          <w:lang w:val="en-US"/>
        </w:rPr>
        <w:t>et al</w:t>
      </w:r>
      <w:r w:rsidRPr="00C9364B">
        <w:rPr>
          <w:rFonts w:ascii="Arial" w:hAnsi="Arial" w:cs="Arial"/>
          <w:color w:val="FF0000"/>
          <w:sz w:val="20"/>
          <w:szCs w:val="24"/>
          <w:lang w:val="en-US"/>
        </w:rPr>
        <w:t>., 202</w:t>
      </w:r>
      <w:r w:rsidR="00C9364B" w:rsidRPr="00C9364B">
        <w:rPr>
          <w:rFonts w:ascii="Arial" w:hAnsi="Arial" w:cs="Arial"/>
          <w:color w:val="FF0000"/>
          <w:sz w:val="20"/>
          <w:szCs w:val="24"/>
          <w:lang w:val="en-US"/>
        </w:rPr>
        <w:t>4</w:t>
      </w:r>
      <w:r w:rsidRPr="003C5866">
        <w:rPr>
          <w:rFonts w:ascii="Arial" w:hAnsi="Arial" w:cs="Arial"/>
          <w:sz w:val="20"/>
          <w:szCs w:val="24"/>
          <w:lang w:val="en-US"/>
        </w:rPr>
        <w:t>). In the field, some nitrogen-based pesticides promote the emission of</w:t>
      </w:r>
      <w:r w:rsidR="00DF6B65">
        <w:rPr>
          <w:rFonts w:ascii="Arial" w:hAnsi="Arial" w:cs="Arial"/>
          <w:sz w:val="20"/>
          <w:szCs w:val="24"/>
          <w:lang w:val="en-US"/>
        </w:rPr>
        <w:t xml:space="preserve"> </w:t>
      </w:r>
      <w:r w:rsidRPr="003C5866">
        <w:rPr>
          <w:rFonts w:ascii="Arial" w:hAnsi="Arial" w:cs="Arial"/>
          <w:sz w:val="20"/>
          <w:szCs w:val="24"/>
          <w:lang w:val="en-US"/>
        </w:rPr>
        <w:t>N</w:t>
      </w:r>
      <w:r w:rsidRPr="003C5866">
        <w:rPr>
          <w:rFonts w:ascii="Cambria Math" w:hAnsi="Cambria Math" w:cs="Cambria Math"/>
          <w:sz w:val="20"/>
          <w:szCs w:val="24"/>
          <w:lang w:val="en-US"/>
        </w:rPr>
        <w:t>₂</w:t>
      </w:r>
      <w:r w:rsidRPr="003C5866">
        <w:rPr>
          <w:rFonts w:ascii="Arial" w:hAnsi="Arial" w:cs="Arial"/>
          <w:sz w:val="20"/>
          <w:szCs w:val="24"/>
          <w:lang w:val="en-US"/>
        </w:rPr>
        <w:t>O, a greenhouse gas with a global warming potential nearly 300 times greater than that of CO</w:t>
      </w:r>
      <w:r w:rsidRPr="003C5866">
        <w:rPr>
          <w:rFonts w:ascii="Cambria Math" w:hAnsi="Cambria Math" w:cs="Cambria Math"/>
          <w:sz w:val="20"/>
          <w:szCs w:val="24"/>
          <w:lang w:val="en-US"/>
        </w:rPr>
        <w:t>₂</w:t>
      </w:r>
      <w:r w:rsidRPr="003C5866">
        <w:rPr>
          <w:rFonts w:ascii="Arial" w:hAnsi="Arial" w:cs="Arial"/>
          <w:sz w:val="20"/>
          <w:szCs w:val="24"/>
          <w:lang w:val="en-US"/>
        </w:rPr>
        <w:t xml:space="preserve"> (IPCC, 2019). Furthermore, the repeated use of these molecules alters soil microbial biodiversity, reducing the activity of microorganisms involved in carbon sequestration and thus decreasing the soil's capacity to retain atmospheric CO</w:t>
      </w:r>
      <w:r w:rsidRPr="003C5866">
        <w:rPr>
          <w:rFonts w:ascii="Cambria Math" w:hAnsi="Cambria Math" w:cs="Cambria Math"/>
          <w:sz w:val="20"/>
          <w:szCs w:val="24"/>
          <w:lang w:val="en-US"/>
        </w:rPr>
        <w:t>₂</w:t>
      </w:r>
      <w:r w:rsidRPr="003C5866">
        <w:rPr>
          <w:rFonts w:ascii="Arial" w:hAnsi="Arial" w:cs="Arial"/>
          <w:sz w:val="20"/>
          <w:szCs w:val="24"/>
          <w:lang w:val="en-US"/>
        </w:rPr>
        <w:t xml:space="preserve"> (</w:t>
      </w:r>
      <w:r w:rsidR="00A4015F" w:rsidRPr="00A4015F">
        <w:rPr>
          <w:rFonts w:ascii="Arial" w:hAnsi="Arial" w:cs="Arial"/>
          <w:color w:val="FF0000"/>
          <w:sz w:val="20"/>
          <w:szCs w:val="24"/>
          <w:lang w:val="en-US"/>
        </w:rPr>
        <w:t>Silva</w:t>
      </w:r>
      <w:r w:rsidRPr="00A4015F">
        <w:rPr>
          <w:rFonts w:ascii="Arial" w:hAnsi="Arial" w:cs="Arial"/>
          <w:color w:val="FF0000"/>
          <w:sz w:val="20"/>
          <w:szCs w:val="24"/>
          <w:lang w:val="en-US"/>
        </w:rPr>
        <w:t xml:space="preserve"> </w:t>
      </w:r>
      <w:r w:rsidRPr="00A4015F">
        <w:rPr>
          <w:rFonts w:ascii="Arial" w:hAnsi="Arial" w:cs="Arial"/>
          <w:i/>
          <w:color w:val="FF0000"/>
          <w:sz w:val="20"/>
          <w:szCs w:val="24"/>
          <w:lang w:val="en-US"/>
        </w:rPr>
        <w:t>et al</w:t>
      </w:r>
      <w:r w:rsidRPr="00A4015F">
        <w:rPr>
          <w:rFonts w:ascii="Arial" w:hAnsi="Arial" w:cs="Arial"/>
          <w:color w:val="FF0000"/>
          <w:sz w:val="20"/>
          <w:szCs w:val="24"/>
          <w:lang w:val="en-US"/>
        </w:rPr>
        <w:t>., 2019</w:t>
      </w:r>
      <w:r w:rsidRPr="003C5866">
        <w:rPr>
          <w:rFonts w:ascii="Arial" w:hAnsi="Arial" w:cs="Arial"/>
          <w:sz w:val="20"/>
          <w:szCs w:val="24"/>
          <w:lang w:val="en-US"/>
        </w:rPr>
        <w:t>). The persistence of pesticides in the environment leads to ecosystem contamination, biodiversity loss, pest resistance and risks to human health (</w:t>
      </w:r>
      <w:r w:rsidRPr="00DB5207">
        <w:rPr>
          <w:rFonts w:ascii="Arial" w:hAnsi="Arial" w:cs="Arial"/>
          <w:color w:val="FF0000"/>
          <w:sz w:val="20"/>
          <w:szCs w:val="24"/>
          <w:lang w:val="en-US"/>
        </w:rPr>
        <w:t xml:space="preserve">Simo </w:t>
      </w:r>
      <w:r w:rsidRPr="00DB5207">
        <w:rPr>
          <w:rFonts w:ascii="Arial" w:hAnsi="Arial" w:cs="Arial"/>
          <w:i/>
          <w:color w:val="FF0000"/>
          <w:sz w:val="20"/>
          <w:szCs w:val="24"/>
          <w:lang w:val="en-US"/>
        </w:rPr>
        <w:t>et al</w:t>
      </w:r>
      <w:r w:rsidRPr="00DB5207">
        <w:rPr>
          <w:rFonts w:ascii="Arial" w:hAnsi="Arial" w:cs="Arial"/>
          <w:color w:val="FF0000"/>
          <w:sz w:val="20"/>
          <w:szCs w:val="24"/>
          <w:lang w:val="en-US"/>
        </w:rPr>
        <w:t xml:space="preserve">., </w:t>
      </w:r>
      <w:r w:rsidRPr="00720B61">
        <w:rPr>
          <w:rFonts w:ascii="Arial" w:hAnsi="Arial" w:cs="Arial"/>
          <w:color w:val="FF0000"/>
          <w:sz w:val="20"/>
          <w:szCs w:val="24"/>
          <w:lang w:val="en-US"/>
        </w:rPr>
        <w:t>201</w:t>
      </w:r>
      <w:r w:rsidR="00720B61" w:rsidRPr="00720B61">
        <w:rPr>
          <w:rFonts w:ascii="Arial" w:hAnsi="Arial" w:cs="Arial"/>
          <w:color w:val="FF0000"/>
          <w:sz w:val="20"/>
          <w:szCs w:val="24"/>
          <w:lang w:val="en-US"/>
        </w:rPr>
        <w:t>4</w:t>
      </w:r>
      <w:r w:rsidRPr="003C5866">
        <w:rPr>
          <w:rFonts w:ascii="Arial" w:hAnsi="Arial" w:cs="Arial"/>
          <w:sz w:val="20"/>
          <w:szCs w:val="24"/>
          <w:lang w:val="en-US"/>
        </w:rPr>
        <w:t xml:space="preserve">; </w:t>
      </w:r>
      <w:proofErr w:type="spellStart"/>
      <w:r w:rsidRPr="003C5866">
        <w:rPr>
          <w:rFonts w:ascii="Arial" w:hAnsi="Arial" w:cs="Arial"/>
          <w:sz w:val="20"/>
          <w:szCs w:val="24"/>
          <w:lang w:val="en-US"/>
        </w:rPr>
        <w:t>Ayilara</w:t>
      </w:r>
      <w:proofErr w:type="spellEnd"/>
      <w:r w:rsidRPr="003C5866">
        <w:rPr>
          <w:rFonts w:ascii="Arial" w:hAnsi="Arial" w:cs="Arial"/>
          <w:sz w:val="20"/>
          <w:szCs w:val="24"/>
          <w:lang w:val="en-US"/>
        </w:rPr>
        <w:t xml:space="preserve"> </w:t>
      </w:r>
      <w:r w:rsidRPr="003C5866">
        <w:rPr>
          <w:rFonts w:ascii="Arial" w:hAnsi="Arial" w:cs="Arial"/>
          <w:i/>
          <w:sz w:val="20"/>
          <w:szCs w:val="24"/>
          <w:lang w:val="en-US"/>
        </w:rPr>
        <w:t>et al</w:t>
      </w:r>
      <w:r w:rsidRPr="003C5866">
        <w:rPr>
          <w:rFonts w:ascii="Arial" w:hAnsi="Arial" w:cs="Arial"/>
          <w:sz w:val="20"/>
          <w:szCs w:val="24"/>
          <w:lang w:val="en-US"/>
        </w:rPr>
        <w:t>., 2023). In this context, the development of sustainable and environmentally friendly alternatives has become a major challenge for modern agriculture.</w:t>
      </w:r>
    </w:p>
    <w:p w14:paraId="0A220A6C" w14:textId="77777777" w:rsidR="00E126CF" w:rsidRPr="00BD0E91" w:rsidRDefault="00E126CF" w:rsidP="00223439">
      <w:pPr>
        <w:tabs>
          <w:tab w:val="left" w:pos="590"/>
        </w:tabs>
        <w:spacing w:after="0" w:line="360" w:lineRule="auto"/>
        <w:contextualSpacing/>
        <w:jc w:val="both"/>
        <w:rPr>
          <w:rFonts w:ascii="Arial" w:hAnsi="Arial" w:cs="Arial"/>
          <w:szCs w:val="24"/>
          <w:lang w:val="en-US"/>
        </w:rPr>
      </w:pPr>
      <w:r w:rsidRPr="003C5866">
        <w:rPr>
          <w:rFonts w:ascii="Arial" w:hAnsi="Arial" w:cs="Arial"/>
          <w:sz w:val="20"/>
          <w:lang w:val="en-US"/>
        </w:rPr>
        <w:t>Biopesticides, defined as products derived from living organisms such as plants, bacteria, fungi, or their secondary metabolites, represent promising solutions (</w:t>
      </w:r>
      <w:proofErr w:type="spellStart"/>
      <w:r w:rsidRPr="003C5866">
        <w:rPr>
          <w:rFonts w:ascii="Arial" w:hAnsi="Arial" w:cs="Arial"/>
          <w:sz w:val="20"/>
          <w:lang w:val="en-US"/>
        </w:rPr>
        <w:t>Jarial</w:t>
      </w:r>
      <w:proofErr w:type="spellEnd"/>
      <w:r w:rsidRPr="003C5866">
        <w:rPr>
          <w:rFonts w:ascii="Arial" w:hAnsi="Arial" w:cs="Arial"/>
          <w:sz w:val="20"/>
          <w:lang w:val="en-US"/>
        </w:rPr>
        <w:t xml:space="preserve"> </w:t>
      </w:r>
      <w:r w:rsidRPr="003C5866">
        <w:rPr>
          <w:rFonts w:ascii="Arial" w:hAnsi="Arial" w:cs="Arial"/>
          <w:i/>
          <w:sz w:val="20"/>
          <w:lang w:val="en-US"/>
        </w:rPr>
        <w:t>et al</w:t>
      </w:r>
      <w:r w:rsidRPr="003C5866">
        <w:rPr>
          <w:rFonts w:ascii="Arial" w:hAnsi="Arial" w:cs="Arial"/>
          <w:sz w:val="20"/>
          <w:lang w:val="en-US"/>
        </w:rPr>
        <w:t xml:space="preserve">., 2023). Unlike chemical pesticides, they are biodegradable, less toxic to non-target organisms, and exhibit high specificity of action with minimal environmental impact (Kumar </w:t>
      </w:r>
      <w:r w:rsidRPr="003C5866">
        <w:rPr>
          <w:rFonts w:ascii="Arial" w:hAnsi="Arial" w:cs="Arial"/>
          <w:i/>
          <w:sz w:val="20"/>
          <w:lang w:val="en-US"/>
        </w:rPr>
        <w:t>et al</w:t>
      </w:r>
      <w:r w:rsidRPr="003C5866">
        <w:rPr>
          <w:rFonts w:ascii="Arial" w:hAnsi="Arial" w:cs="Arial"/>
          <w:sz w:val="20"/>
          <w:lang w:val="en-US"/>
        </w:rPr>
        <w:t xml:space="preserve">., 2021). These characteristics make biopesticides key components of integrated pest management strategies. Several studies have highlighted the effectiveness of plant-based biopesticides. Indeed, extracts from the leaves, stems or seeds of certain plants have shown strong antifungal activity against </w:t>
      </w:r>
      <w:proofErr w:type="spellStart"/>
      <w:r w:rsidRPr="003C5866">
        <w:rPr>
          <w:rFonts w:ascii="Arial" w:hAnsi="Arial" w:cs="Arial"/>
          <w:i/>
          <w:sz w:val="20"/>
          <w:lang w:val="en-US"/>
        </w:rPr>
        <w:t>Mycosphaerella</w:t>
      </w:r>
      <w:proofErr w:type="spellEnd"/>
      <w:r w:rsidRPr="003C5866">
        <w:rPr>
          <w:rFonts w:ascii="Arial" w:hAnsi="Arial" w:cs="Arial"/>
          <w:i/>
          <w:sz w:val="20"/>
          <w:lang w:val="en-US"/>
        </w:rPr>
        <w:t xml:space="preserve"> </w:t>
      </w:r>
      <w:proofErr w:type="spellStart"/>
      <w:r w:rsidRPr="003C5866">
        <w:rPr>
          <w:rFonts w:ascii="Arial" w:hAnsi="Arial" w:cs="Arial"/>
          <w:i/>
          <w:sz w:val="20"/>
          <w:lang w:val="en-US"/>
        </w:rPr>
        <w:t>fijiensis</w:t>
      </w:r>
      <w:proofErr w:type="spellEnd"/>
      <w:r w:rsidRPr="003C5866">
        <w:rPr>
          <w:rFonts w:ascii="Arial" w:hAnsi="Arial" w:cs="Arial"/>
          <w:sz w:val="20"/>
          <w:lang w:val="en-US"/>
        </w:rPr>
        <w:t xml:space="preserve">, </w:t>
      </w:r>
      <w:r w:rsidRPr="003C5866">
        <w:rPr>
          <w:rFonts w:ascii="Arial" w:hAnsi="Arial" w:cs="Arial"/>
          <w:i/>
          <w:sz w:val="20"/>
          <w:lang w:val="en-US"/>
        </w:rPr>
        <w:t xml:space="preserve">Aspergillus </w:t>
      </w:r>
      <w:proofErr w:type="spellStart"/>
      <w:r w:rsidRPr="003C5866">
        <w:rPr>
          <w:rFonts w:ascii="Arial" w:hAnsi="Arial" w:cs="Arial"/>
          <w:i/>
          <w:sz w:val="20"/>
          <w:lang w:val="en-US"/>
        </w:rPr>
        <w:t>niger</w:t>
      </w:r>
      <w:proofErr w:type="spellEnd"/>
      <w:r w:rsidRPr="003C5866">
        <w:rPr>
          <w:rFonts w:ascii="Arial" w:hAnsi="Arial" w:cs="Arial"/>
          <w:sz w:val="20"/>
          <w:lang w:val="en-US"/>
        </w:rPr>
        <w:t xml:space="preserve">, </w:t>
      </w:r>
      <w:r w:rsidRPr="003C5866">
        <w:rPr>
          <w:rFonts w:ascii="Arial" w:hAnsi="Arial" w:cs="Arial"/>
          <w:i/>
          <w:sz w:val="20"/>
          <w:lang w:val="en-US"/>
        </w:rPr>
        <w:t xml:space="preserve">Fusarium </w:t>
      </w:r>
      <w:proofErr w:type="spellStart"/>
      <w:r w:rsidRPr="003C5866">
        <w:rPr>
          <w:rFonts w:ascii="Arial" w:hAnsi="Arial" w:cs="Arial"/>
          <w:i/>
          <w:sz w:val="20"/>
          <w:lang w:val="en-US"/>
        </w:rPr>
        <w:t>oxysporum</w:t>
      </w:r>
      <w:proofErr w:type="spellEnd"/>
      <w:r w:rsidRPr="003C5866">
        <w:rPr>
          <w:rFonts w:ascii="Arial" w:hAnsi="Arial" w:cs="Arial"/>
          <w:sz w:val="20"/>
          <w:lang w:val="en-US"/>
        </w:rPr>
        <w:t xml:space="preserve"> and </w:t>
      </w:r>
      <w:r w:rsidRPr="003C5866">
        <w:rPr>
          <w:rFonts w:ascii="Arial" w:hAnsi="Arial" w:cs="Arial"/>
          <w:i/>
          <w:sz w:val="20"/>
          <w:lang w:val="en-US"/>
        </w:rPr>
        <w:t>Phytophthora infestans</w:t>
      </w:r>
      <w:r w:rsidRPr="003C5866">
        <w:rPr>
          <w:rFonts w:ascii="Arial" w:hAnsi="Arial" w:cs="Arial"/>
          <w:sz w:val="20"/>
          <w:lang w:val="en-US"/>
        </w:rPr>
        <w:t xml:space="preserve"> (Martin </w:t>
      </w:r>
      <w:r w:rsidRPr="003C5866">
        <w:rPr>
          <w:rFonts w:ascii="Arial" w:hAnsi="Arial" w:cs="Arial"/>
          <w:i/>
          <w:sz w:val="20"/>
          <w:lang w:val="en-US"/>
        </w:rPr>
        <w:t>et al</w:t>
      </w:r>
      <w:r w:rsidRPr="003C5866">
        <w:rPr>
          <w:rFonts w:ascii="Arial" w:hAnsi="Arial" w:cs="Arial"/>
          <w:sz w:val="20"/>
          <w:lang w:val="en-US"/>
        </w:rPr>
        <w:t>., 2018</w:t>
      </w:r>
      <w:r w:rsidR="0069303F" w:rsidRPr="003C5866">
        <w:rPr>
          <w:rFonts w:ascii="Arial" w:hAnsi="Arial" w:cs="Arial"/>
          <w:sz w:val="20"/>
          <w:lang w:val="en-US"/>
        </w:rPr>
        <w:t>,</w:t>
      </w:r>
      <w:r w:rsidRPr="003C5866">
        <w:rPr>
          <w:rFonts w:ascii="Arial" w:hAnsi="Arial" w:cs="Arial"/>
          <w:sz w:val="20"/>
          <w:lang w:val="en-US"/>
        </w:rPr>
        <w:t xml:space="preserve"> </w:t>
      </w:r>
      <w:r w:rsidR="00DF6B65" w:rsidRPr="003C5866">
        <w:rPr>
          <w:rFonts w:ascii="Arial" w:hAnsi="Arial" w:cs="Arial"/>
          <w:sz w:val="20"/>
          <w:lang w:val="en-US"/>
        </w:rPr>
        <w:t>Ewané</w:t>
      </w:r>
      <w:r w:rsidRPr="003C5866">
        <w:rPr>
          <w:rFonts w:ascii="Arial" w:hAnsi="Arial" w:cs="Arial"/>
          <w:sz w:val="20"/>
          <w:lang w:val="en-US"/>
        </w:rPr>
        <w:t xml:space="preserve"> </w:t>
      </w:r>
      <w:r w:rsidRPr="003C5866">
        <w:rPr>
          <w:rFonts w:ascii="Arial" w:hAnsi="Arial" w:cs="Arial"/>
          <w:i/>
          <w:sz w:val="20"/>
          <w:lang w:val="en-US"/>
        </w:rPr>
        <w:t>et al</w:t>
      </w:r>
      <w:r w:rsidRPr="003C5866">
        <w:rPr>
          <w:rFonts w:ascii="Arial" w:hAnsi="Arial" w:cs="Arial"/>
          <w:sz w:val="20"/>
          <w:lang w:val="en-US"/>
        </w:rPr>
        <w:t xml:space="preserve">., 2020; Sharma </w:t>
      </w:r>
      <w:r w:rsidRPr="003C5866">
        <w:rPr>
          <w:rFonts w:ascii="Arial" w:hAnsi="Arial" w:cs="Arial"/>
          <w:i/>
          <w:sz w:val="20"/>
          <w:lang w:val="en-US"/>
        </w:rPr>
        <w:t>et al</w:t>
      </w:r>
      <w:r w:rsidRPr="003C5866">
        <w:rPr>
          <w:rFonts w:ascii="Arial" w:hAnsi="Arial" w:cs="Arial"/>
          <w:sz w:val="20"/>
          <w:lang w:val="en-US"/>
        </w:rPr>
        <w:t xml:space="preserve">., 2022). Similarly, formulations based on beneficial bacteria or fungi have demonstrated insecticidal and antibacterial properties while improving the growth of host plants (Singh </w:t>
      </w:r>
      <w:r w:rsidRPr="00BD0E91">
        <w:rPr>
          <w:rFonts w:ascii="Arial" w:hAnsi="Arial" w:cs="Arial"/>
          <w:i/>
          <w:sz w:val="20"/>
          <w:lang w:val="en-US"/>
        </w:rPr>
        <w:t>et al</w:t>
      </w:r>
      <w:r w:rsidRPr="00BD0E91">
        <w:rPr>
          <w:rFonts w:ascii="Arial" w:hAnsi="Arial" w:cs="Arial"/>
          <w:sz w:val="20"/>
          <w:lang w:val="en-US"/>
        </w:rPr>
        <w:t>.</w:t>
      </w:r>
      <w:r w:rsidR="0069303F" w:rsidRPr="00BD0E91">
        <w:rPr>
          <w:rFonts w:ascii="Arial" w:hAnsi="Arial" w:cs="Arial"/>
          <w:sz w:val="20"/>
          <w:lang w:val="en-US"/>
        </w:rPr>
        <w:t>,</w:t>
      </w:r>
      <w:r w:rsidRPr="00BD0E91">
        <w:rPr>
          <w:rFonts w:ascii="Arial" w:hAnsi="Arial" w:cs="Arial"/>
          <w:sz w:val="20"/>
          <w:lang w:val="en-US"/>
        </w:rPr>
        <w:t xml:space="preserve"> 2020).</w:t>
      </w:r>
    </w:p>
    <w:p w14:paraId="56F67C2B" w14:textId="77777777" w:rsidR="00ED64E1" w:rsidRDefault="00E126CF" w:rsidP="00855452">
      <w:pPr>
        <w:pStyle w:val="NormalWeb"/>
        <w:spacing w:before="0" w:beforeAutospacing="0" w:after="0" w:afterAutospacing="0" w:line="360" w:lineRule="auto"/>
        <w:jc w:val="both"/>
        <w:rPr>
          <w:rFonts w:ascii="Arial" w:hAnsi="Arial" w:cs="Arial"/>
          <w:sz w:val="20"/>
          <w:lang w:val="en-US"/>
        </w:rPr>
      </w:pPr>
      <w:r w:rsidRPr="00BD0E91">
        <w:rPr>
          <w:rFonts w:ascii="Arial" w:hAnsi="Arial" w:cs="Arial"/>
          <w:sz w:val="20"/>
          <w:lang w:val="en-US"/>
        </w:rPr>
        <w:t>However, despite these</w:t>
      </w:r>
      <w:r w:rsidRPr="003C5866">
        <w:rPr>
          <w:rFonts w:ascii="Arial" w:hAnsi="Arial" w:cs="Arial"/>
          <w:sz w:val="20"/>
          <w:lang w:val="en-US"/>
        </w:rPr>
        <w:t xml:space="preserve"> promising results, questions remain regarding their stability, the precise nature of the bioactive compounds involved and their spectrum of activity against various parasites and pests. The objective of this study was therefore to evaluate the efficacy of four plant-based biopesticides (BP1, BP2, BP3 and BP4) against certain plant pests and pathogens, including insects, fungi, bacteria and nematodes. This work contributes to the development and integration of plant-based biopesticides into sustainable pest management systems in agriculture.</w:t>
      </w:r>
    </w:p>
    <w:p w14:paraId="49065A88" w14:textId="77777777" w:rsidR="00855452" w:rsidRPr="003C5866" w:rsidRDefault="00855452" w:rsidP="00855452">
      <w:pPr>
        <w:pStyle w:val="NormalWeb"/>
        <w:spacing w:before="0" w:beforeAutospacing="0" w:after="0" w:afterAutospacing="0" w:line="360" w:lineRule="auto"/>
        <w:jc w:val="both"/>
        <w:rPr>
          <w:rFonts w:ascii="Arial" w:hAnsi="Arial" w:cs="Arial"/>
          <w:sz w:val="20"/>
          <w:lang w:val="en-US"/>
        </w:rPr>
      </w:pPr>
    </w:p>
    <w:p w14:paraId="13CBF63D" w14:textId="77777777" w:rsidR="00FC296B" w:rsidRPr="003C5866" w:rsidRDefault="00597F24" w:rsidP="0061106B">
      <w:pPr>
        <w:pStyle w:val="Heading1"/>
        <w:spacing w:line="240" w:lineRule="auto"/>
        <w:rPr>
          <w:rFonts w:ascii="Arial" w:hAnsi="Arial" w:cs="Arial"/>
          <w:color w:val="auto"/>
          <w:sz w:val="22"/>
          <w:szCs w:val="24"/>
          <w:lang w:val="en-US"/>
        </w:rPr>
      </w:pPr>
      <w:r w:rsidRPr="003C5866">
        <w:rPr>
          <w:rFonts w:ascii="Arial" w:eastAsia="Arial" w:hAnsi="Arial" w:cs="Arial"/>
          <w:b/>
          <w:bCs/>
          <w:color w:val="auto"/>
          <w:sz w:val="22"/>
          <w:szCs w:val="24"/>
          <w:lang w:val="en-US" w:eastAsia="fr-FR"/>
        </w:rPr>
        <w:t>2.</w:t>
      </w:r>
      <w:r w:rsidR="006322DF" w:rsidRPr="003C5866">
        <w:rPr>
          <w:rFonts w:ascii="Arial" w:eastAsia="Arial" w:hAnsi="Arial" w:cs="Arial"/>
          <w:b/>
          <w:bCs/>
          <w:color w:val="auto"/>
          <w:sz w:val="22"/>
          <w:szCs w:val="24"/>
          <w:lang w:val="en-US" w:eastAsia="fr-FR"/>
        </w:rPr>
        <w:t xml:space="preserve"> </w:t>
      </w:r>
      <w:r w:rsidR="006322DF" w:rsidRPr="003C5866">
        <w:rPr>
          <w:rFonts w:ascii="Arial" w:hAnsi="Arial" w:cs="Arial"/>
          <w:b/>
          <w:color w:val="auto"/>
          <w:sz w:val="22"/>
          <w:szCs w:val="24"/>
          <w:lang w:val="en-US"/>
        </w:rPr>
        <w:t>MATERIAL</w:t>
      </w:r>
      <w:r w:rsidR="00614E3E" w:rsidRPr="003C5866">
        <w:rPr>
          <w:rFonts w:ascii="Arial" w:hAnsi="Arial" w:cs="Arial"/>
          <w:b/>
          <w:color w:val="auto"/>
          <w:sz w:val="22"/>
          <w:szCs w:val="24"/>
          <w:lang w:val="en-US"/>
        </w:rPr>
        <w:t xml:space="preserve"> AND METHODS</w:t>
      </w:r>
    </w:p>
    <w:p w14:paraId="12B24C0B" w14:textId="77777777" w:rsidR="00FC296B" w:rsidRPr="003C5866" w:rsidRDefault="0061106B" w:rsidP="00DD02A4">
      <w:pPr>
        <w:pStyle w:val="Heading2"/>
        <w:spacing w:after="0" w:afterAutospacing="0"/>
        <w:rPr>
          <w:rFonts w:ascii="Arial" w:hAnsi="Arial" w:cs="Arial"/>
          <w:sz w:val="22"/>
          <w:szCs w:val="20"/>
        </w:rPr>
      </w:pPr>
      <w:r w:rsidRPr="003C5866">
        <w:rPr>
          <w:rFonts w:ascii="Arial" w:hAnsi="Arial" w:cs="Arial"/>
          <w:sz w:val="22"/>
          <w:szCs w:val="20"/>
        </w:rPr>
        <w:t>2.1</w:t>
      </w:r>
      <w:r w:rsidR="00614E3E" w:rsidRPr="003C5866">
        <w:rPr>
          <w:rFonts w:ascii="Arial" w:hAnsi="Arial" w:cs="Arial"/>
          <w:sz w:val="22"/>
          <w:szCs w:val="20"/>
        </w:rPr>
        <w:t xml:space="preserve"> </w:t>
      </w:r>
      <w:r w:rsidR="006322DF" w:rsidRPr="003C5866">
        <w:rPr>
          <w:rFonts w:ascii="Arial" w:hAnsi="Arial" w:cs="Arial"/>
          <w:sz w:val="22"/>
          <w:szCs w:val="20"/>
        </w:rPr>
        <w:t>Material</w:t>
      </w:r>
    </w:p>
    <w:p w14:paraId="5D1BF938" w14:textId="77777777" w:rsidR="0061106B" w:rsidRPr="003C5866" w:rsidRDefault="0061106B" w:rsidP="0061106B">
      <w:pPr>
        <w:pStyle w:val="Heading2"/>
        <w:spacing w:before="0" w:beforeAutospacing="0" w:after="0" w:afterAutospacing="0"/>
        <w:jc w:val="both"/>
        <w:rPr>
          <w:rFonts w:ascii="Arial" w:hAnsi="Arial" w:cs="Arial"/>
          <w:sz w:val="22"/>
          <w:szCs w:val="20"/>
        </w:rPr>
      </w:pPr>
    </w:p>
    <w:p w14:paraId="1534AE2A" w14:textId="77777777" w:rsidR="00FC296B" w:rsidRPr="003C5866" w:rsidRDefault="006322DF" w:rsidP="00DD02A4">
      <w:pPr>
        <w:spacing w:line="360" w:lineRule="auto"/>
        <w:jc w:val="both"/>
        <w:rPr>
          <w:rFonts w:ascii="Arial" w:hAnsi="Arial" w:cs="Arial"/>
          <w:sz w:val="20"/>
          <w:szCs w:val="20"/>
          <w:lang w:val="en-US"/>
        </w:rPr>
      </w:pPr>
      <w:r w:rsidRPr="003C5866">
        <w:rPr>
          <w:rFonts w:ascii="Arial" w:hAnsi="Arial" w:cs="Arial"/>
          <w:sz w:val="20"/>
          <w:szCs w:val="20"/>
          <w:lang w:val="en-US"/>
        </w:rPr>
        <w:t xml:space="preserve">In this study, four plant </w:t>
      </w:r>
      <w:r w:rsidR="00FC296B" w:rsidRPr="003C5866">
        <w:rPr>
          <w:rFonts w:ascii="Arial" w:hAnsi="Arial" w:cs="Arial"/>
          <w:sz w:val="20"/>
          <w:szCs w:val="20"/>
          <w:lang w:val="en-US"/>
        </w:rPr>
        <w:t xml:space="preserve">based biopesticides were used. The plants used in their production were </w:t>
      </w:r>
      <w:r w:rsidR="00FC296B" w:rsidRPr="003C5866">
        <w:rPr>
          <w:rFonts w:ascii="Arial" w:hAnsi="Arial" w:cs="Arial"/>
          <w:i/>
          <w:sz w:val="20"/>
          <w:szCs w:val="20"/>
          <w:lang w:val="en-US"/>
        </w:rPr>
        <w:t>Tithonia diversifolia</w:t>
      </w:r>
      <w:r w:rsidR="00FC296B" w:rsidRPr="003C5866">
        <w:rPr>
          <w:rFonts w:ascii="Arial" w:hAnsi="Arial" w:cs="Arial"/>
          <w:sz w:val="20"/>
          <w:szCs w:val="20"/>
          <w:lang w:val="en-US"/>
        </w:rPr>
        <w:t xml:space="preserve">, </w:t>
      </w:r>
      <w:r w:rsidR="00FC296B" w:rsidRPr="003C5866">
        <w:rPr>
          <w:rFonts w:ascii="Arial" w:hAnsi="Arial" w:cs="Arial"/>
          <w:i/>
          <w:sz w:val="20"/>
          <w:szCs w:val="20"/>
          <w:lang w:val="en-US"/>
        </w:rPr>
        <w:t>Emilia coccinea</w:t>
      </w:r>
      <w:r w:rsidR="00FC296B" w:rsidRPr="003C5866">
        <w:rPr>
          <w:rFonts w:ascii="Arial" w:hAnsi="Arial" w:cs="Arial"/>
          <w:sz w:val="20"/>
          <w:szCs w:val="20"/>
          <w:lang w:val="en-US"/>
        </w:rPr>
        <w:t xml:space="preserve">, </w:t>
      </w:r>
      <w:r w:rsidR="00FC296B" w:rsidRPr="003C5866">
        <w:rPr>
          <w:rFonts w:ascii="Arial" w:hAnsi="Arial" w:cs="Arial"/>
          <w:i/>
          <w:sz w:val="20"/>
          <w:szCs w:val="20"/>
          <w:lang w:val="en-US"/>
        </w:rPr>
        <w:t xml:space="preserve">Vernonia </w:t>
      </w:r>
      <w:proofErr w:type="spellStart"/>
      <w:r w:rsidR="00FC296B" w:rsidRPr="003C5866">
        <w:rPr>
          <w:rFonts w:ascii="Arial" w:hAnsi="Arial" w:cs="Arial"/>
          <w:i/>
          <w:sz w:val="20"/>
          <w:szCs w:val="20"/>
          <w:lang w:val="en-US"/>
        </w:rPr>
        <w:t>amygdalina</w:t>
      </w:r>
      <w:proofErr w:type="spellEnd"/>
      <w:r w:rsidR="00FC296B" w:rsidRPr="003C5866">
        <w:rPr>
          <w:rFonts w:ascii="Arial" w:hAnsi="Arial" w:cs="Arial"/>
          <w:sz w:val="20"/>
          <w:szCs w:val="20"/>
          <w:lang w:val="en-US"/>
        </w:rPr>
        <w:t xml:space="preserve">, </w:t>
      </w:r>
      <w:r w:rsidR="00FC296B" w:rsidRPr="003C5866">
        <w:rPr>
          <w:rFonts w:ascii="Arial" w:hAnsi="Arial" w:cs="Arial"/>
          <w:i/>
          <w:sz w:val="20"/>
          <w:szCs w:val="20"/>
          <w:lang w:val="en-US"/>
        </w:rPr>
        <w:t xml:space="preserve">Aloe </w:t>
      </w:r>
      <w:proofErr w:type="spellStart"/>
      <w:r w:rsidR="00FC296B" w:rsidRPr="003C5866">
        <w:rPr>
          <w:rFonts w:ascii="Arial" w:hAnsi="Arial" w:cs="Arial"/>
          <w:i/>
          <w:sz w:val="20"/>
          <w:szCs w:val="20"/>
          <w:lang w:val="en-US"/>
        </w:rPr>
        <w:t>barbadensis</w:t>
      </w:r>
      <w:proofErr w:type="spellEnd"/>
      <w:r w:rsidR="00FC296B" w:rsidRPr="003C5866">
        <w:rPr>
          <w:rFonts w:ascii="Arial" w:hAnsi="Arial" w:cs="Arial"/>
          <w:sz w:val="20"/>
          <w:szCs w:val="20"/>
          <w:lang w:val="en-US"/>
        </w:rPr>
        <w:t xml:space="preserve"> and </w:t>
      </w:r>
      <w:r w:rsidR="00FC296B" w:rsidRPr="003C5866">
        <w:rPr>
          <w:rFonts w:ascii="Arial" w:hAnsi="Arial" w:cs="Arial"/>
          <w:i/>
          <w:sz w:val="20"/>
          <w:szCs w:val="20"/>
          <w:lang w:val="en-US"/>
        </w:rPr>
        <w:t xml:space="preserve">Cymbopogon </w:t>
      </w:r>
      <w:proofErr w:type="spellStart"/>
      <w:r w:rsidR="00FC296B" w:rsidRPr="003C5866">
        <w:rPr>
          <w:rFonts w:ascii="Arial" w:hAnsi="Arial" w:cs="Arial"/>
          <w:i/>
          <w:sz w:val="20"/>
          <w:szCs w:val="20"/>
          <w:lang w:val="en-US"/>
        </w:rPr>
        <w:t>citratus</w:t>
      </w:r>
      <w:proofErr w:type="spellEnd"/>
      <w:r w:rsidR="00FC296B" w:rsidRPr="003C5866">
        <w:rPr>
          <w:rFonts w:ascii="Arial" w:hAnsi="Arial" w:cs="Arial"/>
          <w:sz w:val="20"/>
          <w:szCs w:val="20"/>
          <w:lang w:val="en-US"/>
        </w:rPr>
        <w:t>. These species were selected following a literature review combined with an ethnobotanical study of plants known for their pesticidal properties.</w:t>
      </w:r>
    </w:p>
    <w:p w14:paraId="210A4C6A" w14:textId="77777777" w:rsidR="00FC296B" w:rsidRPr="003C5866" w:rsidRDefault="00FC296B" w:rsidP="00DD02A4">
      <w:pPr>
        <w:spacing w:line="360" w:lineRule="auto"/>
        <w:jc w:val="both"/>
        <w:rPr>
          <w:rFonts w:ascii="Arial" w:hAnsi="Arial" w:cs="Arial"/>
          <w:sz w:val="20"/>
          <w:szCs w:val="20"/>
          <w:lang w:val="en-US"/>
        </w:rPr>
      </w:pPr>
      <w:r w:rsidRPr="003C5866">
        <w:rPr>
          <w:rFonts w:ascii="Arial" w:hAnsi="Arial" w:cs="Arial"/>
          <w:sz w:val="20"/>
          <w:szCs w:val="20"/>
          <w:lang w:val="en-US"/>
        </w:rPr>
        <w:t>Fungi (</w:t>
      </w:r>
      <w:r w:rsidRPr="003C5866">
        <w:rPr>
          <w:rFonts w:ascii="Arial" w:hAnsi="Arial" w:cs="Arial"/>
          <w:i/>
          <w:sz w:val="20"/>
          <w:szCs w:val="20"/>
          <w:lang w:val="en-US"/>
        </w:rPr>
        <w:t>Aspergillus flavus</w:t>
      </w:r>
      <w:r w:rsidRPr="003C5866">
        <w:rPr>
          <w:rFonts w:ascii="Arial" w:hAnsi="Arial" w:cs="Arial"/>
          <w:sz w:val="20"/>
          <w:szCs w:val="20"/>
          <w:lang w:val="en-US"/>
        </w:rPr>
        <w:t xml:space="preserve">, </w:t>
      </w:r>
      <w:r w:rsidRPr="003C5866">
        <w:rPr>
          <w:rFonts w:ascii="Arial" w:hAnsi="Arial" w:cs="Arial"/>
          <w:i/>
          <w:sz w:val="20"/>
          <w:szCs w:val="20"/>
          <w:lang w:val="en-US"/>
        </w:rPr>
        <w:t>Fusarium</w:t>
      </w:r>
      <w:r w:rsidRPr="003C5866">
        <w:rPr>
          <w:rFonts w:ascii="Arial" w:hAnsi="Arial" w:cs="Arial"/>
          <w:sz w:val="20"/>
          <w:szCs w:val="20"/>
          <w:lang w:val="en-US"/>
        </w:rPr>
        <w:t xml:space="preserve"> spp</w:t>
      </w:r>
      <w:r w:rsidR="00DD02A4" w:rsidRPr="003C5866">
        <w:rPr>
          <w:rFonts w:ascii="Arial" w:hAnsi="Arial" w:cs="Arial"/>
          <w:sz w:val="20"/>
          <w:szCs w:val="20"/>
          <w:lang w:val="en-US"/>
        </w:rPr>
        <w:t>.</w:t>
      </w:r>
      <w:r w:rsidRPr="003C5866">
        <w:rPr>
          <w:rFonts w:ascii="Arial" w:hAnsi="Arial" w:cs="Arial"/>
          <w:sz w:val="20"/>
          <w:szCs w:val="20"/>
          <w:lang w:val="en-US"/>
        </w:rPr>
        <w:t>)</w:t>
      </w:r>
      <w:r w:rsidR="004E55CC">
        <w:rPr>
          <w:rFonts w:ascii="Arial" w:hAnsi="Arial" w:cs="Arial"/>
          <w:sz w:val="20"/>
          <w:szCs w:val="20"/>
          <w:lang w:val="en-US"/>
        </w:rPr>
        <w:t>,</w:t>
      </w:r>
      <w:r w:rsidRPr="003C5866">
        <w:rPr>
          <w:rFonts w:ascii="Arial" w:hAnsi="Arial" w:cs="Arial"/>
          <w:sz w:val="20"/>
          <w:szCs w:val="20"/>
          <w:lang w:val="en-US"/>
        </w:rPr>
        <w:t xml:space="preserve"> bacteria (</w:t>
      </w:r>
      <w:r w:rsidRPr="003C5866">
        <w:rPr>
          <w:rFonts w:ascii="Arial" w:hAnsi="Arial" w:cs="Arial"/>
          <w:i/>
          <w:sz w:val="20"/>
          <w:szCs w:val="20"/>
          <w:lang w:val="en-US"/>
        </w:rPr>
        <w:t>Pseudomonas</w:t>
      </w:r>
      <w:r w:rsidRPr="003C5866">
        <w:rPr>
          <w:rFonts w:ascii="Arial" w:hAnsi="Arial" w:cs="Arial"/>
          <w:sz w:val="20"/>
          <w:szCs w:val="20"/>
          <w:lang w:val="en-US"/>
        </w:rPr>
        <w:t xml:space="preserve"> spp</w:t>
      </w:r>
      <w:r w:rsidR="00DD02A4" w:rsidRPr="003C5866">
        <w:rPr>
          <w:rFonts w:ascii="Arial" w:hAnsi="Arial" w:cs="Arial"/>
          <w:sz w:val="20"/>
          <w:szCs w:val="20"/>
          <w:lang w:val="en-US"/>
        </w:rPr>
        <w:t>.</w:t>
      </w:r>
      <w:r w:rsidRPr="003C5866">
        <w:rPr>
          <w:rFonts w:ascii="Arial" w:hAnsi="Arial" w:cs="Arial"/>
          <w:sz w:val="20"/>
          <w:szCs w:val="20"/>
          <w:lang w:val="en-US"/>
        </w:rPr>
        <w:t>,</w:t>
      </w:r>
      <w:r w:rsidR="006322DF" w:rsidRPr="003C5866">
        <w:rPr>
          <w:rFonts w:ascii="Arial" w:hAnsi="Arial" w:cs="Arial"/>
          <w:sz w:val="20"/>
          <w:szCs w:val="20"/>
          <w:lang w:val="en-US"/>
        </w:rPr>
        <w:t xml:space="preserve"> </w:t>
      </w:r>
      <w:r w:rsidRPr="003C5866">
        <w:rPr>
          <w:rFonts w:ascii="Arial" w:eastAsia="Times New Roman" w:hAnsi="Arial" w:cs="Arial"/>
          <w:i/>
          <w:color w:val="000000"/>
          <w:sz w:val="20"/>
          <w:szCs w:val="20"/>
          <w:lang w:val="en-US" w:eastAsia="fr-FR"/>
        </w:rPr>
        <w:t>Ralstonia solanacearum</w:t>
      </w:r>
      <w:r w:rsidR="000450D2" w:rsidRPr="003C5866">
        <w:rPr>
          <w:rFonts w:ascii="Arial" w:hAnsi="Arial" w:cs="Arial"/>
          <w:sz w:val="20"/>
          <w:szCs w:val="20"/>
          <w:lang w:val="en-US"/>
        </w:rPr>
        <w:t xml:space="preserve">) </w:t>
      </w:r>
      <w:r w:rsidR="004E55CC" w:rsidRPr="003C5866">
        <w:rPr>
          <w:rFonts w:ascii="Arial" w:hAnsi="Arial" w:cs="Arial"/>
          <w:sz w:val="20"/>
          <w:szCs w:val="20"/>
          <w:lang w:val="en-US"/>
        </w:rPr>
        <w:t xml:space="preserve">and </w:t>
      </w:r>
      <w:r w:rsidR="000450D2" w:rsidRPr="003C5866">
        <w:rPr>
          <w:rFonts w:ascii="Arial" w:hAnsi="Arial" w:cs="Arial"/>
          <w:sz w:val="20"/>
          <w:szCs w:val="20"/>
          <w:lang w:val="en-US"/>
        </w:rPr>
        <w:t>nematodes (</w:t>
      </w:r>
      <w:proofErr w:type="spellStart"/>
      <w:r w:rsidR="000450D2" w:rsidRPr="003C5866">
        <w:rPr>
          <w:rFonts w:ascii="Arial" w:hAnsi="Arial" w:cs="Arial"/>
          <w:i/>
          <w:sz w:val="20"/>
          <w:szCs w:val="20"/>
          <w:lang w:val="en-US"/>
        </w:rPr>
        <w:t>Radopholus</w:t>
      </w:r>
      <w:proofErr w:type="spellEnd"/>
      <w:r w:rsidR="000450D2" w:rsidRPr="003C5866">
        <w:rPr>
          <w:rFonts w:ascii="Arial" w:hAnsi="Arial" w:cs="Arial"/>
          <w:i/>
          <w:sz w:val="20"/>
          <w:szCs w:val="20"/>
          <w:lang w:val="en-US"/>
        </w:rPr>
        <w:t xml:space="preserve"> </w:t>
      </w:r>
      <w:proofErr w:type="spellStart"/>
      <w:r w:rsidR="000450D2" w:rsidRPr="003C5866">
        <w:rPr>
          <w:rFonts w:ascii="Arial" w:hAnsi="Arial" w:cs="Arial"/>
          <w:i/>
          <w:sz w:val="20"/>
          <w:szCs w:val="20"/>
          <w:lang w:val="en-US"/>
        </w:rPr>
        <w:t>similis</w:t>
      </w:r>
      <w:proofErr w:type="spellEnd"/>
      <w:r w:rsidR="000450D2" w:rsidRPr="003C5866">
        <w:rPr>
          <w:rFonts w:ascii="Arial" w:hAnsi="Arial" w:cs="Arial"/>
          <w:sz w:val="20"/>
          <w:szCs w:val="20"/>
          <w:lang w:val="en-US"/>
        </w:rPr>
        <w:t>), as well as insect species (</w:t>
      </w:r>
      <w:proofErr w:type="spellStart"/>
      <w:r w:rsidR="000450D2" w:rsidRPr="003C5866">
        <w:rPr>
          <w:rFonts w:ascii="Arial" w:hAnsi="Arial" w:cs="Arial"/>
          <w:i/>
          <w:sz w:val="20"/>
          <w:szCs w:val="20"/>
          <w:lang w:val="en-US"/>
        </w:rPr>
        <w:t>Aphidoidea</w:t>
      </w:r>
      <w:proofErr w:type="spellEnd"/>
      <w:r w:rsidR="000450D2" w:rsidRPr="003C5866">
        <w:rPr>
          <w:rFonts w:ascii="Arial" w:hAnsi="Arial" w:cs="Arial"/>
          <w:sz w:val="20"/>
          <w:szCs w:val="20"/>
          <w:lang w:val="en-US"/>
        </w:rPr>
        <w:t>,</w:t>
      </w:r>
      <w:r w:rsidR="006322DF" w:rsidRPr="003C5866">
        <w:rPr>
          <w:rFonts w:ascii="Arial" w:hAnsi="Arial" w:cs="Arial"/>
          <w:sz w:val="20"/>
          <w:szCs w:val="20"/>
          <w:lang w:val="en-US"/>
        </w:rPr>
        <w:t xml:space="preserve"> </w:t>
      </w:r>
      <w:proofErr w:type="spellStart"/>
      <w:r w:rsidR="00586ABE" w:rsidRPr="003C5866">
        <w:rPr>
          <w:rFonts w:ascii="Arial" w:eastAsia="Calibri" w:hAnsi="Arial" w:cs="Arial"/>
          <w:i/>
          <w:iCs/>
          <w:sz w:val="20"/>
          <w:szCs w:val="20"/>
          <w:lang w:val="en-US"/>
        </w:rPr>
        <w:t>Zonocerus</w:t>
      </w:r>
      <w:proofErr w:type="spellEnd"/>
      <w:r w:rsidR="00586ABE" w:rsidRPr="003C5866">
        <w:rPr>
          <w:rFonts w:ascii="Arial" w:eastAsia="Calibri" w:hAnsi="Arial" w:cs="Arial"/>
          <w:i/>
          <w:iCs/>
          <w:sz w:val="20"/>
          <w:szCs w:val="20"/>
          <w:lang w:val="en-US"/>
        </w:rPr>
        <w:t xml:space="preserve"> variegatus,</w:t>
      </w:r>
      <w:r w:rsidR="00DD02A4" w:rsidRPr="003C5866">
        <w:rPr>
          <w:rFonts w:ascii="Arial" w:eastAsia="Calibri" w:hAnsi="Arial" w:cs="Arial"/>
          <w:i/>
          <w:iCs/>
          <w:sz w:val="20"/>
          <w:szCs w:val="20"/>
          <w:lang w:val="en-US"/>
        </w:rPr>
        <w:t xml:space="preserve"> </w:t>
      </w:r>
      <w:r w:rsidR="00365DB4" w:rsidRPr="003C5866">
        <w:rPr>
          <w:rFonts w:ascii="Arial" w:hAnsi="Arial" w:cs="Arial"/>
          <w:i/>
          <w:sz w:val="20"/>
          <w:szCs w:val="20"/>
          <w:lang w:val="en-US"/>
        </w:rPr>
        <w:t>Cosmopolitans</w:t>
      </w:r>
      <w:r w:rsidR="00DD02A4" w:rsidRPr="003C5866">
        <w:rPr>
          <w:rFonts w:ascii="Arial" w:hAnsi="Arial" w:cs="Arial"/>
          <w:i/>
          <w:sz w:val="20"/>
          <w:szCs w:val="20"/>
          <w:lang w:val="en-US"/>
        </w:rPr>
        <w:t xml:space="preserve"> sordidus</w:t>
      </w:r>
      <w:r w:rsidRPr="003C5866">
        <w:rPr>
          <w:rFonts w:ascii="Arial" w:hAnsi="Arial" w:cs="Arial"/>
          <w:sz w:val="20"/>
          <w:szCs w:val="20"/>
          <w:lang w:val="en-US"/>
        </w:rPr>
        <w:t>) were obtained</w:t>
      </w:r>
      <w:r w:rsidR="006322DF" w:rsidRPr="003C5866">
        <w:rPr>
          <w:rFonts w:ascii="Arial" w:hAnsi="Arial" w:cs="Arial"/>
          <w:sz w:val="20"/>
          <w:szCs w:val="20"/>
          <w:lang w:val="en-US"/>
        </w:rPr>
        <w:t xml:space="preserve"> from the living organism b</w:t>
      </w:r>
      <w:r w:rsidRPr="003C5866">
        <w:rPr>
          <w:rFonts w:ascii="Arial" w:hAnsi="Arial" w:cs="Arial"/>
          <w:sz w:val="20"/>
          <w:szCs w:val="20"/>
          <w:lang w:val="en-US"/>
        </w:rPr>
        <w:t>ank of the Laboratory of Phytoprotection and Valorization of Genetic Resources, Nkolbisson Biotechnology Centre.</w:t>
      </w:r>
    </w:p>
    <w:p w14:paraId="2322391B" w14:textId="77777777" w:rsidR="002378C8" w:rsidRPr="003C5866" w:rsidRDefault="00FC296B" w:rsidP="00DD02A4">
      <w:pPr>
        <w:spacing w:line="360" w:lineRule="auto"/>
        <w:jc w:val="both"/>
        <w:rPr>
          <w:rFonts w:ascii="Arial" w:hAnsi="Arial" w:cs="Arial"/>
          <w:sz w:val="20"/>
          <w:szCs w:val="20"/>
          <w:lang w:val="en-US"/>
        </w:rPr>
      </w:pPr>
      <w:r w:rsidRPr="003C5866">
        <w:rPr>
          <w:rFonts w:ascii="Arial" w:hAnsi="Arial" w:cs="Arial"/>
          <w:sz w:val="20"/>
          <w:szCs w:val="20"/>
          <w:lang w:val="en-US"/>
        </w:rPr>
        <w:lastRenderedPageBreak/>
        <w:t xml:space="preserve">Chemical pesticides used as positive controls (C+) included </w:t>
      </w:r>
      <w:proofErr w:type="spellStart"/>
      <w:r w:rsidRPr="003C5866">
        <w:rPr>
          <w:rFonts w:ascii="Arial" w:hAnsi="Arial" w:cs="Arial"/>
          <w:sz w:val="20"/>
          <w:szCs w:val="20"/>
          <w:lang w:val="en-US"/>
        </w:rPr>
        <w:t>Penncozeb</w:t>
      </w:r>
      <w:proofErr w:type="spellEnd"/>
      <w:r w:rsidRPr="003C5866">
        <w:rPr>
          <w:rFonts w:ascii="Arial" w:hAnsi="Arial" w:cs="Arial"/>
          <w:sz w:val="20"/>
          <w:szCs w:val="20"/>
          <w:lang w:val="en-US"/>
        </w:rPr>
        <w:t xml:space="preserve"> 80 WP (contact fungicide), </w:t>
      </w:r>
      <w:proofErr w:type="spellStart"/>
      <w:r w:rsidRPr="003C5866">
        <w:rPr>
          <w:rFonts w:ascii="Arial" w:hAnsi="Arial" w:cs="Arial"/>
          <w:sz w:val="20"/>
          <w:szCs w:val="20"/>
          <w:lang w:val="en-US"/>
        </w:rPr>
        <w:t>Livozeb</w:t>
      </w:r>
      <w:proofErr w:type="spellEnd"/>
      <w:r w:rsidRPr="003C5866">
        <w:rPr>
          <w:rFonts w:ascii="Arial" w:hAnsi="Arial" w:cs="Arial"/>
          <w:sz w:val="20"/>
          <w:szCs w:val="20"/>
          <w:lang w:val="en-US"/>
        </w:rPr>
        <w:t xml:space="preserve"> (bactericide), </w:t>
      </w:r>
      <w:proofErr w:type="spellStart"/>
      <w:r w:rsidRPr="003C5866">
        <w:rPr>
          <w:rFonts w:ascii="Arial" w:hAnsi="Arial" w:cs="Arial"/>
          <w:sz w:val="20"/>
          <w:szCs w:val="20"/>
          <w:lang w:val="en-US"/>
        </w:rPr>
        <w:t>Furadan</w:t>
      </w:r>
      <w:proofErr w:type="spellEnd"/>
      <w:r w:rsidRPr="003C5866">
        <w:rPr>
          <w:rFonts w:ascii="Arial" w:hAnsi="Arial" w:cs="Arial"/>
          <w:sz w:val="20"/>
          <w:szCs w:val="20"/>
          <w:lang w:val="en-US"/>
        </w:rPr>
        <w:t xml:space="preserve"> 15 (nematicide) and </w:t>
      </w:r>
      <w:proofErr w:type="spellStart"/>
      <w:r w:rsidRPr="003C5866">
        <w:rPr>
          <w:rFonts w:ascii="Arial" w:hAnsi="Arial" w:cs="Arial"/>
          <w:sz w:val="20"/>
          <w:szCs w:val="20"/>
          <w:lang w:val="en-US"/>
        </w:rPr>
        <w:t>Parforce</w:t>
      </w:r>
      <w:proofErr w:type="spellEnd"/>
      <w:r w:rsidRPr="003C5866">
        <w:rPr>
          <w:rFonts w:ascii="Arial" w:hAnsi="Arial" w:cs="Arial"/>
          <w:sz w:val="20"/>
          <w:szCs w:val="20"/>
          <w:lang w:val="en-US"/>
        </w:rPr>
        <w:t xml:space="preserve"> 720 EC (insecticide).</w:t>
      </w:r>
    </w:p>
    <w:p w14:paraId="72F575EE" w14:textId="77777777" w:rsidR="00FC296B" w:rsidRPr="003C5866" w:rsidRDefault="00DD02A4" w:rsidP="00DD02A4">
      <w:pPr>
        <w:pStyle w:val="Heading2"/>
        <w:spacing w:after="0" w:afterAutospacing="0" w:line="480" w:lineRule="auto"/>
        <w:rPr>
          <w:rFonts w:ascii="Arial" w:hAnsi="Arial" w:cs="Arial"/>
          <w:sz w:val="22"/>
          <w:szCs w:val="20"/>
        </w:rPr>
      </w:pPr>
      <w:r w:rsidRPr="00AF0BA6">
        <w:rPr>
          <w:rFonts w:ascii="Arial" w:hAnsi="Arial" w:cs="Arial"/>
          <w:sz w:val="22"/>
          <w:szCs w:val="20"/>
        </w:rPr>
        <w:t>2.2</w:t>
      </w:r>
      <w:r w:rsidR="006322DF" w:rsidRPr="00AF0BA6">
        <w:rPr>
          <w:rFonts w:ascii="Arial" w:hAnsi="Arial" w:cs="Arial"/>
          <w:sz w:val="22"/>
          <w:szCs w:val="20"/>
        </w:rPr>
        <w:t xml:space="preserve"> Production of plant </w:t>
      </w:r>
      <w:r w:rsidR="00FC296B" w:rsidRPr="00AF0BA6">
        <w:rPr>
          <w:rFonts w:ascii="Arial" w:hAnsi="Arial" w:cs="Arial"/>
          <w:sz w:val="22"/>
          <w:szCs w:val="20"/>
        </w:rPr>
        <w:t>based biopesticides</w:t>
      </w:r>
    </w:p>
    <w:p w14:paraId="4DBA2358" w14:textId="3A4A785B" w:rsidR="0084325B" w:rsidRDefault="00FC296B" w:rsidP="00ED2148">
      <w:pPr>
        <w:autoSpaceDE w:val="0"/>
        <w:autoSpaceDN w:val="0"/>
        <w:adjustRightInd w:val="0"/>
        <w:spacing w:after="0" w:line="360" w:lineRule="auto"/>
        <w:contextualSpacing/>
        <w:jc w:val="both"/>
        <w:rPr>
          <w:rFonts w:ascii="Arial" w:hAnsi="Arial" w:cs="Arial"/>
          <w:sz w:val="20"/>
          <w:szCs w:val="20"/>
          <w:lang w:val="en-US"/>
        </w:rPr>
      </w:pPr>
      <w:r w:rsidRPr="003C5866">
        <w:rPr>
          <w:rFonts w:ascii="Arial" w:hAnsi="Arial" w:cs="Arial"/>
          <w:sz w:val="20"/>
          <w:szCs w:val="20"/>
          <w:lang w:val="en-US"/>
        </w:rPr>
        <w:t xml:space="preserve">The biopesticides were prepared according to the protocol described by </w:t>
      </w:r>
      <w:proofErr w:type="spellStart"/>
      <w:r w:rsidR="00EF56A4">
        <w:rPr>
          <w:rFonts w:ascii="Arial" w:hAnsi="Arial" w:cs="Arial"/>
          <w:sz w:val="20"/>
          <w:szCs w:val="20"/>
          <w:lang w:val="en-US"/>
        </w:rPr>
        <w:t>Ewane</w:t>
      </w:r>
      <w:proofErr w:type="spellEnd"/>
      <w:r w:rsidRPr="003C5866">
        <w:rPr>
          <w:rFonts w:ascii="Arial" w:hAnsi="Arial" w:cs="Arial"/>
          <w:sz w:val="20"/>
          <w:szCs w:val="20"/>
          <w:lang w:val="en-US"/>
        </w:rPr>
        <w:t xml:space="preserve"> </w:t>
      </w:r>
      <w:r w:rsidRPr="003C5866">
        <w:rPr>
          <w:rFonts w:ascii="Arial" w:hAnsi="Arial" w:cs="Arial"/>
          <w:i/>
          <w:sz w:val="20"/>
          <w:szCs w:val="20"/>
          <w:lang w:val="en-US"/>
        </w:rPr>
        <w:t>et al</w:t>
      </w:r>
      <w:r w:rsidRPr="003C5866">
        <w:rPr>
          <w:rFonts w:ascii="Arial" w:hAnsi="Arial" w:cs="Arial"/>
          <w:sz w:val="20"/>
          <w:szCs w:val="20"/>
          <w:lang w:val="en-US"/>
        </w:rPr>
        <w:t>. (2020). The proportions and combinations of plants used in their production are presented in Table 1. Fresh leaves and stems of selected plants were weighed according to defined ratios and placed in digesters equipped with aeration systems at a concentration of 100 g/L of water. The mixtures were fermented for two weeks. The resulting product was then fil</w:t>
      </w:r>
      <w:r w:rsidR="00A6498A" w:rsidRPr="003C5866">
        <w:rPr>
          <w:rFonts w:ascii="Arial" w:hAnsi="Arial" w:cs="Arial"/>
          <w:sz w:val="20"/>
          <w:szCs w:val="20"/>
          <w:lang w:val="en-US"/>
        </w:rPr>
        <w:t xml:space="preserve">tered and stored in appropriate </w:t>
      </w:r>
      <w:r w:rsidRPr="003C5866">
        <w:rPr>
          <w:rFonts w:ascii="Arial" w:hAnsi="Arial" w:cs="Arial"/>
          <w:sz w:val="20"/>
          <w:szCs w:val="20"/>
          <w:lang w:val="en-US"/>
        </w:rPr>
        <w:t>containers. Four plant-based biopesticides we</w:t>
      </w:r>
      <w:r w:rsidR="00DD02A4" w:rsidRPr="003C5866">
        <w:rPr>
          <w:rFonts w:ascii="Arial" w:hAnsi="Arial" w:cs="Arial"/>
          <w:sz w:val="20"/>
          <w:szCs w:val="20"/>
          <w:lang w:val="en-US"/>
        </w:rPr>
        <w:t>re thus obtained</w:t>
      </w:r>
      <w:r w:rsidR="004E55CC">
        <w:rPr>
          <w:rFonts w:ascii="Arial" w:hAnsi="Arial" w:cs="Arial"/>
          <w:sz w:val="20"/>
          <w:szCs w:val="20"/>
          <w:lang w:val="en-US"/>
        </w:rPr>
        <w:t xml:space="preserve"> </w:t>
      </w:r>
      <w:r w:rsidR="00AF0BA6">
        <w:rPr>
          <w:rFonts w:ascii="Arial" w:hAnsi="Arial" w:cs="Arial"/>
          <w:sz w:val="20"/>
          <w:szCs w:val="20"/>
          <w:lang w:val="en-US"/>
        </w:rPr>
        <w:t>i.e.,</w:t>
      </w:r>
      <w:r w:rsidR="00DD02A4" w:rsidRPr="003C5866">
        <w:rPr>
          <w:rFonts w:ascii="Arial" w:hAnsi="Arial" w:cs="Arial"/>
          <w:sz w:val="20"/>
          <w:szCs w:val="20"/>
          <w:lang w:val="en-US"/>
        </w:rPr>
        <w:t xml:space="preserve"> BP1, BP2, BP3</w:t>
      </w:r>
      <w:r w:rsidRPr="003C5866">
        <w:rPr>
          <w:rFonts w:ascii="Arial" w:hAnsi="Arial" w:cs="Arial"/>
          <w:sz w:val="20"/>
          <w:szCs w:val="20"/>
          <w:lang w:val="en-US"/>
        </w:rPr>
        <w:t xml:space="preserve"> and BP4.</w:t>
      </w:r>
    </w:p>
    <w:p w14:paraId="78EAD8C8" w14:textId="77777777" w:rsidR="00ED2148" w:rsidRPr="003C5866" w:rsidRDefault="00ED2148" w:rsidP="00ED2148">
      <w:pPr>
        <w:autoSpaceDE w:val="0"/>
        <w:autoSpaceDN w:val="0"/>
        <w:adjustRightInd w:val="0"/>
        <w:spacing w:after="0" w:line="360" w:lineRule="auto"/>
        <w:contextualSpacing/>
        <w:jc w:val="both"/>
        <w:rPr>
          <w:rFonts w:ascii="Arial" w:hAnsi="Arial" w:cs="Arial"/>
          <w:sz w:val="20"/>
          <w:szCs w:val="20"/>
          <w:lang w:val="en-US"/>
        </w:rPr>
      </w:pPr>
    </w:p>
    <w:p w14:paraId="648B6D7C" w14:textId="77777777" w:rsidR="00900BEA" w:rsidRDefault="0055579E" w:rsidP="00855452">
      <w:pPr>
        <w:tabs>
          <w:tab w:val="left" w:pos="1134"/>
        </w:tabs>
        <w:spacing w:after="0" w:line="480" w:lineRule="auto"/>
        <w:contextualSpacing/>
        <w:jc w:val="both"/>
        <w:rPr>
          <w:rFonts w:ascii="Arial" w:eastAsia="Arial" w:hAnsi="Arial" w:cs="Arial"/>
          <w:b/>
          <w:bCs/>
          <w:sz w:val="20"/>
          <w:szCs w:val="20"/>
          <w:lang w:val="en-US" w:eastAsia="fr-FR"/>
        </w:rPr>
      </w:pPr>
      <w:r w:rsidRPr="00ED2148">
        <w:rPr>
          <w:rFonts w:ascii="Arial" w:eastAsia="Arial" w:hAnsi="Arial" w:cs="Arial"/>
          <w:b/>
          <w:bCs/>
          <w:sz w:val="20"/>
          <w:szCs w:val="20"/>
          <w:lang w:val="en-US" w:eastAsia="fr-FR"/>
        </w:rPr>
        <w:t>Table 1.</w:t>
      </w:r>
      <w:r w:rsidR="00A6498A" w:rsidRPr="00ED2148">
        <w:rPr>
          <w:rFonts w:ascii="Arial" w:eastAsia="Arial" w:hAnsi="Arial" w:cs="Arial"/>
          <w:b/>
          <w:bCs/>
          <w:sz w:val="20"/>
          <w:szCs w:val="20"/>
          <w:lang w:val="en-US" w:eastAsia="fr-FR"/>
        </w:rPr>
        <w:t xml:space="preserve"> </w:t>
      </w:r>
      <w:r w:rsidR="00900BEA" w:rsidRPr="00ED2148">
        <w:rPr>
          <w:rFonts w:ascii="Arial" w:eastAsia="Arial" w:hAnsi="Arial" w:cs="Arial"/>
          <w:b/>
          <w:bCs/>
          <w:sz w:val="20"/>
          <w:szCs w:val="20"/>
          <w:lang w:val="en-US" w:eastAsia="fr-FR"/>
        </w:rPr>
        <w:t>Proportions and combinations of plants used in the production of different biopesticides.</w:t>
      </w:r>
    </w:p>
    <w:p w14:paraId="53F41F90" w14:textId="77777777" w:rsidR="008C4586" w:rsidRPr="008C4586" w:rsidRDefault="008C4586" w:rsidP="008C4586">
      <w:pPr>
        <w:tabs>
          <w:tab w:val="left" w:pos="1134"/>
        </w:tabs>
        <w:spacing w:after="0" w:line="240" w:lineRule="auto"/>
        <w:contextualSpacing/>
        <w:jc w:val="both"/>
        <w:rPr>
          <w:rFonts w:ascii="Arial" w:eastAsia="Arial" w:hAnsi="Arial" w:cs="Arial"/>
          <w:b/>
          <w:bCs/>
          <w:sz w:val="10"/>
          <w:szCs w:val="10"/>
          <w:lang w:val="en-US" w:eastAsia="fr-FR"/>
        </w:rPr>
      </w:pPr>
    </w:p>
    <w:tbl>
      <w:tblPr>
        <w:tblStyle w:val="TableGrid"/>
        <w:tblW w:w="0" w:type="auto"/>
        <w:jc w:val="center"/>
        <w:tblLook w:val="04A0" w:firstRow="1" w:lastRow="0" w:firstColumn="1" w:lastColumn="0" w:noHBand="0" w:noVBand="1"/>
      </w:tblPr>
      <w:tblGrid>
        <w:gridCol w:w="3544"/>
        <w:gridCol w:w="1113"/>
        <w:gridCol w:w="1217"/>
        <w:gridCol w:w="1217"/>
        <w:gridCol w:w="1385"/>
      </w:tblGrid>
      <w:tr w:rsidR="00243B6E" w:rsidRPr="003C5866" w14:paraId="0F9C6E3A" w14:textId="77777777" w:rsidTr="0055579E">
        <w:trPr>
          <w:trHeight w:val="380"/>
          <w:jc w:val="center"/>
        </w:trPr>
        <w:tc>
          <w:tcPr>
            <w:tcW w:w="3544" w:type="dxa"/>
            <w:tcBorders>
              <w:top w:val="single" w:sz="18" w:space="0" w:color="auto"/>
              <w:left w:val="nil"/>
              <w:tl2br w:val="single" w:sz="4" w:space="0" w:color="auto"/>
            </w:tcBorders>
            <w:vAlign w:val="bottom"/>
          </w:tcPr>
          <w:p w14:paraId="576BB845" w14:textId="77777777" w:rsidR="005F4D69" w:rsidRPr="003C5866" w:rsidRDefault="005F4D69" w:rsidP="00DD02A4">
            <w:pPr>
              <w:tabs>
                <w:tab w:val="left" w:pos="1134"/>
              </w:tabs>
              <w:spacing w:line="480" w:lineRule="auto"/>
              <w:contextualSpacing/>
              <w:jc w:val="both"/>
              <w:rPr>
                <w:rFonts w:ascii="Arial" w:eastAsia="Arial" w:hAnsi="Arial" w:cs="Arial"/>
                <w:bCs/>
                <w:sz w:val="20"/>
                <w:szCs w:val="20"/>
                <w:lang w:eastAsia="fr-FR"/>
              </w:rPr>
            </w:pPr>
            <w:r w:rsidRPr="003C5866">
              <w:rPr>
                <w:rFonts w:ascii="Arial" w:eastAsia="Arial" w:hAnsi="Arial" w:cs="Arial"/>
                <w:bCs/>
                <w:sz w:val="20"/>
                <w:szCs w:val="20"/>
                <w:lang w:val="en-US" w:eastAsia="fr-FR"/>
              </w:rPr>
              <w:t xml:space="preserve">                                  </w:t>
            </w:r>
            <w:r w:rsidRPr="003C5866">
              <w:rPr>
                <w:rFonts w:ascii="Arial" w:eastAsia="Arial" w:hAnsi="Arial" w:cs="Arial"/>
                <w:bCs/>
                <w:sz w:val="20"/>
                <w:szCs w:val="20"/>
                <w:lang w:eastAsia="fr-FR"/>
              </w:rPr>
              <w:t>Plant biopesticides (%)</w:t>
            </w:r>
          </w:p>
        </w:tc>
        <w:tc>
          <w:tcPr>
            <w:tcW w:w="1113" w:type="dxa"/>
            <w:tcBorders>
              <w:top w:val="single" w:sz="18" w:space="0" w:color="auto"/>
            </w:tcBorders>
          </w:tcPr>
          <w:p w14:paraId="5A890A8D" w14:textId="77777777" w:rsidR="005F4D69" w:rsidRPr="003C5866" w:rsidRDefault="005F4D69" w:rsidP="00DD02A4">
            <w:pPr>
              <w:tabs>
                <w:tab w:val="left" w:pos="1134"/>
              </w:tabs>
              <w:spacing w:line="480" w:lineRule="auto"/>
              <w:contextualSpacing/>
              <w:jc w:val="both"/>
              <w:rPr>
                <w:rFonts w:ascii="Arial" w:eastAsia="Arial" w:hAnsi="Arial" w:cs="Arial"/>
                <w:bCs/>
                <w:sz w:val="20"/>
                <w:szCs w:val="20"/>
                <w:lang w:eastAsia="fr-FR"/>
              </w:rPr>
            </w:pPr>
            <w:r w:rsidRPr="003C5866">
              <w:rPr>
                <w:rFonts w:ascii="Arial" w:eastAsia="Arial" w:hAnsi="Arial" w:cs="Arial"/>
                <w:bCs/>
                <w:sz w:val="20"/>
                <w:szCs w:val="20"/>
                <w:lang w:eastAsia="fr-FR"/>
              </w:rPr>
              <w:t>BP1</w:t>
            </w:r>
          </w:p>
        </w:tc>
        <w:tc>
          <w:tcPr>
            <w:tcW w:w="1217" w:type="dxa"/>
            <w:tcBorders>
              <w:top w:val="single" w:sz="18" w:space="0" w:color="auto"/>
            </w:tcBorders>
          </w:tcPr>
          <w:p w14:paraId="5666BB1B" w14:textId="77777777" w:rsidR="005F4D69" w:rsidRPr="003C5866" w:rsidRDefault="005F4D69" w:rsidP="00DD02A4">
            <w:pPr>
              <w:tabs>
                <w:tab w:val="left" w:pos="1134"/>
              </w:tabs>
              <w:spacing w:line="480" w:lineRule="auto"/>
              <w:contextualSpacing/>
              <w:jc w:val="both"/>
              <w:rPr>
                <w:rFonts w:ascii="Arial" w:eastAsia="Arial" w:hAnsi="Arial" w:cs="Arial"/>
                <w:bCs/>
                <w:sz w:val="20"/>
                <w:szCs w:val="20"/>
                <w:lang w:eastAsia="fr-FR"/>
              </w:rPr>
            </w:pPr>
            <w:r w:rsidRPr="003C5866">
              <w:rPr>
                <w:rFonts w:ascii="Arial" w:eastAsia="Arial" w:hAnsi="Arial" w:cs="Arial"/>
                <w:bCs/>
                <w:sz w:val="20"/>
                <w:szCs w:val="20"/>
                <w:lang w:eastAsia="fr-FR"/>
              </w:rPr>
              <w:t>BP2</w:t>
            </w:r>
          </w:p>
        </w:tc>
        <w:tc>
          <w:tcPr>
            <w:tcW w:w="1217" w:type="dxa"/>
            <w:tcBorders>
              <w:top w:val="single" w:sz="18" w:space="0" w:color="auto"/>
            </w:tcBorders>
          </w:tcPr>
          <w:p w14:paraId="3E24ECA0" w14:textId="77777777" w:rsidR="005F4D69" w:rsidRPr="003C5866" w:rsidRDefault="005F4D69" w:rsidP="00DD02A4">
            <w:pPr>
              <w:tabs>
                <w:tab w:val="left" w:pos="1134"/>
              </w:tabs>
              <w:spacing w:line="480" w:lineRule="auto"/>
              <w:contextualSpacing/>
              <w:jc w:val="both"/>
              <w:rPr>
                <w:rFonts w:ascii="Arial" w:eastAsia="Arial" w:hAnsi="Arial" w:cs="Arial"/>
                <w:bCs/>
                <w:sz w:val="20"/>
                <w:szCs w:val="20"/>
                <w:lang w:eastAsia="fr-FR"/>
              </w:rPr>
            </w:pPr>
            <w:r w:rsidRPr="003C5866">
              <w:rPr>
                <w:rFonts w:ascii="Arial" w:eastAsia="Arial" w:hAnsi="Arial" w:cs="Arial"/>
                <w:bCs/>
                <w:sz w:val="20"/>
                <w:szCs w:val="20"/>
                <w:lang w:eastAsia="fr-FR"/>
              </w:rPr>
              <w:t>BP3</w:t>
            </w:r>
          </w:p>
        </w:tc>
        <w:tc>
          <w:tcPr>
            <w:tcW w:w="1385" w:type="dxa"/>
            <w:tcBorders>
              <w:top w:val="single" w:sz="18" w:space="0" w:color="auto"/>
              <w:right w:val="nil"/>
            </w:tcBorders>
          </w:tcPr>
          <w:p w14:paraId="29968C98" w14:textId="77777777" w:rsidR="005F4D69" w:rsidRPr="003C5866" w:rsidRDefault="005F4D69" w:rsidP="00DD02A4">
            <w:pPr>
              <w:tabs>
                <w:tab w:val="left" w:pos="1134"/>
              </w:tabs>
              <w:spacing w:line="480" w:lineRule="auto"/>
              <w:contextualSpacing/>
              <w:jc w:val="both"/>
              <w:rPr>
                <w:rFonts w:ascii="Arial" w:eastAsia="Arial" w:hAnsi="Arial" w:cs="Arial"/>
                <w:bCs/>
                <w:sz w:val="20"/>
                <w:szCs w:val="20"/>
                <w:lang w:eastAsia="fr-FR"/>
              </w:rPr>
            </w:pPr>
            <w:r w:rsidRPr="003C5866">
              <w:rPr>
                <w:rFonts w:ascii="Arial" w:eastAsia="Arial" w:hAnsi="Arial" w:cs="Arial"/>
                <w:bCs/>
                <w:sz w:val="20"/>
                <w:szCs w:val="20"/>
                <w:lang w:eastAsia="fr-FR"/>
              </w:rPr>
              <w:t>BP4</w:t>
            </w:r>
          </w:p>
        </w:tc>
      </w:tr>
      <w:tr w:rsidR="00243B6E" w:rsidRPr="003C5866" w14:paraId="04088A3A" w14:textId="77777777" w:rsidTr="0055579E">
        <w:trPr>
          <w:trHeight w:val="395"/>
          <w:jc w:val="center"/>
        </w:trPr>
        <w:tc>
          <w:tcPr>
            <w:tcW w:w="3544" w:type="dxa"/>
            <w:tcBorders>
              <w:left w:val="nil"/>
            </w:tcBorders>
          </w:tcPr>
          <w:p w14:paraId="7F3D53B9" w14:textId="77777777" w:rsidR="005F4D69" w:rsidRPr="003C5866" w:rsidRDefault="006B7833" w:rsidP="00DD02A4">
            <w:pPr>
              <w:tabs>
                <w:tab w:val="left" w:pos="1134"/>
              </w:tabs>
              <w:spacing w:line="480" w:lineRule="auto"/>
              <w:contextualSpacing/>
              <w:jc w:val="both"/>
              <w:rPr>
                <w:rFonts w:ascii="Arial" w:eastAsia="Arial" w:hAnsi="Arial" w:cs="Arial"/>
                <w:bCs/>
                <w:sz w:val="20"/>
                <w:szCs w:val="20"/>
                <w:lang w:eastAsia="fr-FR"/>
              </w:rPr>
            </w:pPr>
            <w:r w:rsidRPr="003C5866">
              <w:rPr>
                <w:rFonts w:ascii="Arial" w:eastAsia="Arial" w:hAnsi="Arial" w:cs="Arial"/>
                <w:bCs/>
                <w:i/>
                <w:sz w:val="20"/>
                <w:szCs w:val="20"/>
                <w:lang w:eastAsia="fr-FR"/>
              </w:rPr>
              <w:t>Tithonia diversifolia</w:t>
            </w:r>
          </w:p>
        </w:tc>
        <w:tc>
          <w:tcPr>
            <w:tcW w:w="1113" w:type="dxa"/>
          </w:tcPr>
          <w:p w14:paraId="6EC1EA4C" w14:textId="77777777" w:rsidR="005F4D69" w:rsidRPr="003C5866" w:rsidRDefault="00620D52" w:rsidP="00DD02A4">
            <w:pPr>
              <w:tabs>
                <w:tab w:val="left" w:pos="1134"/>
              </w:tabs>
              <w:spacing w:line="480" w:lineRule="auto"/>
              <w:contextualSpacing/>
              <w:jc w:val="both"/>
              <w:rPr>
                <w:rFonts w:ascii="Arial" w:eastAsia="Arial" w:hAnsi="Arial" w:cs="Arial"/>
                <w:bCs/>
                <w:sz w:val="20"/>
                <w:szCs w:val="20"/>
                <w:lang w:eastAsia="fr-FR"/>
              </w:rPr>
            </w:pPr>
            <w:r w:rsidRPr="003C5866">
              <w:rPr>
                <w:rFonts w:ascii="Arial" w:eastAsia="Arial" w:hAnsi="Arial" w:cs="Arial"/>
                <w:bCs/>
                <w:sz w:val="20"/>
                <w:szCs w:val="20"/>
                <w:lang w:eastAsia="fr-FR"/>
              </w:rPr>
              <w:t>50</w:t>
            </w:r>
          </w:p>
        </w:tc>
        <w:tc>
          <w:tcPr>
            <w:tcW w:w="1217" w:type="dxa"/>
          </w:tcPr>
          <w:p w14:paraId="20465CD3" w14:textId="77777777" w:rsidR="005F4D69" w:rsidRPr="003C5866" w:rsidRDefault="007B1F83" w:rsidP="00DD02A4">
            <w:pPr>
              <w:tabs>
                <w:tab w:val="left" w:pos="1134"/>
              </w:tabs>
              <w:spacing w:line="480" w:lineRule="auto"/>
              <w:contextualSpacing/>
              <w:jc w:val="both"/>
              <w:rPr>
                <w:rFonts w:ascii="Arial" w:eastAsia="Arial" w:hAnsi="Arial" w:cs="Arial"/>
                <w:bCs/>
                <w:sz w:val="20"/>
                <w:szCs w:val="20"/>
                <w:lang w:eastAsia="fr-FR"/>
              </w:rPr>
            </w:pPr>
            <w:r w:rsidRPr="003C5866">
              <w:rPr>
                <w:rFonts w:ascii="Arial" w:eastAsia="Arial" w:hAnsi="Arial" w:cs="Arial"/>
                <w:bCs/>
                <w:sz w:val="20"/>
                <w:szCs w:val="20"/>
                <w:lang w:eastAsia="fr-FR"/>
              </w:rPr>
              <w:t>-</w:t>
            </w:r>
          </w:p>
        </w:tc>
        <w:tc>
          <w:tcPr>
            <w:tcW w:w="1217" w:type="dxa"/>
          </w:tcPr>
          <w:p w14:paraId="4663BDD4" w14:textId="77777777" w:rsidR="005F4D69" w:rsidRPr="003C5866" w:rsidRDefault="008029E7" w:rsidP="00DD02A4">
            <w:pPr>
              <w:tabs>
                <w:tab w:val="left" w:pos="1134"/>
              </w:tabs>
              <w:spacing w:line="480" w:lineRule="auto"/>
              <w:contextualSpacing/>
              <w:jc w:val="both"/>
              <w:rPr>
                <w:rFonts w:ascii="Arial" w:eastAsia="Arial" w:hAnsi="Arial" w:cs="Arial"/>
                <w:bCs/>
                <w:sz w:val="20"/>
                <w:szCs w:val="20"/>
                <w:lang w:eastAsia="fr-FR"/>
              </w:rPr>
            </w:pPr>
            <w:r w:rsidRPr="003C5866">
              <w:rPr>
                <w:rFonts w:ascii="Arial" w:eastAsia="Arial" w:hAnsi="Arial" w:cs="Arial"/>
                <w:bCs/>
                <w:sz w:val="20"/>
                <w:szCs w:val="20"/>
                <w:lang w:eastAsia="fr-FR"/>
              </w:rPr>
              <w:t>50</w:t>
            </w:r>
          </w:p>
        </w:tc>
        <w:tc>
          <w:tcPr>
            <w:tcW w:w="1385" w:type="dxa"/>
            <w:tcBorders>
              <w:right w:val="nil"/>
            </w:tcBorders>
          </w:tcPr>
          <w:p w14:paraId="7B764A2D" w14:textId="77777777" w:rsidR="005F4D69" w:rsidRPr="003C5866" w:rsidRDefault="008029E7" w:rsidP="00DD02A4">
            <w:pPr>
              <w:tabs>
                <w:tab w:val="left" w:pos="1134"/>
              </w:tabs>
              <w:spacing w:line="480" w:lineRule="auto"/>
              <w:contextualSpacing/>
              <w:jc w:val="both"/>
              <w:rPr>
                <w:rFonts w:ascii="Arial" w:eastAsia="Arial" w:hAnsi="Arial" w:cs="Arial"/>
                <w:bCs/>
                <w:sz w:val="20"/>
                <w:szCs w:val="20"/>
                <w:lang w:eastAsia="fr-FR"/>
              </w:rPr>
            </w:pPr>
            <w:r w:rsidRPr="003C5866">
              <w:rPr>
                <w:rFonts w:ascii="Arial" w:eastAsia="Arial" w:hAnsi="Arial" w:cs="Arial"/>
                <w:bCs/>
                <w:sz w:val="20"/>
                <w:szCs w:val="20"/>
                <w:lang w:eastAsia="fr-FR"/>
              </w:rPr>
              <w:t>-</w:t>
            </w:r>
          </w:p>
        </w:tc>
      </w:tr>
      <w:tr w:rsidR="00243B6E" w:rsidRPr="003C5866" w14:paraId="5A9CDAE4" w14:textId="77777777" w:rsidTr="0055579E">
        <w:trPr>
          <w:trHeight w:val="380"/>
          <w:jc w:val="center"/>
        </w:trPr>
        <w:tc>
          <w:tcPr>
            <w:tcW w:w="3544" w:type="dxa"/>
            <w:tcBorders>
              <w:left w:val="nil"/>
            </w:tcBorders>
          </w:tcPr>
          <w:p w14:paraId="56AB7982" w14:textId="77777777" w:rsidR="005F4D69" w:rsidRPr="003C5866" w:rsidRDefault="0055579E" w:rsidP="00DD02A4">
            <w:pPr>
              <w:tabs>
                <w:tab w:val="left" w:pos="1134"/>
              </w:tabs>
              <w:spacing w:line="480" w:lineRule="auto"/>
              <w:contextualSpacing/>
              <w:jc w:val="both"/>
              <w:rPr>
                <w:rFonts w:ascii="Arial" w:eastAsia="Arial" w:hAnsi="Arial" w:cs="Arial"/>
                <w:bCs/>
                <w:i/>
                <w:sz w:val="20"/>
                <w:szCs w:val="20"/>
                <w:lang w:eastAsia="fr-FR"/>
              </w:rPr>
            </w:pPr>
            <w:r w:rsidRPr="003C5866">
              <w:rPr>
                <w:rFonts w:ascii="Arial" w:eastAsia="Arial" w:hAnsi="Arial" w:cs="Arial"/>
                <w:bCs/>
                <w:i/>
                <w:sz w:val="20"/>
                <w:szCs w:val="20"/>
                <w:lang w:eastAsia="fr-FR"/>
              </w:rPr>
              <w:t>Emilia coccinea</w:t>
            </w:r>
          </w:p>
        </w:tc>
        <w:tc>
          <w:tcPr>
            <w:tcW w:w="1113" w:type="dxa"/>
          </w:tcPr>
          <w:p w14:paraId="0B61510A" w14:textId="77777777" w:rsidR="005F4D69" w:rsidRPr="003C5866" w:rsidRDefault="008029E7" w:rsidP="00DD02A4">
            <w:pPr>
              <w:tabs>
                <w:tab w:val="left" w:pos="1134"/>
              </w:tabs>
              <w:spacing w:line="480" w:lineRule="auto"/>
              <w:contextualSpacing/>
              <w:jc w:val="both"/>
              <w:rPr>
                <w:rFonts w:ascii="Arial" w:eastAsia="Arial" w:hAnsi="Arial" w:cs="Arial"/>
                <w:bCs/>
                <w:sz w:val="20"/>
                <w:szCs w:val="20"/>
                <w:lang w:eastAsia="fr-FR"/>
              </w:rPr>
            </w:pPr>
            <w:r w:rsidRPr="003C5866">
              <w:rPr>
                <w:rFonts w:ascii="Arial" w:eastAsia="Arial" w:hAnsi="Arial" w:cs="Arial"/>
                <w:bCs/>
                <w:sz w:val="20"/>
                <w:szCs w:val="20"/>
                <w:lang w:eastAsia="fr-FR"/>
              </w:rPr>
              <w:t>-</w:t>
            </w:r>
          </w:p>
        </w:tc>
        <w:tc>
          <w:tcPr>
            <w:tcW w:w="1217" w:type="dxa"/>
          </w:tcPr>
          <w:p w14:paraId="2F6E93D2" w14:textId="77777777" w:rsidR="005F4D69" w:rsidRPr="003C5866" w:rsidRDefault="008029E7" w:rsidP="00DD02A4">
            <w:pPr>
              <w:tabs>
                <w:tab w:val="left" w:pos="1134"/>
              </w:tabs>
              <w:spacing w:line="480" w:lineRule="auto"/>
              <w:contextualSpacing/>
              <w:jc w:val="both"/>
              <w:rPr>
                <w:rFonts w:ascii="Arial" w:eastAsia="Arial" w:hAnsi="Arial" w:cs="Arial"/>
                <w:bCs/>
                <w:sz w:val="20"/>
                <w:szCs w:val="20"/>
                <w:lang w:eastAsia="fr-FR"/>
              </w:rPr>
            </w:pPr>
            <w:r w:rsidRPr="003C5866">
              <w:rPr>
                <w:rFonts w:ascii="Arial" w:eastAsia="Arial" w:hAnsi="Arial" w:cs="Arial"/>
                <w:bCs/>
                <w:sz w:val="20"/>
                <w:szCs w:val="20"/>
                <w:lang w:eastAsia="fr-FR"/>
              </w:rPr>
              <w:t>50</w:t>
            </w:r>
          </w:p>
        </w:tc>
        <w:tc>
          <w:tcPr>
            <w:tcW w:w="1217" w:type="dxa"/>
          </w:tcPr>
          <w:p w14:paraId="4029B90E" w14:textId="77777777" w:rsidR="005F4D69" w:rsidRPr="003C5866" w:rsidRDefault="007B1F83" w:rsidP="00DD02A4">
            <w:pPr>
              <w:tabs>
                <w:tab w:val="left" w:pos="1134"/>
              </w:tabs>
              <w:spacing w:line="480" w:lineRule="auto"/>
              <w:contextualSpacing/>
              <w:jc w:val="both"/>
              <w:rPr>
                <w:rFonts w:ascii="Arial" w:eastAsia="Arial" w:hAnsi="Arial" w:cs="Arial"/>
                <w:bCs/>
                <w:sz w:val="20"/>
                <w:szCs w:val="20"/>
                <w:lang w:eastAsia="fr-FR"/>
              </w:rPr>
            </w:pPr>
            <w:r w:rsidRPr="003C5866">
              <w:rPr>
                <w:rFonts w:ascii="Arial" w:eastAsia="Arial" w:hAnsi="Arial" w:cs="Arial"/>
                <w:bCs/>
                <w:sz w:val="20"/>
                <w:szCs w:val="20"/>
                <w:lang w:eastAsia="fr-FR"/>
              </w:rPr>
              <w:t>-</w:t>
            </w:r>
          </w:p>
        </w:tc>
        <w:tc>
          <w:tcPr>
            <w:tcW w:w="1385" w:type="dxa"/>
            <w:tcBorders>
              <w:right w:val="nil"/>
            </w:tcBorders>
          </w:tcPr>
          <w:p w14:paraId="1BAD18CB" w14:textId="77777777" w:rsidR="005F4D69" w:rsidRPr="003C5866" w:rsidRDefault="008029E7" w:rsidP="00DD02A4">
            <w:pPr>
              <w:tabs>
                <w:tab w:val="left" w:pos="1134"/>
              </w:tabs>
              <w:spacing w:line="480" w:lineRule="auto"/>
              <w:contextualSpacing/>
              <w:jc w:val="both"/>
              <w:rPr>
                <w:rFonts w:ascii="Arial" w:eastAsia="Arial" w:hAnsi="Arial" w:cs="Arial"/>
                <w:bCs/>
                <w:sz w:val="20"/>
                <w:szCs w:val="20"/>
                <w:lang w:eastAsia="fr-FR"/>
              </w:rPr>
            </w:pPr>
            <w:r w:rsidRPr="003C5866">
              <w:rPr>
                <w:rFonts w:ascii="Arial" w:eastAsia="Arial" w:hAnsi="Arial" w:cs="Arial"/>
                <w:bCs/>
                <w:sz w:val="20"/>
                <w:szCs w:val="20"/>
                <w:lang w:eastAsia="fr-FR"/>
              </w:rPr>
              <w:t>50</w:t>
            </w:r>
          </w:p>
        </w:tc>
      </w:tr>
      <w:tr w:rsidR="00243B6E" w:rsidRPr="003C5866" w14:paraId="3F982461" w14:textId="77777777" w:rsidTr="0055579E">
        <w:trPr>
          <w:trHeight w:val="395"/>
          <w:jc w:val="center"/>
        </w:trPr>
        <w:tc>
          <w:tcPr>
            <w:tcW w:w="3544" w:type="dxa"/>
            <w:tcBorders>
              <w:left w:val="nil"/>
            </w:tcBorders>
          </w:tcPr>
          <w:p w14:paraId="4E86510B" w14:textId="77777777" w:rsidR="005F4D69" w:rsidRPr="003C5866" w:rsidRDefault="006B7833" w:rsidP="00DD02A4">
            <w:pPr>
              <w:tabs>
                <w:tab w:val="left" w:pos="1134"/>
              </w:tabs>
              <w:spacing w:line="480" w:lineRule="auto"/>
              <w:contextualSpacing/>
              <w:jc w:val="both"/>
              <w:rPr>
                <w:rFonts w:ascii="Arial" w:eastAsia="Arial" w:hAnsi="Arial" w:cs="Arial"/>
                <w:bCs/>
                <w:i/>
                <w:sz w:val="20"/>
                <w:szCs w:val="20"/>
                <w:lang w:eastAsia="fr-FR"/>
              </w:rPr>
            </w:pPr>
            <w:r w:rsidRPr="003C5866">
              <w:rPr>
                <w:rFonts w:ascii="Arial" w:eastAsia="Arial" w:hAnsi="Arial" w:cs="Arial"/>
                <w:bCs/>
                <w:i/>
                <w:sz w:val="20"/>
                <w:szCs w:val="20"/>
                <w:lang w:eastAsia="fr-FR"/>
              </w:rPr>
              <w:t xml:space="preserve">Vernonia </w:t>
            </w:r>
            <w:proofErr w:type="spellStart"/>
            <w:r w:rsidRPr="003C5866">
              <w:rPr>
                <w:rFonts w:ascii="Arial" w:eastAsia="Arial" w:hAnsi="Arial" w:cs="Arial"/>
                <w:bCs/>
                <w:i/>
                <w:sz w:val="20"/>
                <w:szCs w:val="20"/>
                <w:lang w:eastAsia="fr-FR"/>
              </w:rPr>
              <w:t>amygdalina</w:t>
            </w:r>
            <w:proofErr w:type="spellEnd"/>
          </w:p>
        </w:tc>
        <w:tc>
          <w:tcPr>
            <w:tcW w:w="1113" w:type="dxa"/>
          </w:tcPr>
          <w:p w14:paraId="11DFE246" w14:textId="77777777" w:rsidR="005F4D69" w:rsidRPr="003C5866" w:rsidRDefault="007B1F83" w:rsidP="00DD02A4">
            <w:pPr>
              <w:tabs>
                <w:tab w:val="left" w:pos="1134"/>
              </w:tabs>
              <w:spacing w:line="480" w:lineRule="auto"/>
              <w:contextualSpacing/>
              <w:jc w:val="both"/>
              <w:rPr>
                <w:rFonts w:ascii="Arial" w:eastAsia="Arial" w:hAnsi="Arial" w:cs="Arial"/>
                <w:bCs/>
                <w:sz w:val="20"/>
                <w:szCs w:val="20"/>
                <w:lang w:eastAsia="fr-FR"/>
              </w:rPr>
            </w:pPr>
            <w:r w:rsidRPr="003C5866">
              <w:rPr>
                <w:rFonts w:ascii="Arial" w:eastAsia="Arial" w:hAnsi="Arial" w:cs="Arial"/>
                <w:bCs/>
                <w:sz w:val="20"/>
                <w:szCs w:val="20"/>
                <w:lang w:eastAsia="fr-FR"/>
              </w:rPr>
              <w:t>30</w:t>
            </w:r>
          </w:p>
        </w:tc>
        <w:tc>
          <w:tcPr>
            <w:tcW w:w="1217" w:type="dxa"/>
          </w:tcPr>
          <w:p w14:paraId="54F851A6" w14:textId="77777777" w:rsidR="005F4D69" w:rsidRPr="003C5866" w:rsidRDefault="008029E7" w:rsidP="00DD02A4">
            <w:pPr>
              <w:tabs>
                <w:tab w:val="left" w:pos="1134"/>
              </w:tabs>
              <w:spacing w:line="480" w:lineRule="auto"/>
              <w:contextualSpacing/>
              <w:jc w:val="both"/>
              <w:rPr>
                <w:rFonts w:ascii="Arial" w:eastAsia="Arial" w:hAnsi="Arial" w:cs="Arial"/>
                <w:bCs/>
                <w:sz w:val="20"/>
                <w:szCs w:val="20"/>
                <w:lang w:eastAsia="fr-FR"/>
              </w:rPr>
            </w:pPr>
            <w:r w:rsidRPr="003C5866">
              <w:rPr>
                <w:rFonts w:ascii="Arial" w:eastAsia="Arial" w:hAnsi="Arial" w:cs="Arial"/>
                <w:bCs/>
                <w:sz w:val="20"/>
                <w:szCs w:val="20"/>
                <w:lang w:eastAsia="fr-FR"/>
              </w:rPr>
              <w:t>30</w:t>
            </w:r>
          </w:p>
        </w:tc>
        <w:tc>
          <w:tcPr>
            <w:tcW w:w="1217" w:type="dxa"/>
          </w:tcPr>
          <w:p w14:paraId="55612C50" w14:textId="77777777" w:rsidR="005F4D69" w:rsidRPr="003C5866" w:rsidRDefault="008029E7" w:rsidP="00DD02A4">
            <w:pPr>
              <w:tabs>
                <w:tab w:val="left" w:pos="1134"/>
              </w:tabs>
              <w:spacing w:line="480" w:lineRule="auto"/>
              <w:contextualSpacing/>
              <w:jc w:val="both"/>
              <w:rPr>
                <w:rFonts w:ascii="Arial" w:eastAsia="Arial" w:hAnsi="Arial" w:cs="Arial"/>
                <w:bCs/>
                <w:sz w:val="20"/>
                <w:szCs w:val="20"/>
                <w:lang w:eastAsia="fr-FR"/>
              </w:rPr>
            </w:pPr>
            <w:r w:rsidRPr="003C5866">
              <w:rPr>
                <w:rFonts w:ascii="Arial" w:eastAsia="Arial" w:hAnsi="Arial" w:cs="Arial"/>
                <w:bCs/>
                <w:sz w:val="20"/>
                <w:szCs w:val="20"/>
                <w:lang w:eastAsia="fr-FR"/>
              </w:rPr>
              <w:t>-</w:t>
            </w:r>
          </w:p>
        </w:tc>
        <w:tc>
          <w:tcPr>
            <w:tcW w:w="1385" w:type="dxa"/>
            <w:tcBorders>
              <w:right w:val="nil"/>
            </w:tcBorders>
          </w:tcPr>
          <w:p w14:paraId="0BEDDF31" w14:textId="77777777" w:rsidR="005F4D69" w:rsidRPr="003C5866" w:rsidRDefault="008029E7" w:rsidP="00DD02A4">
            <w:pPr>
              <w:tabs>
                <w:tab w:val="left" w:pos="1134"/>
              </w:tabs>
              <w:spacing w:line="480" w:lineRule="auto"/>
              <w:contextualSpacing/>
              <w:jc w:val="both"/>
              <w:rPr>
                <w:rFonts w:ascii="Arial" w:eastAsia="Arial" w:hAnsi="Arial" w:cs="Arial"/>
                <w:bCs/>
                <w:sz w:val="20"/>
                <w:szCs w:val="20"/>
                <w:lang w:eastAsia="fr-FR"/>
              </w:rPr>
            </w:pPr>
            <w:r w:rsidRPr="003C5866">
              <w:rPr>
                <w:rFonts w:ascii="Arial" w:eastAsia="Arial" w:hAnsi="Arial" w:cs="Arial"/>
                <w:bCs/>
                <w:sz w:val="20"/>
                <w:szCs w:val="20"/>
                <w:lang w:eastAsia="fr-FR"/>
              </w:rPr>
              <w:t>-</w:t>
            </w:r>
          </w:p>
        </w:tc>
      </w:tr>
      <w:tr w:rsidR="00243B6E" w:rsidRPr="003C5866" w14:paraId="41128AD2" w14:textId="77777777" w:rsidTr="0055579E">
        <w:trPr>
          <w:trHeight w:val="395"/>
          <w:jc w:val="center"/>
        </w:trPr>
        <w:tc>
          <w:tcPr>
            <w:tcW w:w="3544" w:type="dxa"/>
            <w:tcBorders>
              <w:left w:val="nil"/>
              <w:bottom w:val="single" w:sz="4" w:space="0" w:color="auto"/>
            </w:tcBorders>
          </w:tcPr>
          <w:p w14:paraId="4AB88550" w14:textId="77777777" w:rsidR="005F4D69" w:rsidRPr="003C5866" w:rsidRDefault="006B7833" w:rsidP="00DD02A4">
            <w:pPr>
              <w:tabs>
                <w:tab w:val="left" w:pos="1134"/>
              </w:tabs>
              <w:spacing w:line="480" w:lineRule="auto"/>
              <w:contextualSpacing/>
              <w:jc w:val="both"/>
              <w:rPr>
                <w:rFonts w:ascii="Arial" w:eastAsia="Arial" w:hAnsi="Arial" w:cs="Arial"/>
                <w:bCs/>
                <w:i/>
                <w:sz w:val="20"/>
                <w:szCs w:val="20"/>
                <w:lang w:eastAsia="fr-FR"/>
              </w:rPr>
            </w:pPr>
            <w:r w:rsidRPr="003C5866">
              <w:rPr>
                <w:rFonts w:ascii="Arial" w:eastAsia="Arial" w:hAnsi="Arial" w:cs="Arial"/>
                <w:bCs/>
                <w:i/>
                <w:sz w:val="20"/>
                <w:szCs w:val="20"/>
                <w:lang w:eastAsia="fr-FR"/>
              </w:rPr>
              <w:t xml:space="preserve">Aloe </w:t>
            </w:r>
            <w:proofErr w:type="spellStart"/>
            <w:r w:rsidRPr="003C5866">
              <w:rPr>
                <w:rFonts w:ascii="Arial" w:eastAsia="Arial" w:hAnsi="Arial" w:cs="Arial"/>
                <w:bCs/>
                <w:i/>
                <w:sz w:val="20"/>
                <w:szCs w:val="20"/>
                <w:lang w:eastAsia="fr-FR"/>
              </w:rPr>
              <w:t>barbadensis</w:t>
            </w:r>
            <w:proofErr w:type="spellEnd"/>
          </w:p>
        </w:tc>
        <w:tc>
          <w:tcPr>
            <w:tcW w:w="1113" w:type="dxa"/>
          </w:tcPr>
          <w:p w14:paraId="23DF335E" w14:textId="77777777" w:rsidR="005F4D69" w:rsidRPr="003C5866" w:rsidRDefault="007B1F83" w:rsidP="00DD02A4">
            <w:pPr>
              <w:tabs>
                <w:tab w:val="left" w:pos="1134"/>
              </w:tabs>
              <w:spacing w:line="480" w:lineRule="auto"/>
              <w:contextualSpacing/>
              <w:jc w:val="both"/>
              <w:rPr>
                <w:rFonts w:ascii="Arial" w:eastAsia="Arial" w:hAnsi="Arial" w:cs="Arial"/>
                <w:bCs/>
                <w:sz w:val="20"/>
                <w:szCs w:val="20"/>
                <w:lang w:eastAsia="fr-FR"/>
              </w:rPr>
            </w:pPr>
            <w:r w:rsidRPr="003C5866">
              <w:rPr>
                <w:rFonts w:ascii="Arial" w:eastAsia="Arial" w:hAnsi="Arial" w:cs="Arial"/>
                <w:bCs/>
                <w:sz w:val="20"/>
                <w:szCs w:val="20"/>
                <w:lang w:eastAsia="fr-FR"/>
              </w:rPr>
              <w:t>20</w:t>
            </w:r>
          </w:p>
        </w:tc>
        <w:tc>
          <w:tcPr>
            <w:tcW w:w="1217" w:type="dxa"/>
          </w:tcPr>
          <w:p w14:paraId="44C266CE" w14:textId="77777777" w:rsidR="005F4D69" w:rsidRPr="003C5866" w:rsidRDefault="008029E7" w:rsidP="00DD02A4">
            <w:pPr>
              <w:tabs>
                <w:tab w:val="left" w:pos="1134"/>
              </w:tabs>
              <w:spacing w:line="480" w:lineRule="auto"/>
              <w:contextualSpacing/>
              <w:jc w:val="both"/>
              <w:rPr>
                <w:rFonts w:ascii="Arial" w:eastAsia="Arial" w:hAnsi="Arial" w:cs="Arial"/>
                <w:bCs/>
                <w:sz w:val="20"/>
                <w:szCs w:val="20"/>
                <w:lang w:eastAsia="fr-FR"/>
              </w:rPr>
            </w:pPr>
            <w:r w:rsidRPr="003C5866">
              <w:rPr>
                <w:rFonts w:ascii="Arial" w:eastAsia="Arial" w:hAnsi="Arial" w:cs="Arial"/>
                <w:bCs/>
                <w:sz w:val="20"/>
                <w:szCs w:val="20"/>
                <w:lang w:eastAsia="fr-FR"/>
              </w:rPr>
              <w:t>-</w:t>
            </w:r>
          </w:p>
        </w:tc>
        <w:tc>
          <w:tcPr>
            <w:tcW w:w="1217" w:type="dxa"/>
          </w:tcPr>
          <w:p w14:paraId="70EEB584" w14:textId="77777777" w:rsidR="005F4D69" w:rsidRPr="003C5866" w:rsidRDefault="008029E7" w:rsidP="00DD02A4">
            <w:pPr>
              <w:tabs>
                <w:tab w:val="left" w:pos="1134"/>
              </w:tabs>
              <w:spacing w:line="480" w:lineRule="auto"/>
              <w:contextualSpacing/>
              <w:jc w:val="both"/>
              <w:rPr>
                <w:rFonts w:ascii="Arial" w:eastAsia="Arial" w:hAnsi="Arial" w:cs="Arial"/>
                <w:bCs/>
                <w:sz w:val="20"/>
                <w:szCs w:val="20"/>
                <w:lang w:eastAsia="fr-FR"/>
              </w:rPr>
            </w:pPr>
            <w:r w:rsidRPr="003C5866">
              <w:rPr>
                <w:rFonts w:ascii="Arial" w:eastAsia="Arial" w:hAnsi="Arial" w:cs="Arial"/>
                <w:bCs/>
                <w:sz w:val="20"/>
                <w:szCs w:val="20"/>
                <w:lang w:eastAsia="fr-FR"/>
              </w:rPr>
              <w:t>20</w:t>
            </w:r>
          </w:p>
        </w:tc>
        <w:tc>
          <w:tcPr>
            <w:tcW w:w="1385" w:type="dxa"/>
            <w:tcBorders>
              <w:right w:val="nil"/>
            </w:tcBorders>
          </w:tcPr>
          <w:p w14:paraId="10B66A23" w14:textId="77777777" w:rsidR="005F4D69" w:rsidRPr="003C5866" w:rsidRDefault="008029E7" w:rsidP="00DD02A4">
            <w:pPr>
              <w:tabs>
                <w:tab w:val="left" w:pos="1134"/>
              </w:tabs>
              <w:spacing w:line="480" w:lineRule="auto"/>
              <w:contextualSpacing/>
              <w:jc w:val="both"/>
              <w:rPr>
                <w:rFonts w:ascii="Arial" w:eastAsia="Arial" w:hAnsi="Arial" w:cs="Arial"/>
                <w:bCs/>
                <w:sz w:val="20"/>
                <w:szCs w:val="20"/>
                <w:lang w:eastAsia="fr-FR"/>
              </w:rPr>
            </w:pPr>
            <w:r w:rsidRPr="003C5866">
              <w:rPr>
                <w:rFonts w:ascii="Arial" w:eastAsia="Arial" w:hAnsi="Arial" w:cs="Arial"/>
                <w:bCs/>
                <w:sz w:val="20"/>
                <w:szCs w:val="20"/>
                <w:lang w:eastAsia="fr-FR"/>
              </w:rPr>
              <w:t>30</w:t>
            </w:r>
          </w:p>
        </w:tc>
      </w:tr>
      <w:tr w:rsidR="006B7833" w:rsidRPr="003C5866" w14:paraId="2449EF9F" w14:textId="77777777" w:rsidTr="0055579E">
        <w:trPr>
          <w:trHeight w:val="380"/>
          <w:jc w:val="center"/>
        </w:trPr>
        <w:tc>
          <w:tcPr>
            <w:tcW w:w="3544" w:type="dxa"/>
            <w:tcBorders>
              <w:left w:val="nil"/>
              <w:bottom w:val="single" w:sz="18" w:space="0" w:color="auto"/>
            </w:tcBorders>
          </w:tcPr>
          <w:p w14:paraId="7F64666A" w14:textId="77777777" w:rsidR="006B7833" w:rsidRPr="003C5866" w:rsidRDefault="006B7833" w:rsidP="00DD02A4">
            <w:pPr>
              <w:tabs>
                <w:tab w:val="left" w:pos="1134"/>
              </w:tabs>
              <w:spacing w:line="480" w:lineRule="auto"/>
              <w:contextualSpacing/>
              <w:jc w:val="both"/>
              <w:rPr>
                <w:rFonts w:ascii="Arial" w:eastAsia="Arial" w:hAnsi="Arial" w:cs="Arial"/>
                <w:bCs/>
                <w:i/>
                <w:sz w:val="20"/>
                <w:szCs w:val="20"/>
                <w:lang w:eastAsia="fr-FR"/>
              </w:rPr>
            </w:pPr>
            <w:proofErr w:type="spellStart"/>
            <w:r w:rsidRPr="003C5866">
              <w:rPr>
                <w:rFonts w:ascii="Arial" w:eastAsia="Arial" w:hAnsi="Arial" w:cs="Arial"/>
                <w:bCs/>
                <w:i/>
                <w:sz w:val="20"/>
                <w:szCs w:val="20"/>
                <w:lang w:eastAsia="fr-FR"/>
              </w:rPr>
              <w:t>Cymbopogon</w:t>
            </w:r>
            <w:proofErr w:type="spellEnd"/>
            <w:r w:rsidRPr="003C5866">
              <w:rPr>
                <w:rFonts w:ascii="Arial" w:eastAsia="Arial" w:hAnsi="Arial" w:cs="Arial"/>
                <w:bCs/>
                <w:i/>
                <w:sz w:val="20"/>
                <w:szCs w:val="20"/>
                <w:lang w:eastAsia="fr-FR"/>
              </w:rPr>
              <w:t xml:space="preserve"> </w:t>
            </w:r>
            <w:proofErr w:type="spellStart"/>
            <w:r w:rsidRPr="003C5866">
              <w:rPr>
                <w:rFonts w:ascii="Arial" w:eastAsia="Arial" w:hAnsi="Arial" w:cs="Arial"/>
                <w:bCs/>
                <w:i/>
                <w:sz w:val="20"/>
                <w:szCs w:val="20"/>
                <w:lang w:eastAsia="fr-FR"/>
              </w:rPr>
              <w:t>citratus</w:t>
            </w:r>
            <w:proofErr w:type="spellEnd"/>
          </w:p>
        </w:tc>
        <w:tc>
          <w:tcPr>
            <w:tcW w:w="1113" w:type="dxa"/>
            <w:tcBorders>
              <w:bottom w:val="single" w:sz="18" w:space="0" w:color="auto"/>
            </w:tcBorders>
          </w:tcPr>
          <w:p w14:paraId="49B9DF54" w14:textId="77777777" w:rsidR="006B7833" w:rsidRPr="003C5866" w:rsidRDefault="008029E7" w:rsidP="00DD02A4">
            <w:pPr>
              <w:tabs>
                <w:tab w:val="left" w:pos="1134"/>
              </w:tabs>
              <w:spacing w:line="480" w:lineRule="auto"/>
              <w:contextualSpacing/>
              <w:jc w:val="both"/>
              <w:rPr>
                <w:rFonts w:ascii="Arial" w:eastAsia="Arial" w:hAnsi="Arial" w:cs="Arial"/>
                <w:bCs/>
                <w:sz w:val="20"/>
                <w:szCs w:val="20"/>
                <w:lang w:eastAsia="fr-FR"/>
              </w:rPr>
            </w:pPr>
            <w:r w:rsidRPr="003C5866">
              <w:rPr>
                <w:rFonts w:ascii="Arial" w:eastAsia="Arial" w:hAnsi="Arial" w:cs="Arial"/>
                <w:bCs/>
                <w:sz w:val="20"/>
                <w:szCs w:val="20"/>
                <w:lang w:eastAsia="fr-FR"/>
              </w:rPr>
              <w:t>-</w:t>
            </w:r>
          </w:p>
        </w:tc>
        <w:tc>
          <w:tcPr>
            <w:tcW w:w="1217" w:type="dxa"/>
            <w:tcBorders>
              <w:bottom w:val="single" w:sz="18" w:space="0" w:color="auto"/>
            </w:tcBorders>
          </w:tcPr>
          <w:p w14:paraId="7AB965DD" w14:textId="77777777" w:rsidR="006B7833" w:rsidRPr="003C5866" w:rsidRDefault="008029E7" w:rsidP="00DD02A4">
            <w:pPr>
              <w:tabs>
                <w:tab w:val="left" w:pos="1134"/>
              </w:tabs>
              <w:spacing w:line="480" w:lineRule="auto"/>
              <w:contextualSpacing/>
              <w:jc w:val="both"/>
              <w:rPr>
                <w:rFonts w:ascii="Arial" w:eastAsia="Arial" w:hAnsi="Arial" w:cs="Arial"/>
                <w:bCs/>
                <w:sz w:val="20"/>
                <w:szCs w:val="20"/>
                <w:lang w:eastAsia="fr-FR"/>
              </w:rPr>
            </w:pPr>
            <w:r w:rsidRPr="003C5866">
              <w:rPr>
                <w:rFonts w:ascii="Arial" w:eastAsia="Arial" w:hAnsi="Arial" w:cs="Arial"/>
                <w:bCs/>
                <w:sz w:val="20"/>
                <w:szCs w:val="20"/>
                <w:lang w:eastAsia="fr-FR"/>
              </w:rPr>
              <w:t>20</w:t>
            </w:r>
          </w:p>
        </w:tc>
        <w:tc>
          <w:tcPr>
            <w:tcW w:w="1217" w:type="dxa"/>
            <w:tcBorders>
              <w:bottom w:val="single" w:sz="18" w:space="0" w:color="auto"/>
            </w:tcBorders>
          </w:tcPr>
          <w:p w14:paraId="3585D303" w14:textId="77777777" w:rsidR="006B7833" w:rsidRPr="003C5866" w:rsidRDefault="008029E7" w:rsidP="00DD02A4">
            <w:pPr>
              <w:tabs>
                <w:tab w:val="left" w:pos="1134"/>
              </w:tabs>
              <w:spacing w:line="480" w:lineRule="auto"/>
              <w:contextualSpacing/>
              <w:jc w:val="both"/>
              <w:rPr>
                <w:rFonts w:ascii="Arial" w:eastAsia="Arial" w:hAnsi="Arial" w:cs="Arial"/>
                <w:bCs/>
                <w:sz w:val="20"/>
                <w:szCs w:val="20"/>
                <w:lang w:eastAsia="fr-FR"/>
              </w:rPr>
            </w:pPr>
            <w:r w:rsidRPr="003C5866">
              <w:rPr>
                <w:rFonts w:ascii="Arial" w:eastAsia="Arial" w:hAnsi="Arial" w:cs="Arial"/>
                <w:bCs/>
                <w:sz w:val="20"/>
                <w:szCs w:val="20"/>
                <w:lang w:eastAsia="fr-FR"/>
              </w:rPr>
              <w:t>30</w:t>
            </w:r>
          </w:p>
        </w:tc>
        <w:tc>
          <w:tcPr>
            <w:tcW w:w="1385" w:type="dxa"/>
            <w:tcBorders>
              <w:bottom w:val="single" w:sz="18" w:space="0" w:color="auto"/>
              <w:right w:val="nil"/>
            </w:tcBorders>
          </w:tcPr>
          <w:p w14:paraId="69FCDA27" w14:textId="77777777" w:rsidR="006B7833" w:rsidRPr="003C5866" w:rsidRDefault="008029E7" w:rsidP="00DD02A4">
            <w:pPr>
              <w:tabs>
                <w:tab w:val="left" w:pos="1134"/>
              </w:tabs>
              <w:spacing w:line="480" w:lineRule="auto"/>
              <w:contextualSpacing/>
              <w:jc w:val="both"/>
              <w:rPr>
                <w:rFonts w:ascii="Arial" w:eastAsia="Arial" w:hAnsi="Arial" w:cs="Arial"/>
                <w:bCs/>
                <w:sz w:val="20"/>
                <w:szCs w:val="20"/>
                <w:lang w:eastAsia="fr-FR"/>
              </w:rPr>
            </w:pPr>
            <w:r w:rsidRPr="003C5866">
              <w:rPr>
                <w:rFonts w:ascii="Arial" w:eastAsia="Arial" w:hAnsi="Arial" w:cs="Arial"/>
                <w:bCs/>
                <w:sz w:val="20"/>
                <w:szCs w:val="20"/>
                <w:lang w:eastAsia="fr-FR"/>
              </w:rPr>
              <w:t>20</w:t>
            </w:r>
          </w:p>
        </w:tc>
      </w:tr>
    </w:tbl>
    <w:p w14:paraId="437A7E5A" w14:textId="77777777" w:rsidR="00855452" w:rsidRDefault="00855452" w:rsidP="00DD02A4">
      <w:pPr>
        <w:pStyle w:val="ListParagraph"/>
        <w:tabs>
          <w:tab w:val="left" w:pos="1134"/>
        </w:tabs>
        <w:spacing w:after="0" w:line="480" w:lineRule="auto"/>
        <w:ind w:left="0"/>
        <w:rPr>
          <w:rFonts w:ascii="Arial" w:eastAsia="Arial" w:hAnsi="Arial" w:cs="Arial"/>
          <w:b/>
          <w:bCs/>
          <w:szCs w:val="20"/>
          <w:lang w:val="en-US" w:eastAsia="fr-FR"/>
        </w:rPr>
      </w:pPr>
    </w:p>
    <w:p w14:paraId="4D4E297F" w14:textId="77777777" w:rsidR="00CE0B81" w:rsidRPr="003C5866" w:rsidRDefault="00DD02A4" w:rsidP="00DD02A4">
      <w:pPr>
        <w:pStyle w:val="ListParagraph"/>
        <w:tabs>
          <w:tab w:val="left" w:pos="1134"/>
        </w:tabs>
        <w:spacing w:after="0" w:line="480" w:lineRule="auto"/>
        <w:ind w:left="0"/>
        <w:rPr>
          <w:rFonts w:ascii="Arial" w:eastAsia="Arial" w:hAnsi="Arial" w:cs="Arial"/>
          <w:bCs/>
          <w:szCs w:val="20"/>
          <w:lang w:val="en-US" w:eastAsia="fr-FR"/>
        </w:rPr>
      </w:pPr>
      <w:r w:rsidRPr="003C5866">
        <w:rPr>
          <w:rFonts w:ascii="Arial" w:eastAsia="Arial" w:hAnsi="Arial" w:cs="Arial"/>
          <w:b/>
          <w:bCs/>
          <w:szCs w:val="20"/>
          <w:lang w:val="en-US" w:eastAsia="fr-FR"/>
        </w:rPr>
        <w:t>2.3</w:t>
      </w:r>
      <w:r w:rsidR="00CE0B81" w:rsidRPr="003C5866">
        <w:rPr>
          <w:rFonts w:ascii="Arial" w:eastAsia="Arial" w:hAnsi="Arial" w:cs="Arial"/>
          <w:b/>
          <w:bCs/>
          <w:szCs w:val="20"/>
          <w:lang w:val="en-US" w:eastAsia="fr-FR"/>
        </w:rPr>
        <w:t xml:space="preserve"> Evaluation of the antifungal effect of biopesticides</w:t>
      </w:r>
    </w:p>
    <w:p w14:paraId="4A9ACF11" w14:textId="77777777" w:rsidR="007971BE" w:rsidRPr="003C5866" w:rsidRDefault="00586ABE" w:rsidP="00DD02A4">
      <w:pPr>
        <w:tabs>
          <w:tab w:val="left" w:pos="567"/>
          <w:tab w:val="left" w:pos="1122"/>
        </w:tabs>
        <w:spacing w:line="360" w:lineRule="auto"/>
        <w:contextualSpacing/>
        <w:jc w:val="both"/>
        <w:rPr>
          <w:rFonts w:ascii="Arial" w:eastAsia="Arial" w:hAnsi="Arial" w:cs="Arial"/>
          <w:b/>
          <w:bCs/>
          <w:sz w:val="20"/>
          <w:szCs w:val="20"/>
          <w:lang w:val="en-US" w:eastAsia="fr-FR"/>
        </w:rPr>
      </w:pPr>
      <w:r w:rsidRPr="003C5866">
        <w:rPr>
          <w:rFonts w:ascii="Arial" w:hAnsi="Arial" w:cs="Arial"/>
          <w:sz w:val="20"/>
          <w:szCs w:val="20"/>
          <w:lang w:val="en-US"/>
        </w:rPr>
        <w:t xml:space="preserve">The antifungal effect of plant-based biopesticides was evaluated on the growth of </w:t>
      </w:r>
      <w:r w:rsidRPr="003C5866">
        <w:rPr>
          <w:rFonts w:ascii="Arial" w:hAnsi="Arial" w:cs="Arial"/>
          <w:i/>
          <w:sz w:val="20"/>
          <w:szCs w:val="20"/>
          <w:lang w:val="en-US"/>
        </w:rPr>
        <w:t>Aspergillus flavus</w:t>
      </w:r>
      <w:r w:rsidRPr="003C5866">
        <w:rPr>
          <w:rFonts w:ascii="Arial" w:hAnsi="Arial" w:cs="Arial"/>
          <w:sz w:val="20"/>
          <w:szCs w:val="20"/>
          <w:lang w:val="en-US"/>
        </w:rPr>
        <w:t xml:space="preserve"> and</w:t>
      </w:r>
      <w:r w:rsidRPr="003C5866">
        <w:rPr>
          <w:rFonts w:ascii="Arial" w:hAnsi="Arial" w:cs="Arial"/>
          <w:i/>
          <w:sz w:val="20"/>
          <w:szCs w:val="20"/>
          <w:lang w:val="en-US"/>
        </w:rPr>
        <w:t xml:space="preserve"> Fusarium </w:t>
      </w:r>
      <w:r w:rsidRPr="003C5866">
        <w:rPr>
          <w:rFonts w:ascii="Arial" w:hAnsi="Arial" w:cs="Arial"/>
          <w:sz w:val="20"/>
          <w:szCs w:val="20"/>
          <w:lang w:val="en-US"/>
        </w:rPr>
        <w:t>spp. grown on potato dextrose agar (PDA). The method consisted of aseptically adding the biopesticides at a concentration of 5% to the PDA when its temperature reached 36 ± 2 °C after autoclaving. Th</w:t>
      </w:r>
      <w:r w:rsidR="00DD02A4" w:rsidRPr="003C5866">
        <w:rPr>
          <w:rFonts w:ascii="Arial" w:hAnsi="Arial" w:cs="Arial"/>
          <w:sz w:val="20"/>
          <w:szCs w:val="20"/>
          <w:lang w:val="en-US"/>
        </w:rPr>
        <w:t>e mixture was then poured into p</w:t>
      </w:r>
      <w:r w:rsidRPr="003C5866">
        <w:rPr>
          <w:rFonts w:ascii="Arial" w:hAnsi="Arial" w:cs="Arial"/>
          <w:sz w:val="20"/>
          <w:szCs w:val="20"/>
          <w:lang w:val="en-US"/>
        </w:rPr>
        <w:t xml:space="preserve">etri dishes. After solidification, a 5 mm mycelial disc, removed from each fungal strain using a punch and scalpel blade, was placed in the center of each Petri dish (Parveen </w:t>
      </w:r>
      <w:r w:rsidRPr="003C5866">
        <w:rPr>
          <w:rFonts w:ascii="Arial" w:hAnsi="Arial" w:cs="Arial"/>
          <w:i/>
          <w:sz w:val="20"/>
          <w:szCs w:val="20"/>
          <w:lang w:val="en-US"/>
        </w:rPr>
        <w:t>et al</w:t>
      </w:r>
      <w:r w:rsidRPr="003C5866">
        <w:rPr>
          <w:rFonts w:ascii="Arial" w:hAnsi="Arial" w:cs="Arial"/>
          <w:sz w:val="20"/>
          <w:szCs w:val="20"/>
          <w:lang w:val="en-US"/>
        </w:rPr>
        <w:t>., 2014). The control media consisted of 5% sterile distilled water (negative control) or 5% chemical fungicide (positive control). Each treatment was performed in triplicate. The dishes were incubated at room temperature under white light. Mycelial growth kinetics were evaluated daily over a period of five days (</w:t>
      </w:r>
      <w:r w:rsidRPr="003C5866">
        <w:rPr>
          <w:rFonts w:ascii="Arial" w:hAnsi="Arial" w:cs="Arial"/>
          <w:i/>
          <w:sz w:val="20"/>
          <w:szCs w:val="20"/>
          <w:lang w:val="en-US"/>
        </w:rPr>
        <w:t>Aspergillus flavus</w:t>
      </w:r>
      <w:r w:rsidRPr="003C5866">
        <w:rPr>
          <w:rFonts w:ascii="Arial" w:hAnsi="Arial" w:cs="Arial"/>
          <w:sz w:val="20"/>
          <w:szCs w:val="20"/>
          <w:lang w:val="en-US"/>
        </w:rPr>
        <w:t>) or seven days (</w:t>
      </w:r>
      <w:r w:rsidRPr="003C5866">
        <w:rPr>
          <w:rFonts w:ascii="Arial" w:hAnsi="Arial" w:cs="Arial"/>
          <w:i/>
          <w:sz w:val="20"/>
          <w:szCs w:val="20"/>
          <w:lang w:val="en-US"/>
        </w:rPr>
        <w:t>Fusarium</w:t>
      </w:r>
      <w:r w:rsidRPr="003C5866">
        <w:rPr>
          <w:rFonts w:ascii="Arial" w:hAnsi="Arial" w:cs="Arial"/>
          <w:sz w:val="20"/>
          <w:szCs w:val="20"/>
          <w:lang w:val="en-US"/>
        </w:rPr>
        <w:t xml:space="preserve"> spp.) using the following formula</w:t>
      </w:r>
      <w:r w:rsidR="00FE3F5A" w:rsidRPr="003C5866">
        <w:rPr>
          <w:rFonts w:ascii="Arial" w:eastAsia="Calibri" w:hAnsi="Arial" w:cs="Arial"/>
          <w:sz w:val="20"/>
          <w:szCs w:val="20"/>
          <w:lang w:val="en-US" w:bidi="fr-FR"/>
        </w:rPr>
        <w:t>:</w:t>
      </w:r>
    </w:p>
    <w:p w14:paraId="3006A887" w14:textId="77777777" w:rsidR="00214A9A" w:rsidRPr="00041130" w:rsidRDefault="00041130" w:rsidP="00DD02A4">
      <w:pPr>
        <w:spacing w:line="480" w:lineRule="auto"/>
        <w:contextualSpacing/>
        <w:jc w:val="both"/>
        <w:rPr>
          <w:rFonts w:ascii="Arial" w:eastAsia="Calibri" w:hAnsi="Arial" w:cs="Arial"/>
          <w:b/>
          <w:bCs/>
          <w:sz w:val="20"/>
          <w:szCs w:val="20"/>
          <w:lang w:bidi="fr-FR"/>
        </w:rPr>
      </w:pPr>
      <m:oMathPara>
        <m:oMath>
          <m:r>
            <m:rPr>
              <m:sty m:val="b"/>
            </m:rPr>
            <w:rPr>
              <w:rFonts w:ascii="Cambria Math" w:eastAsia="Calibri" w:hAnsi="Cambria Math" w:cs="Arial"/>
              <w:sz w:val="20"/>
              <w:szCs w:val="20"/>
              <w:lang w:bidi="fr-FR"/>
            </w:rPr>
            <m:t xml:space="preserve">D </m:t>
          </m:r>
          <m:d>
            <m:dPr>
              <m:ctrlPr>
                <w:rPr>
                  <w:rFonts w:ascii="Cambria Math" w:eastAsia="Calibri" w:hAnsi="Cambria Math" w:cs="Arial"/>
                  <w:b/>
                  <w:bCs/>
                  <w:sz w:val="20"/>
                  <w:szCs w:val="20"/>
                  <w:lang w:bidi="fr-FR"/>
                </w:rPr>
              </m:ctrlPr>
            </m:dPr>
            <m:e>
              <m:r>
                <m:rPr>
                  <m:sty m:val="b"/>
                </m:rPr>
                <w:rPr>
                  <w:rFonts w:ascii="Cambria Math" w:eastAsia="Calibri" w:hAnsi="Cambria Math" w:cs="Arial"/>
                  <w:sz w:val="20"/>
                  <w:szCs w:val="20"/>
                  <w:lang w:bidi="fr-FR"/>
                </w:rPr>
                <m:t>mm</m:t>
              </m:r>
            </m:e>
          </m:d>
          <m:r>
            <m:rPr>
              <m:sty m:val="bi"/>
            </m:rPr>
            <w:rPr>
              <w:rFonts w:ascii="Cambria Math" w:eastAsia="Calibri" w:hAnsi="Cambria Math" w:cs="Arial"/>
              <w:sz w:val="20"/>
              <w:szCs w:val="20"/>
              <w:lang w:bidi="fr-FR"/>
            </w:rPr>
            <m:t>=</m:t>
          </m:r>
          <m:f>
            <m:fPr>
              <m:ctrlPr>
                <w:rPr>
                  <w:rFonts w:ascii="Cambria Math" w:eastAsia="Calibri" w:hAnsi="Cambria Math" w:cs="Arial"/>
                  <w:b/>
                  <w:bCs/>
                  <w:sz w:val="20"/>
                  <w:szCs w:val="20"/>
                  <w:lang w:bidi="fr-FR"/>
                </w:rPr>
              </m:ctrlPr>
            </m:fPr>
            <m:num>
              <m:d>
                <m:dPr>
                  <m:ctrlPr>
                    <w:rPr>
                      <w:rFonts w:ascii="Cambria Math" w:eastAsia="Calibri" w:hAnsi="Cambria Math" w:cs="Arial"/>
                      <w:b/>
                      <w:bCs/>
                      <w:sz w:val="20"/>
                      <w:szCs w:val="20"/>
                      <w:lang w:bidi="fr-FR"/>
                    </w:rPr>
                  </m:ctrlPr>
                </m:dPr>
                <m:e>
                  <m:r>
                    <m:rPr>
                      <m:sty m:val="b"/>
                    </m:rPr>
                    <w:rPr>
                      <w:rFonts w:ascii="Cambria Math" w:eastAsia="Calibri" w:hAnsi="Cambria Math" w:cs="Arial"/>
                      <w:sz w:val="20"/>
                      <w:szCs w:val="20"/>
                      <w:lang w:bidi="fr-FR"/>
                    </w:rPr>
                    <m:t>d</m:t>
                  </m:r>
                  <m:r>
                    <m:rPr>
                      <m:sty m:val="bi"/>
                    </m:rPr>
                    <w:rPr>
                      <w:rFonts w:ascii="Cambria Math" w:eastAsia="Calibri" w:hAnsi="Cambria Math" w:cs="Arial"/>
                      <w:sz w:val="20"/>
                      <w:szCs w:val="20"/>
                      <w:lang w:bidi="fr-FR"/>
                    </w:rPr>
                    <m:t>1+</m:t>
                  </m:r>
                  <m:r>
                    <m:rPr>
                      <m:sty m:val="b"/>
                    </m:rPr>
                    <w:rPr>
                      <w:rFonts w:ascii="Cambria Math" w:eastAsia="Calibri" w:hAnsi="Cambria Math" w:cs="Arial"/>
                      <w:sz w:val="20"/>
                      <w:szCs w:val="20"/>
                      <w:lang w:bidi="fr-FR"/>
                    </w:rPr>
                    <m:t>d</m:t>
                  </m:r>
                  <m:r>
                    <m:rPr>
                      <m:sty m:val="bi"/>
                    </m:rPr>
                    <w:rPr>
                      <w:rFonts w:ascii="Cambria Math" w:eastAsia="Calibri" w:hAnsi="Cambria Math" w:cs="Arial"/>
                      <w:sz w:val="20"/>
                      <w:szCs w:val="20"/>
                      <w:lang w:bidi="fr-FR"/>
                    </w:rPr>
                    <m:t>2</m:t>
                  </m:r>
                </m:e>
              </m:d>
            </m:num>
            <m:den>
              <m:r>
                <m:rPr>
                  <m:sty m:val="bi"/>
                </m:rPr>
                <w:rPr>
                  <w:rFonts w:ascii="Cambria Math" w:eastAsia="Calibri" w:hAnsi="Cambria Math" w:cs="Arial"/>
                  <w:sz w:val="20"/>
                  <w:szCs w:val="20"/>
                  <w:lang w:bidi="fr-FR"/>
                </w:rPr>
                <m:t>2</m:t>
              </m:r>
            </m:den>
          </m:f>
          <m:r>
            <m:rPr>
              <m:sty m:val="bi"/>
            </m:rPr>
            <w:rPr>
              <w:rFonts w:ascii="Cambria Math" w:eastAsia="Calibri" w:hAnsi="Cambria Math" w:cs="Arial"/>
              <w:sz w:val="20"/>
              <w:szCs w:val="20"/>
              <w:lang w:bidi="fr-FR"/>
            </w:rPr>
            <m:t>-</m:t>
          </m:r>
          <m:r>
            <m:rPr>
              <m:sty m:val="b"/>
            </m:rPr>
            <w:rPr>
              <w:rFonts w:ascii="Cambria Math" w:eastAsia="Calibri" w:hAnsi="Cambria Math" w:cs="Arial"/>
              <w:sz w:val="20"/>
              <w:szCs w:val="20"/>
              <w:lang w:bidi="fr-FR"/>
            </w:rPr>
            <m:t>d</m:t>
          </m:r>
          <m:r>
            <m:rPr>
              <m:sty m:val="bi"/>
            </m:rPr>
            <w:rPr>
              <w:rFonts w:ascii="Cambria Math" w:eastAsia="Calibri" w:hAnsi="Cambria Math" w:cs="Arial"/>
              <w:sz w:val="20"/>
              <w:szCs w:val="20"/>
              <w:lang w:bidi="fr-FR"/>
            </w:rPr>
            <m:t>0</m:t>
          </m:r>
        </m:oMath>
      </m:oMathPara>
    </w:p>
    <w:p w14:paraId="0A7C055C" w14:textId="77777777" w:rsidR="00214A9A" w:rsidRPr="003C5866" w:rsidRDefault="001158FD" w:rsidP="00041130">
      <w:pPr>
        <w:spacing w:after="0" w:line="240" w:lineRule="auto"/>
        <w:ind w:left="708"/>
        <w:contextualSpacing/>
        <w:jc w:val="both"/>
        <w:rPr>
          <w:rFonts w:ascii="Arial" w:eastAsia="Calibri" w:hAnsi="Arial" w:cs="Arial"/>
          <w:sz w:val="20"/>
          <w:szCs w:val="20"/>
          <w:lang w:val="en-US" w:bidi="fr-FR"/>
        </w:rPr>
      </w:pPr>
      <w:r w:rsidRPr="00041130">
        <w:rPr>
          <w:rFonts w:ascii="Arial" w:eastAsia="Calibri" w:hAnsi="Arial" w:cs="Arial"/>
          <w:b/>
          <w:bCs/>
          <w:sz w:val="20"/>
          <w:szCs w:val="20"/>
          <w:lang w:val="en-US" w:bidi="fr-FR"/>
        </w:rPr>
        <w:t>D</w:t>
      </w:r>
      <w:r w:rsidRPr="003C5866">
        <w:rPr>
          <w:rFonts w:ascii="Arial" w:eastAsia="Calibri" w:hAnsi="Arial" w:cs="Arial"/>
          <w:sz w:val="20"/>
          <w:szCs w:val="20"/>
          <w:lang w:val="en-US" w:bidi="fr-FR"/>
        </w:rPr>
        <w:t xml:space="preserve"> (mm): mycelial growth diameter;</w:t>
      </w:r>
    </w:p>
    <w:p w14:paraId="52E64462" w14:textId="77777777" w:rsidR="0080047C" w:rsidRPr="003C5866" w:rsidRDefault="0080047C" w:rsidP="00041130">
      <w:pPr>
        <w:spacing w:after="0" w:line="240" w:lineRule="auto"/>
        <w:ind w:left="708"/>
        <w:contextualSpacing/>
        <w:jc w:val="both"/>
        <w:rPr>
          <w:rFonts w:ascii="Arial" w:eastAsia="Calibri" w:hAnsi="Arial" w:cs="Arial"/>
          <w:sz w:val="20"/>
          <w:szCs w:val="20"/>
          <w:lang w:val="en-US" w:bidi="fr-FR"/>
        </w:rPr>
      </w:pPr>
      <w:r w:rsidRPr="00041130">
        <w:rPr>
          <w:rFonts w:ascii="Arial" w:eastAsia="Calibri" w:hAnsi="Arial" w:cs="Arial"/>
          <w:b/>
          <w:bCs/>
          <w:sz w:val="20"/>
          <w:szCs w:val="20"/>
          <w:lang w:val="en-US" w:bidi="fr-FR"/>
        </w:rPr>
        <w:t>d1</w:t>
      </w:r>
      <w:r w:rsidRPr="003C5866">
        <w:rPr>
          <w:rFonts w:ascii="Arial" w:eastAsia="Calibri" w:hAnsi="Arial" w:cs="Arial"/>
          <w:sz w:val="20"/>
          <w:szCs w:val="20"/>
          <w:lang w:val="en-US" w:bidi="fr-FR"/>
        </w:rPr>
        <w:t xml:space="preserve"> and </w:t>
      </w:r>
      <w:r w:rsidRPr="00041130">
        <w:rPr>
          <w:rFonts w:ascii="Arial" w:eastAsia="Calibri" w:hAnsi="Arial" w:cs="Arial"/>
          <w:b/>
          <w:bCs/>
          <w:sz w:val="20"/>
          <w:szCs w:val="20"/>
          <w:lang w:val="en-US" w:bidi="fr-FR"/>
        </w:rPr>
        <w:t>d2</w:t>
      </w:r>
      <w:r w:rsidRPr="003C5866">
        <w:rPr>
          <w:rFonts w:ascii="Arial" w:eastAsia="Calibri" w:hAnsi="Arial" w:cs="Arial"/>
          <w:sz w:val="20"/>
          <w:szCs w:val="20"/>
          <w:lang w:val="en-US" w:bidi="fr-FR"/>
        </w:rPr>
        <w:t xml:space="preserve"> (mm)</w:t>
      </w:r>
      <w:r w:rsidR="00BD0E91">
        <w:rPr>
          <w:rFonts w:ascii="Arial" w:eastAsia="Calibri" w:hAnsi="Arial" w:cs="Arial"/>
          <w:sz w:val="20"/>
          <w:szCs w:val="20"/>
          <w:lang w:val="en-US" w:bidi="fr-FR"/>
        </w:rPr>
        <w:t xml:space="preserve">: </w:t>
      </w:r>
      <w:r w:rsidRPr="003C5866">
        <w:rPr>
          <w:rFonts w:ascii="Arial" w:eastAsia="Calibri" w:hAnsi="Arial" w:cs="Arial"/>
          <w:sz w:val="20"/>
          <w:szCs w:val="20"/>
          <w:lang w:val="en-US" w:bidi="fr-FR"/>
        </w:rPr>
        <w:t>diameters of the mycelium measured in the two perpendicular directions;</w:t>
      </w:r>
    </w:p>
    <w:p w14:paraId="66DA32A6" w14:textId="77777777" w:rsidR="006B460B" w:rsidRPr="003C5866" w:rsidRDefault="0080047C" w:rsidP="00041130">
      <w:pPr>
        <w:spacing w:after="0" w:line="240" w:lineRule="auto"/>
        <w:ind w:left="708"/>
        <w:contextualSpacing/>
        <w:jc w:val="both"/>
        <w:rPr>
          <w:rFonts w:ascii="Arial" w:eastAsia="Calibri" w:hAnsi="Arial" w:cs="Arial"/>
          <w:sz w:val="20"/>
          <w:szCs w:val="20"/>
          <w:lang w:val="en-US" w:bidi="fr-FR"/>
        </w:rPr>
      </w:pPr>
      <w:r w:rsidRPr="00041130">
        <w:rPr>
          <w:rFonts w:ascii="Arial" w:eastAsia="Calibri" w:hAnsi="Arial" w:cs="Arial"/>
          <w:b/>
          <w:bCs/>
          <w:sz w:val="20"/>
          <w:szCs w:val="20"/>
          <w:lang w:val="en-US" w:bidi="fr-FR"/>
        </w:rPr>
        <w:lastRenderedPageBreak/>
        <w:t>d0</w:t>
      </w:r>
      <w:r w:rsidRPr="003C5866">
        <w:rPr>
          <w:rFonts w:ascii="Arial" w:eastAsia="Calibri" w:hAnsi="Arial" w:cs="Arial"/>
          <w:sz w:val="20"/>
          <w:szCs w:val="20"/>
          <w:lang w:val="en-US" w:bidi="fr-FR"/>
        </w:rPr>
        <w:t xml:space="preserve"> (mm): diameter of the mycelial explant.</w:t>
      </w:r>
    </w:p>
    <w:p w14:paraId="5BD5FC58" w14:textId="77777777" w:rsidR="0001088E" w:rsidRPr="003C5866" w:rsidRDefault="0001088E" w:rsidP="00744EF2">
      <w:pPr>
        <w:spacing w:after="0" w:line="360" w:lineRule="auto"/>
        <w:contextualSpacing/>
        <w:jc w:val="both"/>
        <w:rPr>
          <w:rFonts w:ascii="Arial" w:eastAsia="Calibri" w:hAnsi="Arial" w:cs="Arial"/>
          <w:sz w:val="20"/>
          <w:szCs w:val="20"/>
          <w:lang w:val="en-US" w:bidi="fr-FR"/>
        </w:rPr>
      </w:pPr>
    </w:p>
    <w:p w14:paraId="3B3EA757" w14:textId="77777777" w:rsidR="006B460B" w:rsidRPr="003C5866" w:rsidRDefault="0001088E" w:rsidP="00744EF2">
      <w:pPr>
        <w:keepNext/>
        <w:keepLines/>
        <w:numPr>
          <w:ilvl w:val="4"/>
          <w:numId w:val="0"/>
        </w:numPr>
        <w:spacing w:after="0" w:line="480" w:lineRule="auto"/>
        <w:ind w:left="1008" w:hanging="1008"/>
        <w:outlineLvl w:val="4"/>
        <w:rPr>
          <w:rFonts w:ascii="Arial" w:eastAsia="Calibri" w:hAnsi="Arial" w:cs="Arial"/>
          <w:szCs w:val="20"/>
          <w:lang w:val="en-US"/>
        </w:rPr>
      </w:pPr>
      <w:r w:rsidRPr="003C5866">
        <w:rPr>
          <w:rFonts w:ascii="Arial" w:eastAsia="Calibri" w:hAnsi="Arial" w:cs="Arial"/>
          <w:b/>
          <w:szCs w:val="20"/>
          <w:lang w:val="en-US"/>
        </w:rPr>
        <w:t xml:space="preserve">Highlighting the </w:t>
      </w:r>
      <w:bookmarkStart w:id="0" w:name="_Toc200534450"/>
      <w:bookmarkStart w:id="1" w:name="_Toc203704635"/>
      <w:r w:rsidRPr="003C5866">
        <w:rPr>
          <w:rFonts w:ascii="Arial" w:eastAsia="Times New Roman" w:hAnsi="Arial" w:cs="Arial"/>
          <w:b/>
          <w:szCs w:val="20"/>
          <w:lang w:val="en-US"/>
        </w:rPr>
        <w:t>amylolytic</w:t>
      </w:r>
      <w:bookmarkEnd w:id="0"/>
      <w:bookmarkEnd w:id="1"/>
      <w:r w:rsidR="00C26475" w:rsidRPr="003C5866">
        <w:rPr>
          <w:rFonts w:ascii="Arial" w:eastAsia="Calibri" w:hAnsi="Arial" w:cs="Arial"/>
          <w:b/>
          <w:szCs w:val="20"/>
          <w:lang w:val="en-US"/>
        </w:rPr>
        <w:t xml:space="preserve"> activity</w:t>
      </w:r>
    </w:p>
    <w:p w14:paraId="6DA6999B" w14:textId="77777777" w:rsidR="006B460B" w:rsidRPr="003C5866" w:rsidRDefault="00BF0FE4" w:rsidP="00744EF2">
      <w:pPr>
        <w:spacing w:after="0" w:line="360" w:lineRule="auto"/>
        <w:ind w:right="-2"/>
        <w:jc w:val="both"/>
        <w:rPr>
          <w:rFonts w:ascii="Arial" w:eastAsia="Calibri" w:hAnsi="Arial" w:cs="Arial"/>
          <w:color w:val="000000"/>
          <w:sz w:val="20"/>
          <w:szCs w:val="20"/>
          <w:lang w:val="en-US"/>
        </w:rPr>
      </w:pPr>
      <w:r w:rsidRPr="003C5866">
        <w:rPr>
          <w:rFonts w:ascii="Arial" w:hAnsi="Arial" w:cs="Arial"/>
          <w:sz w:val="20"/>
          <w:szCs w:val="20"/>
          <w:lang w:val="en-US"/>
        </w:rPr>
        <w:t xml:space="preserve">Amylolytic activity was determined on PDA medium supplemented with 1% soluble starch in the presence of different biopesticide treatments and 5% controls. Petri dishes were incubated at </w:t>
      </w:r>
      <w:r w:rsidRPr="007D7017">
        <w:rPr>
          <w:rFonts w:ascii="Arial" w:hAnsi="Arial" w:cs="Arial"/>
          <w:sz w:val="20"/>
          <w:szCs w:val="20"/>
          <w:lang w:val="en-US"/>
        </w:rPr>
        <w:t>23</w:t>
      </w:r>
      <w:r w:rsidR="007D7017" w:rsidRPr="007D7017">
        <w:rPr>
          <w:rFonts w:ascii="Arial" w:hAnsi="Arial" w:cs="Arial"/>
          <w:sz w:val="20"/>
          <w:szCs w:val="20"/>
          <w:lang w:val="en-US"/>
        </w:rPr>
        <w:t xml:space="preserve"> </w:t>
      </w:r>
      <w:r w:rsidRPr="007D7017">
        <w:rPr>
          <w:rFonts w:ascii="Arial" w:hAnsi="Arial" w:cs="Arial"/>
          <w:sz w:val="20"/>
          <w:szCs w:val="20"/>
          <w:lang w:val="en-US"/>
        </w:rPr>
        <w:t>°C</w:t>
      </w:r>
      <w:r w:rsidRPr="003C5866">
        <w:rPr>
          <w:rFonts w:ascii="Arial" w:hAnsi="Arial" w:cs="Arial"/>
          <w:sz w:val="20"/>
          <w:szCs w:val="20"/>
          <w:lang w:val="en-US"/>
        </w:rPr>
        <w:t xml:space="preserve"> for five (5) days for </w:t>
      </w:r>
      <w:r w:rsidRPr="003C5866">
        <w:rPr>
          <w:rFonts w:ascii="Arial" w:hAnsi="Arial" w:cs="Arial"/>
          <w:i/>
          <w:sz w:val="20"/>
          <w:szCs w:val="20"/>
          <w:lang w:val="en-US"/>
        </w:rPr>
        <w:t>Aspergillus flavus</w:t>
      </w:r>
      <w:r w:rsidRPr="003C5866">
        <w:rPr>
          <w:rFonts w:ascii="Arial" w:hAnsi="Arial" w:cs="Arial"/>
          <w:sz w:val="20"/>
          <w:szCs w:val="20"/>
          <w:lang w:val="en-US"/>
        </w:rPr>
        <w:t xml:space="preserve"> and seven (7) days for </w:t>
      </w:r>
      <w:r w:rsidRPr="003C5866">
        <w:rPr>
          <w:rFonts w:ascii="Arial" w:hAnsi="Arial" w:cs="Arial"/>
          <w:i/>
          <w:sz w:val="20"/>
          <w:szCs w:val="20"/>
          <w:lang w:val="en-US"/>
        </w:rPr>
        <w:t>Fusarium</w:t>
      </w:r>
      <w:r w:rsidRPr="003C5866">
        <w:rPr>
          <w:rFonts w:ascii="Arial" w:hAnsi="Arial" w:cs="Arial"/>
          <w:sz w:val="20"/>
          <w:szCs w:val="20"/>
          <w:lang w:val="en-US"/>
        </w:rPr>
        <w:t xml:space="preserve"> spp. After incubation, the surface of each dish was spraye</w:t>
      </w:r>
      <w:r w:rsidR="00A6498A" w:rsidRPr="003C5866">
        <w:rPr>
          <w:rFonts w:ascii="Arial" w:hAnsi="Arial" w:cs="Arial"/>
          <w:sz w:val="20"/>
          <w:szCs w:val="20"/>
          <w:lang w:val="en-US"/>
        </w:rPr>
        <w:t xml:space="preserve">d for 30 seconds with a dilute </w:t>
      </w:r>
      <w:proofErr w:type="spellStart"/>
      <w:r w:rsidR="00A6498A" w:rsidRPr="003C5866">
        <w:rPr>
          <w:rFonts w:ascii="Arial" w:hAnsi="Arial" w:cs="Arial"/>
          <w:sz w:val="20"/>
          <w:szCs w:val="20"/>
          <w:lang w:val="en-US"/>
        </w:rPr>
        <w:t>l</w:t>
      </w:r>
      <w:r w:rsidRPr="003C5866">
        <w:rPr>
          <w:rFonts w:ascii="Arial" w:hAnsi="Arial" w:cs="Arial"/>
          <w:sz w:val="20"/>
          <w:szCs w:val="20"/>
          <w:lang w:val="en-US"/>
        </w:rPr>
        <w:t>ugol's</w:t>
      </w:r>
      <w:proofErr w:type="spellEnd"/>
      <w:r w:rsidRPr="003C5866">
        <w:rPr>
          <w:rFonts w:ascii="Arial" w:hAnsi="Arial" w:cs="Arial"/>
          <w:sz w:val="20"/>
          <w:szCs w:val="20"/>
          <w:lang w:val="en-US"/>
        </w:rPr>
        <w:t xml:space="preserve"> solution and then rinsed with distilled water. Iodine reacts with starch to form a dark blue complex. Strains exhibiting light halos around the mycelium were considered amylase-producing. The diameter of the hydrolysis zones (halos) was measured to identify the treatment with the greatest inhibitory effect (</w:t>
      </w:r>
      <w:proofErr w:type="spellStart"/>
      <w:r w:rsidRPr="003C5866">
        <w:rPr>
          <w:rFonts w:ascii="Arial" w:hAnsi="Arial" w:cs="Arial"/>
          <w:sz w:val="20"/>
          <w:szCs w:val="20"/>
          <w:lang w:val="en-US"/>
        </w:rPr>
        <w:t>Tatsinkou</w:t>
      </w:r>
      <w:proofErr w:type="spellEnd"/>
      <w:r w:rsidRPr="003C5866">
        <w:rPr>
          <w:rFonts w:ascii="Arial" w:hAnsi="Arial" w:cs="Arial"/>
          <w:sz w:val="20"/>
          <w:szCs w:val="20"/>
          <w:lang w:val="en-US"/>
        </w:rPr>
        <w:t xml:space="preserve"> </w:t>
      </w:r>
      <w:r w:rsidRPr="003C5866">
        <w:rPr>
          <w:rFonts w:ascii="Arial" w:hAnsi="Arial" w:cs="Arial"/>
          <w:i/>
          <w:sz w:val="20"/>
          <w:szCs w:val="20"/>
          <w:lang w:val="en-US"/>
        </w:rPr>
        <w:t>et al</w:t>
      </w:r>
      <w:r w:rsidRPr="003C5866">
        <w:rPr>
          <w:rFonts w:ascii="Arial" w:hAnsi="Arial" w:cs="Arial"/>
          <w:sz w:val="20"/>
          <w:szCs w:val="20"/>
          <w:lang w:val="en-US"/>
        </w:rPr>
        <w:t>., 2005).</w:t>
      </w:r>
      <w:bookmarkStart w:id="2" w:name="_Hlk183258400"/>
      <w:bookmarkStart w:id="3" w:name="_Hlk200515445"/>
      <w:bookmarkEnd w:id="2"/>
      <w:bookmarkEnd w:id="3"/>
    </w:p>
    <w:p w14:paraId="2B5FC9D1" w14:textId="77777777" w:rsidR="000A4691" w:rsidRPr="003C5866" w:rsidRDefault="000A4691" w:rsidP="00744EF2">
      <w:pPr>
        <w:spacing w:after="0" w:line="360" w:lineRule="auto"/>
        <w:ind w:right="-2" w:firstLine="708"/>
        <w:jc w:val="both"/>
        <w:rPr>
          <w:rFonts w:ascii="Arial" w:eastAsia="Calibri" w:hAnsi="Arial" w:cs="Arial"/>
          <w:color w:val="000000"/>
          <w:sz w:val="20"/>
          <w:szCs w:val="20"/>
          <w:lang w:val="en-US"/>
        </w:rPr>
      </w:pPr>
    </w:p>
    <w:p w14:paraId="14CE302B" w14:textId="77777777" w:rsidR="006B460B" w:rsidRPr="003C5866" w:rsidRDefault="008C6C7F" w:rsidP="00744EF2">
      <w:pPr>
        <w:keepNext/>
        <w:keepLines/>
        <w:numPr>
          <w:ilvl w:val="4"/>
          <w:numId w:val="0"/>
        </w:numPr>
        <w:spacing w:before="40" w:after="0" w:line="480" w:lineRule="auto"/>
        <w:ind w:left="1008" w:hanging="1008"/>
        <w:outlineLvl w:val="4"/>
        <w:rPr>
          <w:rFonts w:ascii="Arial" w:eastAsia="Calibri" w:hAnsi="Arial" w:cs="Arial"/>
          <w:szCs w:val="20"/>
          <w:lang w:val="en-US"/>
        </w:rPr>
      </w:pPr>
      <w:r w:rsidRPr="003C5866">
        <w:rPr>
          <w:rFonts w:ascii="Arial" w:eastAsia="Calibri" w:hAnsi="Arial" w:cs="Arial"/>
          <w:b/>
          <w:szCs w:val="20"/>
          <w:lang w:val="en-US"/>
        </w:rPr>
        <w:t xml:space="preserve">Highlighting the </w:t>
      </w:r>
      <w:r w:rsidRPr="003C5866">
        <w:rPr>
          <w:rFonts w:ascii="Arial" w:eastAsia="Times New Roman" w:hAnsi="Arial" w:cs="Arial"/>
          <w:b/>
          <w:szCs w:val="20"/>
          <w:lang w:val="en-US"/>
        </w:rPr>
        <w:t>cellulolytic</w:t>
      </w:r>
      <w:r w:rsidR="00C26475" w:rsidRPr="003C5866">
        <w:rPr>
          <w:rFonts w:ascii="Arial" w:eastAsia="Calibri" w:hAnsi="Arial" w:cs="Arial"/>
          <w:b/>
          <w:szCs w:val="20"/>
          <w:lang w:val="en-US"/>
        </w:rPr>
        <w:t xml:space="preserve"> activity</w:t>
      </w:r>
    </w:p>
    <w:p w14:paraId="451AA1E9" w14:textId="77777777" w:rsidR="00744EF2" w:rsidRPr="003C5866" w:rsidRDefault="00744EF2" w:rsidP="00744EF2">
      <w:pPr>
        <w:spacing w:after="0" w:line="360" w:lineRule="auto"/>
        <w:ind w:right="-2"/>
        <w:jc w:val="both"/>
        <w:rPr>
          <w:rFonts w:ascii="Arial" w:eastAsia="Calibri" w:hAnsi="Arial" w:cs="Arial"/>
          <w:color w:val="000000"/>
          <w:sz w:val="20"/>
          <w:szCs w:val="20"/>
          <w:lang w:val="en-US"/>
        </w:rPr>
      </w:pPr>
      <w:bookmarkStart w:id="4" w:name="_Hlk200515474"/>
      <w:bookmarkEnd w:id="4"/>
      <w:r w:rsidRPr="003C5866">
        <w:rPr>
          <w:rFonts w:ascii="Arial" w:hAnsi="Arial" w:cs="Arial"/>
          <w:sz w:val="20"/>
          <w:szCs w:val="20"/>
          <w:lang w:val="en-US"/>
        </w:rPr>
        <w:t xml:space="preserve">Cellulolytic activity was </w:t>
      </w:r>
      <w:r w:rsidR="00BF0FE4" w:rsidRPr="003C5866">
        <w:rPr>
          <w:rFonts w:ascii="Arial" w:hAnsi="Arial" w:cs="Arial"/>
          <w:sz w:val="20"/>
          <w:szCs w:val="20"/>
          <w:lang w:val="en-US"/>
        </w:rPr>
        <w:t xml:space="preserve">detected on PDA medium supplemented with 2% carboxymethylcellulose (CMC) in the presence of various biopesticide treatments and 5% controls. Plates were incubated at </w:t>
      </w:r>
      <w:r w:rsidR="00BF0FE4" w:rsidRPr="007D7017">
        <w:rPr>
          <w:rFonts w:ascii="Arial" w:hAnsi="Arial" w:cs="Arial"/>
          <w:sz w:val="20"/>
          <w:szCs w:val="20"/>
          <w:lang w:val="en-US"/>
        </w:rPr>
        <w:t>23</w:t>
      </w:r>
      <w:r w:rsidR="007D7017" w:rsidRPr="007D7017">
        <w:rPr>
          <w:rFonts w:ascii="Arial" w:hAnsi="Arial" w:cs="Arial"/>
          <w:sz w:val="20"/>
          <w:szCs w:val="20"/>
          <w:lang w:val="en-US"/>
        </w:rPr>
        <w:t xml:space="preserve"> </w:t>
      </w:r>
      <w:r w:rsidR="00BF0FE4" w:rsidRPr="007D7017">
        <w:rPr>
          <w:rFonts w:ascii="Arial" w:hAnsi="Arial" w:cs="Arial"/>
          <w:sz w:val="20"/>
          <w:szCs w:val="20"/>
          <w:lang w:val="en-US"/>
        </w:rPr>
        <w:t>°C</w:t>
      </w:r>
      <w:r w:rsidR="00BF0FE4" w:rsidRPr="003C5866">
        <w:rPr>
          <w:rFonts w:ascii="Arial" w:hAnsi="Arial" w:cs="Arial"/>
          <w:sz w:val="20"/>
          <w:szCs w:val="20"/>
          <w:lang w:val="en-US"/>
        </w:rPr>
        <w:t xml:space="preserve"> for five (5) to seven (7) days. After growth, the plates were stained with a 0.1% Congo red solution, which selectively binds to cellulose polymers. After a 30-minute reaction, the plates were washed with a 1 M NaCl solution for one hour. Congo red staining revealed cellulolytic activity by the appearance of clear halos around cellulase-producing strains (Oikawa, 1998). The diameters of the hydrolysis zones of each strain were measured to determine the product exhibiting the strongest inhibitory effect on this enzymatic activity.</w:t>
      </w:r>
    </w:p>
    <w:p w14:paraId="29C23BA4" w14:textId="77777777" w:rsidR="00744EF2" w:rsidRPr="003C5866" w:rsidRDefault="00744EF2" w:rsidP="00744EF2">
      <w:pPr>
        <w:spacing w:after="0" w:line="360" w:lineRule="auto"/>
        <w:ind w:right="-2"/>
        <w:jc w:val="both"/>
        <w:rPr>
          <w:rFonts w:ascii="Arial" w:eastAsia="Calibri" w:hAnsi="Arial" w:cs="Arial"/>
          <w:color w:val="000000"/>
          <w:sz w:val="20"/>
          <w:szCs w:val="20"/>
          <w:lang w:val="en-US"/>
        </w:rPr>
      </w:pPr>
    </w:p>
    <w:p w14:paraId="1B76CDCF" w14:textId="77777777" w:rsidR="00556225" w:rsidRPr="003C5866" w:rsidRDefault="00301620" w:rsidP="00301620">
      <w:pPr>
        <w:spacing w:after="0" w:line="480" w:lineRule="auto"/>
        <w:rPr>
          <w:rFonts w:ascii="Arial" w:hAnsi="Arial" w:cs="Arial"/>
          <w:b/>
          <w:szCs w:val="20"/>
          <w:lang w:val="en-US" w:eastAsia="fr-FR"/>
        </w:rPr>
      </w:pPr>
      <w:r w:rsidRPr="003C5866">
        <w:rPr>
          <w:rFonts w:ascii="Arial" w:hAnsi="Arial" w:cs="Arial"/>
          <w:b/>
          <w:szCs w:val="20"/>
          <w:lang w:val="en-US" w:eastAsia="fr-FR"/>
        </w:rPr>
        <w:t>2.4</w:t>
      </w:r>
      <w:r w:rsidR="007B5F62" w:rsidRPr="003C5866">
        <w:rPr>
          <w:rFonts w:ascii="Arial" w:hAnsi="Arial" w:cs="Arial"/>
          <w:b/>
          <w:szCs w:val="20"/>
          <w:lang w:val="en-US" w:eastAsia="fr-FR"/>
        </w:rPr>
        <w:t xml:space="preserve"> Evaluation of the antibacterial effect of biopesticides</w:t>
      </w:r>
    </w:p>
    <w:p w14:paraId="37C23FC3" w14:textId="77777777" w:rsidR="00657C63" w:rsidRPr="003C5866" w:rsidRDefault="00BF0FE4" w:rsidP="00744EF2">
      <w:pPr>
        <w:spacing w:after="0" w:line="360" w:lineRule="auto"/>
        <w:jc w:val="both"/>
        <w:rPr>
          <w:rFonts w:ascii="Arial" w:eastAsia="Times New Roman" w:hAnsi="Arial" w:cs="Arial"/>
          <w:sz w:val="20"/>
          <w:szCs w:val="20"/>
          <w:lang w:val="en-US" w:eastAsia="fr-FR"/>
        </w:rPr>
      </w:pPr>
      <w:r w:rsidRPr="003C5866">
        <w:rPr>
          <w:rFonts w:ascii="Arial" w:hAnsi="Arial" w:cs="Arial"/>
          <w:sz w:val="20"/>
          <w:szCs w:val="20"/>
          <w:lang w:val="en-US"/>
        </w:rPr>
        <w:t>The antibacterial effect of plant-based biopesticides was evaluated by direct confrontation in Petri dishes, using a nutrient agar medium supplemented with 5% of each biopesticide (</w:t>
      </w:r>
      <w:proofErr w:type="spellStart"/>
      <w:r w:rsidRPr="003C5866">
        <w:rPr>
          <w:rFonts w:ascii="Arial" w:hAnsi="Arial" w:cs="Arial"/>
          <w:sz w:val="20"/>
          <w:szCs w:val="20"/>
          <w:lang w:val="en-US"/>
        </w:rPr>
        <w:t>Tsirinirindravo</w:t>
      </w:r>
      <w:proofErr w:type="spellEnd"/>
      <w:r w:rsidRPr="003C5866">
        <w:rPr>
          <w:rFonts w:ascii="Arial" w:hAnsi="Arial" w:cs="Arial"/>
          <w:sz w:val="20"/>
          <w:szCs w:val="20"/>
          <w:lang w:val="en-US"/>
        </w:rPr>
        <w:t xml:space="preserve"> </w:t>
      </w:r>
      <w:r w:rsidRPr="003C5866">
        <w:rPr>
          <w:rFonts w:ascii="Arial" w:hAnsi="Arial" w:cs="Arial"/>
          <w:i/>
          <w:sz w:val="20"/>
          <w:szCs w:val="20"/>
          <w:lang w:val="en-US"/>
        </w:rPr>
        <w:t>et al</w:t>
      </w:r>
      <w:r w:rsidRPr="003C5866">
        <w:rPr>
          <w:rFonts w:ascii="Arial" w:hAnsi="Arial" w:cs="Arial"/>
          <w:sz w:val="20"/>
          <w:szCs w:val="20"/>
          <w:lang w:val="en-US"/>
        </w:rPr>
        <w:t xml:space="preserve">., 2009). Under aseptic conditions, the biopesticides were added to the agar medium after autoclaving, and the mixture was then poured into Petri dishes. </w:t>
      </w:r>
      <w:r w:rsidR="005D7F95">
        <w:rPr>
          <w:rFonts w:ascii="Arial" w:hAnsi="Arial" w:cs="Arial"/>
          <w:sz w:val="20"/>
          <w:szCs w:val="20"/>
          <w:lang w:val="en-US"/>
        </w:rPr>
        <w:t xml:space="preserve">A </w:t>
      </w:r>
      <w:r w:rsidRPr="003C5866">
        <w:rPr>
          <w:rFonts w:ascii="Arial" w:hAnsi="Arial" w:cs="Arial"/>
          <w:sz w:val="20"/>
          <w:szCs w:val="20"/>
          <w:lang w:val="en-US"/>
        </w:rPr>
        <w:t xml:space="preserve">20 µL of a bacterial suspension (10² CFU/mL) was spread on the surface of each dish. The control media consisted of 5% sterile distilled water (negative control) or 5% chemical bactericide (positive control). Each test was performed in triplicate. The dishes were incubated at </w:t>
      </w:r>
      <w:r w:rsidRPr="007D7017">
        <w:rPr>
          <w:rFonts w:ascii="Arial" w:hAnsi="Arial" w:cs="Arial"/>
          <w:sz w:val="20"/>
          <w:szCs w:val="20"/>
          <w:lang w:val="en-US"/>
        </w:rPr>
        <w:t>30 °C for</w:t>
      </w:r>
      <w:r w:rsidRPr="003C5866">
        <w:rPr>
          <w:rFonts w:ascii="Arial" w:hAnsi="Arial" w:cs="Arial"/>
          <w:sz w:val="20"/>
          <w:szCs w:val="20"/>
          <w:lang w:val="en-US"/>
        </w:rPr>
        <w:t xml:space="preserve"> 24 hours, and then the colonies were counted to determine the percentage of inhibition (PI) according to </w:t>
      </w:r>
      <w:proofErr w:type="spellStart"/>
      <w:r w:rsidRPr="003C5866">
        <w:rPr>
          <w:rFonts w:ascii="Arial" w:hAnsi="Arial" w:cs="Arial"/>
          <w:sz w:val="20"/>
          <w:szCs w:val="20"/>
          <w:lang w:val="en-US"/>
        </w:rPr>
        <w:t>Magro</w:t>
      </w:r>
      <w:proofErr w:type="spellEnd"/>
      <w:r w:rsidRPr="003C5866">
        <w:rPr>
          <w:rFonts w:ascii="Arial" w:hAnsi="Arial" w:cs="Arial"/>
          <w:sz w:val="20"/>
          <w:szCs w:val="20"/>
          <w:lang w:val="en-US"/>
        </w:rPr>
        <w:t xml:space="preserve"> </w:t>
      </w:r>
      <w:r w:rsidRPr="003C5866">
        <w:rPr>
          <w:rFonts w:ascii="Arial" w:hAnsi="Arial" w:cs="Arial"/>
          <w:i/>
          <w:sz w:val="20"/>
          <w:szCs w:val="20"/>
          <w:lang w:val="en-US"/>
        </w:rPr>
        <w:t>et al</w:t>
      </w:r>
      <w:r w:rsidR="00744EF2" w:rsidRPr="003C5866">
        <w:rPr>
          <w:rFonts w:ascii="Arial" w:hAnsi="Arial" w:cs="Arial"/>
          <w:sz w:val="20"/>
          <w:szCs w:val="20"/>
          <w:lang w:val="en-US"/>
        </w:rPr>
        <w:t>. (2006)</w:t>
      </w:r>
      <w:r w:rsidR="00A324A5" w:rsidRPr="003C5866">
        <w:rPr>
          <w:rFonts w:ascii="Arial" w:eastAsia="Times New Roman" w:hAnsi="Arial" w:cs="Arial"/>
          <w:color w:val="000000"/>
          <w:sz w:val="20"/>
          <w:szCs w:val="20"/>
          <w:lang w:val="en-US" w:eastAsia="fr-FR"/>
        </w:rPr>
        <w:t>:</w:t>
      </w:r>
    </w:p>
    <w:p w14:paraId="3214F335" w14:textId="77777777" w:rsidR="00657C63" w:rsidRPr="003C5866" w:rsidRDefault="00BF0FE4" w:rsidP="00744EF2">
      <w:pPr>
        <w:spacing w:after="0" w:line="360" w:lineRule="auto"/>
        <w:jc w:val="center"/>
        <w:rPr>
          <w:rFonts w:ascii="Arial" w:eastAsia="Times New Roman" w:hAnsi="Arial" w:cs="Arial"/>
          <w:b/>
          <w:color w:val="000000"/>
          <w:sz w:val="20"/>
          <w:szCs w:val="20"/>
          <w:lang w:val="en-US" w:eastAsia="fr-FR"/>
        </w:rPr>
      </w:pPr>
      <w:r w:rsidRPr="003C5866">
        <w:rPr>
          <w:rFonts w:ascii="Arial" w:eastAsia="Times New Roman" w:hAnsi="Arial" w:cs="Arial"/>
          <w:b/>
          <w:bCs/>
          <w:color w:val="000000"/>
          <w:sz w:val="20"/>
          <w:szCs w:val="20"/>
          <w:lang w:val="en-US" w:eastAsia="fr-FR"/>
        </w:rPr>
        <w:t>PI (%)</w:t>
      </w:r>
      <w:r w:rsidR="00041130">
        <w:rPr>
          <w:rFonts w:ascii="Arial" w:eastAsia="Times New Roman" w:hAnsi="Arial" w:cs="Arial"/>
          <w:b/>
          <w:bCs/>
          <w:color w:val="000000"/>
          <w:sz w:val="20"/>
          <w:szCs w:val="20"/>
          <w:lang w:val="en-US" w:eastAsia="fr-FR"/>
        </w:rPr>
        <w:t xml:space="preserve"> </w:t>
      </w:r>
      <w:r w:rsidR="00657C63" w:rsidRPr="003C5866">
        <w:rPr>
          <w:rFonts w:ascii="Arial" w:eastAsia="Times New Roman" w:hAnsi="Arial" w:cs="Arial"/>
          <w:b/>
          <w:color w:val="000000"/>
          <w:sz w:val="20"/>
          <w:szCs w:val="20"/>
          <w:lang w:val="en-US" w:eastAsia="fr-FR"/>
        </w:rPr>
        <w:t>= (N – Ni) × 100</w:t>
      </w:r>
    </w:p>
    <w:p w14:paraId="68C30A26" w14:textId="77777777" w:rsidR="00657C63" w:rsidRPr="003C5866" w:rsidRDefault="00657C63" w:rsidP="00041130">
      <w:pPr>
        <w:spacing w:after="0" w:line="240" w:lineRule="auto"/>
        <w:ind w:left="708"/>
        <w:rPr>
          <w:rFonts w:ascii="Arial" w:eastAsia="Times New Roman" w:hAnsi="Arial" w:cs="Arial"/>
          <w:color w:val="000000"/>
          <w:sz w:val="20"/>
          <w:szCs w:val="20"/>
          <w:lang w:val="en-US" w:eastAsia="fr-FR"/>
        </w:rPr>
      </w:pPr>
      <w:r w:rsidRPr="00041130">
        <w:rPr>
          <w:rFonts w:ascii="Arial" w:eastAsia="Times New Roman" w:hAnsi="Arial" w:cs="Arial"/>
          <w:b/>
          <w:bCs/>
          <w:color w:val="000000"/>
          <w:sz w:val="20"/>
          <w:szCs w:val="20"/>
          <w:lang w:val="en-US" w:eastAsia="fr-FR"/>
        </w:rPr>
        <w:t>N</w:t>
      </w:r>
      <w:r w:rsidRPr="003C5866">
        <w:rPr>
          <w:rFonts w:ascii="Arial" w:eastAsia="Times New Roman" w:hAnsi="Arial" w:cs="Arial"/>
          <w:color w:val="000000"/>
          <w:sz w:val="20"/>
          <w:szCs w:val="20"/>
          <w:lang w:val="en-US" w:eastAsia="fr-FR"/>
        </w:rPr>
        <w:t>: average number of colonies in the negative control;</w:t>
      </w:r>
    </w:p>
    <w:p w14:paraId="1D69421A" w14:textId="77777777" w:rsidR="002378C8" w:rsidRPr="003C5866" w:rsidRDefault="00657C63" w:rsidP="00041130">
      <w:pPr>
        <w:spacing w:after="0" w:line="240" w:lineRule="auto"/>
        <w:ind w:left="708"/>
        <w:contextualSpacing/>
        <w:rPr>
          <w:rFonts w:ascii="Arial" w:eastAsia="Arial" w:hAnsi="Arial" w:cs="Arial"/>
          <w:b/>
          <w:bCs/>
          <w:sz w:val="20"/>
          <w:szCs w:val="20"/>
          <w:lang w:val="en-US" w:eastAsia="fr-FR"/>
        </w:rPr>
      </w:pPr>
      <w:r w:rsidRPr="00041130">
        <w:rPr>
          <w:rFonts w:ascii="Arial" w:eastAsia="Times New Roman" w:hAnsi="Arial" w:cs="Arial"/>
          <w:b/>
          <w:bCs/>
          <w:color w:val="000000"/>
          <w:sz w:val="20"/>
          <w:szCs w:val="20"/>
          <w:lang w:val="en-US" w:eastAsia="fr-FR"/>
        </w:rPr>
        <w:t>Ni</w:t>
      </w:r>
      <w:r w:rsidRPr="003C5866">
        <w:rPr>
          <w:rFonts w:ascii="Arial" w:eastAsia="Times New Roman" w:hAnsi="Arial" w:cs="Arial"/>
          <w:color w:val="000000"/>
          <w:sz w:val="20"/>
          <w:szCs w:val="20"/>
          <w:lang w:val="en-US" w:eastAsia="fr-FR"/>
        </w:rPr>
        <w:t>: average number of colonies in the presence of the biopesticide or positive control.</w:t>
      </w:r>
    </w:p>
    <w:p w14:paraId="6A19A14E" w14:textId="77777777" w:rsidR="00744EF2" w:rsidRPr="003C5866" w:rsidRDefault="00744EF2" w:rsidP="00301620">
      <w:pPr>
        <w:pStyle w:val="ListParagraph"/>
        <w:tabs>
          <w:tab w:val="left" w:pos="1134"/>
        </w:tabs>
        <w:spacing w:after="0" w:line="360" w:lineRule="auto"/>
        <w:ind w:left="0"/>
        <w:jc w:val="both"/>
        <w:rPr>
          <w:rFonts w:ascii="Arial" w:eastAsia="Arial" w:hAnsi="Arial" w:cs="Arial"/>
          <w:b/>
          <w:bCs/>
          <w:sz w:val="20"/>
          <w:szCs w:val="20"/>
          <w:lang w:val="en-US" w:eastAsia="fr-FR"/>
        </w:rPr>
      </w:pPr>
    </w:p>
    <w:p w14:paraId="744E2093" w14:textId="77777777" w:rsidR="001340BC" w:rsidRPr="003C5866" w:rsidRDefault="00744EF2" w:rsidP="00744EF2">
      <w:pPr>
        <w:pStyle w:val="ListParagraph"/>
        <w:tabs>
          <w:tab w:val="left" w:pos="1134"/>
        </w:tabs>
        <w:spacing w:after="0" w:line="480" w:lineRule="auto"/>
        <w:ind w:left="0"/>
        <w:rPr>
          <w:rFonts w:ascii="Arial" w:eastAsia="Arial" w:hAnsi="Arial" w:cs="Arial"/>
          <w:b/>
          <w:bCs/>
          <w:szCs w:val="20"/>
          <w:lang w:val="en-US" w:eastAsia="fr-FR"/>
        </w:rPr>
      </w:pPr>
      <w:r w:rsidRPr="003C5866">
        <w:rPr>
          <w:rFonts w:ascii="Arial" w:eastAsia="Arial" w:hAnsi="Arial" w:cs="Arial"/>
          <w:b/>
          <w:bCs/>
          <w:szCs w:val="20"/>
          <w:lang w:val="en-US" w:eastAsia="fr-FR"/>
        </w:rPr>
        <w:t>2.5</w:t>
      </w:r>
      <w:r w:rsidR="007B5F62" w:rsidRPr="003C5866">
        <w:rPr>
          <w:rFonts w:ascii="Arial" w:eastAsia="Arial" w:hAnsi="Arial" w:cs="Arial"/>
          <w:b/>
          <w:bCs/>
          <w:szCs w:val="20"/>
          <w:lang w:val="en-US" w:eastAsia="fr-FR"/>
        </w:rPr>
        <w:t xml:space="preserve"> Evaluation of the insecticidal effect of biopesticides</w:t>
      </w:r>
    </w:p>
    <w:p w14:paraId="74448F2D" w14:textId="670A1AA6" w:rsidR="001A313C" w:rsidRPr="003C5866" w:rsidRDefault="001A313C" w:rsidP="00744EF2">
      <w:pPr>
        <w:pStyle w:val="ListParagraph"/>
        <w:tabs>
          <w:tab w:val="left" w:pos="1134"/>
        </w:tabs>
        <w:spacing w:after="0" w:line="360" w:lineRule="auto"/>
        <w:ind w:left="0"/>
        <w:jc w:val="both"/>
        <w:rPr>
          <w:rFonts w:ascii="Arial" w:eastAsia="Arial" w:hAnsi="Arial" w:cs="Arial"/>
          <w:b/>
          <w:bCs/>
          <w:sz w:val="20"/>
          <w:szCs w:val="20"/>
          <w:lang w:val="en-US" w:eastAsia="fr-FR"/>
        </w:rPr>
      </w:pPr>
      <w:r w:rsidRPr="003C5866">
        <w:rPr>
          <w:rFonts w:ascii="Arial" w:eastAsia="Times New Roman" w:hAnsi="Arial" w:cs="Arial"/>
          <w:color w:val="000000"/>
          <w:sz w:val="20"/>
          <w:szCs w:val="20"/>
          <w:lang w:val="en-US" w:eastAsia="fr-FR"/>
        </w:rPr>
        <w:t xml:space="preserve">The insecticidal effect of biopesticides was evaluated on </w:t>
      </w:r>
      <w:r w:rsidRPr="003C5866">
        <w:rPr>
          <w:rFonts w:ascii="Arial" w:eastAsia="Times New Roman" w:hAnsi="Arial" w:cs="Arial"/>
          <w:i/>
          <w:color w:val="000000"/>
          <w:sz w:val="20"/>
          <w:szCs w:val="20"/>
          <w:lang w:val="en-US" w:eastAsia="fr-FR"/>
        </w:rPr>
        <w:t>Cosmopolites sordidus</w:t>
      </w:r>
      <w:r w:rsidRPr="003C5866">
        <w:rPr>
          <w:rFonts w:ascii="Arial" w:eastAsia="Times New Roman" w:hAnsi="Arial" w:cs="Arial"/>
          <w:color w:val="000000"/>
          <w:sz w:val="20"/>
          <w:szCs w:val="20"/>
          <w:lang w:val="en-US" w:eastAsia="fr-FR"/>
        </w:rPr>
        <w:t xml:space="preserve"> (banana weevils),</w:t>
      </w:r>
      <w:r w:rsidR="00A6498A" w:rsidRPr="003C5866">
        <w:rPr>
          <w:rFonts w:ascii="Arial" w:eastAsia="Times New Roman" w:hAnsi="Arial" w:cs="Arial"/>
          <w:color w:val="000000"/>
          <w:sz w:val="20"/>
          <w:szCs w:val="20"/>
          <w:lang w:val="en-US" w:eastAsia="fr-FR"/>
        </w:rPr>
        <w:t xml:space="preserve"> </w:t>
      </w:r>
      <w:proofErr w:type="spellStart"/>
      <w:r w:rsidR="00155050" w:rsidRPr="003C5866">
        <w:rPr>
          <w:rFonts w:ascii="Arial" w:hAnsi="Arial" w:cs="Arial"/>
          <w:i/>
          <w:color w:val="000000" w:themeColor="text1"/>
          <w:sz w:val="20"/>
          <w:szCs w:val="20"/>
          <w:lang w:val="en-US"/>
        </w:rPr>
        <w:t>Aphidoidea</w:t>
      </w:r>
      <w:proofErr w:type="spellEnd"/>
      <w:r w:rsidR="00A6498A" w:rsidRPr="003C5866">
        <w:rPr>
          <w:rFonts w:ascii="Arial" w:hAnsi="Arial" w:cs="Arial"/>
          <w:i/>
          <w:color w:val="000000" w:themeColor="text1"/>
          <w:sz w:val="20"/>
          <w:szCs w:val="20"/>
          <w:lang w:val="en-US"/>
        </w:rPr>
        <w:t xml:space="preserve"> </w:t>
      </w:r>
      <w:r w:rsidR="00155050" w:rsidRPr="003C5866">
        <w:rPr>
          <w:rFonts w:ascii="Arial" w:hAnsi="Arial" w:cs="Arial"/>
          <w:color w:val="000000" w:themeColor="text1"/>
          <w:sz w:val="20"/>
          <w:szCs w:val="20"/>
          <w:lang w:val="en-US"/>
        </w:rPr>
        <w:t xml:space="preserve">(aphids) and </w:t>
      </w:r>
      <w:proofErr w:type="spellStart"/>
      <w:r w:rsidR="00155050" w:rsidRPr="003C5866">
        <w:rPr>
          <w:rFonts w:ascii="Arial" w:hAnsi="Arial" w:cs="Arial"/>
          <w:i/>
          <w:color w:val="000000" w:themeColor="text1"/>
          <w:sz w:val="20"/>
          <w:szCs w:val="20"/>
          <w:lang w:val="en-US"/>
        </w:rPr>
        <w:t>Zonocerus</w:t>
      </w:r>
      <w:proofErr w:type="spellEnd"/>
      <w:r w:rsidR="00155050" w:rsidRPr="003C5866">
        <w:rPr>
          <w:rFonts w:ascii="Arial" w:hAnsi="Arial" w:cs="Arial"/>
          <w:i/>
          <w:color w:val="000000" w:themeColor="text1"/>
          <w:sz w:val="20"/>
          <w:szCs w:val="20"/>
          <w:lang w:val="en-US"/>
        </w:rPr>
        <w:t xml:space="preserve"> variegatus</w:t>
      </w:r>
      <w:r w:rsidR="00155050" w:rsidRPr="003C5866">
        <w:rPr>
          <w:rFonts w:ascii="Arial" w:hAnsi="Arial" w:cs="Arial"/>
          <w:color w:val="000000" w:themeColor="text1"/>
          <w:sz w:val="20"/>
          <w:szCs w:val="20"/>
          <w:lang w:val="en-US"/>
        </w:rPr>
        <w:t xml:space="preserve"> (grasshoppers)</w:t>
      </w:r>
      <w:r w:rsidR="00A6498A" w:rsidRPr="003C5866">
        <w:rPr>
          <w:rFonts w:ascii="Arial" w:hAnsi="Arial" w:cs="Arial"/>
          <w:color w:val="000000" w:themeColor="text1"/>
          <w:sz w:val="20"/>
          <w:szCs w:val="20"/>
          <w:lang w:val="en-US"/>
        </w:rPr>
        <w:t xml:space="preserve"> </w:t>
      </w:r>
      <w:r w:rsidR="00155050" w:rsidRPr="003C5866">
        <w:rPr>
          <w:rFonts w:ascii="Arial" w:eastAsia="Times New Roman" w:hAnsi="Arial" w:cs="Arial"/>
          <w:color w:val="000000"/>
          <w:sz w:val="20"/>
          <w:szCs w:val="20"/>
          <w:lang w:val="en-US" w:eastAsia="fr-FR"/>
        </w:rPr>
        <w:t>in the presence of the nutrient substrate in boxes according to the modified protocol</w:t>
      </w:r>
      <w:r w:rsidR="00A6498A" w:rsidRPr="003C5866">
        <w:rPr>
          <w:rFonts w:ascii="Arial" w:eastAsia="Times New Roman" w:hAnsi="Arial" w:cs="Arial"/>
          <w:color w:val="000000"/>
          <w:sz w:val="20"/>
          <w:szCs w:val="20"/>
          <w:lang w:val="en-US" w:eastAsia="fr-FR"/>
        </w:rPr>
        <w:t xml:space="preserve"> </w:t>
      </w:r>
      <w:r w:rsidR="00D63213" w:rsidRPr="00D63213">
        <w:rPr>
          <w:rFonts w:ascii="Arial" w:eastAsia="Times New Roman" w:hAnsi="Arial" w:cs="Arial"/>
          <w:color w:val="FF0000"/>
          <w:sz w:val="20"/>
          <w:szCs w:val="20"/>
          <w:lang w:val="en-US" w:eastAsia="fr-FR"/>
        </w:rPr>
        <w:t xml:space="preserve">Diouf </w:t>
      </w:r>
      <w:r w:rsidR="00D63213" w:rsidRPr="00D63213">
        <w:rPr>
          <w:rFonts w:ascii="Arial" w:eastAsia="Times New Roman" w:hAnsi="Arial" w:cs="Arial"/>
          <w:i/>
          <w:color w:val="FF0000"/>
          <w:sz w:val="20"/>
          <w:szCs w:val="20"/>
          <w:lang w:val="en-US" w:eastAsia="fr-FR"/>
        </w:rPr>
        <w:t>et al</w:t>
      </w:r>
      <w:r w:rsidR="00D63213" w:rsidRPr="00D63213">
        <w:rPr>
          <w:rFonts w:ascii="Arial" w:eastAsia="Times New Roman" w:hAnsi="Arial" w:cs="Arial"/>
          <w:color w:val="FF0000"/>
          <w:sz w:val="20"/>
          <w:szCs w:val="20"/>
          <w:lang w:val="en-US" w:eastAsia="fr-FR"/>
        </w:rPr>
        <w:t>.</w:t>
      </w:r>
      <w:r w:rsidR="00A6498A" w:rsidRPr="00D63213">
        <w:rPr>
          <w:rFonts w:ascii="Arial" w:eastAsia="Times New Roman" w:hAnsi="Arial" w:cs="Arial"/>
          <w:color w:val="FF0000"/>
          <w:sz w:val="20"/>
          <w:szCs w:val="20"/>
          <w:lang w:val="en-US" w:eastAsia="fr-FR"/>
        </w:rPr>
        <w:t xml:space="preserve"> (</w:t>
      </w:r>
      <w:r w:rsidRPr="00D63213">
        <w:rPr>
          <w:rFonts w:ascii="Arial" w:eastAsia="Times New Roman" w:hAnsi="Arial" w:cs="Arial"/>
          <w:color w:val="FF0000"/>
          <w:sz w:val="20"/>
          <w:szCs w:val="20"/>
          <w:lang w:val="en-US" w:eastAsia="fr-FR"/>
        </w:rPr>
        <w:t>2016</w:t>
      </w:r>
      <w:r w:rsidR="00A6498A" w:rsidRPr="00D63213">
        <w:rPr>
          <w:rFonts w:ascii="Arial" w:eastAsia="Times New Roman" w:hAnsi="Arial" w:cs="Arial"/>
          <w:color w:val="FF0000"/>
          <w:sz w:val="20"/>
          <w:szCs w:val="20"/>
          <w:lang w:val="en-US" w:eastAsia="fr-FR"/>
        </w:rPr>
        <w:t>)</w:t>
      </w:r>
      <w:r w:rsidRPr="003C5866">
        <w:rPr>
          <w:rFonts w:ascii="Arial" w:eastAsia="Times New Roman" w:hAnsi="Arial" w:cs="Arial"/>
          <w:color w:val="000000"/>
          <w:sz w:val="20"/>
          <w:szCs w:val="20"/>
          <w:lang w:val="en-US" w:eastAsia="fr-FR"/>
        </w:rPr>
        <w:t xml:space="preserve">. For this purpose, weevils, </w:t>
      </w:r>
      <w:r w:rsidRPr="003C5866">
        <w:rPr>
          <w:rFonts w:ascii="Arial" w:eastAsia="Times New Roman" w:hAnsi="Arial" w:cs="Arial"/>
          <w:color w:val="000000"/>
          <w:sz w:val="20"/>
          <w:szCs w:val="20"/>
          <w:lang w:val="en-US" w:eastAsia="fr-FR"/>
        </w:rPr>
        <w:lastRenderedPageBreak/>
        <w:t xml:space="preserve">aphids or grasshoppers were divided into groups of 10 individuals and placed separately in rectangular boxes containing at the ends and opposite the diagonals, a rectangle of absorbent paper soaked in water and a 2 g slice of the nutrient substrate soaked in 500 </w:t>
      </w:r>
      <w:r w:rsidRPr="003C5866">
        <w:rPr>
          <w:rFonts w:ascii="Arial" w:eastAsia="Times New Roman" w:hAnsi="Arial" w:cs="Arial"/>
          <w:color w:val="000000"/>
          <w:sz w:val="20"/>
          <w:szCs w:val="20"/>
          <w:lang w:eastAsia="fr-FR"/>
        </w:rPr>
        <w:t>μ</w:t>
      </w:r>
      <w:r w:rsidRPr="003C5866">
        <w:rPr>
          <w:rFonts w:ascii="Arial" w:eastAsia="Times New Roman" w:hAnsi="Arial" w:cs="Arial"/>
          <w:color w:val="000000"/>
          <w:sz w:val="20"/>
          <w:szCs w:val="20"/>
          <w:lang w:val="en-US" w:eastAsia="fr-FR"/>
        </w:rPr>
        <w:t xml:space="preserve">L of 10% biopesticide, according to the treatment regimen, with three replicates for each regimen. The nutrient substrates in the control boxes were soaked in distilled water (negative control) or a chemical insecticide (positive control). The boxes were then sealed and stored at room temperature of </w:t>
      </w:r>
      <w:r w:rsidRPr="007D7017">
        <w:rPr>
          <w:rFonts w:ascii="Arial" w:eastAsia="Times New Roman" w:hAnsi="Arial" w:cs="Arial"/>
          <w:color w:val="000000"/>
          <w:sz w:val="20"/>
          <w:szCs w:val="20"/>
          <w:lang w:val="en-US" w:eastAsia="fr-FR"/>
        </w:rPr>
        <w:t>28 °C ± 2 °C</w:t>
      </w:r>
      <w:r w:rsidRPr="003C5866">
        <w:rPr>
          <w:rFonts w:ascii="Arial" w:eastAsia="Times New Roman" w:hAnsi="Arial" w:cs="Arial"/>
          <w:color w:val="000000"/>
          <w:sz w:val="20"/>
          <w:szCs w:val="20"/>
          <w:lang w:val="en-US" w:eastAsia="fr-FR"/>
        </w:rPr>
        <w:t xml:space="preserve"> for the various observations. Mortality in the different groups was observed at 6 h, 12 h, 24 h and 48 h. Immobile and visibly weakened insects, unable to move normally, were considered dead. The mortality ra</w:t>
      </w:r>
      <w:r w:rsidR="00840651" w:rsidRPr="003C5866">
        <w:rPr>
          <w:rFonts w:ascii="Arial" w:eastAsia="Times New Roman" w:hAnsi="Arial" w:cs="Arial"/>
          <w:color w:val="000000"/>
          <w:sz w:val="20"/>
          <w:szCs w:val="20"/>
          <w:lang w:val="en-US" w:eastAsia="fr-FR"/>
        </w:rPr>
        <w:t xml:space="preserve">te </w:t>
      </w:r>
      <w:r w:rsidR="00840651" w:rsidRPr="007D7017">
        <w:rPr>
          <w:rFonts w:ascii="Arial" w:eastAsia="Times New Roman" w:hAnsi="Arial" w:cs="Arial"/>
          <w:color w:val="000000"/>
          <w:sz w:val="20"/>
          <w:szCs w:val="20"/>
          <w:lang w:val="en-US" w:eastAsia="fr-FR"/>
        </w:rPr>
        <w:t>(M</w:t>
      </w:r>
      <w:r w:rsidR="00BD0E91">
        <w:rPr>
          <w:rFonts w:ascii="Arial" w:eastAsia="Times New Roman" w:hAnsi="Arial" w:cs="Arial"/>
          <w:color w:val="000000"/>
          <w:sz w:val="20"/>
          <w:szCs w:val="20"/>
          <w:lang w:val="en-US" w:eastAsia="fr-FR"/>
        </w:rPr>
        <w:t>R</w:t>
      </w:r>
      <w:r w:rsidR="00840651" w:rsidRPr="003C5866">
        <w:rPr>
          <w:rFonts w:ascii="Arial" w:eastAsia="Times New Roman" w:hAnsi="Arial" w:cs="Arial"/>
          <w:color w:val="000000"/>
          <w:sz w:val="20"/>
          <w:szCs w:val="20"/>
          <w:lang w:val="en-US" w:eastAsia="fr-FR"/>
        </w:rPr>
        <w:t xml:space="preserve">) was corrected using Abbott (1925) </w:t>
      </w:r>
      <w:r w:rsidRPr="003C5866">
        <w:rPr>
          <w:rFonts w:ascii="Arial" w:eastAsia="Times New Roman" w:hAnsi="Arial" w:cs="Arial"/>
          <w:color w:val="000000"/>
          <w:sz w:val="20"/>
          <w:szCs w:val="20"/>
          <w:lang w:val="en-US" w:eastAsia="fr-FR"/>
        </w:rPr>
        <w:t>formula</w:t>
      </w:r>
      <w:r w:rsidR="00840651" w:rsidRPr="003C5866">
        <w:rPr>
          <w:rFonts w:ascii="Arial" w:eastAsia="Times New Roman" w:hAnsi="Arial" w:cs="Arial"/>
          <w:color w:val="000000"/>
          <w:sz w:val="20"/>
          <w:szCs w:val="20"/>
          <w:lang w:val="en-US" w:eastAsia="fr-FR"/>
        </w:rPr>
        <w:t>.</w:t>
      </w:r>
      <w:r w:rsidRPr="003C5866">
        <w:rPr>
          <w:rFonts w:ascii="Arial" w:eastAsia="Times New Roman" w:hAnsi="Arial" w:cs="Arial"/>
          <w:color w:val="000000"/>
          <w:sz w:val="20"/>
          <w:szCs w:val="20"/>
          <w:lang w:val="en-US" w:eastAsia="fr-FR"/>
        </w:rPr>
        <w:t xml:space="preserve"> </w:t>
      </w:r>
    </w:p>
    <w:p w14:paraId="0535A138" w14:textId="77777777" w:rsidR="00261254" w:rsidRPr="003C5866" w:rsidRDefault="00744EF2" w:rsidP="00744EF2">
      <w:pPr>
        <w:spacing w:after="0" w:line="360" w:lineRule="auto"/>
        <w:jc w:val="center"/>
        <w:rPr>
          <w:rFonts w:ascii="Arial" w:eastAsia="Times New Roman" w:hAnsi="Arial" w:cs="Arial"/>
          <w:b/>
          <w:color w:val="000000"/>
          <w:sz w:val="20"/>
          <w:szCs w:val="20"/>
          <w:lang w:val="en-US" w:eastAsia="fr-FR"/>
        </w:rPr>
      </w:pPr>
      <m:oMathPara>
        <m:oMath>
          <m:r>
            <m:rPr>
              <m:sty m:val="b"/>
            </m:rPr>
            <w:rPr>
              <w:rFonts w:ascii="Cambria Math" w:eastAsia="Times New Roman" w:hAnsi="Cambria Math" w:cs="Arial"/>
              <w:color w:val="000000"/>
              <w:sz w:val="20"/>
              <w:szCs w:val="20"/>
              <w:lang w:eastAsia="fr-FR"/>
            </w:rPr>
            <m:t>MR</m:t>
          </m:r>
          <m:d>
            <m:dPr>
              <m:ctrlPr>
                <w:rPr>
                  <w:rFonts w:ascii="Cambria Math" w:eastAsia="Times New Roman" w:hAnsi="Cambria Math" w:cs="Arial"/>
                  <w:b/>
                  <w:i/>
                  <w:color w:val="000000"/>
                  <w:sz w:val="20"/>
                  <w:szCs w:val="20"/>
                  <w:lang w:eastAsia="fr-FR"/>
                </w:rPr>
              </m:ctrlPr>
            </m:dPr>
            <m:e>
              <m:r>
                <m:rPr>
                  <m:sty m:val="bi"/>
                </m:rPr>
                <w:rPr>
                  <w:rFonts w:ascii="Cambria Math" w:eastAsia="Times New Roman" w:hAnsi="Cambria Math" w:cs="Arial"/>
                  <w:color w:val="000000"/>
                  <w:sz w:val="20"/>
                  <w:szCs w:val="20"/>
                  <w:lang w:val="en-US" w:eastAsia="fr-FR"/>
                </w:rPr>
                <m:t>%</m:t>
              </m:r>
            </m:e>
          </m:d>
          <m:r>
            <m:rPr>
              <m:sty m:val="bi"/>
            </m:rPr>
            <w:rPr>
              <w:rFonts w:ascii="Cambria Math" w:eastAsia="Times New Roman" w:hAnsi="Cambria Math" w:cs="Arial"/>
              <w:color w:val="000000"/>
              <w:sz w:val="20"/>
              <w:szCs w:val="20"/>
              <w:lang w:val="en-US" w:eastAsia="fr-FR"/>
            </w:rPr>
            <m:t>=</m:t>
          </m:r>
          <m:f>
            <m:fPr>
              <m:ctrlPr>
                <w:rPr>
                  <w:rFonts w:ascii="Cambria Math" w:eastAsia="Times New Roman" w:hAnsi="Cambria Math" w:cs="Arial"/>
                  <w:b/>
                  <w:i/>
                  <w:color w:val="000000"/>
                  <w:sz w:val="20"/>
                  <w:szCs w:val="20"/>
                  <w:lang w:eastAsia="fr-FR"/>
                </w:rPr>
              </m:ctrlPr>
            </m:fPr>
            <m:num>
              <m:r>
                <m:rPr>
                  <m:sty m:val="b"/>
                </m:rPr>
                <w:rPr>
                  <w:rFonts w:ascii="Cambria Math" w:eastAsia="Times New Roman" w:hAnsi="Cambria Math" w:cs="Arial"/>
                  <w:color w:val="000000"/>
                  <w:sz w:val="20"/>
                  <w:szCs w:val="20"/>
                  <w:lang w:val="en-US" w:eastAsia="fr-FR"/>
                </w:rPr>
                <m:t>Mt - M0</m:t>
              </m:r>
            </m:num>
            <m:den>
              <m:r>
                <m:rPr>
                  <m:sty m:val="b"/>
                </m:rPr>
                <w:rPr>
                  <w:rFonts w:ascii="Cambria Math" w:eastAsia="Times New Roman" w:hAnsi="Cambria Math" w:cs="Arial"/>
                  <w:color w:val="000000"/>
                  <w:sz w:val="20"/>
                  <w:szCs w:val="20"/>
                  <w:lang w:val="en-US" w:eastAsia="fr-FR"/>
                </w:rPr>
                <m:t>10 - M0</m:t>
              </m:r>
            </m:den>
          </m:f>
          <m:r>
            <m:rPr>
              <m:sty m:val="bi"/>
            </m:rPr>
            <w:rPr>
              <w:rFonts w:ascii="Cambria Math" w:eastAsia="Times New Roman" w:hAnsi="Cambria Math" w:cs="Arial"/>
              <w:color w:val="000000"/>
              <w:sz w:val="20"/>
              <w:szCs w:val="20"/>
              <w:lang w:val="en-US" w:eastAsia="fr-FR"/>
            </w:rPr>
            <m:t xml:space="preserve"> </m:t>
          </m:r>
          <m:r>
            <m:rPr>
              <m:sty m:val="b"/>
            </m:rPr>
            <w:rPr>
              <w:rFonts w:ascii="Cambria Math" w:eastAsia="Times New Roman" w:hAnsi="Cambria Math" w:cs="Arial"/>
              <w:color w:val="000000"/>
              <w:sz w:val="20"/>
              <w:szCs w:val="20"/>
              <w:lang w:val="en-US" w:eastAsia="fr-FR"/>
            </w:rPr>
            <m:t>× 100</m:t>
          </m:r>
        </m:oMath>
      </m:oMathPara>
    </w:p>
    <w:p w14:paraId="75769C29" w14:textId="77777777" w:rsidR="00B14A98" w:rsidRPr="003C5866" w:rsidRDefault="001A313C" w:rsidP="00041130">
      <w:pPr>
        <w:spacing w:after="0" w:line="240" w:lineRule="auto"/>
        <w:ind w:left="708"/>
        <w:rPr>
          <w:rFonts w:ascii="Arial" w:eastAsia="Times New Roman" w:hAnsi="Arial" w:cs="Arial"/>
          <w:color w:val="000000"/>
          <w:sz w:val="20"/>
          <w:szCs w:val="20"/>
          <w:lang w:val="en-US" w:eastAsia="fr-FR"/>
        </w:rPr>
      </w:pPr>
      <w:r w:rsidRPr="00041130">
        <w:rPr>
          <w:rFonts w:ascii="Arial" w:eastAsia="Times New Roman" w:hAnsi="Arial" w:cs="Arial"/>
          <w:b/>
          <w:color w:val="000000"/>
          <w:sz w:val="20"/>
          <w:szCs w:val="20"/>
          <w:lang w:val="en-US" w:eastAsia="fr-FR"/>
        </w:rPr>
        <w:t>M0</w:t>
      </w:r>
      <w:r w:rsidR="00840651" w:rsidRPr="00041130">
        <w:rPr>
          <w:rFonts w:ascii="Arial" w:eastAsia="Times New Roman" w:hAnsi="Arial" w:cs="Arial"/>
          <w:b/>
          <w:color w:val="000000"/>
          <w:sz w:val="20"/>
          <w:szCs w:val="20"/>
          <w:lang w:val="en-US" w:eastAsia="fr-FR"/>
        </w:rPr>
        <w:t>:</w:t>
      </w:r>
      <w:r w:rsidR="00840651" w:rsidRPr="003C5866">
        <w:rPr>
          <w:rFonts w:ascii="Arial" w:eastAsia="Times New Roman" w:hAnsi="Arial" w:cs="Arial"/>
          <w:bCs/>
          <w:color w:val="000000"/>
          <w:sz w:val="20"/>
          <w:szCs w:val="20"/>
          <w:lang w:val="en-US" w:eastAsia="fr-FR"/>
        </w:rPr>
        <w:t xml:space="preserve"> </w:t>
      </w:r>
      <w:r w:rsidRPr="003C5866">
        <w:rPr>
          <w:rFonts w:ascii="Arial" w:eastAsia="Times New Roman" w:hAnsi="Arial" w:cs="Arial"/>
          <w:color w:val="000000"/>
          <w:sz w:val="20"/>
          <w:szCs w:val="20"/>
          <w:lang w:val="en-US" w:eastAsia="fr-FR"/>
        </w:rPr>
        <w:t>Number of deaths in the negative control group</w:t>
      </w:r>
    </w:p>
    <w:p w14:paraId="6251C149" w14:textId="77777777" w:rsidR="001A313C" w:rsidRPr="003C5866" w:rsidRDefault="001A313C" w:rsidP="00041130">
      <w:pPr>
        <w:spacing w:after="0" w:line="240" w:lineRule="auto"/>
        <w:ind w:left="708"/>
        <w:rPr>
          <w:rFonts w:ascii="Arial" w:eastAsia="Times New Roman" w:hAnsi="Arial" w:cs="Arial"/>
          <w:color w:val="000000"/>
          <w:sz w:val="20"/>
          <w:szCs w:val="20"/>
          <w:lang w:val="en-US" w:eastAsia="fr-FR"/>
        </w:rPr>
      </w:pPr>
      <w:r w:rsidRPr="00041130">
        <w:rPr>
          <w:rFonts w:ascii="Arial" w:eastAsia="Times New Roman" w:hAnsi="Arial" w:cs="Arial"/>
          <w:b/>
          <w:color w:val="000000"/>
          <w:sz w:val="20"/>
          <w:szCs w:val="20"/>
          <w:lang w:val="en-US" w:eastAsia="fr-FR"/>
        </w:rPr>
        <w:t>Mt</w:t>
      </w:r>
      <w:r w:rsidR="00840651" w:rsidRPr="00041130">
        <w:rPr>
          <w:rFonts w:ascii="Arial" w:eastAsia="Times New Roman" w:hAnsi="Arial" w:cs="Arial"/>
          <w:b/>
          <w:color w:val="000000"/>
          <w:sz w:val="20"/>
          <w:szCs w:val="20"/>
          <w:lang w:val="en-US" w:eastAsia="fr-FR"/>
        </w:rPr>
        <w:t>:</w:t>
      </w:r>
      <w:r w:rsidR="00840651" w:rsidRPr="003C5866">
        <w:rPr>
          <w:rFonts w:ascii="Arial" w:eastAsia="Times New Roman" w:hAnsi="Arial" w:cs="Arial"/>
          <w:bCs/>
          <w:color w:val="000000"/>
          <w:sz w:val="20"/>
          <w:szCs w:val="20"/>
          <w:lang w:val="en-US" w:eastAsia="fr-FR"/>
        </w:rPr>
        <w:t xml:space="preserve"> </w:t>
      </w:r>
      <w:r w:rsidRPr="003C5866">
        <w:rPr>
          <w:rFonts w:ascii="Arial" w:eastAsia="Times New Roman" w:hAnsi="Arial" w:cs="Arial"/>
          <w:color w:val="000000"/>
          <w:sz w:val="20"/>
          <w:szCs w:val="20"/>
          <w:lang w:val="en-US" w:eastAsia="fr-FR"/>
        </w:rPr>
        <w:t>Number of deaths in the treated batch</w:t>
      </w:r>
    </w:p>
    <w:p w14:paraId="7570F90A" w14:textId="77777777" w:rsidR="00B14A98" w:rsidRPr="003C5866" w:rsidRDefault="00B14A98" w:rsidP="00744EF2">
      <w:pPr>
        <w:spacing w:after="0" w:line="360" w:lineRule="auto"/>
        <w:jc w:val="both"/>
        <w:rPr>
          <w:rFonts w:ascii="Arial" w:eastAsia="Times New Roman" w:hAnsi="Arial" w:cs="Arial"/>
          <w:color w:val="000000"/>
          <w:sz w:val="20"/>
          <w:szCs w:val="20"/>
          <w:lang w:val="en-US" w:eastAsia="fr-FR"/>
        </w:rPr>
      </w:pPr>
    </w:p>
    <w:p w14:paraId="0A0EE794" w14:textId="77777777" w:rsidR="00B14A98" w:rsidRPr="003C5866" w:rsidRDefault="00B14A98" w:rsidP="00744EF2">
      <w:pPr>
        <w:spacing w:after="0" w:line="360" w:lineRule="auto"/>
        <w:jc w:val="both"/>
        <w:rPr>
          <w:rFonts w:ascii="Arial" w:eastAsia="Times New Roman" w:hAnsi="Arial" w:cs="Arial"/>
          <w:color w:val="000000"/>
          <w:sz w:val="20"/>
          <w:szCs w:val="20"/>
          <w:lang w:val="en-US" w:eastAsia="fr-FR"/>
        </w:rPr>
      </w:pPr>
      <w:r w:rsidRPr="00BD0E91">
        <w:rPr>
          <w:rFonts w:ascii="Arial" w:eastAsia="Times New Roman" w:hAnsi="Arial" w:cs="Arial"/>
          <w:b/>
          <w:bCs/>
          <w:color w:val="000000"/>
          <w:sz w:val="20"/>
          <w:szCs w:val="20"/>
          <w:lang w:val="en-US" w:eastAsia="fr-FR"/>
        </w:rPr>
        <w:t>Note:</w:t>
      </w:r>
      <w:r w:rsidRPr="007D7017">
        <w:rPr>
          <w:rFonts w:ascii="Arial" w:eastAsia="Times New Roman" w:hAnsi="Arial" w:cs="Arial"/>
          <w:color w:val="000000"/>
          <w:sz w:val="20"/>
          <w:szCs w:val="20"/>
          <w:lang w:val="en-US" w:eastAsia="fr-FR"/>
        </w:rPr>
        <w:t xml:space="preserve"> the substrates</w:t>
      </w:r>
      <w:r w:rsidRPr="003C5866">
        <w:rPr>
          <w:rFonts w:ascii="Arial" w:eastAsia="Times New Roman" w:hAnsi="Arial" w:cs="Arial"/>
          <w:color w:val="000000"/>
          <w:sz w:val="20"/>
          <w:szCs w:val="20"/>
          <w:lang w:val="en-US" w:eastAsia="fr-FR"/>
        </w:rPr>
        <w:t xml:space="preserve"> in the different batches </w:t>
      </w:r>
      <w:r w:rsidR="00301620" w:rsidRPr="003C5866">
        <w:rPr>
          <w:rFonts w:ascii="Arial" w:eastAsia="Times New Roman" w:hAnsi="Arial" w:cs="Arial"/>
          <w:color w:val="000000"/>
          <w:sz w:val="20"/>
          <w:szCs w:val="20"/>
          <w:lang w:val="en-US" w:eastAsia="fr-FR"/>
        </w:rPr>
        <w:t>are</w:t>
      </w:r>
      <w:r w:rsidRPr="003C5866">
        <w:rPr>
          <w:rFonts w:ascii="Arial" w:eastAsia="Times New Roman" w:hAnsi="Arial" w:cs="Arial"/>
          <w:color w:val="000000"/>
          <w:sz w:val="20"/>
          <w:szCs w:val="20"/>
          <w:lang w:val="en-US" w:eastAsia="fr-FR"/>
        </w:rPr>
        <w:t xml:space="preserve"> banana bulbs (weevils), corn leaves (aphids) and bean leaves (</w:t>
      </w:r>
      <w:r w:rsidR="00840651" w:rsidRPr="003C5866">
        <w:rPr>
          <w:rFonts w:ascii="Arial" w:hAnsi="Arial" w:cs="Arial"/>
          <w:color w:val="000000" w:themeColor="text1"/>
          <w:sz w:val="20"/>
          <w:szCs w:val="20"/>
          <w:lang w:val="en-US"/>
        </w:rPr>
        <w:t>grasshoppers</w:t>
      </w:r>
      <w:r w:rsidRPr="003C5866">
        <w:rPr>
          <w:rFonts w:ascii="Arial" w:eastAsia="Times New Roman" w:hAnsi="Arial" w:cs="Arial"/>
          <w:color w:val="000000"/>
          <w:sz w:val="20"/>
          <w:szCs w:val="20"/>
          <w:lang w:val="en-US" w:eastAsia="fr-FR"/>
        </w:rPr>
        <w:t>).</w:t>
      </w:r>
    </w:p>
    <w:p w14:paraId="78D6BE74" w14:textId="77777777" w:rsidR="001340BC" w:rsidRPr="003C5866" w:rsidRDefault="001340BC" w:rsidP="00301620">
      <w:pPr>
        <w:pStyle w:val="ListParagraph"/>
        <w:tabs>
          <w:tab w:val="left" w:pos="1134"/>
        </w:tabs>
        <w:spacing w:after="0" w:line="360" w:lineRule="auto"/>
        <w:ind w:left="0"/>
        <w:jc w:val="both"/>
        <w:rPr>
          <w:rFonts w:ascii="Arial" w:eastAsia="Times New Roman" w:hAnsi="Arial" w:cs="Arial"/>
          <w:color w:val="000000"/>
          <w:sz w:val="20"/>
          <w:szCs w:val="20"/>
          <w:lang w:val="en-US" w:eastAsia="fr-FR"/>
        </w:rPr>
      </w:pPr>
    </w:p>
    <w:p w14:paraId="61554FFD" w14:textId="77777777" w:rsidR="001340BC" w:rsidRPr="003C5866" w:rsidRDefault="001340BC" w:rsidP="00301620">
      <w:pPr>
        <w:spacing w:after="0" w:line="480" w:lineRule="auto"/>
        <w:rPr>
          <w:rFonts w:ascii="Arial" w:eastAsia="Times New Roman" w:hAnsi="Arial" w:cs="Arial"/>
          <w:b/>
          <w:bCs/>
          <w:color w:val="000000"/>
          <w:szCs w:val="20"/>
          <w:lang w:val="en-US" w:eastAsia="fr-FR"/>
        </w:rPr>
      </w:pPr>
      <w:r w:rsidRPr="003C5866">
        <w:rPr>
          <w:rFonts w:ascii="Arial" w:eastAsia="Times New Roman" w:hAnsi="Arial" w:cs="Arial"/>
          <w:b/>
          <w:bCs/>
          <w:color w:val="000000"/>
          <w:szCs w:val="20"/>
          <w:lang w:val="en-US" w:eastAsia="fr-FR"/>
        </w:rPr>
        <w:t>2</w:t>
      </w:r>
      <w:r w:rsidR="00301620" w:rsidRPr="003C5866">
        <w:rPr>
          <w:rFonts w:ascii="Arial" w:eastAsia="Times New Roman" w:hAnsi="Arial" w:cs="Arial"/>
          <w:b/>
          <w:bCs/>
          <w:color w:val="000000"/>
          <w:szCs w:val="20"/>
          <w:lang w:val="en-US" w:eastAsia="fr-FR"/>
        </w:rPr>
        <w:t>.6</w:t>
      </w:r>
      <w:r w:rsidRPr="003C5866">
        <w:rPr>
          <w:rFonts w:ascii="Arial" w:eastAsia="Times New Roman" w:hAnsi="Arial" w:cs="Arial"/>
          <w:b/>
          <w:bCs/>
          <w:color w:val="000000"/>
          <w:szCs w:val="20"/>
          <w:lang w:val="en-US" w:eastAsia="fr-FR"/>
        </w:rPr>
        <w:t xml:space="preserve"> Evaluation of the </w:t>
      </w:r>
      <w:r w:rsidR="004A12A2" w:rsidRPr="003C5866">
        <w:rPr>
          <w:rFonts w:ascii="Arial" w:eastAsia="Times New Roman" w:hAnsi="Arial" w:cs="Arial"/>
          <w:b/>
          <w:bCs/>
          <w:color w:val="000000"/>
          <w:szCs w:val="20"/>
          <w:lang w:val="en-US" w:eastAsia="fr-FR"/>
        </w:rPr>
        <w:t>nemat</w:t>
      </w:r>
      <w:r w:rsidR="00BD0E91">
        <w:rPr>
          <w:rFonts w:ascii="Arial" w:eastAsia="Times New Roman" w:hAnsi="Arial" w:cs="Arial"/>
          <w:b/>
          <w:bCs/>
          <w:color w:val="000000"/>
          <w:szCs w:val="20"/>
          <w:lang w:val="en-US" w:eastAsia="fr-FR"/>
        </w:rPr>
        <w:t>i</w:t>
      </w:r>
      <w:r w:rsidR="004A12A2" w:rsidRPr="003C5866">
        <w:rPr>
          <w:rFonts w:ascii="Arial" w:eastAsia="Times New Roman" w:hAnsi="Arial" w:cs="Arial"/>
          <w:b/>
          <w:bCs/>
          <w:color w:val="000000"/>
          <w:szCs w:val="20"/>
          <w:lang w:val="en-US" w:eastAsia="fr-FR"/>
        </w:rPr>
        <w:t>cidal</w:t>
      </w:r>
      <w:r w:rsidRPr="003C5866">
        <w:rPr>
          <w:rFonts w:ascii="Arial" w:eastAsia="Times New Roman" w:hAnsi="Arial" w:cs="Arial"/>
          <w:b/>
          <w:bCs/>
          <w:color w:val="000000"/>
          <w:szCs w:val="20"/>
          <w:lang w:val="en-US" w:eastAsia="fr-FR"/>
        </w:rPr>
        <w:t xml:space="preserve"> effect of biopesticides</w:t>
      </w:r>
    </w:p>
    <w:p w14:paraId="20EA93D3" w14:textId="77777777" w:rsidR="006E3B80" w:rsidRPr="007D7017" w:rsidRDefault="001A313C" w:rsidP="007D7017">
      <w:pPr>
        <w:pStyle w:val="ListParagraph"/>
        <w:tabs>
          <w:tab w:val="left" w:pos="1134"/>
        </w:tabs>
        <w:spacing w:after="0" w:line="360" w:lineRule="auto"/>
        <w:ind w:left="0"/>
        <w:jc w:val="both"/>
        <w:rPr>
          <w:rFonts w:ascii="Arial" w:eastAsia="Times New Roman" w:hAnsi="Arial" w:cs="Arial"/>
          <w:color w:val="000000"/>
          <w:sz w:val="20"/>
          <w:szCs w:val="20"/>
          <w:lang w:val="en-US" w:eastAsia="fr-FR"/>
        </w:rPr>
      </w:pPr>
      <w:r w:rsidRPr="003C5866">
        <w:rPr>
          <w:rFonts w:ascii="Arial" w:eastAsia="Times New Roman" w:hAnsi="Arial" w:cs="Arial"/>
          <w:color w:val="000000"/>
          <w:sz w:val="20"/>
          <w:szCs w:val="20"/>
          <w:lang w:val="en-US" w:eastAsia="fr-FR"/>
        </w:rPr>
        <w:t xml:space="preserve">For the evaluation of the </w:t>
      </w:r>
      <w:r w:rsidR="004A12A2" w:rsidRPr="003C5866">
        <w:rPr>
          <w:rFonts w:ascii="Arial" w:eastAsia="Times New Roman" w:hAnsi="Arial" w:cs="Arial"/>
          <w:color w:val="000000"/>
          <w:sz w:val="20"/>
          <w:szCs w:val="20"/>
          <w:lang w:val="en-US" w:eastAsia="fr-FR"/>
        </w:rPr>
        <w:t>nemat</w:t>
      </w:r>
      <w:r w:rsidR="001B6895">
        <w:rPr>
          <w:rFonts w:ascii="Arial" w:eastAsia="Times New Roman" w:hAnsi="Arial" w:cs="Arial"/>
          <w:color w:val="000000"/>
          <w:sz w:val="20"/>
          <w:szCs w:val="20"/>
          <w:lang w:val="en-US" w:eastAsia="fr-FR"/>
        </w:rPr>
        <w:t>i</w:t>
      </w:r>
      <w:r w:rsidR="004A12A2" w:rsidRPr="003C5866">
        <w:rPr>
          <w:rFonts w:ascii="Arial" w:eastAsia="Times New Roman" w:hAnsi="Arial" w:cs="Arial"/>
          <w:color w:val="000000"/>
          <w:sz w:val="20"/>
          <w:szCs w:val="20"/>
          <w:lang w:val="en-US" w:eastAsia="fr-FR"/>
        </w:rPr>
        <w:t>cidal</w:t>
      </w:r>
      <w:r w:rsidR="00301620" w:rsidRPr="003C5866">
        <w:rPr>
          <w:rFonts w:ascii="Arial" w:eastAsia="Times New Roman" w:hAnsi="Arial" w:cs="Arial"/>
          <w:color w:val="000000"/>
          <w:sz w:val="20"/>
          <w:szCs w:val="20"/>
          <w:lang w:val="en-US" w:eastAsia="fr-FR"/>
        </w:rPr>
        <w:t xml:space="preserve"> effect of biopesticides, </w:t>
      </w:r>
      <w:r w:rsidRPr="003C5866">
        <w:rPr>
          <w:rFonts w:ascii="Arial" w:eastAsia="Times New Roman" w:hAnsi="Arial" w:cs="Arial"/>
          <w:color w:val="000000"/>
          <w:sz w:val="20"/>
          <w:szCs w:val="20"/>
          <w:lang w:val="en-US" w:eastAsia="fr-FR"/>
        </w:rPr>
        <w:t>10 nematodes (</w:t>
      </w:r>
      <w:proofErr w:type="spellStart"/>
      <w:r w:rsidR="00216085" w:rsidRPr="003C5866">
        <w:rPr>
          <w:rStyle w:val="lrzxr"/>
          <w:rFonts w:ascii="Arial" w:hAnsi="Arial" w:cs="Arial"/>
          <w:i/>
          <w:sz w:val="20"/>
          <w:szCs w:val="20"/>
          <w:lang w:val="en-US"/>
        </w:rPr>
        <w:t>Radopholus</w:t>
      </w:r>
      <w:proofErr w:type="spellEnd"/>
      <w:r w:rsidR="0040351A" w:rsidRPr="003C5866">
        <w:rPr>
          <w:rStyle w:val="lrzxr"/>
          <w:rFonts w:ascii="Arial" w:hAnsi="Arial" w:cs="Arial"/>
          <w:i/>
          <w:sz w:val="20"/>
          <w:szCs w:val="20"/>
          <w:lang w:val="en-US"/>
        </w:rPr>
        <w:t xml:space="preserve"> </w:t>
      </w:r>
      <w:proofErr w:type="spellStart"/>
      <w:r w:rsidR="00216085" w:rsidRPr="003C5866">
        <w:rPr>
          <w:rStyle w:val="lrzxr"/>
          <w:rFonts w:ascii="Arial" w:hAnsi="Arial" w:cs="Arial"/>
          <w:i/>
          <w:sz w:val="20"/>
          <w:szCs w:val="20"/>
          <w:lang w:val="en-US"/>
        </w:rPr>
        <w:t>similis</w:t>
      </w:r>
      <w:proofErr w:type="spellEnd"/>
      <w:r w:rsidR="00216085" w:rsidRPr="003C5866">
        <w:rPr>
          <w:rStyle w:val="lrzxr"/>
          <w:rFonts w:ascii="Arial" w:hAnsi="Arial" w:cs="Arial"/>
          <w:sz w:val="20"/>
          <w:szCs w:val="20"/>
          <w:lang w:val="en-US"/>
        </w:rPr>
        <w:t>)</w:t>
      </w:r>
      <w:r w:rsidR="0040351A" w:rsidRPr="003C5866">
        <w:rPr>
          <w:rStyle w:val="lrzxr"/>
          <w:rFonts w:ascii="Arial" w:hAnsi="Arial" w:cs="Arial"/>
          <w:sz w:val="20"/>
          <w:szCs w:val="20"/>
          <w:lang w:val="en-US"/>
        </w:rPr>
        <w:t xml:space="preserve">. </w:t>
      </w:r>
      <w:r w:rsidRPr="003C5866">
        <w:rPr>
          <w:rFonts w:ascii="Arial" w:eastAsia="Times New Roman" w:hAnsi="Arial" w:cs="Arial"/>
          <w:color w:val="000000"/>
          <w:sz w:val="20"/>
          <w:szCs w:val="20"/>
          <w:lang w:val="en-US" w:eastAsia="fr-FR"/>
        </w:rPr>
        <w:t xml:space="preserve">Nematodes were placed in a 9 mL aqueous suspension of distilled water per test tube, and then 1 mL of different treatments (including the positive control) diluted to a concentration of 100 µL/mL was added, with the exception of the negative control (which consisted of 100% distilled water). The test was performed with three replicates for each treatment. The test tubes were incubated at room temperature (28 </w:t>
      </w:r>
      <w:r w:rsidRPr="007D7017">
        <w:rPr>
          <w:rFonts w:ascii="Arial" w:eastAsia="Times New Roman" w:hAnsi="Arial" w:cs="Arial"/>
          <w:color w:val="000000"/>
          <w:sz w:val="20"/>
          <w:szCs w:val="20"/>
          <w:lang w:val="en-US" w:eastAsia="fr-FR"/>
        </w:rPr>
        <w:t>± 2 °C)</w:t>
      </w:r>
      <w:r w:rsidRPr="003C5866">
        <w:rPr>
          <w:rFonts w:ascii="Arial" w:eastAsia="Times New Roman" w:hAnsi="Arial" w:cs="Arial"/>
          <w:color w:val="000000"/>
          <w:sz w:val="20"/>
          <w:szCs w:val="20"/>
          <w:lang w:val="en-US" w:eastAsia="fr-FR"/>
        </w:rPr>
        <w:t xml:space="preserve"> for 4 hours, and the nematode mortality rate </w:t>
      </w:r>
      <w:r w:rsidRPr="007D7017">
        <w:rPr>
          <w:rFonts w:ascii="Arial" w:eastAsia="Times New Roman" w:hAnsi="Arial" w:cs="Arial"/>
          <w:color w:val="000000"/>
          <w:sz w:val="20"/>
          <w:szCs w:val="20"/>
          <w:lang w:val="en-US" w:eastAsia="fr-FR"/>
        </w:rPr>
        <w:t>(M</w:t>
      </w:r>
      <w:r w:rsidR="00BD0E91">
        <w:rPr>
          <w:rFonts w:ascii="Arial" w:eastAsia="Times New Roman" w:hAnsi="Arial" w:cs="Arial"/>
          <w:color w:val="000000"/>
          <w:sz w:val="20"/>
          <w:szCs w:val="20"/>
          <w:lang w:val="en-US" w:eastAsia="fr-FR"/>
        </w:rPr>
        <w:t>R</w:t>
      </w:r>
      <w:r w:rsidRPr="003C5866">
        <w:rPr>
          <w:rFonts w:ascii="Arial" w:eastAsia="Times New Roman" w:hAnsi="Arial" w:cs="Arial"/>
          <w:color w:val="000000"/>
          <w:sz w:val="20"/>
          <w:szCs w:val="20"/>
          <w:lang w:val="en-US" w:eastAsia="fr-FR"/>
        </w:rPr>
        <w:t>) was recorded and corrected ag</w:t>
      </w:r>
      <w:r w:rsidR="0040351A" w:rsidRPr="003C5866">
        <w:rPr>
          <w:rFonts w:ascii="Arial" w:eastAsia="Times New Roman" w:hAnsi="Arial" w:cs="Arial"/>
          <w:color w:val="000000"/>
          <w:sz w:val="20"/>
          <w:szCs w:val="20"/>
          <w:lang w:val="en-US" w:eastAsia="fr-FR"/>
        </w:rPr>
        <w:t>ainst the control using Abbott</w:t>
      </w:r>
      <w:r w:rsidRPr="003C5866">
        <w:rPr>
          <w:rFonts w:ascii="Arial" w:eastAsia="Times New Roman" w:hAnsi="Arial" w:cs="Arial"/>
          <w:color w:val="000000"/>
          <w:sz w:val="20"/>
          <w:szCs w:val="20"/>
          <w:lang w:val="en-US" w:eastAsia="fr-FR"/>
        </w:rPr>
        <w:t xml:space="preserve"> </w:t>
      </w:r>
      <w:r w:rsidR="0040351A" w:rsidRPr="003C5866">
        <w:rPr>
          <w:rFonts w:ascii="Arial" w:eastAsia="Times New Roman" w:hAnsi="Arial" w:cs="Arial"/>
          <w:color w:val="000000"/>
          <w:sz w:val="20"/>
          <w:szCs w:val="20"/>
          <w:lang w:val="en-US" w:eastAsia="fr-FR"/>
        </w:rPr>
        <w:t>(1925) formula</w:t>
      </w:r>
      <w:r w:rsidR="007D7017">
        <w:rPr>
          <w:rFonts w:ascii="Arial" w:eastAsia="Times New Roman" w:hAnsi="Arial" w:cs="Arial"/>
          <w:color w:val="000000"/>
          <w:sz w:val="20"/>
          <w:szCs w:val="20"/>
          <w:lang w:val="en-US" w:eastAsia="fr-FR"/>
        </w:rPr>
        <w:t xml:space="preserve"> as presented in point </w:t>
      </w:r>
      <w:r w:rsidR="007D7017" w:rsidRPr="007D7017">
        <w:rPr>
          <w:rFonts w:ascii="Arial" w:eastAsia="Times New Roman" w:hAnsi="Arial" w:cs="Arial"/>
          <w:b/>
          <w:bCs/>
          <w:color w:val="000000"/>
          <w:sz w:val="20"/>
          <w:szCs w:val="20"/>
          <w:lang w:val="en-US" w:eastAsia="fr-FR"/>
        </w:rPr>
        <w:t>2.5</w:t>
      </w:r>
      <w:r w:rsidR="0040351A" w:rsidRPr="003C5866">
        <w:rPr>
          <w:rFonts w:ascii="Arial" w:eastAsia="Times New Roman" w:hAnsi="Arial" w:cs="Arial"/>
          <w:color w:val="000000"/>
          <w:sz w:val="20"/>
          <w:szCs w:val="20"/>
          <w:lang w:val="en-US" w:eastAsia="fr-FR"/>
        </w:rPr>
        <w:t>.</w:t>
      </w:r>
    </w:p>
    <w:p w14:paraId="6235C33E" w14:textId="77777777" w:rsidR="005F7538" w:rsidRPr="003C5866" w:rsidRDefault="00301620" w:rsidP="00301620">
      <w:pPr>
        <w:spacing w:line="480" w:lineRule="auto"/>
        <w:contextualSpacing/>
        <w:rPr>
          <w:rFonts w:ascii="Arial" w:eastAsia="Arial" w:hAnsi="Arial" w:cs="Arial"/>
          <w:b/>
          <w:bCs/>
          <w:szCs w:val="20"/>
          <w:lang w:val="en-US" w:eastAsia="fr-FR"/>
        </w:rPr>
      </w:pPr>
      <w:r w:rsidRPr="007D7017">
        <w:rPr>
          <w:rFonts w:ascii="Arial" w:eastAsia="Arial" w:hAnsi="Arial" w:cs="Arial"/>
          <w:b/>
          <w:bCs/>
          <w:szCs w:val="20"/>
          <w:lang w:val="en-US" w:eastAsia="fr-FR"/>
        </w:rPr>
        <w:t>2.</w:t>
      </w:r>
      <w:r w:rsidR="007D7017">
        <w:rPr>
          <w:rFonts w:ascii="Arial" w:eastAsia="Arial" w:hAnsi="Arial" w:cs="Arial"/>
          <w:b/>
          <w:bCs/>
          <w:szCs w:val="20"/>
          <w:lang w:val="en-US" w:eastAsia="fr-FR"/>
        </w:rPr>
        <w:t>7</w:t>
      </w:r>
      <w:r w:rsidRPr="003C5866">
        <w:rPr>
          <w:rFonts w:ascii="Arial" w:eastAsia="Arial" w:hAnsi="Arial" w:cs="Arial"/>
          <w:b/>
          <w:bCs/>
          <w:szCs w:val="20"/>
          <w:lang w:val="en-US" w:eastAsia="fr-FR"/>
        </w:rPr>
        <w:t xml:space="preserve"> </w:t>
      </w:r>
      <w:r w:rsidR="001844EF" w:rsidRPr="003C5866">
        <w:rPr>
          <w:rFonts w:ascii="Arial" w:eastAsia="Arial" w:hAnsi="Arial" w:cs="Arial"/>
          <w:b/>
          <w:bCs/>
          <w:szCs w:val="20"/>
          <w:lang w:val="en-US" w:eastAsia="fr-FR"/>
        </w:rPr>
        <w:t>Statistical analyses</w:t>
      </w:r>
    </w:p>
    <w:p w14:paraId="43900734" w14:textId="77777777" w:rsidR="0068351F" w:rsidRPr="003C5866" w:rsidRDefault="00B530CA" w:rsidP="00301620">
      <w:pPr>
        <w:spacing w:after="0" w:line="360" w:lineRule="auto"/>
        <w:jc w:val="both"/>
        <w:rPr>
          <w:rFonts w:ascii="Arial" w:eastAsia="Times New Roman" w:hAnsi="Arial" w:cs="Arial"/>
          <w:color w:val="000000"/>
          <w:sz w:val="20"/>
          <w:szCs w:val="20"/>
          <w:lang w:val="en-US" w:eastAsia="fr-FR"/>
        </w:rPr>
      </w:pPr>
      <w:r w:rsidRPr="003C5866">
        <w:rPr>
          <w:rFonts w:ascii="Arial" w:eastAsia="Times New Roman" w:hAnsi="Arial" w:cs="Arial"/>
          <w:color w:val="000000"/>
          <w:sz w:val="20"/>
          <w:szCs w:val="20"/>
          <w:lang w:val="en-US" w:eastAsia="fr-FR"/>
        </w:rPr>
        <w:t>An analysis of variance (ANOVA) was performed using XLSTAT software (version 2025) for all parameters studied.</w:t>
      </w:r>
      <w:r w:rsidR="00250444" w:rsidRPr="003C5866">
        <w:rPr>
          <w:rFonts w:ascii="Arial" w:eastAsia="Times New Roman" w:hAnsi="Arial" w:cs="Arial"/>
          <w:color w:val="000000"/>
          <w:sz w:val="20"/>
          <w:szCs w:val="20"/>
          <w:lang w:val="en-US" w:eastAsia="fr-FR"/>
        </w:rPr>
        <w:t xml:space="preserve"> </w:t>
      </w:r>
      <w:r w:rsidR="00154E99" w:rsidRPr="003C5866">
        <w:rPr>
          <w:rFonts w:ascii="Arial" w:hAnsi="Arial" w:cs="Arial"/>
          <w:sz w:val="20"/>
          <w:szCs w:val="20"/>
          <w:lang w:val="en-US"/>
        </w:rPr>
        <w:t>Comparisons of means between modalities were performed using Tukey's test at a significance level of 5%.</w:t>
      </w:r>
    </w:p>
    <w:p w14:paraId="07711C07" w14:textId="77777777" w:rsidR="0068351F" w:rsidRPr="003C5866" w:rsidRDefault="0068351F" w:rsidP="009953E1">
      <w:pPr>
        <w:tabs>
          <w:tab w:val="left" w:pos="2517"/>
        </w:tabs>
        <w:spacing w:after="0" w:line="480" w:lineRule="auto"/>
        <w:jc w:val="both"/>
        <w:rPr>
          <w:rFonts w:ascii="Arial" w:eastAsia="Arial" w:hAnsi="Arial" w:cs="Arial"/>
          <w:b/>
          <w:bCs/>
          <w:sz w:val="24"/>
          <w:szCs w:val="24"/>
          <w:lang w:val="en-US" w:eastAsia="fr-FR"/>
        </w:rPr>
      </w:pPr>
    </w:p>
    <w:p w14:paraId="194CEC9F" w14:textId="77777777" w:rsidR="0068351F" w:rsidRPr="003C5866" w:rsidRDefault="00301620" w:rsidP="00301620">
      <w:pPr>
        <w:tabs>
          <w:tab w:val="left" w:pos="2517"/>
        </w:tabs>
        <w:spacing w:after="0" w:line="480" w:lineRule="auto"/>
        <w:jc w:val="both"/>
        <w:rPr>
          <w:rFonts w:ascii="Arial" w:hAnsi="Arial" w:cs="Arial"/>
          <w:sz w:val="24"/>
          <w:szCs w:val="24"/>
          <w:lang w:val="en-US"/>
        </w:rPr>
      </w:pPr>
      <w:r w:rsidRPr="003C5866">
        <w:rPr>
          <w:rFonts w:ascii="Arial" w:eastAsia="Arial" w:hAnsi="Arial" w:cs="Arial"/>
          <w:b/>
          <w:bCs/>
          <w:szCs w:val="24"/>
          <w:lang w:val="en-US" w:eastAsia="fr-FR"/>
        </w:rPr>
        <w:t>3. RESULTS</w:t>
      </w:r>
      <w:r w:rsidR="0068351F" w:rsidRPr="003C5866">
        <w:rPr>
          <w:rFonts w:ascii="Arial" w:eastAsia="Arial" w:hAnsi="Arial" w:cs="Arial"/>
          <w:b/>
          <w:bCs/>
          <w:sz w:val="24"/>
          <w:szCs w:val="24"/>
          <w:lang w:val="en-US" w:eastAsia="fr-FR"/>
        </w:rPr>
        <w:tab/>
      </w:r>
    </w:p>
    <w:p w14:paraId="371E4C74" w14:textId="77777777" w:rsidR="001759D7" w:rsidRPr="003C5866" w:rsidRDefault="00301620" w:rsidP="00301620">
      <w:pPr>
        <w:autoSpaceDE w:val="0"/>
        <w:autoSpaceDN w:val="0"/>
        <w:adjustRightInd w:val="0"/>
        <w:spacing w:after="0" w:line="480" w:lineRule="auto"/>
        <w:rPr>
          <w:rFonts w:ascii="Arial" w:hAnsi="Arial" w:cs="Arial"/>
          <w:b/>
          <w:sz w:val="24"/>
          <w:szCs w:val="24"/>
          <w:lang w:val="en-US"/>
        </w:rPr>
      </w:pPr>
      <w:r w:rsidRPr="003C5866">
        <w:rPr>
          <w:rFonts w:ascii="Arial" w:hAnsi="Arial" w:cs="Arial"/>
          <w:b/>
          <w:sz w:val="20"/>
          <w:szCs w:val="24"/>
          <w:lang w:val="en-US"/>
        </w:rPr>
        <w:t>3.1</w:t>
      </w:r>
      <w:r w:rsidR="001759D7" w:rsidRPr="003C5866">
        <w:rPr>
          <w:rFonts w:ascii="Arial" w:hAnsi="Arial" w:cs="Arial"/>
          <w:b/>
          <w:sz w:val="20"/>
          <w:szCs w:val="24"/>
          <w:lang w:val="en-US"/>
        </w:rPr>
        <w:t xml:space="preserve"> Antifungal effect of biopesticides</w:t>
      </w:r>
    </w:p>
    <w:p w14:paraId="2067DCED" w14:textId="77777777" w:rsidR="000A4691" w:rsidRDefault="00D24E06" w:rsidP="00B032B4">
      <w:pPr>
        <w:spacing w:after="0" w:line="360" w:lineRule="auto"/>
        <w:jc w:val="both"/>
        <w:rPr>
          <w:rFonts w:ascii="Arial" w:hAnsi="Arial" w:cs="Arial"/>
          <w:sz w:val="20"/>
          <w:szCs w:val="24"/>
          <w:lang w:val="en-US"/>
        </w:rPr>
      </w:pPr>
      <w:r w:rsidRPr="00ED2148">
        <w:rPr>
          <w:rFonts w:ascii="Arial" w:hAnsi="Arial" w:cs="Arial"/>
          <w:sz w:val="20"/>
          <w:szCs w:val="24"/>
          <w:lang w:val="en-US"/>
        </w:rPr>
        <w:t xml:space="preserve">Analysis of variance (ANOVA) of the </w:t>
      </w:r>
      <w:r w:rsidR="008C4586" w:rsidRPr="00ED2148">
        <w:rPr>
          <w:rFonts w:ascii="Arial" w:hAnsi="Arial" w:cs="Arial"/>
          <w:sz w:val="20"/>
          <w:szCs w:val="24"/>
          <w:lang w:val="en-US"/>
        </w:rPr>
        <w:t>mycelial</w:t>
      </w:r>
      <w:r w:rsidRPr="00ED2148">
        <w:rPr>
          <w:rFonts w:ascii="Arial" w:hAnsi="Arial" w:cs="Arial"/>
          <w:sz w:val="20"/>
          <w:szCs w:val="24"/>
          <w:lang w:val="en-US"/>
        </w:rPr>
        <w:t xml:space="preserve"> growth kinetics of fungal strains (</w:t>
      </w:r>
      <w:r w:rsidRPr="00ED2148">
        <w:rPr>
          <w:rFonts w:ascii="Arial" w:hAnsi="Arial" w:cs="Arial"/>
          <w:i/>
          <w:sz w:val="20"/>
          <w:szCs w:val="24"/>
          <w:lang w:val="en-US"/>
        </w:rPr>
        <w:t xml:space="preserve">Aspergillus flavus </w:t>
      </w:r>
      <w:r w:rsidRPr="00ED2148">
        <w:rPr>
          <w:rFonts w:ascii="Arial" w:hAnsi="Arial" w:cs="Arial"/>
          <w:sz w:val="20"/>
          <w:szCs w:val="24"/>
          <w:lang w:val="en-US"/>
        </w:rPr>
        <w:t xml:space="preserve">and </w:t>
      </w:r>
      <w:r w:rsidRPr="00ED2148">
        <w:rPr>
          <w:rFonts w:ascii="Arial" w:hAnsi="Arial" w:cs="Arial"/>
          <w:i/>
          <w:sz w:val="20"/>
          <w:szCs w:val="24"/>
          <w:lang w:val="en-US"/>
        </w:rPr>
        <w:t xml:space="preserve">Fusarium </w:t>
      </w:r>
      <w:r w:rsidRPr="00ED2148">
        <w:rPr>
          <w:rFonts w:ascii="Arial" w:hAnsi="Arial" w:cs="Arial"/>
          <w:sz w:val="20"/>
          <w:szCs w:val="24"/>
          <w:lang w:val="en-US"/>
        </w:rPr>
        <w:t xml:space="preserve">spp.) in the presence of biopesticides revealed a highly significant effect </w:t>
      </w:r>
      <w:r w:rsidRPr="00BD3800">
        <w:rPr>
          <w:rFonts w:ascii="Arial" w:hAnsi="Arial" w:cs="Arial"/>
          <w:sz w:val="20"/>
          <w:szCs w:val="24"/>
          <w:lang w:val="en-US"/>
        </w:rPr>
        <w:t>(</w:t>
      </w:r>
      <w:r w:rsidRPr="0027167F">
        <w:rPr>
          <w:rFonts w:ascii="Arial" w:hAnsi="Arial" w:cs="Arial"/>
          <w:iCs/>
          <w:sz w:val="20"/>
          <w:szCs w:val="24"/>
          <w:lang w:val="en-US"/>
        </w:rPr>
        <w:t xml:space="preserve">P&lt; </w:t>
      </w:r>
      <w:r w:rsidR="00BD3800" w:rsidRPr="0027167F">
        <w:rPr>
          <w:rFonts w:ascii="Arial" w:hAnsi="Arial" w:cs="Arial"/>
          <w:iCs/>
          <w:sz w:val="20"/>
          <w:szCs w:val="24"/>
          <w:lang w:val="en-US"/>
        </w:rPr>
        <w:t>0</w:t>
      </w:r>
      <w:r w:rsidR="007815D1" w:rsidRPr="0027167F">
        <w:rPr>
          <w:rFonts w:ascii="Arial" w:hAnsi="Arial" w:cs="Arial"/>
          <w:iCs/>
          <w:sz w:val="20"/>
          <w:szCs w:val="24"/>
          <w:lang w:val="en-US"/>
        </w:rPr>
        <w:t>.001</w:t>
      </w:r>
      <w:r w:rsidRPr="00BD3800">
        <w:rPr>
          <w:rFonts w:ascii="Arial" w:hAnsi="Arial" w:cs="Arial"/>
          <w:sz w:val="20"/>
          <w:szCs w:val="24"/>
          <w:lang w:val="en-US"/>
        </w:rPr>
        <w:t>)</w:t>
      </w:r>
      <w:r w:rsidRPr="00ED2148">
        <w:rPr>
          <w:rFonts w:ascii="Arial" w:hAnsi="Arial" w:cs="Arial"/>
          <w:sz w:val="20"/>
          <w:szCs w:val="24"/>
          <w:lang w:val="en-US"/>
        </w:rPr>
        <w:t xml:space="preserve"> of the </w:t>
      </w:r>
      <w:r w:rsidR="008C4586" w:rsidRPr="00ED2148">
        <w:rPr>
          <w:rFonts w:ascii="Arial" w:hAnsi="Arial" w:cs="Arial"/>
          <w:sz w:val="20"/>
          <w:szCs w:val="24"/>
          <w:lang w:val="en-US"/>
        </w:rPr>
        <w:t>variable’s</w:t>
      </w:r>
      <w:r w:rsidRPr="00ED2148">
        <w:rPr>
          <w:rFonts w:ascii="Arial" w:hAnsi="Arial" w:cs="Arial"/>
          <w:sz w:val="20"/>
          <w:szCs w:val="24"/>
          <w:lang w:val="en-US"/>
        </w:rPr>
        <w:t xml:space="preserve"> modality and time, as well as their interaction (modality*time), with coefficients of determination (R²) of 99% (Table 2). Biopesticides had a significant inhibitory effect </w:t>
      </w:r>
      <w:r w:rsidRPr="00BD3800">
        <w:rPr>
          <w:rFonts w:ascii="Arial" w:hAnsi="Arial" w:cs="Arial"/>
          <w:sz w:val="20"/>
          <w:szCs w:val="24"/>
          <w:lang w:val="en-US"/>
        </w:rPr>
        <w:t>(</w:t>
      </w:r>
      <w:r w:rsidRPr="0027167F">
        <w:rPr>
          <w:rFonts w:ascii="Arial" w:hAnsi="Arial" w:cs="Arial"/>
          <w:iCs/>
          <w:sz w:val="20"/>
          <w:szCs w:val="24"/>
          <w:lang w:val="en-US"/>
        </w:rPr>
        <w:t xml:space="preserve">P&lt; </w:t>
      </w:r>
      <w:r w:rsidR="00BD3800" w:rsidRPr="0027167F">
        <w:rPr>
          <w:rFonts w:ascii="Arial" w:hAnsi="Arial" w:cs="Arial"/>
          <w:iCs/>
          <w:sz w:val="20"/>
          <w:szCs w:val="24"/>
          <w:lang w:val="en-US"/>
        </w:rPr>
        <w:t>0</w:t>
      </w:r>
      <w:r w:rsidR="007815D1" w:rsidRPr="0027167F">
        <w:rPr>
          <w:rFonts w:ascii="Arial" w:hAnsi="Arial" w:cs="Arial"/>
          <w:iCs/>
          <w:sz w:val="20"/>
          <w:szCs w:val="24"/>
          <w:lang w:val="en-US"/>
        </w:rPr>
        <w:t>.001</w:t>
      </w:r>
      <w:r w:rsidRPr="00BD3800">
        <w:rPr>
          <w:rFonts w:ascii="Arial" w:hAnsi="Arial" w:cs="Arial"/>
          <w:sz w:val="20"/>
          <w:szCs w:val="24"/>
          <w:lang w:val="en-US"/>
        </w:rPr>
        <w:t>)</w:t>
      </w:r>
      <w:r w:rsidRPr="00ED2148">
        <w:rPr>
          <w:rFonts w:ascii="Arial" w:hAnsi="Arial" w:cs="Arial"/>
          <w:sz w:val="20"/>
          <w:szCs w:val="24"/>
          <w:lang w:val="en-US"/>
        </w:rPr>
        <w:t xml:space="preserve"> on the mycelial growth of both fungal strains. The growth kinetics of </w:t>
      </w:r>
      <w:r w:rsidRPr="00ED2148">
        <w:rPr>
          <w:rFonts w:ascii="Arial" w:hAnsi="Arial" w:cs="Arial"/>
          <w:i/>
          <w:sz w:val="20"/>
          <w:szCs w:val="24"/>
          <w:lang w:val="en-US"/>
        </w:rPr>
        <w:t>Aspergillus flavus</w:t>
      </w:r>
      <w:r w:rsidRPr="00ED2148">
        <w:rPr>
          <w:rFonts w:ascii="Arial" w:hAnsi="Arial" w:cs="Arial"/>
          <w:sz w:val="20"/>
          <w:szCs w:val="24"/>
          <w:lang w:val="en-US"/>
        </w:rPr>
        <w:t xml:space="preserve">, recorded over a period of five (5) days, were higher than those of </w:t>
      </w:r>
      <w:r w:rsidRPr="00ED2148">
        <w:rPr>
          <w:rFonts w:ascii="Arial" w:hAnsi="Arial" w:cs="Arial"/>
          <w:i/>
          <w:sz w:val="20"/>
          <w:szCs w:val="24"/>
          <w:lang w:val="en-US"/>
        </w:rPr>
        <w:t>Fusarium</w:t>
      </w:r>
      <w:r w:rsidRPr="00ED2148">
        <w:rPr>
          <w:rFonts w:ascii="Arial" w:hAnsi="Arial" w:cs="Arial"/>
          <w:sz w:val="20"/>
          <w:szCs w:val="24"/>
          <w:lang w:val="en-US"/>
        </w:rPr>
        <w:t xml:space="preserve"> spp., monitored for seven (7) days (Figure 1). Mycelial growth was maximal and continuous in the negative control (C–) compared to the </w:t>
      </w:r>
      <w:r w:rsidRPr="00ED2148">
        <w:rPr>
          <w:rFonts w:ascii="Arial" w:hAnsi="Arial" w:cs="Arial"/>
          <w:sz w:val="20"/>
          <w:szCs w:val="24"/>
          <w:lang w:val="en-US"/>
        </w:rPr>
        <w:lastRenderedPageBreak/>
        <w:t xml:space="preserve">biopesticides (BP1, BP2, BP3 and BP4) and the positive control (C+), where growth remained very limited regardless of the strain (Figure 1). However, in </w:t>
      </w:r>
      <w:r w:rsidRPr="00ED2148">
        <w:rPr>
          <w:rFonts w:ascii="Arial" w:hAnsi="Arial" w:cs="Arial"/>
          <w:i/>
          <w:sz w:val="20"/>
          <w:szCs w:val="24"/>
          <w:lang w:val="en-US"/>
        </w:rPr>
        <w:t>Aspergillus flavus</w:t>
      </w:r>
      <w:r w:rsidRPr="00ED2148">
        <w:rPr>
          <w:rFonts w:ascii="Arial" w:hAnsi="Arial" w:cs="Arial"/>
          <w:sz w:val="20"/>
          <w:szCs w:val="24"/>
          <w:lang w:val="en-US"/>
        </w:rPr>
        <w:t xml:space="preserve">, the biopesticides showed a more pronounced inhibitory effect on mycelial growth (95%) compared to the positive control (77%) </w:t>
      </w:r>
      <w:r w:rsidRPr="00DC1C8F">
        <w:rPr>
          <w:rFonts w:ascii="Arial" w:hAnsi="Arial" w:cs="Arial"/>
          <w:sz w:val="20"/>
          <w:szCs w:val="24"/>
          <w:lang w:val="en-US"/>
        </w:rPr>
        <w:t>(Figure 1</w:t>
      </w:r>
      <w:r w:rsidR="00DC1C8F" w:rsidRPr="00DC1C8F">
        <w:rPr>
          <w:rFonts w:ascii="Arial" w:hAnsi="Arial" w:cs="Arial"/>
          <w:sz w:val="20"/>
          <w:szCs w:val="24"/>
          <w:lang w:val="en-US"/>
        </w:rPr>
        <w:t>A</w:t>
      </w:r>
      <w:r w:rsidRPr="00DC1C8F">
        <w:rPr>
          <w:rFonts w:ascii="Arial" w:hAnsi="Arial" w:cs="Arial"/>
          <w:sz w:val="20"/>
          <w:szCs w:val="24"/>
          <w:lang w:val="en-US"/>
        </w:rPr>
        <w:t xml:space="preserve">), while in </w:t>
      </w:r>
      <w:r w:rsidRPr="00DC1C8F">
        <w:rPr>
          <w:rFonts w:ascii="Arial" w:hAnsi="Arial" w:cs="Arial"/>
          <w:i/>
          <w:sz w:val="20"/>
          <w:szCs w:val="24"/>
          <w:lang w:val="en-US"/>
        </w:rPr>
        <w:t>Fusarium</w:t>
      </w:r>
      <w:r w:rsidRPr="00DC1C8F">
        <w:rPr>
          <w:rFonts w:ascii="Arial" w:hAnsi="Arial" w:cs="Arial"/>
          <w:sz w:val="20"/>
          <w:szCs w:val="24"/>
          <w:lang w:val="en-US"/>
        </w:rPr>
        <w:t xml:space="preserve"> spp., their effects were almost identical (90%) (Figure 1</w:t>
      </w:r>
      <w:r w:rsidR="00DC1C8F" w:rsidRPr="00DC1C8F">
        <w:rPr>
          <w:rFonts w:ascii="Arial" w:hAnsi="Arial" w:cs="Arial"/>
          <w:sz w:val="20"/>
          <w:szCs w:val="24"/>
          <w:lang w:val="en-US"/>
        </w:rPr>
        <w:t>B</w:t>
      </w:r>
      <w:r w:rsidRPr="00DC1C8F">
        <w:rPr>
          <w:rFonts w:ascii="Arial" w:hAnsi="Arial" w:cs="Arial"/>
          <w:sz w:val="20"/>
          <w:szCs w:val="24"/>
          <w:lang w:val="en-US"/>
        </w:rPr>
        <w:t>).</w:t>
      </w:r>
      <w:r w:rsidRPr="00ED2148">
        <w:rPr>
          <w:rFonts w:ascii="Arial" w:hAnsi="Arial" w:cs="Arial"/>
          <w:sz w:val="20"/>
          <w:szCs w:val="24"/>
          <w:lang w:val="en-US"/>
        </w:rPr>
        <w:t xml:space="preserve"> Overall, regardless of the fungal strain, the BP4 treatment exhibited the highest antifungal effect.</w:t>
      </w:r>
    </w:p>
    <w:p w14:paraId="4B934152" w14:textId="77777777" w:rsidR="008C4586" w:rsidRPr="00ED2148" w:rsidRDefault="008C4586" w:rsidP="00B032B4">
      <w:pPr>
        <w:spacing w:after="0" w:line="360" w:lineRule="auto"/>
        <w:jc w:val="both"/>
        <w:rPr>
          <w:rFonts w:ascii="Arial" w:hAnsi="Arial" w:cs="Arial"/>
          <w:sz w:val="20"/>
          <w:szCs w:val="24"/>
          <w:lang w:val="en-US"/>
        </w:rPr>
      </w:pPr>
    </w:p>
    <w:p w14:paraId="6B3DBCBB" w14:textId="77777777" w:rsidR="00036667" w:rsidRDefault="00B839B5" w:rsidP="00FE53C2">
      <w:pPr>
        <w:spacing w:after="0" w:line="480" w:lineRule="auto"/>
        <w:jc w:val="center"/>
        <w:rPr>
          <w:rFonts w:ascii="Arial" w:eastAsia="Times New Roman" w:hAnsi="Arial" w:cs="Arial"/>
          <w:i/>
          <w:color w:val="000000"/>
          <w:sz w:val="20"/>
          <w:szCs w:val="24"/>
          <w:lang w:val="en-US" w:eastAsia="fr-FR"/>
        </w:rPr>
      </w:pPr>
      <w:r w:rsidRPr="00ED2148">
        <w:rPr>
          <w:rFonts w:ascii="Arial" w:hAnsi="Arial" w:cs="Arial"/>
          <w:b/>
          <w:sz w:val="20"/>
          <w:szCs w:val="24"/>
          <w:lang w:val="en-US"/>
        </w:rPr>
        <w:t>Table 2</w:t>
      </w:r>
      <w:r w:rsidR="006F36E2" w:rsidRPr="00ED2148">
        <w:rPr>
          <w:rFonts w:ascii="Arial" w:hAnsi="Arial" w:cs="Arial"/>
          <w:b/>
          <w:sz w:val="20"/>
          <w:szCs w:val="24"/>
          <w:lang w:val="en-US"/>
        </w:rPr>
        <w:t>.</w:t>
      </w:r>
      <w:r w:rsidR="006F36E2" w:rsidRPr="003C5866">
        <w:rPr>
          <w:rFonts w:ascii="Arial" w:hAnsi="Arial" w:cs="Arial"/>
          <w:b/>
          <w:sz w:val="20"/>
          <w:szCs w:val="24"/>
          <w:lang w:val="en-US"/>
        </w:rPr>
        <w:t xml:space="preserve"> </w:t>
      </w:r>
      <w:r w:rsidR="00AA6F5C" w:rsidRPr="003C5866">
        <w:rPr>
          <w:rFonts w:ascii="Arial" w:hAnsi="Arial" w:cs="Arial"/>
          <w:b/>
          <w:sz w:val="20"/>
          <w:szCs w:val="24"/>
          <w:lang w:val="en-US"/>
        </w:rPr>
        <w:t>Analysis of variance (ANOVA) of the antifungal effect of biopesti</w:t>
      </w:r>
      <w:r w:rsidR="00AA6F5C" w:rsidRPr="008C4586">
        <w:rPr>
          <w:rFonts w:ascii="Arial" w:hAnsi="Arial" w:cs="Arial"/>
          <w:b/>
          <w:sz w:val="20"/>
          <w:szCs w:val="24"/>
          <w:lang w:val="en-US"/>
        </w:rPr>
        <w:t>cides</w:t>
      </w:r>
      <w:r w:rsidR="008C4586" w:rsidRPr="008C4586">
        <w:rPr>
          <w:rFonts w:ascii="Arial" w:hAnsi="Arial" w:cs="Arial"/>
          <w:b/>
          <w:sz w:val="20"/>
          <w:szCs w:val="24"/>
          <w:lang w:val="en-US"/>
        </w:rPr>
        <w:t xml:space="preserve"> on </w:t>
      </w:r>
      <w:r w:rsidR="008C4586" w:rsidRPr="008C4586">
        <w:rPr>
          <w:rFonts w:ascii="Arial" w:eastAsia="Calibri" w:hAnsi="Arial" w:cs="Arial"/>
          <w:b/>
          <w:i/>
          <w:iCs/>
          <w:sz w:val="20"/>
          <w:szCs w:val="24"/>
          <w:lang w:val="en-US"/>
        </w:rPr>
        <w:t xml:space="preserve">Aspergillus flavus </w:t>
      </w:r>
      <w:r w:rsidR="008C4586" w:rsidRPr="008C4586">
        <w:rPr>
          <w:rFonts w:ascii="Arial" w:eastAsia="Calibri" w:hAnsi="Arial" w:cs="Arial"/>
          <w:b/>
          <w:sz w:val="20"/>
          <w:szCs w:val="24"/>
          <w:lang w:val="en-US"/>
        </w:rPr>
        <w:t>and</w:t>
      </w:r>
      <w:r w:rsidR="008C4586" w:rsidRPr="008C4586">
        <w:rPr>
          <w:rFonts w:ascii="Arial" w:eastAsia="Calibri" w:hAnsi="Arial" w:cs="Arial"/>
          <w:b/>
          <w:i/>
          <w:iCs/>
          <w:sz w:val="20"/>
          <w:szCs w:val="24"/>
          <w:lang w:val="en-US"/>
        </w:rPr>
        <w:t xml:space="preserve"> </w:t>
      </w:r>
      <w:r w:rsidR="008C4586" w:rsidRPr="008C4586">
        <w:rPr>
          <w:rFonts w:ascii="Arial" w:eastAsia="Times New Roman" w:hAnsi="Arial" w:cs="Arial"/>
          <w:b/>
          <w:i/>
          <w:color w:val="000000"/>
          <w:sz w:val="20"/>
          <w:szCs w:val="24"/>
          <w:lang w:val="en-US" w:eastAsia="fr-FR"/>
        </w:rPr>
        <w:t xml:space="preserve">Fusarium </w:t>
      </w:r>
      <w:r w:rsidR="008C4586" w:rsidRPr="008C4586">
        <w:rPr>
          <w:rFonts w:ascii="Arial" w:eastAsia="Times New Roman" w:hAnsi="Arial" w:cs="Arial"/>
          <w:b/>
          <w:color w:val="000000"/>
          <w:sz w:val="20"/>
          <w:szCs w:val="24"/>
          <w:lang w:val="en-US" w:eastAsia="fr-FR"/>
        </w:rPr>
        <w:t>spp. Strains.</w:t>
      </w:r>
    </w:p>
    <w:p w14:paraId="3A7E38E3" w14:textId="77777777" w:rsidR="008C4586" w:rsidRPr="008C4586" w:rsidRDefault="008C4586" w:rsidP="008C4586">
      <w:pPr>
        <w:spacing w:after="0" w:line="240" w:lineRule="auto"/>
        <w:jc w:val="center"/>
        <w:rPr>
          <w:rFonts w:ascii="Arial" w:eastAsia="Times New Roman" w:hAnsi="Arial" w:cs="Arial"/>
          <w:iCs/>
          <w:color w:val="000000"/>
          <w:sz w:val="10"/>
          <w:szCs w:val="10"/>
          <w:lang w:val="en-US" w:eastAsia="fr-FR"/>
        </w:rPr>
      </w:pPr>
    </w:p>
    <w:tbl>
      <w:tblPr>
        <w:tblW w:w="7513" w:type="dxa"/>
        <w:jc w:val="center"/>
        <w:tblLayout w:type="fixed"/>
        <w:tblCellMar>
          <w:left w:w="70" w:type="dxa"/>
          <w:right w:w="70" w:type="dxa"/>
        </w:tblCellMar>
        <w:tblLook w:val="04A0" w:firstRow="1" w:lastRow="0" w:firstColumn="1" w:lastColumn="0" w:noHBand="0" w:noVBand="1"/>
      </w:tblPr>
      <w:tblGrid>
        <w:gridCol w:w="1780"/>
        <w:gridCol w:w="772"/>
        <w:gridCol w:w="1084"/>
        <w:gridCol w:w="1262"/>
        <w:gridCol w:w="499"/>
        <w:gridCol w:w="1124"/>
        <w:gridCol w:w="992"/>
      </w:tblGrid>
      <w:tr w:rsidR="00036667" w:rsidRPr="002A554D" w14:paraId="3E0D4EAD" w14:textId="77777777" w:rsidTr="00ED2148">
        <w:trPr>
          <w:gridBefore w:val="1"/>
          <w:wBefore w:w="1780" w:type="dxa"/>
          <w:trHeight w:val="634"/>
          <w:jc w:val="center"/>
        </w:trPr>
        <w:tc>
          <w:tcPr>
            <w:tcW w:w="3118" w:type="dxa"/>
            <w:gridSpan w:val="3"/>
            <w:tcBorders>
              <w:top w:val="single" w:sz="18" w:space="0" w:color="auto"/>
              <w:left w:val="nil"/>
              <w:bottom w:val="nil"/>
              <w:right w:val="nil"/>
            </w:tcBorders>
            <w:vAlign w:val="center"/>
          </w:tcPr>
          <w:p w14:paraId="1759261F" w14:textId="77777777" w:rsidR="00036667" w:rsidRPr="002A554D" w:rsidRDefault="00036667" w:rsidP="003E720F">
            <w:pPr>
              <w:spacing w:after="0" w:line="480" w:lineRule="auto"/>
              <w:jc w:val="center"/>
              <w:rPr>
                <w:rFonts w:ascii="Arial" w:eastAsia="Calibri" w:hAnsi="Arial" w:cs="Arial"/>
                <w:i/>
                <w:iCs/>
                <w:sz w:val="20"/>
                <w:szCs w:val="24"/>
              </w:rPr>
            </w:pPr>
            <w:r w:rsidRPr="002A554D">
              <w:rPr>
                <w:rFonts w:ascii="Arial" w:eastAsia="Calibri" w:hAnsi="Arial" w:cs="Arial"/>
                <w:i/>
                <w:iCs/>
                <w:sz w:val="20"/>
                <w:szCs w:val="24"/>
              </w:rPr>
              <w:t>Aspergillus flavus</w:t>
            </w:r>
          </w:p>
          <w:p w14:paraId="52183BF1" w14:textId="77777777" w:rsidR="00036667" w:rsidRPr="002A554D" w:rsidRDefault="00036667" w:rsidP="003E720F">
            <w:pPr>
              <w:spacing w:after="0" w:line="480" w:lineRule="auto"/>
              <w:jc w:val="center"/>
              <w:rPr>
                <w:rFonts w:ascii="Arial" w:eastAsia="Times New Roman" w:hAnsi="Arial" w:cs="Arial"/>
                <w:color w:val="000000"/>
                <w:sz w:val="20"/>
                <w:szCs w:val="24"/>
                <w:lang w:eastAsia="fr-FR"/>
              </w:rPr>
            </w:pPr>
            <w:r w:rsidRPr="002A554D">
              <w:rPr>
                <w:rFonts w:ascii="Arial" w:eastAsia="Times New Roman" w:hAnsi="Arial" w:cs="Arial"/>
                <w:color w:val="000000"/>
                <w:sz w:val="20"/>
                <w:szCs w:val="24"/>
                <w:lang w:eastAsia="fr-FR"/>
              </w:rPr>
              <w:t>R² = 99%</w:t>
            </w:r>
          </w:p>
        </w:tc>
        <w:tc>
          <w:tcPr>
            <w:tcW w:w="2615" w:type="dxa"/>
            <w:gridSpan w:val="3"/>
            <w:tcBorders>
              <w:top w:val="single" w:sz="18" w:space="0" w:color="auto"/>
              <w:left w:val="nil"/>
              <w:bottom w:val="nil"/>
              <w:right w:val="nil"/>
            </w:tcBorders>
            <w:vAlign w:val="center"/>
          </w:tcPr>
          <w:p w14:paraId="06C06DBD" w14:textId="77777777" w:rsidR="00036667" w:rsidRPr="002A554D" w:rsidRDefault="00036667" w:rsidP="003E720F">
            <w:pPr>
              <w:spacing w:after="0" w:line="480" w:lineRule="auto"/>
              <w:jc w:val="center"/>
              <w:rPr>
                <w:rFonts w:ascii="Arial" w:eastAsia="Times New Roman" w:hAnsi="Arial" w:cs="Arial"/>
                <w:i/>
                <w:color w:val="000000"/>
                <w:sz w:val="20"/>
                <w:szCs w:val="24"/>
                <w:lang w:eastAsia="fr-FR"/>
              </w:rPr>
            </w:pPr>
            <w:r w:rsidRPr="002A554D">
              <w:rPr>
                <w:rFonts w:ascii="Arial" w:eastAsia="Times New Roman" w:hAnsi="Arial" w:cs="Arial"/>
                <w:i/>
                <w:color w:val="000000"/>
                <w:sz w:val="20"/>
                <w:szCs w:val="24"/>
                <w:lang w:eastAsia="fr-FR"/>
              </w:rPr>
              <w:t xml:space="preserve">Fusarium </w:t>
            </w:r>
            <w:r w:rsidRPr="002A554D">
              <w:rPr>
                <w:rFonts w:ascii="Arial" w:eastAsia="Times New Roman" w:hAnsi="Arial" w:cs="Arial"/>
                <w:color w:val="000000"/>
                <w:sz w:val="20"/>
                <w:szCs w:val="24"/>
                <w:lang w:eastAsia="fr-FR"/>
              </w:rPr>
              <w:t>spp</w:t>
            </w:r>
            <w:r w:rsidR="00250444" w:rsidRPr="002A554D">
              <w:rPr>
                <w:rFonts w:ascii="Arial" w:eastAsia="Times New Roman" w:hAnsi="Arial" w:cs="Arial"/>
                <w:color w:val="000000"/>
                <w:sz w:val="20"/>
                <w:szCs w:val="24"/>
                <w:lang w:eastAsia="fr-FR"/>
              </w:rPr>
              <w:t>.</w:t>
            </w:r>
          </w:p>
          <w:p w14:paraId="1F3E8F54" w14:textId="77777777" w:rsidR="00036667" w:rsidRPr="002A554D" w:rsidRDefault="00036667" w:rsidP="003E720F">
            <w:pPr>
              <w:spacing w:after="0" w:line="480" w:lineRule="auto"/>
              <w:ind w:left="708"/>
              <w:rPr>
                <w:rFonts w:ascii="Arial" w:eastAsia="Times New Roman" w:hAnsi="Arial" w:cs="Arial"/>
                <w:color w:val="000000"/>
                <w:sz w:val="20"/>
                <w:szCs w:val="24"/>
                <w:lang w:eastAsia="fr-FR"/>
              </w:rPr>
            </w:pPr>
            <w:r w:rsidRPr="002A554D">
              <w:rPr>
                <w:rFonts w:ascii="Arial" w:eastAsia="Times New Roman" w:hAnsi="Arial" w:cs="Arial"/>
                <w:color w:val="000000"/>
                <w:sz w:val="20"/>
                <w:szCs w:val="24"/>
                <w:lang w:eastAsia="fr-FR"/>
              </w:rPr>
              <w:t>R² = 99%</w:t>
            </w:r>
          </w:p>
        </w:tc>
      </w:tr>
      <w:tr w:rsidR="00003E7C" w:rsidRPr="002A554D" w14:paraId="0BC64875" w14:textId="77777777" w:rsidTr="00ED2148">
        <w:trPr>
          <w:trHeight w:val="324"/>
          <w:jc w:val="center"/>
        </w:trPr>
        <w:tc>
          <w:tcPr>
            <w:tcW w:w="1780" w:type="dxa"/>
            <w:tcBorders>
              <w:top w:val="single" w:sz="18" w:space="0" w:color="auto"/>
              <w:left w:val="nil"/>
              <w:bottom w:val="single" w:sz="18" w:space="0" w:color="auto"/>
              <w:right w:val="nil"/>
            </w:tcBorders>
            <w:vAlign w:val="center"/>
            <w:hideMark/>
          </w:tcPr>
          <w:p w14:paraId="1F900F6D" w14:textId="77777777" w:rsidR="00003E7C" w:rsidRPr="002A554D" w:rsidRDefault="00003E7C" w:rsidP="003E720F">
            <w:pPr>
              <w:spacing w:after="0" w:line="480" w:lineRule="auto"/>
              <w:jc w:val="center"/>
              <w:rPr>
                <w:rFonts w:ascii="Arial" w:eastAsia="Times New Roman" w:hAnsi="Arial" w:cs="Arial"/>
                <w:color w:val="000000"/>
                <w:sz w:val="20"/>
                <w:szCs w:val="24"/>
                <w:lang w:eastAsia="fr-FR"/>
              </w:rPr>
            </w:pPr>
            <w:r w:rsidRPr="002A554D">
              <w:rPr>
                <w:rFonts w:ascii="Arial" w:eastAsia="Times New Roman" w:hAnsi="Arial" w:cs="Arial"/>
                <w:color w:val="000000"/>
                <w:sz w:val="20"/>
                <w:szCs w:val="24"/>
                <w:lang w:eastAsia="fr-FR"/>
              </w:rPr>
              <w:t>Variables</w:t>
            </w:r>
          </w:p>
        </w:tc>
        <w:tc>
          <w:tcPr>
            <w:tcW w:w="772" w:type="dxa"/>
            <w:tcBorders>
              <w:top w:val="single" w:sz="18" w:space="0" w:color="auto"/>
              <w:left w:val="nil"/>
              <w:bottom w:val="single" w:sz="18" w:space="0" w:color="auto"/>
              <w:right w:val="nil"/>
            </w:tcBorders>
            <w:vAlign w:val="center"/>
            <w:hideMark/>
          </w:tcPr>
          <w:p w14:paraId="74AC947F" w14:textId="77777777" w:rsidR="00003E7C" w:rsidRPr="002A554D" w:rsidRDefault="004A12A2" w:rsidP="003E720F">
            <w:pPr>
              <w:spacing w:after="0" w:line="480" w:lineRule="auto"/>
              <w:jc w:val="center"/>
              <w:rPr>
                <w:rFonts w:ascii="Arial" w:eastAsia="Times New Roman" w:hAnsi="Arial" w:cs="Arial"/>
                <w:color w:val="000000"/>
                <w:sz w:val="20"/>
                <w:szCs w:val="24"/>
                <w:lang w:eastAsia="fr-FR"/>
              </w:rPr>
            </w:pPr>
            <w:proofErr w:type="spellStart"/>
            <w:r>
              <w:rPr>
                <w:rFonts w:ascii="Arial" w:eastAsia="Times New Roman" w:hAnsi="Arial" w:cs="Arial"/>
                <w:color w:val="000000"/>
                <w:sz w:val="20"/>
                <w:szCs w:val="24"/>
                <w:lang w:eastAsia="fr-FR"/>
              </w:rPr>
              <w:t>df</w:t>
            </w:r>
            <w:proofErr w:type="spellEnd"/>
          </w:p>
        </w:tc>
        <w:tc>
          <w:tcPr>
            <w:tcW w:w="1084" w:type="dxa"/>
            <w:tcBorders>
              <w:top w:val="single" w:sz="18" w:space="0" w:color="auto"/>
              <w:left w:val="nil"/>
              <w:bottom w:val="single" w:sz="18" w:space="0" w:color="auto"/>
              <w:right w:val="nil"/>
            </w:tcBorders>
            <w:vAlign w:val="center"/>
            <w:hideMark/>
          </w:tcPr>
          <w:p w14:paraId="1BC9CC6B" w14:textId="77777777" w:rsidR="00003E7C" w:rsidRPr="002A554D" w:rsidRDefault="00003E7C" w:rsidP="003E720F">
            <w:pPr>
              <w:spacing w:after="0" w:line="480" w:lineRule="auto"/>
              <w:jc w:val="center"/>
              <w:rPr>
                <w:rFonts w:ascii="Arial" w:eastAsia="Times New Roman" w:hAnsi="Arial" w:cs="Arial"/>
                <w:color w:val="000000"/>
                <w:sz w:val="20"/>
                <w:szCs w:val="24"/>
                <w:lang w:eastAsia="fr-FR"/>
              </w:rPr>
            </w:pPr>
            <w:r w:rsidRPr="002A554D">
              <w:rPr>
                <w:rFonts w:ascii="Arial" w:eastAsia="Times New Roman" w:hAnsi="Arial" w:cs="Arial"/>
                <w:color w:val="000000"/>
                <w:sz w:val="20"/>
                <w:szCs w:val="24"/>
                <w:lang w:eastAsia="fr-FR"/>
              </w:rPr>
              <w:t>F</w:t>
            </w:r>
          </w:p>
        </w:tc>
        <w:tc>
          <w:tcPr>
            <w:tcW w:w="1262" w:type="dxa"/>
            <w:tcBorders>
              <w:top w:val="single" w:sz="18" w:space="0" w:color="auto"/>
              <w:left w:val="nil"/>
              <w:bottom w:val="single" w:sz="18" w:space="0" w:color="auto"/>
              <w:right w:val="nil"/>
            </w:tcBorders>
            <w:vAlign w:val="center"/>
            <w:hideMark/>
          </w:tcPr>
          <w:p w14:paraId="27B3D726" w14:textId="77777777" w:rsidR="00003E7C" w:rsidRPr="002A554D" w:rsidRDefault="00003E7C" w:rsidP="003E720F">
            <w:pPr>
              <w:spacing w:after="0" w:line="480" w:lineRule="auto"/>
              <w:jc w:val="center"/>
              <w:rPr>
                <w:rFonts w:ascii="Arial" w:eastAsia="Times New Roman" w:hAnsi="Arial" w:cs="Arial"/>
                <w:i/>
                <w:color w:val="000000"/>
                <w:sz w:val="20"/>
                <w:szCs w:val="24"/>
                <w:lang w:eastAsia="fr-FR"/>
              </w:rPr>
            </w:pPr>
            <w:r w:rsidRPr="002A554D">
              <w:rPr>
                <w:rFonts w:ascii="Arial" w:eastAsia="Times New Roman" w:hAnsi="Arial" w:cs="Arial"/>
                <w:i/>
                <w:color w:val="000000"/>
                <w:sz w:val="20"/>
                <w:szCs w:val="24"/>
                <w:lang w:eastAsia="fr-FR"/>
              </w:rPr>
              <w:t>P</w:t>
            </w:r>
          </w:p>
        </w:tc>
        <w:tc>
          <w:tcPr>
            <w:tcW w:w="499" w:type="dxa"/>
            <w:tcBorders>
              <w:top w:val="single" w:sz="18" w:space="0" w:color="auto"/>
              <w:left w:val="nil"/>
              <w:bottom w:val="single" w:sz="18" w:space="0" w:color="auto"/>
              <w:right w:val="nil"/>
            </w:tcBorders>
            <w:vAlign w:val="center"/>
          </w:tcPr>
          <w:p w14:paraId="3951A213" w14:textId="77777777" w:rsidR="00003E7C" w:rsidRPr="002A554D" w:rsidRDefault="004A12A2" w:rsidP="003E720F">
            <w:pPr>
              <w:spacing w:after="0" w:line="480" w:lineRule="auto"/>
              <w:jc w:val="center"/>
              <w:rPr>
                <w:rFonts w:ascii="Arial" w:eastAsia="Times New Roman" w:hAnsi="Arial" w:cs="Arial"/>
                <w:color w:val="000000"/>
                <w:sz w:val="20"/>
                <w:szCs w:val="24"/>
                <w:lang w:eastAsia="fr-FR"/>
              </w:rPr>
            </w:pPr>
            <w:proofErr w:type="spellStart"/>
            <w:r>
              <w:rPr>
                <w:rFonts w:ascii="Arial" w:eastAsia="Times New Roman" w:hAnsi="Arial" w:cs="Arial"/>
                <w:color w:val="000000"/>
                <w:sz w:val="20"/>
                <w:szCs w:val="24"/>
                <w:lang w:eastAsia="fr-FR"/>
              </w:rPr>
              <w:t>df</w:t>
            </w:r>
            <w:proofErr w:type="spellEnd"/>
          </w:p>
        </w:tc>
        <w:tc>
          <w:tcPr>
            <w:tcW w:w="1124" w:type="dxa"/>
            <w:tcBorders>
              <w:top w:val="single" w:sz="18" w:space="0" w:color="auto"/>
              <w:left w:val="nil"/>
              <w:bottom w:val="single" w:sz="18" w:space="0" w:color="auto"/>
              <w:right w:val="nil"/>
            </w:tcBorders>
            <w:vAlign w:val="center"/>
          </w:tcPr>
          <w:p w14:paraId="0BC38181" w14:textId="77777777" w:rsidR="00003E7C" w:rsidRPr="002A554D" w:rsidRDefault="00003E7C" w:rsidP="003E720F">
            <w:pPr>
              <w:spacing w:after="0" w:line="480" w:lineRule="auto"/>
              <w:jc w:val="center"/>
              <w:rPr>
                <w:rFonts w:ascii="Arial" w:eastAsia="Times New Roman" w:hAnsi="Arial" w:cs="Arial"/>
                <w:color w:val="000000"/>
                <w:sz w:val="20"/>
                <w:szCs w:val="24"/>
                <w:lang w:eastAsia="fr-FR"/>
              </w:rPr>
            </w:pPr>
            <w:r w:rsidRPr="002A554D">
              <w:rPr>
                <w:rFonts w:ascii="Arial" w:eastAsia="Times New Roman" w:hAnsi="Arial" w:cs="Arial"/>
                <w:color w:val="000000"/>
                <w:sz w:val="20"/>
                <w:szCs w:val="24"/>
                <w:lang w:eastAsia="fr-FR"/>
              </w:rPr>
              <w:t>F</w:t>
            </w:r>
          </w:p>
        </w:tc>
        <w:tc>
          <w:tcPr>
            <w:tcW w:w="992" w:type="dxa"/>
            <w:tcBorders>
              <w:top w:val="single" w:sz="18" w:space="0" w:color="auto"/>
              <w:left w:val="nil"/>
              <w:bottom w:val="single" w:sz="18" w:space="0" w:color="auto"/>
              <w:right w:val="nil"/>
            </w:tcBorders>
            <w:vAlign w:val="center"/>
          </w:tcPr>
          <w:p w14:paraId="664BFA18" w14:textId="77777777" w:rsidR="00003E7C" w:rsidRPr="002A554D" w:rsidRDefault="00036667" w:rsidP="003E720F">
            <w:pPr>
              <w:spacing w:after="0" w:line="480" w:lineRule="auto"/>
              <w:jc w:val="center"/>
              <w:rPr>
                <w:rFonts w:ascii="Arial" w:eastAsia="Times New Roman" w:hAnsi="Arial" w:cs="Arial"/>
                <w:i/>
                <w:color w:val="000000"/>
                <w:sz w:val="20"/>
                <w:szCs w:val="24"/>
                <w:lang w:eastAsia="fr-FR"/>
              </w:rPr>
            </w:pPr>
            <w:r w:rsidRPr="002A554D">
              <w:rPr>
                <w:rFonts w:ascii="Arial" w:eastAsia="Times New Roman" w:hAnsi="Arial" w:cs="Arial"/>
                <w:i/>
                <w:color w:val="000000"/>
                <w:sz w:val="20"/>
                <w:szCs w:val="24"/>
                <w:lang w:eastAsia="fr-FR"/>
              </w:rPr>
              <w:t>P</w:t>
            </w:r>
          </w:p>
        </w:tc>
      </w:tr>
      <w:tr w:rsidR="00003E7C" w:rsidRPr="002A554D" w14:paraId="392D17CB" w14:textId="77777777" w:rsidTr="00512EE6">
        <w:trPr>
          <w:trHeight w:val="300"/>
          <w:jc w:val="center"/>
        </w:trPr>
        <w:tc>
          <w:tcPr>
            <w:tcW w:w="1780" w:type="dxa"/>
            <w:tcBorders>
              <w:top w:val="single" w:sz="18" w:space="0" w:color="auto"/>
              <w:left w:val="nil"/>
              <w:bottom w:val="nil"/>
              <w:right w:val="nil"/>
            </w:tcBorders>
            <w:noWrap/>
            <w:vAlign w:val="bottom"/>
            <w:hideMark/>
          </w:tcPr>
          <w:p w14:paraId="50D66CE5" w14:textId="77777777" w:rsidR="00003E7C" w:rsidRPr="002A554D" w:rsidRDefault="00003E7C" w:rsidP="003E720F">
            <w:pPr>
              <w:spacing w:after="0" w:line="480" w:lineRule="auto"/>
              <w:rPr>
                <w:rFonts w:ascii="Arial" w:eastAsia="Times New Roman" w:hAnsi="Arial" w:cs="Arial"/>
                <w:color w:val="000000"/>
                <w:sz w:val="20"/>
                <w:szCs w:val="24"/>
                <w:lang w:eastAsia="fr-FR"/>
              </w:rPr>
            </w:pPr>
            <w:r w:rsidRPr="002A554D">
              <w:rPr>
                <w:rFonts w:ascii="Arial" w:eastAsia="Times New Roman" w:hAnsi="Arial" w:cs="Arial"/>
                <w:color w:val="000000"/>
                <w:sz w:val="20"/>
                <w:szCs w:val="24"/>
                <w:lang w:eastAsia="fr-FR"/>
              </w:rPr>
              <w:t>Modality</w:t>
            </w:r>
          </w:p>
        </w:tc>
        <w:tc>
          <w:tcPr>
            <w:tcW w:w="772" w:type="dxa"/>
            <w:tcBorders>
              <w:top w:val="single" w:sz="18" w:space="0" w:color="auto"/>
              <w:left w:val="nil"/>
              <w:bottom w:val="nil"/>
              <w:right w:val="nil"/>
            </w:tcBorders>
            <w:noWrap/>
            <w:vAlign w:val="bottom"/>
            <w:hideMark/>
          </w:tcPr>
          <w:p w14:paraId="4D1C7677" w14:textId="77777777" w:rsidR="00003E7C" w:rsidRPr="002A554D" w:rsidRDefault="00003E7C" w:rsidP="003E720F">
            <w:pPr>
              <w:spacing w:after="0" w:line="480" w:lineRule="auto"/>
              <w:jc w:val="center"/>
              <w:rPr>
                <w:rFonts w:ascii="Arial" w:eastAsia="Times New Roman" w:hAnsi="Arial" w:cs="Arial"/>
                <w:color w:val="000000"/>
                <w:sz w:val="20"/>
                <w:szCs w:val="24"/>
                <w:lang w:eastAsia="fr-FR"/>
              </w:rPr>
            </w:pPr>
            <w:r w:rsidRPr="002A554D">
              <w:rPr>
                <w:rFonts w:ascii="Arial" w:eastAsia="Times New Roman" w:hAnsi="Arial" w:cs="Arial"/>
                <w:color w:val="000000"/>
                <w:sz w:val="20"/>
                <w:szCs w:val="24"/>
                <w:lang w:eastAsia="fr-FR"/>
              </w:rPr>
              <w:t>5</w:t>
            </w:r>
          </w:p>
        </w:tc>
        <w:tc>
          <w:tcPr>
            <w:tcW w:w="1084" w:type="dxa"/>
            <w:tcBorders>
              <w:top w:val="single" w:sz="18" w:space="0" w:color="auto"/>
              <w:left w:val="nil"/>
              <w:bottom w:val="nil"/>
              <w:right w:val="nil"/>
            </w:tcBorders>
            <w:noWrap/>
            <w:vAlign w:val="bottom"/>
            <w:hideMark/>
          </w:tcPr>
          <w:p w14:paraId="57F994F0" w14:textId="77777777" w:rsidR="00003E7C" w:rsidRPr="002A554D" w:rsidRDefault="00003E7C" w:rsidP="003E720F">
            <w:pPr>
              <w:spacing w:after="0" w:line="480" w:lineRule="auto"/>
              <w:jc w:val="center"/>
              <w:rPr>
                <w:rFonts w:ascii="Arial" w:eastAsia="Times New Roman" w:hAnsi="Arial" w:cs="Arial"/>
                <w:color w:val="000000"/>
                <w:sz w:val="20"/>
                <w:szCs w:val="24"/>
                <w:lang w:eastAsia="fr-FR"/>
              </w:rPr>
            </w:pPr>
            <w:r w:rsidRPr="002A554D">
              <w:rPr>
                <w:rFonts w:ascii="Arial" w:eastAsia="Times New Roman" w:hAnsi="Arial" w:cs="Arial"/>
                <w:color w:val="000000"/>
                <w:sz w:val="20"/>
                <w:szCs w:val="24"/>
                <w:lang w:eastAsia="fr-FR"/>
              </w:rPr>
              <w:t>481,122</w:t>
            </w:r>
          </w:p>
        </w:tc>
        <w:tc>
          <w:tcPr>
            <w:tcW w:w="1262" w:type="dxa"/>
            <w:tcBorders>
              <w:top w:val="single" w:sz="18" w:space="0" w:color="auto"/>
              <w:left w:val="nil"/>
              <w:bottom w:val="nil"/>
              <w:right w:val="nil"/>
            </w:tcBorders>
            <w:noWrap/>
            <w:vAlign w:val="bottom"/>
            <w:hideMark/>
          </w:tcPr>
          <w:p w14:paraId="1CD38FA2" w14:textId="77777777" w:rsidR="00003E7C" w:rsidRPr="002A554D" w:rsidRDefault="00003E7C" w:rsidP="003E720F">
            <w:pPr>
              <w:spacing w:after="0" w:line="480" w:lineRule="auto"/>
              <w:jc w:val="center"/>
              <w:rPr>
                <w:rFonts w:ascii="Arial" w:eastAsia="Times New Roman" w:hAnsi="Arial" w:cs="Arial"/>
                <w:b/>
                <w:bCs/>
                <w:color w:val="000000"/>
                <w:sz w:val="20"/>
                <w:szCs w:val="24"/>
                <w:lang w:eastAsia="fr-FR"/>
              </w:rPr>
            </w:pPr>
            <w:r w:rsidRPr="002A554D">
              <w:rPr>
                <w:rFonts w:ascii="Arial" w:eastAsia="Times New Roman" w:hAnsi="Arial" w:cs="Arial"/>
                <w:b/>
                <w:bCs/>
                <w:color w:val="000000"/>
                <w:sz w:val="20"/>
                <w:szCs w:val="24"/>
                <w:lang w:eastAsia="fr-FR"/>
              </w:rPr>
              <w:t>&lt;</w:t>
            </w:r>
            <w:r w:rsidR="007815D1" w:rsidRPr="002A554D">
              <w:rPr>
                <w:rFonts w:ascii="Arial" w:eastAsia="Times New Roman" w:hAnsi="Arial" w:cs="Arial"/>
                <w:b/>
                <w:bCs/>
                <w:color w:val="000000"/>
                <w:sz w:val="20"/>
                <w:szCs w:val="24"/>
                <w:lang w:eastAsia="fr-FR"/>
              </w:rPr>
              <w:t>0.001</w:t>
            </w:r>
          </w:p>
        </w:tc>
        <w:tc>
          <w:tcPr>
            <w:tcW w:w="499" w:type="dxa"/>
            <w:tcBorders>
              <w:top w:val="single" w:sz="18" w:space="0" w:color="auto"/>
              <w:left w:val="nil"/>
              <w:bottom w:val="nil"/>
              <w:right w:val="nil"/>
            </w:tcBorders>
            <w:vAlign w:val="bottom"/>
          </w:tcPr>
          <w:p w14:paraId="7B3A0886" w14:textId="77777777" w:rsidR="00003E7C" w:rsidRPr="002A554D" w:rsidRDefault="00003E7C" w:rsidP="003E720F">
            <w:pPr>
              <w:spacing w:after="0" w:line="480" w:lineRule="auto"/>
              <w:jc w:val="center"/>
              <w:rPr>
                <w:rFonts w:ascii="Arial" w:eastAsia="Times New Roman" w:hAnsi="Arial" w:cs="Arial"/>
                <w:color w:val="000000"/>
                <w:sz w:val="20"/>
                <w:szCs w:val="24"/>
                <w:lang w:eastAsia="fr-FR"/>
              </w:rPr>
            </w:pPr>
            <w:r w:rsidRPr="002A554D">
              <w:rPr>
                <w:rFonts w:ascii="Arial" w:eastAsia="Times New Roman" w:hAnsi="Arial" w:cs="Arial"/>
                <w:color w:val="000000"/>
                <w:sz w:val="20"/>
                <w:szCs w:val="24"/>
                <w:lang w:eastAsia="fr-FR"/>
              </w:rPr>
              <w:t>5</w:t>
            </w:r>
          </w:p>
        </w:tc>
        <w:tc>
          <w:tcPr>
            <w:tcW w:w="1124" w:type="dxa"/>
            <w:tcBorders>
              <w:top w:val="single" w:sz="18" w:space="0" w:color="auto"/>
              <w:left w:val="nil"/>
              <w:bottom w:val="nil"/>
              <w:right w:val="nil"/>
            </w:tcBorders>
            <w:vAlign w:val="bottom"/>
          </w:tcPr>
          <w:p w14:paraId="7C65F23D" w14:textId="77777777" w:rsidR="00003E7C" w:rsidRPr="002A554D" w:rsidRDefault="00ED2148" w:rsidP="00ED2148">
            <w:pPr>
              <w:spacing w:after="0" w:line="480" w:lineRule="auto"/>
              <w:rPr>
                <w:rFonts w:ascii="Arial" w:eastAsia="Times New Roman" w:hAnsi="Arial" w:cs="Arial"/>
                <w:color w:val="000000"/>
                <w:sz w:val="20"/>
                <w:szCs w:val="24"/>
                <w:lang w:eastAsia="fr-FR"/>
              </w:rPr>
            </w:pPr>
            <w:r w:rsidRPr="002A554D">
              <w:rPr>
                <w:rFonts w:ascii="Arial" w:eastAsia="Times New Roman" w:hAnsi="Arial" w:cs="Arial"/>
                <w:color w:val="000000"/>
                <w:sz w:val="20"/>
                <w:szCs w:val="24"/>
                <w:lang w:eastAsia="fr-FR"/>
              </w:rPr>
              <w:t>1073,45</w:t>
            </w:r>
          </w:p>
        </w:tc>
        <w:tc>
          <w:tcPr>
            <w:tcW w:w="992" w:type="dxa"/>
            <w:tcBorders>
              <w:top w:val="single" w:sz="18" w:space="0" w:color="auto"/>
              <w:left w:val="nil"/>
              <w:bottom w:val="nil"/>
              <w:right w:val="nil"/>
            </w:tcBorders>
            <w:vAlign w:val="bottom"/>
          </w:tcPr>
          <w:p w14:paraId="6E0B0E36" w14:textId="77777777" w:rsidR="00003E7C" w:rsidRPr="002A554D" w:rsidRDefault="00003E7C" w:rsidP="003E720F">
            <w:pPr>
              <w:spacing w:after="0" w:line="480" w:lineRule="auto"/>
              <w:jc w:val="center"/>
              <w:rPr>
                <w:rFonts w:ascii="Arial" w:eastAsia="Times New Roman" w:hAnsi="Arial" w:cs="Arial"/>
                <w:b/>
                <w:bCs/>
                <w:color w:val="000000"/>
                <w:sz w:val="20"/>
                <w:szCs w:val="24"/>
                <w:lang w:eastAsia="fr-FR"/>
              </w:rPr>
            </w:pPr>
            <w:r w:rsidRPr="002A554D">
              <w:rPr>
                <w:rFonts w:ascii="Arial" w:eastAsia="Times New Roman" w:hAnsi="Arial" w:cs="Arial"/>
                <w:b/>
                <w:bCs/>
                <w:color w:val="000000"/>
                <w:sz w:val="20"/>
                <w:szCs w:val="24"/>
                <w:lang w:eastAsia="fr-FR"/>
              </w:rPr>
              <w:t>&lt;</w:t>
            </w:r>
            <w:r w:rsidR="007815D1" w:rsidRPr="002A554D">
              <w:rPr>
                <w:rFonts w:ascii="Arial" w:eastAsia="Times New Roman" w:hAnsi="Arial" w:cs="Arial"/>
                <w:b/>
                <w:bCs/>
                <w:color w:val="000000"/>
                <w:sz w:val="20"/>
                <w:szCs w:val="24"/>
                <w:lang w:eastAsia="fr-FR"/>
              </w:rPr>
              <w:t>0.001</w:t>
            </w:r>
          </w:p>
        </w:tc>
      </w:tr>
      <w:tr w:rsidR="00003E7C" w:rsidRPr="002A554D" w14:paraId="1694D321" w14:textId="77777777" w:rsidTr="00512EE6">
        <w:trPr>
          <w:trHeight w:val="300"/>
          <w:jc w:val="center"/>
        </w:trPr>
        <w:tc>
          <w:tcPr>
            <w:tcW w:w="1780" w:type="dxa"/>
            <w:tcBorders>
              <w:top w:val="nil"/>
              <w:left w:val="nil"/>
              <w:bottom w:val="nil"/>
              <w:right w:val="nil"/>
            </w:tcBorders>
            <w:noWrap/>
            <w:vAlign w:val="bottom"/>
            <w:hideMark/>
          </w:tcPr>
          <w:p w14:paraId="11F68910" w14:textId="77777777" w:rsidR="00003E7C" w:rsidRPr="002A554D" w:rsidRDefault="00B032B4" w:rsidP="003E720F">
            <w:pPr>
              <w:spacing w:after="0" w:line="480" w:lineRule="auto"/>
              <w:rPr>
                <w:rFonts w:ascii="Arial" w:eastAsia="Times New Roman" w:hAnsi="Arial" w:cs="Arial"/>
                <w:color w:val="000000"/>
                <w:sz w:val="20"/>
                <w:szCs w:val="24"/>
                <w:lang w:eastAsia="fr-FR"/>
              </w:rPr>
            </w:pPr>
            <w:r w:rsidRPr="002A554D">
              <w:rPr>
                <w:rFonts w:ascii="Arial" w:eastAsia="Times New Roman" w:hAnsi="Arial" w:cs="Arial"/>
                <w:color w:val="000000"/>
                <w:sz w:val="20"/>
                <w:szCs w:val="24"/>
                <w:lang w:eastAsia="fr-FR"/>
              </w:rPr>
              <w:t>Time (</w:t>
            </w:r>
            <w:proofErr w:type="spellStart"/>
            <w:r w:rsidRPr="002A554D">
              <w:rPr>
                <w:rFonts w:ascii="Arial" w:eastAsia="Times New Roman" w:hAnsi="Arial" w:cs="Arial"/>
                <w:color w:val="000000"/>
                <w:sz w:val="20"/>
                <w:szCs w:val="24"/>
                <w:lang w:eastAsia="fr-FR"/>
              </w:rPr>
              <w:t>h</w:t>
            </w:r>
            <w:r w:rsidR="00003E7C" w:rsidRPr="002A554D">
              <w:rPr>
                <w:rFonts w:ascii="Arial" w:eastAsia="Times New Roman" w:hAnsi="Arial" w:cs="Arial"/>
                <w:color w:val="000000"/>
                <w:sz w:val="20"/>
                <w:szCs w:val="24"/>
                <w:lang w:eastAsia="fr-FR"/>
              </w:rPr>
              <w:t>our</w:t>
            </w:r>
            <w:proofErr w:type="spellEnd"/>
            <w:r w:rsidRPr="002A554D">
              <w:rPr>
                <w:rFonts w:ascii="Arial" w:eastAsia="Times New Roman" w:hAnsi="Arial" w:cs="Arial"/>
                <w:color w:val="000000"/>
                <w:sz w:val="20"/>
                <w:szCs w:val="24"/>
                <w:lang w:eastAsia="fr-FR"/>
              </w:rPr>
              <w:t>)</w:t>
            </w:r>
          </w:p>
        </w:tc>
        <w:tc>
          <w:tcPr>
            <w:tcW w:w="772" w:type="dxa"/>
            <w:tcBorders>
              <w:top w:val="nil"/>
              <w:left w:val="nil"/>
              <w:bottom w:val="nil"/>
              <w:right w:val="nil"/>
            </w:tcBorders>
            <w:noWrap/>
            <w:vAlign w:val="bottom"/>
            <w:hideMark/>
          </w:tcPr>
          <w:p w14:paraId="39F4D4C6" w14:textId="77777777" w:rsidR="00003E7C" w:rsidRPr="002A554D" w:rsidRDefault="00003E7C" w:rsidP="003E720F">
            <w:pPr>
              <w:spacing w:after="0" w:line="480" w:lineRule="auto"/>
              <w:jc w:val="center"/>
              <w:rPr>
                <w:rFonts w:ascii="Arial" w:eastAsia="Times New Roman" w:hAnsi="Arial" w:cs="Arial"/>
                <w:color w:val="000000"/>
                <w:sz w:val="20"/>
                <w:szCs w:val="24"/>
                <w:lang w:eastAsia="fr-FR"/>
              </w:rPr>
            </w:pPr>
            <w:r w:rsidRPr="002A554D">
              <w:rPr>
                <w:rFonts w:ascii="Arial" w:eastAsia="Times New Roman" w:hAnsi="Arial" w:cs="Arial"/>
                <w:color w:val="000000"/>
                <w:sz w:val="20"/>
                <w:szCs w:val="24"/>
                <w:lang w:eastAsia="fr-FR"/>
              </w:rPr>
              <w:t>4</w:t>
            </w:r>
          </w:p>
        </w:tc>
        <w:tc>
          <w:tcPr>
            <w:tcW w:w="1084" w:type="dxa"/>
            <w:tcBorders>
              <w:top w:val="nil"/>
              <w:left w:val="nil"/>
              <w:bottom w:val="nil"/>
              <w:right w:val="nil"/>
            </w:tcBorders>
            <w:noWrap/>
            <w:vAlign w:val="bottom"/>
            <w:hideMark/>
          </w:tcPr>
          <w:p w14:paraId="00937EFC" w14:textId="77777777" w:rsidR="00003E7C" w:rsidRPr="002A554D" w:rsidRDefault="00003E7C" w:rsidP="003E720F">
            <w:pPr>
              <w:spacing w:after="0" w:line="480" w:lineRule="auto"/>
              <w:jc w:val="center"/>
              <w:rPr>
                <w:rFonts w:ascii="Arial" w:eastAsia="Times New Roman" w:hAnsi="Arial" w:cs="Arial"/>
                <w:color w:val="000000"/>
                <w:sz w:val="20"/>
                <w:szCs w:val="24"/>
                <w:lang w:eastAsia="fr-FR"/>
              </w:rPr>
            </w:pPr>
            <w:r w:rsidRPr="002A554D">
              <w:rPr>
                <w:rFonts w:ascii="Arial" w:eastAsia="Times New Roman" w:hAnsi="Arial" w:cs="Arial"/>
                <w:color w:val="000000"/>
                <w:sz w:val="20"/>
                <w:szCs w:val="24"/>
                <w:lang w:eastAsia="fr-FR"/>
              </w:rPr>
              <w:t>280,703</w:t>
            </w:r>
          </w:p>
        </w:tc>
        <w:tc>
          <w:tcPr>
            <w:tcW w:w="1262" w:type="dxa"/>
            <w:tcBorders>
              <w:top w:val="nil"/>
              <w:left w:val="nil"/>
              <w:bottom w:val="nil"/>
              <w:right w:val="nil"/>
            </w:tcBorders>
            <w:noWrap/>
            <w:vAlign w:val="bottom"/>
            <w:hideMark/>
          </w:tcPr>
          <w:p w14:paraId="357B2EDD" w14:textId="77777777" w:rsidR="00003E7C" w:rsidRPr="002A554D" w:rsidRDefault="00003E7C" w:rsidP="003E720F">
            <w:pPr>
              <w:spacing w:after="0" w:line="480" w:lineRule="auto"/>
              <w:jc w:val="center"/>
              <w:rPr>
                <w:rFonts w:ascii="Arial" w:eastAsia="Times New Roman" w:hAnsi="Arial" w:cs="Arial"/>
                <w:b/>
                <w:bCs/>
                <w:color w:val="000000"/>
                <w:sz w:val="20"/>
                <w:szCs w:val="24"/>
                <w:lang w:eastAsia="fr-FR"/>
              </w:rPr>
            </w:pPr>
            <w:r w:rsidRPr="002A554D">
              <w:rPr>
                <w:rFonts w:ascii="Arial" w:eastAsia="Times New Roman" w:hAnsi="Arial" w:cs="Arial"/>
                <w:b/>
                <w:bCs/>
                <w:color w:val="000000"/>
                <w:sz w:val="20"/>
                <w:szCs w:val="24"/>
                <w:lang w:eastAsia="fr-FR"/>
              </w:rPr>
              <w:t>&lt;</w:t>
            </w:r>
            <w:r w:rsidR="007815D1" w:rsidRPr="002A554D">
              <w:rPr>
                <w:rFonts w:ascii="Arial" w:eastAsia="Times New Roman" w:hAnsi="Arial" w:cs="Arial"/>
                <w:b/>
                <w:bCs/>
                <w:color w:val="000000"/>
                <w:sz w:val="20"/>
                <w:szCs w:val="24"/>
                <w:lang w:eastAsia="fr-FR"/>
              </w:rPr>
              <w:t>0.001</w:t>
            </w:r>
          </w:p>
        </w:tc>
        <w:tc>
          <w:tcPr>
            <w:tcW w:w="499" w:type="dxa"/>
            <w:tcBorders>
              <w:top w:val="nil"/>
              <w:left w:val="nil"/>
              <w:bottom w:val="nil"/>
              <w:right w:val="nil"/>
            </w:tcBorders>
            <w:vAlign w:val="bottom"/>
          </w:tcPr>
          <w:p w14:paraId="51C1994B" w14:textId="77777777" w:rsidR="00003E7C" w:rsidRPr="002A554D" w:rsidRDefault="00003E7C" w:rsidP="003E720F">
            <w:pPr>
              <w:spacing w:after="0" w:line="480" w:lineRule="auto"/>
              <w:jc w:val="center"/>
              <w:rPr>
                <w:rFonts w:ascii="Arial" w:eastAsia="Times New Roman" w:hAnsi="Arial" w:cs="Arial"/>
                <w:color w:val="000000"/>
                <w:sz w:val="20"/>
                <w:szCs w:val="24"/>
                <w:lang w:eastAsia="fr-FR"/>
              </w:rPr>
            </w:pPr>
            <w:r w:rsidRPr="002A554D">
              <w:rPr>
                <w:rFonts w:ascii="Arial" w:eastAsia="Times New Roman" w:hAnsi="Arial" w:cs="Arial"/>
                <w:color w:val="000000"/>
                <w:sz w:val="20"/>
                <w:szCs w:val="24"/>
                <w:lang w:eastAsia="fr-FR"/>
              </w:rPr>
              <w:t>6</w:t>
            </w:r>
          </w:p>
        </w:tc>
        <w:tc>
          <w:tcPr>
            <w:tcW w:w="1124" w:type="dxa"/>
            <w:tcBorders>
              <w:top w:val="nil"/>
              <w:left w:val="nil"/>
              <w:bottom w:val="nil"/>
              <w:right w:val="nil"/>
            </w:tcBorders>
            <w:vAlign w:val="bottom"/>
          </w:tcPr>
          <w:p w14:paraId="0B22C2B8" w14:textId="77777777" w:rsidR="00003E7C" w:rsidRPr="002A554D" w:rsidRDefault="00ED2148" w:rsidP="003E720F">
            <w:pPr>
              <w:spacing w:after="0" w:line="480" w:lineRule="auto"/>
              <w:jc w:val="center"/>
              <w:rPr>
                <w:rFonts w:ascii="Arial" w:eastAsia="Times New Roman" w:hAnsi="Arial" w:cs="Arial"/>
                <w:color w:val="000000"/>
                <w:sz w:val="20"/>
                <w:szCs w:val="24"/>
                <w:lang w:eastAsia="fr-FR"/>
              </w:rPr>
            </w:pPr>
            <w:r w:rsidRPr="002A554D">
              <w:rPr>
                <w:rFonts w:ascii="Arial" w:eastAsia="Times New Roman" w:hAnsi="Arial" w:cs="Arial"/>
                <w:color w:val="000000"/>
                <w:sz w:val="20"/>
                <w:szCs w:val="24"/>
                <w:lang w:eastAsia="fr-FR"/>
              </w:rPr>
              <w:t>444,89</w:t>
            </w:r>
          </w:p>
        </w:tc>
        <w:tc>
          <w:tcPr>
            <w:tcW w:w="992" w:type="dxa"/>
            <w:tcBorders>
              <w:top w:val="nil"/>
              <w:left w:val="nil"/>
              <w:bottom w:val="nil"/>
              <w:right w:val="nil"/>
            </w:tcBorders>
            <w:vAlign w:val="bottom"/>
          </w:tcPr>
          <w:p w14:paraId="4F94B29B" w14:textId="77777777" w:rsidR="00003E7C" w:rsidRPr="002A554D" w:rsidRDefault="00003E7C" w:rsidP="003E720F">
            <w:pPr>
              <w:spacing w:after="0" w:line="480" w:lineRule="auto"/>
              <w:jc w:val="center"/>
              <w:rPr>
                <w:rFonts w:ascii="Arial" w:eastAsia="Times New Roman" w:hAnsi="Arial" w:cs="Arial"/>
                <w:b/>
                <w:bCs/>
                <w:color w:val="000000"/>
                <w:sz w:val="20"/>
                <w:szCs w:val="24"/>
                <w:lang w:eastAsia="fr-FR"/>
              </w:rPr>
            </w:pPr>
            <w:r w:rsidRPr="002A554D">
              <w:rPr>
                <w:rFonts w:ascii="Arial" w:eastAsia="Times New Roman" w:hAnsi="Arial" w:cs="Arial"/>
                <w:b/>
                <w:bCs/>
                <w:color w:val="000000"/>
                <w:sz w:val="20"/>
                <w:szCs w:val="24"/>
                <w:lang w:eastAsia="fr-FR"/>
              </w:rPr>
              <w:t>&lt;</w:t>
            </w:r>
            <w:r w:rsidR="007815D1" w:rsidRPr="002A554D">
              <w:rPr>
                <w:rFonts w:ascii="Arial" w:eastAsia="Times New Roman" w:hAnsi="Arial" w:cs="Arial"/>
                <w:b/>
                <w:bCs/>
                <w:color w:val="000000"/>
                <w:sz w:val="20"/>
                <w:szCs w:val="24"/>
                <w:lang w:eastAsia="fr-FR"/>
              </w:rPr>
              <w:t>0.001</w:t>
            </w:r>
          </w:p>
        </w:tc>
      </w:tr>
      <w:tr w:rsidR="00003E7C" w:rsidRPr="002A554D" w14:paraId="7CD7C1B6" w14:textId="77777777" w:rsidTr="00B032B4">
        <w:trPr>
          <w:trHeight w:val="369"/>
          <w:jc w:val="center"/>
        </w:trPr>
        <w:tc>
          <w:tcPr>
            <w:tcW w:w="1780" w:type="dxa"/>
            <w:tcBorders>
              <w:top w:val="nil"/>
              <w:left w:val="nil"/>
              <w:bottom w:val="single" w:sz="18" w:space="0" w:color="auto"/>
              <w:right w:val="nil"/>
            </w:tcBorders>
            <w:noWrap/>
            <w:vAlign w:val="bottom"/>
            <w:hideMark/>
          </w:tcPr>
          <w:p w14:paraId="66746543" w14:textId="77777777" w:rsidR="00003E7C" w:rsidRPr="002A554D" w:rsidRDefault="00003E7C" w:rsidP="00B032B4">
            <w:pPr>
              <w:spacing w:after="0" w:line="240" w:lineRule="auto"/>
              <w:rPr>
                <w:rFonts w:ascii="Arial" w:eastAsia="Times New Roman" w:hAnsi="Arial" w:cs="Arial"/>
                <w:color w:val="000000"/>
                <w:sz w:val="20"/>
                <w:szCs w:val="24"/>
                <w:lang w:eastAsia="fr-FR"/>
              </w:rPr>
            </w:pPr>
            <w:r w:rsidRPr="002A554D">
              <w:rPr>
                <w:rFonts w:ascii="Arial" w:eastAsia="Times New Roman" w:hAnsi="Arial" w:cs="Arial"/>
                <w:color w:val="000000"/>
                <w:sz w:val="20"/>
                <w:szCs w:val="24"/>
                <w:lang w:eastAsia="fr-FR"/>
              </w:rPr>
              <w:t>Modality*Time</w:t>
            </w:r>
          </w:p>
        </w:tc>
        <w:tc>
          <w:tcPr>
            <w:tcW w:w="772" w:type="dxa"/>
            <w:tcBorders>
              <w:top w:val="nil"/>
              <w:left w:val="nil"/>
              <w:bottom w:val="single" w:sz="18" w:space="0" w:color="auto"/>
              <w:right w:val="nil"/>
            </w:tcBorders>
            <w:noWrap/>
            <w:vAlign w:val="bottom"/>
            <w:hideMark/>
          </w:tcPr>
          <w:p w14:paraId="1A5DB819" w14:textId="77777777" w:rsidR="00003E7C" w:rsidRPr="002A554D" w:rsidRDefault="00003E7C" w:rsidP="00B032B4">
            <w:pPr>
              <w:spacing w:after="0" w:line="240" w:lineRule="auto"/>
              <w:jc w:val="center"/>
              <w:rPr>
                <w:rFonts w:ascii="Arial" w:eastAsia="Times New Roman" w:hAnsi="Arial" w:cs="Arial"/>
                <w:color w:val="000000"/>
                <w:sz w:val="20"/>
                <w:szCs w:val="24"/>
                <w:lang w:eastAsia="fr-FR"/>
              </w:rPr>
            </w:pPr>
            <w:r w:rsidRPr="002A554D">
              <w:rPr>
                <w:rFonts w:ascii="Arial" w:eastAsia="Times New Roman" w:hAnsi="Arial" w:cs="Arial"/>
                <w:color w:val="000000"/>
                <w:sz w:val="20"/>
                <w:szCs w:val="24"/>
                <w:lang w:eastAsia="fr-FR"/>
              </w:rPr>
              <w:t>20</w:t>
            </w:r>
          </w:p>
        </w:tc>
        <w:tc>
          <w:tcPr>
            <w:tcW w:w="1084" w:type="dxa"/>
            <w:tcBorders>
              <w:top w:val="nil"/>
              <w:left w:val="nil"/>
              <w:bottom w:val="single" w:sz="18" w:space="0" w:color="auto"/>
              <w:right w:val="nil"/>
            </w:tcBorders>
            <w:noWrap/>
            <w:vAlign w:val="bottom"/>
            <w:hideMark/>
          </w:tcPr>
          <w:p w14:paraId="186C5B1F" w14:textId="77777777" w:rsidR="00003E7C" w:rsidRPr="002A554D" w:rsidRDefault="00003E7C" w:rsidP="00B032B4">
            <w:pPr>
              <w:spacing w:after="0" w:line="240" w:lineRule="auto"/>
              <w:jc w:val="center"/>
              <w:rPr>
                <w:rFonts w:ascii="Arial" w:eastAsia="Times New Roman" w:hAnsi="Arial" w:cs="Arial"/>
                <w:color w:val="000000"/>
                <w:sz w:val="20"/>
                <w:szCs w:val="24"/>
                <w:lang w:eastAsia="fr-FR"/>
              </w:rPr>
            </w:pPr>
            <w:r w:rsidRPr="002A554D">
              <w:rPr>
                <w:rFonts w:ascii="Arial" w:eastAsia="Times New Roman" w:hAnsi="Arial" w:cs="Arial"/>
                <w:color w:val="000000"/>
                <w:sz w:val="20"/>
                <w:szCs w:val="24"/>
                <w:lang w:eastAsia="fr-FR"/>
              </w:rPr>
              <w:t>128,208</w:t>
            </w:r>
          </w:p>
        </w:tc>
        <w:tc>
          <w:tcPr>
            <w:tcW w:w="1262" w:type="dxa"/>
            <w:tcBorders>
              <w:top w:val="nil"/>
              <w:left w:val="nil"/>
              <w:bottom w:val="single" w:sz="18" w:space="0" w:color="auto"/>
              <w:right w:val="nil"/>
            </w:tcBorders>
            <w:noWrap/>
            <w:vAlign w:val="bottom"/>
            <w:hideMark/>
          </w:tcPr>
          <w:p w14:paraId="0FF0650B" w14:textId="77777777" w:rsidR="00003E7C" w:rsidRPr="002A554D" w:rsidRDefault="00003E7C" w:rsidP="00B032B4">
            <w:pPr>
              <w:spacing w:after="0" w:line="240" w:lineRule="auto"/>
              <w:jc w:val="center"/>
              <w:rPr>
                <w:rFonts w:ascii="Arial" w:eastAsia="Times New Roman" w:hAnsi="Arial" w:cs="Arial"/>
                <w:b/>
                <w:bCs/>
                <w:color w:val="000000"/>
                <w:sz w:val="20"/>
                <w:szCs w:val="24"/>
                <w:lang w:eastAsia="fr-FR"/>
              </w:rPr>
            </w:pPr>
            <w:r w:rsidRPr="002A554D">
              <w:rPr>
                <w:rFonts w:ascii="Arial" w:eastAsia="Times New Roman" w:hAnsi="Arial" w:cs="Arial"/>
                <w:b/>
                <w:bCs/>
                <w:color w:val="000000"/>
                <w:sz w:val="20"/>
                <w:szCs w:val="24"/>
                <w:lang w:eastAsia="fr-FR"/>
              </w:rPr>
              <w:t>&lt;</w:t>
            </w:r>
            <w:r w:rsidR="007815D1" w:rsidRPr="002A554D">
              <w:rPr>
                <w:rFonts w:ascii="Arial" w:eastAsia="Times New Roman" w:hAnsi="Arial" w:cs="Arial"/>
                <w:b/>
                <w:bCs/>
                <w:color w:val="000000"/>
                <w:sz w:val="20"/>
                <w:szCs w:val="24"/>
                <w:lang w:eastAsia="fr-FR"/>
              </w:rPr>
              <w:t>0.001</w:t>
            </w:r>
          </w:p>
        </w:tc>
        <w:tc>
          <w:tcPr>
            <w:tcW w:w="499" w:type="dxa"/>
            <w:tcBorders>
              <w:top w:val="nil"/>
              <w:left w:val="nil"/>
              <w:bottom w:val="single" w:sz="18" w:space="0" w:color="auto"/>
              <w:right w:val="nil"/>
            </w:tcBorders>
            <w:vAlign w:val="bottom"/>
          </w:tcPr>
          <w:p w14:paraId="146113FE" w14:textId="77777777" w:rsidR="00003E7C" w:rsidRPr="002A554D" w:rsidRDefault="00003E7C" w:rsidP="00B032B4">
            <w:pPr>
              <w:spacing w:after="0" w:line="240" w:lineRule="auto"/>
              <w:jc w:val="center"/>
              <w:rPr>
                <w:rFonts w:ascii="Arial" w:eastAsia="Times New Roman" w:hAnsi="Arial" w:cs="Arial"/>
                <w:color w:val="000000"/>
                <w:sz w:val="20"/>
                <w:szCs w:val="24"/>
                <w:lang w:eastAsia="fr-FR"/>
              </w:rPr>
            </w:pPr>
            <w:r w:rsidRPr="002A554D">
              <w:rPr>
                <w:rFonts w:ascii="Arial" w:eastAsia="Times New Roman" w:hAnsi="Arial" w:cs="Arial"/>
                <w:color w:val="000000"/>
                <w:sz w:val="20"/>
                <w:szCs w:val="24"/>
                <w:lang w:eastAsia="fr-FR"/>
              </w:rPr>
              <w:t>30</w:t>
            </w:r>
          </w:p>
        </w:tc>
        <w:tc>
          <w:tcPr>
            <w:tcW w:w="1124" w:type="dxa"/>
            <w:tcBorders>
              <w:top w:val="nil"/>
              <w:left w:val="nil"/>
              <w:bottom w:val="single" w:sz="18" w:space="0" w:color="auto"/>
              <w:right w:val="nil"/>
            </w:tcBorders>
            <w:vAlign w:val="bottom"/>
          </w:tcPr>
          <w:p w14:paraId="6B48A534" w14:textId="77777777" w:rsidR="00003E7C" w:rsidRPr="002A554D" w:rsidRDefault="00ED2148" w:rsidP="00B032B4">
            <w:pPr>
              <w:spacing w:after="0" w:line="240" w:lineRule="auto"/>
              <w:jc w:val="center"/>
              <w:rPr>
                <w:rFonts w:ascii="Arial" w:eastAsia="Times New Roman" w:hAnsi="Arial" w:cs="Arial"/>
                <w:color w:val="000000"/>
                <w:sz w:val="20"/>
                <w:szCs w:val="24"/>
                <w:lang w:eastAsia="fr-FR"/>
              </w:rPr>
            </w:pPr>
            <w:r w:rsidRPr="002A554D">
              <w:rPr>
                <w:rFonts w:ascii="Arial" w:eastAsia="Times New Roman" w:hAnsi="Arial" w:cs="Arial"/>
                <w:color w:val="000000"/>
                <w:sz w:val="20"/>
                <w:szCs w:val="24"/>
                <w:lang w:eastAsia="fr-FR"/>
              </w:rPr>
              <w:t>202,17</w:t>
            </w:r>
          </w:p>
        </w:tc>
        <w:tc>
          <w:tcPr>
            <w:tcW w:w="992" w:type="dxa"/>
            <w:tcBorders>
              <w:top w:val="nil"/>
              <w:left w:val="nil"/>
              <w:bottom w:val="single" w:sz="18" w:space="0" w:color="auto"/>
              <w:right w:val="nil"/>
            </w:tcBorders>
            <w:vAlign w:val="bottom"/>
          </w:tcPr>
          <w:p w14:paraId="5CF6A2FE" w14:textId="77777777" w:rsidR="00003E7C" w:rsidRPr="002A554D" w:rsidRDefault="00003E7C" w:rsidP="00B032B4">
            <w:pPr>
              <w:spacing w:after="0" w:line="240" w:lineRule="auto"/>
              <w:jc w:val="center"/>
              <w:rPr>
                <w:rFonts w:ascii="Arial" w:eastAsia="Times New Roman" w:hAnsi="Arial" w:cs="Arial"/>
                <w:b/>
                <w:bCs/>
                <w:color w:val="000000"/>
                <w:sz w:val="20"/>
                <w:szCs w:val="24"/>
                <w:lang w:eastAsia="fr-FR"/>
              </w:rPr>
            </w:pPr>
            <w:r w:rsidRPr="002A554D">
              <w:rPr>
                <w:rFonts w:ascii="Arial" w:eastAsia="Times New Roman" w:hAnsi="Arial" w:cs="Arial"/>
                <w:b/>
                <w:bCs/>
                <w:color w:val="000000"/>
                <w:sz w:val="20"/>
                <w:szCs w:val="24"/>
                <w:lang w:eastAsia="fr-FR"/>
              </w:rPr>
              <w:t>&lt;</w:t>
            </w:r>
            <w:r w:rsidR="007815D1" w:rsidRPr="002A554D">
              <w:rPr>
                <w:rFonts w:ascii="Arial" w:eastAsia="Times New Roman" w:hAnsi="Arial" w:cs="Arial"/>
                <w:b/>
                <w:bCs/>
                <w:color w:val="000000"/>
                <w:sz w:val="20"/>
                <w:szCs w:val="24"/>
                <w:lang w:eastAsia="fr-FR"/>
              </w:rPr>
              <w:t>0.001</w:t>
            </w:r>
          </w:p>
        </w:tc>
      </w:tr>
    </w:tbl>
    <w:p w14:paraId="7C2F6258" w14:textId="77777777" w:rsidR="00E734A7" w:rsidRPr="003C5866" w:rsidRDefault="009B731B" w:rsidP="00FE53C2">
      <w:pPr>
        <w:tabs>
          <w:tab w:val="left" w:pos="2490"/>
        </w:tabs>
        <w:spacing w:after="0" w:line="360" w:lineRule="auto"/>
        <w:jc w:val="center"/>
        <w:rPr>
          <w:rFonts w:ascii="Arial" w:eastAsia="Times New Roman" w:hAnsi="Arial" w:cs="Arial"/>
          <w:i/>
          <w:color w:val="000000"/>
          <w:sz w:val="20"/>
          <w:szCs w:val="20"/>
          <w:vertAlign w:val="superscript"/>
          <w:lang w:val="en-US" w:eastAsia="fr-FR"/>
        </w:rPr>
      </w:pPr>
      <w:r w:rsidRPr="003C5866">
        <w:rPr>
          <w:rFonts w:ascii="Arial" w:eastAsia="Times New Roman" w:hAnsi="Arial" w:cs="Arial"/>
          <w:i/>
          <w:color w:val="000000"/>
          <w:sz w:val="20"/>
          <w:szCs w:val="20"/>
          <w:vertAlign w:val="superscript"/>
          <w:lang w:val="en-US" w:eastAsia="fr-FR"/>
        </w:rPr>
        <w:t xml:space="preserve">The values ​​in bold correspond to the tests allowing the null hypothesis to be rejected with a significance level </w:t>
      </w:r>
      <w:r w:rsidRPr="003C5866">
        <w:rPr>
          <w:rFonts w:ascii="Arial" w:eastAsia="Times New Roman" w:hAnsi="Arial" w:cs="Arial"/>
          <w:i/>
          <w:color w:val="000000"/>
          <w:sz w:val="20"/>
          <w:szCs w:val="20"/>
          <w:vertAlign w:val="superscript"/>
          <w:lang w:eastAsia="fr-FR"/>
        </w:rPr>
        <w:t>α</w:t>
      </w:r>
      <w:r w:rsidR="00C931E9">
        <w:rPr>
          <w:rFonts w:ascii="Arial" w:eastAsia="Times New Roman" w:hAnsi="Arial" w:cs="Arial"/>
          <w:i/>
          <w:color w:val="000000"/>
          <w:sz w:val="20"/>
          <w:szCs w:val="20"/>
          <w:vertAlign w:val="superscript"/>
          <w:lang w:val="en-US" w:eastAsia="fr-FR"/>
        </w:rPr>
        <w:t xml:space="preserve"> = .05.</w:t>
      </w:r>
      <w:r w:rsidRPr="003C5866">
        <w:rPr>
          <w:rFonts w:ascii="Arial" w:eastAsia="Times New Roman" w:hAnsi="Arial" w:cs="Arial"/>
          <w:i/>
          <w:color w:val="000000"/>
          <w:sz w:val="20"/>
          <w:szCs w:val="20"/>
          <w:vertAlign w:val="superscript"/>
          <w:lang w:val="en-US" w:eastAsia="fr-FR"/>
        </w:rPr>
        <w:t xml:space="preserve"> DF represents the degrees of freedom; R² the coefficient of determination; F the value of the F test and P the probability.</w:t>
      </w:r>
    </w:p>
    <w:p w14:paraId="40DCB44B" w14:textId="77777777" w:rsidR="003E720F" w:rsidRPr="003C5866" w:rsidRDefault="003E720F" w:rsidP="003E720F">
      <w:pPr>
        <w:tabs>
          <w:tab w:val="left" w:pos="2490"/>
        </w:tabs>
        <w:spacing w:after="0" w:line="240" w:lineRule="auto"/>
        <w:jc w:val="both"/>
        <w:rPr>
          <w:rFonts w:ascii="Arial" w:eastAsia="Times New Roman" w:hAnsi="Arial" w:cs="Arial"/>
          <w:color w:val="000000"/>
          <w:sz w:val="24"/>
          <w:szCs w:val="24"/>
          <w:lang w:val="en-US" w:eastAsia="fr-FR"/>
        </w:rPr>
      </w:pPr>
    </w:p>
    <w:p w14:paraId="6DFD717E" w14:textId="77777777" w:rsidR="004E4FB8" w:rsidRPr="00B6097E" w:rsidRDefault="00250444" w:rsidP="00B6097E">
      <w:pPr>
        <w:spacing w:after="0" w:line="240" w:lineRule="auto"/>
        <w:jc w:val="center"/>
        <w:rPr>
          <w:rFonts w:ascii="Arial" w:hAnsi="Arial" w:cs="Arial"/>
          <w:b/>
          <w:sz w:val="24"/>
          <w:szCs w:val="24"/>
          <w:lang w:val="en-US"/>
        </w:rPr>
      </w:pPr>
      <w:r w:rsidRPr="00ED2148">
        <w:rPr>
          <w:rFonts w:ascii="Arial" w:hAnsi="Arial" w:cs="Arial"/>
          <w:b/>
          <w:sz w:val="20"/>
          <w:szCs w:val="24"/>
          <w:lang w:val="en-US"/>
        </w:rPr>
        <w:t>A</w:t>
      </w:r>
      <w:r w:rsidR="004E4FB8" w:rsidRPr="003C5866">
        <w:rPr>
          <w:rFonts w:ascii="Arial" w:hAnsi="Arial" w:cs="Arial"/>
          <w:noProof/>
          <w:sz w:val="24"/>
          <w:szCs w:val="24"/>
          <w:lang w:eastAsia="fr-FR"/>
        </w:rPr>
        <w:drawing>
          <wp:inline distT="0" distB="0" distL="0" distR="0" wp14:anchorId="335AD799" wp14:editId="3F0DE7D1">
            <wp:extent cx="2647335" cy="1983740"/>
            <wp:effectExtent l="0" t="0" r="6985" b="10160"/>
            <wp:docPr id="2" name="Chart 2">
              <a:extLst xmlns:a="http://schemas.openxmlformats.org/drawingml/2006/main">
                <a:ext uri="{FF2B5EF4-FFF2-40B4-BE49-F238E27FC236}">
                  <a16:creationId xmlns:a16="http://schemas.microsoft.com/office/drawing/2014/main" id="{39F2897D-F34D-603B-4E0C-C878632455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0004652F" w:rsidRPr="003C5866">
        <w:rPr>
          <w:rFonts w:ascii="Arial" w:hAnsi="Arial" w:cs="Arial"/>
          <w:b/>
          <w:sz w:val="24"/>
          <w:szCs w:val="24"/>
          <w:lang w:val="en-US"/>
        </w:rPr>
        <w:t xml:space="preserve"> </w:t>
      </w:r>
      <w:r w:rsidR="004E4FB8" w:rsidRPr="00ED2148">
        <w:rPr>
          <w:rFonts w:ascii="Arial" w:hAnsi="Arial" w:cs="Arial"/>
          <w:b/>
          <w:sz w:val="20"/>
          <w:szCs w:val="24"/>
          <w:lang w:val="en-US"/>
        </w:rPr>
        <w:t>B</w:t>
      </w:r>
      <w:r w:rsidR="004E4FB8" w:rsidRPr="003C5866">
        <w:rPr>
          <w:rFonts w:ascii="Arial" w:hAnsi="Arial" w:cs="Arial"/>
          <w:noProof/>
          <w:sz w:val="24"/>
          <w:szCs w:val="24"/>
          <w:lang w:eastAsia="fr-FR"/>
        </w:rPr>
        <w:drawing>
          <wp:inline distT="0" distB="0" distL="0" distR="0" wp14:anchorId="13831199" wp14:editId="2646D7CD">
            <wp:extent cx="2647315" cy="1993900"/>
            <wp:effectExtent l="0" t="0" r="6985" b="12700"/>
            <wp:docPr id="3" name="Chart 3">
              <a:extLst xmlns:a="http://schemas.openxmlformats.org/drawingml/2006/main">
                <a:ext uri="{FF2B5EF4-FFF2-40B4-BE49-F238E27FC236}">
                  <a16:creationId xmlns:a16="http://schemas.microsoft.com/office/drawing/2014/main" id="{F5C7AEF1-9890-4A66-9E8E-89C3D81FAF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EF7DD38" w14:textId="77777777" w:rsidR="00250444" w:rsidRPr="003C5866" w:rsidRDefault="00B032B4" w:rsidP="00FE53C2">
      <w:pPr>
        <w:spacing w:line="360" w:lineRule="auto"/>
        <w:jc w:val="both"/>
        <w:rPr>
          <w:rFonts w:ascii="Arial" w:hAnsi="Arial" w:cs="Arial"/>
          <w:sz w:val="24"/>
          <w:szCs w:val="24"/>
          <w:lang w:val="en-US"/>
        </w:rPr>
      </w:pPr>
      <w:r w:rsidRPr="0027167F">
        <w:rPr>
          <w:rFonts w:ascii="Arial" w:hAnsi="Arial" w:cs="Arial"/>
          <w:b/>
          <w:sz w:val="20"/>
          <w:szCs w:val="24"/>
          <w:lang w:val="en-US"/>
        </w:rPr>
        <w:t xml:space="preserve">Fig. </w:t>
      </w:r>
      <w:r w:rsidR="00B839B5" w:rsidRPr="0027167F">
        <w:rPr>
          <w:rFonts w:ascii="Arial" w:hAnsi="Arial" w:cs="Arial"/>
          <w:b/>
          <w:sz w:val="20"/>
          <w:szCs w:val="24"/>
          <w:lang w:val="en-US"/>
        </w:rPr>
        <w:t>1</w:t>
      </w:r>
      <w:r w:rsidRPr="0027167F">
        <w:rPr>
          <w:rFonts w:ascii="Arial" w:hAnsi="Arial" w:cs="Arial"/>
          <w:b/>
          <w:sz w:val="20"/>
          <w:szCs w:val="24"/>
          <w:lang w:val="en-US"/>
        </w:rPr>
        <w:t>.</w:t>
      </w:r>
      <w:r w:rsidR="001C6F37" w:rsidRPr="0027167F">
        <w:rPr>
          <w:rFonts w:ascii="Arial" w:hAnsi="Arial" w:cs="Arial"/>
          <w:sz w:val="20"/>
          <w:szCs w:val="24"/>
          <w:lang w:val="en-US"/>
        </w:rPr>
        <w:t xml:space="preserve"> </w:t>
      </w:r>
      <w:r w:rsidR="001C6F37" w:rsidRPr="0027167F">
        <w:rPr>
          <w:rFonts w:ascii="Arial" w:hAnsi="Arial" w:cs="Arial"/>
          <w:b/>
          <w:sz w:val="20"/>
          <w:szCs w:val="24"/>
          <w:lang w:val="en-US"/>
        </w:rPr>
        <w:t>Mycelial growth kinetics</w:t>
      </w:r>
      <w:r w:rsidR="00ED2148" w:rsidRPr="0027167F">
        <w:rPr>
          <w:rFonts w:ascii="Arial" w:hAnsi="Arial" w:cs="Arial"/>
          <w:b/>
          <w:sz w:val="20"/>
          <w:szCs w:val="24"/>
          <w:lang w:val="en-US"/>
        </w:rPr>
        <w:t xml:space="preserve"> (MGK)</w:t>
      </w:r>
      <w:r w:rsidR="001C6F37" w:rsidRPr="0027167F">
        <w:rPr>
          <w:rFonts w:ascii="Arial" w:hAnsi="Arial" w:cs="Arial"/>
          <w:b/>
          <w:sz w:val="20"/>
          <w:szCs w:val="24"/>
          <w:lang w:val="en-US"/>
        </w:rPr>
        <w:t xml:space="preserve"> of</w:t>
      </w:r>
      <w:r w:rsidR="00FE53C2" w:rsidRPr="0027167F">
        <w:rPr>
          <w:rFonts w:ascii="Arial" w:hAnsi="Arial" w:cs="Arial"/>
          <w:b/>
          <w:sz w:val="20"/>
          <w:szCs w:val="24"/>
          <w:lang w:val="en-US"/>
        </w:rPr>
        <w:t xml:space="preserve"> </w:t>
      </w:r>
      <w:r w:rsidR="00FE53C2" w:rsidRPr="0027167F">
        <w:rPr>
          <w:rFonts w:ascii="Arial" w:hAnsi="Arial" w:cs="Arial"/>
          <w:b/>
          <w:i/>
          <w:sz w:val="20"/>
          <w:szCs w:val="24"/>
          <w:lang w:val="en-US"/>
        </w:rPr>
        <w:t xml:space="preserve">Fusarium </w:t>
      </w:r>
      <w:r w:rsidR="00FE53C2" w:rsidRPr="0027167F">
        <w:rPr>
          <w:rFonts w:ascii="Arial" w:hAnsi="Arial" w:cs="Arial"/>
          <w:b/>
          <w:sz w:val="20"/>
          <w:szCs w:val="24"/>
          <w:lang w:val="en-US"/>
        </w:rPr>
        <w:t xml:space="preserve">spp. (A) and </w:t>
      </w:r>
      <w:r w:rsidR="00FE53C2" w:rsidRPr="0027167F">
        <w:rPr>
          <w:rFonts w:ascii="Arial" w:hAnsi="Arial" w:cs="Arial"/>
          <w:b/>
          <w:i/>
          <w:sz w:val="20"/>
          <w:szCs w:val="24"/>
          <w:lang w:val="en-US"/>
        </w:rPr>
        <w:t>Aspergillus flavus</w:t>
      </w:r>
      <w:r w:rsidR="00FE53C2" w:rsidRPr="0027167F">
        <w:rPr>
          <w:rFonts w:ascii="Arial" w:hAnsi="Arial" w:cs="Arial"/>
          <w:b/>
          <w:sz w:val="20"/>
          <w:szCs w:val="24"/>
          <w:lang w:val="en-US"/>
        </w:rPr>
        <w:t xml:space="preserve"> (B)</w:t>
      </w:r>
      <w:r w:rsidR="001C6F37" w:rsidRPr="0027167F">
        <w:rPr>
          <w:rFonts w:ascii="Arial" w:hAnsi="Arial" w:cs="Arial"/>
          <w:b/>
          <w:sz w:val="20"/>
          <w:szCs w:val="24"/>
          <w:lang w:val="en-US"/>
        </w:rPr>
        <w:t xml:space="preserve"> in the presence of </w:t>
      </w:r>
      <w:r w:rsidR="00941F94" w:rsidRPr="0027167F">
        <w:rPr>
          <w:rFonts w:ascii="Arial" w:hAnsi="Arial" w:cs="Arial"/>
          <w:b/>
          <w:sz w:val="20"/>
          <w:szCs w:val="24"/>
          <w:lang w:val="en-US"/>
        </w:rPr>
        <w:t>biopesticides modalities (BP1, BP2, BP3 and BP4) and controls (C+ and C-)</w:t>
      </w:r>
      <w:r w:rsidR="001C6F37" w:rsidRPr="0027167F">
        <w:rPr>
          <w:rFonts w:ascii="Arial" w:hAnsi="Arial" w:cs="Arial"/>
          <w:b/>
          <w:sz w:val="20"/>
          <w:szCs w:val="24"/>
          <w:lang w:val="en-US"/>
        </w:rPr>
        <w:t>.</w:t>
      </w:r>
    </w:p>
    <w:p w14:paraId="75EE7D4A" w14:textId="77777777" w:rsidR="00B839B5" w:rsidRPr="003C5866" w:rsidRDefault="00CA4A22" w:rsidP="00FE53C2">
      <w:pPr>
        <w:spacing w:after="0" w:line="360" w:lineRule="auto"/>
        <w:jc w:val="center"/>
        <w:rPr>
          <w:rFonts w:ascii="Arial" w:hAnsi="Arial" w:cs="Arial"/>
          <w:i/>
          <w:sz w:val="20"/>
          <w:szCs w:val="24"/>
          <w:vertAlign w:val="superscript"/>
          <w:lang w:val="en-US"/>
        </w:rPr>
      </w:pPr>
      <w:r w:rsidRPr="003C5866">
        <w:rPr>
          <w:rFonts w:ascii="Arial" w:hAnsi="Arial" w:cs="Arial"/>
          <w:i/>
          <w:iCs/>
          <w:sz w:val="20"/>
          <w:szCs w:val="24"/>
          <w:vertAlign w:val="superscript"/>
          <w:lang w:val="en-US"/>
        </w:rPr>
        <w:t>Each bar represents the standard deviations of three repetitions for each modality and the letters (a, b and c) represent the means between statistical groups of different modalities ac</w:t>
      </w:r>
      <w:r w:rsidR="00C931E9">
        <w:rPr>
          <w:rFonts w:ascii="Arial" w:hAnsi="Arial" w:cs="Arial"/>
          <w:i/>
          <w:iCs/>
          <w:sz w:val="20"/>
          <w:szCs w:val="24"/>
          <w:vertAlign w:val="superscript"/>
          <w:lang w:val="en-US"/>
        </w:rPr>
        <w:t>cording to the ANOVA test (P&lt; .</w:t>
      </w:r>
      <w:r w:rsidRPr="003C5866">
        <w:rPr>
          <w:rFonts w:ascii="Arial" w:hAnsi="Arial" w:cs="Arial"/>
          <w:i/>
          <w:iCs/>
          <w:sz w:val="20"/>
          <w:szCs w:val="24"/>
          <w:vertAlign w:val="superscript"/>
          <w:lang w:val="en-US"/>
        </w:rPr>
        <w:t>05).</w:t>
      </w:r>
    </w:p>
    <w:p w14:paraId="594978D1" w14:textId="77777777" w:rsidR="00B032B4" w:rsidRPr="003C5866" w:rsidRDefault="00B032B4" w:rsidP="00B032B4">
      <w:pPr>
        <w:spacing w:after="0" w:line="240" w:lineRule="auto"/>
        <w:jc w:val="both"/>
        <w:rPr>
          <w:rFonts w:ascii="Arial" w:hAnsi="Arial" w:cs="Arial"/>
          <w:szCs w:val="24"/>
          <w:vertAlign w:val="superscript"/>
          <w:lang w:val="en-US"/>
        </w:rPr>
      </w:pPr>
    </w:p>
    <w:p w14:paraId="72ACCA5B" w14:textId="77777777" w:rsidR="00897635" w:rsidRPr="003C5866" w:rsidRDefault="00DC4759" w:rsidP="00B032B4">
      <w:pPr>
        <w:spacing w:after="0" w:line="480" w:lineRule="auto"/>
        <w:rPr>
          <w:rFonts w:ascii="Arial" w:hAnsi="Arial" w:cs="Arial"/>
          <w:b/>
          <w:szCs w:val="24"/>
          <w:lang w:val="en-US"/>
        </w:rPr>
      </w:pPr>
      <w:r w:rsidRPr="003C5866">
        <w:rPr>
          <w:rFonts w:ascii="Arial" w:hAnsi="Arial" w:cs="Arial"/>
          <w:b/>
          <w:szCs w:val="24"/>
          <w:lang w:val="en-US"/>
        </w:rPr>
        <w:t>Amylolytic and cellulolytic activities</w:t>
      </w:r>
    </w:p>
    <w:p w14:paraId="69DBFC7E" w14:textId="77777777" w:rsidR="00772635" w:rsidRPr="003C5866" w:rsidRDefault="00772635" w:rsidP="00DD0390">
      <w:pPr>
        <w:spacing w:after="0" w:line="360" w:lineRule="auto"/>
        <w:jc w:val="both"/>
        <w:rPr>
          <w:rFonts w:ascii="Arial" w:hAnsi="Arial" w:cs="Arial"/>
          <w:sz w:val="20"/>
          <w:szCs w:val="24"/>
          <w:lang w:val="en-US"/>
        </w:rPr>
      </w:pPr>
      <w:r w:rsidRPr="003C5866">
        <w:rPr>
          <w:rFonts w:ascii="Arial" w:hAnsi="Arial" w:cs="Arial"/>
          <w:sz w:val="20"/>
          <w:szCs w:val="24"/>
          <w:lang w:val="en-US"/>
        </w:rPr>
        <w:t xml:space="preserve">The different biopesticides (BP1, BP2, BP3 and BP4) showed a significant </w:t>
      </w:r>
      <w:r w:rsidRPr="0027167F">
        <w:rPr>
          <w:rFonts w:ascii="Arial" w:hAnsi="Arial" w:cs="Arial"/>
          <w:sz w:val="20"/>
          <w:szCs w:val="24"/>
          <w:lang w:val="en-US"/>
        </w:rPr>
        <w:t>effect (</w:t>
      </w:r>
      <w:r w:rsidR="006F36E2" w:rsidRPr="0027167F">
        <w:rPr>
          <w:rFonts w:ascii="Arial" w:hAnsi="Arial" w:cs="Arial"/>
          <w:iCs/>
          <w:sz w:val="20"/>
          <w:szCs w:val="24"/>
          <w:lang w:val="en-US"/>
        </w:rPr>
        <w:t>P</w:t>
      </w:r>
      <w:r w:rsidR="00C931E9" w:rsidRPr="0027167F">
        <w:rPr>
          <w:rFonts w:ascii="Arial" w:hAnsi="Arial" w:cs="Arial"/>
          <w:iCs/>
          <w:sz w:val="20"/>
          <w:szCs w:val="24"/>
          <w:lang w:val="en-US"/>
        </w:rPr>
        <w:t>&lt;</w:t>
      </w:r>
      <w:r w:rsidR="0027167F" w:rsidRPr="0027167F">
        <w:rPr>
          <w:rFonts w:ascii="Arial" w:hAnsi="Arial" w:cs="Arial"/>
          <w:iCs/>
          <w:sz w:val="20"/>
          <w:szCs w:val="24"/>
          <w:lang w:val="en-US"/>
        </w:rPr>
        <w:t>0</w:t>
      </w:r>
      <w:r w:rsidR="007815D1" w:rsidRPr="0027167F">
        <w:rPr>
          <w:rFonts w:ascii="Arial" w:hAnsi="Arial" w:cs="Arial"/>
          <w:iCs/>
          <w:sz w:val="20"/>
          <w:szCs w:val="24"/>
          <w:lang w:val="en-US"/>
        </w:rPr>
        <w:t>.001</w:t>
      </w:r>
      <w:r w:rsidRPr="0027167F">
        <w:rPr>
          <w:rFonts w:ascii="Arial" w:hAnsi="Arial" w:cs="Arial"/>
          <w:sz w:val="20"/>
          <w:szCs w:val="24"/>
          <w:lang w:val="en-US"/>
        </w:rPr>
        <w:t>)</w:t>
      </w:r>
      <w:r w:rsidRPr="003C5866">
        <w:rPr>
          <w:rFonts w:ascii="Arial" w:hAnsi="Arial" w:cs="Arial"/>
          <w:sz w:val="20"/>
          <w:szCs w:val="24"/>
          <w:lang w:val="en-US"/>
        </w:rPr>
        <w:t xml:space="preserve"> on the enzymatic activities (amylolytic and cellulolytic) of </w:t>
      </w:r>
      <w:r w:rsidRPr="003C5866">
        <w:rPr>
          <w:rFonts w:ascii="Arial" w:hAnsi="Arial" w:cs="Arial"/>
          <w:i/>
          <w:sz w:val="20"/>
          <w:szCs w:val="24"/>
          <w:lang w:val="en-US"/>
        </w:rPr>
        <w:t>Aspergillus flavus</w:t>
      </w:r>
      <w:r w:rsidRPr="003C5866">
        <w:rPr>
          <w:rFonts w:ascii="Arial" w:hAnsi="Arial" w:cs="Arial"/>
          <w:sz w:val="20"/>
          <w:szCs w:val="24"/>
          <w:lang w:val="en-US"/>
        </w:rPr>
        <w:t xml:space="preserve"> and </w:t>
      </w:r>
      <w:r w:rsidRPr="003C5866">
        <w:rPr>
          <w:rFonts w:ascii="Arial" w:hAnsi="Arial" w:cs="Arial"/>
          <w:i/>
          <w:sz w:val="20"/>
          <w:szCs w:val="24"/>
          <w:lang w:val="en-US"/>
        </w:rPr>
        <w:t xml:space="preserve">Fusarium </w:t>
      </w:r>
      <w:r w:rsidRPr="003C5866">
        <w:rPr>
          <w:rFonts w:ascii="Arial" w:hAnsi="Arial" w:cs="Arial"/>
          <w:sz w:val="20"/>
          <w:szCs w:val="24"/>
          <w:lang w:val="en-US"/>
        </w:rPr>
        <w:t xml:space="preserve">spp., reducing the </w:t>
      </w:r>
      <w:r w:rsidRPr="00CD069B">
        <w:rPr>
          <w:rFonts w:ascii="Arial" w:hAnsi="Arial" w:cs="Arial"/>
          <w:sz w:val="20"/>
          <w:szCs w:val="24"/>
          <w:lang w:val="en-US"/>
        </w:rPr>
        <w:t xml:space="preserve">hydrolysis zones associated with these activities (Figure 2). In </w:t>
      </w:r>
      <w:r w:rsidRPr="00CD069B">
        <w:rPr>
          <w:rFonts w:ascii="Arial" w:hAnsi="Arial" w:cs="Arial"/>
          <w:i/>
          <w:sz w:val="20"/>
          <w:szCs w:val="24"/>
          <w:lang w:val="en-US"/>
        </w:rPr>
        <w:t>Aspergillus flavus</w:t>
      </w:r>
      <w:r w:rsidRPr="00CD069B">
        <w:rPr>
          <w:rFonts w:ascii="Arial" w:hAnsi="Arial" w:cs="Arial"/>
          <w:sz w:val="20"/>
          <w:szCs w:val="24"/>
          <w:lang w:val="en-US"/>
        </w:rPr>
        <w:t>, no significant difference was observed between the biopesticides for the two enzymatic activities</w:t>
      </w:r>
      <w:r w:rsidR="00CD069B" w:rsidRPr="00CD069B">
        <w:rPr>
          <w:rFonts w:ascii="Arial" w:hAnsi="Arial" w:cs="Arial"/>
          <w:sz w:val="20"/>
          <w:szCs w:val="24"/>
          <w:lang w:val="en-US"/>
        </w:rPr>
        <w:t xml:space="preserve"> compare to</w:t>
      </w:r>
      <w:r w:rsidRPr="00CD069B">
        <w:rPr>
          <w:rFonts w:ascii="Arial" w:hAnsi="Arial" w:cs="Arial"/>
          <w:sz w:val="20"/>
          <w:szCs w:val="24"/>
          <w:lang w:val="en-US"/>
        </w:rPr>
        <w:t xml:space="preserve"> th</w:t>
      </w:r>
      <w:r w:rsidR="00B032B4" w:rsidRPr="00CD069B">
        <w:rPr>
          <w:rFonts w:ascii="Arial" w:hAnsi="Arial" w:cs="Arial"/>
          <w:sz w:val="20"/>
          <w:szCs w:val="24"/>
          <w:lang w:val="en-US"/>
        </w:rPr>
        <w:t xml:space="preserve">e </w:t>
      </w:r>
      <w:r w:rsidR="00B032B4" w:rsidRPr="00CD069B">
        <w:rPr>
          <w:rFonts w:ascii="Arial" w:hAnsi="Arial" w:cs="Arial"/>
          <w:sz w:val="20"/>
          <w:szCs w:val="24"/>
          <w:lang w:val="en-US"/>
        </w:rPr>
        <w:lastRenderedPageBreak/>
        <w:t>negative control (C–) (Figure</w:t>
      </w:r>
      <w:r w:rsidR="00FE53C2" w:rsidRPr="00CD069B">
        <w:rPr>
          <w:rFonts w:ascii="Arial" w:hAnsi="Arial" w:cs="Arial"/>
          <w:sz w:val="20"/>
          <w:szCs w:val="24"/>
          <w:lang w:val="en-US"/>
        </w:rPr>
        <w:t>s</w:t>
      </w:r>
      <w:r w:rsidRPr="00CD069B">
        <w:rPr>
          <w:rFonts w:ascii="Arial" w:hAnsi="Arial" w:cs="Arial"/>
          <w:sz w:val="20"/>
          <w:szCs w:val="24"/>
          <w:lang w:val="en-US"/>
        </w:rPr>
        <w:t xml:space="preserve"> 2A and 2B). However, in the presence of the biopesticides (BP1</w:t>
      </w:r>
      <w:r w:rsidR="00A412D3">
        <w:rPr>
          <w:rFonts w:ascii="Arial" w:hAnsi="Arial" w:cs="Arial"/>
          <w:sz w:val="20"/>
          <w:szCs w:val="24"/>
          <w:lang w:val="en-US"/>
        </w:rPr>
        <w:t>-</w:t>
      </w:r>
      <w:r w:rsidRPr="00CD069B">
        <w:rPr>
          <w:rFonts w:ascii="Arial" w:hAnsi="Arial" w:cs="Arial"/>
          <w:sz w:val="20"/>
          <w:szCs w:val="24"/>
          <w:lang w:val="en-US"/>
        </w:rPr>
        <w:t>4) and the positive control (C+), the hydrolysis zones corresponding to the amylolytic and cellulolytic activities were considerably smaller than those of the negative control (C–) (Figure 2B).</w:t>
      </w:r>
    </w:p>
    <w:p w14:paraId="37725C4B" w14:textId="77777777" w:rsidR="00AC5B01" w:rsidRDefault="00772635" w:rsidP="00DD0390">
      <w:pPr>
        <w:spacing w:line="360" w:lineRule="auto"/>
        <w:jc w:val="both"/>
        <w:rPr>
          <w:rFonts w:ascii="Arial" w:hAnsi="Arial" w:cs="Arial"/>
          <w:sz w:val="20"/>
          <w:szCs w:val="24"/>
          <w:lang w:val="en-US"/>
        </w:rPr>
      </w:pPr>
      <w:r w:rsidRPr="003C5866">
        <w:rPr>
          <w:rFonts w:ascii="Arial" w:hAnsi="Arial" w:cs="Arial"/>
          <w:sz w:val="20"/>
          <w:szCs w:val="24"/>
          <w:lang w:val="en-US"/>
        </w:rPr>
        <w:t xml:space="preserve">In contrast, no hydrolysis zones were observed for the cellulolytic activity of </w:t>
      </w:r>
      <w:r w:rsidRPr="003C5866">
        <w:rPr>
          <w:rFonts w:ascii="Arial" w:hAnsi="Arial" w:cs="Arial"/>
          <w:i/>
          <w:sz w:val="20"/>
          <w:szCs w:val="24"/>
          <w:lang w:val="en-US"/>
        </w:rPr>
        <w:t>Fusarium</w:t>
      </w:r>
      <w:r w:rsidRPr="003C5866">
        <w:rPr>
          <w:rFonts w:ascii="Arial" w:hAnsi="Arial" w:cs="Arial"/>
          <w:sz w:val="20"/>
          <w:szCs w:val="24"/>
          <w:lang w:val="en-US"/>
        </w:rPr>
        <w:t xml:space="preserve"> spp. (Figure 2B). </w:t>
      </w:r>
      <w:r w:rsidRPr="00CD069B">
        <w:rPr>
          <w:rFonts w:ascii="Arial" w:hAnsi="Arial" w:cs="Arial"/>
          <w:sz w:val="20"/>
          <w:szCs w:val="24"/>
          <w:lang w:val="en-US"/>
        </w:rPr>
        <w:t>However, the hydrolysis zones corresponding to its amylolytic activity were small in the presence of the biopesticides (BP1</w:t>
      </w:r>
      <w:r w:rsidR="00A412D3">
        <w:rPr>
          <w:rFonts w:ascii="Arial" w:hAnsi="Arial" w:cs="Arial"/>
          <w:sz w:val="20"/>
          <w:szCs w:val="24"/>
          <w:lang w:val="en-US"/>
        </w:rPr>
        <w:t>-</w:t>
      </w:r>
      <w:r w:rsidRPr="00CD069B">
        <w:rPr>
          <w:rFonts w:ascii="Arial" w:hAnsi="Arial" w:cs="Arial"/>
          <w:sz w:val="20"/>
          <w:szCs w:val="24"/>
          <w:lang w:val="en-US"/>
        </w:rPr>
        <w:t xml:space="preserve">4) and </w:t>
      </w:r>
      <w:r w:rsidR="00CD069B">
        <w:rPr>
          <w:rFonts w:ascii="Arial" w:hAnsi="Arial" w:cs="Arial"/>
          <w:sz w:val="20"/>
          <w:szCs w:val="24"/>
          <w:lang w:val="en-US"/>
        </w:rPr>
        <w:t>very small</w:t>
      </w:r>
      <w:r w:rsidRPr="00CD069B">
        <w:rPr>
          <w:rFonts w:ascii="Arial" w:hAnsi="Arial" w:cs="Arial"/>
          <w:sz w:val="20"/>
          <w:szCs w:val="24"/>
          <w:lang w:val="en-US"/>
        </w:rPr>
        <w:t xml:space="preserve"> in the presence of the positive control (C+</w:t>
      </w:r>
      <w:proofErr w:type="gramStart"/>
      <w:r w:rsidRPr="00CD069B">
        <w:rPr>
          <w:rFonts w:ascii="Arial" w:hAnsi="Arial" w:cs="Arial"/>
          <w:sz w:val="20"/>
          <w:szCs w:val="24"/>
          <w:lang w:val="en-US"/>
        </w:rPr>
        <w:t>).</w:t>
      </w:r>
      <w:r w:rsidR="0080230B">
        <w:rPr>
          <w:rFonts w:ascii="Arial" w:hAnsi="Arial" w:cs="Arial"/>
          <w:sz w:val="20"/>
          <w:szCs w:val="24"/>
          <w:lang w:val="en-US"/>
        </w:rPr>
        <w:t>Likewise</w:t>
      </w:r>
      <w:proofErr w:type="gramEnd"/>
      <w:r w:rsidR="0080230B">
        <w:rPr>
          <w:rFonts w:ascii="Arial" w:hAnsi="Arial" w:cs="Arial"/>
          <w:sz w:val="20"/>
          <w:szCs w:val="24"/>
          <w:lang w:val="en-US"/>
        </w:rPr>
        <w:t xml:space="preserve"> </w:t>
      </w:r>
      <w:r w:rsidR="0080230B" w:rsidRPr="0080230B">
        <w:rPr>
          <w:rFonts w:ascii="Arial" w:hAnsi="Arial" w:cs="Arial"/>
          <w:sz w:val="20"/>
          <w:szCs w:val="24"/>
          <w:lang w:val="en-US"/>
        </w:rPr>
        <w:t>n</w:t>
      </w:r>
      <w:r w:rsidRPr="0080230B">
        <w:rPr>
          <w:rFonts w:ascii="Arial" w:hAnsi="Arial" w:cs="Arial"/>
          <w:sz w:val="20"/>
          <w:szCs w:val="24"/>
          <w:lang w:val="en-US"/>
        </w:rPr>
        <w:t>o</w:t>
      </w:r>
      <w:r w:rsidRPr="00FB6B87">
        <w:rPr>
          <w:rFonts w:ascii="Arial" w:hAnsi="Arial" w:cs="Arial"/>
          <w:sz w:val="20"/>
          <w:szCs w:val="24"/>
          <w:lang w:val="en-US"/>
        </w:rPr>
        <w:t xml:space="preserve"> cellulolytic activity was observed in </w:t>
      </w:r>
      <w:r w:rsidRPr="00FB6B87">
        <w:rPr>
          <w:rFonts w:ascii="Arial" w:hAnsi="Arial" w:cs="Arial"/>
          <w:i/>
          <w:sz w:val="20"/>
          <w:szCs w:val="24"/>
          <w:lang w:val="en-US"/>
        </w:rPr>
        <w:t>Fusarium</w:t>
      </w:r>
      <w:r w:rsidRPr="00FB6B87">
        <w:rPr>
          <w:rFonts w:ascii="Arial" w:hAnsi="Arial" w:cs="Arial"/>
          <w:sz w:val="20"/>
          <w:szCs w:val="24"/>
          <w:lang w:val="en-US"/>
        </w:rPr>
        <w:t xml:space="preserve"> spp. </w:t>
      </w:r>
      <w:r w:rsidR="00CD069B" w:rsidRPr="00FB6B87">
        <w:rPr>
          <w:rFonts w:ascii="Arial" w:hAnsi="Arial" w:cs="Arial"/>
          <w:strike/>
          <w:sz w:val="20"/>
          <w:szCs w:val="24"/>
          <w:lang w:val="en-US"/>
        </w:rPr>
        <w:t>i</w:t>
      </w:r>
      <w:r w:rsidR="00CD069B" w:rsidRPr="00FB6B87">
        <w:rPr>
          <w:rFonts w:ascii="Arial" w:hAnsi="Arial" w:cs="Arial"/>
          <w:sz w:val="20"/>
          <w:szCs w:val="24"/>
          <w:lang w:val="en-US"/>
        </w:rPr>
        <w:t>n</w:t>
      </w:r>
      <w:r w:rsidRPr="00FB6B87">
        <w:rPr>
          <w:rFonts w:ascii="Arial" w:hAnsi="Arial" w:cs="Arial"/>
          <w:sz w:val="20"/>
          <w:szCs w:val="24"/>
          <w:lang w:val="en-US"/>
        </w:rPr>
        <w:t xml:space="preserve"> any treatment.</w:t>
      </w:r>
      <w:r w:rsidRPr="003C5866">
        <w:rPr>
          <w:rFonts w:ascii="Arial" w:hAnsi="Arial" w:cs="Arial"/>
          <w:sz w:val="20"/>
          <w:szCs w:val="24"/>
          <w:lang w:val="en-US"/>
        </w:rPr>
        <w:t xml:space="preserve"> Overall, the BP2 treatment exhibited the strongest inhibitory effect on the amylolytic activity of </w:t>
      </w:r>
      <w:r w:rsidRPr="003C5866">
        <w:rPr>
          <w:rFonts w:ascii="Arial" w:hAnsi="Arial" w:cs="Arial"/>
          <w:i/>
          <w:sz w:val="20"/>
          <w:szCs w:val="24"/>
          <w:lang w:val="en-US"/>
        </w:rPr>
        <w:t>Fusarium</w:t>
      </w:r>
      <w:r w:rsidRPr="003C5866">
        <w:rPr>
          <w:rFonts w:ascii="Arial" w:hAnsi="Arial" w:cs="Arial"/>
          <w:sz w:val="20"/>
          <w:szCs w:val="24"/>
          <w:lang w:val="en-US"/>
        </w:rPr>
        <w:t xml:space="preserve"> spp., while the positive control (C+) showed the strongest inhibitory effect on the amylolytic and cellulolytic activities </w:t>
      </w:r>
      <w:r w:rsidRPr="00FB6B87">
        <w:rPr>
          <w:rFonts w:ascii="Arial" w:hAnsi="Arial" w:cs="Arial"/>
          <w:sz w:val="20"/>
          <w:szCs w:val="24"/>
          <w:lang w:val="en-US"/>
        </w:rPr>
        <w:t>of</w:t>
      </w:r>
      <w:r w:rsidRPr="003C5866">
        <w:rPr>
          <w:rFonts w:ascii="Arial" w:hAnsi="Arial" w:cs="Arial"/>
          <w:sz w:val="20"/>
          <w:szCs w:val="24"/>
          <w:lang w:val="en-US"/>
        </w:rPr>
        <w:t xml:space="preserve"> </w:t>
      </w:r>
      <w:r w:rsidRPr="003C5866">
        <w:rPr>
          <w:rFonts w:ascii="Arial" w:hAnsi="Arial" w:cs="Arial"/>
          <w:i/>
          <w:sz w:val="20"/>
          <w:szCs w:val="24"/>
          <w:lang w:val="en-US"/>
        </w:rPr>
        <w:t>Aspergillus flavus</w:t>
      </w:r>
      <w:r w:rsidRPr="003C5866">
        <w:rPr>
          <w:rFonts w:ascii="Arial" w:hAnsi="Arial" w:cs="Arial"/>
          <w:sz w:val="20"/>
          <w:szCs w:val="24"/>
          <w:lang w:val="en-US"/>
        </w:rPr>
        <w:t xml:space="preserve"> (Figure 2).</w:t>
      </w:r>
    </w:p>
    <w:p w14:paraId="394B8004" w14:textId="77777777" w:rsidR="00626C9E" w:rsidRPr="003C5866" w:rsidRDefault="00250444" w:rsidP="00B6097E">
      <w:pPr>
        <w:spacing w:after="0" w:line="240" w:lineRule="auto"/>
        <w:jc w:val="center"/>
        <w:rPr>
          <w:rFonts w:ascii="Arial" w:hAnsi="Arial" w:cs="Arial"/>
          <w:b/>
          <w:sz w:val="24"/>
          <w:szCs w:val="24"/>
          <w:lang w:val="en-US"/>
        </w:rPr>
      </w:pPr>
      <w:r w:rsidRPr="002A554D">
        <w:rPr>
          <w:rFonts w:ascii="Arial" w:hAnsi="Arial" w:cs="Arial"/>
          <w:b/>
          <w:sz w:val="20"/>
          <w:szCs w:val="24"/>
          <w:lang w:val="en-US"/>
        </w:rPr>
        <w:t>A</w:t>
      </w:r>
      <w:r w:rsidR="00AE06FB" w:rsidRPr="003C5866">
        <w:rPr>
          <w:rFonts w:ascii="Arial" w:hAnsi="Arial" w:cs="Arial"/>
          <w:noProof/>
          <w:sz w:val="24"/>
          <w:szCs w:val="24"/>
          <w:lang w:eastAsia="fr-FR"/>
        </w:rPr>
        <w:drawing>
          <wp:inline distT="0" distB="0" distL="0" distR="0" wp14:anchorId="06D19650" wp14:editId="31802F70">
            <wp:extent cx="1703439" cy="1676400"/>
            <wp:effectExtent l="0" t="0" r="11430" b="12700"/>
            <wp:docPr id="4" name="Chart 4">
              <a:extLst xmlns:a="http://schemas.openxmlformats.org/drawingml/2006/main">
                <a:ext uri="{FF2B5EF4-FFF2-40B4-BE49-F238E27FC236}">
                  <a16:creationId xmlns:a16="http://schemas.microsoft.com/office/drawing/2014/main" id="{F9565DE6-1EA8-359B-3197-A45D1789DD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3E720F" w:rsidRPr="003C5866">
        <w:rPr>
          <w:rFonts w:ascii="Arial" w:hAnsi="Arial" w:cs="Arial"/>
          <w:b/>
          <w:sz w:val="24"/>
          <w:szCs w:val="24"/>
          <w:lang w:val="en-US"/>
        </w:rPr>
        <w:t xml:space="preserve"> </w:t>
      </w:r>
      <w:r w:rsidR="00C5783F" w:rsidRPr="002A554D">
        <w:rPr>
          <w:rFonts w:ascii="Arial" w:hAnsi="Arial" w:cs="Arial"/>
          <w:b/>
          <w:sz w:val="20"/>
          <w:szCs w:val="24"/>
          <w:lang w:val="en-US"/>
        </w:rPr>
        <w:t>B</w:t>
      </w:r>
      <w:r w:rsidR="00AE06FB" w:rsidRPr="003C5866">
        <w:rPr>
          <w:rFonts w:ascii="Arial" w:hAnsi="Arial" w:cs="Arial"/>
          <w:noProof/>
          <w:sz w:val="24"/>
          <w:szCs w:val="24"/>
          <w:lang w:eastAsia="fr-FR"/>
        </w:rPr>
        <w:drawing>
          <wp:inline distT="0" distB="0" distL="0" distR="0" wp14:anchorId="1DA8B441" wp14:editId="6C17EFE9">
            <wp:extent cx="1703070" cy="1676400"/>
            <wp:effectExtent l="0" t="0" r="11430" b="12700"/>
            <wp:docPr id="5" name="Chart 5">
              <a:extLst xmlns:a="http://schemas.openxmlformats.org/drawingml/2006/main">
                <a:ext uri="{FF2B5EF4-FFF2-40B4-BE49-F238E27FC236}">
                  <a16:creationId xmlns:a16="http://schemas.microsoft.com/office/drawing/2014/main" id="{5D11F14C-1526-0A50-1DC3-9FF463F62F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3E720F" w:rsidRPr="003C5866">
        <w:rPr>
          <w:rFonts w:ascii="Arial" w:hAnsi="Arial" w:cs="Arial"/>
          <w:b/>
          <w:sz w:val="24"/>
          <w:szCs w:val="24"/>
          <w:lang w:val="en-US"/>
        </w:rPr>
        <w:t xml:space="preserve"> </w:t>
      </w:r>
      <w:r w:rsidR="00C5783F" w:rsidRPr="00FB6B87">
        <w:rPr>
          <w:rFonts w:ascii="Arial" w:hAnsi="Arial" w:cs="Arial"/>
          <w:b/>
          <w:sz w:val="20"/>
          <w:szCs w:val="24"/>
          <w:lang w:val="en-US"/>
        </w:rPr>
        <w:t>C</w:t>
      </w:r>
      <w:r w:rsidR="00AE06FB" w:rsidRPr="003C5866">
        <w:rPr>
          <w:rFonts w:ascii="Arial" w:hAnsi="Arial" w:cs="Arial"/>
          <w:noProof/>
          <w:sz w:val="24"/>
          <w:szCs w:val="24"/>
          <w:lang w:eastAsia="fr-FR"/>
        </w:rPr>
        <w:drawing>
          <wp:inline distT="0" distB="0" distL="0" distR="0" wp14:anchorId="6D5BB6BA" wp14:editId="727DEBC9">
            <wp:extent cx="1703070" cy="1677035"/>
            <wp:effectExtent l="0" t="0" r="11430" b="12065"/>
            <wp:docPr id="1" name="Chart 1">
              <a:extLst xmlns:a="http://schemas.openxmlformats.org/drawingml/2006/main">
                <a:ext uri="{FF2B5EF4-FFF2-40B4-BE49-F238E27FC236}">
                  <a16:creationId xmlns:a16="http://schemas.microsoft.com/office/drawing/2014/main" id="{0113410A-7EE7-BAC3-327B-B1F3330505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07AD9F8" w14:textId="77777777" w:rsidR="00E07C15" w:rsidRPr="003C5866" w:rsidRDefault="00B032B4" w:rsidP="00E07C15">
      <w:pPr>
        <w:pStyle w:val="Caption"/>
        <w:jc w:val="both"/>
        <w:rPr>
          <w:rFonts w:ascii="Arial" w:hAnsi="Arial" w:cs="Arial"/>
          <w:i w:val="0"/>
          <w:color w:val="auto"/>
          <w:sz w:val="24"/>
          <w:szCs w:val="24"/>
          <w:lang w:val="en-US"/>
        </w:rPr>
      </w:pPr>
      <w:r w:rsidRPr="003C5866">
        <w:rPr>
          <w:rFonts w:ascii="Arial" w:hAnsi="Arial" w:cs="Arial"/>
          <w:b/>
          <w:i w:val="0"/>
          <w:noProof/>
          <w:color w:val="auto"/>
          <w:sz w:val="20"/>
          <w:szCs w:val="24"/>
          <w:lang w:val="en-US" w:eastAsia="fr-FR"/>
        </w:rPr>
        <w:t>Fig.</w:t>
      </w:r>
      <w:r w:rsidR="009722A9" w:rsidRPr="003C5866">
        <w:rPr>
          <w:rFonts w:ascii="Arial" w:hAnsi="Arial" w:cs="Arial"/>
          <w:b/>
          <w:i w:val="0"/>
          <w:noProof/>
          <w:color w:val="auto"/>
          <w:sz w:val="20"/>
          <w:szCs w:val="24"/>
          <w:lang w:val="en-US" w:eastAsia="fr-FR"/>
        </w:rPr>
        <w:t xml:space="preserve"> 2</w:t>
      </w:r>
      <w:r w:rsidRPr="003C5866">
        <w:rPr>
          <w:rFonts w:ascii="Arial" w:hAnsi="Arial" w:cs="Arial"/>
          <w:b/>
          <w:bCs/>
          <w:i w:val="0"/>
          <w:iCs w:val="0"/>
          <w:color w:val="auto"/>
          <w:sz w:val="20"/>
          <w:szCs w:val="24"/>
          <w:lang w:val="en-US"/>
        </w:rPr>
        <w:t>.</w:t>
      </w:r>
      <w:r w:rsidR="009722A9" w:rsidRPr="003C5866">
        <w:rPr>
          <w:rFonts w:ascii="Arial" w:hAnsi="Arial" w:cs="Arial"/>
          <w:b/>
          <w:sz w:val="20"/>
          <w:szCs w:val="24"/>
          <w:lang w:val="en-US"/>
        </w:rPr>
        <w:t xml:space="preserve"> </w:t>
      </w:r>
      <w:r w:rsidR="009722A9" w:rsidRPr="003C5866">
        <w:rPr>
          <w:rFonts w:ascii="Arial" w:hAnsi="Arial" w:cs="Arial"/>
          <w:b/>
          <w:i w:val="0"/>
          <w:color w:val="auto"/>
          <w:sz w:val="20"/>
          <w:szCs w:val="24"/>
          <w:lang w:val="en-US"/>
        </w:rPr>
        <w:t xml:space="preserve">Effect of biopesticides </w:t>
      </w:r>
      <w:r w:rsidR="00941F94" w:rsidRPr="003C5866">
        <w:rPr>
          <w:rFonts w:ascii="Arial" w:hAnsi="Arial" w:cs="Arial"/>
          <w:b/>
          <w:i w:val="0"/>
          <w:color w:val="auto"/>
          <w:sz w:val="20"/>
          <w:szCs w:val="24"/>
          <w:lang w:val="en-US"/>
        </w:rPr>
        <w:t xml:space="preserve">modalities </w:t>
      </w:r>
      <w:r w:rsidR="009722A9" w:rsidRPr="003C5866">
        <w:rPr>
          <w:rFonts w:ascii="Arial" w:hAnsi="Arial" w:cs="Arial"/>
          <w:b/>
          <w:i w:val="0"/>
          <w:color w:val="auto"/>
          <w:sz w:val="20"/>
          <w:szCs w:val="24"/>
          <w:lang w:val="en-US"/>
        </w:rPr>
        <w:t>(BP1, BP2, BP3 and BP4) and controls (C+ and C-) on amylase and cellulase synthesis in</w:t>
      </w:r>
      <w:r w:rsidR="00250444" w:rsidRPr="003C5866">
        <w:rPr>
          <w:rFonts w:ascii="Arial" w:hAnsi="Arial" w:cs="Arial"/>
          <w:b/>
          <w:i w:val="0"/>
          <w:color w:val="auto"/>
          <w:sz w:val="20"/>
          <w:szCs w:val="24"/>
          <w:lang w:val="en-US"/>
        </w:rPr>
        <w:t xml:space="preserve"> </w:t>
      </w:r>
      <w:r w:rsidR="003D502F" w:rsidRPr="003C5866">
        <w:rPr>
          <w:rFonts w:ascii="Arial" w:hAnsi="Arial" w:cs="Arial"/>
          <w:b/>
          <w:color w:val="auto"/>
          <w:sz w:val="20"/>
          <w:szCs w:val="24"/>
          <w:lang w:val="en-US"/>
        </w:rPr>
        <w:t xml:space="preserve">Aspergillus flavus </w:t>
      </w:r>
      <w:r w:rsidR="003D502F" w:rsidRPr="003C5866">
        <w:rPr>
          <w:rFonts w:ascii="Arial" w:hAnsi="Arial" w:cs="Arial"/>
          <w:b/>
          <w:i w:val="0"/>
          <w:color w:val="auto"/>
          <w:sz w:val="20"/>
          <w:szCs w:val="24"/>
          <w:lang w:val="en-US"/>
        </w:rPr>
        <w:t>(A and B) and</w:t>
      </w:r>
      <w:r w:rsidR="003D502F" w:rsidRPr="003C5866">
        <w:rPr>
          <w:rFonts w:ascii="Arial" w:hAnsi="Arial" w:cs="Arial"/>
          <w:b/>
          <w:color w:val="auto"/>
          <w:sz w:val="20"/>
          <w:szCs w:val="24"/>
          <w:lang w:val="en-US"/>
        </w:rPr>
        <w:t xml:space="preserve"> Fusarium </w:t>
      </w:r>
      <w:r w:rsidR="003D502F" w:rsidRPr="003C5866">
        <w:rPr>
          <w:rFonts w:ascii="Arial" w:hAnsi="Arial" w:cs="Arial"/>
          <w:b/>
          <w:i w:val="0"/>
          <w:color w:val="auto"/>
          <w:sz w:val="20"/>
          <w:szCs w:val="24"/>
          <w:lang w:val="en-US"/>
        </w:rPr>
        <w:t>spp</w:t>
      </w:r>
      <w:r w:rsidR="00890094" w:rsidRPr="003C5866">
        <w:rPr>
          <w:rFonts w:ascii="Arial" w:hAnsi="Arial" w:cs="Arial"/>
          <w:b/>
          <w:color w:val="auto"/>
          <w:sz w:val="20"/>
          <w:szCs w:val="24"/>
          <w:lang w:val="en-US"/>
        </w:rPr>
        <w:t xml:space="preserve">. </w:t>
      </w:r>
      <w:r w:rsidR="003D502F" w:rsidRPr="003C5866">
        <w:rPr>
          <w:rFonts w:ascii="Arial" w:hAnsi="Arial" w:cs="Arial"/>
          <w:b/>
          <w:i w:val="0"/>
          <w:color w:val="auto"/>
          <w:sz w:val="20"/>
          <w:szCs w:val="24"/>
          <w:lang w:val="en-US"/>
        </w:rPr>
        <w:t>(C</w:t>
      </w:r>
      <w:r w:rsidR="002A554D">
        <w:rPr>
          <w:rFonts w:ascii="Arial" w:hAnsi="Arial" w:cs="Arial"/>
          <w:i w:val="0"/>
          <w:color w:val="auto"/>
          <w:sz w:val="24"/>
          <w:szCs w:val="24"/>
          <w:lang w:val="en-US"/>
        </w:rPr>
        <w:t>)</w:t>
      </w:r>
    </w:p>
    <w:p w14:paraId="2408C1A2" w14:textId="77777777" w:rsidR="009722A9" w:rsidRDefault="003D502F" w:rsidP="00237ED6">
      <w:pPr>
        <w:pStyle w:val="Caption"/>
        <w:spacing w:after="0" w:line="360" w:lineRule="auto"/>
        <w:jc w:val="center"/>
        <w:rPr>
          <w:rFonts w:ascii="Arial" w:hAnsi="Arial" w:cs="Arial"/>
          <w:color w:val="auto"/>
          <w:sz w:val="20"/>
          <w:szCs w:val="24"/>
          <w:vertAlign w:val="superscript"/>
          <w:lang w:val="en-US"/>
        </w:rPr>
      </w:pPr>
      <w:r w:rsidRPr="003C5866">
        <w:rPr>
          <w:rFonts w:ascii="Arial" w:hAnsi="Arial" w:cs="Arial"/>
          <w:color w:val="auto"/>
          <w:sz w:val="20"/>
          <w:szCs w:val="24"/>
          <w:vertAlign w:val="superscript"/>
          <w:lang w:val="en-US"/>
        </w:rPr>
        <w:t xml:space="preserve">Each bar represents the standard deviations of three replicates for each modality and the letters (a, b and c) represent the means between statistical groups of different modalities </w:t>
      </w:r>
      <w:r w:rsidR="00C931E9">
        <w:rPr>
          <w:rFonts w:ascii="Arial" w:hAnsi="Arial" w:cs="Arial"/>
          <w:color w:val="auto"/>
          <w:sz w:val="20"/>
          <w:szCs w:val="24"/>
          <w:vertAlign w:val="superscript"/>
          <w:lang w:val="en-US"/>
        </w:rPr>
        <w:t>according to the ANOVA test (</w:t>
      </w:r>
      <w:r w:rsidR="00C931E9" w:rsidRPr="00C931E9">
        <w:rPr>
          <w:rFonts w:ascii="Arial" w:hAnsi="Arial" w:cs="Arial"/>
          <w:color w:val="auto"/>
          <w:sz w:val="20"/>
          <w:szCs w:val="24"/>
          <w:vertAlign w:val="superscript"/>
          <w:lang w:val="en-US"/>
        </w:rPr>
        <w:t>P</w:t>
      </w:r>
      <w:r w:rsidR="00CB5CD1">
        <w:rPr>
          <w:rFonts w:ascii="Arial" w:hAnsi="Arial" w:cs="Arial"/>
          <w:color w:val="auto"/>
          <w:sz w:val="20"/>
          <w:szCs w:val="24"/>
          <w:vertAlign w:val="superscript"/>
          <w:lang w:val="en-US"/>
        </w:rPr>
        <w:t xml:space="preserve">&lt; </w:t>
      </w:r>
      <w:r w:rsidR="00CB5CD1" w:rsidRPr="003C5866">
        <w:rPr>
          <w:rFonts w:ascii="Arial" w:hAnsi="Arial" w:cs="Arial"/>
          <w:color w:val="auto"/>
          <w:sz w:val="20"/>
          <w:szCs w:val="24"/>
          <w:vertAlign w:val="superscript"/>
          <w:lang w:val="en-US"/>
        </w:rPr>
        <w:t>.</w:t>
      </w:r>
      <w:r w:rsidRPr="003C5866">
        <w:rPr>
          <w:rFonts w:ascii="Arial" w:hAnsi="Arial" w:cs="Arial"/>
          <w:color w:val="auto"/>
          <w:sz w:val="20"/>
          <w:szCs w:val="24"/>
          <w:vertAlign w:val="superscript"/>
          <w:lang w:val="en-US"/>
        </w:rPr>
        <w:t>05).</w:t>
      </w:r>
    </w:p>
    <w:p w14:paraId="7EF922B6" w14:textId="77777777" w:rsidR="00AC5B01" w:rsidRPr="00AC5B01" w:rsidRDefault="00AC5B01" w:rsidP="00AC5B01">
      <w:pPr>
        <w:rPr>
          <w:lang w:val="en-US"/>
        </w:rPr>
      </w:pPr>
    </w:p>
    <w:p w14:paraId="36B5AF88" w14:textId="77777777" w:rsidR="00880A78" w:rsidRPr="003C5866" w:rsidRDefault="001759D7" w:rsidP="00E07C15">
      <w:pPr>
        <w:spacing w:after="0" w:line="480" w:lineRule="auto"/>
        <w:rPr>
          <w:rFonts w:ascii="Arial" w:hAnsi="Arial" w:cs="Arial"/>
          <w:b/>
          <w:szCs w:val="24"/>
          <w:lang w:val="en-US"/>
        </w:rPr>
      </w:pPr>
      <w:r w:rsidRPr="003C5866">
        <w:rPr>
          <w:rFonts w:ascii="Arial" w:hAnsi="Arial" w:cs="Arial"/>
          <w:b/>
          <w:szCs w:val="24"/>
          <w:lang w:val="en-US"/>
        </w:rPr>
        <w:t>3.2. Antibacterial effect of biopesticides</w:t>
      </w:r>
    </w:p>
    <w:p w14:paraId="0AD5AECE" w14:textId="146A3FE1" w:rsidR="00454085" w:rsidRDefault="00772635" w:rsidP="00454085">
      <w:pPr>
        <w:spacing w:after="0" w:line="360" w:lineRule="auto"/>
        <w:jc w:val="both"/>
        <w:rPr>
          <w:rFonts w:ascii="Arial" w:hAnsi="Arial" w:cs="Arial"/>
          <w:sz w:val="20"/>
          <w:szCs w:val="24"/>
          <w:lang w:val="en-US"/>
        </w:rPr>
      </w:pPr>
      <w:r w:rsidRPr="003C5866">
        <w:rPr>
          <w:rFonts w:ascii="Arial" w:hAnsi="Arial" w:cs="Arial"/>
          <w:sz w:val="20"/>
          <w:szCs w:val="24"/>
          <w:lang w:val="en-US"/>
        </w:rPr>
        <w:t>Analysis of variance (ANOVA) of the effect of biopesticides (BP1, BP2, BP3</w:t>
      </w:r>
      <w:r w:rsidR="00B6097E">
        <w:rPr>
          <w:rFonts w:ascii="Arial" w:hAnsi="Arial" w:cs="Arial"/>
          <w:sz w:val="20"/>
          <w:szCs w:val="24"/>
          <w:lang w:val="en-US"/>
        </w:rPr>
        <w:t xml:space="preserve"> and</w:t>
      </w:r>
      <w:r w:rsidRPr="003C5866">
        <w:rPr>
          <w:rFonts w:ascii="Arial" w:hAnsi="Arial" w:cs="Arial"/>
          <w:sz w:val="20"/>
          <w:szCs w:val="24"/>
          <w:lang w:val="en-US"/>
        </w:rPr>
        <w:t xml:space="preserve"> BP4) on the bacterial growth of </w:t>
      </w:r>
      <w:r w:rsidRPr="00AC5B01">
        <w:rPr>
          <w:rFonts w:ascii="Arial" w:hAnsi="Arial" w:cs="Arial"/>
          <w:i/>
          <w:iCs/>
          <w:sz w:val="20"/>
          <w:szCs w:val="24"/>
          <w:lang w:val="en-US"/>
        </w:rPr>
        <w:t>Pseudomonas</w:t>
      </w:r>
      <w:r w:rsidRPr="003C5866">
        <w:rPr>
          <w:rFonts w:ascii="Arial" w:hAnsi="Arial" w:cs="Arial"/>
          <w:sz w:val="20"/>
          <w:szCs w:val="24"/>
          <w:lang w:val="en-US"/>
        </w:rPr>
        <w:t xml:space="preserve"> spp. and </w:t>
      </w:r>
      <w:r w:rsidRPr="00AC5B01">
        <w:rPr>
          <w:rFonts w:ascii="Arial" w:hAnsi="Arial" w:cs="Arial"/>
          <w:i/>
          <w:iCs/>
          <w:sz w:val="20"/>
          <w:szCs w:val="24"/>
          <w:lang w:val="en-US"/>
        </w:rPr>
        <w:t>Ralstonia solanacearum</w:t>
      </w:r>
      <w:r w:rsidRPr="003C5866">
        <w:rPr>
          <w:rFonts w:ascii="Arial" w:hAnsi="Arial" w:cs="Arial"/>
          <w:sz w:val="20"/>
          <w:szCs w:val="24"/>
          <w:lang w:val="en-US"/>
        </w:rPr>
        <w:t xml:space="preserve"> revealed a significant effect </w:t>
      </w:r>
      <w:r w:rsidRPr="0027167F">
        <w:rPr>
          <w:rFonts w:ascii="Arial" w:hAnsi="Arial" w:cs="Arial"/>
          <w:sz w:val="20"/>
          <w:szCs w:val="24"/>
          <w:lang w:val="en-US"/>
        </w:rPr>
        <w:t>(</w:t>
      </w:r>
      <w:r w:rsidR="00BD3800" w:rsidRPr="00CD069B">
        <w:rPr>
          <w:rFonts w:ascii="Arial" w:hAnsi="Arial" w:cs="Arial"/>
          <w:i/>
          <w:iCs/>
          <w:sz w:val="20"/>
          <w:szCs w:val="24"/>
          <w:lang w:val="en-US"/>
        </w:rPr>
        <w:t>P</w:t>
      </w:r>
      <w:r w:rsidR="00BD3800" w:rsidRPr="0027167F">
        <w:rPr>
          <w:rFonts w:ascii="Arial" w:hAnsi="Arial" w:cs="Arial"/>
          <w:sz w:val="20"/>
          <w:szCs w:val="24"/>
          <w:lang w:val="en-US"/>
        </w:rPr>
        <w:t>&lt; 0.001</w:t>
      </w:r>
      <w:r w:rsidRPr="0027167F">
        <w:rPr>
          <w:rFonts w:ascii="Arial" w:hAnsi="Arial" w:cs="Arial"/>
          <w:sz w:val="20"/>
          <w:szCs w:val="24"/>
          <w:lang w:val="en-US"/>
        </w:rPr>
        <w:t>)</w:t>
      </w:r>
      <w:r w:rsidRPr="003C5866">
        <w:rPr>
          <w:rFonts w:ascii="Arial" w:hAnsi="Arial" w:cs="Arial"/>
          <w:sz w:val="20"/>
          <w:szCs w:val="24"/>
          <w:lang w:val="en-US"/>
        </w:rPr>
        <w:t xml:space="preserve"> of the </w:t>
      </w:r>
      <w:r w:rsidR="00AC5B01" w:rsidRPr="003C5866">
        <w:rPr>
          <w:rFonts w:ascii="Arial" w:hAnsi="Arial" w:cs="Arial"/>
          <w:sz w:val="20"/>
          <w:szCs w:val="24"/>
          <w:lang w:val="en-US"/>
        </w:rPr>
        <w:t>variable’s</w:t>
      </w:r>
      <w:r w:rsidRPr="003C5866">
        <w:rPr>
          <w:rFonts w:ascii="Arial" w:hAnsi="Arial" w:cs="Arial"/>
          <w:sz w:val="20"/>
          <w:szCs w:val="24"/>
          <w:lang w:val="en-US"/>
        </w:rPr>
        <w:t xml:space="preserve"> species, </w:t>
      </w:r>
      <w:r w:rsidR="00B6097E">
        <w:rPr>
          <w:rFonts w:ascii="Arial" w:hAnsi="Arial" w:cs="Arial"/>
          <w:sz w:val="20"/>
          <w:szCs w:val="24"/>
          <w:lang w:val="en-US"/>
        </w:rPr>
        <w:t xml:space="preserve">modality </w:t>
      </w:r>
      <w:r w:rsidRPr="003C5866">
        <w:rPr>
          <w:rFonts w:ascii="Arial" w:hAnsi="Arial" w:cs="Arial"/>
          <w:sz w:val="20"/>
          <w:szCs w:val="24"/>
          <w:lang w:val="en-US"/>
        </w:rPr>
        <w:t>and their interaction (species*</w:t>
      </w:r>
      <w:r w:rsidR="00B6097E" w:rsidRPr="00B6097E">
        <w:rPr>
          <w:rFonts w:ascii="Arial" w:hAnsi="Arial" w:cs="Arial"/>
          <w:sz w:val="20"/>
          <w:szCs w:val="24"/>
          <w:lang w:val="en-US"/>
        </w:rPr>
        <w:t xml:space="preserve"> </w:t>
      </w:r>
      <w:r w:rsidR="00B6097E">
        <w:rPr>
          <w:rFonts w:ascii="Arial" w:hAnsi="Arial" w:cs="Arial"/>
          <w:sz w:val="20"/>
          <w:szCs w:val="24"/>
          <w:lang w:val="en-US"/>
        </w:rPr>
        <w:t>modality</w:t>
      </w:r>
      <w:r w:rsidRPr="003C5866">
        <w:rPr>
          <w:rFonts w:ascii="Arial" w:hAnsi="Arial" w:cs="Arial"/>
          <w:sz w:val="20"/>
          <w:szCs w:val="24"/>
          <w:lang w:val="en-US"/>
        </w:rPr>
        <w:t xml:space="preserve">), with a coefficient of determination (R²) of 100% (Table 3). The biopesticides significantly inhibited </w:t>
      </w:r>
      <w:r w:rsidRPr="0027167F">
        <w:rPr>
          <w:rFonts w:ascii="Arial" w:hAnsi="Arial" w:cs="Arial"/>
          <w:sz w:val="20"/>
          <w:szCs w:val="24"/>
          <w:lang w:val="en-US"/>
        </w:rPr>
        <w:t>(</w:t>
      </w:r>
      <w:r w:rsidR="00BD3800" w:rsidRPr="00CD069B">
        <w:rPr>
          <w:rFonts w:ascii="Arial" w:hAnsi="Arial" w:cs="Arial"/>
          <w:i/>
          <w:iCs/>
          <w:sz w:val="20"/>
          <w:szCs w:val="24"/>
          <w:lang w:val="en-US"/>
        </w:rPr>
        <w:t>P</w:t>
      </w:r>
      <w:r w:rsidR="00BD3800" w:rsidRPr="0027167F">
        <w:rPr>
          <w:rFonts w:ascii="Arial" w:hAnsi="Arial" w:cs="Arial"/>
          <w:sz w:val="20"/>
          <w:szCs w:val="24"/>
          <w:lang w:val="en-US"/>
        </w:rPr>
        <w:t>&lt; 0.001</w:t>
      </w:r>
      <w:r w:rsidRPr="0027167F">
        <w:rPr>
          <w:rFonts w:ascii="Arial" w:hAnsi="Arial" w:cs="Arial"/>
          <w:sz w:val="20"/>
          <w:szCs w:val="24"/>
          <w:lang w:val="en-US"/>
        </w:rPr>
        <w:t>)</w:t>
      </w:r>
      <w:r w:rsidRPr="003C5866">
        <w:rPr>
          <w:rFonts w:ascii="Arial" w:hAnsi="Arial" w:cs="Arial"/>
          <w:sz w:val="20"/>
          <w:szCs w:val="24"/>
          <w:lang w:val="en-US"/>
        </w:rPr>
        <w:t xml:space="preserve"> the growth of </w:t>
      </w:r>
      <w:r w:rsidRPr="00AC5B01">
        <w:rPr>
          <w:rFonts w:ascii="Arial" w:hAnsi="Arial" w:cs="Arial"/>
          <w:i/>
          <w:iCs/>
          <w:sz w:val="20"/>
          <w:szCs w:val="24"/>
          <w:lang w:val="en-US"/>
        </w:rPr>
        <w:t>Pseudomonas</w:t>
      </w:r>
      <w:r w:rsidRPr="003C5866">
        <w:rPr>
          <w:rFonts w:ascii="Arial" w:hAnsi="Arial" w:cs="Arial"/>
          <w:sz w:val="20"/>
          <w:szCs w:val="24"/>
          <w:lang w:val="en-US"/>
        </w:rPr>
        <w:t xml:space="preserve"> spp. and </w:t>
      </w:r>
      <w:r w:rsidRPr="00AC5B01">
        <w:rPr>
          <w:rFonts w:ascii="Arial" w:hAnsi="Arial" w:cs="Arial"/>
          <w:i/>
          <w:iCs/>
          <w:sz w:val="20"/>
          <w:szCs w:val="24"/>
          <w:lang w:val="en-US"/>
        </w:rPr>
        <w:t>Ralstonia solanacearum</w:t>
      </w:r>
      <w:r w:rsidRPr="003C5866">
        <w:rPr>
          <w:rFonts w:ascii="Arial" w:hAnsi="Arial" w:cs="Arial"/>
          <w:sz w:val="20"/>
          <w:szCs w:val="24"/>
          <w:lang w:val="en-US"/>
        </w:rPr>
        <w:t>. The percentage of inhibition in the presence of biopesticides (BP1</w:t>
      </w:r>
      <w:r w:rsidR="00A412D3">
        <w:rPr>
          <w:rFonts w:ascii="Arial" w:hAnsi="Arial" w:cs="Arial"/>
          <w:sz w:val="20"/>
          <w:szCs w:val="24"/>
          <w:lang w:val="en-US"/>
        </w:rPr>
        <w:t>-</w:t>
      </w:r>
      <w:r w:rsidRPr="003C5866">
        <w:rPr>
          <w:rFonts w:ascii="Arial" w:hAnsi="Arial" w:cs="Arial"/>
          <w:sz w:val="20"/>
          <w:szCs w:val="24"/>
          <w:lang w:val="en-US"/>
        </w:rPr>
        <w:t xml:space="preserve">4) was greater than that of the negative control (C–) (Figure 3). However, this inhibition remained lower than </w:t>
      </w:r>
      <w:r w:rsidR="00471EF3" w:rsidRPr="00FB6B87">
        <w:rPr>
          <w:rFonts w:ascii="Arial" w:hAnsi="Arial" w:cs="Arial"/>
          <w:sz w:val="20"/>
          <w:szCs w:val="24"/>
          <w:lang w:val="en-US"/>
        </w:rPr>
        <w:t>th</w:t>
      </w:r>
      <w:r w:rsidR="00FB6B87" w:rsidRPr="00FB6B87">
        <w:rPr>
          <w:rFonts w:ascii="Arial" w:hAnsi="Arial" w:cs="Arial"/>
          <w:sz w:val="20"/>
          <w:szCs w:val="24"/>
          <w:lang w:val="en-US"/>
        </w:rPr>
        <w:t>ose</w:t>
      </w:r>
      <w:r w:rsidR="00471EF3">
        <w:rPr>
          <w:rFonts w:ascii="Arial" w:hAnsi="Arial" w:cs="Arial"/>
          <w:sz w:val="20"/>
          <w:szCs w:val="24"/>
          <w:lang w:val="en-US"/>
        </w:rPr>
        <w:t xml:space="preserve"> </w:t>
      </w:r>
      <w:r w:rsidRPr="003C5866">
        <w:rPr>
          <w:rFonts w:ascii="Arial" w:hAnsi="Arial" w:cs="Arial"/>
          <w:sz w:val="20"/>
          <w:szCs w:val="24"/>
          <w:lang w:val="en-US"/>
        </w:rPr>
        <w:t xml:space="preserve">observed in the positive control (C+). </w:t>
      </w:r>
      <w:r w:rsidR="0080230B" w:rsidRPr="008249B6">
        <w:rPr>
          <w:rFonts w:ascii="Arial" w:hAnsi="Arial" w:cs="Arial"/>
          <w:sz w:val="20"/>
          <w:szCs w:val="24"/>
          <w:lang w:val="en-US"/>
        </w:rPr>
        <w:t>Among</w:t>
      </w:r>
      <w:r w:rsidR="00FB6B87">
        <w:rPr>
          <w:rFonts w:ascii="Arial" w:hAnsi="Arial" w:cs="Arial"/>
          <w:sz w:val="20"/>
          <w:szCs w:val="24"/>
          <w:lang w:val="en-US"/>
        </w:rPr>
        <w:t xml:space="preserve"> </w:t>
      </w:r>
      <w:r w:rsidRPr="003C5866">
        <w:rPr>
          <w:rFonts w:ascii="Arial" w:hAnsi="Arial" w:cs="Arial"/>
          <w:sz w:val="20"/>
          <w:szCs w:val="24"/>
          <w:lang w:val="en-US"/>
        </w:rPr>
        <w:t xml:space="preserve">the four biopesticides tested, BP3 exhibited the most pronounced inhibitory effect on bacterial growth, with an average inhibition of 93%, regardless of the bacterial strain (Figure 3A). Furthermore, the inhibitory effect of the biopesticides was greater against </w:t>
      </w:r>
      <w:r w:rsidRPr="00471EF3">
        <w:rPr>
          <w:rFonts w:ascii="Arial" w:hAnsi="Arial" w:cs="Arial"/>
          <w:i/>
          <w:iCs/>
          <w:sz w:val="20"/>
          <w:szCs w:val="24"/>
          <w:lang w:val="en-US"/>
        </w:rPr>
        <w:t>Ralstonia solanacearum</w:t>
      </w:r>
      <w:r w:rsidRPr="003C5866">
        <w:rPr>
          <w:rFonts w:ascii="Arial" w:hAnsi="Arial" w:cs="Arial"/>
          <w:sz w:val="20"/>
          <w:szCs w:val="24"/>
          <w:lang w:val="en-US"/>
        </w:rPr>
        <w:t xml:space="preserve"> than agains</w:t>
      </w:r>
      <w:r w:rsidR="003E720F" w:rsidRPr="003C5866">
        <w:rPr>
          <w:rFonts w:ascii="Arial" w:hAnsi="Arial" w:cs="Arial"/>
          <w:sz w:val="20"/>
          <w:szCs w:val="24"/>
          <w:lang w:val="en-US"/>
        </w:rPr>
        <w:t xml:space="preserve">t </w:t>
      </w:r>
      <w:r w:rsidR="003E720F" w:rsidRPr="00471EF3">
        <w:rPr>
          <w:rFonts w:ascii="Arial" w:hAnsi="Arial" w:cs="Arial"/>
          <w:i/>
          <w:iCs/>
          <w:sz w:val="20"/>
          <w:szCs w:val="24"/>
          <w:lang w:val="en-US"/>
        </w:rPr>
        <w:t>Pseudomonas</w:t>
      </w:r>
      <w:r w:rsidR="003E720F" w:rsidRPr="003C5866">
        <w:rPr>
          <w:rFonts w:ascii="Arial" w:hAnsi="Arial" w:cs="Arial"/>
          <w:sz w:val="20"/>
          <w:szCs w:val="24"/>
          <w:lang w:val="en-US"/>
        </w:rPr>
        <w:t xml:space="preserve"> spp. (Figure 3B).</w:t>
      </w:r>
    </w:p>
    <w:p w14:paraId="4B2149B8" w14:textId="77777777" w:rsidR="0095118F" w:rsidRPr="0095118F" w:rsidRDefault="0095118F" w:rsidP="00454085">
      <w:pPr>
        <w:spacing w:after="0" w:line="360" w:lineRule="auto"/>
        <w:jc w:val="both"/>
        <w:rPr>
          <w:rFonts w:ascii="Arial" w:hAnsi="Arial" w:cs="Arial"/>
          <w:sz w:val="20"/>
          <w:szCs w:val="24"/>
          <w:lang w:val="en-US"/>
        </w:rPr>
      </w:pPr>
    </w:p>
    <w:p w14:paraId="429FDA4B" w14:textId="77777777" w:rsidR="003D502F" w:rsidRPr="003C5866" w:rsidRDefault="00282341" w:rsidP="00454085">
      <w:pPr>
        <w:spacing w:after="0" w:line="480" w:lineRule="auto"/>
        <w:jc w:val="both"/>
        <w:rPr>
          <w:rFonts w:ascii="Arial" w:hAnsi="Arial" w:cs="Arial"/>
          <w:b/>
          <w:sz w:val="20"/>
          <w:szCs w:val="24"/>
          <w:lang w:val="en-US"/>
        </w:rPr>
      </w:pPr>
      <w:r w:rsidRPr="003C5866">
        <w:rPr>
          <w:rFonts w:ascii="Arial" w:hAnsi="Arial" w:cs="Arial"/>
          <w:b/>
          <w:sz w:val="20"/>
          <w:szCs w:val="24"/>
          <w:lang w:val="en-US"/>
        </w:rPr>
        <w:t>Table 3</w:t>
      </w:r>
      <w:r w:rsidR="00250444" w:rsidRPr="003C5866">
        <w:rPr>
          <w:rFonts w:ascii="Arial" w:hAnsi="Arial" w:cs="Arial"/>
          <w:b/>
          <w:sz w:val="20"/>
          <w:szCs w:val="24"/>
          <w:lang w:val="en-US"/>
        </w:rPr>
        <w:t xml:space="preserve">. </w:t>
      </w:r>
      <w:r w:rsidR="00EF7D7B" w:rsidRPr="003C5866">
        <w:rPr>
          <w:rFonts w:ascii="Arial" w:hAnsi="Arial" w:cs="Arial"/>
          <w:b/>
          <w:sz w:val="20"/>
          <w:szCs w:val="24"/>
          <w:lang w:val="en-US"/>
        </w:rPr>
        <w:t>Analysis of variance (ANOVA) of the effect of biopesticides (BP1, BP2, BP3 and BP4) on bacterial growth of</w:t>
      </w:r>
      <w:r w:rsidR="00250444" w:rsidRPr="003C5866">
        <w:rPr>
          <w:rFonts w:ascii="Arial" w:hAnsi="Arial" w:cs="Arial"/>
          <w:b/>
          <w:sz w:val="20"/>
          <w:szCs w:val="24"/>
          <w:lang w:val="en-US"/>
        </w:rPr>
        <w:t xml:space="preserve"> </w:t>
      </w:r>
      <w:r w:rsidR="002F02C7" w:rsidRPr="003C5866">
        <w:rPr>
          <w:rFonts w:ascii="Arial" w:eastAsia="Times New Roman" w:hAnsi="Arial" w:cs="Arial"/>
          <w:b/>
          <w:i/>
          <w:color w:val="000000"/>
          <w:sz w:val="20"/>
          <w:szCs w:val="24"/>
          <w:lang w:val="en-US" w:eastAsia="fr-FR"/>
        </w:rPr>
        <w:t>Pseudomonas</w:t>
      </w:r>
      <w:r w:rsidR="00250444" w:rsidRPr="003C5866">
        <w:rPr>
          <w:rFonts w:ascii="Arial" w:eastAsia="Times New Roman" w:hAnsi="Arial" w:cs="Arial"/>
          <w:b/>
          <w:i/>
          <w:color w:val="000000"/>
          <w:sz w:val="20"/>
          <w:szCs w:val="24"/>
          <w:lang w:val="en-US" w:eastAsia="fr-FR"/>
        </w:rPr>
        <w:t xml:space="preserve"> </w:t>
      </w:r>
      <w:r w:rsidR="002F02C7" w:rsidRPr="003C5866">
        <w:rPr>
          <w:rFonts w:ascii="Arial" w:eastAsia="Times New Roman" w:hAnsi="Arial" w:cs="Arial"/>
          <w:b/>
          <w:color w:val="000000"/>
          <w:sz w:val="20"/>
          <w:szCs w:val="24"/>
          <w:lang w:val="en-US" w:eastAsia="fr-FR"/>
        </w:rPr>
        <w:t xml:space="preserve">spp and </w:t>
      </w:r>
      <w:r w:rsidR="002F02C7" w:rsidRPr="003C5866">
        <w:rPr>
          <w:rFonts w:ascii="Arial" w:eastAsia="Times New Roman" w:hAnsi="Arial" w:cs="Arial"/>
          <w:b/>
          <w:i/>
          <w:color w:val="000000"/>
          <w:sz w:val="20"/>
          <w:szCs w:val="24"/>
          <w:lang w:val="en-US" w:eastAsia="fr-FR"/>
        </w:rPr>
        <w:t>Ralstonia solanacearum</w:t>
      </w:r>
      <w:r w:rsidR="00EF7D7B" w:rsidRPr="003C5866">
        <w:rPr>
          <w:rFonts w:ascii="Arial" w:hAnsi="Arial" w:cs="Arial"/>
          <w:b/>
          <w:i/>
          <w:iCs/>
          <w:sz w:val="20"/>
          <w:szCs w:val="24"/>
          <w:lang w:val="en-US"/>
        </w:rPr>
        <w:t xml:space="preserve"> </w:t>
      </w:r>
      <w:r w:rsidR="00EF7D7B" w:rsidRPr="003C5866">
        <w:rPr>
          <w:rFonts w:ascii="Arial" w:hAnsi="Arial" w:cs="Arial"/>
          <w:b/>
          <w:sz w:val="20"/>
          <w:szCs w:val="24"/>
          <w:lang w:val="en-US"/>
        </w:rPr>
        <w:t>over time.</w:t>
      </w:r>
    </w:p>
    <w:tbl>
      <w:tblPr>
        <w:tblW w:w="7513" w:type="dxa"/>
        <w:jc w:val="center"/>
        <w:tblCellMar>
          <w:left w:w="70" w:type="dxa"/>
          <w:right w:w="70" w:type="dxa"/>
        </w:tblCellMar>
        <w:tblLook w:val="04A0" w:firstRow="1" w:lastRow="0" w:firstColumn="1" w:lastColumn="0" w:noHBand="0" w:noVBand="1"/>
      </w:tblPr>
      <w:tblGrid>
        <w:gridCol w:w="2127"/>
        <w:gridCol w:w="2016"/>
        <w:gridCol w:w="1697"/>
        <w:gridCol w:w="1673"/>
      </w:tblGrid>
      <w:tr w:rsidR="003D502F" w:rsidRPr="0095118F" w14:paraId="3728F093" w14:textId="77777777" w:rsidTr="002A554D">
        <w:trPr>
          <w:trHeight w:val="871"/>
          <w:jc w:val="center"/>
        </w:trPr>
        <w:tc>
          <w:tcPr>
            <w:tcW w:w="2127" w:type="dxa"/>
            <w:tcBorders>
              <w:top w:val="nil"/>
              <w:left w:val="nil"/>
              <w:bottom w:val="single" w:sz="18" w:space="0" w:color="auto"/>
              <w:right w:val="nil"/>
            </w:tcBorders>
            <w:vAlign w:val="center"/>
          </w:tcPr>
          <w:p w14:paraId="098657B3" w14:textId="77777777" w:rsidR="003D502F" w:rsidRPr="002A554D" w:rsidRDefault="003D502F" w:rsidP="003E720F">
            <w:pPr>
              <w:spacing w:after="0" w:line="480" w:lineRule="auto"/>
              <w:jc w:val="center"/>
              <w:rPr>
                <w:rFonts w:ascii="Arial" w:hAnsi="Arial" w:cs="Arial"/>
                <w:sz w:val="20"/>
                <w:szCs w:val="24"/>
                <w:lang w:val="en-US"/>
              </w:rPr>
            </w:pPr>
          </w:p>
        </w:tc>
        <w:tc>
          <w:tcPr>
            <w:tcW w:w="5386" w:type="dxa"/>
            <w:gridSpan w:val="3"/>
            <w:tcBorders>
              <w:top w:val="single" w:sz="18" w:space="0" w:color="auto"/>
              <w:left w:val="nil"/>
              <w:bottom w:val="single" w:sz="18" w:space="0" w:color="auto"/>
              <w:right w:val="nil"/>
            </w:tcBorders>
          </w:tcPr>
          <w:p w14:paraId="01DF2973" w14:textId="77777777" w:rsidR="003D502F" w:rsidRPr="002A554D" w:rsidRDefault="003D502F" w:rsidP="003E720F">
            <w:pPr>
              <w:spacing w:after="0" w:line="480" w:lineRule="auto"/>
              <w:jc w:val="center"/>
              <w:rPr>
                <w:rFonts w:ascii="Arial" w:hAnsi="Arial" w:cs="Arial"/>
                <w:i/>
                <w:sz w:val="20"/>
                <w:szCs w:val="24"/>
                <w:lang w:val="en-US"/>
              </w:rPr>
            </w:pPr>
            <w:r w:rsidRPr="002A554D">
              <w:rPr>
                <w:rFonts w:ascii="Arial" w:hAnsi="Arial" w:cs="Arial"/>
                <w:i/>
                <w:sz w:val="20"/>
                <w:szCs w:val="24"/>
                <w:lang w:val="en-US"/>
              </w:rPr>
              <w:t>Pseudomonas spp</w:t>
            </w:r>
            <w:r w:rsidR="002A554D" w:rsidRPr="002A554D">
              <w:rPr>
                <w:rFonts w:ascii="Arial" w:hAnsi="Arial" w:cs="Arial"/>
                <w:i/>
                <w:sz w:val="20"/>
                <w:szCs w:val="24"/>
                <w:lang w:val="en-US"/>
              </w:rPr>
              <w:t>.</w:t>
            </w:r>
            <w:r w:rsidR="00250444" w:rsidRPr="002A554D">
              <w:rPr>
                <w:rFonts w:ascii="Arial" w:hAnsi="Arial" w:cs="Arial"/>
                <w:i/>
                <w:sz w:val="20"/>
                <w:szCs w:val="24"/>
                <w:lang w:val="en-US"/>
              </w:rPr>
              <w:t xml:space="preserve"> </w:t>
            </w:r>
            <w:r w:rsidRPr="002A554D">
              <w:rPr>
                <w:rFonts w:ascii="Arial" w:hAnsi="Arial" w:cs="Arial"/>
                <w:sz w:val="20"/>
                <w:szCs w:val="24"/>
                <w:lang w:val="en-US"/>
              </w:rPr>
              <w:t xml:space="preserve">and </w:t>
            </w:r>
            <w:r w:rsidRPr="002A554D">
              <w:rPr>
                <w:rFonts w:ascii="Arial" w:hAnsi="Arial" w:cs="Arial"/>
                <w:i/>
                <w:sz w:val="20"/>
                <w:szCs w:val="24"/>
                <w:lang w:val="en-US"/>
              </w:rPr>
              <w:t>Ralstonia solanacearum</w:t>
            </w:r>
          </w:p>
          <w:p w14:paraId="6945D5D3" w14:textId="77777777" w:rsidR="003D502F" w:rsidRPr="002A554D" w:rsidRDefault="003D502F" w:rsidP="00454085">
            <w:pPr>
              <w:spacing w:after="0" w:line="240" w:lineRule="auto"/>
              <w:jc w:val="center"/>
              <w:rPr>
                <w:rFonts w:ascii="Arial" w:hAnsi="Arial" w:cs="Arial"/>
                <w:sz w:val="20"/>
                <w:szCs w:val="24"/>
                <w:lang w:val="en-US"/>
              </w:rPr>
            </w:pPr>
            <w:r w:rsidRPr="002A554D">
              <w:rPr>
                <w:rFonts w:ascii="Arial" w:hAnsi="Arial" w:cs="Arial"/>
                <w:sz w:val="20"/>
                <w:szCs w:val="24"/>
                <w:lang w:val="en-US"/>
              </w:rPr>
              <w:t>R² = 100%</w:t>
            </w:r>
          </w:p>
        </w:tc>
      </w:tr>
      <w:tr w:rsidR="003D502F" w:rsidRPr="002A554D" w14:paraId="4D749C1E" w14:textId="77777777" w:rsidTr="002A554D">
        <w:trPr>
          <w:trHeight w:val="27"/>
          <w:jc w:val="center"/>
        </w:trPr>
        <w:tc>
          <w:tcPr>
            <w:tcW w:w="2127" w:type="dxa"/>
            <w:tcBorders>
              <w:top w:val="nil"/>
              <w:left w:val="nil"/>
              <w:bottom w:val="single" w:sz="18" w:space="0" w:color="auto"/>
              <w:right w:val="nil"/>
            </w:tcBorders>
            <w:vAlign w:val="center"/>
            <w:hideMark/>
          </w:tcPr>
          <w:p w14:paraId="38A1F79E" w14:textId="77777777" w:rsidR="003D502F" w:rsidRPr="002A554D" w:rsidRDefault="003D502F" w:rsidP="00454085">
            <w:pPr>
              <w:spacing w:after="0" w:line="240" w:lineRule="auto"/>
              <w:jc w:val="center"/>
              <w:rPr>
                <w:rFonts w:ascii="Arial" w:hAnsi="Arial" w:cs="Arial"/>
                <w:sz w:val="20"/>
                <w:szCs w:val="24"/>
              </w:rPr>
            </w:pPr>
            <w:r w:rsidRPr="002A554D">
              <w:rPr>
                <w:rFonts w:ascii="Arial" w:hAnsi="Arial" w:cs="Arial"/>
                <w:sz w:val="20"/>
                <w:szCs w:val="24"/>
              </w:rPr>
              <w:t>Variables</w:t>
            </w:r>
          </w:p>
        </w:tc>
        <w:tc>
          <w:tcPr>
            <w:tcW w:w="2016" w:type="dxa"/>
            <w:tcBorders>
              <w:top w:val="single" w:sz="18" w:space="0" w:color="auto"/>
              <w:left w:val="nil"/>
              <w:bottom w:val="single" w:sz="18" w:space="0" w:color="auto"/>
              <w:right w:val="nil"/>
            </w:tcBorders>
            <w:vAlign w:val="center"/>
            <w:hideMark/>
          </w:tcPr>
          <w:p w14:paraId="38A5356D" w14:textId="77777777" w:rsidR="003D502F" w:rsidRPr="002A554D" w:rsidRDefault="0013624F" w:rsidP="00454085">
            <w:pPr>
              <w:spacing w:after="0" w:line="240" w:lineRule="auto"/>
              <w:jc w:val="center"/>
              <w:rPr>
                <w:rFonts w:ascii="Arial" w:hAnsi="Arial" w:cs="Arial"/>
                <w:sz w:val="20"/>
                <w:szCs w:val="24"/>
              </w:rPr>
            </w:pPr>
            <w:r w:rsidRPr="002A554D">
              <w:rPr>
                <w:rFonts w:ascii="Arial" w:hAnsi="Arial" w:cs="Arial"/>
                <w:sz w:val="20"/>
                <w:szCs w:val="24"/>
              </w:rPr>
              <w:t>DF</w:t>
            </w:r>
          </w:p>
        </w:tc>
        <w:tc>
          <w:tcPr>
            <w:tcW w:w="1697" w:type="dxa"/>
            <w:tcBorders>
              <w:top w:val="single" w:sz="18" w:space="0" w:color="auto"/>
              <w:left w:val="nil"/>
              <w:bottom w:val="single" w:sz="18" w:space="0" w:color="auto"/>
              <w:right w:val="nil"/>
            </w:tcBorders>
            <w:vAlign w:val="center"/>
            <w:hideMark/>
          </w:tcPr>
          <w:p w14:paraId="34FF65F3" w14:textId="77777777" w:rsidR="003D502F" w:rsidRPr="002A554D" w:rsidRDefault="003D502F" w:rsidP="00454085">
            <w:pPr>
              <w:spacing w:after="0" w:line="240" w:lineRule="auto"/>
              <w:jc w:val="center"/>
              <w:rPr>
                <w:rFonts w:ascii="Arial" w:hAnsi="Arial" w:cs="Arial"/>
                <w:sz w:val="20"/>
                <w:szCs w:val="24"/>
              </w:rPr>
            </w:pPr>
            <w:r w:rsidRPr="002A554D">
              <w:rPr>
                <w:rFonts w:ascii="Arial" w:hAnsi="Arial" w:cs="Arial"/>
                <w:sz w:val="20"/>
                <w:szCs w:val="24"/>
              </w:rPr>
              <w:t>F</w:t>
            </w:r>
          </w:p>
        </w:tc>
        <w:tc>
          <w:tcPr>
            <w:tcW w:w="1673" w:type="dxa"/>
            <w:tcBorders>
              <w:top w:val="single" w:sz="18" w:space="0" w:color="auto"/>
              <w:left w:val="nil"/>
              <w:bottom w:val="single" w:sz="18" w:space="0" w:color="auto"/>
              <w:right w:val="nil"/>
            </w:tcBorders>
            <w:vAlign w:val="center"/>
            <w:hideMark/>
          </w:tcPr>
          <w:p w14:paraId="44F6DC77" w14:textId="77777777" w:rsidR="003D502F" w:rsidRPr="002A554D" w:rsidRDefault="003D502F" w:rsidP="00454085">
            <w:pPr>
              <w:spacing w:after="0" w:line="240" w:lineRule="auto"/>
              <w:jc w:val="center"/>
              <w:rPr>
                <w:rFonts w:ascii="Arial" w:hAnsi="Arial" w:cs="Arial"/>
                <w:i/>
                <w:sz w:val="20"/>
                <w:szCs w:val="24"/>
              </w:rPr>
            </w:pPr>
            <w:r w:rsidRPr="002A554D">
              <w:rPr>
                <w:rFonts w:ascii="Arial" w:hAnsi="Arial" w:cs="Arial"/>
                <w:i/>
                <w:sz w:val="20"/>
                <w:szCs w:val="24"/>
              </w:rPr>
              <w:t>P</w:t>
            </w:r>
          </w:p>
        </w:tc>
      </w:tr>
      <w:tr w:rsidR="003D502F" w:rsidRPr="002A554D" w14:paraId="2204655C" w14:textId="77777777" w:rsidTr="002A554D">
        <w:trPr>
          <w:trHeight w:val="230"/>
          <w:jc w:val="center"/>
        </w:trPr>
        <w:tc>
          <w:tcPr>
            <w:tcW w:w="2127" w:type="dxa"/>
            <w:tcBorders>
              <w:top w:val="single" w:sz="18" w:space="0" w:color="auto"/>
              <w:left w:val="nil"/>
              <w:bottom w:val="nil"/>
              <w:right w:val="nil"/>
            </w:tcBorders>
            <w:noWrap/>
            <w:vAlign w:val="bottom"/>
            <w:hideMark/>
          </w:tcPr>
          <w:p w14:paraId="0D961167" w14:textId="77777777" w:rsidR="003D502F" w:rsidRPr="002A554D" w:rsidRDefault="003D502F" w:rsidP="003E720F">
            <w:pPr>
              <w:spacing w:after="0" w:line="480" w:lineRule="auto"/>
              <w:rPr>
                <w:rFonts w:ascii="Arial" w:hAnsi="Arial" w:cs="Arial"/>
                <w:sz w:val="20"/>
                <w:szCs w:val="24"/>
              </w:rPr>
            </w:pPr>
            <w:proofErr w:type="spellStart"/>
            <w:r w:rsidRPr="002A554D">
              <w:rPr>
                <w:rFonts w:ascii="Arial" w:hAnsi="Arial" w:cs="Arial"/>
                <w:sz w:val="20"/>
                <w:szCs w:val="24"/>
              </w:rPr>
              <w:t>Species</w:t>
            </w:r>
            <w:proofErr w:type="spellEnd"/>
          </w:p>
        </w:tc>
        <w:tc>
          <w:tcPr>
            <w:tcW w:w="2016" w:type="dxa"/>
            <w:tcBorders>
              <w:top w:val="single" w:sz="18" w:space="0" w:color="auto"/>
              <w:left w:val="nil"/>
              <w:bottom w:val="nil"/>
              <w:right w:val="nil"/>
            </w:tcBorders>
            <w:noWrap/>
            <w:vAlign w:val="bottom"/>
            <w:hideMark/>
          </w:tcPr>
          <w:p w14:paraId="5126627A" w14:textId="77777777" w:rsidR="003D502F" w:rsidRPr="002A554D" w:rsidRDefault="003D502F" w:rsidP="003E720F">
            <w:pPr>
              <w:spacing w:after="0" w:line="480" w:lineRule="auto"/>
              <w:jc w:val="center"/>
              <w:rPr>
                <w:rFonts w:ascii="Arial" w:hAnsi="Arial" w:cs="Arial"/>
                <w:sz w:val="20"/>
                <w:szCs w:val="24"/>
              </w:rPr>
            </w:pPr>
            <w:r w:rsidRPr="002A554D">
              <w:rPr>
                <w:rFonts w:ascii="Arial" w:hAnsi="Arial" w:cs="Arial"/>
                <w:sz w:val="20"/>
                <w:szCs w:val="24"/>
              </w:rPr>
              <w:t>1</w:t>
            </w:r>
          </w:p>
        </w:tc>
        <w:tc>
          <w:tcPr>
            <w:tcW w:w="1697" w:type="dxa"/>
            <w:tcBorders>
              <w:top w:val="single" w:sz="18" w:space="0" w:color="auto"/>
              <w:left w:val="nil"/>
              <w:bottom w:val="nil"/>
              <w:right w:val="nil"/>
            </w:tcBorders>
            <w:noWrap/>
            <w:vAlign w:val="bottom"/>
            <w:hideMark/>
          </w:tcPr>
          <w:p w14:paraId="489CB5CA" w14:textId="77777777" w:rsidR="003D502F" w:rsidRPr="002A554D" w:rsidRDefault="003D502F" w:rsidP="003E720F">
            <w:pPr>
              <w:spacing w:after="0" w:line="480" w:lineRule="auto"/>
              <w:jc w:val="center"/>
              <w:rPr>
                <w:rFonts w:ascii="Arial" w:hAnsi="Arial" w:cs="Arial"/>
                <w:sz w:val="20"/>
                <w:szCs w:val="24"/>
              </w:rPr>
            </w:pPr>
            <w:r w:rsidRPr="002A554D">
              <w:rPr>
                <w:rFonts w:ascii="Arial" w:hAnsi="Arial" w:cs="Arial"/>
                <w:sz w:val="20"/>
                <w:szCs w:val="24"/>
              </w:rPr>
              <w:t>110,035</w:t>
            </w:r>
          </w:p>
        </w:tc>
        <w:tc>
          <w:tcPr>
            <w:tcW w:w="1673" w:type="dxa"/>
            <w:tcBorders>
              <w:top w:val="single" w:sz="18" w:space="0" w:color="auto"/>
              <w:left w:val="nil"/>
              <w:bottom w:val="nil"/>
              <w:right w:val="nil"/>
            </w:tcBorders>
            <w:noWrap/>
            <w:vAlign w:val="bottom"/>
            <w:hideMark/>
          </w:tcPr>
          <w:p w14:paraId="3EF6ED8F" w14:textId="77777777" w:rsidR="003D502F" w:rsidRPr="002A554D" w:rsidRDefault="003D502F" w:rsidP="003E720F">
            <w:pPr>
              <w:spacing w:after="0" w:line="480" w:lineRule="auto"/>
              <w:jc w:val="center"/>
              <w:rPr>
                <w:rFonts w:ascii="Arial" w:hAnsi="Arial" w:cs="Arial"/>
                <w:b/>
                <w:bCs/>
                <w:sz w:val="20"/>
                <w:szCs w:val="24"/>
              </w:rPr>
            </w:pPr>
            <w:r w:rsidRPr="002A554D">
              <w:rPr>
                <w:rFonts w:ascii="Arial" w:hAnsi="Arial" w:cs="Arial"/>
                <w:b/>
                <w:bCs/>
                <w:sz w:val="20"/>
                <w:szCs w:val="24"/>
              </w:rPr>
              <w:t>&lt;</w:t>
            </w:r>
            <w:r w:rsidR="007815D1" w:rsidRPr="002A554D">
              <w:rPr>
                <w:rFonts w:ascii="Arial" w:hAnsi="Arial" w:cs="Arial"/>
                <w:b/>
                <w:bCs/>
                <w:sz w:val="20"/>
                <w:szCs w:val="24"/>
              </w:rPr>
              <w:t>0.001</w:t>
            </w:r>
          </w:p>
        </w:tc>
      </w:tr>
      <w:tr w:rsidR="003D502F" w:rsidRPr="002A554D" w14:paraId="6627D94E" w14:textId="77777777" w:rsidTr="002A554D">
        <w:trPr>
          <w:trHeight w:val="230"/>
          <w:jc w:val="center"/>
        </w:trPr>
        <w:tc>
          <w:tcPr>
            <w:tcW w:w="2127" w:type="dxa"/>
            <w:tcBorders>
              <w:top w:val="nil"/>
              <w:left w:val="nil"/>
              <w:bottom w:val="nil"/>
              <w:right w:val="nil"/>
            </w:tcBorders>
            <w:noWrap/>
            <w:vAlign w:val="bottom"/>
            <w:hideMark/>
          </w:tcPr>
          <w:p w14:paraId="1DB14F2B" w14:textId="77777777" w:rsidR="003D502F" w:rsidRPr="002A554D" w:rsidRDefault="003D502F" w:rsidP="003E720F">
            <w:pPr>
              <w:spacing w:after="0" w:line="480" w:lineRule="auto"/>
              <w:rPr>
                <w:rFonts w:ascii="Arial" w:hAnsi="Arial" w:cs="Arial"/>
                <w:sz w:val="20"/>
                <w:szCs w:val="24"/>
              </w:rPr>
            </w:pPr>
            <w:r w:rsidRPr="002A554D">
              <w:rPr>
                <w:rFonts w:ascii="Arial" w:hAnsi="Arial" w:cs="Arial"/>
                <w:sz w:val="20"/>
                <w:szCs w:val="24"/>
              </w:rPr>
              <w:t>Modality</w:t>
            </w:r>
          </w:p>
        </w:tc>
        <w:tc>
          <w:tcPr>
            <w:tcW w:w="2016" w:type="dxa"/>
            <w:tcBorders>
              <w:top w:val="nil"/>
              <w:left w:val="nil"/>
              <w:bottom w:val="nil"/>
              <w:right w:val="nil"/>
            </w:tcBorders>
            <w:noWrap/>
            <w:vAlign w:val="bottom"/>
            <w:hideMark/>
          </w:tcPr>
          <w:p w14:paraId="3636E8CF" w14:textId="77777777" w:rsidR="003D502F" w:rsidRPr="002A554D" w:rsidRDefault="003D502F" w:rsidP="003E720F">
            <w:pPr>
              <w:spacing w:after="0" w:line="480" w:lineRule="auto"/>
              <w:jc w:val="center"/>
              <w:rPr>
                <w:rFonts w:ascii="Arial" w:hAnsi="Arial" w:cs="Arial"/>
                <w:sz w:val="20"/>
                <w:szCs w:val="24"/>
              </w:rPr>
            </w:pPr>
            <w:r w:rsidRPr="002A554D">
              <w:rPr>
                <w:rFonts w:ascii="Arial" w:hAnsi="Arial" w:cs="Arial"/>
                <w:sz w:val="20"/>
                <w:szCs w:val="24"/>
              </w:rPr>
              <w:t>5</w:t>
            </w:r>
          </w:p>
        </w:tc>
        <w:tc>
          <w:tcPr>
            <w:tcW w:w="1697" w:type="dxa"/>
            <w:tcBorders>
              <w:top w:val="nil"/>
              <w:left w:val="nil"/>
              <w:bottom w:val="nil"/>
              <w:right w:val="nil"/>
            </w:tcBorders>
            <w:noWrap/>
            <w:vAlign w:val="bottom"/>
            <w:hideMark/>
          </w:tcPr>
          <w:p w14:paraId="738E0BE9" w14:textId="77777777" w:rsidR="003D502F" w:rsidRPr="002A554D" w:rsidRDefault="003D502F" w:rsidP="003E720F">
            <w:pPr>
              <w:spacing w:after="0" w:line="480" w:lineRule="auto"/>
              <w:jc w:val="center"/>
              <w:rPr>
                <w:rFonts w:ascii="Arial" w:hAnsi="Arial" w:cs="Arial"/>
                <w:sz w:val="20"/>
                <w:szCs w:val="24"/>
              </w:rPr>
            </w:pPr>
            <w:r w:rsidRPr="002A554D">
              <w:rPr>
                <w:rFonts w:ascii="Arial" w:hAnsi="Arial" w:cs="Arial"/>
                <w:sz w:val="20"/>
                <w:szCs w:val="24"/>
              </w:rPr>
              <w:t>2428 295</w:t>
            </w:r>
          </w:p>
        </w:tc>
        <w:tc>
          <w:tcPr>
            <w:tcW w:w="1673" w:type="dxa"/>
            <w:tcBorders>
              <w:top w:val="nil"/>
              <w:left w:val="nil"/>
              <w:bottom w:val="nil"/>
              <w:right w:val="nil"/>
            </w:tcBorders>
            <w:noWrap/>
            <w:vAlign w:val="bottom"/>
            <w:hideMark/>
          </w:tcPr>
          <w:p w14:paraId="2B6BEB1F" w14:textId="77777777" w:rsidR="003D502F" w:rsidRPr="002A554D" w:rsidRDefault="003D502F" w:rsidP="003E720F">
            <w:pPr>
              <w:spacing w:after="0" w:line="480" w:lineRule="auto"/>
              <w:jc w:val="center"/>
              <w:rPr>
                <w:rFonts w:ascii="Arial" w:hAnsi="Arial" w:cs="Arial"/>
                <w:b/>
                <w:bCs/>
                <w:sz w:val="20"/>
                <w:szCs w:val="24"/>
              </w:rPr>
            </w:pPr>
            <w:r w:rsidRPr="002A554D">
              <w:rPr>
                <w:rFonts w:ascii="Arial" w:hAnsi="Arial" w:cs="Arial"/>
                <w:b/>
                <w:bCs/>
                <w:sz w:val="20"/>
                <w:szCs w:val="24"/>
              </w:rPr>
              <w:t>&lt;</w:t>
            </w:r>
            <w:r w:rsidR="007815D1" w:rsidRPr="002A554D">
              <w:rPr>
                <w:rFonts w:ascii="Arial" w:hAnsi="Arial" w:cs="Arial"/>
                <w:b/>
                <w:bCs/>
                <w:sz w:val="20"/>
                <w:szCs w:val="24"/>
              </w:rPr>
              <w:t>0.001</w:t>
            </w:r>
          </w:p>
        </w:tc>
      </w:tr>
      <w:tr w:rsidR="003D502F" w:rsidRPr="002A554D" w14:paraId="2D7AF124" w14:textId="77777777" w:rsidTr="002A554D">
        <w:trPr>
          <w:trHeight w:val="389"/>
          <w:jc w:val="center"/>
        </w:trPr>
        <w:tc>
          <w:tcPr>
            <w:tcW w:w="2127" w:type="dxa"/>
            <w:tcBorders>
              <w:top w:val="nil"/>
              <w:left w:val="nil"/>
              <w:bottom w:val="single" w:sz="18" w:space="0" w:color="auto"/>
              <w:right w:val="nil"/>
            </w:tcBorders>
            <w:noWrap/>
            <w:vAlign w:val="bottom"/>
            <w:hideMark/>
          </w:tcPr>
          <w:p w14:paraId="21C86565" w14:textId="77777777" w:rsidR="003D502F" w:rsidRPr="002A554D" w:rsidRDefault="003D502F" w:rsidP="00454085">
            <w:pPr>
              <w:spacing w:after="0" w:line="240" w:lineRule="auto"/>
              <w:rPr>
                <w:rFonts w:ascii="Arial" w:hAnsi="Arial" w:cs="Arial"/>
                <w:sz w:val="20"/>
                <w:szCs w:val="24"/>
              </w:rPr>
            </w:pPr>
            <w:proofErr w:type="spellStart"/>
            <w:r w:rsidRPr="002A554D">
              <w:rPr>
                <w:rFonts w:ascii="Arial" w:hAnsi="Arial" w:cs="Arial"/>
                <w:sz w:val="20"/>
                <w:szCs w:val="24"/>
              </w:rPr>
              <w:t>Species</w:t>
            </w:r>
            <w:proofErr w:type="spellEnd"/>
            <w:r w:rsidRPr="002A554D">
              <w:rPr>
                <w:rFonts w:ascii="Arial" w:hAnsi="Arial" w:cs="Arial"/>
                <w:sz w:val="20"/>
                <w:szCs w:val="24"/>
              </w:rPr>
              <w:t>*</w:t>
            </w:r>
            <w:proofErr w:type="spellStart"/>
            <w:r w:rsidRPr="002A554D">
              <w:rPr>
                <w:rFonts w:ascii="Arial" w:hAnsi="Arial" w:cs="Arial"/>
                <w:sz w:val="20"/>
                <w:szCs w:val="24"/>
              </w:rPr>
              <w:t>Modality</w:t>
            </w:r>
            <w:proofErr w:type="spellEnd"/>
          </w:p>
        </w:tc>
        <w:tc>
          <w:tcPr>
            <w:tcW w:w="2016" w:type="dxa"/>
            <w:tcBorders>
              <w:top w:val="nil"/>
              <w:left w:val="nil"/>
              <w:bottom w:val="single" w:sz="18" w:space="0" w:color="auto"/>
              <w:right w:val="nil"/>
            </w:tcBorders>
            <w:noWrap/>
            <w:vAlign w:val="bottom"/>
            <w:hideMark/>
          </w:tcPr>
          <w:p w14:paraId="1FE6A84A" w14:textId="77777777" w:rsidR="003D502F" w:rsidRPr="002A554D" w:rsidRDefault="003D502F" w:rsidP="00454085">
            <w:pPr>
              <w:spacing w:after="0" w:line="240" w:lineRule="auto"/>
              <w:jc w:val="center"/>
              <w:rPr>
                <w:rFonts w:ascii="Arial" w:hAnsi="Arial" w:cs="Arial"/>
                <w:sz w:val="20"/>
                <w:szCs w:val="24"/>
              </w:rPr>
            </w:pPr>
            <w:r w:rsidRPr="002A554D">
              <w:rPr>
                <w:rFonts w:ascii="Arial" w:hAnsi="Arial" w:cs="Arial"/>
                <w:sz w:val="20"/>
                <w:szCs w:val="24"/>
              </w:rPr>
              <w:t>5</w:t>
            </w:r>
          </w:p>
        </w:tc>
        <w:tc>
          <w:tcPr>
            <w:tcW w:w="1697" w:type="dxa"/>
            <w:tcBorders>
              <w:top w:val="nil"/>
              <w:left w:val="nil"/>
              <w:bottom w:val="single" w:sz="18" w:space="0" w:color="auto"/>
              <w:right w:val="nil"/>
            </w:tcBorders>
            <w:noWrap/>
            <w:vAlign w:val="bottom"/>
            <w:hideMark/>
          </w:tcPr>
          <w:p w14:paraId="6ED2D521" w14:textId="77777777" w:rsidR="003D502F" w:rsidRPr="002A554D" w:rsidRDefault="003D502F" w:rsidP="00454085">
            <w:pPr>
              <w:spacing w:after="0" w:line="240" w:lineRule="auto"/>
              <w:jc w:val="center"/>
              <w:rPr>
                <w:rFonts w:ascii="Arial" w:hAnsi="Arial" w:cs="Arial"/>
                <w:sz w:val="20"/>
                <w:szCs w:val="24"/>
              </w:rPr>
            </w:pPr>
            <w:r w:rsidRPr="002A554D">
              <w:rPr>
                <w:rFonts w:ascii="Arial" w:hAnsi="Arial" w:cs="Arial"/>
                <w:sz w:val="20"/>
                <w:szCs w:val="24"/>
              </w:rPr>
              <w:t>19,109</w:t>
            </w:r>
          </w:p>
        </w:tc>
        <w:tc>
          <w:tcPr>
            <w:tcW w:w="1673" w:type="dxa"/>
            <w:tcBorders>
              <w:top w:val="nil"/>
              <w:left w:val="nil"/>
              <w:bottom w:val="single" w:sz="18" w:space="0" w:color="auto"/>
              <w:right w:val="nil"/>
            </w:tcBorders>
            <w:noWrap/>
            <w:vAlign w:val="bottom"/>
            <w:hideMark/>
          </w:tcPr>
          <w:p w14:paraId="2947404F" w14:textId="77777777" w:rsidR="003D502F" w:rsidRPr="002A554D" w:rsidRDefault="003D502F" w:rsidP="00454085">
            <w:pPr>
              <w:spacing w:after="0" w:line="240" w:lineRule="auto"/>
              <w:jc w:val="center"/>
              <w:rPr>
                <w:rFonts w:ascii="Arial" w:hAnsi="Arial" w:cs="Arial"/>
                <w:b/>
                <w:bCs/>
                <w:sz w:val="20"/>
                <w:szCs w:val="24"/>
              </w:rPr>
            </w:pPr>
            <w:r w:rsidRPr="002A554D">
              <w:rPr>
                <w:rFonts w:ascii="Arial" w:hAnsi="Arial" w:cs="Arial"/>
                <w:b/>
                <w:bCs/>
                <w:sz w:val="20"/>
                <w:szCs w:val="24"/>
              </w:rPr>
              <w:t>&lt;</w:t>
            </w:r>
            <w:r w:rsidR="007815D1" w:rsidRPr="002A554D">
              <w:rPr>
                <w:rFonts w:ascii="Arial" w:hAnsi="Arial" w:cs="Arial"/>
                <w:b/>
                <w:bCs/>
                <w:sz w:val="20"/>
                <w:szCs w:val="24"/>
              </w:rPr>
              <w:t>0.001</w:t>
            </w:r>
          </w:p>
        </w:tc>
      </w:tr>
    </w:tbl>
    <w:p w14:paraId="6081AEC5" w14:textId="77777777" w:rsidR="00B6097E" w:rsidRDefault="003D502F" w:rsidP="00B6097E">
      <w:pPr>
        <w:tabs>
          <w:tab w:val="left" w:pos="2490"/>
        </w:tabs>
        <w:spacing w:after="0" w:line="360" w:lineRule="auto"/>
        <w:ind w:right="-2"/>
        <w:jc w:val="center"/>
        <w:rPr>
          <w:rFonts w:ascii="Arial" w:eastAsia="Times New Roman" w:hAnsi="Arial" w:cs="Arial"/>
          <w:color w:val="000000"/>
          <w:sz w:val="20"/>
          <w:szCs w:val="20"/>
          <w:vertAlign w:val="superscript"/>
          <w:lang w:val="en-US" w:eastAsia="fr-FR"/>
        </w:rPr>
      </w:pPr>
      <w:r w:rsidRPr="003C5866">
        <w:rPr>
          <w:rFonts w:ascii="Arial" w:eastAsia="Times New Roman" w:hAnsi="Arial" w:cs="Arial"/>
          <w:color w:val="000000"/>
          <w:sz w:val="20"/>
          <w:szCs w:val="20"/>
          <w:vertAlign w:val="superscript"/>
          <w:lang w:val="en-US" w:eastAsia="fr-FR"/>
        </w:rPr>
        <w:t xml:space="preserve">The values ​​in bold correspond to the tests allowing the null hypothesis to be rejected with a significance level </w:t>
      </w:r>
      <w:r w:rsidRPr="003C5866">
        <w:rPr>
          <w:rFonts w:ascii="Arial" w:eastAsia="Times New Roman" w:hAnsi="Arial" w:cs="Arial"/>
          <w:color w:val="000000"/>
          <w:sz w:val="20"/>
          <w:szCs w:val="20"/>
          <w:vertAlign w:val="superscript"/>
          <w:lang w:eastAsia="fr-FR"/>
        </w:rPr>
        <w:t>α</w:t>
      </w:r>
      <w:r w:rsidR="00C931E9">
        <w:rPr>
          <w:rFonts w:ascii="Arial" w:eastAsia="Times New Roman" w:hAnsi="Arial" w:cs="Arial"/>
          <w:color w:val="000000"/>
          <w:sz w:val="20"/>
          <w:szCs w:val="20"/>
          <w:vertAlign w:val="superscript"/>
          <w:lang w:val="en-US" w:eastAsia="fr-FR"/>
        </w:rPr>
        <w:t xml:space="preserve"> =</w:t>
      </w:r>
      <w:r w:rsidR="00CB5CD1">
        <w:rPr>
          <w:rFonts w:ascii="Arial" w:eastAsia="Times New Roman" w:hAnsi="Arial" w:cs="Arial"/>
          <w:color w:val="000000"/>
          <w:sz w:val="20"/>
          <w:szCs w:val="20"/>
          <w:vertAlign w:val="superscript"/>
          <w:lang w:val="en-US" w:eastAsia="fr-FR"/>
        </w:rPr>
        <w:t xml:space="preserve"> </w:t>
      </w:r>
      <w:r w:rsidRPr="003C5866">
        <w:rPr>
          <w:rFonts w:ascii="Arial" w:eastAsia="Times New Roman" w:hAnsi="Arial" w:cs="Arial"/>
          <w:color w:val="000000"/>
          <w:sz w:val="20"/>
          <w:szCs w:val="20"/>
          <w:vertAlign w:val="superscript"/>
          <w:lang w:val="en-US" w:eastAsia="fr-FR"/>
        </w:rPr>
        <w:t>.05. DF represents the degrees of freedom; R² the coefficient of determination; F the value of the F test and P the probability.</w:t>
      </w:r>
    </w:p>
    <w:p w14:paraId="6A1A9A59" w14:textId="5715ED69" w:rsidR="00B6097E" w:rsidRDefault="00B6097E" w:rsidP="00B6097E">
      <w:pPr>
        <w:tabs>
          <w:tab w:val="left" w:pos="2490"/>
        </w:tabs>
        <w:spacing w:after="0" w:line="276" w:lineRule="auto"/>
        <w:ind w:right="-2"/>
        <w:jc w:val="both"/>
        <w:rPr>
          <w:rFonts w:ascii="Arial" w:eastAsia="Times New Roman" w:hAnsi="Arial" w:cs="Arial"/>
          <w:color w:val="000000"/>
          <w:sz w:val="24"/>
          <w:szCs w:val="24"/>
          <w:vertAlign w:val="superscript"/>
          <w:lang w:val="en-US" w:eastAsia="fr-FR"/>
        </w:rPr>
      </w:pPr>
    </w:p>
    <w:p w14:paraId="7F41BF9D" w14:textId="77777777" w:rsidR="0095118F" w:rsidRPr="0095118F" w:rsidRDefault="0095118F" w:rsidP="00B6097E">
      <w:pPr>
        <w:tabs>
          <w:tab w:val="left" w:pos="2490"/>
        </w:tabs>
        <w:spacing w:after="0" w:line="276" w:lineRule="auto"/>
        <w:ind w:right="-2"/>
        <w:jc w:val="both"/>
        <w:rPr>
          <w:rFonts w:ascii="Arial" w:eastAsia="Times New Roman" w:hAnsi="Arial" w:cs="Arial"/>
          <w:color w:val="000000"/>
          <w:sz w:val="24"/>
          <w:szCs w:val="24"/>
          <w:vertAlign w:val="superscript"/>
          <w:lang w:val="en-US" w:eastAsia="fr-FR"/>
        </w:rPr>
      </w:pPr>
    </w:p>
    <w:p w14:paraId="19A03FEC" w14:textId="77777777" w:rsidR="00636466" w:rsidRPr="00B6097E" w:rsidRDefault="006F36E2" w:rsidP="00B6097E">
      <w:pPr>
        <w:spacing w:after="0" w:line="276" w:lineRule="auto"/>
        <w:jc w:val="center"/>
        <w:rPr>
          <w:rFonts w:ascii="Arial" w:hAnsi="Arial" w:cs="Arial"/>
          <w:b/>
          <w:noProof/>
          <w:sz w:val="20"/>
          <w:szCs w:val="24"/>
          <w:lang w:val="en-US" w:eastAsia="fr-FR"/>
        </w:rPr>
      </w:pPr>
      <w:r w:rsidRPr="002A554D">
        <w:rPr>
          <w:rFonts w:ascii="Arial" w:hAnsi="Arial" w:cs="Arial"/>
          <w:b/>
          <w:noProof/>
          <w:sz w:val="20"/>
          <w:szCs w:val="24"/>
          <w:lang w:val="en-US" w:eastAsia="fr-FR"/>
        </w:rPr>
        <w:t>A</w:t>
      </w:r>
      <w:r w:rsidR="00A1496D" w:rsidRPr="003C5866">
        <w:rPr>
          <w:rFonts w:ascii="Arial" w:hAnsi="Arial" w:cs="Arial"/>
          <w:noProof/>
          <w:sz w:val="24"/>
          <w:szCs w:val="24"/>
          <w:lang w:eastAsia="fr-FR"/>
        </w:rPr>
        <w:drawing>
          <wp:inline distT="0" distB="0" distL="0" distR="0" wp14:anchorId="63CB85B6" wp14:editId="11D59586">
            <wp:extent cx="2595245" cy="1915160"/>
            <wp:effectExtent l="0" t="0" r="8255" b="15240"/>
            <wp:docPr id="7" name="Chart 7">
              <a:extLst xmlns:a="http://schemas.openxmlformats.org/drawingml/2006/main">
                <a:ext uri="{FF2B5EF4-FFF2-40B4-BE49-F238E27FC236}">
                  <a16:creationId xmlns:a16="http://schemas.microsoft.com/office/drawing/2014/main" id="{37372D58-CA0B-52EA-3449-B366DDAB76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2A554D">
        <w:rPr>
          <w:rFonts w:ascii="Arial" w:hAnsi="Arial" w:cs="Arial"/>
          <w:b/>
          <w:noProof/>
          <w:sz w:val="20"/>
          <w:szCs w:val="24"/>
          <w:lang w:val="en-US" w:eastAsia="fr-FR"/>
        </w:rPr>
        <w:t xml:space="preserve"> </w:t>
      </w:r>
      <w:r w:rsidR="009A13CF" w:rsidRPr="002A554D">
        <w:rPr>
          <w:rFonts w:ascii="Arial" w:hAnsi="Arial" w:cs="Arial"/>
          <w:b/>
          <w:noProof/>
          <w:sz w:val="20"/>
          <w:szCs w:val="24"/>
          <w:lang w:val="en-US" w:eastAsia="fr-FR"/>
        </w:rPr>
        <w:t>B</w:t>
      </w:r>
      <w:r w:rsidR="0025253C" w:rsidRPr="003C5866">
        <w:rPr>
          <w:rFonts w:ascii="Arial" w:hAnsi="Arial" w:cs="Arial"/>
          <w:noProof/>
          <w:sz w:val="24"/>
          <w:szCs w:val="24"/>
          <w:lang w:eastAsia="fr-FR"/>
        </w:rPr>
        <w:drawing>
          <wp:inline distT="0" distB="0" distL="0" distR="0" wp14:anchorId="49D5F990" wp14:editId="30D3F8E2">
            <wp:extent cx="2595245" cy="1921018"/>
            <wp:effectExtent l="0" t="0" r="8255" b="9525"/>
            <wp:docPr id="6" name="Chart 6">
              <a:extLst xmlns:a="http://schemas.openxmlformats.org/drawingml/2006/main">
                <a:ext uri="{FF2B5EF4-FFF2-40B4-BE49-F238E27FC236}">
                  <a16:creationId xmlns:a16="http://schemas.microsoft.com/office/drawing/2014/main" id="{7DD24346-8F41-D2F2-3802-C97024C630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3C0F051" w14:textId="77777777" w:rsidR="00250444" w:rsidRPr="00237ED6" w:rsidRDefault="003C5866" w:rsidP="00237ED6">
      <w:pPr>
        <w:pStyle w:val="Caption"/>
        <w:spacing w:after="0" w:line="360" w:lineRule="auto"/>
        <w:jc w:val="both"/>
        <w:rPr>
          <w:rFonts w:ascii="Arial" w:hAnsi="Arial" w:cs="Arial"/>
          <w:b/>
          <w:i w:val="0"/>
          <w:color w:val="000000" w:themeColor="text1"/>
          <w:sz w:val="20"/>
          <w:szCs w:val="24"/>
          <w:lang w:val="en-US"/>
        </w:rPr>
      </w:pPr>
      <w:r w:rsidRPr="002A554D">
        <w:rPr>
          <w:rFonts w:ascii="Arial" w:hAnsi="Arial" w:cs="Arial"/>
          <w:b/>
          <w:i w:val="0"/>
          <w:noProof/>
          <w:color w:val="auto"/>
          <w:sz w:val="20"/>
          <w:szCs w:val="24"/>
          <w:lang w:val="en-US" w:eastAsia="fr-FR"/>
        </w:rPr>
        <w:t>Fig.</w:t>
      </w:r>
      <w:r w:rsidR="00282341" w:rsidRPr="002A554D">
        <w:rPr>
          <w:rFonts w:ascii="Arial" w:hAnsi="Arial" w:cs="Arial"/>
          <w:b/>
          <w:i w:val="0"/>
          <w:noProof/>
          <w:color w:val="auto"/>
          <w:sz w:val="20"/>
          <w:szCs w:val="24"/>
          <w:lang w:val="en-US" w:eastAsia="fr-FR"/>
        </w:rPr>
        <w:t xml:space="preserve"> 3</w:t>
      </w:r>
      <w:r w:rsidRPr="002A554D">
        <w:rPr>
          <w:rFonts w:ascii="Arial" w:hAnsi="Arial" w:cs="Arial"/>
          <w:b/>
          <w:bCs/>
          <w:i w:val="0"/>
          <w:iCs w:val="0"/>
          <w:color w:val="auto"/>
          <w:sz w:val="20"/>
          <w:szCs w:val="24"/>
          <w:lang w:val="en-US"/>
        </w:rPr>
        <w:t>.</w:t>
      </w:r>
      <w:r w:rsidR="00561687" w:rsidRPr="002A554D">
        <w:rPr>
          <w:rFonts w:ascii="Arial" w:hAnsi="Arial" w:cs="Arial"/>
          <w:b/>
          <w:sz w:val="20"/>
          <w:szCs w:val="24"/>
          <w:lang w:val="en-US"/>
        </w:rPr>
        <w:t xml:space="preserve"> </w:t>
      </w:r>
      <w:r w:rsidR="00561687" w:rsidRPr="002A554D">
        <w:rPr>
          <w:rFonts w:ascii="Arial" w:hAnsi="Arial" w:cs="Arial"/>
          <w:b/>
          <w:i w:val="0"/>
          <w:iCs w:val="0"/>
          <w:color w:val="auto"/>
          <w:sz w:val="20"/>
          <w:szCs w:val="24"/>
          <w:lang w:val="en-US"/>
        </w:rPr>
        <w:t>Effect of biopesticides (BP1, BP2, BP3 and BP4) and control methods (C+ and C-) on bacterial growth</w:t>
      </w:r>
      <w:r w:rsidR="00250444" w:rsidRPr="002A554D">
        <w:rPr>
          <w:rFonts w:ascii="Arial" w:hAnsi="Arial" w:cs="Arial"/>
          <w:b/>
          <w:i w:val="0"/>
          <w:iCs w:val="0"/>
          <w:color w:val="auto"/>
          <w:sz w:val="20"/>
          <w:szCs w:val="24"/>
          <w:lang w:val="en-US"/>
        </w:rPr>
        <w:t xml:space="preserve"> </w:t>
      </w:r>
      <w:r w:rsidR="00561687" w:rsidRPr="002A554D">
        <w:rPr>
          <w:rFonts w:ascii="Arial" w:hAnsi="Arial" w:cs="Arial"/>
          <w:b/>
          <w:color w:val="auto"/>
          <w:sz w:val="20"/>
          <w:szCs w:val="24"/>
          <w:lang w:val="en-US"/>
        </w:rPr>
        <w:t xml:space="preserve">Pseudomonas </w:t>
      </w:r>
      <w:r w:rsidR="00561687" w:rsidRPr="002A554D">
        <w:rPr>
          <w:rFonts w:ascii="Arial" w:hAnsi="Arial" w:cs="Arial"/>
          <w:b/>
          <w:i w:val="0"/>
          <w:color w:val="auto"/>
          <w:sz w:val="20"/>
          <w:szCs w:val="24"/>
          <w:lang w:val="en-US"/>
        </w:rPr>
        <w:t>spp</w:t>
      </w:r>
      <w:r w:rsidR="00561687" w:rsidRPr="002A554D">
        <w:rPr>
          <w:rFonts w:ascii="Arial" w:hAnsi="Arial" w:cs="Arial"/>
          <w:b/>
          <w:color w:val="auto"/>
          <w:sz w:val="20"/>
          <w:szCs w:val="24"/>
          <w:lang w:val="en-US"/>
        </w:rPr>
        <w:t xml:space="preserve"> </w:t>
      </w:r>
      <w:r w:rsidR="00561687" w:rsidRPr="002A554D">
        <w:rPr>
          <w:rFonts w:ascii="Arial" w:hAnsi="Arial" w:cs="Arial"/>
          <w:b/>
          <w:i w:val="0"/>
          <w:color w:val="auto"/>
          <w:sz w:val="20"/>
          <w:szCs w:val="24"/>
          <w:lang w:val="en-US"/>
        </w:rPr>
        <w:t>and</w:t>
      </w:r>
      <w:r w:rsidR="00250444" w:rsidRPr="002A554D">
        <w:rPr>
          <w:rFonts w:ascii="Arial" w:hAnsi="Arial" w:cs="Arial"/>
          <w:b/>
          <w:color w:val="auto"/>
          <w:sz w:val="20"/>
          <w:szCs w:val="24"/>
          <w:lang w:val="en-US"/>
        </w:rPr>
        <w:t xml:space="preserve"> </w:t>
      </w:r>
      <w:r w:rsidR="00216847" w:rsidRPr="002A554D">
        <w:rPr>
          <w:rFonts w:ascii="Arial" w:hAnsi="Arial" w:cs="Arial"/>
          <w:b/>
          <w:color w:val="000000" w:themeColor="text1"/>
          <w:sz w:val="20"/>
          <w:szCs w:val="24"/>
          <w:lang w:val="en-US"/>
        </w:rPr>
        <w:t>Ralstonia sola</w:t>
      </w:r>
      <w:r w:rsidR="00561687" w:rsidRPr="002A554D">
        <w:rPr>
          <w:rFonts w:ascii="Arial" w:hAnsi="Arial" w:cs="Arial"/>
          <w:b/>
          <w:color w:val="auto"/>
          <w:sz w:val="20"/>
          <w:szCs w:val="24"/>
          <w:lang w:val="en-US"/>
        </w:rPr>
        <w:t>nacearum</w:t>
      </w:r>
      <w:r w:rsidR="001C6F37" w:rsidRPr="002A554D">
        <w:rPr>
          <w:rFonts w:ascii="Arial" w:hAnsi="Arial" w:cs="Arial"/>
          <w:b/>
          <w:i w:val="0"/>
          <w:color w:val="000000" w:themeColor="text1"/>
          <w:sz w:val="20"/>
          <w:szCs w:val="24"/>
          <w:lang w:val="en-US"/>
        </w:rPr>
        <w:t>.</w:t>
      </w:r>
    </w:p>
    <w:p w14:paraId="0BD01404" w14:textId="77777777" w:rsidR="00561687" w:rsidRDefault="00561687" w:rsidP="00237ED6">
      <w:pPr>
        <w:pStyle w:val="Caption"/>
        <w:spacing w:after="0" w:line="360" w:lineRule="auto"/>
        <w:jc w:val="center"/>
        <w:rPr>
          <w:rFonts w:ascii="Arial" w:hAnsi="Arial" w:cs="Arial"/>
          <w:color w:val="auto"/>
          <w:sz w:val="22"/>
          <w:szCs w:val="24"/>
          <w:vertAlign w:val="superscript"/>
          <w:lang w:val="en-US"/>
        </w:rPr>
      </w:pPr>
      <w:r w:rsidRPr="003C5866">
        <w:rPr>
          <w:rFonts w:ascii="Arial" w:hAnsi="Arial" w:cs="Arial"/>
          <w:color w:val="auto"/>
          <w:sz w:val="22"/>
          <w:szCs w:val="24"/>
          <w:vertAlign w:val="superscript"/>
          <w:lang w:val="en-US"/>
        </w:rPr>
        <w:t xml:space="preserve">Each bar represents the standard deviations of three repetitions for each modality and the letters (a, b and c) represent the means between statistical groups of different modalities according to the ANOVA test </w:t>
      </w:r>
      <w:r w:rsidR="00C931E9">
        <w:rPr>
          <w:rFonts w:ascii="Arial" w:hAnsi="Arial" w:cs="Arial"/>
          <w:color w:val="auto"/>
          <w:sz w:val="22"/>
          <w:szCs w:val="24"/>
          <w:vertAlign w:val="superscript"/>
          <w:lang w:val="en-US"/>
        </w:rPr>
        <w:t>(P&lt;</w:t>
      </w:r>
      <w:r w:rsidR="00CB5CD1">
        <w:rPr>
          <w:rFonts w:ascii="Arial" w:hAnsi="Arial" w:cs="Arial"/>
          <w:color w:val="auto"/>
          <w:sz w:val="22"/>
          <w:szCs w:val="24"/>
          <w:vertAlign w:val="superscript"/>
          <w:lang w:val="en-US"/>
        </w:rPr>
        <w:t xml:space="preserve"> </w:t>
      </w:r>
      <w:r w:rsidRPr="003C5866">
        <w:rPr>
          <w:rFonts w:ascii="Arial" w:hAnsi="Arial" w:cs="Arial"/>
          <w:color w:val="auto"/>
          <w:sz w:val="22"/>
          <w:szCs w:val="24"/>
          <w:vertAlign w:val="superscript"/>
          <w:lang w:val="en-US"/>
        </w:rPr>
        <w:t>.05).</w:t>
      </w:r>
    </w:p>
    <w:p w14:paraId="489CA6F5" w14:textId="77777777" w:rsidR="00B6097E" w:rsidRPr="00B6097E" w:rsidRDefault="00B6097E" w:rsidP="00B6097E">
      <w:pPr>
        <w:rPr>
          <w:lang w:val="en-US"/>
        </w:rPr>
      </w:pPr>
    </w:p>
    <w:p w14:paraId="3CBDE61D" w14:textId="77777777" w:rsidR="00AB34C6" w:rsidRPr="008230D3" w:rsidRDefault="00D07DD4" w:rsidP="003C5866">
      <w:pPr>
        <w:pStyle w:val="Heading4"/>
        <w:spacing w:line="240" w:lineRule="auto"/>
        <w:jc w:val="both"/>
        <w:rPr>
          <w:rFonts w:ascii="Arial" w:eastAsia="Times New Roman" w:hAnsi="Arial" w:cs="Arial"/>
          <w:bCs/>
          <w:i w:val="0"/>
          <w:color w:val="000000"/>
          <w:sz w:val="20"/>
          <w:szCs w:val="20"/>
          <w:lang w:val="en-US" w:eastAsia="fr-FR"/>
        </w:rPr>
      </w:pPr>
      <w:r w:rsidRPr="003C5866">
        <w:rPr>
          <w:rFonts w:ascii="Arial" w:hAnsi="Arial" w:cs="Arial"/>
          <w:b/>
          <w:i w:val="0"/>
          <w:noProof/>
          <w:color w:val="000000" w:themeColor="text1"/>
          <w:szCs w:val="24"/>
          <w:lang w:val="en-US" w:eastAsia="fr-FR"/>
        </w:rPr>
        <w:t>3.4.</w:t>
      </w:r>
      <w:bookmarkStart w:id="5" w:name="_Toc200301250"/>
      <w:bookmarkStart w:id="6" w:name="_Toc200534463"/>
      <w:bookmarkStart w:id="7" w:name="_Hlk199823448"/>
      <w:bookmarkStart w:id="8" w:name="_Toc203704648"/>
      <w:r w:rsidR="00C358BF" w:rsidRPr="003C5866">
        <w:rPr>
          <w:rFonts w:ascii="Arial" w:hAnsi="Arial" w:cs="Arial"/>
          <w:b/>
          <w:i w:val="0"/>
          <w:noProof/>
          <w:color w:val="000000" w:themeColor="text1"/>
          <w:szCs w:val="24"/>
          <w:lang w:val="en-US" w:eastAsia="fr-FR"/>
        </w:rPr>
        <w:t xml:space="preserve"> </w:t>
      </w:r>
      <w:r w:rsidR="008230D3">
        <w:rPr>
          <w:rFonts w:ascii="Arial" w:hAnsi="Arial" w:cs="Arial"/>
          <w:b/>
          <w:i w:val="0"/>
          <w:noProof/>
          <w:color w:val="000000" w:themeColor="text1"/>
          <w:szCs w:val="24"/>
          <w:lang w:val="en-US" w:eastAsia="fr-FR"/>
        </w:rPr>
        <w:t xml:space="preserve">Insecticidal </w:t>
      </w:r>
      <w:r w:rsidR="008230D3" w:rsidRPr="008230D3">
        <w:rPr>
          <w:rFonts w:ascii="Arial" w:hAnsi="Arial" w:cs="Arial"/>
          <w:b/>
          <w:i w:val="0"/>
          <w:color w:val="000000" w:themeColor="text1"/>
          <w:szCs w:val="24"/>
          <w:lang w:val="en-US"/>
        </w:rPr>
        <w:t>e</w:t>
      </w:r>
      <w:r w:rsidR="00A206C2" w:rsidRPr="008230D3">
        <w:rPr>
          <w:rFonts w:ascii="Arial" w:hAnsi="Arial" w:cs="Arial"/>
          <w:b/>
          <w:i w:val="0"/>
          <w:color w:val="000000" w:themeColor="text1"/>
          <w:szCs w:val="24"/>
          <w:lang w:val="en-US"/>
        </w:rPr>
        <w:t xml:space="preserve">ffect of biopesticides </w:t>
      </w:r>
      <w:bookmarkEnd w:id="5"/>
      <w:bookmarkEnd w:id="6"/>
      <w:bookmarkEnd w:id="7"/>
      <w:bookmarkEnd w:id="8"/>
    </w:p>
    <w:p w14:paraId="5C31A998" w14:textId="77777777" w:rsidR="003C5866" w:rsidRPr="003C5866" w:rsidRDefault="003C5866" w:rsidP="003C5866">
      <w:pPr>
        <w:spacing w:after="0"/>
        <w:rPr>
          <w:lang w:val="en-US" w:eastAsia="fr-FR"/>
        </w:rPr>
      </w:pPr>
    </w:p>
    <w:p w14:paraId="78441BDC" w14:textId="77777777" w:rsidR="00800E47" w:rsidRPr="003C5866" w:rsidRDefault="00772635" w:rsidP="003C5866">
      <w:pPr>
        <w:spacing w:after="0" w:line="360" w:lineRule="auto"/>
        <w:jc w:val="both"/>
        <w:rPr>
          <w:rFonts w:ascii="Arial" w:hAnsi="Arial" w:cs="Arial"/>
          <w:sz w:val="20"/>
          <w:szCs w:val="24"/>
          <w:lang w:val="en-US"/>
        </w:rPr>
      </w:pPr>
      <w:r w:rsidRPr="003C5866">
        <w:rPr>
          <w:rFonts w:ascii="Arial" w:hAnsi="Arial" w:cs="Arial"/>
          <w:sz w:val="20"/>
          <w:szCs w:val="24"/>
          <w:lang w:val="en-US"/>
        </w:rPr>
        <w:t>Analysis of variance (ANOVA) of the repellent and lethal (mortality) effects of biopesticides (BP1, BP2, BP3</w:t>
      </w:r>
      <w:r w:rsidR="008230D3">
        <w:rPr>
          <w:rFonts w:ascii="Arial" w:hAnsi="Arial" w:cs="Arial"/>
          <w:sz w:val="20"/>
          <w:szCs w:val="24"/>
          <w:lang w:val="en-US"/>
        </w:rPr>
        <w:t xml:space="preserve"> and</w:t>
      </w:r>
      <w:r w:rsidRPr="003C5866">
        <w:rPr>
          <w:rFonts w:ascii="Arial" w:hAnsi="Arial" w:cs="Arial"/>
          <w:sz w:val="20"/>
          <w:szCs w:val="24"/>
          <w:lang w:val="en-US"/>
        </w:rPr>
        <w:t xml:space="preserve"> BP4) </w:t>
      </w:r>
      <w:r w:rsidRPr="00532A8B">
        <w:rPr>
          <w:rFonts w:ascii="Arial" w:hAnsi="Arial" w:cs="Arial"/>
          <w:sz w:val="20"/>
          <w:szCs w:val="24"/>
          <w:lang w:val="en-US"/>
        </w:rPr>
        <w:t>on</w:t>
      </w:r>
      <w:r w:rsidR="008230D3" w:rsidRPr="00532A8B">
        <w:rPr>
          <w:rFonts w:ascii="Arial" w:hAnsi="Arial" w:cs="Arial"/>
          <w:bCs/>
          <w:color w:val="000000" w:themeColor="text1"/>
          <w:sz w:val="20"/>
          <w:szCs w:val="20"/>
          <w:lang w:val="en-US"/>
        </w:rPr>
        <w:t xml:space="preserve"> </w:t>
      </w:r>
      <w:proofErr w:type="spellStart"/>
      <w:r w:rsidR="008230D3" w:rsidRPr="0052530E">
        <w:rPr>
          <w:rFonts w:ascii="Arial" w:hAnsi="Arial" w:cs="Arial"/>
          <w:bCs/>
          <w:i/>
          <w:iCs/>
          <w:color w:val="000000" w:themeColor="text1"/>
          <w:sz w:val="20"/>
          <w:szCs w:val="20"/>
          <w:lang w:val="en-US"/>
        </w:rPr>
        <w:t>Aphidoidea</w:t>
      </w:r>
      <w:proofErr w:type="spellEnd"/>
      <w:r w:rsidR="008230D3" w:rsidRPr="00532A8B">
        <w:rPr>
          <w:rFonts w:ascii="Arial" w:hAnsi="Arial" w:cs="Arial"/>
          <w:bCs/>
          <w:color w:val="000000" w:themeColor="text1"/>
          <w:sz w:val="20"/>
          <w:szCs w:val="20"/>
          <w:lang w:val="en-US"/>
        </w:rPr>
        <w:t xml:space="preserve"> (aphids)</w:t>
      </w:r>
      <w:r w:rsidR="0052530E">
        <w:rPr>
          <w:rFonts w:ascii="Arial" w:hAnsi="Arial" w:cs="Arial"/>
          <w:bCs/>
          <w:color w:val="000000" w:themeColor="text1"/>
          <w:sz w:val="20"/>
          <w:szCs w:val="20"/>
          <w:lang w:val="en-US"/>
        </w:rPr>
        <w:t>,</w:t>
      </w:r>
      <w:r w:rsidR="008230D3" w:rsidRPr="00532A8B">
        <w:rPr>
          <w:rFonts w:ascii="Arial" w:hAnsi="Arial" w:cs="Arial"/>
          <w:bCs/>
          <w:color w:val="000000" w:themeColor="text1"/>
          <w:sz w:val="20"/>
          <w:szCs w:val="20"/>
          <w:lang w:val="en-US"/>
        </w:rPr>
        <w:t xml:space="preserve"> </w:t>
      </w:r>
      <w:proofErr w:type="spellStart"/>
      <w:r w:rsidR="008230D3" w:rsidRPr="0052530E">
        <w:rPr>
          <w:rFonts w:ascii="Arial" w:hAnsi="Arial" w:cs="Arial"/>
          <w:bCs/>
          <w:i/>
          <w:iCs/>
          <w:color w:val="000000" w:themeColor="text1"/>
          <w:sz w:val="20"/>
          <w:szCs w:val="20"/>
          <w:lang w:val="en-US"/>
        </w:rPr>
        <w:t>Zonocerus</w:t>
      </w:r>
      <w:proofErr w:type="spellEnd"/>
      <w:r w:rsidR="008230D3" w:rsidRPr="0052530E">
        <w:rPr>
          <w:rFonts w:ascii="Arial" w:hAnsi="Arial" w:cs="Arial"/>
          <w:bCs/>
          <w:i/>
          <w:iCs/>
          <w:color w:val="000000" w:themeColor="text1"/>
          <w:sz w:val="20"/>
          <w:szCs w:val="20"/>
          <w:lang w:val="en-US"/>
        </w:rPr>
        <w:t xml:space="preserve"> variegatus</w:t>
      </w:r>
      <w:r w:rsidR="008230D3" w:rsidRPr="00532A8B">
        <w:rPr>
          <w:rFonts w:ascii="Arial" w:hAnsi="Arial" w:cs="Arial"/>
          <w:bCs/>
          <w:color w:val="000000" w:themeColor="text1"/>
          <w:sz w:val="20"/>
          <w:szCs w:val="20"/>
          <w:lang w:val="en-US"/>
        </w:rPr>
        <w:t xml:space="preserve"> (grasshoppers)</w:t>
      </w:r>
      <w:r w:rsidR="0052530E">
        <w:rPr>
          <w:rFonts w:ascii="Arial" w:hAnsi="Arial" w:cs="Arial"/>
          <w:bCs/>
          <w:color w:val="000000" w:themeColor="text1"/>
          <w:sz w:val="20"/>
          <w:szCs w:val="20"/>
          <w:lang w:val="en-US"/>
        </w:rPr>
        <w:t>,</w:t>
      </w:r>
      <w:r w:rsidR="008230D3" w:rsidRPr="00532A8B">
        <w:rPr>
          <w:rFonts w:ascii="Arial" w:hAnsi="Arial" w:cs="Arial"/>
          <w:bCs/>
          <w:color w:val="000000" w:themeColor="text1"/>
          <w:sz w:val="20"/>
          <w:szCs w:val="20"/>
          <w:lang w:val="en-US"/>
        </w:rPr>
        <w:t xml:space="preserve"> </w:t>
      </w:r>
      <w:r w:rsidR="0052530E">
        <w:rPr>
          <w:rFonts w:ascii="Arial" w:hAnsi="Arial" w:cs="Arial"/>
          <w:bCs/>
          <w:color w:val="000000" w:themeColor="text1"/>
          <w:sz w:val="20"/>
          <w:szCs w:val="20"/>
          <w:lang w:val="en-US"/>
        </w:rPr>
        <w:t>a</w:t>
      </w:r>
      <w:r w:rsidR="008230D3" w:rsidRPr="00532A8B">
        <w:rPr>
          <w:rFonts w:ascii="Arial" w:hAnsi="Arial" w:cs="Arial"/>
          <w:bCs/>
          <w:color w:val="000000" w:themeColor="text1"/>
          <w:sz w:val="20"/>
          <w:szCs w:val="20"/>
          <w:lang w:val="en-US"/>
        </w:rPr>
        <w:t xml:space="preserve">nd </w:t>
      </w:r>
      <w:r w:rsidR="008230D3" w:rsidRPr="0052530E">
        <w:rPr>
          <w:rFonts w:ascii="Arial" w:eastAsia="Times New Roman" w:hAnsi="Arial" w:cs="Arial"/>
          <w:bCs/>
          <w:i/>
          <w:iCs/>
          <w:color w:val="000000"/>
          <w:sz w:val="20"/>
          <w:szCs w:val="20"/>
          <w:lang w:val="en-US" w:eastAsia="fr-FR"/>
        </w:rPr>
        <w:t>Cosmopolites</w:t>
      </w:r>
      <w:r w:rsidR="008230D3" w:rsidRPr="00532A8B">
        <w:rPr>
          <w:rFonts w:ascii="Arial" w:eastAsia="Times New Roman" w:hAnsi="Arial" w:cs="Arial"/>
          <w:bCs/>
          <w:color w:val="000000"/>
          <w:sz w:val="20"/>
          <w:szCs w:val="20"/>
          <w:lang w:val="en-US" w:eastAsia="fr-FR"/>
        </w:rPr>
        <w:t xml:space="preserve"> </w:t>
      </w:r>
      <w:r w:rsidR="008230D3" w:rsidRPr="0052530E">
        <w:rPr>
          <w:rFonts w:ascii="Arial" w:eastAsia="Times New Roman" w:hAnsi="Arial" w:cs="Arial"/>
          <w:bCs/>
          <w:i/>
          <w:iCs/>
          <w:color w:val="000000"/>
          <w:sz w:val="20"/>
          <w:szCs w:val="20"/>
          <w:lang w:val="en-US" w:eastAsia="fr-FR"/>
        </w:rPr>
        <w:t>sordidus</w:t>
      </w:r>
      <w:r w:rsidR="008230D3" w:rsidRPr="00532A8B">
        <w:rPr>
          <w:rFonts w:ascii="Arial" w:eastAsia="Times New Roman" w:hAnsi="Arial" w:cs="Arial"/>
          <w:bCs/>
          <w:color w:val="000000"/>
          <w:sz w:val="20"/>
          <w:szCs w:val="20"/>
          <w:lang w:val="en-US" w:eastAsia="fr-FR"/>
        </w:rPr>
        <w:t xml:space="preserve"> (weevils)</w:t>
      </w:r>
      <w:r w:rsidR="008230D3">
        <w:rPr>
          <w:rFonts w:ascii="Arial" w:eastAsia="Times New Roman" w:hAnsi="Arial" w:cs="Arial"/>
          <w:bCs/>
          <w:color w:val="000000"/>
          <w:sz w:val="20"/>
          <w:szCs w:val="20"/>
          <w:lang w:val="en-US" w:eastAsia="fr-FR"/>
        </w:rPr>
        <w:t xml:space="preserve"> </w:t>
      </w:r>
      <w:r w:rsidR="00890094" w:rsidRPr="003C5866">
        <w:rPr>
          <w:rFonts w:ascii="Arial" w:hAnsi="Arial" w:cs="Arial"/>
          <w:sz w:val="20"/>
          <w:szCs w:val="24"/>
          <w:lang w:val="en-US"/>
        </w:rPr>
        <w:t xml:space="preserve">revealed significant effects </w:t>
      </w:r>
      <w:r w:rsidR="00890094" w:rsidRPr="00532A8B">
        <w:rPr>
          <w:rFonts w:ascii="Arial" w:hAnsi="Arial" w:cs="Arial"/>
          <w:sz w:val="20"/>
          <w:szCs w:val="24"/>
          <w:lang w:val="en-US"/>
        </w:rPr>
        <w:t>(</w:t>
      </w:r>
      <w:r w:rsidR="00BD3800" w:rsidRPr="0052530E">
        <w:rPr>
          <w:rFonts w:ascii="Arial" w:hAnsi="Arial" w:cs="Arial"/>
          <w:i/>
          <w:iCs/>
          <w:sz w:val="20"/>
          <w:szCs w:val="24"/>
          <w:lang w:val="en-US"/>
        </w:rPr>
        <w:t>P</w:t>
      </w:r>
      <w:r w:rsidR="00BD3800" w:rsidRPr="00532A8B">
        <w:rPr>
          <w:rFonts w:ascii="Arial" w:hAnsi="Arial" w:cs="Arial"/>
          <w:sz w:val="20"/>
          <w:szCs w:val="24"/>
          <w:lang w:val="en-US"/>
        </w:rPr>
        <w:t>&lt; 0.001</w:t>
      </w:r>
      <w:r w:rsidRPr="00532A8B">
        <w:rPr>
          <w:rFonts w:ascii="Arial" w:hAnsi="Arial" w:cs="Arial"/>
          <w:sz w:val="20"/>
          <w:szCs w:val="24"/>
          <w:lang w:val="en-US"/>
        </w:rPr>
        <w:t>)</w:t>
      </w:r>
      <w:r w:rsidRPr="003C5866">
        <w:rPr>
          <w:rFonts w:ascii="Arial" w:hAnsi="Arial" w:cs="Arial"/>
          <w:sz w:val="20"/>
          <w:szCs w:val="24"/>
          <w:lang w:val="en-US"/>
        </w:rPr>
        <w:t xml:space="preserve"> of modality and time variables with coefficients of determination (R²) of 99% (repulsion) and 100% (mortality) (Table 3).</w:t>
      </w:r>
    </w:p>
    <w:p w14:paraId="67EDB97C" w14:textId="77777777" w:rsidR="0052530E" w:rsidRDefault="00772635" w:rsidP="003C5866">
      <w:pPr>
        <w:spacing w:line="360" w:lineRule="auto"/>
        <w:jc w:val="both"/>
        <w:rPr>
          <w:rFonts w:ascii="Arial" w:hAnsi="Arial" w:cs="Arial"/>
          <w:sz w:val="20"/>
          <w:szCs w:val="24"/>
          <w:lang w:val="en-US"/>
        </w:rPr>
      </w:pPr>
      <w:r w:rsidRPr="003C5866">
        <w:rPr>
          <w:rFonts w:ascii="Arial" w:hAnsi="Arial" w:cs="Arial"/>
          <w:sz w:val="20"/>
          <w:szCs w:val="24"/>
          <w:lang w:val="en-US"/>
        </w:rPr>
        <w:t>Biopesticide</w:t>
      </w:r>
      <w:r w:rsidR="00890094" w:rsidRPr="003C5866">
        <w:rPr>
          <w:rFonts w:ascii="Arial" w:hAnsi="Arial" w:cs="Arial"/>
          <w:sz w:val="20"/>
          <w:szCs w:val="24"/>
          <w:lang w:val="en-US"/>
        </w:rPr>
        <w:t xml:space="preserve">s showed significant effects </w:t>
      </w:r>
      <w:r w:rsidR="00890094" w:rsidRPr="0052530E">
        <w:rPr>
          <w:rFonts w:ascii="Arial" w:hAnsi="Arial" w:cs="Arial"/>
          <w:sz w:val="20"/>
          <w:szCs w:val="24"/>
          <w:lang w:val="en-US"/>
        </w:rPr>
        <w:t>(</w:t>
      </w:r>
      <w:r w:rsidR="00BD3800" w:rsidRPr="0052530E">
        <w:rPr>
          <w:rFonts w:ascii="Arial" w:hAnsi="Arial" w:cs="Arial"/>
          <w:i/>
          <w:sz w:val="20"/>
          <w:szCs w:val="24"/>
          <w:lang w:val="en-US"/>
        </w:rPr>
        <w:t>P</w:t>
      </w:r>
      <w:r w:rsidR="00BD3800" w:rsidRPr="0052530E">
        <w:rPr>
          <w:rFonts w:ascii="Arial" w:hAnsi="Arial" w:cs="Arial"/>
          <w:iCs/>
          <w:sz w:val="20"/>
          <w:szCs w:val="24"/>
          <w:lang w:val="en-US"/>
        </w:rPr>
        <w:t>&lt; 0.001</w:t>
      </w:r>
      <w:r w:rsidRPr="0052530E">
        <w:rPr>
          <w:rFonts w:ascii="Arial" w:hAnsi="Arial" w:cs="Arial"/>
          <w:sz w:val="20"/>
          <w:szCs w:val="24"/>
          <w:lang w:val="en-US"/>
        </w:rPr>
        <w:t xml:space="preserve">) </w:t>
      </w:r>
      <w:r w:rsidRPr="003C5866">
        <w:rPr>
          <w:rFonts w:ascii="Arial" w:hAnsi="Arial" w:cs="Arial"/>
          <w:sz w:val="20"/>
          <w:szCs w:val="24"/>
          <w:lang w:val="en-US"/>
        </w:rPr>
        <w:t xml:space="preserve">on the repulsion </w:t>
      </w:r>
      <w:r w:rsidRPr="00532A8B">
        <w:rPr>
          <w:rFonts w:ascii="Arial" w:hAnsi="Arial" w:cs="Arial"/>
          <w:sz w:val="20"/>
          <w:szCs w:val="24"/>
          <w:lang w:val="en-US"/>
        </w:rPr>
        <w:t xml:space="preserve">and mortality of </w:t>
      </w:r>
      <w:proofErr w:type="spellStart"/>
      <w:r w:rsidRPr="00532A8B">
        <w:rPr>
          <w:rFonts w:ascii="Arial" w:hAnsi="Arial" w:cs="Arial"/>
          <w:i/>
          <w:sz w:val="20"/>
          <w:szCs w:val="24"/>
          <w:lang w:val="en-US"/>
        </w:rPr>
        <w:t>Aphidoidea</w:t>
      </w:r>
      <w:proofErr w:type="spellEnd"/>
      <w:r w:rsidRPr="00532A8B">
        <w:rPr>
          <w:rFonts w:ascii="Arial" w:hAnsi="Arial" w:cs="Arial"/>
          <w:sz w:val="20"/>
          <w:szCs w:val="24"/>
          <w:lang w:val="en-US"/>
        </w:rPr>
        <w:t xml:space="preserve">, </w:t>
      </w:r>
      <w:proofErr w:type="spellStart"/>
      <w:r w:rsidRPr="00532A8B">
        <w:rPr>
          <w:rFonts w:ascii="Arial" w:hAnsi="Arial" w:cs="Arial"/>
          <w:i/>
          <w:sz w:val="20"/>
          <w:szCs w:val="24"/>
          <w:lang w:val="en-US"/>
        </w:rPr>
        <w:t>Zonocerus</w:t>
      </w:r>
      <w:proofErr w:type="spellEnd"/>
      <w:r w:rsidRPr="00532A8B">
        <w:rPr>
          <w:rFonts w:ascii="Arial" w:hAnsi="Arial" w:cs="Arial"/>
          <w:i/>
          <w:sz w:val="20"/>
          <w:szCs w:val="24"/>
          <w:lang w:val="en-US"/>
        </w:rPr>
        <w:t xml:space="preserve"> variegatus </w:t>
      </w:r>
      <w:r w:rsidRPr="00532A8B">
        <w:rPr>
          <w:rFonts w:ascii="Arial" w:hAnsi="Arial" w:cs="Arial"/>
          <w:sz w:val="20"/>
          <w:szCs w:val="24"/>
          <w:lang w:val="en-US"/>
        </w:rPr>
        <w:t>and</w:t>
      </w:r>
      <w:r w:rsidR="00890094" w:rsidRPr="00532A8B">
        <w:rPr>
          <w:rFonts w:ascii="Arial" w:hAnsi="Arial" w:cs="Arial"/>
          <w:sz w:val="20"/>
          <w:szCs w:val="24"/>
          <w:lang w:val="en-US"/>
        </w:rPr>
        <w:t xml:space="preserve"> </w:t>
      </w:r>
      <w:r w:rsidR="00890094" w:rsidRPr="00532A8B">
        <w:rPr>
          <w:rFonts w:ascii="Arial" w:eastAsia="Times New Roman" w:hAnsi="Arial" w:cs="Arial"/>
          <w:i/>
          <w:color w:val="000000"/>
          <w:sz w:val="20"/>
          <w:szCs w:val="24"/>
          <w:lang w:val="en-US" w:eastAsia="fr-FR"/>
        </w:rPr>
        <w:t>Cosmopolites</w:t>
      </w:r>
      <w:r w:rsidR="00890094" w:rsidRPr="00532A8B">
        <w:rPr>
          <w:rFonts w:ascii="Arial" w:eastAsia="Times New Roman" w:hAnsi="Arial" w:cs="Arial"/>
          <w:color w:val="000000"/>
          <w:sz w:val="20"/>
          <w:szCs w:val="24"/>
          <w:lang w:val="en-US" w:eastAsia="fr-FR"/>
        </w:rPr>
        <w:t xml:space="preserve"> </w:t>
      </w:r>
      <w:r w:rsidR="00890094" w:rsidRPr="00532A8B">
        <w:rPr>
          <w:rFonts w:ascii="Arial" w:eastAsia="Times New Roman" w:hAnsi="Arial" w:cs="Arial"/>
          <w:i/>
          <w:color w:val="000000"/>
          <w:sz w:val="20"/>
          <w:szCs w:val="24"/>
          <w:lang w:val="en-US" w:eastAsia="fr-FR"/>
        </w:rPr>
        <w:t>sordidus</w:t>
      </w:r>
      <w:r w:rsidR="00561904" w:rsidRPr="00532A8B">
        <w:rPr>
          <w:rFonts w:ascii="Arial" w:eastAsia="Times New Roman" w:hAnsi="Arial" w:cs="Arial"/>
          <w:color w:val="000000"/>
          <w:sz w:val="20"/>
          <w:szCs w:val="24"/>
          <w:lang w:val="en-US" w:eastAsia="fr-FR"/>
        </w:rPr>
        <w:t xml:space="preserve"> </w:t>
      </w:r>
      <w:r w:rsidRPr="00532A8B">
        <w:rPr>
          <w:rFonts w:ascii="Arial" w:hAnsi="Arial" w:cs="Arial"/>
          <w:sz w:val="20"/>
          <w:szCs w:val="24"/>
          <w:lang w:val="en-US"/>
        </w:rPr>
        <w:t>over time (Figure 4). I</w:t>
      </w:r>
    </w:p>
    <w:p w14:paraId="25F1BFE9" w14:textId="77777777" w:rsidR="00DD65C4" w:rsidRPr="003C5866" w:rsidRDefault="00772635" w:rsidP="003C5866">
      <w:pPr>
        <w:spacing w:line="360" w:lineRule="auto"/>
        <w:jc w:val="both"/>
        <w:rPr>
          <w:rFonts w:ascii="Arial" w:hAnsi="Arial" w:cs="Arial"/>
          <w:sz w:val="20"/>
          <w:szCs w:val="24"/>
          <w:lang w:val="en-US"/>
        </w:rPr>
      </w:pPr>
      <w:r w:rsidRPr="00532A8B">
        <w:rPr>
          <w:rFonts w:ascii="Arial" w:hAnsi="Arial" w:cs="Arial"/>
          <w:sz w:val="20"/>
          <w:szCs w:val="24"/>
          <w:lang w:val="en-US"/>
        </w:rPr>
        <w:t xml:space="preserve">n </w:t>
      </w:r>
      <w:r w:rsidRPr="00532A8B">
        <w:rPr>
          <w:rFonts w:ascii="Arial" w:hAnsi="Arial" w:cs="Arial"/>
          <w:i/>
          <w:iCs/>
          <w:sz w:val="20"/>
          <w:szCs w:val="24"/>
          <w:lang w:val="en-US"/>
        </w:rPr>
        <w:t>Aphidoidea</w:t>
      </w:r>
      <w:r w:rsidRPr="00532A8B">
        <w:rPr>
          <w:rFonts w:ascii="Arial" w:hAnsi="Arial" w:cs="Arial"/>
          <w:sz w:val="20"/>
          <w:szCs w:val="24"/>
          <w:lang w:val="en-US"/>
        </w:rPr>
        <w:t>, repulsion</w:t>
      </w:r>
      <w:r w:rsidRPr="003C5866">
        <w:rPr>
          <w:rFonts w:ascii="Arial" w:hAnsi="Arial" w:cs="Arial"/>
          <w:sz w:val="20"/>
          <w:szCs w:val="24"/>
          <w:lang w:val="en-US"/>
        </w:rPr>
        <w:t xml:space="preserve"> was intense during the first few hours of exposure (0–12 hours) but decreased considerably after 24 hours for all modalities (Figure 4A). Conversely, mortality increased over time, reaching over 90% after 24 hours of exposure for all modalities (BP1</w:t>
      </w:r>
      <w:r w:rsidR="00A412D3">
        <w:rPr>
          <w:rFonts w:ascii="Arial" w:hAnsi="Arial" w:cs="Arial"/>
          <w:sz w:val="20"/>
          <w:szCs w:val="24"/>
          <w:lang w:val="en-US"/>
        </w:rPr>
        <w:t>-</w:t>
      </w:r>
      <w:r w:rsidRPr="003C5866">
        <w:rPr>
          <w:rFonts w:ascii="Arial" w:hAnsi="Arial" w:cs="Arial"/>
          <w:sz w:val="20"/>
          <w:szCs w:val="24"/>
          <w:lang w:val="en-US"/>
        </w:rPr>
        <w:t>4</w:t>
      </w:r>
      <w:r w:rsidR="008230D3">
        <w:rPr>
          <w:rFonts w:ascii="Arial" w:hAnsi="Arial" w:cs="Arial"/>
          <w:sz w:val="20"/>
          <w:szCs w:val="24"/>
          <w:lang w:val="en-US"/>
        </w:rPr>
        <w:t xml:space="preserve"> and </w:t>
      </w:r>
      <w:r w:rsidRPr="003C5866">
        <w:rPr>
          <w:rFonts w:ascii="Arial" w:hAnsi="Arial" w:cs="Arial"/>
          <w:sz w:val="20"/>
          <w:szCs w:val="24"/>
          <w:lang w:val="en-US"/>
        </w:rPr>
        <w:t xml:space="preserve">C+), </w:t>
      </w:r>
      <w:r w:rsidRPr="0080230B">
        <w:rPr>
          <w:rFonts w:ascii="Arial" w:hAnsi="Arial" w:cs="Arial"/>
          <w:sz w:val="20"/>
          <w:szCs w:val="24"/>
          <w:lang w:val="en-US"/>
        </w:rPr>
        <w:t xml:space="preserve">except </w:t>
      </w:r>
      <w:r w:rsidR="0080230B" w:rsidRPr="0080230B">
        <w:rPr>
          <w:rFonts w:ascii="Arial" w:hAnsi="Arial" w:cs="Arial"/>
          <w:sz w:val="20"/>
          <w:szCs w:val="24"/>
          <w:lang w:val="en-US"/>
        </w:rPr>
        <w:t xml:space="preserve">for </w:t>
      </w:r>
      <w:r w:rsidRPr="0080230B">
        <w:rPr>
          <w:rFonts w:ascii="Arial" w:hAnsi="Arial" w:cs="Arial"/>
          <w:sz w:val="20"/>
          <w:szCs w:val="24"/>
          <w:lang w:val="en-US"/>
        </w:rPr>
        <w:t>the negative control (C-), which remained very low</w:t>
      </w:r>
      <w:r w:rsidRPr="003C5866">
        <w:rPr>
          <w:rFonts w:ascii="Arial" w:hAnsi="Arial" w:cs="Arial"/>
          <w:sz w:val="20"/>
          <w:szCs w:val="24"/>
          <w:lang w:val="en-US"/>
        </w:rPr>
        <w:t xml:space="preserve"> (&lt;10%) (Figure 4B). Among all modalities, BP1 and C+ exhibited the most pronounced repulsive and lethal effects</w:t>
      </w:r>
      <w:r w:rsidR="008230D3">
        <w:rPr>
          <w:rFonts w:ascii="Arial" w:hAnsi="Arial" w:cs="Arial"/>
          <w:sz w:val="20"/>
          <w:szCs w:val="24"/>
          <w:lang w:val="en-US"/>
        </w:rPr>
        <w:t xml:space="preserve"> </w:t>
      </w:r>
      <w:r w:rsidRPr="003C5866">
        <w:rPr>
          <w:rFonts w:ascii="Arial" w:hAnsi="Arial" w:cs="Arial"/>
          <w:sz w:val="20"/>
          <w:szCs w:val="24"/>
          <w:lang w:val="en-US"/>
        </w:rPr>
        <w:t>respectively.</w:t>
      </w:r>
    </w:p>
    <w:p w14:paraId="465C1CC5" w14:textId="77777777" w:rsidR="00561904" w:rsidRPr="003C5866" w:rsidRDefault="00772635" w:rsidP="003C5866">
      <w:pPr>
        <w:spacing w:line="360" w:lineRule="auto"/>
        <w:jc w:val="both"/>
        <w:rPr>
          <w:rFonts w:ascii="Arial" w:eastAsia="Times New Roman" w:hAnsi="Arial" w:cs="Arial"/>
          <w:color w:val="000000"/>
          <w:sz w:val="20"/>
          <w:szCs w:val="24"/>
          <w:lang w:val="en-US" w:eastAsia="fr-FR"/>
        </w:rPr>
      </w:pPr>
      <w:r w:rsidRPr="003C5866">
        <w:rPr>
          <w:rFonts w:ascii="Arial" w:hAnsi="Arial" w:cs="Arial"/>
          <w:sz w:val="20"/>
          <w:szCs w:val="24"/>
          <w:lang w:val="en-US"/>
        </w:rPr>
        <w:lastRenderedPageBreak/>
        <w:t xml:space="preserve">In </w:t>
      </w:r>
      <w:proofErr w:type="spellStart"/>
      <w:r w:rsidRPr="003C5866">
        <w:rPr>
          <w:rFonts w:ascii="Arial" w:hAnsi="Arial" w:cs="Arial"/>
          <w:i/>
          <w:sz w:val="20"/>
          <w:szCs w:val="24"/>
          <w:lang w:val="en-US"/>
        </w:rPr>
        <w:t>Zonocerus</w:t>
      </w:r>
      <w:proofErr w:type="spellEnd"/>
      <w:r w:rsidRPr="003C5866">
        <w:rPr>
          <w:rFonts w:ascii="Arial" w:hAnsi="Arial" w:cs="Arial"/>
          <w:i/>
          <w:sz w:val="20"/>
          <w:szCs w:val="24"/>
          <w:lang w:val="en-US"/>
        </w:rPr>
        <w:t xml:space="preserve"> variegatus</w:t>
      </w:r>
      <w:r w:rsidRPr="003C5866">
        <w:rPr>
          <w:rFonts w:ascii="Arial" w:hAnsi="Arial" w:cs="Arial"/>
          <w:sz w:val="20"/>
          <w:szCs w:val="24"/>
          <w:lang w:val="en-US"/>
        </w:rPr>
        <w:t xml:space="preserve">, biopesticides induced persistent repulsion and a slower but more durable lethality than in </w:t>
      </w:r>
      <w:r w:rsidRPr="003C5866">
        <w:rPr>
          <w:rFonts w:ascii="Arial" w:hAnsi="Arial" w:cs="Arial"/>
          <w:i/>
          <w:sz w:val="20"/>
          <w:szCs w:val="24"/>
          <w:lang w:val="en-US"/>
        </w:rPr>
        <w:t>Aphidoidea</w:t>
      </w:r>
      <w:r w:rsidRPr="003C5866">
        <w:rPr>
          <w:rFonts w:ascii="Arial" w:hAnsi="Arial" w:cs="Arial"/>
          <w:sz w:val="20"/>
          <w:szCs w:val="24"/>
          <w:lang w:val="en-US"/>
        </w:rPr>
        <w:t xml:space="preserve">. Overall, repulsion was high (&gt;50%) during the first few hours of exposure and decreased progressively over time for all </w:t>
      </w:r>
      <w:r w:rsidRPr="0080230B">
        <w:rPr>
          <w:rFonts w:ascii="Arial" w:hAnsi="Arial" w:cs="Arial"/>
          <w:sz w:val="20"/>
          <w:szCs w:val="24"/>
          <w:lang w:val="en-US"/>
        </w:rPr>
        <w:t>treatments except for the negative control (C–),</w:t>
      </w:r>
      <w:r w:rsidRPr="003C5866">
        <w:rPr>
          <w:rFonts w:ascii="Arial" w:hAnsi="Arial" w:cs="Arial"/>
          <w:sz w:val="20"/>
          <w:szCs w:val="24"/>
          <w:lang w:val="en-US"/>
        </w:rPr>
        <w:t xml:space="preserve"> which remained low (&lt;20%) (Figure 4C). In contrast, mortality in </w:t>
      </w:r>
      <w:proofErr w:type="spellStart"/>
      <w:r w:rsidRPr="003C5866">
        <w:rPr>
          <w:rFonts w:ascii="Arial" w:hAnsi="Arial" w:cs="Arial"/>
          <w:i/>
          <w:sz w:val="20"/>
          <w:szCs w:val="24"/>
          <w:lang w:val="en-US"/>
        </w:rPr>
        <w:t>Zonocerus</w:t>
      </w:r>
      <w:proofErr w:type="spellEnd"/>
      <w:r w:rsidRPr="003C5866">
        <w:rPr>
          <w:rFonts w:ascii="Arial" w:hAnsi="Arial" w:cs="Arial"/>
          <w:i/>
          <w:sz w:val="20"/>
          <w:szCs w:val="24"/>
          <w:lang w:val="en-US"/>
        </w:rPr>
        <w:t xml:space="preserve"> variegatus</w:t>
      </w:r>
      <w:r w:rsidRPr="003C5866">
        <w:rPr>
          <w:rFonts w:ascii="Arial" w:hAnsi="Arial" w:cs="Arial"/>
          <w:sz w:val="20"/>
          <w:szCs w:val="24"/>
          <w:lang w:val="en-US"/>
        </w:rPr>
        <w:t xml:space="preserve"> was initially low during the first few hours of exposure for all treatments but gradually increased to 55–65% for the biopesticide treatments </w:t>
      </w:r>
      <w:r w:rsidRPr="0080230B">
        <w:rPr>
          <w:rFonts w:ascii="Arial" w:hAnsi="Arial" w:cs="Arial"/>
          <w:sz w:val="20"/>
          <w:szCs w:val="24"/>
          <w:lang w:val="en-US"/>
        </w:rPr>
        <w:t>(BP1</w:t>
      </w:r>
      <w:r w:rsidR="00C608D0" w:rsidRPr="0080230B">
        <w:rPr>
          <w:rFonts w:ascii="Arial" w:hAnsi="Arial" w:cs="Arial"/>
          <w:sz w:val="20"/>
          <w:szCs w:val="24"/>
          <w:lang w:val="en-US"/>
        </w:rPr>
        <w:t>-</w:t>
      </w:r>
      <w:r w:rsidRPr="0080230B">
        <w:rPr>
          <w:rFonts w:ascii="Arial" w:hAnsi="Arial" w:cs="Arial"/>
          <w:sz w:val="20"/>
          <w:szCs w:val="24"/>
          <w:lang w:val="en-US"/>
        </w:rPr>
        <w:t>4)</w:t>
      </w:r>
      <w:r w:rsidRPr="003C5866">
        <w:rPr>
          <w:rFonts w:ascii="Arial" w:hAnsi="Arial" w:cs="Arial"/>
          <w:sz w:val="20"/>
          <w:szCs w:val="24"/>
          <w:lang w:val="en-US"/>
        </w:rPr>
        <w:t xml:space="preserve"> and 100% for the positive control (C+) after 48 hours. However, the negative control (C–) remained stable, with no significant effect.</w:t>
      </w:r>
    </w:p>
    <w:p w14:paraId="0ED4332F" w14:textId="42F87541" w:rsidR="00DA193B" w:rsidRDefault="00A4665E" w:rsidP="003C5866">
      <w:pPr>
        <w:spacing w:line="360" w:lineRule="auto"/>
        <w:jc w:val="both"/>
        <w:rPr>
          <w:rFonts w:ascii="Arial" w:eastAsia="Times New Roman" w:hAnsi="Arial" w:cs="Arial"/>
          <w:color w:val="000000"/>
          <w:sz w:val="20"/>
          <w:szCs w:val="24"/>
          <w:lang w:val="en-US" w:eastAsia="fr-FR"/>
        </w:rPr>
      </w:pPr>
      <w:r w:rsidRPr="003C5866">
        <w:rPr>
          <w:rFonts w:ascii="Arial" w:eastAsia="Times New Roman" w:hAnsi="Arial" w:cs="Arial"/>
          <w:color w:val="000000"/>
          <w:sz w:val="20"/>
          <w:szCs w:val="24"/>
          <w:lang w:val="en-US" w:eastAsia="fr-FR"/>
        </w:rPr>
        <w:t xml:space="preserve">In </w:t>
      </w:r>
      <w:r w:rsidRPr="003C5866">
        <w:rPr>
          <w:rFonts w:ascii="Arial" w:eastAsia="Times New Roman" w:hAnsi="Arial" w:cs="Arial"/>
          <w:i/>
          <w:color w:val="000000"/>
          <w:sz w:val="20"/>
          <w:szCs w:val="24"/>
          <w:lang w:val="en-US" w:eastAsia="fr-FR"/>
        </w:rPr>
        <w:t>Cosmopolites sordidus</w:t>
      </w:r>
      <w:r w:rsidRPr="003C5866">
        <w:rPr>
          <w:rFonts w:ascii="Arial" w:eastAsia="Times New Roman" w:hAnsi="Arial" w:cs="Arial"/>
          <w:color w:val="000000"/>
          <w:sz w:val="20"/>
          <w:szCs w:val="24"/>
          <w:lang w:val="en-US" w:eastAsia="fr-FR"/>
        </w:rPr>
        <w:t>, after six (6) hours of exposure, the biopesticide treatments and the positive control induced high aversion, reaching 50 to 60%. This aversion decreased after 24 hours for several treatments. Conversely</w:t>
      </w:r>
      <w:r w:rsidR="00AC5D8A" w:rsidRPr="003C5866">
        <w:rPr>
          <w:rFonts w:ascii="Arial" w:eastAsia="Times New Roman" w:hAnsi="Arial" w:cs="Arial"/>
          <w:color w:val="000000"/>
          <w:sz w:val="20"/>
          <w:szCs w:val="24"/>
          <w:lang w:val="en-US" w:eastAsia="fr-FR"/>
        </w:rPr>
        <w:t>, mortality initially low (0-6</w:t>
      </w:r>
      <w:r w:rsidRPr="003C5866">
        <w:rPr>
          <w:rFonts w:ascii="Arial" w:eastAsia="Times New Roman" w:hAnsi="Arial" w:cs="Arial"/>
          <w:color w:val="000000"/>
          <w:sz w:val="20"/>
          <w:szCs w:val="24"/>
          <w:lang w:val="en-US" w:eastAsia="fr-FR"/>
        </w:rPr>
        <w:t>h), increased progressively in all treatments, particularly for treatments BP3 and BP4, reaching the highest rates after 48 hours (80% and 90%), while the positive control (C+) reached 100% and the negative control remained at zero (0%), with no significant effect.</w:t>
      </w:r>
    </w:p>
    <w:p w14:paraId="50B719E0" w14:textId="77777777" w:rsidR="0095118F" w:rsidRPr="0095118F" w:rsidRDefault="0095118F" w:rsidP="003C5866">
      <w:pPr>
        <w:spacing w:line="360" w:lineRule="auto"/>
        <w:jc w:val="both"/>
        <w:rPr>
          <w:rFonts w:ascii="Arial" w:eastAsia="Times New Roman" w:hAnsi="Arial" w:cs="Arial"/>
          <w:color w:val="000000"/>
          <w:sz w:val="20"/>
          <w:szCs w:val="24"/>
          <w:lang w:val="en-US" w:eastAsia="fr-FR"/>
        </w:rPr>
      </w:pPr>
    </w:p>
    <w:p w14:paraId="7DBC4D44" w14:textId="77777777" w:rsidR="00875A3C" w:rsidRPr="00DA193B" w:rsidRDefault="00E45E2B" w:rsidP="003C5866">
      <w:pPr>
        <w:spacing w:after="0" w:line="480" w:lineRule="auto"/>
        <w:rPr>
          <w:rFonts w:ascii="Arial" w:hAnsi="Arial" w:cs="Arial"/>
          <w:b/>
          <w:noProof/>
          <w:sz w:val="20"/>
          <w:szCs w:val="24"/>
          <w:lang w:val="en-US" w:eastAsia="fr-FR"/>
        </w:rPr>
      </w:pPr>
      <w:r w:rsidRPr="00DA193B">
        <w:rPr>
          <w:rFonts w:ascii="Arial" w:hAnsi="Arial" w:cs="Arial"/>
          <w:b/>
          <w:noProof/>
          <w:sz w:val="20"/>
          <w:szCs w:val="24"/>
          <w:lang w:val="en-US" w:eastAsia="fr-FR"/>
        </w:rPr>
        <w:t>Table 4.</w:t>
      </w:r>
      <w:r w:rsidR="00DA193B" w:rsidRPr="00DA193B">
        <w:rPr>
          <w:rFonts w:ascii="Arial" w:hAnsi="Arial" w:cs="Arial"/>
          <w:b/>
          <w:noProof/>
          <w:sz w:val="20"/>
          <w:szCs w:val="24"/>
          <w:lang w:val="en-US" w:eastAsia="fr-FR"/>
        </w:rPr>
        <w:t xml:space="preserve"> </w:t>
      </w:r>
      <w:r w:rsidR="00D11E5D" w:rsidRPr="00DA193B">
        <w:rPr>
          <w:rFonts w:ascii="Arial" w:hAnsi="Arial" w:cs="Arial"/>
          <w:b/>
          <w:sz w:val="20"/>
          <w:szCs w:val="24"/>
          <w:lang w:val="en-US"/>
        </w:rPr>
        <w:t xml:space="preserve">Analysis of variance (ANOVA) of the effects of the different modalities (BP1, BP2, BP3, BP4, C− and C+) on the insects </w:t>
      </w:r>
      <w:proofErr w:type="spellStart"/>
      <w:r w:rsidR="00D11E5D" w:rsidRPr="00DA193B">
        <w:rPr>
          <w:rFonts w:ascii="Arial" w:hAnsi="Arial" w:cs="Arial"/>
          <w:b/>
          <w:i/>
          <w:sz w:val="20"/>
          <w:szCs w:val="24"/>
          <w:lang w:val="en-US"/>
        </w:rPr>
        <w:t>Aphidoidea</w:t>
      </w:r>
      <w:proofErr w:type="spellEnd"/>
      <w:r w:rsidR="00D11E5D" w:rsidRPr="00DA193B">
        <w:rPr>
          <w:rFonts w:ascii="Arial" w:hAnsi="Arial" w:cs="Arial"/>
          <w:b/>
          <w:sz w:val="20"/>
          <w:szCs w:val="24"/>
          <w:lang w:val="en-US"/>
        </w:rPr>
        <w:t xml:space="preserve"> (aphids), </w:t>
      </w:r>
      <w:proofErr w:type="spellStart"/>
      <w:r w:rsidR="00D11E5D" w:rsidRPr="00DA193B">
        <w:rPr>
          <w:rFonts w:ascii="Arial" w:hAnsi="Arial" w:cs="Arial"/>
          <w:b/>
          <w:i/>
          <w:sz w:val="20"/>
          <w:szCs w:val="24"/>
          <w:lang w:val="en-US"/>
        </w:rPr>
        <w:t>Zonocerus</w:t>
      </w:r>
      <w:proofErr w:type="spellEnd"/>
      <w:r w:rsidR="00D11E5D" w:rsidRPr="00DA193B">
        <w:rPr>
          <w:rFonts w:ascii="Arial" w:hAnsi="Arial" w:cs="Arial"/>
          <w:b/>
          <w:i/>
          <w:sz w:val="20"/>
          <w:szCs w:val="24"/>
          <w:lang w:val="en-US"/>
        </w:rPr>
        <w:t xml:space="preserve"> variegatus</w:t>
      </w:r>
      <w:r w:rsidR="00D11E5D" w:rsidRPr="00DA193B">
        <w:rPr>
          <w:rFonts w:ascii="Arial" w:hAnsi="Arial" w:cs="Arial"/>
          <w:b/>
          <w:sz w:val="20"/>
          <w:szCs w:val="24"/>
          <w:lang w:val="en-US"/>
        </w:rPr>
        <w:t xml:space="preserve"> (grasshoppers) and</w:t>
      </w:r>
      <w:r w:rsidR="00AC5D8A" w:rsidRPr="00DA193B">
        <w:rPr>
          <w:rFonts w:ascii="Arial" w:hAnsi="Arial" w:cs="Arial"/>
          <w:b/>
          <w:sz w:val="20"/>
          <w:szCs w:val="24"/>
          <w:lang w:val="en-US"/>
        </w:rPr>
        <w:t xml:space="preserve"> </w:t>
      </w:r>
      <w:r w:rsidR="002F7738" w:rsidRPr="00DA193B">
        <w:rPr>
          <w:rFonts w:ascii="Arial" w:eastAsia="Times New Roman" w:hAnsi="Arial" w:cs="Arial"/>
          <w:b/>
          <w:i/>
          <w:color w:val="000000"/>
          <w:sz w:val="20"/>
          <w:szCs w:val="24"/>
          <w:lang w:val="en-US" w:eastAsia="fr-FR"/>
        </w:rPr>
        <w:t>Sordid Cosmopolitans</w:t>
      </w:r>
      <w:r w:rsidR="00AC5D8A" w:rsidRPr="00DA193B">
        <w:rPr>
          <w:rFonts w:ascii="Arial" w:eastAsia="Times New Roman" w:hAnsi="Arial" w:cs="Arial"/>
          <w:b/>
          <w:i/>
          <w:color w:val="000000"/>
          <w:sz w:val="20"/>
          <w:szCs w:val="24"/>
          <w:lang w:val="en-US" w:eastAsia="fr-FR"/>
        </w:rPr>
        <w:t xml:space="preserve"> </w:t>
      </w:r>
      <w:r w:rsidR="00AC5D8A" w:rsidRPr="00DA193B">
        <w:rPr>
          <w:rFonts w:ascii="Arial" w:eastAsia="Times New Roman" w:hAnsi="Arial" w:cs="Arial"/>
          <w:b/>
          <w:color w:val="000000"/>
          <w:sz w:val="20"/>
          <w:szCs w:val="24"/>
          <w:lang w:val="en-US" w:eastAsia="fr-FR"/>
        </w:rPr>
        <w:t>(weevils</w:t>
      </w:r>
      <w:r w:rsidR="00D11E5D" w:rsidRPr="00DA193B">
        <w:rPr>
          <w:rFonts w:ascii="Arial" w:hAnsi="Arial" w:cs="Arial"/>
          <w:b/>
          <w:sz w:val="20"/>
          <w:szCs w:val="24"/>
          <w:lang w:val="en-US"/>
        </w:rPr>
        <w:t>).</w:t>
      </w:r>
    </w:p>
    <w:tbl>
      <w:tblPr>
        <w:tblW w:w="9172" w:type="dxa"/>
        <w:jc w:val="center"/>
        <w:tblCellMar>
          <w:left w:w="70" w:type="dxa"/>
          <w:right w:w="70" w:type="dxa"/>
        </w:tblCellMar>
        <w:tblLook w:val="04A0" w:firstRow="1" w:lastRow="0" w:firstColumn="1" w:lastColumn="0" w:noHBand="0" w:noVBand="1"/>
      </w:tblPr>
      <w:tblGrid>
        <w:gridCol w:w="1762"/>
        <w:gridCol w:w="1088"/>
        <w:gridCol w:w="1494"/>
        <w:gridCol w:w="1747"/>
        <w:gridCol w:w="1373"/>
        <w:gridCol w:w="1708"/>
      </w:tblGrid>
      <w:tr w:rsidR="00167732" w:rsidRPr="00DA193B" w14:paraId="3F03201B" w14:textId="77777777" w:rsidTr="008C4D2B">
        <w:trPr>
          <w:trHeight w:val="328"/>
          <w:jc w:val="center"/>
        </w:trPr>
        <w:tc>
          <w:tcPr>
            <w:tcW w:w="1762" w:type="dxa"/>
            <w:tcBorders>
              <w:top w:val="single" w:sz="18" w:space="0" w:color="auto"/>
              <w:left w:val="nil"/>
              <w:bottom w:val="single" w:sz="18" w:space="0" w:color="auto"/>
              <w:right w:val="nil"/>
            </w:tcBorders>
          </w:tcPr>
          <w:p w14:paraId="3BED1693" w14:textId="77777777" w:rsidR="00167732" w:rsidRPr="00DA193B" w:rsidRDefault="00167732" w:rsidP="00DA193B">
            <w:pPr>
              <w:spacing w:after="0" w:line="480" w:lineRule="auto"/>
              <w:rPr>
                <w:rFonts w:ascii="Arial" w:eastAsia="Times New Roman" w:hAnsi="Arial" w:cs="Arial"/>
                <w:b/>
                <w:color w:val="000000"/>
                <w:sz w:val="20"/>
                <w:szCs w:val="20"/>
                <w:lang w:eastAsia="fr-FR"/>
              </w:rPr>
            </w:pPr>
            <w:proofErr w:type="spellStart"/>
            <w:r w:rsidRPr="00DA193B">
              <w:rPr>
                <w:rFonts w:ascii="Arial" w:eastAsia="Times New Roman" w:hAnsi="Arial" w:cs="Arial"/>
                <w:b/>
                <w:color w:val="000000"/>
                <w:sz w:val="20"/>
                <w:szCs w:val="20"/>
                <w:lang w:eastAsia="fr-FR"/>
              </w:rPr>
              <w:t>Aphids</w:t>
            </w:r>
            <w:proofErr w:type="spellEnd"/>
          </w:p>
        </w:tc>
        <w:tc>
          <w:tcPr>
            <w:tcW w:w="1088" w:type="dxa"/>
            <w:tcBorders>
              <w:top w:val="single" w:sz="18" w:space="0" w:color="auto"/>
              <w:left w:val="nil"/>
              <w:bottom w:val="single" w:sz="18" w:space="0" w:color="auto"/>
              <w:right w:val="nil"/>
            </w:tcBorders>
          </w:tcPr>
          <w:p w14:paraId="1187DC66" w14:textId="77777777" w:rsidR="00167732" w:rsidRPr="00DA193B" w:rsidRDefault="00167732" w:rsidP="00DA193B">
            <w:pPr>
              <w:spacing w:after="0" w:line="480" w:lineRule="auto"/>
              <w:jc w:val="center"/>
              <w:rPr>
                <w:rFonts w:ascii="Arial" w:hAnsi="Arial" w:cs="Arial"/>
                <w:i/>
                <w:color w:val="000000"/>
                <w:sz w:val="20"/>
                <w:szCs w:val="20"/>
              </w:rPr>
            </w:pPr>
          </w:p>
        </w:tc>
        <w:tc>
          <w:tcPr>
            <w:tcW w:w="3241" w:type="dxa"/>
            <w:gridSpan w:val="2"/>
            <w:tcBorders>
              <w:top w:val="single" w:sz="18" w:space="0" w:color="auto"/>
              <w:left w:val="nil"/>
              <w:bottom w:val="single" w:sz="18" w:space="0" w:color="auto"/>
              <w:right w:val="nil"/>
            </w:tcBorders>
          </w:tcPr>
          <w:p w14:paraId="241EE41D" w14:textId="77777777" w:rsidR="00167732" w:rsidRPr="00DA193B" w:rsidRDefault="00221242" w:rsidP="00DA193B">
            <w:pPr>
              <w:spacing w:after="0" w:line="480" w:lineRule="auto"/>
              <w:jc w:val="center"/>
              <w:rPr>
                <w:rFonts w:ascii="Arial" w:hAnsi="Arial" w:cs="Arial"/>
                <w:i/>
                <w:color w:val="000000"/>
                <w:sz w:val="20"/>
                <w:szCs w:val="20"/>
              </w:rPr>
            </w:pPr>
            <w:proofErr w:type="spellStart"/>
            <w:r w:rsidRPr="00DA193B">
              <w:rPr>
                <w:rFonts w:ascii="Arial" w:hAnsi="Arial" w:cs="Arial"/>
                <w:b/>
                <w:color w:val="000000"/>
                <w:sz w:val="20"/>
                <w:szCs w:val="20"/>
              </w:rPr>
              <w:t>Repulsion</w:t>
            </w:r>
            <w:proofErr w:type="spellEnd"/>
            <w:r w:rsidRPr="00DA193B">
              <w:rPr>
                <w:rFonts w:ascii="Arial" w:hAnsi="Arial" w:cs="Arial"/>
                <w:color w:val="000000"/>
                <w:sz w:val="20"/>
                <w:szCs w:val="20"/>
              </w:rPr>
              <w:t xml:space="preserve"> (R² = 99%)</w:t>
            </w:r>
          </w:p>
        </w:tc>
        <w:tc>
          <w:tcPr>
            <w:tcW w:w="3081" w:type="dxa"/>
            <w:gridSpan w:val="2"/>
            <w:tcBorders>
              <w:top w:val="single" w:sz="18" w:space="0" w:color="auto"/>
              <w:left w:val="nil"/>
              <w:bottom w:val="single" w:sz="18" w:space="0" w:color="auto"/>
              <w:right w:val="nil"/>
            </w:tcBorders>
          </w:tcPr>
          <w:p w14:paraId="5021E2B5" w14:textId="77777777" w:rsidR="00167732" w:rsidRPr="00DA193B" w:rsidRDefault="00167732" w:rsidP="00DA193B">
            <w:pPr>
              <w:spacing w:after="0" w:line="480" w:lineRule="auto"/>
              <w:rPr>
                <w:rFonts w:ascii="Arial" w:eastAsia="Times New Roman" w:hAnsi="Arial" w:cs="Arial"/>
                <w:color w:val="000000"/>
                <w:sz w:val="20"/>
                <w:szCs w:val="20"/>
                <w:lang w:eastAsia="fr-FR"/>
              </w:rPr>
            </w:pPr>
            <w:r w:rsidRPr="00DA193B">
              <w:rPr>
                <w:rFonts w:ascii="Arial" w:eastAsia="Times New Roman" w:hAnsi="Arial" w:cs="Arial"/>
                <w:color w:val="000000"/>
                <w:sz w:val="20"/>
                <w:szCs w:val="20"/>
                <w:lang w:eastAsia="fr-FR"/>
              </w:rPr>
              <w:t xml:space="preserve">     </w:t>
            </w:r>
            <w:proofErr w:type="spellStart"/>
            <w:r w:rsidRPr="00DA193B">
              <w:rPr>
                <w:rFonts w:ascii="Arial" w:eastAsia="Times New Roman" w:hAnsi="Arial" w:cs="Arial"/>
                <w:b/>
                <w:color w:val="000000"/>
                <w:sz w:val="20"/>
                <w:szCs w:val="20"/>
                <w:lang w:eastAsia="fr-FR"/>
              </w:rPr>
              <w:t>Mortality</w:t>
            </w:r>
            <w:proofErr w:type="spellEnd"/>
            <w:r w:rsidRPr="00DA193B">
              <w:rPr>
                <w:rFonts w:ascii="Arial" w:eastAsia="Times New Roman" w:hAnsi="Arial" w:cs="Arial"/>
                <w:color w:val="000000"/>
                <w:sz w:val="20"/>
                <w:szCs w:val="20"/>
                <w:lang w:eastAsia="fr-FR"/>
              </w:rPr>
              <w:t xml:space="preserve"> (</w:t>
            </w:r>
            <w:r w:rsidRPr="00DA193B">
              <w:rPr>
                <w:rFonts w:ascii="Arial" w:hAnsi="Arial" w:cs="Arial"/>
                <w:color w:val="000000"/>
                <w:sz w:val="20"/>
                <w:szCs w:val="20"/>
              </w:rPr>
              <w:t>R² = 100%</w:t>
            </w:r>
            <w:r w:rsidR="00DA193B">
              <w:rPr>
                <w:rFonts w:ascii="Arial" w:hAnsi="Arial" w:cs="Arial"/>
                <w:color w:val="000000"/>
                <w:sz w:val="20"/>
                <w:szCs w:val="20"/>
              </w:rPr>
              <w:t>)</w:t>
            </w:r>
          </w:p>
        </w:tc>
      </w:tr>
      <w:tr w:rsidR="00457EE4" w:rsidRPr="00DA193B" w14:paraId="13767F09" w14:textId="77777777" w:rsidTr="008C4D2B">
        <w:trPr>
          <w:trHeight w:val="197"/>
          <w:jc w:val="center"/>
        </w:trPr>
        <w:tc>
          <w:tcPr>
            <w:tcW w:w="1762" w:type="dxa"/>
            <w:tcBorders>
              <w:top w:val="single" w:sz="18" w:space="0" w:color="auto"/>
              <w:left w:val="nil"/>
              <w:bottom w:val="single" w:sz="18" w:space="0" w:color="auto"/>
              <w:right w:val="nil"/>
            </w:tcBorders>
            <w:hideMark/>
          </w:tcPr>
          <w:p w14:paraId="75F38A4A" w14:textId="77777777" w:rsidR="00457EE4" w:rsidRPr="00DA193B" w:rsidRDefault="005D7205" w:rsidP="00DA193B">
            <w:pPr>
              <w:spacing w:after="0" w:line="480" w:lineRule="auto"/>
              <w:rPr>
                <w:rFonts w:ascii="Arial" w:eastAsia="Times New Roman" w:hAnsi="Arial" w:cs="Arial"/>
                <w:color w:val="000000"/>
                <w:sz w:val="20"/>
                <w:szCs w:val="20"/>
                <w:lang w:eastAsia="fr-FR"/>
              </w:rPr>
            </w:pPr>
            <w:r w:rsidRPr="00DA193B">
              <w:rPr>
                <w:rFonts w:ascii="Arial" w:eastAsia="Times New Roman" w:hAnsi="Arial" w:cs="Arial"/>
                <w:color w:val="000000"/>
                <w:sz w:val="20"/>
                <w:szCs w:val="20"/>
                <w:lang w:eastAsia="fr-FR"/>
              </w:rPr>
              <w:t>Variable</w:t>
            </w:r>
          </w:p>
        </w:tc>
        <w:tc>
          <w:tcPr>
            <w:tcW w:w="1088" w:type="dxa"/>
            <w:tcBorders>
              <w:top w:val="single" w:sz="18" w:space="0" w:color="auto"/>
              <w:left w:val="nil"/>
              <w:bottom w:val="single" w:sz="18" w:space="0" w:color="auto"/>
              <w:right w:val="nil"/>
            </w:tcBorders>
          </w:tcPr>
          <w:p w14:paraId="1B0D3AF6" w14:textId="77777777" w:rsidR="00457EE4" w:rsidRPr="00DA193B" w:rsidRDefault="004A12A2" w:rsidP="00DA193B">
            <w:pPr>
              <w:spacing w:after="0" w:line="480" w:lineRule="auto"/>
              <w:jc w:val="center"/>
              <w:rPr>
                <w:rFonts w:ascii="Arial" w:eastAsia="Times New Roman" w:hAnsi="Arial" w:cs="Arial"/>
                <w:color w:val="000000"/>
                <w:sz w:val="20"/>
                <w:szCs w:val="20"/>
                <w:lang w:eastAsia="fr-FR"/>
              </w:rPr>
            </w:pPr>
            <w:proofErr w:type="spellStart"/>
            <w:r>
              <w:rPr>
                <w:rFonts w:ascii="Arial" w:eastAsia="Times New Roman" w:hAnsi="Arial" w:cs="Arial"/>
                <w:color w:val="000000"/>
                <w:sz w:val="20"/>
                <w:szCs w:val="20"/>
                <w:lang w:eastAsia="fr-FR"/>
              </w:rPr>
              <w:t>d</w:t>
            </w:r>
            <w:r>
              <w:rPr>
                <w:rFonts w:eastAsia="Times New Roman"/>
                <w:color w:val="000000"/>
                <w:sz w:val="20"/>
                <w:szCs w:val="20"/>
                <w:lang w:eastAsia="fr-FR"/>
              </w:rPr>
              <w:t>f</w:t>
            </w:r>
            <w:proofErr w:type="spellEnd"/>
          </w:p>
        </w:tc>
        <w:tc>
          <w:tcPr>
            <w:tcW w:w="1494" w:type="dxa"/>
            <w:tcBorders>
              <w:top w:val="single" w:sz="18" w:space="0" w:color="auto"/>
              <w:left w:val="nil"/>
              <w:bottom w:val="single" w:sz="18" w:space="0" w:color="auto"/>
              <w:right w:val="nil"/>
            </w:tcBorders>
          </w:tcPr>
          <w:p w14:paraId="659BAF6E" w14:textId="77777777" w:rsidR="00457EE4" w:rsidRPr="00DA193B" w:rsidRDefault="00457EE4" w:rsidP="00DA193B">
            <w:pPr>
              <w:spacing w:after="0" w:line="480" w:lineRule="auto"/>
              <w:jc w:val="center"/>
              <w:rPr>
                <w:rFonts w:ascii="Arial" w:hAnsi="Arial" w:cs="Arial"/>
                <w:color w:val="000000"/>
                <w:sz w:val="20"/>
                <w:szCs w:val="20"/>
              </w:rPr>
            </w:pPr>
            <w:r w:rsidRPr="00DA193B">
              <w:rPr>
                <w:rFonts w:ascii="Arial" w:hAnsi="Arial" w:cs="Arial"/>
                <w:color w:val="000000"/>
                <w:sz w:val="20"/>
                <w:szCs w:val="20"/>
              </w:rPr>
              <w:t>F</w:t>
            </w:r>
          </w:p>
        </w:tc>
        <w:tc>
          <w:tcPr>
            <w:tcW w:w="1747" w:type="dxa"/>
            <w:tcBorders>
              <w:top w:val="single" w:sz="18" w:space="0" w:color="auto"/>
              <w:left w:val="nil"/>
              <w:bottom w:val="single" w:sz="18" w:space="0" w:color="auto"/>
              <w:right w:val="nil"/>
            </w:tcBorders>
          </w:tcPr>
          <w:p w14:paraId="20A5F46B" w14:textId="77777777" w:rsidR="00457EE4" w:rsidRPr="00DA193B" w:rsidRDefault="00457EE4" w:rsidP="00DA193B">
            <w:pPr>
              <w:spacing w:after="0" w:line="480" w:lineRule="auto"/>
              <w:jc w:val="center"/>
              <w:rPr>
                <w:rFonts w:ascii="Arial" w:hAnsi="Arial" w:cs="Arial"/>
                <w:i/>
                <w:color w:val="000000"/>
                <w:sz w:val="20"/>
                <w:szCs w:val="20"/>
              </w:rPr>
            </w:pPr>
            <w:r w:rsidRPr="00DA193B">
              <w:rPr>
                <w:rFonts w:ascii="Arial" w:hAnsi="Arial" w:cs="Arial"/>
                <w:i/>
                <w:color w:val="000000"/>
                <w:sz w:val="20"/>
                <w:szCs w:val="20"/>
              </w:rPr>
              <w:t>P</w:t>
            </w:r>
          </w:p>
        </w:tc>
        <w:tc>
          <w:tcPr>
            <w:tcW w:w="1373" w:type="dxa"/>
            <w:tcBorders>
              <w:top w:val="single" w:sz="18" w:space="0" w:color="auto"/>
              <w:left w:val="nil"/>
              <w:bottom w:val="single" w:sz="18" w:space="0" w:color="auto"/>
              <w:right w:val="nil"/>
            </w:tcBorders>
            <w:hideMark/>
          </w:tcPr>
          <w:p w14:paraId="199E5E1A" w14:textId="77777777" w:rsidR="00457EE4" w:rsidRPr="00DA193B" w:rsidRDefault="00457EE4" w:rsidP="00DA193B">
            <w:pPr>
              <w:spacing w:after="0" w:line="480" w:lineRule="auto"/>
              <w:jc w:val="center"/>
              <w:rPr>
                <w:rFonts w:ascii="Arial" w:eastAsia="Times New Roman" w:hAnsi="Arial" w:cs="Arial"/>
                <w:color w:val="000000"/>
                <w:sz w:val="20"/>
                <w:szCs w:val="20"/>
                <w:lang w:eastAsia="fr-FR"/>
              </w:rPr>
            </w:pPr>
            <w:r w:rsidRPr="00DA193B">
              <w:rPr>
                <w:rFonts w:ascii="Arial" w:eastAsia="Times New Roman" w:hAnsi="Arial" w:cs="Arial"/>
                <w:color w:val="000000"/>
                <w:sz w:val="20"/>
                <w:szCs w:val="20"/>
                <w:lang w:eastAsia="fr-FR"/>
              </w:rPr>
              <w:t>F</w:t>
            </w:r>
          </w:p>
        </w:tc>
        <w:tc>
          <w:tcPr>
            <w:tcW w:w="1708" w:type="dxa"/>
            <w:tcBorders>
              <w:top w:val="single" w:sz="18" w:space="0" w:color="auto"/>
              <w:left w:val="nil"/>
              <w:bottom w:val="single" w:sz="18" w:space="0" w:color="auto"/>
              <w:right w:val="nil"/>
            </w:tcBorders>
            <w:hideMark/>
          </w:tcPr>
          <w:p w14:paraId="6B8CCBE2" w14:textId="77777777" w:rsidR="00457EE4" w:rsidRPr="00DA193B" w:rsidRDefault="00457EE4" w:rsidP="00DA193B">
            <w:pPr>
              <w:spacing w:after="0" w:line="480" w:lineRule="auto"/>
              <w:jc w:val="center"/>
              <w:rPr>
                <w:rFonts w:ascii="Arial" w:eastAsia="Times New Roman" w:hAnsi="Arial" w:cs="Arial"/>
                <w:i/>
                <w:color w:val="000000"/>
                <w:sz w:val="20"/>
                <w:szCs w:val="20"/>
                <w:lang w:eastAsia="fr-FR"/>
              </w:rPr>
            </w:pPr>
            <w:r w:rsidRPr="00DA193B">
              <w:rPr>
                <w:rFonts w:ascii="Arial" w:eastAsia="Times New Roman" w:hAnsi="Arial" w:cs="Arial"/>
                <w:i/>
                <w:color w:val="000000"/>
                <w:sz w:val="20"/>
                <w:szCs w:val="20"/>
                <w:lang w:eastAsia="fr-FR"/>
              </w:rPr>
              <w:t>P</w:t>
            </w:r>
          </w:p>
        </w:tc>
      </w:tr>
      <w:tr w:rsidR="008B33E2" w:rsidRPr="00DA193B" w14:paraId="3890E1F9" w14:textId="77777777" w:rsidTr="008C4D2B">
        <w:trPr>
          <w:trHeight w:val="280"/>
          <w:jc w:val="center"/>
        </w:trPr>
        <w:tc>
          <w:tcPr>
            <w:tcW w:w="1762" w:type="dxa"/>
            <w:tcBorders>
              <w:top w:val="single" w:sz="18" w:space="0" w:color="auto"/>
              <w:left w:val="nil"/>
              <w:bottom w:val="nil"/>
              <w:right w:val="nil"/>
            </w:tcBorders>
            <w:noWrap/>
            <w:hideMark/>
          </w:tcPr>
          <w:p w14:paraId="43F43F55" w14:textId="77777777" w:rsidR="008B33E2" w:rsidRPr="00DA193B" w:rsidRDefault="008B33E2" w:rsidP="00DA193B">
            <w:pPr>
              <w:spacing w:after="0" w:line="480" w:lineRule="auto"/>
              <w:rPr>
                <w:rFonts w:ascii="Arial" w:eastAsia="Times New Roman" w:hAnsi="Arial" w:cs="Arial"/>
                <w:color w:val="000000"/>
                <w:sz w:val="20"/>
                <w:szCs w:val="20"/>
                <w:lang w:eastAsia="fr-FR"/>
              </w:rPr>
            </w:pPr>
            <w:r w:rsidRPr="00DA193B">
              <w:rPr>
                <w:rFonts w:ascii="Arial" w:eastAsia="Times New Roman" w:hAnsi="Arial" w:cs="Arial"/>
                <w:color w:val="000000"/>
                <w:sz w:val="20"/>
                <w:szCs w:val="20"/>
                <w:lang w:eastAsia="fr-FR"/>
              </w:rPr>
              <w:t>Modality</w:t>
            </w:r>
          </w:p>
        </w:tc>
        <w:tc>
          <w:tcPr>
            <w:tcW w:w="1088" w:type="dxa"/>
            <w:tcBorders>
              <w:top w:val="single" w:sz="18" w:space="0" w:color="auto"/>
              <w:left w:val="nil"/>
              <w:bottom w:val="nil"/>
              <w:right w:val="nil"/>
            </w:tcBorders>
          </w:tcPr>
          <w:p w14:paraId="0C2E692A" w14:textId="77777777" w:rsidR="008B33E2" w:rsidRPr="00DA193B" w:rsidRDefault="00144D40" w:rsidP="00DA193B">
            <w:pPr>
              <w:spacing w:after="0" w:line="480" w:lineRule="auto"/>
              <w:jc w:val="center"/>
              <w:rPr>
                <w:rFonts w:ascii="Arial" w:hAnsi="Arial" w:cs="Arial"/>
                <w:color w:val="000000"/>
                <w:sz w:val="20"/>
                <w:szCs w:val="20"/>
              </w:rPr>
            </w:pPr>
            <w:r w:rsidRPr="00DA193B">
              <w:rPr>
                <w:rFonts w:ascii="Arial" w:hAnsi="Arial" w:cs="Arial"/>
                <w:color w:val="000000"/>
                <w:sz w:val="20"/>
                <w:szCs w:val="20"/>
              </w:rPr>
              <w:t>5</w:t>
            </w:r>
          </w:p>
        </w:tc>
        <w:tc>
          <w:tcPr>
            <w:tcW w:w="1494" w:type="dxa"/>
            <w:tcBorders>
              <w:top w:val="single" w:sz="18" w:space="0" w:color="auto"/>
              <w:left w:val="nil"/>
              <w:bottom w:val="nil"/>
              <w:right w:val="nil"/>
            </w:tcBorders>
          </w:tcPr>
          <w:p w14:paraId="6B851618" w14:textId="77777777" w:rsidR="008B33E2" w:rsidRPr="00DA193B" w:rsidRDefault="008B33E2" w:rsidP="00DA193B">
            <w:pPr>
              <w:spacing w:after="0" w:line="480" w:lineRule="auto"/>
              <w:jc w:val="center"/>
              <w:rPr>
                <w:rFonts w:ascii="Arial" w:hAnsi="Arial" w:cs="Arial"/>
                <w:color w:val="000000"/>
                <w:sz w:val="20"/>
                <w:szCs w:val="20"/>
              </w:rPr>
            </w:pPr>
            <w:r w:rsidRPr="00DA193B">
              <w:rPr>
                <w:rFonts w:ascii="Arial" w:hAnsi="Arial" w:cs="Arial"/>
                <w:color w:val="000000"/>
                <w:sz w:val="20"/>
                <w:szCs w:val="20"/>
              </w:rPr>
              <w:t>269,503</w:t>
            </w:r>
          </w:p>
        </w:tc>
        <w:tc>
          <w:tcPr>
            <w:tcW w:w="1747" w:type="dxa"/>
            <w:tcBorders>
              <w:top w:val="single" w:sz="18" w:space="0" w:color="auto"/>
              <w:left w:val="nil"/>
              <w:bottom w:val="nil"/>
              <w:right w:val="nil"/>
            </w:tcBorders>
          </w:tcPr>
          <w:p w14:paraId="6BAD8C81" w14:textId="77777777" w:rsidR="008B33E2" w:rsidRPr="00DA193B" w:rsidRDefault="008B33E2" w:rsidP="00DA193B">
            <w:pPr>
              <w:spacing w:after="0" w:line="480" w:lineRule="auto"/>
              <w:jc w:val="center"/>
              <w:rPr>
                <w:rFonts w:ascii="Arial" w:hAnsi="Arial" w:cs="Arial"/>
                <w:b/>
                <w:bCs/>
                <w:color w:val="000000"/>
                <w:sz w:val="20"/>
                <w:szCs w:val="20"/>
              </w:rPr>
            </w:pPr>
            <w:r w:rsidRPr="00DA193B">
              <w:rPr>
                <w:rFonts w:ascii="Arial" w:hAnsi="Arial" w:cs="Arial"/>
                <w:b/>
                <w:bCs/>
                <w:color w:val="000000"/>
                <w:sz w:val="20"/>
                <w:szCs w:val="20"/>
              </w:rPr>
              <w:t>&lt;</w:t>
            </w:r>
            <w:r w:rsidR="007815D1" w:rsidRPr="00DA193B">
              <w:rPr>
                <w:rFonts w:ascii="Arial" w:hAnsi="Arial" w:cs="Arial"/>
                <w:b/>
                <w:bCs/>
                <w:color w:val="000000"/>
                <w:sz w:val="20"/>
                <w:szCs w:val="20"/>
              </w:rPr>
              <w:t>0.001</w:t>
            </w:r>
          </w:p>
        </w:tc>
        <w:tc>
          <w:tcPr>
            <w:tcW w:w="1373" w:type="dxa"/>
            <w:tcBorders>
              <w:top w:val="single" w:sz="18" w:space="0" w:color="auto"/>
              <w:left w:val="nil"/>
              <w:bottom w:val="nil"/>
              <w:right w:val="nil"/>
            </w:tcBorders>
            <w:noWrap/>
            <w:hideMark/>
          </w:tcPr>
          <w:p w14:paraId="7BF41F61" w14:textId="77777777" w:rsidR="008B33E2" w:rsidRPr="00DA193B" w:rsidRDefault="008B33E2" w:rsidP="00DA193B">
            <w:pPr>
              <w:spacing w:after="0" w:line="480" w:lineRule="auto"/>
              <w:jc w:val="center"/>
              <w:rPr>
                <w:rFonts w:ascii="Arial" w:hAnsi="Arial" w:cs="Arial"/>
                <w:color w:val="000000"/>
                <w:sz w:val="20"/>
                <w:szCs w:val="20"/>
              </w:rPr>
            </w:pPr>
            <w:r w:rsidRPr="00DA193B">
              <w:rPr>
                <w:rFonts w:ascii="Arial" w:hAnsi="Arial" w:cs="Arial"/>
                <w:color w:val="000000"/>
                <w:sz w:val="20"/>
                <w:szCs w:val="20"/>
              </w:rPr>
              <w:t>197,767</w:t>
            </w:r>
          </w:p>
        </w:tc>
        <w:tc>
          <w:tcPr>
            <w:tcW w:w="1708" w:type="dxa"/>
            <w:tcBorders>
              <w:top w:val="single" w:sz="18" w:space="0" w:color="auto"/>
              <w:left w:val="nil"/>
              <w:bottom w:val="nil"/>
              <w:right w:val="nil"/>
            </w:tcBorders>
            <w:noWrap/>
            <w:hideMark/>
          </w:tcPr>
          <w:p w14:paraId="5F64C971" w14:textId="77777777" w:rsidR="008B33E2" w:rsidRPr="00DA193B" w:rsidRDefault="008B33E2" w:rsidP="00DA193B">
            <w:pPr>
              <w:spacing w:after="0" w:line="480" w:lineRule="auto"/>
              <w:jc w:val="center"/>
              <w:rPr>
                <w:rFonts w:ascii="Arial" w:hAnsi="Arial" w:cs="Arial"/>
                <w:b/>
                <w:bCs/>
                <w:color w:val="000000"/>
                <w:sz w:val="20"/>
                <w:szCs w:val="20"/>
              </w:rPr>
            </w:pPr>
            <w:r w:rsidRPr="00DA193B">
              <w:rPr>
                <w:rFonts w:ascii="Arial" w:hAnsi="Arial" w:cs="Arial"/>
                <w:b/>
                <w:bCs/>
                <w:color w:val="000000"/>
                <w:sz w:val="20"/>
                <w:szCs w:val="20"/>
              </w:rPr>
              <w:t>&lt;</w:t>
            </w:r>
            <w:r w:rsidR="007815D1" w:rsidRPr="00DA193B">
              <w:rPr>
                <w:rFonts w:ascii="Arial" w:hAnsi="Arial" w:cs="Arial"/>
                <w:b/>
                <w:bCs/>
                <w:color w:val="000000"/>
                <w:sz w:val="20"/>
                <w:szCs w:val="20"/>
              </w:rPr>
              <w:t>0.001</w:t>
            </w:r>
          </w:p>
        </w:tc>
      </w:tr>
      <w:tr w:rsidR="008B33E2" w:rsidRPr="00DA193B" w14:paraId="37C37480" w14:textId="77777777" w:rsidTr="008C4D2B">
        <w:trPr>
          <w:trHeight w:val="280"/>
          <w:jc w:val="center"/>
        </w:trPr>
        <w:tc>
          <w:tcPr>
            <w:tcW w:w="1762" w:type="dxa"/>
            <w:tcBorders>
              <w:top w:val="nil"/>
              <w:left w:val="nil"/>
              <w:bottom w:val="single" w:sz="18" w:space="0" w:color="auto"/>
              <w:right w:val="nil"/>
            </w:tcBorders>
            <w:noWrap/>
            <w:hideMark/>
          </w:tcPr>
          <w:p w14:paraId="2939D2D8" w14:textId="77777777" w:rsidR="008B33E2" w:rsidRPr="00DA193B" w:rsidRDefault="00216847" w:rsidP="00DA193B">
            <w:pPr>
              <w:spacing w:after="0" w:line="480" w:lineRule="auto"/>
              <w:rPr>
                <w:rFonts w:ascii="Arial" w:eastAsia="Times New Roman" w:hAnsi="Arial" w:cs="Arial"/>
                <w:color w:val="000000"/>
                <w:sz w:val="20"/>
                <w:szCs w:val="20"/>
                <w:lang w:eastAsia="fr-FR"/>
              </w:rPr>
            </w:pPr>
            <w:r w:rsidRPr="00DA193B">
              <w:rPr>
                <w:rFonts w:ascii="Arial" w:eastAsia="Times New Roman" w:hAnsi="Arial" w:cs="Arial"/>
                <w:color w:val="000000"/>
                <w:sz w:val="20"/>
                <w:szCs w:val="20"/>
                <w:lang w:eastAsia="fr-FR"/>
              </w:rPr>
              <w:t>Time (</w:t>
            </w:r>
            <w:proofErr w:type="spellStart"/>
            <w:r w:rsidRPr="00DA193B">
              <w:rPr>
                <w:rFonts w:ascii="Arial" w:eastAsia="Times New Roman" w:hAnsi="Arial" w:cs="Arial"/>
                <w:color w:val="000000"/>
                <w:sz w:val="20"/>
                <w:szCs w:val="20"/>
                <w:lang w:eastAsia="fr-FR"/>
              </w:rPr>
              <w:t>hour</w:t>
            </w:r>
            <w:proofErr w:type="spellEnd"/>
            <w:r w:rsidRPr="00DA193B">
              <w:rPr>
                <w:rFonts w:ascii="Arial" w:eastAsia="Times New Roman" w:hAnsi="Arial" w:cs="Arial"/>
                <w:color w:val="000000"/>
                <w:sz w:val="20"/>
                <w:szCs w:val="20"/>
                <w:lang w:eastAsia="fr-FR"/>
              </w:rPr>
              <w:t>)</w:t>
            </w:r>
          </w:p>
        </w:tc>
        <w:tc>
          <w:tcPr>
            <w:tcW w:w="1088" w:type="dxa"/>
            <w:tcBorders>
              <w:top w:val="nil"/>
              <w:left w:val="nil"/>
              <w:bottom w:val="single" w:sz="18" w:space="0" w:color="auto"/>
              <w:right w:val="nil"/>
            </w:tcBorders>
          </w:tcPr>
          <w:p w14:paraId="2A5A6397" w14:textId="77777777" w:rsidR="008B33E2" w:rsidRPr="00DA193B" w:rsidRDefault="00564439" w:rsidP="00DA193B">
            <w:pPr>
              <w:spacing w:after="0" w:line="480" w:lineRule="auto"/>
              <w:jc w:val="center"/>
              <w:rPr>
                <w:rFonts w:ascii="Arial" w:hAnsi="Arial" w:cs="Arial"/>
                <w:color w:val="000000"/>
                <w:sz w:val="20"/>
                <w:szCs w:val="20"/>
              </w:rPr>
            </w:pPr>
            <w:r w:rsidRPr="00DA193B">
              <w:rPr>
                <w:rFonts w:ascii="Arial" w:hAnsi="Arial" w:cs="Arial"/>
                <w:color w:val="000000"/>
                <w:sz w:val="20"/>
                <w:szCs w:val="20"/>
              </w:rPr>
              <w:t>2</w:t>
            </w:r>
          </w:p>
        </w:tc>
        <w:tc>
          <w:tcPr>
            <w:tcW w:w="1494" w:type="dxa"/>
            <w:tcBorders>
              <w:top w:val="nil"/>
              <w:left w:val="nil"/>
              <w:bottom w:val="single" w:sz="18" w:space="0" w:color="auto"/>
              <w:right w:val="nil"/>
            </w:tcBorders>
          </w:tcPr>
          <w:p w14:paraId="68AB5764" w14:textId="77777777" w:rsidR="008B33E2" w:rsidRPr="00DA193B" w:rsidRDefault="008B33E2" w:rsidP="00DA193B">
            <w:pPr>
              <w:spacing w:after="0" w:line="480" w:lineRule="auto"/>
              <w:jc w:val="center"/>
              <w:rPr>
                <w:rFonts w:ascii="Arial" w:hAnsi="Arial" w:cs="Arial"/>
                <w:color w:val="000000"/>
                <w:sz w:val="20"/>
                <w:szCs w:val="20"/>
              </w:rPr>
            </w:pPr>
            <w:r w:rsidRPr="00DA193B">
              <w:rPr>
                <w:rFonts w:ascii="Arial" w:hAnsi="Arial" w:cs="Arial"/>
                <w:color w:val="000000"/>
                <w:sz w:val="20"/>
                <w:szCs w:val="20"/>
              </w:rPr>
              <w:t>405,387</w:t>
            </w:r>
          </w:p>
        </w:tc>
        <w:tc>
          <w:tcPr>
            <w:tcW w:w="1747" w:type="dxa"/>
            <w:tcBorders>
              <w:top w:val="nil"/>
              <w:left w:val="nil"/>
              <w:bottom w:val="single" w:sz="18" w:space="0" w:color="auto"/>
              <w:right w:val="nil"/>
            </w:tcBorders>
          </w:tcPr>
          <w:p w14:paraId="104498BC" w14:textId="77777777" w:rsidR="008B33E2" w:rsidRPr="00DA193B" w:rsidRDefault="008B33E2" w:rsidP="00DA193B">
            <w:pPr>
              <w:spacing w:after="0" w:line="480" w:lineRule="auto"/>
              <w:jc w:val="center"/>
              <w:rPr>
                <w:rFonts w:ascii="Arial" w:hAnsi="Arial" w:cs="Arial"/>
                <w:b/>
                <w:bCs/>
                <w:color w:val="000000"/>
                <w:sz w:val="20"/>
                <w:szCs w:val="20"/>
              </w:rPr>
            </w:pPr>
            <w:r w:rsidRPr="00DA193B">
              <w:rPr>
                <w:rFonts w:ascii="Arial" w:hAnsi="Arial" w:cs="Arial"/>
                <w:b/>
                <w:bCs/>
                <w:color w:val="000000"/>
                <w:sz w:val="20"/>
                <w:szCs w:val="20"/>
              </w:rPr>
              <w:t>&lt;</w:t>
            </w:r>
            <w:r w:rsidR="007815D1" w:rsidRPr="00DA193B">
              <w:rPr>
                <w:rFonts w:ascii="Arial" w:hAnsi="Arial" w:cs="Arial"/>
                <w:b/>
                <w:bCs/>
                <w:color w:val="000000"/>
                <w:sz w:val="20"/>
                <w:szCs w:val="20"/>
              </w:rPr>
              <w:t>0.001</w:t>
            </w:r>
          </w:p>
        </w:tc>
        <w:tc>
          <w:tcPr>
            <w:tcW w:w="1373" w:type="dxa"/>
            <w:tcBorders>
              <w:top w:val="nil"/>
              <w:left w:val="nil"/>
              <w:bottom w:val="single" w:sz="18" w:space="0" w:color="auto"/>
              <w:right w:val="nil"/>
            </w:tcBorders>
            <w:noWrap/>
            <w:hideMark/>
          </w:tcPr>
          <w:p w14:paraId="32A40C03" w14:textId="77777777" w:rsidR="008B33E2" w:rsidRPr="00DA193B" w:rsidRDefault="008B33E2" w:rsidP="00DA193B">
            <w:pPr>
              <w:spacing w:after="0" w:line="480" w:lineRule="auto"/>
              <w:jc w:val="center"/>
              <w:rPr>
                <w:rFonts w:ascii="Arial" w:hAnsi="Arial" w:cs="Arial"/>
                <w:color w:val="000000"/>
                <w:sz w:val="20"/>
                <w:szCs w:val="20"/>
              </w:rPr>
            </w:pPr>
            <w:r w:rsidRPr="00DA193B">
              <w:rPr>
                <w:rFonts w:ascii="Arial" w:hAnsi="Arial" w:cs="Arial"/>
                <w:color w:val="000000"/>
                <w:sz w:val="20"/>
                <w:szCs w:val="20"/>
              </w:rPr>
              <w:t>4241 922</w:t>
            </w:r>
          </w:p>
        </w:tc>
        <w:tc>
          <w:tcPr>
            <w:tcW w:w="1708" w:type="dxa"/>
            <w:tcBorders>
              <w:top w:val="nil"/>
              <w:left w:val="nil"/>
              <w:bottom w:val="single" w:sz="18" w:space="0" w:color="auto"/>
              <w:right w:val="nil"/>
            </w:tcBorders>
            <w:noWrap/>
            <w:hideMark/>
          </w:tcPr>
          <w:p w14:paraId="5A6D8CE8" w14:textId="77777777" w:rsidR="008B33E2" w:rsidRPr="00DA193B" w:rsidRDefault="008B33E2" w:rsidP="00DA193B">
            <w:pPr>
              <w:spacing w:after="0" w:line="480" w:lineRule="auto"/>
              <w:jc w:val="center"/>
              <w:rPr>
                <w:rFonts w:ascii="Arial" w:hAnsi="Arial" w:cs="Arial"/>
                <w:b/>
                <w:bCs/>
                <w:color w:val="000000"/>
                <w:sz w:val="20"/>
                <w:szCs w:val="20"/>
              </w:rPr>
            </w:pPr>
            <w:r w:rsidRPr="00DA193B">
              <w:rPr>
                <w:rFonts w:ascii="Arial" w:hAnsi="Arial" w:cs="Arial"/>
                <w:b/>
                <w:bCs/>
                <w:color w:val="000000"/>
                <w:sz w:val="20"/>
                <w:szCs w:val="20"/>
              </w:rPr>
              <w:t>&lt;</w:t>
            </w:r>
            <w:r w:rsidR="007815D1" w:rsidRPr="00DA193B">
              <w:rPr>
                <w:rFonts w:ascii="Arial" w:hAnsi="Arial" w:cs="Arial"/>
                <w:b/>
                <w:bCs/>
                <w:color w:val="000000"/>
                <w:sz w:val="20"/>
                <w:szCs w:val="20"/>
              </w:rPr>
              <w:t>0.001</w:t>
            </w:r>
          </w:p>
        </w:tc>
      </w:tr>
      <w:tr w:rsidR="00E45E2B" w:rsidRPr="00DA193B" w14:paraId="351F2DB9" w14:textId="77777777" w:rsidTr="008C4D2B">
        <w:trPr>
          <w:trHeight w:val="280"/>
          <w:jc w:val="center"/>
        </w:trPr>
        <w:tc>
          <w:tcPr>
            <w:tcW w:w="1762" w:type="dxa"/>
            <w:tcBorders>
              <w:top w:val="single" w:sz="18" w:space="0" w:color="auto"/>
              <w:left w:val="nil"/>
              <w:bottom w:val="single" w:sz="18" w:space="0" w:color="auto"/>
              <w:right w:val="nil"/>
            </w:tcBorders>
            <w:noWrap/>
          </w:tcPr>
          <w:p w14:paraId="605932A2" w14:textId="77777777" w:rsidR="00E45E2B" w:rsidRPr="00DA193B" w:rsidRDefault="00AC5D8A" w:rsidP="00DA193B">
            <w:pPr>
              <w:spacing w:after="0" w:line="480" w:lineRule="auto"/>
              <w:rPr>
                <w:rFonts w:ascii="Arial" w:eastAsia="Times New Roman" w:hAnsi="Arial" w:cs="Arial"/>
                <w:b/>
                <w:color w:val="000000"/>
                <w:sz w:val="20"/>
                <w:szCs w:val="20"/>
                <w:lang w:eastAsia="fr-FR"/>
              </w:rPr>
            </w:pPr>
            <w:r w:rsidRPr="00DA193B">
              <w:rPr>
                <w:rFonts w:ascii="Arial" w:hAnsi="Arial" w:cs="Arial"/>
                <w:b/>
                <w:color w:val="000000" w:themeColor="text1"/>
                <w:sz w:val="20"/>
                <w:szCs w:val="20"/>
                <w:lang w:val="en-US"/>
              </w:rPr>
              <w:t>Grasshoppers</w:t>
            </w:r>
          </w:p>
        </w:tc>
        <w:tc>
          <w:tcPr>
            <w:tcW w:w="1088" w:type="dxa"/>
            <w:tcBorders>
              <w:top w:val="single" w:sz="18" w:space="0" w:color="auto"/>
              <w:left w:val="nil"/>
              <w:bottom w:val="single" w:sz="18" w:space="0" w:color="auto"/>
              <w:right w:val="nil"/>
            </w:tcBorders>
          </w:tcPr>
          <w:p w14:paraId="58F84C6A" w14:textId="77777777" w:rsidR="00E45E2B" w:rsidRPr="00DA193B" w:rsidRDefault="00E45E2B" w:rsidP="00DA193B">
            <w:pPr>
              <w:spacing w:after="0" w:line="480" w:lineRule="auto"/>
              <w:jc w:val="center"/>
              <w:rPr>
                <w:rFonts w:ascii="Arial" w:eastAsia="Times New Roman" w:hAnsi="Arial" w:cs="Arial"/>
                <w:color w:val="000000"/>
                <w:sz w:val="20"/>
                <w:szCs w:val="20"/>
                <w:lang w:eastAsia="fr-FR"/>
              </w:rPr>
            </w:pPr>
          </w:p>
        </w:tc>
        <w:tc>
          <w:tcPr>
            <w:tcW w:w="3241" w:type="dxa"/>
            <w:gridSpan w:val="2"/>
            <w:tcBorders>
              <w:top w:val="single" w:sz="18" w:space="0" w:color="auto"/>
              <w:left w:val="nil"/>
              <w:bottom w:val="single" w:sz="18" w:space="0" w:color="auto"/>
              <w:right w:val="nil"/>
            </w:tcBorders>
          </w:tcPr>
          <w:p w14:paraId="489856FF" w14:textId="77777777" w:rsidR="00E45E2B" w:rsidRPr="00DA193B" w:rsidRDefault="00221242" w:rsidP="00DA193B">
            <w:pPr>
              <w:spacing w:after="0" w:line="480" w:lineRule="auto"/>
              <w:jc w:val="center"/>
              <w:rPr>
                <w:rFonts w:ascii="Arial" w:hAnsi="Arial" w:cs="Arial"/>
                <w:i/>
                <w:color w:val="000000"/>
                <w:sz w:val="20"/>
                <w:szCs w:val="20"/>
              </w:rPr>
            </w:pPr>
            <w:proofErr w:type="spellStart"/>
            <w:r w:rsidRPr="00DA193B">
              <w:rPr>
                <w:rFonts w:ascii="Arial" w:hAnsi="Arial" w:cs="Arial"/>
                <w:b/>
                <w:color w:val="000000"/>
                <w:sz w:val="20"/>
                <w:szCs w:val="20"/>
              </w:rPr>
              <w:t>Repulsion</w:t>
            </w:r>
            <w:proofErr w:type="spellEnd"/>
            <w:r w:rsidRPr="00DA193B">
              <w:rPr>
                <w:rFonts w:ascii="Arial" w:hAnsi="Arial" w:cs="Arial"/>
                <w:color w:val="000000"/>
                <w:sz w:val="20"/>
                <w:szCs w:val="20"/>
              </w:rPr>
              <w:t xml:space="preserve"> (R² = 99%)</w:t>
            </w:r>
          </w:p>
        </w:tc>
        <w:tc>
          <w:tcPr>
            <w:tcW w:w="3081" w:type="dxa"/>
            <w:gridSpan w:val="2"/>
            <w:tcBorders>
              <w:top w:val="single" w:sz="18" w:space="0" w:color="auto"/>
              <w:left w:val="nil"/>
              <w:bottom w:val="single" w:sz="18" w:space="0" w:color="auto"/>
              <w:right w:val="nil"/>
            </w:tcBorders>
            <w:noWrap/>
          </w:tcPr>
          <w:p w14:paraId="174E6256" w14:textId="77777777" w:rsidR="00E45E2B" w:rsidRPr="00DA193B" w:rsidRDefault="00E45E2B" w:rsidP="00DA193B">
            <w:pPr>
              <w:spacing w:after="0" w:line="480" w:lineRule="auto"/>
              <w:jc w:val="center"/>
              <w:rPr>
                <w:rFonts w:ascii="Arial" w:eastAsia="Times New Roman" w:hAnsi="Arial" w:cs="Arial"/>
                <w:color w:val="000000"/>
                <w:sz w:val="20"/>
                <w:szCs w:val="20"/>
                <w:lang w:eastAsia="fr-FR"/>
              </w:rPr>
            </w:pPr>
            <w:proofErr w:type="spellStart"/>
            <w:r w:rsidRPr="00DA193B">
              <w:rPr>
                <w:rFonts w:ascii="Arial" w:eastAsia="Times New Roman" w:hAnsi="Arial" w:cs="Arial"/>
                <w:b/>
                <w:color w:val="000000"/>
                <w:sz w:val="20"/>
                <w:szCs w:val="20"/>
                <w:lang w:eastAsia="fr-FR"/>
              </w:rPr>
              <w:t>Mortality</w:t>
            </w:r>
            <w:proofErr w:type="spellEnd"/>
            <w:r w:rsidRPr="00DA193B">
              <w:rPr>
                <w:rFonts w:ascii="Arial" w:eastAsia="Times New Roman" w:hAnsi="Arial" w:cs="Arial"/>
                <w:color w:val="000000"/>
                <w:sz w:val="20"/>
                <w:szCs w:val="20"/>
                <w:lang w:eastAsia="fr-FR"/>
              </w:rPr>
              <w:t xml:space="preserve"> (</w:t>
            </w:r>
            <w:r w:rsidRPr="00DA193B">
              <w:rPr>
                <w:rFonts w:ascii="Arial" w:hAnsi="Arial" w:cs="Arial"/>
                <w:color w:val="000000"/>
                <w:sz w:val="20"/>
                <w:szCs w:val="20"/>
              </w:rPr>
              <w:t>R² = 100%</w:t>
            </w:r>
            <w:r w:rsidR="00DA193B">
              <w:rPr>
                <w:rFonts w:ascii="Arial" w:hAnsi="Arial" w:cs="Arial"/>
                <w:color w:val="000000"/>
                <w:sz w:val="20"/>
                <w:szCs w:val="20"/>
              </w:rPr>
              <w:t>)</w:t>
            </w:r>
          </w:p>
        </w:tc>
      </w:tr>
      <w:tr w:rsidR="00457EE4" w:rsidRPr="00DA193B" w14:paraId="70CE2BD5" w14:textId="77777777" w:rsidTr="008C4D2B">
        <w:trPr>
          <w:trHeight w:val="280"/>
          <w:jc w:val="center"/>
        </w:trPr>
        <w:tc>
          <w:tcPr>
            <w:tcW w:w="1762" w:type="dxa"/>
            <w:tcBorders>
              <w:top w:val="single" w:sz="18" w:space="0" w:color="auto"/>
              <w:left w:val="nil"/>
              <w:bottom w:val="nil"/>
              <w:right w:val="nil"/>
            </w:tcBorders>
            <w:noWrap/>
            <w:hideMark/>
          </w:tcPr>
          <w:p w14:paraId="0829D9B1" w14:textId="77777777" w:rsidR="00457EE4" w:rsidRPr="00DA193B" w:rsidRDefault="00457EE4" w:rsidP="00DA193B">
            <w:pPr>
              <w:spacing w:after="0" w:line="480" w:lineRule="auto"/>
              <w:rPr>
                <w:rFonts w:ascii="Arial" w:eastAsia="Times New Roman" w:hAnsi="Arial" w:cs="Arial"/>
                <w:color w:val="000000"/>
                <w:sz w:val="20"/>
                <w:szCs w:val="20"/>
                <w:lang w:eastAsia="fr-FR"/>
              </w:rPr>
            </w:pPr>
            <w:r w:rsidRPr="00DA193B">
              <w:rPr>
                <w:rFonts w:ascii="Arial" w:eastAsia="Times New Roman" w:hAnsi="Arial" w:cs="Arial"/>
                <w:color w:val="000000"/>
                <w:sz w:val="20"/>
                <w:szCs w:val="20"/>
                <w:lang w:eastAsia="fr-FR"/>
              </w:rPr>
              <w:t>Modality</w:t>
            </w:r>
          </w:p>
        </w:tc>
        <w:tc>
          <w:tcPr>
            <w:tcW w:w="1088" w:type="dxa"/>
            <w:tcBorders>
              <w:top w:val="single" w:sz="18" w:space="0" w:color="auto"/>
              <w:left w:val="nil"/>
              <w:bottom w:val="nil"/>
              <w:right w:val="nil"/>
            </w:tcBorders>
          </w:tcPr>
          <w:p w14:paraId="489119B7" w14:textId="77777777" w:rsidR="00457EE4" w:rsidRPr="00DA193B" w:rsidRDefault="00457EE4" w:rsidP="00DA193B">
            <w:pPr>
              <w:spacing w:after="0" w:line="480" w:lineRule="auto"/>
              <w:jc w:val="center"/>
              <w:rPr>
                <w:rFonts w:ascii="Arial" w:eastAsia="Times New Roman" w:hAnsi="Arial" w:cs="Arial"/>
                <w:color w:val="000000"/>
                <w:sz w:val="20"/>
                <w:szCs w:val="20"/>
                <w:lang w:eastAsia="fr-FR"/>
              </w:rPr>
            </w:pPr>
            <w:r w:rsidRPr="00DA193B">
              <w:rPr>
                <w:rFonts w:ascii="Arial" w:eastAsia="Times New Roman" w:hAnsi="Arial" w:cs="Arial"/>
                <w:color w:val="000000"/>
                <w:sz w:val="20"/>
                <w:szCs w:val="20"/>
                <w:lang w:eastAsia="fr-FR"/>
              </w:rPr>
              <w:t>5</w:t>
            </w:r>
          </w:p>
        </w:tc>
        <w:tc>
          <w:tcPr>
            <w:tcW w:w="1494" w:type="dxa"/>
            <w:tcBorders>
              <w:top w:val="single" w:sz="18" w:space="0" w:color="auto"/>
              <w:left w:val="nil"/>
              <w:bottom w:val="nil"/>
              <w:right w:val="nil"/>
            </w:tcBorders>
          </w:tcPr>
          <w:p w14:paraId="01946716" w14:textId="77777777" w:rsidR="00457EE4" w:rsidRPr="00DA193B" w:rsidRDefault="00457EE4" w:rsidP="00DA193B">
            <w:pPr>
              <w:spacing w:after="0" w:line="480" w:lineRule="auto"/>
              <w:jc w:val="center"/>
              <w:rPr>
                <w:rFonts w:ascii="Arial" w:eastAsia="Times New Roman" w:hAnsi="Arial" w:cs="Arial"/>
                <w:color w:val="000000"/>
                <w:sz w:val="20"/>
                <w:szCs w:val="20"/>
                <w:lang w:eastAsia="fr-FR"/>
              </w:rPr>
            </w:pPr>
            <w:r w:rsidRPr="00DA193B">
              <w:rPr>
                <w:rFonts w:ascii="Arial" w:eastAsia="Times New Roman" w:hAnsi="Arial" w:cs="Arial"/>
                <w:color w:val="000000"/>
                <w:sz w:val="20"/>
                <w:szCs w:val="20"/>
                <w:lang w:eastAsia="fr-FR"/>
              </w:rPr>
              <w:t>129,818</w:t>
            </w:r>
          </w:p>
        </w:tc>
        <w:tc>
          <w:tcPr>
            <w:tcW w:w="1747" w:type="dxa"/>
            <w:tcBorders>
              <w:top w:val="single" w:sz="18" w:space="0" w:color="auto"/>
              <w:left w:val="nil"/>
              <w:bottom w:val="nil"/>
              <w:right w:val="nil"/>
            </w:tcBorders>
          </w:tcPr>
          <w:p w14:paraId="35437628" w14:textId="77777777" w:rsidR="00457EE4" w:rsidRPr="00DA193B" w:rsidRDefault="00457EE4" w:rsidP="00DA193B">
            <w:pPr>
              <w:spacing w:after="0" w:line="480" w:lineRule="auto"/>
              <w:jc w:val="center"/>
              <w:rPr>
                <w:rFonts w:ascii="Arial" w:eastAsia="Times New Roman" w:hAnsi="Arial" w:cs="Arial"/>
                <w:b/>
                <w:bCs/>
                <w:color w:val="000000"/>
                <w:sz w:val="20"/>
                <w:szCs w:val="20"/>
                <w:lang w:eastAsia="fr-FR"/>
              </w:rPr>
            </w:pPr>
            <w:r w:rsidRPr="00DA193B">
              <w:rPr>
                <w:rFonts w:ascii="Arial" w:eastAsia="Times New Roman" w:hAnsi="Arial" w:cs="Arial"/>
                <w:b/>
                <w:bCs/>
                <w:color w:val="000000"/>
                <w:sz w:val="20"/>
                <w:szCs w:val="20"/>
                <w:lang w:eastAsia="fr-FR"/>
              </w:rPr>
              <w:t>&lt;</w:t>
            </w:r>
            <w:r w:rsidR="007815D1" w:rsidRPr="00DA193B">
              <w:rPr>
                <w:rFonts w:ascii="Arial" w:eastAsia="Times New Roman" w:hAnsi="Arial" w:cs="Arial"/>
                <w:b/>
                <w:bCs/>
                <w:color w:val="000000"/>
                <w:sz w:val="20"/>
                <w:szCs w:val="20"/>
                <w:lang w:eastAsia="fr-FR"/>
              </w:rPr>
              <w:t>0.001</w:t>
            </w:r>
          </w:p>
        </w:tc>
        <w:tc>
          <w:tcPr>
            <w:tcW w:w="1373" w:type="dxa"/>
            <w:tcBorders>
              <w:top w:val="single" w:sz="18" w:space="0" w:color="auto"/>
              <w:left w:val="nil"/>
              <w:bottom w:val="nil"/>
              <w:right w:val="nil"/>
            </w:tcBorders>
            <w:noWrap/>
            <w:vAlign w:val="bottom"/>
            <w:hideMark/>
          </w:tcPr>
          <w:p w14:paraId="7818BB17" w14:textId="77777777" w:rsidR="00457EE4" w:rsidRPr="00DA193B" w:rsidRDefault="00457EE4" w:rsidP="00DA193B">
            <w:pPr>
              <w:spacing w:after="0" w:line="480" w:lineRule="auto"/>
              <w:jc w:val="center"/>
              <w:rPr>
                <w:rFonts w:ascii="Arial" w:eastAsia="Times New Roman" w:hAnsi="Arial" w:cs="Arial"/>
                <w:color w:val="000000"/>
                <w:sz w:val="20"/>
                <w:szCs w:val="20"/>
                <w:lang w:eastAsia="fr-FR"/>
              </w:rPr>
            </w:pPr>
            <w:r w:rsidRPr="00DA193B">
              <w:rPr>
                <w:rFonts w:ascii="Arial" w:eastAsia="Times New Roman" w:hAnsi="Arial" w:cs="Arial"/>
                <w:color w:val="000000"/>
                <w:sz w:val="20"/>
                <w:szCs w:val="20"/>
                <w:lang w:eastAsia="fr-FR"/>
              </w:rPr>
              <w:t>686,010</w:t>
            </w:r>
          </w:p>
        </w:tc>
        <w:tc>
          <w:tcPr>
            <w:tcW w:w="1708" w:type="dxa"/>
            <w:tcBorders>
              <w:top w:val="single" w:sz="4" w:space="0" w:color="auto"/>
              <w:left w:val="nil"/>
              <w:bottom w:val="nil"/>
              <w:right w:val="nil"/>
            </w:tcBorders>
            <w:noWrap/>
            <w:vAlign w:val="bottom"/>
            <w:hideMark/>
          </w:tcPr>
          <w:p w14:paraId="67CE4F89" w14:textId="77777777" w:rsidR="00457EE4" w:rsidRPr="00DA193B" w:rsidRDefault="00457EE4" w:rsidP="00DA193B">
            <w:pPr>
              <w:spacing w:after="0" w:line="480" w:lineRule="auto"/>
              <w:jc w:val="center"/>
              <w:rPr>
                <w:rFonts w:ascii="Arial" w:eastAsia="Times New Roman" w:hAnsi="Arial" w:cs="Arial"/>
                <w:b/>
                <w:bCs/>
                <w:color w:val="000000"/>
                <w:sz w:val="20"/>
                <w:szCs w:val="20"/>
                <w:lang w:eastAsia="fr-FR"/>
              </w:rPr>
            </w:pPr>
            <w:r w:rsidRPr="00DA193B">
              <w:rPr>
                <w:rFonts w:ascii="Arial" w:eastAsia="Times New Roman" w:hAnsi="Arial" w:cs="Arial"/>
                <w:b/>
                <w:bCs/>
                <w:color w:val="000000"/>
                <w:sz w:val="20"/>
                <w:szCs w:val="20"/>
                <w:lang w:eastAsia="fr-FR"/>
              </w:rPr>
              <w:t>&lt;</w:t>
            </w:r>
            <w:r w:rsidR="007815D1" w:rsidRPr="00DA193B">
              <w:rPr>
                <w:rFonts w:ascii="Arial" w:eastAsia="Times New Roman" w:hAnsi="Arial" w:cs="Arial"/>
                <w:b/>
                <w:bCs/>
                <w:color w:val="000000"/>
                <w:sz w:val="20"/>
                <w:szCs w:val="20"/>
                <w:lang w:eastAsia="fr-FR"/>
              </w:rPr>
              <w:t>0.001</w:t>
            </w:r>
          </w:p>
        </w:tc>
      </w:tr>
      <w:tr w:rsidR="00457EE4" w:rsidRPr="00DA193B" w14:paraId="20A064F3" w14:textId="77777777" w:rsidTr="008C4D2B">
        <w:trPr>
          <w:trHeight w:val="280"/>
          <w:jc w:val="center"/>
        </w:trPr>
        <w:tc>
          <w:tcPr>
            <w:tcW w:w="1762" w:type="dxa"/>
            <w:tcBorders>
              <w:top w:val="nil"/>
              <w:left w:val="nil"/>
              <w:right w:val="nil"/>
            </w:tcBorders>
            <w:noWrap/>
            <w:hideMark/>
          </w:tcPr>
          <w:p w14:paraId="30748E41" w14:textId="77777777" w:rsidR="00457EE4" w:rsidRPr="00DA193B" w:rsidRDefault="00216847" w:rsidP="00DA193B">
            <w:pPr>
              <w:spacing w:after="0" w:line="480" w:lineRule="auto"/>
              <w:rPr>
                <w:rFonts w:ascii="Arial" w:eastAsia="Times New Roman" w:hAnsi="Arial" w:cs="Arial"/>
                <w:color w:val="000000"/>
                <w:sz w:val="20"/>
                <w:szCs w:val="20"/>
                <w:lang w:eastAsia="fr-FR"/>
              </w:rPr>
            </w:pPr>
            <w:r w:rsidRPr="00DA193B">
              <w:rPr>
                <w:rFonts w:ascii="Arial" w:eastAsia="Times New Roman" w:hAnsi="Arial" w:cs="Arial"/>
                <w:color w:val="000000"/>
                <w:sz w:val="20"/>
                <w:szCs w:val="20"/>
                <w:lang w:eastAsia="fr-FR"/>
              </w:rPr>
              <w:t>Time (</w:t>
            </w:r>
            <w:proofErr w:type="spellStart"/>
            <w:r w:rsidRPr="00DA193B">
              <w:rPr>
                <w:rFonts w:ascii="Arial" w:eastAsia="Times New Roman" w:hAnsi="Arial" w:cs="Arial"/>
                <w:color w:val="000000"/>
                <w:sz w:val="20"/>
                <w:szCs w:val="20"/>
                <w:lang w:eastAsia="fr-FR"/>
              </w:rPr>
              <w:t>hour</w:t>
            </w:r>
            <w:proofErr w:type="spellEnd"/>
            <w:r w:rsidRPr="00DA193B">
              <w:rPr>
                <w:rFonts w:ascii="Arial" w:eastAsia="Times New Roman" w:hAnsi="Arial" w:cs="Arial"/>
                <w:color w:val="000000"/>
                <w:sz w:val="20"/>
                <w:szCs w:val="20"/>
                <w:lang w:eastAsia="fr-FR"/>
              </w:rPr>
              <w:t>)</w:t>
            </w:r>
          </w:p>
        </w:tc>
        <w:tc>
          <w:tcPr>
            <w:tcW w:w="1088" w:type="dxa"/>
            <w:tcBorders>
              <w:top w:val="nil"/>
              <w:left w:val="nil"/>
              <w:right w:val="nil"/>
            </w:tcBorders>
          </w:tcPr>
          <w:p w14:paraId="02822178" w14:textId="77777777" w:rsidR="00457EE4" w:rsidRPr="00DA193B" w:rsidRDefault="00144D40" w:rsidP="00DA193B">
            <w:pPr>
              <w:spacing w:after="0" w:line="480" w:lineRule="auto"/>
              <w:jc w:val="center"/>
              <w:rPr>
                <w:rFonts w:ascii="Arial" w:eastAsia="Times New Roman" w:hAnsi="Arial" w:cs="Arial"/>
                <w:color w:val="000000"/>
                <w:sz w:val="20"/>
                <w:szCs w:val="20"/>
                <w:lang w:eastAsia="fr-FR"/>
              </w:rPr>
            </w:pPr>
            <w:r w:rsidRPr="00DA193B">
              <w:rPr>
                <w:rFonts w:ascii="Arial" w:eastAsia="Times New Roman" w:hAnsi="Arial" w:cs="Arial"/>
                <w:color w:val="000000"/>
                <w:sz w:val="20"/>
                <w:szCs w:val="20"/>
                <w:lang w:eastAsia="fr-FR"/>
              </w:rPr>
              <w:t>3</w:t>
            </w:r>
          </w:p>
        </w:tc>
        <w:tc>
          <w:tcPr>
            <w:tcW w:w="1494" w:type="dxa"/>
            <w:tcBorders>
              <w:top w:val="nil"/>
              <w:left w:val="nil"/>
              <w:right w:val="nil"/>
            </w:tcBorders>
          </w:tcPr>
          <w:p w14:paraId="554AA181" w14:textId="77777777" w:rsidR="00457EE4" w:rsidRPr="00DA193B" w:rsidRDefault="00457EE4" w:rsidP="00DA193B">
            <w:pPr>
              <w:spacing w:after="0" w:line="480" w:lineRule="auto"/>
              <w:jc w:val="center"/>
              <w:rPr>
                <w:rFonts w:ascii="Arial" w:eastAsia="Times New Roman" w:hAnsi="Arial" w:cs="Arial"/>
                <w:color w:val="000000"/>
                <w:sz w:val="20"/>
                <w:szCs w:val="20"/>
                <w:lang w:eastAsia="fr-FR"/>
              </w:rPr>
            </w:pPr>
            <w:r w:rsidRPr="00DA193B">
              <w:rPr>
                <w:rFonts w:ascii="Arial" w:eastAsia="Times New Roman" w:hAnsi="Arial" w:cs="Arial"/>
                <w:color w:val="000000"/>
                <w:sz w:val="20"/>
                <w:szCs w:val="20"/>
                <w:lang w:eastAsia="fr-FR"/>
              </w:rPr>
              <w:t>592,249</w:t>
            </w:r>
          </w:p>
        </w:tc>
        <w:tc>
          <w:tcPr>
            <w:tcW w:w="1747" w:type="dxa"/>
            <w:tcBorders>
              <w:top w:val="nil"/>
              <w:left w:val="nil"/>
              <w:right w:val="nil"/>
            </w:tcBorders>
          </w:tcPr>
          <w:p w14:paraId="2B22B273" w14:textId="77777777" w:rsidR="00457EE4" w:rsidRPr="00DA193B" w:rsidRDefault="00457EE4" w:rsidP="00DA193B">
            <w:pPr>
              <w:spacing w:after="0" w:line="480" w:lineRule="auto"/>
              <w:jc w:val="center"/>
              <w:rPr>
                <w:rFonts w:ascii="Arial" w:eastAsia="Times New Roman" w:hAnsi="Arial" w:cs="Arial"/>
                <w:b/>
                <w:bCs/>
                <w:color w:val="000000"/>
                <w:sz w:val="20"/>
                <w:szCs w:val="20"/>
                <w:lang w:eastAsia="fr-FR"/>
              </w:rPr>
            </w:pPr>
            <w:r w:rsidRPr="00DA193B">
              <w:rPr>
                <w:rFonts w:ascii="Arial" w:eastAsia="Times New Roman" w:hAnsi="Arial" w:cs="Arial"/>
                <w:b/>
                <w:bCs/>
                <w:color w:val="000000"/>
                <w:sz w:val="20"/>
                <w:szCs w:val="20"/>
                <w:lang w:eastAsia="fr-FR"/>
              </w:rPr>
              <w:t>&lt;</w:t>
            </w:r>
            <w:r w:rsidR="007815D1" w:rsidRPr="00DA193B">
              <w:rPr>
                <w:rFonts w:ascii="Arial" w:eastAsia="Times New Roman" w:hAnsi="Arial" w:cs="Arial"/>
                <w:b/>
                <w:bCs/>
                <w:color w:val="000000"/>
                <w:sz w:val="20"/>
                <w:szCs w:val="20"/>
                <w:lang w:eastAsia="fr-FR"/>
              </w:rPr>
              <w:t>0.001</w:t>
            </w:r>
          </w:p>
        </w:tc>
        <w:tc>
          <w:tcPr>
            <w:tcW w:w="1373" w:type="dxa"/>
            <w:tcBorders>
              <w:top w:val="nil"/>
              <w:left w:val="nil"/>
              <w:right w:val="nil"/>
            </w:tcBorders>
            <w:noWrap/>
            <w:vAlign w:val="bottom"/>
            <w:hideMark/>
          </w:tcPr>
          <w:p w14:paraId="6D24B56C" w14:textId="77777777" w:rsidR="00457EE4" w:rsidRPr="00DA193B" w:rsidRDefault="00457EE4" w:rsidP="00DA193B">
            <w:pPr>
              <w:spacing w:after="0" w:line="480" w:lineRule="auto"/>
              <w:jc w:val="center"/>
              <w:rPr>
                <w:rFonts w:ascii="Arial" w:eastAsia="Times New Roman" w:hAnsi="Arial" w:cs="Arial"/>
                <w:color w:val="000000"/>
                <w:sz w:val="20"/>
                <w:szCs w:val="20"/>
                <w:lang w:eastAsia="fr-FR"/>
              </w:rPr>
            </w:pPr>
            <w:r w:rsidRPr="00DA193B">
              <w:rPr>
                <w:rFonts w:ascii="Arial" w:eastAsia="Times New Roman" w:hAnsi="Arial" w:cs="Arial"/>
                <w:color w:val="000000"/>
                <w:sz w:val="20"/>
                <w:szCs w:val="20"/>
                <w:lang w:eastAsia="fr-FR"/>
              </w:rPr>
              <w:t>2708 371</w:t>
            </w:r>
          </w:p>
        </w:tc>
        <w:tc>
          <w:tcPr>
            <w:tcW w:w="1708" w:type="dxa"/>
            <w:tcBorders>
              <w:top w:val="nil"/>
              <w:left w:val="nil"/>
              <w:right w:val="nil"/>
            </w:tcBorders>
            <w:noWrap/>
            <w:vAlign w:val="bottom"/>
            <w:hideMark/>
          </w:tcPr>
          <w:p w14:paraId="3450F3A9" w14:textId="77777777" w:rsidR="00457EE4" w:rsidRPr="00DA193B" w:rsidRDefault="00457EE4" w:rsidP="00DA193B">
            <w:pPr>
              <w:spacing w:after="0" w:line="480" w:lineRule="auto"/>
              <w:jc w:val="center"/>
              <w:rPr>
                <w:rFonts w:ascii="Arial" w:eastAsia="Times New Roman" w:hAnsi="Arial" w:cs="Arial"/>
                <w:b/>
                <w:bCs/>
                <w:color w:val="000000"/>
                <w:sz w:val="20"/>
                <w:szCs w:val="20"/>
                <w:lang w:eastAsia="fr-FR"/>
              </w:rPr>
            </w:pPr>
            <w:r w:rsidRPr="00DA193B">
              <w:rPr>
                <w:rFonts w:ascii="Arial" w:eastAsia="Times New Roman" w:hAnsi="Arial" w:cs="Arial"/>
                <w:b/>
                <w:bCs/>
                <w:color w:val="000000"/>
                <w:sz w:val="20"/>
                <w:szCs w:val="20"/>
                <w:lang w:eastAsia="fr-FR"/>
              </w:rPr>
              <w:t>&lt;</w:t>
            </w:r>
            <w:r w:rsidR="007815D1" w:rsidRPr="00DA193B">
              <w:rPr>
                <w:rFonts w:ascii="Arial" w:eastAsia="Times New Roman" w:hAnsi="Arial" w:cs="Arial"/>
                <w:b/>
                <w:bCs/>
                <w:color w:val="000000"/>
                <w:sz w:val="20"/>
                <w:szCs w:val="20"/>
                <w:lang w:eastAsia="fr-FR"/>
              </w:rPr>
              <w:t>0.001</w:t>
            </w:r>
          </w:p>
        </w:tc>
      </w:tr>
      <w:tr w:rsidR="00A4665E" w:rsidRPr="00DA193B" w14:paraId="728E4FA3" w14:textId="77777777" w:rsidTr="008C4D2B">
        <w:trPr>
          <w:trHeight w:val="280"/>
          <w:jc w:val="center"/>
        </w:trPr>
        <w:tc>
          <w:tcPr>
            <w:tcW w:w="1762" w:type="dxa"/>
            <w:tcBorders>
              <w:top w:val="single" w:sz="18" w:space="0" w:color="auto"/>
              <w:left w:val="nil"/>
              <w:bottom w:val="single" w:sz="18" w:space="0" w:color="auto"/>
              <w:right w:val="nil"/>
            </w:tcBorders>
            <w:noWrap/>
          </w:tcPr>
          <w:p w14:paraId="444D8DDA" w14:textId="77777777" w:rsidR="00A4665E" w:rsidRPr="00DA193B" w:rsidRDefault="002F7738" w:rsidP="00DA193B">
            <w:pPr>
              <w:spacing w:after="0" w:line="480" w:lineRule="auto"/>
              <w:rPr>
                <w:rFonts w:ascii="Arial" w:eastAsia="Times New Roman" w:hAnsi="Arial" w:cs="Arial"/>
                <w:b/>
                <w:color w:val="000000"/>
                <w:sz w:val="20"/>
                <w:szCs w:val="20"/>
                <w:lang w:eastAsia="fr-FR"/>
              </w:rPr>
            </w:pPr>
            <w:proofErr w:type="spellStart"/>
            <w:r w:rsidRPr="00DA193B">
              <w:rPr>
                <w:rFonts w:ascii="Arial" w:eastAsia="Times New Roman" w:hAnsi="Arial" w:cs="Arial"/>
                <w:b/>
                <w:color w:val="000000"/>
                <w:sz w:val="20"/>
                <w:szCs w:val="20"/>
                <w:lang w:eastAsia="fr-FR"/>
              </w:rPr>
              <w:t>Weevils</w:t>
            </w:r>
            <w:proofErr w:type="spellEnd"/>
          </w:p>
        </w:tc>
        <w:tc>
          <w:tcPr>
            <w:tcW w:w="1088" w:type="dxa"/>
            <w:tcBorders>
              <w:top w:val="single" w:sz="18" w:space="0" w:color="auto"/>
              <w:left w:val="nil"/>
              <w:bottom w:val="single" w:sz="18" w:space="0" w:color="auto"/>
              <w:right w:val="nil"/>
            </w:tcBorders>
          </w:tcPr>
          <w:p w14:paraId="6E47BA49" w14:textId="77777777" w:rsidR="00A4665E" w:rsidRPr="00DA193B" w:rsidRDefault="00A4665E" w:rsidP="00DA193B">
            <w:pPr>
              <w:spacing w:after="0" w:line="480" w:lineRule="auto"/>
              <w:jc w:val="center"/>
              <w:rPr>
                <w:rFonts w:ascii="Arial" w:eastAsia="Times New Roman" w:hAnsi="Arial" w:cs="Arial"/>
                <w:color w:val="000000"/>
                <w:sz w:val="20"/>
                <w:szCs w:val="20"/>
                <w:lang w:eastAsia="fr-FR"/>
              </w:rPr>
            </w:pPr>
          </w:p>
        </w:tc>
        <w:tc>
          <w:tcPr>
            <w:tcW w:w="3241" w:type="dxa"/>
            <w:gridSpan w:val="2"/>
            <w:tcBorders>
              <w:top w:val="single" w:sz="18" w:space="0" w:color="auto"/>
              <w:left w:val="nil"/>
              <w:bottom w:val="single" w:sz="18" w:space="0" w:color="auto"/>
              <w:right w:val="nil"/>
            </w:tcBorders>
          </w:tcPr>
          <w:p w14:paraId="50C27768" w14:textId="77777777" w:rsidR="00A4665E" w:rsidRPr="00DA193B" w:rsidRDefault="00A4665E" w:rsidP="00DA193B">
            <w:pPr>
              <w:spacing w:after="0" w:line="480" w:lineRule="auto"/>
              <w:jc w:val="center"/>
              <w:rPr>
                <w:rFonts w:ascii="Arial" w:eastAsia="Times New Roman" w:hAnsi="Arial" w:cs="Arial"/>
                <w:color w:val="000000"/>
                <w:sz w:val="20"/>
                <w:szCs w:val="20"/>
                <w:lang w:eastAsia="fr-FR"/>
              </w:rPr>
            </w:pPr>
            <w:proofErr w:type="spellStart"/>
            <w:r w:rsidRPr="00DA193B">
              <w:rPr>
                <w:rFonts w:ascii="Arial" w:hAnsi="Arial" w:cs="Arial"/>
                <w:b/>
                <w:color w:val="000000"/>
                <w:sz w:val="20"/>
                <w:szCs w:val="20"/>
              </w:rPr>
              <w:t>Repulsion</w:t>
            </w:r>
            <w:proofErr w:type="spellEnd"/>
            <w:r w:rsidRPr="00DA193B">
              <w:rPr>
                <w:rFonts w:ascii="Arial" w:hAnsi="Arial" w:cs="Arial"/>
                <w:color w:val="000000"/>
                <w:sz w:val="20"/>
                <w:szCs w:val="20"/>
              </w:rPr>
              <w:t xml:space="preserve"> (R² = 99%)</w:t>
            </w:r>
          </w:p>
        </w:tc>
        <w:tc>
          <w:tcPr>
            <w:tcW w:w="3081" w:type="dxa"/>
            <w:gridSpan w:val="2"/>
            <w:tcBorders>
              <w:top w:val="single" w:sz="18" w:space="0" w:color="auto"/>
              <w:left w:val="nil"/>
              <w:bottom w:val="single" w:sz="18" w:space="0" w:color="auto"/>
              <w:right w:val="nil"/>
            </w:tcBorders>
            <w:noWrap/>
          </w:tcPr>
          <w:p w14:paraId="4F6BB868" w14:textId="77777777" w:rsidR="00A4665E" w:rsidRPr="00DA193B" w:rsidRDefault="00A4665E" w:rsidP="00DA193B">
            <w:pPr>
              <w:spacing w:after="0" w:line="480" w:lineRule="auto"/>
              <w:rPr>
                <w:rFonts w:ascii="Arial" w:eastAsia="Times New Roman" w:hAnsi="Arial" w:cs="Arial"/>
                <w:color w:val="000000"/>
                <w:sz w:val="20"/>
                <w:szCs w:val="20"/>
                <w:lang w:eastAsia="fr-FR"/>
              </w:rPr>
            </w:pPr>
            <w:r w:rsidRPr="00DA193B">
              <w:rPr>
                <w:rFonts w:ascii="Arial" w:eastAsia="Times New Roman" w:hAnsi="Arial" w:cs="Arial"/>
                <w:color w:val="000000"/>
                <w:sz w:val="20"/>
                <w:szCs w:val="20"/>
                <w:lang w:eastAsia="fr-FR"/>
              </w:rPr>
              <w:t xml:space="preserve">     </w:t>
            </w:r>
            <w:proofErr w:type="spellStart"/>
            <w:r w:rsidRPr="00DA193B">
              <w:rPr>
                <w:rFonts w:ascii="Arial" w:eastAsia="Times New Roman" w:hAnsi="Arial" w:cs="Arial"/>
                <w:b/>
                <w:color w:val="000000"/>
                <w:sz w:val="20"/>
                <w:szCs w:val="20"/>
                <w:lang w:eastAsia="fr-FR"/>
              </w:rPr>
              <w:t>Mortality</w:t>
            </w:r>
            <w:proofErr w:type="spellEnd"/>
            <w:r w:rsidRPr="00DA193B">
              <w:rPr>
                <w:rFonts w:ascii="Arial" w:eastAsia="Times New Roman" w:hAnsi="Arial" w:cs="Arial"/>
                <w:color w:val="000000"/>
                <w:sz w:val="20"/>
                <w:szCs w:val="20"/>
                <w:lang w:eastAsia="fr-FR"/>
              </w:rPr>
              <w:t xml:space="preserve"> (</w:t>
            </w:r>
            <w:r w:rsidRPr="00DA193B">
              <w:rPr>
                <w:rFonts w:ascii="Arial" w:hAnsi="Arial" w:cs="Arial"/>
                <w:color w:val="000000"/>
                <w:sz w:val="20"/>
                <w:szCs w:val="20"/>
              </w:rPr>
              <w:t>R² = 100%</w:t>
            </w:r>
            <w:r w:rsidR="00DA193B">
              <w:rPr>
                <w:rFonts w:ascii="Arial" w:hAnsi="Arial" w:cs="Arial"/>
                <w:color w:val="000000"/>
                <w:sz w:val="20"/>
                <w:szCs w:val="20"/>
              </w:rPr>
              <w:t>)</w:t>
            </w:r>
          </w:p>
        </w:tc>
      </w:tr>
      <w:tr w:rsidR="00564439" w:rsidRPr="00DA193B" w14:paraId="1629A821" w14:textId="77777777" w:rsidTr="008C4D2B">
        <w:trPr>
          <w:trHeight w:val="280"/>
          <w:jc w:val="center"/>
        </w:trPr>
        <w:tc>
          <w:tcPr>
            <w:tcW w:w="1762" w:type="dxa"/>
            <w:tcBorders>
              <w:top w:val="single" w:sz="18" w:space="0" w:color="auto"/>
              <w:left w:val="nil"/>
              <w:bottom w:val="nil"/>
              <w:right w:val="nil"/>
            </w:tcBorders>
            <w:noWrap/>
          </w:tcPr>
          <w:p w14:paraId="58920298" w14:textId="77777777" w:rsidR="00564439" w:rsidRPr="00DA193B" w:rsidRDefault="00564439" w:rsidP="00DA193B">
            <w:pPr>
              <w:spacing w:after="0" w:line="480" w:lineRule="auto"/>
              <w:rPr>
                <w:rFonts w:ascii="Arial" w:eastAsia="Times New Roman" w:hAnsi="Arial" w:cs="Arial"/>
                <w:color w:val="000000"/>
                <w:sz w:val="20"/>
                <w:szCs w:val="20"/>
                <w:lang w:eastAsia="fr-FR"/>
              </w:rPr>
            </w:pPr>
            <w:r w:rsidRPr="00DA193B">
              <w:rPr>
                <w:rFonts w:ascii="Arial" w:eastAsia="Times New Roman" w:hAnsi="Arial" w:cs="Arial"/>
                <w:color w:val="000000"/>
                <w:sz w:val="20"/>
                <w:szCs w:val="20"/>
                <w:lang w:eastAsia="fr-FR"/>
              </w:rPr>
              <w:t>Modality</w:t>
            </w:r>
          </w:p>
        </w:tc>
        <w:tc>
          <w:tcPr>
            <w:tcW w:w="1088" w:type="dxa"/>
            <w:tcBorders>
              <w:top w:val="single" w:sz="18" w:space="0" w:color="auto"/>
              <w:left w:val="nil"/>
              <w:bottom w:val="nil"/>
              <w:right w:val="nil"/>
            </w:tcBorders>
          </w:tcPr>
          <w:p w14:paraId="747A6E16" w14:textId="77777777" w:rsidR="00564439" w:rsidRPr="00DA193B" w:rsidRDefault="00564439" w:rsidP="00DA193B">
            <w:pPr>
              <w:spacing w:after="0" w:line="480" w:lineRule="auto"/>
              <w:jc w:val="center"/>
              <w:rPr>
                <w:rFonts w:ascii="Arial" w:eastAsia="Times New Roman" w:hAnsi="Arial" w:cs="Arial"/>
                <w:color w:val="000000"/>
                <w:sz w:val="20"/>
                <w:szCs w:val="20"/>
                <w:lang w:eastAsia="fr-FR"/>
              </w:rPr>
            </w:pPr>
            <w:r w:rsidRPr="00DA193B">
              <w:rPr>
                <w:rFonts w:ascii="Arial" w:eastAsia="Times New Roman" w:hAnsi="Arial" w:cs="Arial"/>
                <w:color w:val="000000"/>
                <w:sz w:val="20"/>
                <w:szCs w:val="20"/>
                <w:lang w:eastAsia="fr-FR"/>
              </w:rPr>
              <w:t>5</w:t>
            </w:r>
          </w:p>
        </w:tc>
        <w:tc>
          <w:tcPr>
            <w:tcW w:w="1494" w:type="dxa"/>
            <w:tcBorders>
              <w:top w:val="single" w:sz="18" w:space="0" w:color="auto"/>
              <w:left w:val="nil"/>
              <w:bottom w:val="nil"/>
              <w:right w:val="nil"/>
            </w:tcBorders>
          </w:tcPr>
          <w:p w14:paraId="17DE3F46" w14:textId="77777777" w:rsidR="00564439" w:rsidRPr="00DA193B" w:rsidRDefault="00564439" w:rsidP="00DA193B">
            <w:pPr>
              <w:spacing w:after="0" w:line="480" w:lineRule="auto"/>
              <w:jc w:val="center"/>
              <w:rPr>
                <w:rFonts w:ascii="Arial" w:eastAsia="Times New Roman" w:hAnsi="Arial" w:cs="Arial"/>
                <w:color w:val="000000"/>
                <w:sz w:val="20"/>
                <w:szCs w:val="20"/>
                <w:lang w:eastAsia="fr-FR"/>
              </w:rPr>
            </w:pPr>
            <w:r w:rsidRPr="00DA193B">
              <w:rPr>
                <w:rFonts w:ascii="Arial" w:eastAsia="Times New Roman" w:hAnsi="Arial" w:cs="Arial"/>
                <w:color w:val="000000"/>
                <w:sz w:val="20"/>
                <w:szCs w:val="20"/>
                <w:lang w:eastAsia="fr-FR"/>
              </w:rPr>
              <w:t>152,612</w:t>
            </w:r>
          </w:p>
        </w:tc>
        <w:tc>
          <w:tcPr>
            <w:tcW w:w="1747" w:type="dxa"/>
            <w:tcBorders>
              <w:top w:val="single" w:sz="18" w:space="0" w:color="auto"/>
              <w:left w:val="nil"/>
              <w:bottom w:val="nil"/>
              <w:right w:val="nil"/>
            </w:tcBorders>
          </w:tcPr>
          <w:p w14:paraId="442E2EE1" w14:textId="77777777" w:rsidR="00564439" w:rsidRPr="00DA193B" w:rsidRDefault="00564439" w:rsidP="00DA193B">
            <w:pPr>
              <w:spacing w:after="0" w:line="480" w:lineRule="auto"/>
              <w:jc w:val="center"/>
              <w:rPr>
                <w:rFonts w:ascii="Arial" w:eastAsia="Times New Roman" w:hAnsi="Arial" w:cs="Arial"/>
                <w:b/>
                <w:bCs/>
                <w:color w:val="000000"/>
                <w:sz w:val="20"/>
                <w:szCs w:val="20"/>
                <w:lang w:eastAsia="fr-FR"/>
              </w:rPr>
            </w:pPr>
            <w:r w:rsidRPr="00DA193B">
              <w:rPr>
                <w:rFonts w:ascii="Arial" w:eastAsia="Times New Roman" w:hAnsi="Arial" w:cs="Arial"/>
                <w:b/>
                <w:bCs/>
                <w:color w:val="000000"/>
                <w:sz w:val="20"/>
                <w:szCs w:val="20"/>
                <w:lang w:eastAsia="fr-FR"/>
              </w:rPr>
              <w:t>&lt;</w:t>
            </w:r>
            <w:r w:rsidR="007815D1" w:rsidRPr="00DA193B">
              <w:rPr>
                <w:rFonts w:ascii="Arial" w:eastAsia="Times New Roman" w:hAnsi="Arial" w:cs="Arial"/>
                <w:b/>
                <w:bCs/>
                <w:color w:val="000000"/>
                <w:sz w:val="20"/>
                <w:szCs w:val="20"/>
                <w:lang w:eastAsia="fr-FR"/>
              </w:rPr>
              <w:t>0.001</w:t>
            </w:r>
          </w:p>
        </w:tc>
        <w:tc>
          <w:tcPr>
            <w:tcW w:w="1373" w:type="dxa"/>
            <w:tcBorders>
              <w:top w:val="single" w:sz="18" w:space="0" w:color="auto"/>
              <w:left w:val="nil"/>
              <w:bottom w:val="nil"/>
              <w:right w:val="nil"/>
            </w:tcBorders>
            <w:noWrap/>
            <w:vAlign w:val="bottom"/>
          </w:tcPr>
          <w:p w14:paraId="3AC94E65" w14:textId="77777777" w:rsidR="00564439" w:rsidRPr="00DA193B" w:rsidRDefault="00564439" w:rsidP="00DA193B">
            <w:pPr>
              <w:spacing w:after="0" w:line="480" w:lineRule="auto"/>
              <w:jc w:val="center"/>
              <w:rPr>
                <w:rFonts w:ascii="Arial" w:eastAsia="Times New Roman" w:hAnsi="Arial" w:cs="Arial"/>
                <w:color w:val="000000"/>
                <w:sz w:val="20"/>
                <w:szCs w:val="20"/>
                <w:lang w:eastAsia="fr-FR"/>
              </w:rPr>
            </w:pPr>
            <w:r w:rsidRPr="00DA193B">
              <w:rPr>
                <w:rFonts w:ascii="Arial" w:eastAsia="Times New Roman" w:hAnsi="Arial" w:cs="Arial"/>
                <w:color w:val="000000"/>
                <w:sz w:val="20"/>
                <w:szCs w:val="20"/>
                <w:lang w:eastAsia="fr-FR"/>
              </w:rPr>
              <w:t>602,588</w:t>
            </w:r>
          </w:p>
        </w:tc>
        <w:tc>
          <w:tcPr>
            <w:tcW w:w="1708" w:type="dxa"/>
            <w:tcBorders>
              <w:top w:val="single" w:sz="18" w:space="0" w:color="auto"/>
              <w:left w:val="nil"/>
              <w:bottom w:val="nil"/>
              <w:right w:val="nil"/>
            </w:tcBorders>
            <w:noWrap/>
            <w:vAlign w:val="bottom"/>
          </w:tcPr>
          <w:p w14:paraId="57D15EAB" w14:textId="77777777" w:rsidR="00564439" w:rsidRPr="00DA193B" w:rsidRDefault="00564439" w:rsidP="00DA193B">
            <w:pPr>
              <w:spacing w:after="0" w:line="480" w:lineRule="auto"/>
              <w:jc w:val="center"/>
              <w:rPr>
                <w:rFonts w:ascii="Arial" w:eastAsia="Times New Roman" w:hAnsi="Arial" w:cs="Arial"/>
                <w:b/>
                <w:bCs/>
                <w:color w:val="000000"/>
                <w:sz w:val="20"/>
                <w:szCs w:val="20"/>
                <w:lang w:eastAsia="fr-FR"/>
              </w:rPr>
            </w:pPr>
            <w:r w:rsidRPr="00DA193B">
              <w:rPr>
                <w:rFonts w:ascii="Arial" w:eastAsia="Times New Roman" w:hAnsi="Arial" w:cs="Arial"/>
                <w:b/>
                <w:bCs/>
                <w:color w:val="000000"/>
                <w:sz w:val="20"/>
                <w:szCs w:val="20"/>
                <w:lang w:eastAsia="fr-FR"/>
              </w:rPr>
              <w:t>&lt;</w:t>
            </w:r>
            <w:r w:rsidR="007815D1" w:rsidRPr="00DA193B">
              <w:rPr>
                <w:rFonts w:ascii="Arial" w:eastAsia="Times New Roman" w:hAnsi="Arial" w:cs="Arial"/>
                <w:b/>
                <w:bCs/>
                <w:color w:val="000000"/>
                <w:sz w:val="20"/>
                <w:szCs w:val="20"/>
                <w:lang w:eastAsia="fr-FR"/>
              </w:rPr>
              <w:t>0.001</w:t>
            </w:r>
          </w:p>
        </w:tc>
      </w:tr>
      <w:tr w:rsidR="00564439" w:rsidRPr="00DA193B" w14:paraId="5A63D75A" w14:textId="77777777" w:rsidTr="008C4D2B">
        <w:trPr>
          <w:trHeight w:val="280"/>
          <w:jc w:val="center"/>
        </w:trPr>
        <w:tc>
          <w:tcPr>
            <w:tcW w:w="1762" w:type="dxa"/>
            <w:tcBorders>
              <w:top w:val="nil"/>
              <w:left w:val="nil"/>
              <w:bottom w:val="single" w:sz="18" w:space="0" w:color="auto"/>
              <w:right w:val="nil"/>
            </w:tcBorders>
            <w:noWrap/>
          </w:tcPr>
          <w:p w14:paraId="5723C3F1" w14:textId="77777777" w:rsidR="00564439" w:rsidRPr="00DA193B" w:rsidRDefault="00216847" w:rsidP="00DA193B">
            <w:pPr>
              <w:spacing w:after="0" w:line="480" w:lineRule="auto"/>
              <w:rPr>
                <w:rFonts w:ascii="Arial" w:eastAsia="Times New Roman" w:hAnsi="Arial" w:cs="Arial"/>
                <w:color w:val="000000"/>
                <w:sz w:val="20"/>
                <w:szCs w:val="20"/>
                <w:lang w:eastAsia="fr-FR"/>
              </w:rPr>
            </w:pPr>
            <w:r w:rsidRPr="00DA193B">
              <w:rPr>
                <w:rFonts w:ascii="Arial" w:eastAsia="Times New Roman" w:hAnsi="Arial" w:cs="Arial"/>
                <w:color w:val="000000"/>
                <w:sz w:val="20"/>
                <w:szCs w:val="20"/>
                <w:lang w:eastAsia="fr-FR"/>
              </w:rPr>
              <w:t>Time (</w:t>
            </w:r>
            <w:proofErr w:type="spellStart"/>
            <w:r w:rsidRPr="00DA193B">
              <w:rPr>
                <w:rFonts w:ascii="Arial" w:eastAsia="Times New Roman" w:hAnsi="Arial" w:cs="Arial"/>
                <w:color w:val="000000"/>
                <w:sz w:val="20"/>
                <w:szCs w:val="20"/>
                <w:lang w:eastAsia="fr-FR"/>
              </w:rPr>
              <w:t>hour</w:t>
            </w:r>
            <w:proofErr w:type="spellEnd"/>
            <w:r w:rsidRPr="00DA193B">
              <w:rPr>
                <w:rFonts w:ascii="Arial" w:eastAsia="Times New Roman" w:hAnsi="Arial" w:cs="Arial"/>
                <w:color w:val="000000"/>
                <w:sz w:val="20"/>
                <w:szCs w:val="20"/>
                <w:lang w:eastAsia="fr-FR"/>
              </w:rPr>
              <w:t>)</w:t>
            </w:r>
          </w:p>
        </w:tc>
        <w:tc>
          <w:tcPr>
            <w:tcW w:w="1088" w:type="dxa"/>
            <w:tcBorders>
              <w:top w:val="nil"/>
              <w:left w:val="nil"/>
              <w:bottom w:val="single" w:sz="18" w:space="0" w:color="auto"/>
              <w:right w:val="nil"/>
            </w:tcBorders>
          </w:tcPr>
          <w:p w14:paraId="1220D91C" w14:textId="77777777" w:rsidR="00564439" w:rsidRPr="00DA193B" w:rsidRDefault="00564439" w:rsidP="00DA193B">
            <w:pPr>
              <w:spacing w:after="0" w:line="480" w:lineRule="auto"/>
              <w:jc w:val="center"/>
              <w:rPr>
                <w:rFonts w:ascii="Arial" w:eastAsia="Times New Roman" w:hAnsi="Arial" w:cs="Arial"/>
                <w:color w:val="000000"/>
                <w:sz w:val="20"/>
                <w:szCs w:val="20"/>
                <w:lang w:eastAsia="fr-FR"/>
              </w:rPr>
            </w:pPr>
            <w:r w:rsidRPr="00DA193B">
              <w:rPr>
                <w:rFonts w:ascii="Arial" w:eastAsia="Times New Roman" w:hAnsi="Arial" w:cs="Arial"/>
                <w:color w:val="000000"/>
                <w:sz w:val="20"/>
                <w:szCs w:val="20"/>
                <w:lang w:eastAsia="fr-FR"/>
              </w:rPr>
              <w:t>3</w:t>
            </w:r>
          </w:p>
        </w:tc>
        <w:tc>
          <w:tcPr>
            <w:tcW w:w="1494" w:type="dxa"/>
            <w:tcBorders>
              <w:top w:val="nil"/>
              <w:left w:val="nil"/>
              <w:bottom w:val="single" w:sz="18" w:space="0" w:color="auto"/>
              <w:right w:val="nil"/>
            </w:tcBorders>
          </w:tcPr>
          <w:p w14:paraId="1135B182" w14:textId="77777777" w:rsidR="00564439" w:rsidRPr="00DA193B" w:rsidRDefault="00564439" w:rsidP="00DA193B">
            <w:pPr>
              <w:spacing w:after="0" w:line="480" w:lineRule="auto"/>
              <w:jc w:val="center"/>
              <w:rPr>
                <w:rFonts w:ascii="Arial" w:eastAsia="Times New Roman" w:hAnsi="Arial" w:cs="Arial"/>
                <w:color w:val="000000"/>
                <w:sz w:val="20"/>
                <w:szCs w:val="20"/>
                <w:lang w:eastAsia="fr-FR"/>
              </w:rPr>
            </w:pPr>
            <w:r w:rsidRPr="00DA193B">
              <w:rPr>
                <w:rFonts w:ascii="Arial" w:eastAsia="Times New Roman" w:hAnsi="Arial" w:cs="Arial"/>
                <w:color w:val="000000"/>
                <w:sz w:val="20"/>
                <w:szCs w:val="20"/>
                <w:lang w:eastAsia="fr-FR"/>
              </w:rPr>
              <w:t>418,587</w:t>
            </w:r>
          </w:p>
        </w:tc>
        <w:tc>
          <w:tcPr>
            <w:tcW w:w="1747" w:type="dxa"/>
            <w:tcBorders>
              <w:top w:val="nil"/>
              <w:left w:val="nil"/>
              <w:bottom w:val="single" w:sz="18" w:space="0" w:color="auto"/>
              <w:right w:val="nil"/>
            </w:tcBorders>
          </w:tcPr>
          <w:p w14:paraId="53E793C1" w14:textId="77777777" w:rsidR="00564439" w:rsidRPr="00DA193B" w:rsidRDefault="00564439" w:rsidP="00DA193B">
            <w:pPr>
              <w:spacing w:after="0" w:line="480" w:lineRule="auto"/>
              <w:jc w:val="center"/>
              <w:rPr>
                <w:rFonts w:ascii="Arial" w:eastAsia="Times New Roman" w:hAnsi="Arial" w:cs="Arial"/>
                <w:b/>
                <w:bCs/>
                <w:color w:val="000000"/>
                <w:sz w:val="20"/>
                <w:szCs w:val="20"/>
                <w:lang w:eastAsia="fr-FR"/>
              </w:rPr>
            </w:pPr>
            <w:r w:rsidRPr="00DA193B">
              <w:rPr>
                <w:rFonts w:ascii="Arial" w:eastAsia="Times New Roman" w:hAnsi="Arial" w:cs="Arial"/>
                <w:b/>
                <w:bCs/>
                <w:color w:val="000000"/>
                <w:sz w:val="20"/>
                <w:szCs w:val="20"/>
                <w:lang w:eastAsia="fr-FR"/>
              </w:rPr>
              <w:t>&lt;</w:t>
            </w:r>
            <w:r w:rsidR="007815D1" w:rsidRPr="00DA193B">
              <w:rPr>
                <w:rFonts w:ascii="Arial" w:eastAsia="Times New Roman" w:hAnsi="Arial" w:cs="Arial"/>
                <w:b/>
                <w:bCs/>
                <w:color w:val="000000"/>
                <w:sz w:val="20"/>
                <w:szCs w:val="20"/>
                <w:lang w:eastAsia="fr-FR"/>
              </w:rPr>
              <w:t>0.001</w:t>
            </w:r>
          </w:p>
        </w:tc>
        <w:tc>
          <w:tcPr>
            <w:tcW w:w="1373" w:type="dxa"/>
            <w:tcBorders>
              <w:top w:val="nil"/>
              <w:left w:val="nil"/>
              <w:bottom w:val="single" w:sz="18" w:space="0" w:color="auto"/>
              <w:right w:val="nil"/>
            </w:tcBorders>
            <w:noWrap/>
            <w:vAlign w:val="bottom"/>
          </w:tcPr>
          <w:p w14:paraId="761C308C" w14:textId="77777777" w:rsidR="00564439" w:rsidRPr="00DA193B" w:rsidRDefault="00564439" w:rsidP="00DA193B">
            <w:pPr>
              <w:spacing w:after="0" w:line="480" w:lineRule="auto"/>
              <w:jc w:val="center"/>
              <w:rPr>
                <w:rFonts w:ascii="Arial" w:eastAsia="Times New Roman" w:hAnsi="Arial" w:cs="Arial"/>
                <w:color w:val="000000"/>
                <w:sz w:val="20"/>
                <w:szCs w:val="20"/>
                <w:lang w:eastAsia="fr-FR"/>
              </w:rPr>
            </w:pPr>
            <w:r w:rsidRPr="00DA193B">
              <w:rPr>
                <w:rFonts w:ascii="Arial" w:eastAsia="Times New Roman" w:hAnsi="Arial" w:cs="Arial"/>
                <w:color w:val="000000"/>
                <w:sz w:val="20"/>
                <w:szCs w:val="20"/>
                <w:lang w:eastAsia="fr-FR"/>
              </w:rPr>
              <w:t>3582 248</w:t>
            </w:r>
          </w:p>
        </w:tc>
        <w:tc>
          <w:tcPr>
            <w:tcW w:w="1708" w:type="dxa"/>
            <w:tcBorders>
              <w:top w:val="nil"/>
              <w:left w:val="nil"/>
              <w:bottom w:val="single" w:sz="18" w:space="0" w:color="auto"/>
              <w:right w:val="nil"/>
            </w:tcBorders>
            <w:noWrap/>
            <w:vAlign w:val="bottom"/>
          </w:tcPr>
          <w:p w14:paraId="327F581B" w14:textId="77777777" w:rsidR="00564439" w:rsidRPr="00DA193B" w:rsidRDefault="00564439" w:rsidP="00DA193B">
            <w:pPr>
              <w:spacing w:after="0" w:line="480" w:lineRule="auto"/>
              <w:jc w:val="center"/>
              <w:rPr>
                <w:rFonts w:ascii="Arial" w:eastAsia="Times New Roman" w:hAnsi="Arial" w:cs="Arial"/>
                <w:b/>
                <w:bCs/>
                <w:color w:val="000000"/>
                <w:sz w:val="20"/>
                <w:szCs w:val="20"/>
                <w:lang w:eastAsia="fr-FR"/>
              </w:rPr>
            </w:pPr>
            <w:r w:rsidRPr="00DA193B">
              <w:rPr>
                <w:rFonts w:ascii="Arial" w:eastAsia="Times New Roman" w:hAnsi="Arial" w:cs="Arial"/>
                <w:b/>
                <w:bCs/>
                <w:color w:val="000000"/>
                <w:sz w:val="20"/>
                <w:szCs w:val="20"/>
                <w:lang w:eastAsia="fr-FR"/>
              </w:rPr>
              <w:t>&lt;</w:t>
            </w:r>
            <w:r w:rsidR="007815D1" w:rsidRPr="00DA193B">
              <w:rPr>
                <w:rFonts w:ascii="Arial" w:eastAsia="Times New Roman" w:hAnsi="Arial" w:cs="Arial"/>
                <w:b/>
                <w:bCs/>
                <w:color w:val="000000"/>
                <w:sz w:val="20"/>
                <w:szCs w:val="20"/>
                <w:lang w:eastAsia="fr-FR"/>
              </w:rPr>
              <w:t>0.001</w:t>
            </w:r>
          </w:p>
        </w:tc>
      </w:tr>
    </w:tbl>
    <w:p w14:paraId="434985D7" w14:textId="77777777" w:rsidR="00504D69" w:rsidRPr="003C5866" w:rsidRDefault="00504D69" w:rsidP="00237ED6">
      <w:pPr>
        <w:tabs>
          <w:tab w:val="left" w:pos="2490"/>
        </w:tabs>
        <w:spacing w:after="0" w:line="360" w:lineRule="auto"/>
        <w:ind w:right="-2"/>
        <w:jc w:val="center"/>
        <w:rPr>
          <w:rFonts w:ascii="Arial" w:eastAsia="Times New Roman" w:hAnsi="Arial" w:cs="Arial"/>
          <w:color w:val="000000"/>
          <w:sz w:val="24"/>
          <w:szCs w:val="24"/>
          <w:lang w:val="en-US" w:eastAsia="fr-FR"/>
        </w:rPr>
      </w:pPr>
      <w:r w:rsidRPr="003C5866">
        <w:rPr>
          <w:rFonts w:ascii="Arial" w:eastAsia="Times New Roman" w:hAnsi="Arial" w:cs="Arial"/>
          <w:color w:val="000000"/>
          <w:sz w:val="20"/>
          <w:szCs w:val="24"/>
          <w:vertAlign w:val="superscript"/>
          <w:lang w:val="en-US" w:eastAsia="fr-FR"/>
        </w:rPr>
        <w:t xml:space="preserve">The values ​​in bold correspond to the tests allowing the null hypothesis </w:t>
      </w:r>
      <w:r w:rsidRPr="00DA193B">
        <w:rPr>
          <w:rFonts w:ascii="Arial" w:eastAsia="Times New Roman" w:hAnsi="Arial" w:cs="Arial"/>
          <w:color w:val="000000"/>
          <w:sz w:val="20"/>
          <w:szCs w:val="20"/>
          <w:vertAlign w:val="superscript"/>
          <w:lang w:val="en-US" w:eastAsia="fr-FR"/>
        </w:rPr>
        <w:t xml:space="preserve">to be rejected with a significance level </w:t>
      </w:r>
      <w:r w:rsidRPr="00DA193B">
        <w:rPr>
          <w:rFonts w:ascii="Arial" w:eastAsia="Times New Roman" w:hAnsi="Arial" w:cs="Arial"/>
          <w:color w:val="000000"/>
          <w:sz w:val="20"/>
          <w:szCs w:val="20"/>
          <w:vertAlign w:val="superscript"/>
          <w:lang w:eastAsia="fr-FR"/>
        </w:rPr>
        <w:t>α</w:t>
      </w:r>
      <w:r w:rsidR="00C931E9">
        <w:rPr>
          <w:rFonts w:ascii="Arial" w:eastAsia="Times New Roman" w:hAnsi="Arial" w:cs="Arial"/>
          <w:color w:val="000000"/>
          <w:sz w:val="20"/>
          <w:szCs w:val="20"/>
          <w:vertAlign w:val="superscript"/>
          <w:lang w:val="en-US" w:eastAsia="fr-FR"/>
        </w:rPr>
        <w:t xml:space="preserve"> = </w:t>
      </w:r>
      <w:r w:rsidRPr="00DA193B">
        <w:rPr>
          <w:rFonts w:ascii="Arial" w:eastAsia="Times New Roman" w:hAnsi="Arial" w:cs="Arial"/>
          <w:color w:val="000000"/>
          <w:sz w:val="20"/>
          <w:szCs w:val="20"/>
          <w:vertAlign w:val="superscript"/>
          <w:lang w:val="en-US" w:eastAsia="fr-FR"/>
        </w:rPr>
        <w:t>.05. DF represents the degrees of freedom; R² the coefficient of determination; F the value of the F test and P the probability</w:t>
      </w:r>
      <w:r w:rsidR="00237ED6">
        <w:rPr>
          <w:rFonts w:ascii="Arial" w:eastAsia="Times New Roman" w:hAnsi="Arial" w:cs="Arial"/>
          <w:color w:val="000000"/>
          <w:sz w:val="20"/>
          <w:szCs w:val="20"/>
          <w:vertAlign w:val="superscript"/>
          <w:lang w:val="en-US" w:eastAsia="fr-FR"/>
        </w:rPr>
        <w:t>.</w:t>
      </w:r>
    </w:p>
    <w:p w14:paraId="3019977A" w14:textId="1860EE83" w:rsidR="00DA193B" w:rsidRDefault="00DA193B" w:rsidP="009953E1">
      <w:pPr>
        <w:spacing w:line="480" w:lineRule="auto"/>
        <w:rPr>
          <w:rFonts w:ascii="Arial" w:hAnsi="Arial" w:cs="Arial"/>
          <w:noProof/>
          <w:sz w:val="24"/>
          <w:szCs w:val="24"/>
          <w:lang w:val="en-US" w:eastAsia="fr-FR"/>
        </w:rPr>
      </w:pPr>
    </w:p>
    <w:p w14:paraId="59AAD076" w14:textId="77777777" w:rsidR="0095118F" w:rsidRPr="003C5866" w:rsidRDefault="0095118F" w:rsidP="009953E1">
      <w:pPr>
        <w:spacing w:line="480" w:lineRule="auto"/>
        <w:rPr>
          <w:rFonts w:ascii="Arial" w:hAnsi="Arial" w:cs="Arial"/>
          <w:noProof/>
          <w:sz w:val="24"/>
          <w:szCs w:val="24"/>
          <w:lang w:val="en-US" w:eastAsia="fr-FR"/>
        </w:rPr>
      </w:pPr>
    </w:p>
    <w:p w14:paraId="60D4F4EA" w14:textId="77777777" w:rsidR="00C608D0" w:rsidRDefault="00AC5D8A" w:rsidP="00C608D0">
      <w:pPr>
        <w:spacing w:after="0" w:line="240" w:lineRule="auto"/>
        <w:rPr>
          <w:rFonts w:ascii="Arial" w:hAnsi="Arial" w:cs="Arial"/>
          <w:b/>
          <w:noProof/>
          <w:sz w:val="20"/>
          <w:szCs w:val="24"/>
          <w:lang w:val="en-US" w:eastAsia="fr-FR"/>
        </w:rPr>
      </w:pPr>
      <w:r w:rsidRPr="003C5866">
        <w:rPr>
          <w:rFonts w:ascii="Arial" w:hAnsi="Arial" w:cs="Arial"/>
          <w:b/>
          <w:noProof/>
          <w:sz w:val="20"/>
          <w:szCs w:val="24"/>
          <w:lang w:val="en-US" w:eastAsia="fr-FR"/>
        </w:rPr>
        <w:lastRenderedPageBreak/>
        <w:t>A</w:t>
      </w:r>
      <w:r w:rsidR="00E62B2F" w:rsidRPr="003C5866">
        <w:rPr>
          <w:rFonts w:ascii="Arial" w:hAnsi="Arial" w:cs="Arial"/>
          <w:noProof/>
          <w:sz w:val="24"/>
          <w:szCs w:val="24"/>
          <w:lang w:eastAsia="fr-FR"/>
        </w:rPr>
        <w:drawing>
          <wp:inline distT="0" distB="0" distL="0" distR="0" wp14:anchorId="4EFFBB56" wp14:editId="43C2A5CA">
            <wp:extent cx="2705735" cy="2095500"/>
            <wp:effectExtent l="0" t="0" r="12065" b="12700"/>
            <wp:docPr id="17" name="Chart 17">
              <a:extLst xmlns:a="http://schemas.openxmlformats.org/drawingml/2006/main">
                <a:ext uri="{FF2B5EF4-FFF2-40B4-BE49-F238E27FC236}">
                  <a16:creationId xmlns:a16="http://schemas.microsoft.com/office/drawing/2014/main" id="{379AF2ED-CDFD-9A18-5192-E29A4F9ABA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ED64E1" w:rsidRPr="003C5866">
        <w:rPr>
          <w:rFonts w:ascii="Arial" w:hAnsi="Arial" w:cs="Arial"/>
          <w:b/>
          <w:noProof/>
          <w:sz w:val="20"/>
          <w:szCs w:val="24"/>
          <w:lang w:val="en-US" w:eastAsia="fr-FR"/>
        </w:rPr>
        <w:t>B</w:t>
      </w:r>
      <w:r w:rsidR="00300B56" w:rsidRPr="003C5866">
        <w:rPr>
          <w:rFonts w:ascii="Arial" w:hAnsi="Arial" w:cs="Arial"/>
          <w:noProof/>
          <w:sz w:val="24"/>
          <w:szCs w:val="24"/>
          <w:lang w:eastAsia="fr-FR"/>
        </w:rPr>
        <w:drawing>
          <wp:inline distT="0" distB="0" distL="0" distR="0" wp14:anchorId="1D5EFE2B" wp14:editId="60496B8B">
            <wp:extent cx="2706130" cy="2114550"/>
            <wp:effectExtent l="0" t="0" r="12065" b="6350"/>
            <wp:docPr id="16" name="Chart 16">
              <a:extLst xmlns:a="http://schemas.openxmlformats.org/drawingml/2006/main">
                <a:ext uri="{FF2B5EF4-FFF2-40B4-BE49-F238E27FC236}">
                  <a16:creationId xmlns:a16="http://schemas.microsoft.com/office/drawing/2014/main" id="{E7635D34-C425-1005-7ECA-BA977FF3BC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4C4ADCA" w14:textId="77777777" w:rsidR="004E2C38" w:rsidRPr="00C608D0" w:rsidRDefault="00DE45F3" w:rsidP="00C608D0">
      <w:pPr>
        <w:spacing w:after="0" w:line="240" w:lineRule="auto"/>
        <w:rPr>
          <w:rFonts w:ascii="Arial" w:hAnsi="Arial" w:cs="Arial"/>
          <w:b/>
          <w:noProof/>
          <w:sz w:val="20"/>
          <w:szCs w:val="24"/>
          <w:lang w:val="en-US" w:eastAsia="fr-FR"/>
        </w:rPr>
      </w:pPr>
      <w:r w:rsidRPr="003C5866">
        <w:rPr>
          <w:rFonts w:ascii="Arial" w:hAnsi="Arial" w:cs="Arial"/>
          <w:b/>
          <w:noProof/>
          <w:sz w:val="20"/>
          <w:szCs w:val="24"/>
          <w:lang w:val="en-US" w:eastAsia="fr-FR"/>
        </w:rPr>
        <w:t>C</w:t>
      </w:r>
      <w:r w:rsidR="00C32D2E" w:rsidRPr="003C5866">
        <w:rPr>
          <w:rFonts w:ascii="Arial" w:hAnsi="Arial" w:cs="Arial"/>
          <w:noProof/>
          <w:sz w:val="24"/>
          <w:szCs w:val="24"/>
          <w:lang w:eastAsia="fr-FR"/>
        </w:rPr>
        <w:drawing>
          <wp:inline distT="0" distB="0" distL="0" distR="0" wp14:anchorId="7BAFAEF9" wp14:editId="1DD893D9">
            <wp:extent cx="2705735" cy="2111238"/>
            <wp:effectExtent l="0" t="0" r="12065" b="10160"/>
            <wp:docPr id="10" name="Chart 10">
              <a:extLst xmlns:a="http://schemas.openxmlformats.org/drawingml/2006/main">
                <a:ext uri="{FF2B5EF4-FFF2-40B4-BE49-F238E27FC236}">
                  <a16:creationId xmlns:a16="http://schemas.microsoft.com/office/drawing/2014/main" id="{22E6988B-D821-631C-945E-32A6106E25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ED64E1" w:rsidRPr="003C5866">
        <w:rPr>
          <w:rFonts w:ascii="Arial" w:hAnsi="Arial" w:cs="Arial"/>
          <w:b/>
          <w:noProof/>
          <w:sz w:val="20"/>
          <w:szCs w:val="24"/>
          <w:lang w:val="en-US" w:eastAsia="fr-FR"/>
        </w:rPr>
        <w:t>D</w:t>
      </w:r>
      <w:r w:rsidR="00772959" w:rsidRPr="003C5866">
        <w:rPr>
          <w:rFonts w:ascii="Arial" w:hAnsi="Arial" w:cs="Arial"/>
          <w:noProof/>
          <w:sz w:val="24"/>
          <w:szCs w:val="24"/>
          <w:lang w:eastAsia="fr-FR"/>
        </w:rPr>
        <w:drawing>
          <wp:inline distT="0" distB="0" distL="0" distR="0" wp14:anchorId="18ACBC62" wp14:editId="35C3B932">
            <wp:extent cx="2705735" cy="2114945"/>
            <wp:effectExtent l="0" t="0" r="12065" b="6350"/>
            <wp:docPr id="22" name="Chart 22">
              <a:extLst xmlns:a="http://schemas.openxmlformats.org/drawingml/2006/main">
                <a:ext uri="{FF2B5EF4-FFF2-40B4-BE49-F238E27FC236}">
                  <a16:creationId xmlns:a16="http://schemas.microsoft.com/office/drawing/2014/main" id="{F20806BB-C096-4B07-BC23-837A3153E3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065D5F" w:rsidRPr="003C5866">
        <w:rPr>
          <w:rFonts w:ascii="Arial" w:hAnsi="Arial" w:cs="Arial"/>
          <w:b/>
          <w:noProof/>
          <w:sz w:val="20"/>
          <w:szCs w:val="24"/>
          <w:lang w:val="en-US" w:eastAsia="fr-FR"/>
        </w:rPr>
        <w:t>E</w:t>
      </w:r>
      <w:r w:rsidR="00065D5F" w:rsidRPr="003C5866">
        <w:rPr>
          <w:rFonts w:ascii="Arial" w:hAnsi="Arial" w:cs="Arial"/>
          <w:noProof/>
          <w:sz w:val="24"/>
          <w:szCs w:val="24"/>
          <w:lang w:eastAsia="fr-FR"/>
        </w:rPr>
        <w:drawing>
          <wp:inline distT="0" distB="0" distL="0" distR="0" wp14:anchorId="30A4727B" wp14:editId="2FC89ED1">
            <wp:extent cx="2711450" cy="2103755"/>
            <wp:effectExtent l="0" t="0" r="6350" b="17145"/>
            <wp:docPr id="23" name="Chart 23">
              <a:extLst xmlns:a="http://schemas.openxmlformats.org/drawingml/2006/main">
                <a:ext uri="{FF2B5EF4-FFF2-40B4-BE49-F238E27FC236}">
                  <a16:creationId xmlns:a16="http://schemas.microsoft.com/office/drawing/2014/main" id="{22E6988B-D821-631C-945E-32A6106E25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C608D0">
        <w:rPr>
          <w:rFonts w:ascii="Arial" w:hAnsi="Arial" w:cs="Arial"/>
          <w:b/>
          <w:noProof/>
          <w:sz w:val="20"/>
          <w:szCs w:val="24"/>
          <w:lang w:val="en-US" w:eastAsia="fr-FR"/>
        </w:rPr>
        <w:t xml:space="preserve"> </w:t>
      </w:r>
      <w:r w:rsidR="00065D5F" w:rsidRPr="003C5866">
        <w:rPr>
          <w:rFonts w:ascii="Arial" w:hAnsi="Arial" w:cs="Arial"/>
          <w:b/>
          <w:noProof/>
          <w:sz w:val="20"/>
          <w:szCs w:val="24"/>
          <w:lang w:val="en-US" w:eastAsia="fr-FR"/>
        </w:rPr>
        <w:t>F</w:t>
      </w:r>
      <w:r w:rsidR="00772959" w:rsidRPr="003C5866">
        <w:rPr>
          <w:rFonts w:ascii="Arial" w:hAnsi="Arial" w:cs="Arial"/>
          <w:noProof/>
          <w:sz w:val="24"/>
          <w:szCs w:val="24"/>
          <w:lang w:eastAsia="fr-FR"/>
        </w:rPr>
        <w:drawing>
          <wp:inline distT="0" distB="0" distL="0" distR="0" wp14:anchorId="3E81925D" wp14:editId="0BD8DCD8">
            <wp:extent cx="2693035" cy="2105609"/>
            <wp:effectExtent l="0" t="0" r="12065" b="15875"/>
            <wp:docPr id="21" name="Chart 21">
              <a:extLst xmlns:a="http://schemas.openxmlformats.org/drawingml/2006/main">
                <a:ext uri="{FF2B5EF4-FFF2-40B4-BE49-F238E27FC236}">
                  <a16:creationId xmlns:a16="http://schemas.microsoft.com/office/drawing/2014/main" id="{F20806BB-C096-4B07-BC23-837A3153E3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84C1717" w14:textId="77777777" w:rsidR="00525E6D" w:rsidRPr="00DA193B" w:rsidRDefault="003C5866" w:rsidP="00237ED6">
      <w:pPr>
        <w:spacing w:after="0" w:line="360" w:lineRule="auto"/>
        <w:jc w:val="both"/>
        <w:rPr>
          <w:rFonts w:ascii="Arial" w:eastAsia="MS Mincho" w:hAnsi="Arial" w:cs="Arial"/>
          <w:b/>
          <w:sz w:val="20"/>
          <w:szCs w:val="24"/>
          <w:lang w:val="en-US"/>
        </w:rPr>
      </w:pPr>
      <w:r w:rsidRPr="003C5866">
        <w:rPr>
          <w:rFonts w:ascii="Arial" w:hAnsi="Arial" w:cs="Arial"/>
          <w:b/>
          <w:noProof/>
          <w:color w:val="000000" w:themeColor="text1"/>
          <w:sz w:val="20"/>
          <w:szCs w:val="24"/>
          <w:lang w:val="en-US" w:eastAsia="fr-FR"/>
        </w:rPr>
        <w:t>Fig.</w:t>
      </w:r>
      <w:r w:rsidR="00ED64E1" w:rsidRPr="003C5866">
        <w:rPr>
          <w:rFonts w:ascii="Arial" w:hAnsi="Arial" w:cs="Arial"/>
          <w:b/>
          <w:noProof/>
          <w:color w:val="000000" w:themeColor="text1"/>
          <w:sz w:val="20"/>
          <w:szCs w:val="24"/>
          <w:lang w:val="en-US" w:eastAsia="fr-FR"/>
        </w:rPr>
        <w:t xml:space="preserve"> 4</w:t>
      </w:r>
      <w:r w:rsidRPr="003C5866">
        <w:rPr>
          <w:rFonts w:ascii="Arial" w:hAnsi="Arial" w:cs="Arial"/>
          <w:b/>
          <w:noProof/>
          <w:color w:val="000000" w:themeColor="text1"/>
          <w:sz w:val="20"/>
          <w:szCs w:val="24"/>
          <w:lang w:val="en-US" w:eastAsia="fr-FR"/>
        </w:rPr>
        <w:t>.</w:t>
      </w:r>
      <w:r w:rsidR="00AC5D8A" w:rsidRPr="003C5866">
        <w:rPr>
          <w:rFonts w:ascii="Arial" w:hAnsi="Arial" w:cs="Arial"/>
          <w:b/>
          <w:noProof/>
          <w:color w:val="000000" w:themeColor="text1"/>
          <w:sz w:val="20"/>
          <w:szCs w:val="24"/>
          <w:lang w:val="en-US" w:eastAsia="fr-FR"/>
        </w:rPr>
        <w:t xml:space="preserve"> </w:t>
      </w:r>
      <w:r w:rsidR="00D11E5D" w:rsidRPr="003C5866">
        <w:rPr>
          <w:rFonts w:ascii="Arial" w:eastAsia="MS Mincho" w:hAnsi="Arial" w:cs="Arial"/>
          <w:b/>
          <w:sz w:val="20"/>
          <w:szCs w:val="24"/>
          <w:lang w:val="en-US"/>
        </w:rPr>
        <w:t xml:space="preserve">Repellent and lethal effects of the different modalities (BP1, BP2, BP3, BP4, C- and C+) on the insects </w:t>
      </w:r>
      <w:proofErr w:type="spellStart"/>
      <w:r w:rsidR="00D11E5D" w:rsidRPr="003C5866">
        <w:rPr>
          <w:rFonts w:ascii="Arial" w:eastAsia="MS Mincho" w:hAnsi="Arial" w:cs="Arial"/>
          <w:b/>
          <w:i/>
          <w:sz w:val="20"/>
          <w:szCs w:val="24"/>
          <w:lang w:val="en-US"/>
        </w:rPr>
        <w:t>Aphidoidea</w:t>
      </w:r>
      <w:proofErr w:type="spellEnd"/>
      <w:r w:rsidR="00D11E5D" w:rsidRPr="003C5866">
        <w:rPr>
          <w:rFonts w:ascii="Arial" w:eastAsia="MS Mincho" w:hAnsi="Arial" w:cs="Arial"/>
          <w:b/>
          <w:sz w:val="20"/>
          <w:szCs w:val="24"/>
          <w:lang w:val="en-US"/>
        </w:rPr>
        <w:t xml:space="preserve"> (A, B), </w:t>
      </w:r>
      <w:proofErr w:type="spellStart"/>
      <w:r w:rsidR="00D11E5D" w:rsidRPr="003C5866">
        <w:rPr>
          <w:rFonts w:ascii="Arial" w:eastAsia="MS Mincho" w:hAnsi="Arial" w:cs="Arial"/>
          <w:b/>
          <w:i/>
          <w:sz w:val="20"/>
          <w:szCs w:val="24"/>
          <w:lang w:val="en-US"/>
        </w:rPr>
        <w:t>Zonocerus</w:t>
      </w:r>
      <w:proofErr w:type="spellEnd"/>
      <w:r w:rsidR="00D11E5D" w:rsidRPr="003C5866">
        <w:rPr>
          <w:rFonts w:ascii="Arial" w:eastAsia="MS Mincho" w:hAnsi="Arial" w:cs="Arial"/>
          <w:b/>
          <w:i/>
          <w:sz w:val="20"/>
          <w:szCs w:val="24"/>
          <w:lang w:val="en-US"/>
        </w:rPr>
        <w:t xml:space="preserve"> variegatus</w:t>
      </w:r>
      <w:r w:rsidR="00D11E5D" w:rsidRPr="003C5866">
        <w:rPr>
          <w:rFonts w:ascii="Arial" w:eastAsia="MS Mincho" w:hAnsi="Arial" w:cs="Arial"/>
          <w:b/>
          <w:sz w:val="20"/>
          <w:szCs w:val="24"/>
          <w:lang w:val="en-US"/>
        </w:rPr>
        <w:t xml:space="preserve"> (C, D) and</w:t>
      </w:r>
      <w:r w:rsidR="00AC5D8A" w:rsidRPr="003C5866">
        <w:rPr>
          <w:rFonts w:ascii="Arial" w:eastAsia="Times New Roman" w:hAnsi="Arial" w:cs="Arial"/>
          <w:b/>
          <w:i/>
          <w:color w:val="000000"/>
          <w:sz w:val="20"/>
          <w:szCs w:val="24"/>
          <w:lang w:val="en-US" w:eastAsia="fr-FR"/>
        </w:rPr>
        <w:t xml:space="preserve"> Cosmopolites sordid</w:t>
      </w:r>
      <w:r w:rsidR="00AC5D8A" w:rsidRPr="003C5866">
        <w:rPr>
          <w:rFonts w:ascii="Arial" w:eastAsia="Times New Roman" w:hAnsi="Arial" w:cs="Arial"/>
          <w:b/>
          <w:color w:val="000000"/>
          <w:sz w:val="20"/>
          <w:szCs w:val="24"/>
          <w:lang w:val="en-US" w:eastAsia="fr-FR"/>
        </w:rPr>
        <w:t xml:space="preserve">us </w:t>
      </w:r>
      <w:r w:rsidR="004E2C38" w:rsidRPr="003C5866">
        <w:rPr>
          <w:rFonts w:ascii="Arial" w:eastAsia="Times New Roman" w:hAnsi="Arial" w:cs="Arial"/>
          <w:b/>
          <w:color w:val="000000"/>
          <w:sz w:val="20"/>
          <w:szCs w:val="24"/>
          <w:lang w:val="en-US" w:eastAsia="fr-FR"/>
        </w:rPr>
        <w:t>(E, F)</w:t>
      </w:r>
      <w:r w:rsidR="00D11E5D" w:rsidRPr="003C5866">
        <w:rPr>
          <w:rFonts w:ascii="Arial" w:eastAsia="MS Mincho" w:hAnsi="Arial" w:cs="Arial"/>
          <w:b/>
          <w:sz w:val="20"/>
          <w:szCs w:val="24"/>
          <w:lang w:val="en-US"/>
        </w:rPr>
        <w:t>.</w:t>
      </w:r>
    </w:p>
    <w:p w14:paraId="4A1EBF19" w14:textId="77777777" w:rsidR="003C5866" w:rsidRDefault="00D11E5D" w:rsidP="00237ED6">
      <w:pPr>
        <w:spacing w:after="0" w:line="360" w:lineRule="auto"/>
        <w:jc w:val="center"/>
        <w:rPr>
          <w:rFonts w:ascii="Arial" w:hAnsi="Arial" w:cs="Arial"/>
          <w:i/>
          <w:noProof/>
          <w:sz w:val="20"/>
          <w:szCs w:val="24"/>
          <w:vertAlign w:val="superscript"/>
          <w:lang w:val="en-US" w:eastAsia="fr-FR"/>
        </w:rPr>
      </w:pPr>
      <w:r w:rsidRPr="003C5866">
        <w:rPr>
          <w:rFonts w:ascii="Arial" w:eastAsia="MS Mincho" w:hAnsi="Arial" w:cs="Arial"/>
          <w:i/>
          <w:sz w:val="20"/>
          <w:szCs w:val="24"/>
          <w:vertAlign w:val="superscript"/>
          <w:lang w:val="en-US"/>
        </w:rPr>
        <w:t>Each bar represents the standard deviation of three replicates per treatment, and the letters (a, b, c) indicate the statistical means of</w:t>
      </w:r>
      <w:r w:rsidR="00C931E9">
        <w:rPr>
          <w:rFonts w:ascii="Arial" w:eastAsia="MS Mincho" w:hAnsi="Arial" w:cs="Arial"/>
          <w:i/>
          <w:sz w:val="20"/>
          <w:szCs w:val="24"/>
          <w:vertAlign w:val="superscript"/>
          <w:lang w:val="en-US"/>
        </w:rPr>
        <w:t xml:space="preserve"> the groups based on ANOVA (P&lt;</w:t>
      </w:r>
      <w:r w:rsidR="00CB5CD1">
        <w:rPr>
          <w:rFonts w:ascii="Arial" w:eastAsia="MS Mincho" w:hAnsi="Arial" w:cs="Arial"/>
          <w:i/>
          <w:sz w:val="20"/>
          <w:szCs w:val="24"/>
          <w:vertAlign w:val="superscript"/>
          <w:lang w:val="en-US"/>
        </w:rPr>
        <w:t xml:space="preserve"> .</w:t>
      </w:r>
      <w:r w:rsidRPr="003C5866">
        <w:rPr>
          <w:rFonts w:ascii="Arial" w:eastAsia="MS Mincho" w:hAnsi="Arial" w:cs="Arial"/>
          <w:i/>
          <w:sz w:val="20"/>
          <w:szCs w:val="24"/>
          <w:vertAlign w:val="superscript"/>
          <w:lang w:val="en-US"/>
        </w:rPr>
        <w:t>.05).</w:t>
      </w:r>
    </w:p>
    <w:p w14:paraId="1895F195" w14:textId="090C138A" w:rsidR="00DA193B" w:rsidRDefault="00DA193B" w:rsidP="00DA193B">
      <w:pPr>
        <w:spacing w:after="0" w:line="240" w:lineRule="auto"/>
        <w:jc w:val="both"/>
        <w:rPr>
          <w:rFonts w:ascii="Arial" w:hAnsi="Arial" w:cs="Arial"/>
          <w:i/>
          <w:noProof/>
          <w:sz w:val="20"/>
          <w:szCs w:val="24"/>
          <w:vertAlign w:val="superscript"/>
          <w:lang w:val="en-US" w:eastAsia="fr-FR"/>
        </w:rPr>
      </w:pPr>
    </w:p>
    <w:p w14:paraId="2F56525A" w14:textId="77777777" w:rsidR="0095118F" w:rsidRPr="003C5866" w:rsidRDefault="0095118F" w:rsidP="00DA193B">
      <w:pPr>
        <w:spacing w:after="0" w:line="240" w:lineRule="auto"/>
        <w:jc w:val="both"/>
        <w:rPr>
          <w:rFonts w:ascii="Arial" w:hAnsi="Arial" w:cs="Arial"/>
          <w:i/>
          <w:noProof/>
          <w:sz w:val="20"/>
          <w:szCs w:val="24"/>
          <w:vertAlign w:val="superscript"/>
          <w:lang w:val="en-US" w:eastAsia="fr-FR"/>
        </w:rPr>
      </w:pPr>
    </w:p>
    <w:p w14:paraId="4B61B041" w14:textId="77777777" w:rsidR="005C0595" w:rsidRPr="003C5866" w:rsidRDefault="00525E6D" w:rsidP="00AC5D8A">
      <w:pPr>
        <w:pStyle w:val="Heading4"/>
        <w:spacing w:line="480" w:lineRule="auto"/>
        <w:jc w:val="both"/>
        <w:rPr>
          <w:rFonts w:ascii="Arial" w:hAnsi="Arial" w:cs="Arial"/>
          <w:b/>
          <w:i w:val="0"/>
          <w:color w:val="000000" w:themeColor="text1"/>
          <w:szCs w:val="24"/>
          <w:lang w:val="en-US"/>
        </w:rPr>
      </w:pPr>
      <w:r w:rsidRPr="003C5866">
        <w:rPr>
          <w:rFonts w:ascii="Arial" w:hAnsi="Arial" w:cs="Arial"/>
          <w:b/>
          <w:i w:val="0"/>
          <w:noProof/>
          <w:color w:val="000000" w:themeColor="text1"/>
          <w:szCs w:val="24"/>
          <w:lang w:val="en-US" w:eastAsia="fr-FR"/>
        </w:rPr>
        <w:t>3.5.</w:t>
      </w:r>
      <w:r w:rsidR="00AC5D8A" w:rsidRPr="003C5866">
        <w:rPr>
          <w:rFonts w:ascii="Arial" w:hAnsi="Arial" w:cs="Arial"/>
          <w:b/>
          <w:i w:val="0"/>
          <w:noProof/>
          <w:color w:val="000000" w:themeColor="text1"/>
          <w:szCs w:val="24"/>
          <w:lang w:val="en-US" w:eastAsia="fr-FR"/>
        </w:rPr>
        <w:t xml:space="preserve"> </w:t>
      </w:r>
      <w:r w:rsidR="00BD3800" w:rsidRPr="00BD3800">
        <w:rPr>
          <w:rFonts w:ascii="Arial" w:hAnsi="Arial" w:cs="Arial"/>
          <w:b/>
          <w:i w:val="0"/>
          <w:color w:val="000000" w:themeColor="text1"/>
          <w:szCs w:val="24"/>
          <w:lang w:val="en-US"/>
        </w:rPr>
        <w:t>N</w:t>
      </w:r>
      <w:r w:rsidR="00BD3800">
        <w:rPr>
          <w:rFonts w:ascii="Arial" w:hAnsi="Arial" w:cs="Arial"/>
          <w:b/>
          <w:i w:val="0"/>
          <w:color w:val="000000" w:themeColor="text1"/>
          <w:szCs w:val="24"/>
          <w:lang w:val="en-US"/>
        </w:rPr>
        <w:t>e</w:t>
      </w:r>
      <w:r w:rsidR="00BD3800" w:rsidRPr="00BD3800">
        <w:rPr>
          <w:rFonts w:ascii="Arial" w:hAnsi="Arial" w:cs="Arial"/>
          <w:b/>
          <w:i w:val="0"/>
          <w:color w:val="000000" w:themeColor="text1"/>
          <w:szCs w:val="24"/>
          <w:lang w:val="en-US"/>
        </w:rPr>
        <w:t>maticidal e</w:t>
      </w:r>
      <w:r w:rsidR="00797A15" w:rsidRPr="00BD3800">
        <w:rPr>
          <w:rFonts w:ascii="Arial" w:hAnsi="Arial" w:cs="Arial"/>
          <w:b/>
          <w:i w:val="0"/>
          <w:color w:val="000000" w:themeColor="text1"/>
          <w:szCs w:val="24"/>
          <w:lang w:val="en-US"/>
        </w:rPr>
        <w:t xml:space="preserve">ffect of biopesticides </w:t>
      </w:r>
    </w:p>
    <w:p w14:paraId="7DB38041" w14:textId="77777777" w:rsidR="003C5866" w:rsidRDefault="00833D58" w:rsidP="003C5866">
      <w:pPr>
        <w:spacing w:line="360" w:lineRule="auto"/>
        <w:jc w:val="both"/>
        <w:rPr>
          <w:rFonts w:ascii="Arial" w:hAnsi="Arial" w:cs="Arial"/>
          <w:color w:val="000000" w:themeColor="text1"/>
          <w:sz w:val="20"/>
          <w:szCs w:val="24"/>
          <w:lang w:val="en-US"/>
        </w:rPr>
      </w:pPr>
      <w:r w:rsidRPr="003C5866">
        <w:rPr>
          <w:rFonts w:ascii="Arial" w:hAnsi="Arial" w:cs="Arial"/>
          <w:sz w:val="20"/>
          <w:szCs w:val="24"/>
          <w:lang w:val="en-US"/>
        </w:rPr>
        <w:t>Analysis of variance (ANOVA) of the effect of biopesticides (BP1, BP2, BP3</w:t>
      </w:r>
      <w:r w:rsidR="00A412D3">
        <w:rPr>
          <w:rFonts w:ascii="Arial" w:hAnsi="Arial" w:cs="Arial"/>
          <w:sz w:val="20"/>
          <w:szCs w:val="24"/>
          <w:lang w:val="en-US"/>
        </w:rPr>
        <w:t xml:space="preserve"> and</w:t>
      </w:r>
      <w:r w:rsidRPr="003C5866">
        <w:rPr>
          <w:rFonts w:ascii="Arial" w:hAnsi="Arial" w:cs="Arial"/>
          <w:sz w:val="20"/>
          <w:szCs w:val="24"/>
          <w:lang w:val="en-US"/>
        </w:rPr>
        <w:t xml:space="preserve"> BP4) on nematodes (</w:t>
      </w:r>
      <w:proofErr w:type="spellStart"/>
      <w:r w:rsidRPr="003C5866">
        <w:rPr>
          <w:rFonts w:ascii="Arial" w:hAnsi="Arial" w:cs="Arial"/>
          <w:i/>
          <w:color w:val="000000" w:themeColor="text1"/>
          <w:sz w:val="20"/>
          <w:szCs w:val="24"/>
          <w:lang w:val="en-US"/>
        </w:rPr>
        <w:t>Radopholus</w:t>
      </w:r>
      <w:proofErr w:type="spellEnd"/>
      <w:r w:rsidRPr="003C5866">
        <w:rPr>
          <w:rFonts w:ascii="Arial" w:hAnsi="Arial" w:cs="Arial"/>
          <w:i/>
          <w:color w:val="000000" w:themeColor="text1"/>
          <w:sz w:val="20"/>
          <w:szCs w:val="24"/>
          <w:lang w:val="en-US"/>
        </w:rPr>
        <w:t xml:space="preserve"> </w:t>
      </w:r>
      <w:proofErr w:type="spellStart"/>
      <w:r w:rsidRPr="003C5866">
        <w:rPr>
          <w:rFonts w:ascii="Arial" w:hAnsi="Arial" w:cs="Arial"/>
          <w:i/>
          <w:color w:val="000000" w:themeColor="text1"/>
          <w:sz w:val="20"/>
          <w:szCs w:val="24"/>
          <w:lang w:val="en-US"/>
        </w:rPr>
        <w:t>similis</w:t>
      </w:r>
      <w:proofErr w:type="spellEnd"/>
      <w:r w:rsidRPr="003C5866">
        <w:rPr>
          <w:rFonts w:ascii="Arial" w:hAnsi="Arial" w:cs="Arial"/>
          <w:color w:val="000000" w:themeColor="text1"/>
          <w:sz w:val="20"/>
          <w:szCs w:val="24"/>
          <w:lang w:val="en-US"/>
        </w:rPr>
        <w:t>)</w:t>
      </w:r>
      <w:r w:rsidRPr="003C5866">
        <w:rPr>
          <w:rFonts w:ascii="Arial" w:eastAsia="Times New Roman" w:hAnsi="Arial" w:cs="Arial"/>
          <w:color w:val="000000"/>
          <w:sz w:val="20"/>
          <w:szCs w:val="24"/>
          <w:lang w:val="en-US" w:eastAsia="fr-FR"/>
        </w:rPr>
        <w:t xml:space="preserve"> </w:t>
      </w:r>
      <w:r w:rsidR="00797A15" w:rsidRPr="003C5866">
        <w:rPr>
          <w:rFonts w:ascii="Arial" w:hAnsi="Arial" w:cs="Arial"/>
          <w:sz w:val="20"/>
          <w:szCs w:val="24"/>
          <w:lang w:val="en-US"/>
        </w:rPr>
        <w:t>rev</w:t>
      </w:r>
      <w:r w:rsidR="00AC5D8A" w:rsidRPr="003C5866">
        <w:rPr>
          <w:rFonts w:ascii="Arial" w:hAnsi="Arial" w:cs="Arial"/>
          <w:sz w:val="20"/>
          <w:szCs w:val="24"/>
          <w:lang w:val="en-US"/>
        </w:rPr>
        <w:t>ealed a significant effect (</w:t>
      </w:r>
      <w:r w:rsidR="0022252F" w:rsidRPr="00C931E9">
        <w:rPr>
          <w:rFonts w:ascii="Arial" w:hAnsi="Arial" w:cs="Arial"/>
          <w:i/>
          <w:sz w:val="20"/>
          <w:szCs w:val="24"/>
          <w:lang w:val="en-US"/>
        </w:rPr>
        <w:t>P</w:t>
      </w:r>
      <w:r w:rsidR="0022252F" w:rsidRPr="003C5866">
        <w:rPr>
          <w:rFonts w:ascii="Arial" w:hAnsi="Arial" w:cs="Arial"/>
          <w:sz w:val="20"/>
          <w:szCs w:val="24"/>
          <w:lang w:val="en-US"/>
        </w:rPr>
        <w:t>&lt;</w:t>
      </w:r>
      <w:r w:rsidR="00A412D3">
        <w:rPr>
          <w:rFonts w:ascii="Arial" w:hAnsi="Arial" w:cs="Arial"/>
          <w:sz w:val="20"/>
          <w:szCs w:val="24"/>
          <w:lang w:val="en-US"/>
        </w:rPr>
        <w:t xml:space="preserve"> 0</w:t>
      </w:r>
      <w:r w:rsidR="007815D1" w:rsidRPr="003C5866">
        <w:rPr>
          <w:rFonts w:ascii="Arial" w:hAnsi="Arial" w:cs="Arial"/>
          <w:sz w:val="20"/>
          <w:szCs w:val="24"/>
          <w:lang w:val="en-US"/>
        </w:rPr>
        <w:t>.001</w:t>
      </w:r>
      <w:r w:rsidR="00797A15" w:rsidRPr="003C5866">
        <w:rPr>
          <w:rFonts w:ascii="Arial" w:hAnsi="Arial" w:cs="Arial"/>
          <w:sz w:val="20"/>
          <w:szCs w:val="24"/>
          <w:lang w:val="en-US"/>
        </w:rPr>
        <w:t>) of the modality variable with a coefficient of determination (R²) of 100% (Table 5).</w:t>
      </w:r>
      <w:r w:rsidR="003C5866" w:rsidRPr="003C5866">
        <w:rPr>
          <w:rFonts w:ascii="Arial" w:hAnsi="Arial" w:cs="Arial"/>
          <w:sz w:val="20"/>
          <w:szCs w:val="24"/>
          <w:lang w:val="en-US"/>
        </w:rPr>
        <w:t xml:space="preserve"> The biopesticides (BP1, BP2, BP3</w:t>
      </w:r>
      <w:r w:rsidR="00A412D3">
        <w:rPr>
          <w:rFonts w:ascii="Arial" w:hAnsi="Arial" w:cs="Arial"/>
          <w:sz w:val="20"/>
          <w:szCs w:val="24"/>
          <w:lang w:val="en-US"/>
        </w:rPr>
        <w:t xml:space="preserve"> and</w:t>
      </w:r>
      <w:r w:rsidR="003C5866" w:rsidRPr="003C5866">
        <w:rPr>
          <w:rFonts w:ascii="Arial" w:hAnsi="Arial" w:cs="Arial"/>
          <w:sz w:val="20"/>
          <w:szCs w:val="24"/>
          <w:lang w:val="en-US"/>
        </w:rPr>
        <w:t xml:space="preserve"> BP4) showed a </w:t>
      </w:r>
      <w:r w:rsidR="003C5866" w:rsidRPr="003C5866">
        <w:rPr>
          <w:rFonts w:ascii="Arial" w:hAnsi="Arial" w:cs="Arial"/>
          <w:sz w:val="20"/>
          <w:szCs w:val="24"/>
          <w:lang w:val="en-US"/>
        </w:rPr>
        <w:lastRenderedPageBreak/>
        <w:t>significant nematic</w:t>
      </w:r>
      <w:r w:rsidR="003C5866" w:rsidRPr="00A412D3">
        <w:rPr>
          <w:rFonts w:ascii="Arial" w:hAnsi="Arial" w:cs="Arial"/>
          <w:sz w:val="20"/>
          <w:szCs w:val="24"/>
          <w:lang w:val="en-US"/>
        </w:rPr>
        <w:t>id</w:t>
      </w:r>
      <w:r w:rsidR="00A412D3" w:rsidRPr="0080230B">
        <w:rPr>
          <w:rFonts w:ascii="Arial" w:hAnsi="Arial" w:cs="Arial"/>
          <w:sz w:val="20"/>
          <w:szCs w:val="24"/>
          <w:lang w:val="en-US"/>
        </w:rPr>
        <w:t>al</w:t>
      </w:r>
      <w:r w:rsidR="003C5866" w:rsidRPr="003C5866">
        <w:rPr>
          <w:rFonts w:ascii="Arial" w:hAnsi="Arial" w:cs="Arial"/>
          <w:sz w:val="20"/>
          <w:szCs w:val="24"/>
          <w:lang w:val="en-US"/>
        </w:rPr>
        <w:t xml:space="preserve"> effect (</w:t>
      </w:r>
      <w:r w:rsidR="003C5866" w:rsidRPr="003C5866">
        <w:rPr>
          <w:rFonts w:ascii="Arial" w:hAnsi="Arial" w:cs="Arial"/>
          <w:i/>
          <w:sz w:val="20"/>
          <w:szCs w:val="24"/>
          <w:lang w:val="en-US"/>
        </w:rPr>
        <w:t>P</w:t>
      </w:r>
      <w:r w:rsidR="00C931E9">
        <w:rPr>
          <w:rFonts w:ascii="Arial" w:hAnsi="Arial" w:cs="Arial"/>
          <w:sz w:val="20"/>
          <w:szCs w:val="24"/>
          <w:lang w:val="en-US"/>
        </w:rPr>
        <w:t>&lt;</w:t>
      </w:r>
      <w:r w:rsidR="00A412D3">
        <w:rPr>
          <w:rFonts w:ascii="Arial" w:hAnsi="Arial" w:cs="Arial"/>
          <w:sz w:val="20"/>
          <w:szCs w:val="24"/>
          <w:lang w:val="en-US"/>
        </w:rPr>
        <w:t xml:space="preserve"> 0</w:t>
      </w:r>
      <w:r w:rsidR="003C5866" w:rsidRPr="003C5866">
        <w:rPr>
          <w:rFonts w:ascii="Arial" w:hAnsi="Arial" w:cs="Arial"/>
          <w:sz w:val="20"/>
          <w:szCs w:val="24"/>
          <w:lang w:val="en-US"/>
        </w:rPr>
        <w:t xml:space="preserve">.001) on </w:t>
      </w:r>
      <w:proofErr w:type="spellStart"/>
      <w:r w:rsidR="003C5866" w:rsidRPr="003C5866">
        <w:rPr>
          <w:rFonts w:ascii="Arial" w:hAnsi="Arial" w:cs="Arial"/>
          <w:i/>
          <w:color w:val="000000" w:themeColor="text1"/>
          <w:sz w:val="20"/>
          <w:szCs w:val="24"/>
          <w:lang w:val="en-US"/>
        </w:rPr>
        <w:t>Radopholus</w:t>
      </w:r>
      <w:proofErr w:type="spellEnd"/>
      <w:r w:rsidR="003C5866" w:rsidRPr="003C5866">
        <w:rPr>
          <w:rFonts w:ascii="Arial" w:hAnsi="Arial" w:cs="Arial"/>
          <w:i/>
          <w:color w:val="000000" w:themeColor="text1"/>
          <w:sz w:val="20"/>
          <w:szCs w:val="24"/>
          <w:lang w:val="en-US"/>
        </w:rPr>
        <w:t xml:space="preserve"> </w:t>
      </w:r>
      <w:proofErr w:type="spellStart"/>
      <w:r w:rsidR="003C5866" w:rsidRPr="003C5866">
        <w:rPr>
          <w:rFonts w:ascii="Arial" w:hAnsi="Arial" w:cs="Arial"/>
          <w:i/>
          <w:color w:val="000000" w:themeColor="text1"/>
          <w:sz w:val="20"/>
          <w:szCs w:val="24"/>
          <w:lang w:val="en-US"/>
        </w:rPr>
        <w:t>similis</w:t>
      </w:r>
      <w:proofErr w:type="spellEnd"/>
      <w:r w:rsidR="003C5866" w:rsidRPr="003C5866">
        <w:rPr>
          <w:rFonts w:ascii="Arial" w:hAnsi="Arial" w:cs="Arial"/>
          <w:color w:val="000000" w:themeColor="text1"/>
          <w:sz w:val="20"/>
          <w:szCs w:val="24"/>
          <w:lang w:val="en-US"/>
        </w:rPr>
        <w:t>.</w:t>
      </w:r>
      <w:r w:rsidR="003C5866" w:rsidRPr="003C5866">
        <w:rPr>
          <w:rFonts w:ascii="Arial" w:hAnsi="Arial" w:cs="Arial"/>
          <w:i/>
          <w:color w:val="000000" w:themeColor="text1"/>
          <w:sz w:val="20"/>
          <w:szCs w:val="24"/>
          <w:lang w:val="en-US"/>
        </w:rPr>
        <w:t xml:space="preserve"> </w:t>
      </w:r>
      <w:r w:rsidR="003C5866" w:rsidRPr="003C5866">
        <w:rPr>
          <w:rFonts w:ascii="Arial" w:hAnsi="Arial" w:cs="Arial"/>
          <w:color w:val="000000" w:themeColor="text1"/>
          <w:sz w:val="20"/>
          <w:szCs w:val="24"/>
          <w:lang w:val="en-US"/>
        </w:rPr>
        <w:t>After four hours of incubation, all biopesticides induced high nematode mortality, with an overall rate of 100% comparable to that observed with the positive control (C+) (Figure 5). In contrast, the negative control (C-) had no effect, inducing no nematode mortality. However</w:t>
      </w:r>
      <w:r w:rsidR="00DA193B">
        <w:rPr>
          <w:rFonts w:ascii="Arial" w:hAnsi="Arial" w:cs="Arial"/>
          <w:color w:val="000000" w:themeColor="text1"/>
          <w:sz w:val="20"/>
          <w:szCs w:val="24"/>
          <w:lang w:val="en-US"/>
        </w:rPr>
        <w:t xml:space="preserve">, no significant difference was </w:t>
      </w:r>
      <w:r w:rsidR="003C5866" w:rsidRPr="003C5866">
        <w:rPr>
          <w:rFonts w:ascii="Arial" w:hAnsi="Arial" w:cs="Arial"/>
          <w:color w:val="000000" w:themeColor="text1"/>
          <w:sz w:val="20"/>
          <w:szCs w:val="24"/>
          <w:lang w:val="en-US"/>
        </w:rPr>
        <w:t>observed between the different biopesticides.</w:t>
      </w:r>
    </w:p>
    <w:p w14:paraId="6A4C4B3A" w14:textId="77777777" w:rsidR="00A412D3" w:rsidRPr="003C5866" w:rsidRDefault="00A412D3" w:rsidP="003C5866">
      <w:pPr>
        <w:spacing w:line="360" w:lineRule="auto"/>
        <w:jc w:val="both"/>
        <w:rPr>
          <w:rFonts w:ascii="Arial" w:hAnsi="Arial" w:cs="Arial"/>
          <w:sz w:val="20"/>
          <w:szCs w:val="24"/>
          <w:lang w:val="en-US"/>
        </w:rPr>
      </w:pPr>
    </w:p>
    <w:p w14:paraId="0BEED59A" w14:textId="77777777" w:rsidR="00D70307" w:rsidRPr="00DA193B" w:rsidRDefault="00D70307" w:rsidP="003C5866">
      <w:pPr>
        <w:spacing w:after="0" w:line="480" w:lineRule="auto"/>
        <w:jc w:val="both"/>
        <w:rPr>
          <w:rFonts w:ascii="Arial" w:hAnsi="Arial" w:cs="Arial"/>
          <w:b/>
          <w:sz w:val="20"/>
          <w:szCs w:val="20"/>
          <w:lang w:val="en-US"/>
        </w:rPr>
      </w:pPr>
      <w:r w:rsidRPr="00DA193B">
        <w:rPr>
          <w:rFonts w:ascii="Arial" w:hAnsi="Arial" w:cs="Arial"/>
          <w:b/>
          <w:sz w:val="20"/>
          <w:szCs w:val="20"/>
          <w:lang w:val="en-US"/>
        </w:rPr>
        <w:t>Table 5</w:t>
      </w:r>
      <w:r w:rsidR="00AC5D8A" w:rsidRPr="00DA193B">
        <w:rPr>
          <w:rFonts w:ascii="Arial" w:hAnsi="Arial" w:cs="Arial"/>
          <w:b/>
          <w:sz w:val="20"/>
          <w:szCs w:val="20"/>
          <w:lang w:val="en-US"/>
        </w:rPr>
        <w:t xml:space="preserve">. </w:t>
      </w:r>
      <w:r w:rsidRPr="00DA193B">
        <w:rPr>
          <w:rFonts w:ascii="Arial" w:hAnsi="Arial" w:cs="Arial"/>
          <w:b/>
          <w:sz w:val="20"/>
          <w:szCs w:val="20"/>
          <w:lang w:val="en-US"/>
        </w:rPr>
        <w:t>Analysis of variance (ANOVA) of the effect of biopesticides (BP1, BP2, BP3 and BP4) on bacterial growth of</w:t>
      </w:r>
      <w:r w:rsidR="00AC5D8A" w:rsidRPr="00DA193B">
        <w:rPr>
          <w:rFonts w:ascii="Arial" w:hAnsi="Arial" w:cs="Arial"/>
          <w:b/>
          <w:sz w:val="20"/>
          <w:szCs w:val="20"/>
          <w:lang w:val="en-US"/>
        </w:rPr>
        <w:t xml:space="preserve"> </w:t>
      </w:r>
      <w:r w:rsidRPr="00DA193B">
        <w:rPr>
          <w:rFonts w:ascii="Arial" w:eastAsia="Times New Roman" w:hAnsi="Arial" w:cs="Arial"/>
          <w:b/>
          <w:i/>
          <w:color w:val="000000"/>
          <w:sz w:val="20"/>
          <w:szCs w:val="20"/>
          <w:lang w:val="en-US" w:eastAsia="fr-FR"/>
        </w:rPr>
        <w:t>Pseudomonas</w:t>
      </w:r>
      <w:r w:rsidR="00AC5D8A" w:rsidRPr="00DA193B">
        <w:rPr>
          <w:rFonts w:ascii="Arial" w:eastAsia="Times New Roman" w:hAnsi="Arial" w:cs="Arial"/>
          <w:b/>
          <w:i/>
          <w:color w:val="000000"/>
          <w:sz w:val="20"/>
          <w:szCs w:val="20"/>
          <w:lang w:val="en-US" w:eastAsia="fr-FR"/>
        </w:rPr>
        <w:t xml:space="preserve"> </w:t>
      </w:r>
      <w:r w:rsidRPr="00DA193B">
        <w:rPr>
          <w:rFonts w:ascii="Arial" w:eastAsia="Times New Roman" w:hAnsi="Arial" w:cs="Arial"/>
          <w:b/>
          <w:color w:val="000000"/>
          <w:sz w:val="20"/>
          <w:szCs w:val="20"/>
          <w:lang w:val="en-US" w:eastAsia="fr-FR"/>
        </w:rPr>
        <w:t>spp</w:t>
      </w:r>
      <w:r w:rsidR="00AC5D8A" w:rsidRPr="00DA193B">
        <w:rPr>
          <w:rFonts w:ascii="Arial" w:eastAsia="Times New Roman" w:hAnsi="Arial" w:cs="Arial"/>
          <w:b/>
          <w:color w:val="000000"/>
          <w:sz w:val="20"/>
          <w:szCs w:val="20"/>
          <w:lang w:val="en-US" w:eastAsia="fr-FR"/>
        </w:rPr>
        <w:t>.</w:t>
      </w:r>
      <w:r w:rsidRPr="00DA193B">
        <w:rPr>
          <w:rFonts w:ascii="Arial" w:eastAsia="Times New Roman" w:hAnsi="Arial" w:cs="Arial"/>
          <w:b/>
          <w:color w:val="000000"/>
          <w:sz w:val="20"/>
          <w:szCs w:val="20"/>
          <w:lang w:val="en-US" w:eastAsia="fr-FR"/>
        </w:rPr>
        <w:t xml:space="preserve"> and </w:t>
      </w:r>
      <w:r w:rsidRPr="00DA193B">
        <w:rPr>
          <w:rFonts w:ascii="Arial" w:eastAsia="Times New Roman" w:hAnsi="Arial" w:cs="Arial"/>
          <w:b/>
          <w:i/>
          <w:color w:val="000000"/>
          <w:sz w:val="20"/>
          <w:szCs w:val="20"/>
          <w:lang w:val="en-US" w:eastAsia="fr-FR"/>
        </w:rPr>
        <w:t>Ralstonia solanacearum</w:t>
      </w:r>
      <w:r w:rsidRPr="00DA193B">
        <w:rPr>
          <w:rFonts w:ascii="Arial" w:hAnsi="Arial" w:cs="Arial"/>
          <w:b/>
          <w:i/>
          <w:iCs/>
          <w:sz w:val="20"/>
          <w:szCs w:val="20"/>
          <w:lang w:val="en-US"/>
        </w:rPr>
        <w:t xml:space="preserve"> </w:t>
      </w:r>
      <w:r w:rsidRPr="00DA193B">
        <w:rPr>
          <w:rFonts w:ascii="Arial" w:hAnsi="Arial" w:cs="Arial"/>
          <w:b/>
          <w:sz w:val="20"/>
          <w:szCs w:val="20"/>
          <w:lang w:val="en-US"/>
        </w:rPr>
        <w:t>over time.</w:t>
      </w:r>
    </w:p>
    <w:tbl>
      <w:tblPr>
        <w:tblW w:w="7371" w:type="dxa"/>
        <w:jc w:val="center"/>
        <w:tblCellMar>
          <w:left w:w="70" w:type="dxa"/>
          <w:right w:w="70" w:type="dxa"/>
        </w:tblCellMar>
        <w:tblLook w:val="04A0" w:firstRow="1" w:lastRow="0" w:firstColumn="1" w:lastColumn="0" w:noHBand="0" w:noVBand="1"/>
      </w:tblPr>
      <w:tblGrid>
        <w:gridCol w:w="2304"/>
        <w:gridCol w:w="1839"/>
        <w:gridCol w:w="1697"/>
        <w:gridCol w:w="1531"/>
      </w:tblGrid>
      <w:tr w:rsidR="00D70307" w:rsidRPr="003C5866" w14:paraId="0527227D" w14:textId="77777777" w:rsidTr="00DA193B">
        <w:trPr>
          <w:trHeight w:val="461"/>
          <w:jc w:val="center"/>
        </w:trPr>
        <w:tc>
          <w:tcPr>
            <w:tcW w:w="2304" w:type="dxa"/>
            <w:tcBorders>
              <w:top w:val="nil"/>
              <w:left w:val="nil"/>
              <w:bottom w:val="single" w:sz="18" w:space="0" w:color="auto"/>
              <w:right w:val="nil"/>
            </w:tcBorders>
            <w:vAlign w:val="center"/>
          </w:tcPr>
          <w:p w14:paraId="64852D24" w14:textId="77777777" w:rsidR="00D70307" w:rsidRPr="003C5866" w:rsidRDefault="00D70307" w:rsidP="003C5866">
            <w:pPr>
              <w:spacing w:after="0" w:line="480" w:lineRule="auto"/>
              <w:jc w:val="center"/>
              <w:rPr>
                <w:rFonts w:ascii="Arial" w:hAnsi="Arial" w:cs="Arial"/>
                <w:sz w:val="24"/>
                <w:szCs w:val="24"/>
                <w:lang w:val="en-US"/>
              </w:rPr>
            </w:pPr>
          </w:p>
        </w:tc>
        <w:tc>
          <w:tcPr>
            <w:tcW w:w="5067" w:type="dxa"/>
            <w:gridSpan w:val="3"/>
            <w:tcBorders>
              <w:top w:val="single" w:sz="18" w:space="0" w:color="auto"/>
              <w:left w:val="nil"/>
              <w:bottom w:val="single" w:sz="18" w:space="0" w:color="auto"/>
              <w:right w:val="nil"/>
            </w:tcBorders>
          </w:tcPr>
          <w:p w14:paraId="6421A0C2" w14:textId="77777777" w:rsidR="00D70307" w:rsidRPr="003C5866" w:rsidRDefault="00527231" w:rsidP="003C5866">
            <w:pPr>
              <w:spacing w:after="0" w:line="480" w:lineRule="auto"/>
              <w:jc w:val="center"/>
              <w:rPr>
                <w:rFonts w:ascii="Arial" w:hAnsi="Arial" w:cs="Arial"/>
                <w:b/>
                <w:i/>
                <w:sz w:val="24"/>
                <w:szCs w:val="24"/>
                <w:lang w:val="en-US"/>
              </w:rPr>
            </w:pPr>
            <w:r w:rsidRPr="003C5866">
              <w:rPr>
                <w:rFonts w:ascii="Arial" w:hAnsi="Arial" w:cs="Arial"/>
                <w:i/>
                <w:color w:val="000000" w:themeColor="text1"/>
                <w:sz w:val="24"/>
                <w:szCs w:val="24"/>
              </w:rPr>
              <w:t>Radopholus similis</w:t>
            </w:r>
          </w:p>
          <w:p w14:paraId="792114C8" w14:textId="77777777" w:rsidR="00D70307" w:rsidRPr="003C5866" w:rsidRDefault="00D70307" w:rsidP="003C5866">
            <w:pPr>
              <w:spacing w:after="0" w:line="480" w:lineRule="auto"/>
              <w:jc w:val="center"/>
              <w:rPr>
                <w:rFonts w:ascii="Arial" w:hAnsi="Arial" w:cs="Arial"/>
                <w:sz w:val="24"/>
                <w:szCs w:val="24"/>
                <w:lang w:val="en-US"/>
              </w:rPr>
            </w:pPr>
            <w:r w:rsidRPr="003C5866">
              <w:rPr>
                <w:rFonts w:ascii="Arial" w:hAnsi="Arial" w:cs="Arial"/>
                <w:sz w:val="24"/>
                <w:szCs w:val="24"/>
                <w:lang w:val="en-US"/>
              </w:rPr>
              <w:t>R² = 100%</w:t>
            </w:r>
          </w:p>
        </w:tc>
      </w:tr>
      <w:tr w:rsidR="00D70307" w:rsidRPr="003C5866" w14:paraId="26F094ED" w14:textId="77777777" w:rsidTr="00DA193B">
        <w:trPr>
          <w:trHeight w:val="27"/>
          <w:jc w:val="center"/>
        </w:trPr>
        <w:tc>
          <w:tcPr>
            <w:tcW w:w="2304" w:type="dxa"/>
            <w:tcBorders>
              <w:top w:val="nil"/>
              <w:left w:val="nil"/>
              <w:bottom w:val="single" w:sz="18" w:space="0" w:color="auto"/>
              <w:right w:val="nil"/>
            </w:tcBorders>
            <w:vAlign w:val="center"/>
            <w:hideMark/>
          </w:tcPr>
          <w:p w14:paraId="4962C331" w14:textId="77777777" w:rsidR="00D70307" w:rsidRPr="003C5866" w:rsidRDefault="00AC5D8A" w:rsidP="003C5866">
            <w:pPr>
              <w:spacing w:after="0" w:line="480" w:lineRule="auto"/>
              <w:jc w:val="center"/>
              <w:rPr>
                <w:rFonts w:ascii="Arial" w:hAnsi="Arial" w:cs="Arial"/>
                <w:sz w:val="24"/>
                <w:szCs w:val="24"/>
              </w:rPr>
            </w:pPr>
            <w:r w:rsidRPr="003C5866">
              <w:rPr>
                <w:rFonts w:ascii="Arial" w:hAnsi="Arial" w:cs="Arial"/>
                <w:sz w:val="24"/>
                <w:szCs w:val="24"/>
              </w:rPr>
              <w:t>Variable</w:t>
            </w:r>
          </w:p>
        </w:tc>
        <w:tc>
          <w:tcPr>
            <w:tcW w:w="1839" w:type="dxa"/>
            <w:tcBorders>
              <w:top w:val="single" w:sz="18" w:space="0" w:color="auto"/>
              <w:left w:val="nil"/>
              <w:bottom w:val="single" w:sz="18" w:space="0" w:color="auto"/>
              <w:right w:val="nil"/>
            </w:tcBorders>
            <w:vAlign w:val="center"/>
            <w:hideMark/>
          </w:tcPr>
          <w:p w14:paraId="6CE707F7" w14:textId="77777777" w:rsidR="00D70307" w:rsidRPr="003C5866" w:rsidRDefault="00D70307" w:rsidP="003C5866">
            <w:pPr>
              <w:spacing w:after="0" w:line="480" w:lineRule="auto"/>
              <w:jc w:val="center"/>
              <w:rPr>
                <w:rFonts w:ascii="Arial" w:hAnsi="Arial" w:cs="Arial"/>
                <w:sz w:val="24"/>
                <w:szCs w:val="24"/>
              </w:rPr>
            </w:pPr>
            <w:r w:rsidRPr="003C5866">
              <w:rPr>
                <w:rFonts w:ascii="Arial" w:hAnsi="Arial" w:cs="Arial"/>
                <w:sz w:val="24"/>
                <w:szCs w:val="24"/>
              </w:rPr>
              <w:t>DF</w:t>
            </w:r>
          </w:p>
        </w:tc>
        <w:tc>
          <w:tcPr>
            <w:tcW w:w="1697" w:type="dxa"/>
            <w:tcBorders>
              <w:top w:val="single" w:sz="18" w:space="0" w:color="auto"/>
              <w:left w:val="nil"/>
              <w:bottom w:val="single" w:sz="18" w:space="0" w:color="auto"/>
              <w:right w:val="nil"/>
            </w:tcBorders>
            <w:vAlign w:val="center"/>
            <w:hideMark/>
          </w:tcPr>
          <w:p w14:paraId="76296E69" w14:textId="77777777" w:rsidR="00D70307" w:rsidRPr="003C5866" w:rsidRDefault="00D70307" w:rsidP="003C5866">
            <w:pPr>
              <w:spacing w:after="0" w:line="480" w:lineRule="auto"/>
              <w:jc w:val="center"/>
              <w:rPr>
                <w:rFonts w:ascii="Arial" w:hAnsi="Arial" w:cs="Arial"/>
                <w:sz w:val="24"/>
                <w:szCs w:val="24"/>
              </w:rPr>
            </w:pPr>
            <w:r w:rsidRPr="003C5866">
              <w:rPr>
                <w:rFonts w:ascii="Arial" w:hAnsi="Arial" w:cs="Arial"/>
                <w:sz w:val="24"/>
                <w:szCs w:val="24"/>
              </w:rPr>
              <w:t>F</w:t>
            </w:r>
          </w:p>
        </w:tc>
        <w:tc>
          <w:tcPr>
            <w:tcW w:w="1531" w:type="dxa"/>
            <w:tcBorders>
              <w:top w:val="single" w:sz="18" w:space="0" w:color="auto"/>
              <w:left w:val="nil"/>
              <w:bottom w:val="single" w:sz="18" w:space="0" w:color="auto"/>
              <w:right w:val="nil"/>
            </w:tcBorders>
            <w:vAlign w:val="center"/>
            <w:hideMark/>
          </w:tcPr>
          <w:p w14:paraId="2E7DB0B3" w14:textId="77777777" w:rsidR="00D70307" w:rsidRPr="003C5866" w:rsidRDefault="00D70307" w:rsidP="003C5866">
            <w:pPr>
              <w:spacing w:after="0" w:line="480" w:lineRule="auto"/>
              <w:jc w:val="center"/>
              <w:rPr>
                <w:rFonts w:ascii="Arial" w:hAnsi="Arial" w:cs="Arial"/>
                <w:i/>
                <w:sz w:val="24"/>
                <w:szCs w:val="24"/>
              </w:rPr>
            </w:pPr>
            <w:r w:rsidRPr="003C5866">
              <w:rPr>
                <w:rFonts w:ascii="Arial" w:hAnsi="Arial" w:cs="Arial"/>
                <w:i/>
                <w:sz w:val="24"/>
                <w:szCs w:val="24"/>
              </w:rPr>
              <w:t>P</w:t>
            </w:r>
          </w:p>
        </w:tc>
      </w:tr>
      <w:tr w:rsidR="00D70307" w:rsidRPr="003C5866" w14:paraId="0E22EC57" w14:textId="77777777" w:rsidTr="00D72F8A">
        <w:trPr>
          <w:trHeight w:val="439"/>
          <w:jc w:val="center"/>
        </w:trPr>
        <w:tc>
          <w:tcPr>
            <w:tcW w:w="2304" w:type="dxa"/>
            <w:tcBorders>
              <w:top w:val="nil"/>
              <w:left w:val="nil"/>
              <w:bottom w:val="single" w:sz="12" w:space="0" w:color="auto"/>
              <w:right w:val="nil"/>
            </w:tcBorders>
            <w:noWrap/>
            <w:vAlign w:val="bottom"/>
            <w:hideMark/>
          </w:tcPr>
          <w:p w14:paraId="768E1007" w14:textId="77777777" w:rsidR="00D70307" w:rsidRPr="003C5866" w:rsidRDefault="00444A2F" w:rsidP="003C5866">
            <w:pPr>
              <w:spacing w:after="0" w:line="480" w:lineRule="auto"/>
              <w:rPr>
                <w:rFonts w:ascii="Arial" w:hAnsi="Arial" w:cs="Arial"/>
                <w:sz w:val="24"/>
                <w:szCs w:val="24"/>
              </w:rPr>
            </w:pPr>
            <w:r>
              <w:rPr>
                <w:rFonts w:ascii="Arial" w:hAnsi="Arial" w:cs="Arial"/>
                <w:sz w:val="24"/>
                <w:szCs w:val="24"/>
              </w:rPr>
              <w:t xml:space="preserve"> </w:t>
            </w:r>
            <w:r w:rsidR="00D70307" w:rsidRPr="003C5866">
              <w:rPr>
                <w:rFonts w:ascii="Arial" w:hAnsi="Arial" w:cs="Arial"/>
                <w:sz w:val="24"/>
                <w:szCs w:val="24"/>
              </w:rPr>
              <w:t>Modality</w:t>
            </w:r>
          </w:p>
        </w:tc>
        <w:tc>
          <w:tcPr>
            <w:tcW w:w="1839" w:type="dxa"/>
            <w:tcBorders>
              <w:top w:val="nil"/>
              <w:left w:val="nil"/>
              <w:bottom w:val="single" w:sz="12" w:space="0" w:color="auto"/>
              <w:right w:val="nil"/>
            </w:tcBorders>
            <w:noWrap/>
            <w:vAlign w:val="bottom"/>
            <w:hideMark/>
          </w:tcPr>
          <w:p w14:paraId="4309C4C5" w14:textId="77777777" w:rsidR="00D70307" w:rsidRPr="003C5866" w:rsidRDefault="00D70307" w:rsidP="003C5866">
            <w:pPr>
              <w:spacing w:after="0" w:line="480" w:lineRule="auto"/>
              <w:jc w:val="center"/>
              <w:rPr>
                <w:rFonts w:ascii="Arial" w:hAnsi="Arial" w:cs="Arial"/>
                <w:sz w:val="24"/>
                <w:szCs w:val="24"/>
              </w:rPr>
            </w:pPr>
            <w:r w:rsidRPr="003C5866">
              <w:rPr>
                <w:rFonts w:ascii="Arial" w:hAnsi="Arial" w:cs="Arial"/>
                <w:sz w:val="24"/>
                <w:szCs w:val="24"/>
              </w:rPr>
              <w:t>5</w:t>
            </w:r>
          </w:p>
        </w:tc>
        <w:tc>
          <w:tcPr>
            <w:tcW w:w="1697" w:type="dxa"/>
            <w:tcBorders>
              <w:top w:val="nil"/>
              <w:left w:val="nil"/>
              <w:bottom w:val="single" w:sz="12" w:space="0" w:color="auto"/>
              <w:right w:val="nil"/>
            </w:tcBorders>
            <w:noWrap/>
            <w:vAlign w:val="bottom"/>
            <w:hideMark/>
          </w:tcPr>
          <w:p w14:paraId="68CE8684" w14:textId="77777777" w:rsidR="00D70307" w:rsidRPr="003C5866" w:rsidRDefault="00D70307" w:rsidP="003C5866">
            <w:pPr>
              <w:spacing w:after="0" w:line="480" w:lineRule="auto"/>
              <w:jc w:val="center"/>
              <w:rPr>
                <w:rFonts w:ascii="Arial" w:hAnsi="Arial" w:cs="Arial"/>
                <w:sz w:val="24"/>
                <w:szCs w:val="24"/>
              </w:rPr>
            </w:pPr>
            <w:r w:rsidRPr="003C5866">
              <w:rPr>
                <w:rFonts w:ascii="Arial" w:hAnsi="Arial" w:cs="Arial"/>
                <w:sz w:val="24"/>
                <w:szCs w:val="24"/>
              </w:rPr>
              <w:t>2428 295</w:t>
            </w:r>
          </w:p>
        </w:tc>
        <w:tc>
          <w:tcPr>
            <w:tcW w:w="1531" w:type="dxa"/>
            <w:tcBorders>
              <w:top w:val="nil"/>
              <w:left w:val="nil"/>
              <w:bottom w:val="single" w:sz="12" w:space="0" w:color="auto"/>
              <w:right w:val="nil"/>
            </w:tcBorders>
            <w:noWrap/>
            <w:vAlign w:val="bottom"/>
            <w:hideMark/>
          </w:tcPr>
          <w:p w14:paraId="560B64B2" w14:textId="77777777" w:rsidR="00D70307" w:rsidRPr="003C5866" w:rsidRDefault="00D70307" w:rsidP="003C5866">
            <w:pPr>
              <w:spacing w:after="0" w:line="480" w:lineRule="auto"/>
              <w:jc w:val="center"/>
              <w:rPr>
                <w:rFonts w:ascii="Arial" w:hAnsi="Arial" w:cs="Arial"/>
                <w:b/>
                <w:bCs/>
                <w:sz w:val="24"/>
                <w:szCs w:val="24"/>
              </w:rPr>
            </w:pPr>
            <w:r w:rsidRPr="003C5866">
              <w:rPr>
                <w:rFonts w:ascii="Arial" w:hAnsi="Arial" w:cs="Arial"/>
                <w:b/>
                <w:bCs/>
                <w:sz w:val="24"/>
                <w:szCs w:val="24"/>
              </w:rPr>
              <w:t>&lt;</w:t>
            </w:r>
            <w:r w:rsidR="007815D1" w:rsidRPr="003C5866">
              <w:rPr>
                <w:rFonts w:ascii="Arial" w:hAnsi="Arial" w:cs="Arial"/>
                <w:b/>
                <w:bCs/>
                <w:sz w:val="24"/>
                <w:szCs w:val="24"/>
              </w:rPr>
              <w:t>0.001</w:t>
            </w:r>
          </w:p>
        </w:tc>
      </w:tr>
    </w:tbl>
    <w:p w14:paraId="6CD179C1" w14:textId="77777777" w:rsidR="00833D58" w:rsidRDefault="00D70307" w:rsidP="00DA193B">
      <w:pPr>
        <w:tabs>
          <w:tab w:val="left" w:pos="2490"/>
        </w:tabs>
        <w:spacing w:after="0" w:line="360" w:lineRule="auto"/>
        <w:ind w:right="-2"/>
        <w:jc w:val="both"/>
        <w:rPr>
          <w:rFonts w:ascii="Arial" w:eastAsia="Times New Roman" w:hAnsi="Arial" w:cs="Arial"/>
          <w:color w:val="000000"/>
          <w:sz w:val="20"/>
          <w:szCs w:val="24"/>
          <w:vertAlign w:val="superscript"/>
          <w:lang w:val="en-US" w:eastAsia="fr-FR"/>
        </w:rPr>
      </w:pPr>
      <w:r w:rsidRPr="00444A2F">
        <w:rPr>
          <w:rFonts w:ascii="Arial" w:eastAsia="Times New Roman" w:hAnsi="Arial" w:cs="Arial"/>
          <w:color w:val="000000"/>
          <w:sz w:val="20"/>
          <w:szCs w:val="24"/>
          <w:vertAlign w:val="superscript"/>
          <w:lang w:val="en-US" w:eastAsia="fr-FR"/>
        </w:rPr>
        <w:t xml:space="preserve">The values ​​in bold correspond to the tests allowing the null hypothesis to be rejected with a significance level </w:t>
      </w:r>
      <w:r w:rsidRPr="00444A2F">
        <w:rPr>
          <w:rFonts w:ascii="Arial" w:eastAsia="Times New Roman" w:hAnsi="Arial" w:cs="Arial"/>
          <w:color w:val="000000"/>
          <w:sz w:val="20"/>
          <w:szCs w:val="24"/>
          <w:vertAlign w:val="superscript"/>
          <w:lang w:eastAsia="fr-FR"/>
        </w:rPr>
        <w:t>α</w:t>
      </w:r>
      <w:r w:rsidR="00C931E9">
        <w:rPr>
          <w:rFonts w:ascii="Arial" w:eastAsia="Times New Roman" w:hAnsi="Arial" w:cs="Arial"/>
          <w:color w:val="000000"/>
          <w:sz w:val="20"/>
          <w:szCs w:val="24"/>
          <w:vertAlign w:val="superscript"/>
          <w:lang w:val="en-US" w:eastAsia="fr-FR"/>
        </w:rPr>
        <w:t xml:space="preserve"> = </w:t>
      </w:r>
      <w:r w:rsidRPr="00444A2F">
        <w:rPr>
          <w:rFonts w:ascii="Arial" w:eastAsia="Times New Roman" w:hAnsi="Arial" w:cs="Arial"/>
          <w:color w:val="000000"/>
          <w:sz w:val="20"/>
          <w:szCs w:val="24"/>
          <w:vertAlign w:val="superscript"/>
          <w:lang w:val="en-US" w:eastAsia="fr-FR"/>
        </w:rPr>
        <w:t>.05. DF represents the degrees of freedom; R² the coefficient of determination; F the value of the F test and P the probability.</w:t>
      </w:r>
    </w:p>
    <w:p w14:paraId="3B38CB23" w14:textId="00EB4103" w:rsidR="00DA193B" w:rsidRDefault="00DA193B" w:rsidP="00DA193B">
      <w:pPr>
        <w:tabs>
          <w:tab w:val="left" w:pos="2490"/>
        </w:tabs>
        <w:spacing w:after="0" w:line="360" w:lineRule="auto"/>
        <w:ind w:right="-2"/>
        <w:jc w:val="both"/>
        <w:rPr>
          <w:rFonts w:ascii="Arial" w:eastAsia="Times New Roman" w:hAnsi="Arial" w:cs="Arial"/>
          <w:color w:val="000000"/>
          <w:sz w:val="20"/>
          <w:szCs w:val="24"/>
          <w:vertAlign w:val="superscript"/>
          <w:lang w:val="en-US" w:eastAsia="fr-FR"/>
        </w:rPr>
      </w:pPr>
    </w:p>
    <w:p w14:paraId="5C29B82D" w14:textId="77777777" w:rsidR="0095118F" w:rsidRPr="00444A2F" w:rsidRDefault="0095118F" w:rsidP="00DA193B">
      <w:pPr>
        <w:tabs>
          <w:tab w:val="left" w:pos="2490"/>
        </w:tabs>
        <w:spacing w:after="0" w:line="360" w:lineRule="auto"/>
        <w:ind w:right="-2"/>
        <w:jc w:val="both"/>
        <w:rPr>
          <w:rFonts w:ascii="Arial" w:eastAsia="Times New Roman" w:hAnsi="Arial" w:cs="Arial"/>
          <w:color w:val="000000"/>
          <w:sz w:val="20"/>
          <w:szCs w:val="24"/>
          <w:vertAlign w:val="superscript"/>
          <w:lang w:val="en-US" w:eastAsia="fr-FR"/>
        </w:rPr>
      </w:pPr>
    </w:p>
    <w:p w14:paraId="0CD5D875" w14:textId="77777777" w:rsidR="00AC5D8A" w:rsidRPr="003C5866" w:rsidRDefault="005C0595" w:rsidP="00AC5D8A">
      <w:pPr>
        <w:spacing w:line="240" w:lineRule="auto"/>
        <w:jc w:val="center"/>
        <w:rPr>
          <w:rFonts w:ascii="Arial" w:hAnsi="Arial" w:cs="Arial"/>
          <w:sz w:val="24"/>
          <w:szCs w:val="24"/>
        </w:rPr>
      </w:pPr>
      <w:r w:rsidRPr="003C5866">
        <w:rPr>
          <w:rFonts w:ascii="Arial" w:hAnsi="Arial" w:cs="Arial"/>
          <w:noProof/>
          <w:sz w:val="24"/>
          <w:szCs w:val="24"/>
          <w:lang w:eastAsia="fr-FR"/>
        </w:rPr>
        <w:drawing>
          <wp:inline distT="0" distB="0" distL="0" distR="0" wp14:anchorId="199D02E4" wp14:editId="3784B60D">
            <wp:extent cx="2990850" cy="2028825"/>
            <wp:effectExtent l="0" t="0" r="6350" b="15875"/>
            <wp:docPr id="24" name="Chart 24">
              <a:extLst xmlns:a="http://schemas.openxmlformats.org/drawingml/2006/main">
                <a:ext uri="{FF2B5EF4-FFF2-40B4-BE49-F238E27FC236}">
                  <a16:creationId xmlns:a16="http://schemas.microsoft.com/office/drawing/2014/main" id="{BA2B525E-358E-63BA-8F40-63AA0AE539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2DDB2B6" w14:textId="77777777" w:rsidR="00FA3F01" w:rsidRPr="00DA193B" w:rsidRDefault="00444A2F" w:rsidP="00A412D3">
      <w:pPr>
        <w:spacing w:line="360" w:lineRule="auto"/>
        <w:jc w:val="center"/>
        <w:rPr>
          <w:rFonts w:ascii="Arial" w:hAnsi="Arial" w:cs="Arial"/>
          <w:b/>
          <w:sz w:val="20"/>
          <w:szCs w:val="24"/>
          <w:lang w:val="en-US"/>
        </w:rPr>
      </w:pPr>
      <w:r w:rsidRPr="00DA193B">
        <w:rPr>
          <w:rFonts w:ascii="Arial" w:hAnsi="Arial" w:cs="Arial"/>
          <w:b/>
          <w:noProof/>
          <w:color w:val="000000" w:themeColor="text1"/>
          <w:sz w:val="20"/>
          <w:szCs w:val="24"/>
          <w:lang w:val="en-US" w:eastAsia="fr-FR"/>
        </w:rPr>
        <w:t>Fig.</w:t>
      </w:r>
      <w:r w:rsidR="00FA3F01" w:rsidRPr="00DA193B">
        <w:rPr>
          <w:rFonts w:ascii="Arial" w:hAnsi="Arial" w:cs="Arial"/>
          <w:b/>
          <w:noProof/>
          <w:color w:val="000000" w:themeColor="text1"/>
          <w:sz w:val="20"/>
          <w:szCs w:val="24"/>
          <w:lang w:val="en-US" w:eastAsia="fr-FR"/>
        </w:rPr>
        <w:t xml:space="preserve"> 5</w:t>
      </w:r>
      <w:r w:rsidRPr="00DA193B">
        <w:rPr>
          <w:rFonts w:ascii="Arial" w:hAnsi="Arial" w:cs="Arial"/>
          <w:b/>
          <w:noProof/>
          <w:color w:val="000000" w:themeColor="text1"/>
          <w:sz w:val="20"/>
          <w:szCs w:val="24"/>
          <w:lang w:val="en-US" w:eastAsia="fr-FR"/>
        </w:rPr>
        <w:t>.</w:t>
      </w:r>
      <w:r w:rsidR="00AC5D8A" w:rsidRPr="00DA193B">
        <w:rPr>
          <w:rFonts w:ascii="Arial" w:hAnsi="Arial" w:cs="Arial"/>
          <w:b/>
          <w:noProof/>
          <w:color w:val="000000" w:themeColor="text1"/>
          <w:sz w:val="20"/>
          <w:szCs w:val="24"/>
          <w:lang w:val="en-US" w:eastAsia="fr-FR"/>
        </w:rPr>
        <w:t xml:space="preserve"> </w:t>
      </w:r>
      <w:r w:rsidR="004A12A2" w:rsidRPr="00DA193B">
        <w:rPr>
          <w:rFonts w:ascii="Arial" w:eastAsia="MS Mincho" w:hAnsi="Arial" w:cs="Arial"/>
          <w:b/>
          <w:sz w:val="20"/>
          <w:szCs w:val="24"/>
          <w:lang w:val="en-US"/>
        </w:rPr>
        <w:t>Nematicid</w:t>
      </w:r>
      <w:r w:rsidR="00BD0E91">
        <w:rPr>
          <w:rFonts w:ascii="Arial" w:eastAsia="MS Mincho" w:hAnsi="Arial" w:cs="Arial"/>
          <w:b/>
          <w:sz w:val="20"/>
          <w:szCs w:val="24"/>
          <w:lang w:val="en-US"/>
        </w:rPr>
        <w:t>al</w:t>
      </w:r>
      <w:r w:rsidR="00FA3F01" w:rsidRPr="00DA193B">
        <w:rPr>
          <w:rFonts w:ascii="Arial" w:eastAsia="MS Mincho" w:hAnsi="Arial" w:cs="Arial"/>
          <w:b/>
          <w:sz w:val="20"/>
          <w:szCs w:val="24"/>
          <w:lang w:val="en-US"/>
        </w:rPr>
        <w:t xml:space="preserve"> effect of the different modalities (BP1, BP2, BP3, BP4, C- and C+) on nematodes (</w:t>
      </w:r>
      <w:proofErr w:type="spellStart"/>
      <w:r w:rsidR="00043366" w:rsidRPr="00DA193B">
        <w:rPr>
          <w:rFonts w:ascii="Arial" w:hAnsi="Arial" w:cs="Arial"/>
          <w:b/>
          <w:i/>
          <w:color w:val="000000" w:themeColor="text1"/>
          <w:sz w:val="20"/>
          <w:szCs w:val="24"/>
          <w:lang w:val="en-US"/>
        </w:rPr>
        <w:t>Radopholus</w:t>
      </w:r>
      <w:proofErr w:type="spellEnd"/>
      <w:r w:rsidR="00043366" w:rsidRPr="00DA193B">
        <w:rPr>
          <w:rFonts w:ascii="Arial" w:hAnsi="Arial" w:cs="Arial"/>
          <w:b/>
          <w:i/>
          <w:color w:val="000000" w:themeColor="text1"/>
          <w:sz w:val="20"/>
          <w:szCs w:val="24"/>
          <w:lang w:val="en-US"/>
        </w:rPr>
        <w:t xml:space="preserve"> </w:t>
      </w:r>
      <w:proofErr w:type="spellStart"/>
      <w:r w:rsidR="00043366" w:rsidRPr="00DA193B">
        <w:rPr>
          <w:rFonts w:ascii="Arial" w:hAnsi="Arial" w:cs="Arial"/>
          <w:b/>
          <w:i/>
          <w:color w:val="000000" w:themeColor="text1"/>
          <w:sz w:val="20"/>
          <w:szCs w:val="24"/>
          <w:lang w:val="en-US"/>
        </w:rPr>
        <w:t>similis</w:t>
      </w:r>
      <w:proofErr w:type="spellEnd"/>
      <w:r w:rsidR="00043366" w:rsidRPr="00DA193B">
        <w:rPr>
          <w:rFonts w:ascii="Arial" w:hAnsi="Arial" w:cs="Arial"/>
          <w:b/>
          <w:color w:val="000000" w:themeColor="text1"/>
          <w:sz w:val="20"/>
          <w:szCs w:val="24"/>
          <w:lang w:val="en-US"/>
        </w:rPr>
        <w:t>)</w:t>
      </w:r>
    </w:p>
    <w:p w14:paraId="0E1D980F" w14:textId="77777777" w:rsidR="00D72F8A" w:rsidRDefault="00FA3F01" w:rsidP="00725EC3">
      <w:pPr>
        <w:spacing w:after="0" w:line="360" w:lineRule="auto"/>
        <w:jc w:val="center"/>
        <w:rPr>
          <w:rFonts w:ascii="Arial" w:hAnsi="Arial" w:cs="Arial"/>
          <w:i/>
          <w:noProof/>
          <w:sz w:val="20"/>
          <w:szCs w:val="24"/>
          <w:vertAlign w:val="superscript"/>
          <w:lang w:val="en-US" w:eastAsia="fr-FR"/>
        </w:rPr>
      </w:pPr>
      <w:r w:rsidRPr="00444A2F">
        <w:rPr>
          <w:rFonts w:ascii="Arial" w:eastAsia="MS Mincho" w:hAnsi="Arial" w:cs="Arial"/>
          <w:i/>
          <w:sz w:val="20"/>
          <w:szCs w:val="24"/>
          <w:vertAlign w:val="superscript"/>
          <w:lang w:val="en-US"/>
        </w:rPr>
        <w:t>Each bar represents the standard deviation of three replicates per treatment, and the letters (a, b, c) indicate the statistical means of the</w:t>
      </w:r>
      <w:r w:rsidR="00C931E9">
        <w:rPr>
          <w:rFonts w:ascii="Arial" w:eastAsia="MS Mincho" w:hAnsi="Arial" w:cs="Arial"/>
          <w:i/>
          <w:sz w:val="20"/>
          <w:szCs w:val="24"/>
          <w:vertAlign w:val="superscript"/>
          <w:lang w:val="en-US"/>
        </w:rPr>
        <w:t xml:space="preserve"> groups based on ANOVA (P&lt;</w:t>
      </w:r>
      <w:r w:rsidR="00CB5CD1">
        <w:rPr>
          <w:rFonts w:ascii="Arial" w:eastAsia="MS Mincho" w:hAnsi="Arial" w:cs="Arial"/>
          <w:i/>
          <w:sz w:val="20"/>
          <w:szCs w:val="24"/>
          <w:vertAlign w:val="superscript"/>
          <w:lang w:val="en-US"/>
        </w:rPr>
        <w:t xml:space="preserve"> .</w:t>
      </w:r>
      <w:r w:rsidRPr="00444A2F">
        <w:rPr>
          <w:rFonts w:ascii="Arial" w:eastAsia="MS Mincho" w:hAnsi="Arial" w:cs="Arial"/>
          <w:i/>
          <w:sz w:val="20"/>
          <w:szCs w:val="24"/>
          <w:vertAlign w:val="superscript"/>
          <w:lang w:val="en-US"/>
        </w:rPr>
        <w:t>05).</w:t>
      </w:r>
    </w:p>
    <w:p w14:paraId="6C548124" w14:textId="77777777" w:rsidR="0095118F" w:rsidRPr="00725EC3" w:rsidRDefault="0095118F" w:rsidP="00725EC3">
      <w:pPr>
        <w:spacing w:after="0" w:line="360" w:lineRule="auto"/>
        <w:jc w:val="center"/>
        <w:rPr>
          <w:rFonts w:ascii="Arial" w:hAnsi="Arial" w:cs="Arial"/>
          <w:i/>
          <w:noProof/>
          <w:sz w:val="20"/>
          <w:szCs w:val="24"/>
          <w:vertAlign w:val="superscript"/>
          <w:lang w:val="en-US" w:eastAsia="fr-FR"/>
        </w:rPr>
      </w:pPr>
    </w:p>
    <w:p w14:paraId="7CED9B0E" w14:textId="77777777" w:rsidR="00512A00" w:rsidRPr="002C0A8B" w:rsidRDefault="00311E5F" w:rsidP="002C0A8B">
      <w:pPr>
        <w:spacing w:after="0" w:line="480" w:lineRule="auto"/>
        <w:jc w:val="both"/>
        <w:rPr>
          <w:rFonts w:ascii="Arial" w:hAnsi="Arial" w:cs="Arial"/>
          <w:szCs w:val="24"/>
          <w:lang w:val="en-US"/>
        </w:rPr>
      </w:pPr>
      <w:r w:rsidRPr="002C0A8B">
        <w:rPr>
          <w:rFonts w:ascii="Arial" w:hAnsi="Arial" w:cs="Arial"/>
          <w:b/>
          <w:bCs/>
          <w:szCs w:val="24"/>
          <w:lang w:val="en-US"/>
        </w:rPr>
        <w:t>Discussion</w:t>
      </w:r>
    </w:p>
    <w:p w14:paraId="426266A4" w14:textId="77777777" w:rsidR="00512A00" w:rsidRPr="002C0A8B" w:rsidRDefault="00D11E5D" w:rsidP="00CB5CD1">
      <w:pPr>
        <w:spacing w:after="0" w:line="360" w:lineRule="auto"/>
        <w:jc w:val="both"/>
        <w:rPr>
          <w:rFonts w:ascii="Arial" w:hAnsi="Arial" w:cs="Arial"/>
          <w:sz w:val="20"/>
          <w:szCs w:val="24"/>
          <w:lang w:val="en-US"/>
        </w:rPr>
      </w:pPr>
      <w:r w:rsidRPr="002C0A8B">
        <w:rPr>
          <w:rFonts w:ascii="Arial" w:hAnsi="Arial" w:cs="Arial"/>
          <w:sz w:val="20"/>
          <w:szCs w:val="24"/>
          <w:lang w:val="en-US"/>
        </w:rPr>
        <w:t>The results of this study demonstrate that the four biopesticides (BP1, BP2, BP3</w:t>
      </w:r>
      <w:r w:rsidR="00A412D3">
        <w:rPr>
          <w:rFonts w:ascii="Arial" w:hAnsi="Arial" w:cs="Arial"/>
          <w:sz w:val="20"/>
          <w:szCs w:val="24"/>
          <w:lang w:val="en-US"/>
        </w:rPr>
        <w:t xml:space="preserve"> and</w:t>
      </w:r>
      <w:r w:rsidRPr="002C0A8B">
        <w:rPr>
          <w:rFonts w:ascii="Arial" w:hAnsi="Arial" w:cs="Arial"/>
          <w:sz w:val="20"/>
          <w:szCs w:val="24"/>
          <w:lang w:val="en-US"/>
        </w:rPr>
        <w:t xml:space="preserve"> BP4) exhibit significant efficacy against a wide range of plant pathogens and pests, including fungi, bacteria, insects </w:t>
      </w:r>
      <w:r w:rsidRPr="002C0A8B">
        <w:rPr>
          <w:rFonts w:ascii="Arial" w:hAnsi="Arial" w:cs="Arial"/>
          <w:sz w:val="20"/>
          <w:szCs w:val="24"/>
          <w:lang w:val="en-US"/>
        </w:rPr>
        <w:lastRenderedPageBreak/>
        <w:t xml:space="preserve">and nematodes. This broad-spectrum activity reflects the richness of the plant extracts in secondary metabolites, which play a crucial role in plant defense (Kumar </w:t>
      </w:r>
      <w:r w:rsidRPr="002C0A8B">
        <w:rPr>
          <w:rFonts w:ascii="Arial" w:hAnsi="Arial" w:cs="Arial"/>
          <w:i/>
          <w:sz w:val="20"/>
          <w:szCs w:val="24"/>
          <w:lang w:val="en-US"/>
        </w:rPr>
        <w:t>et al</w:t>
      </w:r>
      <w:r w:rsidRPr="002C0A8B">
        <w:rPr>
          <w:rFonts w:ascii="Arial" w:hAnsi="Arial" w:cs="Arial"/>
          <w:sz w:val="20"/>
          <w:szCs w:val="24"/>
          <w:lang w:val="en-US"/>
        </w:rPr>
        <w:t>., 2021).</w:t>
      </w:r>
    </w:p>
    <w:p w14:paraId="54087379" w14:textId="09310DAF" w:rsidR="00B82875" w:rsidRPr="002C0A8B" w:rsidRDefault="00D11E5D" w:rsidP="00CB5CD1">
      <w:pPr>
        <w:spacing w:line="360" w:lineRule="auto"/>
        <w:jc w:val="both"/>
        <w:rPr>
          <w:rFonts w:ascii="Arial" w:hAnsi="Arial" w:cs="Arial"/>
          <w:sz w:val="20"/>
          <w:szCs w:val="24"/>
          <w:lang w:val="en-US"/>
        </w:rPr>
      </w:pPr>
      <w:r w:rsidRPr="002C0A8B">
        <w:rPr>
          <w:rFonts w:ascii="Arial" w:hAnsi="Arial" w:cs="Arial"/>
          <w:sz w:val="20"/>
          <w:szCs w:val="24"/>
          <w:lang w:val="en-US"/>
        </w:rPr>
        <w:t xml:space="preserve">Biopesticides significantly and progressively inhibited the mycelial growth of </w:t>
      </w:r>
      <w:r w:rsidRPr="002C0A8B">
        <w:rPr>
          <w:rFonts w:ascii="Arial" w:hAnsi="Arial" w:cs="Arial"/>
          <w:i/>
          <w:sz w:val="20"/>
          <w:szCs w:val="24"/>
          <w:lang w:val="en-US"/>
        </w:rPr>
        <w:t>Aspergillus</w:t>
      </w:r>
      <w:r w:rsidRPr="002C0A8B">
        <w:rPr>
          <w:rFonts w:ascii="Arial" w:hAnsi="Arial" w:cs="Arial"/>
          <w:sz w:val="20"/>
          <w:szCs w:val="24"/>
          <w:lang w:val="en-US"/>
        </w:rPr>
        <w:t xml:space="preserve"> </w:t>
      </w:r>
      <w:r w:rsidRPr="002C0A8B">
        <w:rPr>
          <w:rFonts w:ascii="Arial" w:hAnsi="Arial" w:cs="Arial"/>
          <w:i/>
          <w:sz w:val="20"/>
          <w:szCs w:val="24"/>
          <w:lang w:val="en-US"/>
        </w:rPr>
        <w:t>flavus</w:t>
      </w:r>
      <w:r w:rsidRPr="002C0A8B">
        <w:rPr>
          <w:rFonts w:ascii="Arial" w:hAnsi="Arial" w:cs="Arial"/>
          <w:sz w:val="20"/>
          <w:szCs w:val="24"/>
          <w:lang w:val="en-US"/>
        </w:rPr>
        <w:t xml:space="preserve"> and </w:t>
      </w:r>
      <w:r w:rsidRPr="002C0A8B">
        <w:rPr>
          <w:rFonts w:ascii="Arial" w:hAnsi="Arial" w:cs="Arial"/>
          <w:i/>
          <w:sz w:val="20"/>
          <w:szCs w:val="24"/>
          <w:lang w:val="en-US"/>
        </w:rPr>
        <w:t>Fusarium</w:t>
      </w:r>
      <w:r w:rsidR="00605447">
        <w:rPr>
          <w:rFonts w:ascii="Arial" w:hAnsi="Arial" w:cs="Arial"/>
          <w:sz w:val="20"/>
          <w:szCs w:val="24"/>
          <w:lang w:val="en-US"/>
        </w:rPr>
        <w:t xml:space="preserve"> spp., indicating a time and formulation </w:t>
      </w:r>
      <w:r w:rsidRPr="002C0A8B">
        <w:rPr>
          <w:rFonts w:ascii="Arial" w:hAnsi="Arial" w:cs="Arial"/>
          <w:sz w:val="20"/>
          <w:szCs w:val="24"/>
          <w:lang w:val="en-US"/>
        </w:rPr>
        <w:t xml:space="preserve">dependent antifungal effect. This activity could be attributed to the abundance of secondary metabolites </w:t>
      </w:r>
      <w:r w:rsidRPr="008249B6">
        <w:rPr>
          <w:rFonts w:ascii="Arial" w:hAnsi="Arial" w:cs="Arial"/>
          <w:sz w:val="20"/>
          <w:szCs w:val="24"/>
          <w:lang w:val="en-US"/>
        </w:rPr>
        <w:t xml:space="preserve">which act synergistically by altering membrane permeability, denaturing enzymatic proteins and </w:t>
      </w:r>
      <w:r w:rsidRPr="008249B6">
        <w:rPr>
          <w:rFonts w:ascii="Arial" w:hAnsi="Arial" w:cs="Arial"/>
          <w:color w:val="000000" w:themeColor="text1"/>
          <w:sz w:val="20"/>
          <w:szCs w:val="24"/>
          <w:lang w:val="en-US"/>
        </w:rPr>
        <w:t>disrupting cellular respiration (</w:t>
      </w:r>
      <w:r w:rsidR="00C75BF5" w:rsidRPr="00073C3C">
        <w:rPr>
          <w:rFonts w:ascii="Arial" w:hAnsi="Arial" w:cs="Arial"/>
          <w:color w:val="C00000"/>
          <w:sz w:val="20"/>
          <w:szCs w:val="24"/>
          <w:lang w:val="en-US"/>
        </w:rPr>
        <w:t xml:space="preserve">Kumar </w:t>
      </w:r>
      <w:r w:rsidR="00C75BF5" w:rsidRPr="00073C3C">
        <w:rPr>
          <w:rFonts w:ascii="Arial" w:hAnsi="Arial" w:cs="Arial"/>
          <w:i/>
          <w:color w:val="C00000"/>
          <w:sz w:val="20"/>
          <w:szCs w:val="24"/>
          <w:lang w:val="en-US"/>
        </w:rPr>
        <w:t>et al</w:t>
      </w:r>
      <w:r w:rsidR="00C75BF5" w:rsidRPr="00073C3C">
        <w:rPr>
          <w:rFonts w:ascii="Arial" w:hAnsi="Arial" w:cs="Arial"/>
          <w:color w:val="C00000"/>
          <w:sz w:val="20"/>
          <w:szCs w:val="24"/>
          <w:lang w:val="en-US"/>
        </w:rPr>
        <w:t>., 2021</w:t>
      </w:r>
      <w:r w:rsidRPr="008249B6">
        <w:rPr>
          <w:rFonts w:ascii="Arial" w:hAnsi="Arial" w:cs="Arial"/>
          <w:color w:val="000000" w:themeColor="text1"/>
          <w:sz w:val="20"/>
          <w:szCs w:val="24"/>
          <w:lang w:val="en-US"/>
        </w:rPr>
        <w:t xml:space="preserve">; </w:t>
      </w:r>
      <w:r w:rsidRPr="00073C3C">
        <w:rPr>
          <w:rFonts w:ascii="Arial" w:hAnsi="Arial" w:cs="Arial"/>
          <w:color w:val="C00000"/>
          <w:sz w:val="20"/>
          <w:szCs w:val="24"/>
          <w:lang w:val="en-US"/>
        </w:rPr>
        <w:t xml:space="preserve">Kumar </w:t>
      </w:r>
      <w:r w:rsidRPr="00073C3C">
        <w:rPr>
          <w:rFonts w:ascii="Arial" w:hAnsi="Arial" w:cs="Arial"/>
          <w:i/>
          <w:color w:val="C00000"/>
          <w:sz w:val="20"/>
          <w:szCs w:val="24"/>
          <w:lang w:val="en-US"/>
        </w:rPr>
        <w:t>et al</w:t>
      </w:r>
      <w:r w:rsidRPr="00073C3C">
        <w:rPr>
          <w:rFonts w:ascii="Arial" w:hAnsi="Arial" w:cs="Arial"/>
          <w:color w:val="C00000"/>
          <w:sz w:val="20"/>
          <w:szCs w:val="24"/>
          <w:lang w:val="en-US"/>
        </w:rPr>
        <w:t>., 20</w:t>
      </w:r>
      <w:r w:rsidR="00C75BF5">
        <w:rPr>
          <w:rFonts w:ascii="Arial" w:hAnsi="Arial" w:cs="Arial"/>
          <w:color w:val="C00000"/>
          <w:sz w:val="20"/>
          <w:szCs w:val="24"/>
          <w:lang w:val="en-US"/>
        </w:rPr>
        <w:t>25</w:t>
      </w:r>
      <w:r w:rsidRPr="008249B6">
        <w:rPr>
          <w:rFonts w:ascii="Arial" w:hAnsi="Arial" w:cs="Arial"/>
          <w:color w:val="000000" w:themeColor="text1"/>
          <w:sz w:val="20"/>
          <w:szCs w:val="24"/>
          <w:lang w:val="en-US"/>
        </w:rPr>
        <w:t xml:space="preserve">). Similar results were </w:t>
      </w:r>
      <w:r w:rsidR="0074502F" w:rsidRPr="008249B6">
        <w:rPr>
          <w:rFonts w:ascii="Arial" w:hAnsi="Arial" w:cs="Arial"/>
          <w:color w:val="000000" w:themeColor="text1"/>
          <w:sz w:val="20"/>
          <w:szCs w:val="24"/>
          <w:lang w:val="en-US"/>
        </w:rPr>
        <w:t>recently</w:t>
      </w:r>
      <w:r w:rsidRPr="008249B6">
        <w:rPr>
          <w:rFonts w:ascii="Arial" w:hAnsi="Arial" w:cs="Arial"/>
          <w:color w:val="000000" w:themeColor="text1"/>
          <w:sz w:val="20"/>
          <w:szCs w:val="24"/>
          <w:lang w:val="en-US"/>
        </w:rPr>
        <w:t xml:space="preserve"> observed </w:t>
      </w:r>
      <w:r w:rsidR="0074502F" w:rsidRPr="008249B6">
        <w:rPr>
          <w:rFonts w:ascii="Arial" w:hAnsi="Arial" w:cs="Arial"/>
          <w:color w:val="000000" w:themeColor="text1"/>
          <w:sz w:val="20"/>
          <w:szCs w:val="24"/>
          <w:lang w:val="en-US"/>
        </w:rPr>
        <w:t xml:space="preserve">through the </w:t>
      </w:r>
      <w:r w:rsidRPr="008249B6">
        <w:rPr>
          <w:rFonts w:ascii="Arial" w:hAnsi="Arial" w:cs="Arial"/>
          <w:color w:val="000000" w:themeColor="text1"/>
          <w:sz w:val="20"/>
          <w:szCs w:val="24"/>
          <w:lang w:val="en-US"/>
        </w:rPr>
        <w:t xml:space="preserve">marked inhibition of </w:t>
      </w:r>
      <w:r w:rsidRPr="008249B6">
        <w:rPr>
          <w:rFonts w:ascii="Arial" w:hAnsi="Arial" w:cs="Arial"/>
          <w:i/>
          <w:color w:val="000000" w:themeColor="text1"/>
          <w:sz w:val="20"/>
          <w:szCs w:val="24"/>
          <w:lang w:val="en-US"/>
        </w:rPr>
        <w:t>Aspergillus flavus</w:t>
      </w:r>
      <w:r w:rsidRPr="008249B6">
        <w:rPr>
          <w:rFonts w:ascii="Arial" w:hAnsi="Arial" w:cs="Arial"/>
          <w:color w:val="000000" w:themeColor="text1"/>
          <w:sz w:val="20"/>
          <w:szCs w:val="24"/>
          <w:lang w:val="en-US"/>
        </w:rPr>
        <w:t xml:space="preserve"> and </w:t>
      </w:r>
      <w:r w:rsidRPr="008249B6">
        <w:rPr>
          <w:rFonts w:ascii="Arial" w:hAnsi="Arial" w:cs="Arial"/>
          <w:i/>
          <w:color w:val="000000" w:themeColor="text1"/>
          <w:sz w:val="20"/>
          <w:szCs w:val="24"/>
          <w:lang w:val="en-US"/>
        </w:rPr>
        <w:t>Fusarium</w:t>
      </w:r>
      <w:r w:rsidRPr="008249B6">
        <w:rPr>
          <w:rFonts w:ascii="Arial" w:hAnsi="Arial" w:cs="Arial"/>
          <w:color w:val="000000" w:themeColor="text1"/>
          <w:sz w:val="20"/>
          <w:szCs w:val="24"/>
          <w:lang w:val="en-US"/>
        </w:rPr>
        <w:t xml:space="preserve"> spp</w:t>
      </w:r>
      <w:r w:rsidR="0074502F" w:rsidRPr="008249B6">
        <w:rPr>
          <w:rFonts w:ascii="Arial" w:hAnsi="Arial" w:cs="Arial"/>
          <w:color w:val="000000" w:themeColor="text1"/>
          <w:sz w:val="20"/>
          <w:szCs w:val="24"/>
          <w:lang w:val="en-US"/>
        </w:rPr>
        <w:t xml:space="preserve">. (Sharma </w:t>
      </w:r>
      <w:r w:rsidR="0074502F" w:rsidRPr="008249B6">
        <w:rPr>
          <w:rFonts w:ascii="Arial" w:hAnsi="Arial" w:cs="Arial"/>
          <w:i/>
          <w:color w:val="000000" w:themeColor="text1"/>
          <w:sz w:val="20"/>
          <w:szCs w:val="24"/>
          <w:lang w:val="en-US"/>
        </w:rPr>
        <w:t>et al</w:t>
      </w:r>
      <w:r w:rsidR="0074502F" w:rsidRPr="008249B6">
        <w:rPr>
          <w:rFonts w:ascii="Arial" w:hAnsi="Arial" w:cs="Arial"/>
          <w:color w:val="000000" w:themeColor="text1"/>
          <w:sz w:val="20"/>
          <w:szCs w:val="24"/>
          <w:lang w:val="en-US"/>
        </w:rPr>
        <w:t>., 2022)</w:t>
      </w:r>
      <w:r w:rsidRPr="008249B6">
        <w:rPr>
          <w:rFonts w:ascii="Arial" w:hAnsi="Arial" w:cs="Arial"/>
          <w:color w:val="000000" w:themeColor="text1"/>
          <w:sz w:val="20"/>
          <w:szCs w:val="24"/>
          <w:lang w:val="en-US"/>
        </w:rPr>
        <w:t xml:space="preserve">. </w:t>
      </w:r>
      <w:r w:rsidR="0074502F" w:rsidRPr="008249B6">
        <w:rPr>
          <w:rFonts w:ascii="Arial" w:hAnsi="Arial" w:cs="Arial"/>
          <w:color w:val="000000" w:themeColor="text1"/>
          <w:sz w:val="20"/>
          <w:szCs w:val="24"/>
          <w:lang w:val="en-US"/>
        </w:rPr>
        <w:t>Indeed</w:t>
      </w:r>
      <w:r w:rsidR="005401A1" w:rsidRPr="008249B6">
        <w:rPr>
          <w:rFonts w:ascii="Arial" w:hAnsi="Arial" w:cs="Arial"/>
          <w:color w:val="000000" w:themeColor="text1"/>
          <w:sz w:val="20"/>
          <w:szCs w:val="24"/>
          <w:lang w:val="en-US"/>
        </w:rPr>
        <w:t>, e</w:t>
      </w:r>
      <w:r w:rsidR="006F2E43" w:rsidRPr="008249B6">
        <w:rPr>
          <w:rFonts w:ascii="Arial" w:hAnsi="Arial" w:cs="Arial"/>
          <w:color w:val="000000" w:themeColor="text1"/>
          <w:sz w:val="20"/>
          <w:szCs w:val="24"/>
          <w:lang w:val="en-US"/>
        </w:rPr>
        <w:t xml:space="preserve">xtracts of </w:t>
      </w:r>
      <w:proofErr w:type="spellStart"/>
      <w:r w:rsidR="006F2E43" w:rsidRPr="008249B6">
        <w:rPr>
          <w:rFonts w:ascii="Arial" w:hAnsi="Arial" w:cs="Arial"/>
          <w:i/>
          <w:color w:val="000000" w:themeColor="text1"/>
          <w:sz w:val="20"/>
          <w:szCs w:val="24"/>
          <w:lang w:val="en-US"/>
        </w:rPr>
        <w:t>Azadirachta</w:t>
      </w:r>
      <w:proofErr w:type="spellEnd"/>
      <w:r w:rsidR="006F2E43" w:rsidRPr="008249B6">
        <w:rPr>
          <w:rFonts w:ascii="Arial" w:hAnsi="Arial" w:cs="Arial"/>
          <w:i/>
          <w:color w:val="000000" w:themeColor="text1"/>
          <w:sz w:val="20"/>
          <w:szCs w:val="24"/>
          <w:lang w:val="en-US"/>
        </w:rPr>
        <w:t xml:space="preserve"> </w:t>
      </w:r>
      <w:proofErr w:type="spellStart"/>
      <w:r w:rsidR="006F2E43" w:rsidRPr="008249B6">
        <w:rPr>
          <w:rFonts w:ascii="Arial" w:hAnsi="Arial" w:cs="Arial"/>
          <w:i/>
          <w:color w:val="000000" w:themeColor="text1"/>
          <w:sz w:val="20"/>
          <w:szCs w:val="24"/>
          <w:lang w:val="en-US"/>
        </w:rPr>
        <w:t>indica</w:t>
      </w:r>
      <w:proofErr w:type="spellEnd"/>
      <w:r w:rsidR="006F2E43" w:rsidRPr="008249B6">
        <w:rPr>
          <w:rFonts w:ascii="Arial" w:hAnsi="Arial" w:cs="Arial"/>
          <w:color w:val="000000" w:themeColor="text1"/>
          <w:sz w:val="20"/>
          <w:szCs w:val="24"/>
          <w:lang w:val="en-US"/>
        </w:rPr>
        <w:t xml:space="preserve">, </w:t>
      </w:r>
      <w:proofErr w:type="spellStart"/>
      <w:r w:rsidRPr="008249B6">
        <w:rPr>
          <w:rFonts w:ascii="Arial" w:hAnsi="Arial" w:cs="Arial"/>
          <w:i/>
          <w:color w:val="000000" w:themeColor="text1"/>
          <w:sz w:val="20"/>
          <w:szCs w:val="24"/>
          <w:lang w:val="en-US"/>
        </w:rPr>
        <w:t>Ocimum</w:t>
      </w:r>
      <w:proofErr w:type="spellEnd"/>
      <w:r w:rsidRPr="008249B6">
        <w:rPr>
          <w:rFonts w:ascii="Arial" w:hAnsi="Arial" w:cs="Arial"/>
          <w:i/>
          <w:color w:val="000000" w:themeColor="text1"/>
          <w:sz w:val="20"/>
          <w:szCs w:val="24"/>
          <w:lang w:val="en-US"/>
        </w:rPr>
        <w:t xml:space="preserve"> </w:t>
      </w:r>
      <w:proofErr w:type="spellStart"/>
      <w:r w:rsidRPr="008249B6">
        <w:rPr>
          <w:rFonts w:ascii="Arial" w:hAnsi="Arial" w:cs="Arial"/>
          <w:i/>
          <w:color w:val="000000" w:themeColor="text1"/>
          <w:sz w:val="20"/>
          <w:szCs w:val="24"/>
          <w:lang w:val="en-US"/>
        </w:rPr>
        <w:t>gratissimum</w:t>
      </w:r>
      <w:proofErr w:type="spellEnd"/>
      <w:r w:rsidR="00D30AF2" w:rsidRPr="008249B6">
        <w:rPr>
          <w:rFonts w:ascii="Arial" w:hAnsi="Arial" w:cs="Arial"/>
          <w:color w:val="000000" w:themeColor="text1"/>
          <w:sz w:val="20"/>
          <w:szCs w:val="24"/>
          <w:lang w:val="en-US"/>
        </w:rPr>
        <w:t xml:space="preserve"> </w:t>
      </w:r>
      <w:r w:rsidRPr="008249B6">
        <w:rPr>
          <w:rFonts w:ascii="Arial" w:hAnsi="Arial" w:cs="Arial"/>
          <w:color w:val="000000" w:themeColor="text1"/>
          <w:sz w:val="20"/>
          <w:szCs w:val="24"/>
          <w:lang w:val="en-US"/>
        </w:rPr>
        <w:t xml:space="preserve">and </w:t>
      </w:r>
      <w:r w:rsidRPr="008249B6">
        <w:rPr>
          <w:rFonts w:ascii="Arial" w:hAnsi="Arial" w:cs="Arial"/>
          <w:i/>
          <w:color w:val="000000" w:themeColor="text1"/>
          <w:sz w:val="20"/>
          <w:szCs w:val="24"/>
          <w:lang w:val="en-US"/>
        </w:rPr>
        <w:t>Lantana camara</w:t>
      </w:r>
      <w:r w:rsidRPr="008249B6">
        <w:rPr>
          <w:rFonts w:ascii="Arial" w:hAnsi="Arial" w:cs="Arial"/>
          <w:color w:val="000000" w:themeColor="text1"/>
          <w:sz w:val="20"/>
          <w:szCs w:val="24"/>
          <w:lang w:val="en-US"/>
        </w:rPr>
        <w:t xml:space="preserve"> have been used to inhibit fungal growth</w:t>
      </w:r>
      <w:r w:rsidR="0074502F" w:rsidRPr="008249B6">
        <w:rPr>
          <w:rFonts w:ascii="Arial" w:hAnsi="Arial" w:cs="Arial"/>
          <w:color w:val="000000" w:themeColor="text1"/>
          <w:sz w:val="20"/>
          <w:szCs w:val="24"/>
          <w:lang w:val="en-US"/>
        </w:rPr>
        <w:t xml:space="preserve"> and </w:t>
      </w:r>
      <w:r w:rsidRPr="008249B6">
        <w:rPr>
          <w:rFonts w:ascii="Arial" w:hAnsi="Arial" w:cs="Arial"/>
          <w:color w:val="000000" w:themeColor="text1"/>
          <w:sz w:val="20"/>
          <w:szCs w:val="24"/>
          <w:lang w:val="en-US"/>
        </w:rPr>
        <w:t xml:space="preserve">this inhibition </w:t>
      </w:r>
      <w:r w:rsidR="0074502F" w:rsidRPr="008249B6">
        <w:rPr>
          <w:rFonts w:ascii="Arial" w:hAnsi="Arial" w:cs="Arial"/>
          <w:color w:val="000000" w:themeColor="text1"/>
          <w:sz w:val="20"/>
          <w:szCs w:val="24"/>
          <w:lang w:val="en-US"/>
        </w:rPr>
        <w:t xml:space="preserve">was </w:t>
      </w:r>
      <w:r w:rsidRPr="008249B6">
        <w:rPr>
          <w:rFonts w:ascii="Arial" w:hAnsi="Arial" w:cs="Arial"/>
          <w:color w:val="000000" w:themeColor="text1"/>
          <w:sz w:val="20"/>
          <w:szCs w:val="24"/>
          <w:lang w:val="en-US"/>
        </w:rPr>
        <w:t xml:space="preserve">attributed to their phenolic and terpenoid constituents. Furthermore, extracts of </w:t>
      </w:r>
      <w:proofErr w:type="spellStart"/>
      <w:r w:rsidR="00605447" w:rsidRPr="00605447">
        <w:rPr>
          <w:rFonts w:ascii="Arial" w:hAnsi="Arial" w:cs="Arial"/>
          <w:i/>
          <w:color w:val="C00000"/>
          <w:sz w:val="20"/>
          <w:szCs w:val="24"/>
          <w:lang w:val="en-US"/>
        </w:rPr>
        <w:t>Chromolaena</w:t>
      </w:r>
      <w:proofErr w:type="spellEnd"/>
      <w:r w:rsidR="00605447" w:rsidRPr="00605447">
        <w:rPr>
          <w:rFonts w:ascii="Arial" w:hAnsi="Arial" w:cs="Arial"/>
          <w:i/>
          <w:color w:val="C00000"/>
          <w:sz w:val="20"/>
          <w:szCs w:val="24"/>
          <w:lang w:val="en-US"/>
        </w:rPr>
        <w:t xml:space="preserve"> </w:t>
      </w:r>
      <w:proofErr w:type="spellStart"/>
      <w:r w:rsidR="00605447" w:rsidRPr="00605447">
        <w:rPr>
          <w:rFonts w:ascii="Arial" w:hAnsi="Arial" w:cs="Arial"/>
          <w:i/>
          <w:color w:val="C00000"/>
          <w:sz w:val="20"/>
          <w:szCs w:val="24"/>
          <w:lang w:val="en-US"/>
        </w:rPr>
        <w:t>odorata</w:t>
      </w:r>
      <w:proofErr w:type="spellEnd"/>
      <w:r w:rsidRPr="00605447">
        <w:rPr>
          <w:rFonts w:ascii="Arial" w:hAnsi="Arial" w:cs="Arial"/>
          <w:color w:val="C00000"/>
          <w:sz w:val="20"/>
          <w:szCs w:val="24"/>
          <w:lang w:val="en-US"/>
        </w:rPr>
        <w:t xml:space="preserve"> and </w:t>
      </w:r>
      <w:r w:rsidR="00605447" w:rsidRPr="00605447">
        <w:rPr>
          <w:rFonts w:ascii="Arial" w:hAnsi="Arial" w:cs="Arial"/>
          <w:i/>
          <w:color w:val="C00000"/>
          <w:sz w:val="20"/>
          <w:szCs w:val="24"/>
          <w:lang w:val="en-US"/>
        </w:rPr>
        <w:t>Artemisia absinthium</w:t>
      </w:r>
      <w:r w:rsidRPr="00605447">
        <w:rPr>
          <w:rFonts w:ascii="Arial" w:hAnsi="Arial" w:cs="Arial"/>
          <w:color w:val="C00000"/>
          <w:sz w:val="20"/>
          <w:szCs w:val="24"/>
          <w:lang w:val="en-US"/>
        </w:rPr>
        <w:t xml:space="preserve"> </w:t>
      </w:r>
      <w:r w:rsidR="0074502F" w:rsidRPr="00605447">
        <w:rPr>
          <w:rFonts w:ascii="Arial" w:hAnsi="Arial" w:cs="Arial"/>
          <w:color w:val="C00000"/>
          <w:sz w:val="20"/>
          <w:szCs w:val="24"/>
          <w:lang w:val="en-US"/>
        </w:rPr>
        <w:t xml:space="preserve">have </w:t>
      </w:r>
      <w:r w:rsidRPr="00605447">
        <w:rPr>
          <w:rFonts w:ascii="Arial" w:hAnsi="Arial" w:cs="Arial"/>
          <w:color w:val="C00000"/>
          <w:sz w:val="20"/>
          <w:szCs w:val="24"/>
          <w:lang w:val="en-US"/>
        </w:rPr>
        <w:t>reduce</w:t>
      </w:r>
      <w:r w:rsidR="008249B6" w:rsidRPr="00605447">
        <w:rPr>
          <w:rFonts w:ascii="Arial" w:hAnsi="Arial" w:cs="Arial"/>
          <w:color w:val="C00000"/>
          <w:sz w:val="20"/>
          <w:szCs w:val="24"/>
          <w:lang w:val="en-US"/>
        </w:rPr>
        <w:t>d</w:t>
      </w:r>
      <w:r w:rsidRPr="00605447">
        <w:rPr>
          <w:rFonts w:ascii="Arial" w:hAnsi="Arial" w:cs="Arial"/>
          <w:color w:val="C00000"/>
          <w:sz w:val="20"/>
          <w:szCs w:val="24"/>
          <w:lang w:val="en-US"/>
        </w:rPr>
        <w:t xml:space="preserve"> the mycelial growth of </w:t>
      </w:r>
      <w:r w:rsidRPr="00605447">
        <w:rPr>
          <w:rFonts w:ascii="Arial" w:hAnsi="Arial" w:cs="Arial"/>
          <w:i/>
          <w:color w:val="C00000"/>
          <w:sz w:val="20"/>
          <w:szCs w:val="24"/>
          <w:lang w:val="en-US"/>
        </w:rPr>
        <w:t>Fusarium s</w:t>
      </w:r>
      <w:r w:rsidR="00605447" w:rsidRPr="00605447">
        <w:rPr>
          <w:rFonts w:ascii="Arial" w:hAnsi="Arial" w:cs="Arial"/>
          <w:i/>
          <w:color w:val="C00000"/>
          <w:sz w:val="20"/>
          <w:szCs w:val="24"/>
          <w:lang w:val="en-US"/>
        </w:rPr>
        <w:t>pp.</w:t>
      </w:r>
      <w:r w:rsidR="00605447">
        <w:rPr>
          <w:rFonts w:ascii="Arial" w:hAnsi="Arial" w:cs="Arial"/>
          <w:i/>
          <w:color w:val="C00000"/>
          <w:sz w:val="20"/>
          <w:szCs w:val="24"/>
          <w:lang w:val="en-US"/>
        </w:rPr>
        <w:t xml:space="preserve"> </w:t>
      </w:r>
      <w:r w:rsidR="00605447" w:rsidRPr="00605447">
        <w:rPr>
          <w:rFonts w:ascii="Arial" w:hAnsi="Arial" w:cs="Arial"/>
          <w:color w:val="C00000"/>
          <w:sz w:val="20"/>
          <w:szCs w:val="24"/>
          <w:lang w:val="en-US"/>
        </w:rPr>
        <w:t>by</w:t>
      </w:r>
      <w:r w:rsidRPr="00605447">
        <w:rPr>
          <w:rFonts w:ascii="Arial" w:hAnsi="Arial" w:cs="Arial"/>
          <w:i/>
          <w:color w:val="C00000"/>
          <w:sz w:val="20"/>
          <w:szCs w:val="24"/>
          <w:lang w:val="en-US"/>
        </w:rPr>
        <w:t xml:space="preserve"> </w:t>
      </w:r>
      <w:r w:rsidRPr="00605447">
        <w:rPr>
          <w:rFonts w:ascii="Arial" w:hAnsi="Arial" w:cs="Arial"/>
          <w:color w:val="C00000"/>
          <w:sz w:val="20"/>
          <w:szCs w:val="24"/>
          <w:lang w:val="en-US"/>
        </w:rPr>
        <w:t>interfering with oxidative enzymes</w:t>
      </w:r>
      <w:r w:rsidR="00605447">
        <w:rPr>
          <w:rFonts w:ascii="Arial" w:hAnsi="Arial" w:cs="Arial"/>
          <w:color w:val="C00000"/>
          <w:sz w:val="20"/>
          <w:szCs w:val="24"/>
          <w:lang w:val="en-US"/>
        </w:rPr>
        <w:t xml:space="preserve"> (</w:t>
      </w:r>
      <w:proofErr w:type="spellStart"/>
      <w:r w:rsidR="00605447" w:rsidRPr="00605447">
        <w:rPr>
          <w:rFonts w:ascii="Arial" w:hAnsi="Arial" w:cs="Arial"/>
          <w:color w:val="C00000"/>
          <w:sz w:val="20"/>
          <w:szCs w:val="24"/>
          <w:lang w:val="en-US"/>
        </w:rPr>
        <w:t>Seepe</w:t>
      </w:r>
      <w:proofErr w:type="spellEnd"/>
      <w:r w:rsidR="00605447" w:rsidRPr="00605447">
        <w:rPr>
          <w:rFonts w:ascii="Arial" w:hAnsi="Arial" w:cs="Arial"/>
          <w:color w:val="C00000"/>
          <w:sz w:val="20"/>
          <w:szCs w:val="24"/>
          <w:lang w:val="en-US"/>
        </w:rPr>
        <w:t xml:space="preserve"> </w:t>
      </w:r>
      <w:r w:rsidR="00605447" w:rsidRPr="00981592">
        <w:rPr>
          <w:rFonts w:ascii="Arial" w:hAnsi="Arial" w:cs="Arial"/>
          <w:i/>
          <w:color w:val="C00000"/>
          <w:sz w:val="20"/>
          <w:szCs w:val="24"/>
          <w:lang w:val="en-US"/>
        </w:rPr>
        <w:t>et al</w:t>
      </w:r>
      <w:r w:rsidR="00605447" w:rsidRPr="00605447">
        <w:rPr>
          <w:rFonts w:ascii="Arial" w:hAnsi="Arial" w:cs="Arial"/>
          <w:color w:val="C00000"/>
          <w:sz w:val="20"/>
          <w:szCs w:val="24"/>
          <w:lang w:val="en-US"/>
        </w:rPr>
        <w:t>.</w:t>
      </w:r>
      <w:r w:rsidR="0074502F" w:rsidRPr="00605447">
        <w:rPr>
          <w:rFonts w:ascii="Arial" w:hAnsi="Arial" w:cs="Arial"/>
          <w:color w:val="C00000"/>
          <w:sz w:val="20"/>
          <w:szCs w:val="24"/>
          <w:lang w:val="en-US"/>
        </w:rPr>
        <w:t>, 2021)</w:t>
      </w:r>
      <w:r w:rsidRPr="00605447">
        <w:rPr>
          <w:rFonts w:ascii="Arial" w:hAnsi="Arial" w:cs="Arial"/>
          <w:sz w:val="20"/>
          <w:szCs w:val="24"/>
          <w:lang w:val="en-US"/>
        </w:rPr>
        <w:t>.</w:t>
      </w:r>
      <w:r w:rsidRPr="00605447">
        <w:rPr>
          <w:rFonts w:ascii="Arial" w:hAnsi="Arial" w:cs="Arial"/>
          <w:color w:val="C00000"/>
          <w:sz w:val="20"/>
          <w:szCs w:val="24"/>
          <w:lang w:val="en-US"/>
        </w:rPr>
        <w:t xml:space="preserve"> </w:t>
      </w:r>
      <w:r w:rsidRPr="008249B6">
        <w:rPr>
          <w:rFonts w:ascii="Arial" w:hAnsi="Arial" w:cs="Arial"/>
          <w:color w:val="000000" w:themeColor="text1"/>
          <w:sz w:val="20"/>
          <w:szCs w:val="24"/>
          <w:lang w:val="en-US"/>
        </w:rPr>
        <w:t xml:space="preserve">The differences in efficacy observed between the formulations could be explained by the qualitative and quantitative variability of bioactive metabolites in each extract, thus justifying </w:t>
      </w:r>
      <w:r w:rsidR="0074502F" w:rsidRPr="008249B6">
        <w:rPr>
          <w:rFonts w:ascii="Arial" w:hAnsi="Arial" w:cs="Arial"/>
          <w:color w:val="000000" w:themeColor="text1"/>
          <w:sz w:val="20"/>
          <w:szCs w:val="24"/>
          <w:lang w:val="en-US"/>
        </w:rPr>
        <w:t xml:space="preserve">the necessity of </w:t>
      </w:r>
      <w:r w:rsidRPr="008249B6">
        <w:rPr>
          <w:rFonts w:ascii="Arial" w:hAnsi="Arial" w:cs="Arial"/>
          <w:color w:val="000000" w:themeColor="text1"/>
          <w:sz w:val="20"/>
          <w:szCs w:val="24"/>
          <w:lang w:val="en-US"/>
        </w:rPr>
        <w:t xml:space="preserve">further </w:t>
      </w:r>
      <w:r w:rsidRPr="002C0A8B">
        <w:rPr>
          <w:rFonts w:ascii="Arial" w:hAnsi="Arial" w:cs="Arial"/>
          <w:sz w:val="20"/>
          <w:szCs w:val="24"/>
          <w:lang w:val="en-US"/>
        </w:rPr>
        <w:t>phytochemical research to identify the molecules responsible for the antifungal activity.</w:t>
      </w:r>
    </w:p>
    <w:p w14:paraId="6342D740" w14:textId="77777777" w:rsidR="00D5320C" w:rsidRPr="002C0A8B" w:rsidRDefault="00D5320C" w:rsidP="00CB5CD1">
      <w:pPr>
        <w:spacing w:line="360" w:lineRule="auto"/>
        <w:jc w:val="both"/>
        <w:rPr>
          <w:rFonts w:ascii="Arial" w:hAnsi="Arial" w:cs="Arial"/>
          <w:sz w:val="20"/>
          <w:szCs w:val="24"/>
          <w:lang w:val="en-US"/>
        </w:rPr>
      </w:pPr>
      <w:r w:rsidRPr="002C0A8B">
        <w:rPr>
          <w:rFonts w:ascii="Arial" w:hAnsi="Arial" w:cs="Arial"/>
          <w:sz w:val="20"/>
          <w:szCs w:val="24"/>
          <w:lang w:val="en-US"/>
        </w:rPr>
        <w:t xml:space="preserve">Biopesticides significantly inhibited the amylolytic and cellulolytic activities of </w:t>
      </w:r>
      <w:r w:rsidRPr="002C0A8B">
        <w:rPr>
          <w:rFonts w:ascii="Arial" w:hAnsi="Arial" w:cs="Arial"/>
          <w:i/>
          <w:sz w:val="20"/>
          <w:szCs w:val="24"/>
          <w:lang w:val="en-US"/>
        </w:rPr>
        <w:t xml:space="preserve">Aspergillus flavus </w:t>
      </w:r>
      <w:r w:rsidRPr="002C0A8B">
        <w:rPr>
          <w:rFonts w:ascii="Arial" w:hAnsi="Arial" w:cs="Arial"/>
          <w:sz w:val="20"/>
          <w:szCs w:val="24"/>
          <w:lang w:val="en-US"/>
        </w:rPr>
        <w:t xml:space="preserve">and </w:t>
      </w:r>
      <w:r w:rsidRPr="002C0A8B">
        <w:rPr>
          <w:rFonts w:ascii="Arial" w:hAnsi="Arial" w:cs="Arial"/>
          <w:i/>
          <w:sz w:val="20"/>
          <w:szCs w:val="24"/>
          <w:lang w:val="en-US"/>
        </w:rPr>
        <w:t>Fusarium</w:t>
      </w:r>
      <w:r w:rsidRPr="002C0A8B">
        <w:rPr>
          <w:rFonts w:ascii="Arial" w:hAnsi="Arial" w:cs="Arial"/>
          <w:sz w:val="20"/>
          <w:szCs w:val="24"/>
          <w:lang w:val="en-US"/>
        </w:rPr>
        <w:t xml:space="preserve"> spp., thus affecting their ability to degrade polysaccharides essential for their nutrition. In </w:t>
      </w:r>
      <w:r w:rsidR="006F2E43" w:rsidRPr="002C0A8B">
        <w:rPr>
          <w:rFonts w:ascii="Arial" w:hAnsi="Arial" w:cs="Arial"/>
          <w:i/>
          <w:sz w:val="20"/>
          <w:szCs w:val="24"/>
          <w:lang w:val="en-US"/>
        </w:rPr>
        <w:t xml:space="preserve">Aspergillus </w:t>
      </w:r>
      <w:r w:rsidRPr="002C0A8B">
        <w:rPr>
          <w:rFonts w:ascii="Arial" w:hAnsi="Arial" w:cs="Arial"/>
          <w:i/>
          <w:sz w:val="20"/>
          <w:szCs w:val="24"/>
          <w:lang w:val="en-US"/>
        </w:rPr>
        <w:t>flavus</w:t>
      </w:r>
      <w:r w:rsidRPr="002C0A8B">
        <w:rPr>
          <w:rFonts w:ascii="Arial" w:hAnsi="Arial" w:cs="Arial"/>
          <w:sz w:val="20"/>
          <w:szCs w:val="24"/>
          <w:lang w:val="en-US"/>
        </w:rPr>
        <w:t xml:space="preserve">, all biopesticide treatments markedly reduced hydrolysis zones, consistent with studies showing that inhibition of </w:t>
      </w:r>
      <w:r w:rsidRPr="002C0A8B">
        <w:rPr>
          <w:rFonts w:ascii="Arial" w:hAnsi="Arial" w:cs="Arial"/>
          <w:sz w:val="20"/>
          <w:szCs w:val="24"/>
        </w:rPr>
        <w:t>α</w:t>
      </w:r>
      <w:r w:rsidRPr="002C0A8B">
        <w:rPr>
          <w:rFonts w:ascii="Arial" w:hAnsi="Arial" w:cs="Arial"/>
          <w:sz w:val="20"/>
          <w:szCs w:val="24"/>
          <w:lang w:val="en-US"/>
        </w:rPr>
        <w:t xml:space="preserve">-amylase decreases fungal growth and aflatoxin production (Cary </w:t>
      </w:r>
      <w:r w:rsidRPr="002C0A8B">
        <w:rPr>
          <w:rFonts w:ascii="Arial" w:hAnsi="Arial" w:cs="Arial"/>
          <w:i/>
          <w:sz w:val="20"/>
          <w:szCs w:val="24"/>
          <w:lang w:val="en-US"/>
        </w:rPr>
        <w:t>et al</w:t>
      </w:r>
      <w:r w:rsidRPr="002C0A8B">
        <w:rPr>
          <w:rFonts w:ascii="Arial" w:hAnsi="Arial" w:cs="Arial"/>
          <w:sz w:val="20"/>
          <w:szCs w:val="24"/>
          <w:lang w:val="en-US"/>
        </w:rPr>
        <w:t xml:space="preserve">., 2018; Williams </w:t>
      </w:r>
      <w:r w:rsidRPr="002C0A8B">
        <w:rPr>
          <w:rFonts w:ascii="Arial" w:hAnsi="Arial" w:cs="Arial"/>
          <w:i/>
          <w:sz w:val="20"/>
          <w:szCs w:val="24"/>
          <w:lang w:val="en-US"/>
        </w:rPr>
        <w:t>et al</w:t>
      </w:r>
      <w:r w:rsidRPr="002C0A8B">
        <w:rPr>
          <w:rFonts w:ascii="Arial" w:hAnsi="Arial" w:cs="Arial"/>
          <w:sz w:val="20"/>
          <w:szCs w:val="24"/>
          <w:lang w:val="en-US"/>
        </w:rPr>
        <w:t xml:space="preserve">., 2019). The absence of cellulolytic activity in </w:t>
      </w:r>
      <w:r w:rsidRPr="002C0A8B">
        <w:rPr>
          <w:rFonts w:ascii="Arial" w:hAnsi="Arial" w:cs="Arial"/>
          <w:i/>
          <w:sz w:val="20"/>
          <w:szCs w:val="24"/>
          <w:lang w:val="en-US"/>
        </w:rPr>
        <w:t>Fusarium</w:t>
      </w:r>
      <w:r w:rsidRPr="002C0A8B">
        <w:rPr>
          <w:rFonts w:ascii="Arial" w:hAnsi="Arial" w:cs="Arial"/>
          <w:sz w:val="20"/>
          <w:szCs w:val="24"/>
          <w:lang w:val="en-US"/>
        </w:rPr>
        <w:t xml:space="preserve"> spp. confirms interspecific enzymatic variability, although its amylolytic activity was strongly inhibited. These results are consistent with observations that certain biopesticides, particularly those of microbial origin, reduce the production of hydrolytic enzymes essential for fungal virulence (</w:t>
      </w:r>
      <w:proofErr w:type="spellStart"/>
      <w:r w:rsidRPr="002C0A8B">
        <w:rPr>
          <w:rFonts w:ascii="Arial" w:hAnsi="Arial" w:cs="Arial"/>
          <w:sz w:val="20"/>
          <w:szCs w:val="24"/>
          <w:lang w:val="en-US"/>
        </w:rPr>
        <w:t>Vinale</w:t>
      </w:r>
      <w:proofErr w:type="spellEnd"/>
      <w:r w:rsidRPr="002C0A8B">
        <w:rPr>
          <w:rFonts w:ascii="Arial" w:hAnsi="Arial" w:cs="Arial"/>
          <w:sz w:val="20"/>
          <w:szCs w:val="24"/>
          <w:lang w:val="en-US"/>
        </w:rPr>
        <w:t xml:space="preserve"> </w:t>
      </w:r>
      <w:r w:rsidRPr="002C0A8B">
        <w:rPr>
          <w:rFonts w:ascii="Arial" w:hAnsi="Arial" w:cs="Arial"/>
          <w:i/>
          <w:sz w:val="20"/>
          <w:szCs w:val="24"/>
          <w:lang w:val="en-US"/>
        </w:rPr>
        <w:t>et al</w:t>
      </w:r>
      <w:r w:rsidRPr="002C0A8B">
        <w:rPr>
          <w:rFonts w:ascii="Arial" w:hAnsi="Arial" w:cs="Arial"/>
          <w:sz w:val="20"/>
          <w:szCs w:val="24"/>
          <w:lang w:val="en-US"/>
        </w:rPr>
        <w:t>., 2008). Thus, enzyme inhibition appears to be a key biocontrol mechanism, potentially limiting the growth and infectivity of phytopathogenic fungi.</w:t>
      </w:r>
    </w:p>
    <w:p w14:paraId="16489A7A" w14:textId="77777777" w:rsidR="000A058D" w:rsidRPr="002C0A8B" w:rsidRDefault="00D11E5D" w:rsidP="00CB5CD1">
      <w:pPr>
        <w:spacing w:line="360" w:lineRule="auto"/>
        <w:jc w:val="both"/>
        <w:rPr>
          <w:rFonts w:ascii="Arial" w:hAnsi="Arial" w:cs="Arial"/>
          <w:sz w:val="20"/>
          <w:szCs w:val="24"/>
          <w:lang w:val="en-US"/>
        </w:rPr>
      </w:pPr>
      <w:r w:rsidRPr="002C0A8B">
        <w:rPr>
          <w:rFonts w:ascii="Arial" w:hAnsi="Arial" w:cs="Arial"/>
          <w:sz w:val="20"/>
          <w:szCs w:val="24"/>
          <w:lang w:val="en-US"/>
        </w:rPr>
        <w:t>The biopesticides (BP1, BP2, BP3</w:t>
      </w:r>
      <w:r w:rsidR="00EF2018">
        <w:rPr>
          <w:rFonts w:ascii="Arial" w:hAnsi="Arial" w:cs="Arial"/>
          <w:sz w:val="20"/>
          <w:szCs w:val="24"/>
          <w:lang w:val="en-US"/>
        </w:rPr>
        <w:t xml:space="preserve"> and</w:t>
      </w:r>
      <w:r w:rsidRPr="002C0A8B">
        <w:rPr>
          <w:rFonts w:ascii="Arial" w:hAnsi="Arial" w:cs="Arial"/>
          <w:sz w:val="20"/>
          <w:szCs w:val="24"/>
          <w:lang w:val="en-US"/>
        </w:rPr>
        <w:t xml:space="preserve"> BP4) exhibited variable but significant antibacterial activity against </w:t>
      </w:r>
      <w:r w:rsidRPr="002C0A8B">
        <w:rPr>
          <w:rFonts w:ascii="Arial" w:hAnsi="Arial" w:cs="Arial"/>
          <w:i/>
          <w:sz w:val="20"/>
          <w:szCs w:val="24"/>
          <w:lang w:val="en-US"/>
        </w:rPr>
        <w:t>Pseudomonas</w:t>
      </w:r>
      <w:r w:rsidRPr="002C0A8B">
        <w:rPr>
          <w:rFonts w:ascii="Arial" w:hAnsi="Arial" w:cs="Arial"/>
          <w:sz w:val="20"/>
          <w:szCs w:val="24"/>
          <w:lang w:val="en-US"/>
        </w:rPr>
        <w:t xml:space="preserve"> spp. and </w:t>
      </w:r>
      <w:r w:rsidRPr="002C0A8B">
        <w:rPr>
          <w:rFonts w:ascii="Arial" w:hAnsi="Arial" w:cs="Arial"/>
          <w:i/>
          <w:sz w:val="20"/>
          <w:szCs w:val="24"/>
          <w:lang w:val="en-US"/>
        </w:rPr>
        <w:t>Ralstonia solanacearum</w:t>
      </w:r>
      <w:r w:rsidRPr="002C0A8B">
        <w:rPr>
          <w:rFonts w:ascii="Arial" w:hAnsi="Arial" w:cs="Arial"/>
          <w:sz w:val="20"/>
          <w:szCs w:val="24"/>
          <w:lang w:val="en-US"/>
        </w:rPr>
        <w:t>, with inhibition rates higher than those of the negative control (C-) and, for some formulations, particularly BP3 and BP4 comparable to that of the positive control (C+), demonstrating excellent biological efficacy. This variation could be due to differences in chemical composition and concentration of bioactive metabolites such as phenols, flavonoids and lipopeptides, known to modify mem</w:t>
      </w:r>
      <w:r w:rsidRPr="008249B6">
        <w:rPr>
          <w:rFonts w:ascii="Arial" w:hAnsi="Arial" w:cs="Arial"/>
          <w:sz w:val="20"/>
          <w:szCs w:val="24"/>
          <w:lang w:val="en-US"/>
        </w:rPr>
        <w:t>brane permeability and inhibit microbial growth (</w:t>
      </w:r>
      <w:proofErr w:type="spellStart"/>
      <w:r w:rsidRPr="008249B6">
        <w:rPr>
          <w:rFonts w:ascii="Arial" w:hAnsi="Arial" w:cs="Arial"/>
          <w:sz w:val="20"/>
          <w:szCs w:val="24"/>
          <w:lang w:val="en-US"/>
        </w:rPr>
        <w:t>Ongena</w:t>
      </w:r>
      <w:proofErr w:type="spellEnd"/>
      <w:r w:rsidRPr="008249B6">
        <w:rPr>
          <w:rFonts w:ascii="Arial" w:hAnsi="Arial" w:cs="Arial"/>
          <w:sz w:val="20"/>
          <w:szCs w:val="24"/>
          <w:lang w:val="en-US"/>
        </w:rPr>
        <w:t xml:space="preserve"> </w:t>
      </w:r>
      <w:r w:rsidR="006F2E43" w:rsidRPr="008249B6">
        <w:rPr>
          <w:rFonts w:ascii="Arial" w:hAnsi="Arial" w:cs="Arial"/>
          <w:sz w:val="20"/>
          <w:szCs w:val="24"/>
          <w:lang w:val="en-US"/>
        </w:rPr>
        <w:sym w:font="Symbol" w:char="F026"/>
      </w:r>
      <w:r w:rsidRPr="008249B6">
        <w:rPr>
          <w:rFonts w:ascii="Arial" w:hAnsi="Arial" w:cs="Arial"/>
          <w:sz w:val="20"/>
          <w:szCs w:val="24"/>
          <w:lang w:val="en-US"/>
        </w:rPr>
        <w:t xml:space="preserve"> Jacques, 2008; Kumar </w:t>
      </w:r>
      <w:r w:rsidR="006F2E43" w:rsidRPr="008249B6">
        <w:rPr>
          <w:rFonts w:ascii="Arial" w:hAnsi="Arial" w:cs="Arial"/>
          <w:sz w:val="20"/>
          <w:szCs w:val="24"/>
          <w:lang w:val="en-US"/>
        </w:rPr>
        <w:sym w:font="Symbol" w:char="F026"/>
      </w:r>
      <w:r w:rsidRPr="008249B6">
        <w:rPr>
          <w:rFonts w:ascii="Arial" w:hAnsi="Arial" w:cs="Arial"/>
          <w:sz w:val="20"/>
          <w:szCs w:val="24"/>
          <w:lang w:val="en-US"/>
        </w:rPr>
        <w:t xml:space="preserve"> Pandey, 2021). The greater sensitivity observed in </w:t>
      </w:r>
      <w:r w:rsidR="006F2E43" w:rsidRPr="008249B6">
        <w:rPr>
          <w:rFonts w:ascii="Arial" w:hAnsi="Arial" w:cs="Arial"/>
          <w:i/>
          <w:sz w:val="20"/>
          <w:szCs w:val="24"/>
          <w:lang w:val="en-US"/>
        </w:rPr>
        <w:t xml:space="preserve">R. </w:t>
      </w:r>
      <w:r w:rsidRPr="008249B6">
        <w:rPr>
          <w:rFonts w:ascii="Arial" w:hAnsi="Arial" w:cs="Arial"/>
          <w:i/>
          <w:sz w:val="20"/>
          <w:szCs w:val="24"/>
          <w:lang w:val="en-US"/>
        </w:rPr>
        <w:t xml:space="preserve">solanacearum </w:t>
      </w:r>
      <w:r w:rsidRPr="008249B6">
        <w:rPr>
          <w:rFonts w:ascii="Arial" w:hAnsi="Arial" w:cs="Arial"/>
          <w:sz w:val="20"/>
          <w:szCs w:val="24"/>
          <w:lang w:val="en-US"/>
        </w:rPr>
        <w:t xml:space="preserve">compared to </w:t>
      </w:r>
      <w:r w:rsidRPr="008249B6">
        <w:rPr>
          <w:rFonts w:ascii="Arial" w:hAnsi="Arial" w:cs="Arial"/>
          <w:i/>
          <w:sz w:val="20"/>
          <w:szCs w:val="24"/>
          <w:lang w:val="en-US"/>
        </w:rPr>
        <w:t>Pseudomonas</w:t>
      </w:r>
      <w:r w:rsidRPr="008249B6">
        <w:rPr>
          <w:rFonts w:ascii="Arial" w:hAnsi="Arial" w:cs="Arial"/>
          <w:sz w:val="20"/>
          <w:szCs w:val="24"/>
          <w:lang w:val="en-US"/>
        </w:rPr>
        <w:t xml:space="preserve"> spp.</w:t>
      </w:r>
      <w:r w:rsidR="005401A1" w:rsidRPr="008249B6">
        <w:rPr>
          <w:rFonts w:ascii="Arial" w:hAnsi="Arial" w:cs="Arial"/>
          <w:sz w:val="20"/>
          <w:szCs w:val="24"/>
          <w:lang w:val="en-US"/>
        </w:rPr>
        <w:t xml:space="preserve"> </w:t>
      </w:r>
      <w:r w:rsidRPr="008249B6">
        <w:rPr>
          <w:rFonts w:ascii="Arial" w:hAnsi="Arial" w:cs="Arial"/>
          <w:sz w:val="20"/>
          <w:szCs w:val="24"/>
          <w:lang w:val="en-US"/>
        </w:rPr>
        <w:t xml:space="preserve">could be explained by differences in cell wall structure or resistance mechanisms, such as </w:t>
      </w:r>
      <w:r w:rsidRPr="008249B6">
        <w:rPr>
          <w:rFonts w:ascii="Arial" w:hAnsi="Arial" w:cs="Arial"/>
          <w:color w:val="000000" w:themeColor="text1"/>
          <w:sz w:val="20"/>
          <w:szCs w:val="24"/>
          <w:lang w:val="en-US"/>
        </w:rPr>
        <w:t xml:space="preserve">exopolysaccharide production and efflux systems (Mansfield </w:t>
      </w:r>
      <w:r w:rsidRPr="008249B6">
        <w:rPr>
          <w:rFonts w:ascii="Arial" w:hAnsi="Arial" w:cs="Arial"/>
          <w:i/>
          <w:color w:val="000000" w:themeColor="text1"/>
          <w:sz w:val="20"/>
          <w:szCs w:val="24"/>
          <w:lang w:val="en-US"/>
        </w:rPr>
        <w:t>et al</w:t>
      </w:r>
      <w:r w:rsidRPr="008249B6">
        <w:rPr>
          <w:rFonts w:ascii="Arial" w:hAnsi="Arial" w:cs="Arial"/>
          <w:color w:val="000000" w:themeColor="text1"/>
          <w:sz w:val="20"/>
          <w:szCs w:val="24"/>
          <w:lang w:val="en-US"/>
        </w:rPr>
        <w:t xml:space="preserve">., 2012). These results are consistent with </w:t>
      </w:r>
      <w:r w:rsidR="00EF2018" w:rsidRPr="008249B6">
        <w:rPr>
          <w:rFonts w:ascii="Arial" w:hAnsi="Arial" w:cs="Arial"/>
          <w:color w:val="000000" w:themeColor="text1"/>
          <w:sz w:val="20"/>
          <w:szCs w:val="24"/>
          <w:lang w:val="en-US"/>
        </w:rPr>
        <w:t xml:space="preserve">recent </w:t>
      </w:r>
      <w:r w:rsidRPr="008249B6">
        <w:rPr>
          <w:rFonts w:ascii="Arial" w:hAnsi="Arial" w:cs="Arial"/>
          <w:color w:val="000000" w:themeColor="text1"/>
          <w:sz w:val="20"/>
          <w:szCs w:val="24"/>
          <w:lang w:val="en-US"/>
        </w:rPr>
        <w:t>findings highlight</w:t>
      </w:r>
      <w:r w:rsidR="00EF2018" w:rsidRPr="008249B6">
        <w:rPr>
          <w:rFonts w:ascii="Arial" w:hAnsi="Arial" w:cs="Arial"/>
          <w:color w:val="000000" w:themeColor="text1"/>
          <w:sz w:val="20"/>
          <w:szCs w:val="24"/>
          <w:lang w:val="en-US"/>
        </w:rPr>
        <w:t>ing</w:t>
      </w:r>
      <w:r w:rsidRPr="008249B6">
        <w:rPr>
          <w:rFonts w:ascii="Arial" w:hAnsi="Arial" w:cs="Arial"/>
          <w:color w:val="000000" w:themeColor="text1"/>
          <w:sz w:val="20"/>
          <w:szCs w:val="24"/>
          <w:lang w:val="en-US"/>
        </w:rPr>
        <w:t xml:space="preserve"> that plant- </w:t>
      </w:r>
      <w:r w:rsidRPr="008249B6">
        <w:rPr>
          <w:rFonts w:ascii="Arial" w:hAnsi="Arial" w:cs="Arial"/>
          <w:sz w:val="20"/>
          <w:szCs w:val="24"/>
          <w:lang w:val="en-US"/>
        </w:rPr>
        <w:t>or microbial</w:t>
      </w:r>
      <w:r w:rsidRPr="002C0A8B">
        <w:rPr>
          <w:rFonts w:ascii="Arial" w:hAnsi="Arial" w:cs="Arial"/>
          <w:sz w:val="20"/>
          <w:szCs w:val="24"/>
          <w:lang w:val="en-US"/>
        </w:rPr>
        <w:t>-derived biopesticides represent promising ecological alternatives to synthetic agrochemicals due to their targeted efficacy and reduced environmental impact</w:t>
      </w:r>
      <w:r w:rsidR="00EF2018">
        <w:rPr>
          <w:rFonts w:ascii="Arial" w:hAnsi="Arial" w:cs="Arial"/>
          <w:sz w:val="20"/>
          <w:szCs w:val="24"/>
          <w:lang w:val="en-US"/>
        </w:rPr>
        <w:t xml:space="preserve"> </w:t>
      </w:r>
      <w:r w:rsidR="00EF2018" w:rsidRPr="00FB6B87">
        <w:rPr>
          <w:rFonts w:ascii="Arial" w:hAnsi="Arial" w:cs="Arial"/>
          <w:sz w:val="20"/>
          <w:szCs w:val="24"/>
          <w:lang w:val="en-US"/>
        </w:rPr>
        <w:t>(</w:t>
      </w:r>
      <w:proofErr w:type="spellStart"/>
      <w:r w:rsidR="00EF2018" w:rsidRPr="00FB6B87">
        <w:rPr>
          <w:rFonts w:ascii="Arial" w:hAnsi="Arial" w:cs="Arial"/>
          <w:sz w:val="20"/>
          <w:szCs w:val="24"/>
          <w:lang w:val="en-US"/>
        </w:rPr>
        <w:t>Lahlali</w:t>
      </w:r>
      <w:proofErr w:type="spellEnd"/>
      <w:r w:rsidR="00EF2018" w:rsidRPr="00FB6B87">
        <w:rPr>
          <w:rFonts w:ascii="Arial" w:hAnsi="Arial" w:cs="Arial"/>
          <w:sz w:val="20"/>
          <w:szCs w:val="24"/>
          <w:lang w:val="en-US"/>
        </w:rPr>
        <w:t xml:space="preserve"> </w:t>
      </w:r>
      <w:r w:rsidR="00EF2018" w:rsidRPr="00FB6B87">
        <w:rPr>
          <w:rFonts w:ascii="Arial" w:hAnsi="Arial" w:cs="Arial"/>
          <w:i/>
          <w:sz w:val="20"/>
          <w:szCs w:val="24"/>
          <w:lang w:val="en-US"/>
        </w:rPr>
        <w:t>et al</w:t>
      </w:r>
      <w:r w:rsidR="00EF2018" w:rsidRPr="00FB6B87">
        <w:rPr>
          <w:rFonts w:ascii="Arial" w:hAnsi="Arial" w:cs="Arial"/>
          <w:sz w:val="20"/>
          <w:szCs w:val="24"/>
          <w:lang w:val="en-US"/>
        </w:rPr>
        <w:t xml:space="preserve">., 2022; Molina-Santiago </w:t>
      </w:r>
      <w:r w:rsidR="00EF2018" w:rsidRPr="00FB6B87">
        <w:rPr>
          <w:rFonts w:ascii="Arial" w:hAnsi="Arial" w:cs="Arial"/>
          <w:i/>
          <w:sz w:val="20"/>
          <w:szCs w:val="24"/>
          <w:lang w:val="en-US"/>
        </w:rPr>
        <w:t>et al.</w:t>
      </w:r>
      <w:r w:rsidR="00EF2018" w:rsidRPr="00FB6B87">
        <w:rPr>
          <w:rFonts w:ascii="Arial" w:hAnsi="Arial" w:cs="Arial"/>
          <w:sz w:val="20"/>
          <w:szCs w:val="24"/>
          <w:lang w:val="en-US"/>
        </w:rPr>
        <w:t>, 2021)</w:t>
      </w:r>
      <w:r w:rsidRPr="00FB6B87">
        <w:rPr>
          <w:rFonts w:ascii="Arial" w:hAnsi="Arial" w:cs="Arial"/>
          <w:sz w:val="20"/>
          <w:szCs w:val="24"/>
          <w:lang w:val="en-US"/>
        </w:rPr>
        <w:t>.</w:t>
      </w:r>
    </w:p>
    <w:p w14:paraId="7A5B0732" w14:textId="77777777" w:rsidR="000A058D" w:rsidRPr="002C0A8B" w:rsidRDefault="00D11E5D" w:rsidP="00CB5CD1">
      <w:pPr>
        <w:spacing w:line="360" w:lineRule="auto"/>
        <w:jc w:val="both"/>
        <w:rPr>
          <w:rFonts w:ascii="Arial" w:hAnsi="Arial" w:cs="Arial"/>
          <w:sz w:val="20"/>
          <w:szCs w:val="24"/>
          <w:lang w:val="en-US"/>
        </w:rPr>
      </w:pPr>
      <w:r w:rsidRPr="002C0A8B">
        <w:rPr>
          <w:rFonts w:ascii="Arial" w:hAnsi="Arial" w:cs="Arial"/>
          <w:sz w:val="20"/>
          <w:szCs w:val="24"/>
          <w:lang w:val="en-US"/>
        </w:rPr>
        <w:t xml:space="preserve">Furthermore, biopesticides have shown variable but significant effects on insect repellency and mortality </w:t>
      </w:r>
      <w:r w:rsidRPr="005401A1">
        <w:rPr>
          <w:rFonts w:ascii="Arial" w:hAnsi="Arial" w:cs="Arial"/>
          <w:sz w:val="20"/>
          <w:szCs w:val="24"/>
          <w:lang w:val="en-US"/>
        </w:rPr>
        <w:t>(</w:t>
      </w:r>
      <w:proofErr w:type="spellStart"/>
      <w:r w:rsidR="00514605" w:rsidRPr="005401A1">
        <w:rPr>
          <w:rFonts w:ascii="Arial" w:hAnsi="Arial" w:cs="Arial"/>
          <w:i/>
          <w:color w:val="000000" w:themeColor="text1"/>
          <w:sz w:val="20"/>
          <w:szCs w:val="24"/>
          <w:lang w:val="en-US"/>
        </w:rPr>
        <w:t>Aphidoidea</w:t>
      </w:r>
      <w:proofErr w:type="spellEnd"/>
      <w:r w:rsidR="005401A1" w:rsidRPr="005401A1">
        <w:rPr>
          <w:rFonts w:ascii="Arial" w:eastAsia="Times New Roman" w:hAnsi="Arial" w:cs="Arial"/>
          <w:color w:val="000000"/>
          <w:sz w:val="20"/>
          <w:szCs w:val="24"/>
          <w:lang w:val="en-US" w:eastAsia="fr-FR"/>
        </w:rPr>
        <w:t>,</w:t>
      </w:r>
      <w:r w:rsidR="006F2E43" w:rsidRPr="005401A1">
        <w:rPr>
          <w:rFonts w:ascii="Arial" w:hAnsi="Arial" w:cs="Arial"/>
          <w:i/>
          <w:color w:val="000000" w:themeColor="text1"/>
          <w:sz w:val="20"/>
          <w:szCs w:val="24"/>
          <w:lang w:val="en-US"/>
        </w:rPr>
        <w:t xml:space="preserve"> </w:t>
      </w:r>
      <w:proofErr w:type="spellStart"/>
      <w:r w:rsidR="00514605" w:rsidRPr="005401A1">
        <w:rPr>
          <w:rFonts w:ascii="Arial" w:hAnsi="Arial" w:cs="Arial"/>
          <w:i/>
          <w:color w:val="000000" w:themeColor="text1"/>
          <w:sz w:val="20"/>
          <w:szCs w:val="24"/>
          <w:lang w:val="en-US"/>
        </w:rPr>
        <w:t>Zonocerus</w:t>
      </w:r>
      <w:proofErr w:type="spellEnd"/>
      <w:r w:rsidR="00514605" w:rsidRPr="005401A1">
        <w:rPr>
          <w:rFonts w:ascii="Arial" w:hAnsi="Arial" w:cs="Arial"/>
          <w:i/>
          <w:color w:val="000000" w:themeColor="text1"/>
          <w:sz w:val="20"/>
          <w:szCs w:val="24"/>
          <w:lang w:val="en-US"/>
        </w:rPr>
        <w:t xml:space="preserve"> variegatus</w:t>
      </w:r>
      <w:r w:rsidR="005401A1" w:rsidRPr="005401A1">
        <w:rPr>
          <w:rFonts w:ascii="Arial" w:eastAsia="Times New Roman" w:hAnsi="Arial" w:cs="Arial"/>
          <w:i/>
          <w:color w:val="000000"/>
          <w:sz w:val="20"/>
          <w:szCs w:val="24"/>
          <w:lang w:val="en-US" w:eastAsia="fr-FR"/>
        </w:rPr>
        <w:t xml:space="preserve"> </w:t>
      </w:r>
      <w:r w:rsidR="005401A1" w:rsidRPr="005401A1">
        <w:rPr>
          <w:rFonts w:ascii="Arial" w:hAnsi="Arial" w:cs="Arial"/>
          <w:color w:val="000000" w:themeColor="text1"/>
          <w:sz w:val="20"/>
          <w:szCs w:val="24"/>
          <w:lang w:val="en-US"/>
        </w:rPr>
        <w:t>and</w:t>
      </w:r>
      <w:r w:rsidR="005401A1" w:rsidRPr="005401A1">
        <w:rPr>
          <w:rFonts w:ascii="Arial" w:eastAsia="Times New Roman" w:hAnsi="Arial" w:cs="Arial"/>
          <w:i/>
          <w:color w:val="000000"/>
          <w:sz w:val="20"/>
          <w:szCs w:val="24"/>
          <w:lang w:val="en-US" w:eastAsia="fr-FR"/>
        </w:rPr>
        <w:t xml:space="preserve"> Cosmopolitans sordidus</w:t>
      </w:r>
      <w:r w:rsidR="00514605" w:rsidRPr="005401A1">
        <w:rPr>
          <w:rFonts w:ascii="Arial" w:hAnsi="Arial" w:cs="Arial"/>
          <w:color w:val="000000" w:themeColor="text1"/>
          <w:sz w:val="20"/>
          <w:szCs w:val="24"/>
          <w:lang w:val="en-US"/>
        </w:rPr>
        <w:t>)</w:t>
      </w:r>
      <w:r w:rsidR="006F2E43" w:rsidRPr="002C0A8B">
        <w:rPr>
          <w:rFonts w:ascii="Arial" w:hAnsi="Arial" w:cs="Arial"/>
          <w:color w:val="000000" w:themeColor="text1"/>
          <w:sz w:val="20"/>
          <w:szCs w:val="24"/>
          <w:lang w:val="en-US"/>
        </w:rPr>
        <w:t xml:space="preserve"> </w:t>
      </w:r>
      <w:r w:rsidRPr="002C0A8B">
        <w:rPr>
          <w:rFonts w:ascii="Arial" w:hAnsi="Arial" w:cs="Arial"/>
          <w:sz w:val="20"/>
          <w:szCs w:val="24"/>
          <w:lang w:val="en-US"/>
        </w:rPr>
        <w:t xml:space="preserve">over time. Overall, </w:t>
      </w:r>
      <w:r w:rsidRPr="002C0A8B">
        <w:rPr>
          <w:rFonts w:ascii="Arial" w:hAnsi="Arial" w:cs="Arial"/>
          <w:sz w:val="20"/>
          <w:szCs w:val="24"/>
          <w:lang w:val="en-US"/>
        </w:rPr>
        <w:lastRenderedPageBreak/>
        <w:t xml:space="preserve">repulsion and mortality rates increased during the first few hours, indicating a gradual onset of action by the bioactive compounds. </w:t>
      </w:r>
      <w:r w:rsidR="006F2E43" w:rsidRPr="002C0A8B">
        <w:rPr>
          <w:rFonts w:ascii="Arial" w:hAnsi="Arial" w:cs="Arial"/>
          <w:sz w:val="20"/>
          <w:szCs w:val="24"/>
          <w:lang w:val="en-US"/>
        </w:rPr>
        <w:t>Modalities</w:t>
      </w:r>
      <w:r w:rsidRPr="002C0A8B">
        <w:rPr>
          <w:rFonts w:ascii="Arial" w:hAnsi="Arial" w:cs="Arial"/>
          <w:sz w:val="20"/>
          <w:szCs w:val="24"/>
          <w:lang w:val="en-US"/>
        </w:rPr>
        <w:t xml:space="preserve"> BP3 and BP4 showed comparable efficacy to the positive control (C+), suggesting a synergistic interaction between volatile metabolites and secondary compounds of plant or microbial origin. These observations are consistent </w:t>
      </w:r>
      <w:r w:rsidRPr="008249B6">
        <w:rPr>
          <w:rFonts w:ascii="Arial" w:hAnsi="Arial" w:cs="Arial"/>
          <w:color w:val="000000" w:themeColor="text1"/>
          <w:sz w:val="20"/>
          <w:szCs w:val="24"/>
          <w:lang w:val="en-US"/>
        </w:rPr>
        <w:t xml:space="preserve">with </w:t>
      </w:r>
      <w:r w:rsidR="00EF2018" w:rsidRPr="008249B6">
        <w:rPr>
          <w:rFonts w:ascii="Arial" w:hAnsi="Arial" w:cs="Arial"/>
          <w:color w:val="000000" w:themeColor="text1"/>
          <w:sz w:val="20"/>
          <w:szCs w:val="24"/>
          <w:lang w:val="en-US"/>
        </w:rPr>
        <w:t xml:space="preserve">recent </w:t>
      </w:r>
      <w:r w:rsidRPr="008249B6">
        <w:rPr>
          <w:rFonts w:ascii="Arial" w:hAnsi="Arial" w:cs="Arial"/>
          <w:color w:val="000000" w:themeColor="text1"/>
          <w:sz w:val="20"/>
          <w:szCs w:val="24"/>
          <w:lang w:val="en-US"/>
        </w:rPr>
        <w:t>report</w:t>
      </w:r>
      <w:r w:rsidR="00EF2018" w:rsidRPr="008249B6">
        <w:rPr>
          <w:rFonts w:ascii="Arial" w:hAnsi="Arial" w:cs="Arial"/>
          <w:color w:val="000000" w:themeColor="text1"/>
          <w:sz w:val="20"/>
          <w:szCs w:val="24"/>
          <w:lang w:val="en-US"/>
        </w:rPr>
        <w:t>s</w:t>
      </w:r>
      <w:r w:rsidR="005401A1" w:rsidRPr="008249B6">
        <w:rPr>
          <w:rFonts w:ascii="Arial" w:hAnsi="Arial" w:cs="Arial"/>
          <w:color w:val="000000" w:themeColor="text1"/>
          <w:sz w:val="20"/>
          <w:szCs w:val="24"/>
          <w:lang w:val="en-US"/>
        </w:rPr>
        <w:t xml:space="preserve"> </w:t>
      </w:r>
      <w:r w:rsidR="00EF2018" w:rsidRPr="008249B6">
        <w:rPr>
          <w:rFonts w:ascii="Arial" w:hAnsi="Arial" w:cs="Arial"/>
          <w:color w:val="000000" w:themeColor="text1"/>
          <w:sz w:val="20"/>
          <w:szCs w:val="24"/>
          <w:lang w:val="en-US"/>
        </w:rPr>
        <w:t xml:space="preserve">showing </w:t>
      </w:r>
      <w:r w:rsidR="005401A1" w:rsidRPr="008249B6">
        <w:rPr>
          <w:rFonts w:ascii="Arial" w:hAnsi="Arial" w:cs="Arial"/>
          <w:color w:val="000000" w:themeColor="text1"/>
          <w:sz w:val="20"/>
          <w:szCs w:val="24"/>
          <w:lang w:val="en-US"/>
        </w:rPr>
        <w:t xml:space="preserve">  </w:t>
      </w:r>
      <w:r w:rsidR="00EF2018">
        <w:rPr>
          <w:rFonts w:ascii="Arial" w:hAnsi="Arial" w:cs="Arial"/>
          <w:sz w:val="20"/>
          <w:szCs w:val="24"/>
          <w:lang w:val="en-US"/>
        </w:rPr>
        <w:t xml:space="preserve">that </w:t>
      </w:r>
      <w:r w:rsidRPr="002C0A8B">
        <w:rPr>
          <w:rFonts w:ascii="Arial" w:hAnsi="Arial" w:cs="Arial"/>
          <w:sz w:val="20"/>
          <w:szCs w:val="24"/>
          <w:lang w:val="en-US"/>
        </w:rPr>
        <w:t>biopesticides derived from plant and microbial extracts exert neurotoxic and repellent effects</w:t>
      </w:r>
      <w:r w:rsidR="00EF2018">
        <w:rPr>
          <w:rFonts w:ascii="Arial" w:hAnsi="Arial" w:cs="Arial"/>
          <w:sz w:val="20"/>
          <w:szCs w:val="24"/>
          <w:lang w:val="en-US"/>
        </w:rPr>
        <w:t xml:space="preserve"> </w:t>
      </w:r>
      <w:r w:rsidR="00EF2018" w:rsidRPr="005401A1">
        <w:rPr>
          <w:rFonts w:ascii="Arial" w:hAnsi="Arial" w:cs="Arial"/>
          <w:sz w:val="20"/>
          <w:szCs w:val="24"/>
          <w:lang w:val="en-US"/>
        </w:rPr>
        <w:t>(</w:t>
      </w:r>
      <w:proofErr w:type="spellStart"/>
      <w:r w:rsidR="00EF2018" w:rsidRPr="005401A1">
        <w:rPr>
          <w:rFonts w:ascii="Arial" w:hAnsi="Arial" w:cs="Arial"/>
          <w:sz w:val="20"/>
          <w:szCs w:val="24"/>
          <w:lang w:val="en-US"/>
        </w:rPr>
        <w:t>Mossa</w:t>
      </w:r>
      <w:proofErr w:type="spellEnd"/>
      <w:r w:rsidR="00EF2018" w:rsidRPr="005401A1">
        <w:rPr>
          <w:rFonts w:ascii="Arial" w:hAnsi="Arial" w:cs="Arial"/>
          <w:sz w:val="20"/>
          <w:szCs w:val="24"/>
          <w:lang w:val="en-US"/>
        </w:rPr>
        <w:t xml:space="preserve">, 2016; </w:t>
      </w:r>
      <w:proofErr w:type="spellStart"/>
      <w:r w:rsidR="00EF2018" w:rsidRPr="005401A1">
        <w:rPr>
          <w:rFonts w:ascii="Arial" w:hAnsi="Arial" w:cs="Arial"/>
          <w:sz w:val="20"/>
          <w:szCs w:val="24"/>
          <w:lang w:val="en-US"/>
        </w:rPr>
        <w:t>Isman</w:t>
      </w:r>
      <w:proofErr w:type="spellEnd"/>
      <w:r w:rsidR="00EF2018" w:rsidRPr="005401A1">
        <w:rPr>
          <w:rFonts w:ascii="Arial" w:hAnsi="Arial" w:cs="Arial"/>
          <w:sz w:val="20"/>
          <w:szCs w:val="24"/>
          <w:lang w:val="en-US"/>
        </w:rPr>
        <w:t>, 2017)</w:t>
      </w:r>
      <w:r w:rsidRPr="005401A1">
        <w:rPr>
          <w:rFonts w:ascii="Arial" w:hAnsi="Arial" w:cs="Arial"/>
          <w:sz w:val="20"/>
          <w:szCs w:val="24"/>
          <w:lang w:val="en-US"/>
        </w:rPr>
        <w:t>.</w:t>
      </w:r>
      <w:r w:rsidRPr="002C0A8B">
        <w:rPr>
          <w:rFonts w:ascii="Arial" w:hAnsi="Arial" w:cs="Arial"/>
          <w:sz w:val="20"/>
          <w:szCs w:val="24"/>
          <w:lang w:val="en-US"/>
        </w:rPr>
        <w:t xml:space="preserve"> The strong repulsion observed during the first few hours could result from the rapid release of volatile compounds (monoterpenes, alkaloids), known to disrupt the chemosensory perception of insects (</w:t>
      </w:r>
      <w:proofErr w:type="spellStart"/>
      <w:r w:rsidRPr="002C0A8B">
        <w:rPr>
          <w:rFonts w:ascii="Arial" w:hAnsi="Arial" w:cs="Arial"/>
          <w:sz w:val="20"/>
          <w:szCs w:val="24"/>
          <w:lang w:val="en-US"/>
        </w:rPr>
        <w:t>Regnault</w:t>
      </w:r>
      <w:proofErr w:type="spellEnd"/>
      <w:r w:rsidRPr="002C0A8B">
        <w:rPr>
          <w:rFonts w:ascii="Arial" w:hAnsi="Arial" w:cs="Arial"/>
          <w:sz w:val="20"/>
          <w:szCs w:val="24"/>
          <w:lang w:val="en-US"/>
        </w:rPr>
        <w:t xml:space="preserve">-Roger </w:t>
      </w:r>
      <w:r w:rsidRPr="002C0A8B">
        <w:rPr>
          <w:rFonts w:ascii="Arial" w:hAnsi="Arial" w:cs="Arial"/>
          <w:i/>
          <w:sz w:val="20"/>
          <w:szCs w:val="24"/>
          <w:lang w:val="en-US"/>
        </w:rPr>
        <w:t>et al</w:t>
      </w:r>
      <w:r w:rsidRPr="002C0A8B">
        <w:rPr>
          <w:rFonts w:ascii="Arial" w:hAnsi="Arial" w:cs="Arial"/>
          <w:sz w:val="20"/>
          <w:szCs w:val="24"/>
          <w:lang w:val="en-US"/>
        </w:rPr>
        <w:t>., 2012). The increased mortality observed after 12 hours suggests a lethal effect following ingestion, as has been reported for essential oils and phenolic extracts (</w:t>
      </w:r>
      <w:proofErr w:type="spellStart"/>
      <w:r w:rsidRPr="002C0A8B">
        <w:rPr>
          <w:rFonts w:ascii="Arial" w:hAnsi="Arial" w:cs="Arial"/>
          <w:sz w:val="20"/>
          <w:szCs w:val="24"/>
          <w:lang w:val="en-US"/>
        </w:rPr>
        <w:t>Koul</w:t>
      </w:r>
      <w:proofErr w:type="spellEnd"/>
      <w:r w:rsidRPr="002C0A8B">
        <w:rPr>
          <w:rFonts w:ascii="Arial" w:hAnsi="Arial" w:cs="Arial"/>
          <w:sz w:val="20"/>
          <w:szCs w:val="24"/>
          <w:lang w:val="en-US"/>
        </w:rPr>
        <w:t xml:space="preserve"> </w:t>
      </w:r>
      <w:r w:rsidRPr="002C0A8B">
        <w:rPr>
          <w:rFonts w:ascii="Arial" w:hAnsi="Arial" w:cs="Arial"/>
          <w:i/>
          <w:sz w:val="20"/>
          <w:szCs w:val="24"/>
          <w:lang w:val="en-US"/>
        </w:rPr>
        <w:t>et al</w:t>
      </w:r>
      <w:r w:rsidRPr="002C0A8B">
        <w:rPr>
          <w:rFonts w:ascii="Arial" w:hAnsi="Arial" w:cs="Arial"/>
          <w:sz w:val="20"/>
          <w:szCs w:val="24"/>
          <w:lang w:val="en-US"/>
        </w:rPr>
        <w:t xml:space="preserve">., 2008; </w:t>
      </w:r>
      <w:proofErr w:type="spellStart"/>
      <w:r w:rsidRPr="002C0A8B">
        <w:rPr>
          <w:rFonts w:ascii="Arial" w:hAnsi="Arial" w:cs="Arial"/>
          <w:sz w:val="20"/>
          <w:szCs w:val="24"/>
          <w:lang w:val="en-US"/>
        </w:rPr>
        <w:t>Pavela</w:t>
      </w:r>
      <w:proofErr w:type="spellEnd"/>
      <w:r w:rsidRPr="002C0A8B">
        <w:rPr>
          <w:rFonts w:ascii="Arial" w:hAnsi="Arial" w:cs="Arial"/>
          <w:sz w:val="20"/>
          <w:szCs w:val="24"/>
          <w:lang w:val="en-US"/>
        </w:rPr>
        <w:t xml:space="preserve"> </w:t>
      </w:r>
      <w:r w:rsidR="00546CA4" w:rsidRPr="002C0A8B">
        <w:rPr>
          <w:rFonts w:ascii="Arial" w:hAnsi="Arial" w:cs="Arial"/>
          <w:sz w:val="20"/>
          <w:szCs w:val="24"/>
          <w:lang w:val="en-US"/>
        </w:rPr>
        <w:sym w:font="Symbol" w:char="F026"/>
      </w:r>
      <w:r w:rsidRPr="002C0A8B">
        <w:rPr>
          <w:rFonts w:ascii="Arial" w:hAnsi="Arial" w:cs="Arial"/>
          <w:sz w:val="20"/>
          <w:szCs w:val="24"/>
          <w:lang w:val="en-US"/>
        </w:rPr>
        <w:t xml:space="preserve"> Benelli, 2016). Furthermore, the differences in efficacy between biopesticide regimens could be attributed to variations in the concentration, bioavailability and stability of the active metabolites (Copping </w:t>
      </w:r>
      <w:r w:rsidR="006F2E43" w:rsidRPr="002C0A8B">
        <w:rPr>
          <w:rFonts w:ascii="Arial" w:hAnsi="Arial" w:cs="Arial"/>
          <w:sz w:val="20"/>
          <w:szCs w:val="24"/>
          <w:lang w:val="en-US"/>
        </w:rPr>
        <w:sym w:font="Symbol" w:char="F026"/>
      </w:r>
      <w:r w:rsidRPr="002C0A8B">
        <w:rPr>
          <w:rFonts w:ascii="Arial" w:hAnsi="Arial" w:cs="Arial"/>
          <w:sz w:val="20"/>
          <w:szCs w:val="24"/>
          <w:lang w:val="en-US"/>
        </w:rPr>
        <w:t xml:space="preserve"> </w:t>
      </w:r>
      <w:proofErr w:type="spellStart"/>
      <w:r w:rsidRPr="002C0A8B">
        <w:rPr>
          <w:rFonts w:ascii="Arial" w:hAnsi="Arial" w:cs="Arial"/>
          <w:sz w:val="20"/>
          <w:szCs w:val="24"/>
          <w:lang w:val="en-US"/>
        </w:rPr>
        <w:t>Menn</w:t>
      </w:r>
      <w:proofErr w:type="spellEnd"/>
      <w:r w:rsidRPr="002C0A8B">
        <w:rPr>
          <w:rFonts w:ascii="Arial" w:hAnsi="Arial" w:cs="Arial"/>
          <w:sz w:val="20"/>
          <w:szCs w:val="24"/>
          <w:lang w:val="en-US"/>
        </w:rPr>
        <w:t xml:space="preserve">, 2000; Roy </w:t>
      </w:r>
      <w:r w:rsidRPr="002C0A8B">
        <w:rPr>
          <w:rFonts w:ascii="Arial" w:hAnsi="Arial" w:cs="Arial"/>
          <w:i/>
          <w:sz w:val="20"/>
          <w:szCs w:val="24"/>
          <w:lang w:val="en-US"/>
        </w:rPr>
        <w:t>et al</w:t>
      </w:r>
      <w:r w:rsidRPr="002C0A8B">
        <w:rPr>
          <w:rFonts w:ascii="Arial" w:hAnsi="Arial" w:cs="Arial"/>
          <w:sz w:val="20"/>
          <w:szCs w:val="24"/>
          <w:lang w:val="en-US"/>
        </w:rPr>
        <w:t>., 2018).</w:t>
      </w:r>
    </w:p>
    <w:p w14:paraId="112FF0F1" w14:textId="77777777" w:rsidR="002C0A8B" w:rsidRDefault="00FC7371" w:rsidP="00CB5CD1">
      <w:pPr>
        <w:spacing w:line="360" w:lineRule="auto"/>
        <w:jc w:val="both"/>
        <w:rPr>
          <w:rFonts w:ascii="Arial" w:hAnsi="Arial" w:cs="Arial"/>
          <w:sz w:val="20"/>
          <w:szCs w:val="24"/>
          <w:lang w:val="en-US"/>
        </w:rPr>
      </w:pPr>
      <w:r w:rsidRPr="002C0A8B">
        <w:rPr>
          <w:rFonts w:ascii="Arial" w:hAnsi="Arial" w:cs="Arial"/>
          <w:sz w:val="20"/>
          <w:szCs w:val="24"/>
          <w:lang w:val="en-US"/>
        </w:rPr>
        <w:t xml:space="preserve">Biopesticides exhibited a significant nematicidal effect, inducing very high </w:t>
      </w:r>
      <w:r w:rsidRPr="008249B6">
        <w:rPr>
          <w:rFonts w:ascii="Arial" w:hAnsi="Arial" w:cs="Arial"/>
          <w:color w:val="000000" w:themeColor="text1"/>
          <w:sz w:val="20"/>
          <w:szCs w:val="24"/>
          <w:lang w:val="en-US"/>
        </w:rPr>
        <w:t xml:space="preserve">mortality </w:t>
      </w:r>
      <w:r w:rsidR="00EF2018" w:rsidRPr="008249B6">
        <w:rPr>
          <w:rFonts w:ascii="Arial" w:hAnsi="Arial" w:cs="Arial"/>
          <w:color w:val="000000" w:themeColor="text1"/>
          <w:sz w:val="20"/>
          <w:szCs w:val="24"/>
          <w:lang w:val="en-US"/>
        </w:rPr>
        <w:t xml:space="preserve">of </w:t>
      </w:r>
      <w:proofErr w:type="spellStart"/>
      <w:r w:rsidRPr="008249B6">
        <w:rPr>
          <w:rFonts w:ascii="Arial" w:hAnsi="Arial" w:cs="Arial"/>
          <w:i/>
          <w:color w:val="000000" w:themeColor="text1"/>
          <w:sz w:val="20"/>
          <w:szCs w:val="24"/>
          <w:lang w:val="en-US"/>
        </w:rPr>
        <w:t>Radopholus</w:t>
      </w:r>
      <w:proofErr w:type="spellEnd"/>
      <w:r w:rsidRPr="008249B6">
        <w:rPr>
          <w:rFonts w:ascii="Arial" w:hAnsi="Arial" w:cs="Arial"/>
          <w:i/>
          <w:color w:val="000000" w:themeColor="text1"/>
          <w:sz w:val="20"/>
          <w:szCs w:val="24"/>
          <w:lang w:val="en-US"/>
        </w:rPr>
        <w:t xml:space="preserve"> </w:t>
      </w:r>
      <w:proofErr w:type="spellStart"/>
      <w:r w:rsidRPr="008249B6">
        <w:rPr>
          <w:rFonts w:ascii="Arial" w:hAnsi="Arial" w:cs="Arial"/>
          <w:i/>
          <w:color w:val="000000" w:themeColor="text1"/>
          <w:sz w:val="20"/>
          <w:szCs w:val="24"/>
          <w:lang w:val="en-US"/>
        </w:rPr>
        <w:t>similis</w:t>
      </w:r>
      <w:proofErr w:type="spellEnd"/>
      <w:r w:rsidRPr="008249B6">
        <w:rPr>
          <w:rFonts w:ascii="Arial" w:hAnsi="Arial" w:cs="Arial"/>
          <w:color w:val="000000" w:themeColor="text1"/>
          <w:sz w:val="20"/>
          <w:szCs w:val="24"/>
          <w:lang w:val="en-US"/>
        </w:rPr>
        <w:t xml:space="preserve">, with an overall mortality rate reaching 100%, comparable to that of the positive control (chemical nematicide). The efficacy of biopesticides could be attributed to the presence of bioactive compounds such as alkaloids, terpenes, phenols, flavonoids and saponins, widely recognized for their nematicidal properties. These compounds can act through several mechanisms, including disrupting membrane permeability, altering the nervous system or inducing paralysis, leading rapidly to nematode death (Chitwood, 2002; </w:t>
      </w:r>
      <w:proofErr w:type="spellStart"/>
      <w:r w:rsidRPr="008249B6">
        <w:rPr>
          <w:rFonts w:ascii="Arial" w:hAnsi="Arial" w:cs="Arial"/>
          <w:color w:val="000000" w:themeColor="text1"/>
          <w:sz w:val="20"/>
          <w:szCs w:val="24"/>
          <w:lang w:val="en-US"/>
        </w:rPr>
        <w:t>Ntalli</w:t>
      </w:r>
      <w:proofErr w:type="spellEnd"/>
      <w:r w:rsidRPr="008249B6">
        <w:rPr>
          <w:rFonts w:ascii="Arial" w:hAnsi="Arial" w:cs="Arial"/>
          <w:color w:val="000000" w:themeColor="text1"/>
          <w:sz w:val="20"/>
          <w:szCs w:val="24"/>
          <w:lang w:val="en-US"/>
        </w:rPr>
        <w:t xml:space="preserve"> &amp; </w:t>
      </w:r>
      <w:proofErr w:type="spellStart"/>
      <w:r w:rsidRPr="008249B6">
        <w:rPr>
          <w:rFonts w:ascii="Arial" w:hAnsi="Arial" w:cs="Arial"/>
          <w:color w:val="000000" w:themeColor="text1"/>
          <w:sz w:val="20"/>
          <w:szCs w:val="24"/>
          <w:lang w:val="en-US"/>
        </w:rPr>
        <w:t>Caboni</w:t>
      </w:r>
      <w:proofErr w:type="spellEnd"/>
      <w:r w:rsidRPr="008249B6">
        <w:rPr>
          <w:rFonts w:ascii="Arial" w:hAnsi="Arial" w:cs="Arial"/>
          <w:color w:val="000000" w:themeColor="text1"/>
          <w:sz w:val="20"/>
          <w:szCs w:val="24"/>
          <w:lang w:val="en-US"/>
        </w:rPr>
        <w:t xml:space="preserve">, 2012). </w:t>
      </w:r>
      <w:r w:rsidR="005401A1" w:rsidRPr="008249B6">
        <w:rPr>
          <w:rFonts w:ascii="Arial" w:hAnsi="Arial" w:cs="Arial"/>
          <w:color w:val="000000" w:themeColor="text1"/>
          <w:sz w:val="20"/>
          <w:szCs w:val="24"/>
          <w:lang w:val="en-US"/>
        </w:rPr>
        <w:t xml:space="preserve">Indeed, </w:t>
      </w:r>
      <w:r w:rsidRPr="008249B6">
        <w:rPr>
          <w:rFonts w:ascii="Arial" w:hAnsi="Arial" w:cs="Arial"/>
          <w:color w:val="000000" w:themeColor="text1"/>
          <w:sz w:val="20"/>
          <w:szCs w:val="24"/>
          <w:lang w:val="en-US"/>
        </w:rPr>
        <w:t>plant extracts rich in phenolic compounds induce rapid nematode mortality by inhibiting their motility and respiration</w:t>
      </w:r>
      <w:r w:rsidR="005401A1" w:rsidRPr="008249B6">
        <w:rPr>
          <w:rFonts w:ascii="Arial" w:hAnsi="Arial" w:cs="Arial"/>
          <w:color w:val="000000" w:themeColor="text1"/>
          <w:sz w:val="20"/>
          <w:szCs w:val="24"/>
          <w:lang w:val="en-US"/>
        </w:rPr>
        <w:t xml:space="preserve"> (Oka </w:t>
      </w:r>
      <w:r w:rsidR="005401A1" w:rsidRPr="008249B6">
        <w:rPr>
          <w:rFonts w:ascii="Arial" w:hAnsi="Arial" w:cs="Arial"/>
          <w:i/>
          <w:color w:val="000000" w:themeColor="text1"/>
          <w:sz w:val="20"/>
          <w:szCs w:val="24"/>
          <w:lang w:val="en-US"/>
        </w:rPr>
        <w:t>et al</w:t>
      </w:r>
      <w:r w:rsidR="005401A1" w:rsidRPr="008249B6">
        <w:rPr>
          <w:rFonts w:ascii="Arial" w:hAnsi="Arial" w:cs="Arial"/>
          <w:color w:val="000000" w:themeColor="text1"/>
          <w:sz w:val="20"/>
          <w:szCs w:val="24"/>
          <w:lang w:val="en-US"/>
        </w:rPr>
        <w:t>., 2000)</w:t>
      </w:r>
      <w:r w:rsidRPr="008249B6">
        <w:rPr>
          <w:rFonts w:ascii="Arial" w:hAnsi="Arial" w:cs="Arial"/>
          <w:color w:val="000000" w:themeColor="text1"/>
          <w:sz w:val="20"/>
          <w:szCs w:val="24"/>
          <w:lang w:val="en-US"/>
        </w:rPr>
        <w:t>. Similarly, significant efficacy of plant-based biopesticides against plant-parasitic nematodes</w:t>
      </w:r>
      <w:r w:rsidR="00BD0E91" w:rsidRPr="008249B6">
        <w:rPr>
          <w:rFonts w:ascii="Arial" w:hAnsi="Arial" w:cs="Arial"/>
          <w:color w:val="000000" w:themeColor="text1"/>
          <w:sz w:val="20"/>
          <w:szCs w:val="24"/>
          <w:lang w:val="en-US"/>
        </w:rPr>
        <w:t xml:space="preserve"> were also reported </w:t>
      </w:r>
      <w:r w:rsidR="00BD0E91" w:rsidRPr="002C0A8B">
        <w:rPr>
          <w:rFonts w:ascii="Arial" w:hAnsi="Arial" w:cs="Arial"/>
          <w:sz w:val="20"/>
          <w:szCs w:val="24"/>
          <w:lang w:val="en-US"/>
        </w:rPr>
        <w:t>(Akhtar and Malik</w:t>
      </w:r>
      <w:r w:rsidR="00BD0E91">
        <w:rPr>
          <w:rFonts w:ascii="Arial" w:hAnsi="Arial" w:cs="Arial"/>
          <w:sz w:val="20"/>
          <w:szCs w:val="24"/>
          <w:lang w:val="en-US"/>
        </w:rPr>
        <w:t>,</w:t>
      </w:r>
      <w:r w:rsidR="00BD0E91" w:rsidRPr="002C0A8B">
        <w:rPr>
          <w:rFonts w:ascii="Arial" w:hAnsi="Arial" w:cs="Arial"/>
          <w:sz w:val="20"/>
          <w:szCs w:val="24"/>
          <w:lang w:val="en-US"/>
        </w:rPr>
        <w:t xml:space="preserve"> 2000)</w:t>
      </w:r>
      <w:r w:rsidRPr="002C0A8B">
        <w:rPr>
          <w:rFonts w:ascii="Arial" w:hAnsi="Arial" w:cs="Arial"/>
          <w:sz w:val="20"/>
          <w:szCs w:val="24"/>
          <w:lang w:val="en-US"/>
        </w:rPr>
        <w:t xml:space="preserve">. The lack of significant difference observed between the tested biopesticides suggests that, despite potentially different compositions, their active ingredients exert similar nematicidal effects on </w:t>
      </w:r>
      <w:proofErr w:type="spellStart"/>
      <w:r w:rsidRPr="00BD0E91">
        <w:rPr>
          <w:rFonts w:ascii="Arial" w:hAnsi="Arial" w:cs="Arial"/>
          <w:i/>
          <w:iCs/>
          <w:sz w:val="20"/>
          <w:szCs w:val="24"/>
          <w:lang w:val="en-US"/>
        </w:rPr>
        <w:t>Radopholus</w:t>
      </w:r>
      <w:proofErr w:type="spellEnd"/>
      <w:r w:rsidRPr="00BD0E91">
        <w:rPr>
          <w:rFonts w:ascii="Arial" w:hAnsi="Arial" w:cs="Arial"/>
          <w:i/>
          <w:iCs/>
          <w:sz w:val="20"/>
          <w:szCs w:val="24"/>
          <w:lang w:val="en-US"/>
        </w:rPr>
        <w:t xml:space="preserve"> </w:t>
      </w:r>
      <w:proofErr w:type="spellStart"/>
      <w:r w:rsidRPr="00BD0E91">
        <w:rPr>
          <w:rFonts w:ascii="Arial" w:hAnsi="Arial" w:cs="Arial"/>
          <w:i/>
          <w:iCs/>
          <w:sz w:val="20"/>
          <w:szCs w:val="24"/>
          <w:lang w:val="en-US"/>
        </w:rPr>
        <w:t>similis</w:t>
      </w:r>
      <w:proofErr w:type="spellEnd"/>
      <w:r w:rsidRPr="002C0A8B">
        <w:rPr>
          <w:rFonts w:ascii="Arial" w:hAnsi="Arial" w:cs="Arial"/>
          <w:sz w:val="20"/>
          <w:szCs w:val="24"/>
          <w:lang w:val="en-US"/>
        </w:rPr>
        <w:t>. This could indicate a convergent mode of action or a high sensitivity of this nematode to plant secondary metabolites. These results reinforce the interest in biopesticides as sustainable alternatives to chemical nematicides, the use of which is increasingly restricted due to their toxicity to the environment and human health (</w:t>
      </w:r>
      <w:proofErr w:type="spellStart"/>
      <w:r w:rsidRPr="002C0A8B">
        <w:rPr>
          <w:rFonts w:ascii="Arial" w:hAnsi="Arial" w:cs="Arial"/>
          <w:sz w:val="20"/>
          <w:szCs w:val="24"/>
          <w:lang w:val="en-US"/>
        </w:rPr>
        <w:t>Desaeger</w:t>
      </w:r>
      <w:proofErr w:type="spellEnd"/>
      <w:r w:rsidRPr="002C0A8B">
        <w:rPr>
          <w:rFonts w:ascii="Arial" w:hAnsi="Arial" w:cs="Arial"/>
          <w:sz w:val="20"/>
          <w:szCs w:val="24"/>
          <w:lang w:val="en-US"/>
        </w:rPr>
        <w:t xml:space="preserve"> </w:t>
      </w:r>
      <w:r w:rsidRPr="00CB5CD1">
        <w:rPr>
          <w:rFonts w:ascii="Arial" w:hAnsi="Arial" w:cs="Arial"/>
          <w:i/>
          <w:sz w:val="20"/>
          <w:szCs w:val="24"/>
          <w:lang w:val="en-US"/>
        </w:rPr>
        <w:t>et al</w:t>
      </w:r>
      <w:r w:rsidRPr="002C0A8B">
        <w:rPr>
          <w:rFonts w:ascii="Arial" w:hAnsi="Arial" w:cs="Arial"/>
          <w:sz w:val="20"/>
          <w:szCs w:val="24"/>
          <w:lang w:val="en-US"/>
        </w:rPr>
        <w:t>., 2020).</w:t>
      </w:r>
    </w:p>
    <w:p w14:paraId="773B170D" w14:textId="77777777" w:rsidR="0074502F" w:rsidRDefault="0074502F" w:rsidP="002C0A8B">
      <w:pPr>
        <w:spacing w:after="0" w:line="480" w:lineRule="auto"/>
        <w:jc w:val="both"/>
        <w:rPr>
          <w:rFonts w:ascii="Arial" w:hAnsi="Arial" w:cs="Arial"/>
          <w:sz w:val="20"/>
          <w:szCs w:val="24"/>
          <w:lang w:val="en-US"/>
        </w:rPr>
      </w:pPr>
    </w:p>
    <w:p w14:paraId="30F05532" w14:textId="77777777" w:rsidR="000A058D" w:rsidRPr="002C0A8B" w:rsidRDefault="00D11E5D" w:rsidP="002C0A8B">
      <w:pPr>
        <w:spacing w:after="0" w:line="480" w:lineRule="auto"/>
        <w:jc w:val="both"/>
        <w:rPr>
          <w:rFonts w:ascii="Arial" w:hAnsi="Arial" w:cs="Arial"/>
          <w:b/>
          <w:szCs w:val="24"/>
          <w:lang w:val="en-US"/>
        </w:rPr>
      </w:pPr>
      <w:r w:rsidRPr="002C0A8B">
        <w:rPr>
          <w:rFonts w:ascii="Arial" w:hAnsi="Arial" w:cs="Arial"/>
          <w:b/>
          <w:szCs w:val="24"/>
          <w:lang w:val="en-US"/>
        </w:rPr>
        <w:t>Conclusion</w:t>
      </w:r>
    </w:p>
    <w:p w14:paraId="0F01223A" w14:textId="32A75E70" w:rsidR="00874761" w:rsidRPr="00D863CD" w:rsidRDefault="00D11E5D" w:rsidP="00B44392">
      <w:pPr>
        <w:spacing w:after="0" w:line="360" w:lineRule="auto"/>
        <w:jc w:val="both"/>
        <w:rPr>
          <w:rFonts w:ascii="Arial" w:hAnsi="Arial" w:cs="Arial"/>
          <w:color w:val="FF0000"/>
          <w:sz w:val="20"/>
          <w:szCs w:val="20"/>
          <w:lang w:val="en-US"/>
        </w:rPr>
      </w:pPr>
      <w:r w:rsidRPr="00CB5CD1">
        <w:rPr>
          <w:rFonts w:ascii="Arial" w:hAnsi="Arial" w:cs="Arial"/>
          <w:sz w:val="20"/>
          <w:szCs w:val="20"/>
          <w:lang w:val="en-US"/>
        </w:rPr>
        <w:t>This study highlights the potential of plant-based products as biological control agents. The four biopesticides demonstrated significant antifungal, antibacterial, insecticidal, and nematicid</w:t>
      </w:r>
      <w:r w:rsidR="00BD0E91" w:rsidRPr="0080230B">
        <w:rPr>
          <w:rFonts w:ascii="Arial" w:hAnsi="Arial" w:cs="Arial"/>
          <w:color w:val="000000" w:themeColor="text1"/>
          <w:sz w:val="20"/>
          <w:szCs w:val="20"/>
          <w:lang w:val="en-US"/>
        </w:rPr>
        <w:t>al</w:t>
      </w:r>
      <w:r w:rsidRPr="00BD0E91">
        <w:rPr>
          <w:rFonts w:ascii="Arial" w:hAnsi="Arial" w:cs="Arial"/>
          <w:color w:val="FF0000"/>
          <w:sz w:val="20"/>
          <w:szCs w:val="20"/>
          <w:lang w:val="en-US"/>
        </w:rPr>
        <w:t xml:space="preserve"> </w:t>
      </w:r>
      <w:r w:rsidRPr="00CB5CD1">
        <w:rPr>
          <w:rFonts w:ascii="Arial" w:hAnsi="Arial" w:cs="Arial"/>
          <w:sz w:val="20"/>
          <w:szCs w:val="20"/>
          <w:lang w:val="en-US"/>
        </w:rPr>
        <w:t xml:space="preserve">activity against important plant pathogens and pests. The observed efficacy of these biopesticides suggests their potential as environmentally friendly alternatives to synthetic pesticides, contributing to sustainable pest management while reducing the risk of resistance and environmental impacts. However, although the </w:t>
      </w:r>
      <w:r w:rsidRPr="00BD0E91">
        <w:rPr>
          <w:rFonts w:ascii="Arial" w:hAnsi="Arial" w:cs="Arial"/>
          <w:i/>
          <w:iCs/>
          <w:sz w:val="20"/>
          <w:szCs w:val="20"/>
          <w:lang w:val="en-US"/>
        </w:rPr>
        <w:t>in vitro</w:t>
      </w:r>
      <w:r w:rsidRPr="00CB5CD1">
        <w:rPr>
          <w:rFonts w:ascii="Arial" w:hAnsi="Arial" w:cs="Arial"/>
          <w:sz w:val="20"/>
          <w:szCs w:val="20"/>
          <w:lang w:val="en-US"/>
        </w:rPr>
        <w:t xml:space="preserve"> results are very promising, further studies under semi-controlled conditions and in the field are needed to assess the persistence of the biopesticides' effects, optimal dosages and the potential impact on beneficial soil microorganisms.</w:t>
      </w:r>
      <w:r w:rsidR="00D863CD">
        <w:rPr>
          <w:rFonts w:ascii="Arial" w:hAnsi="Arial" w:cs="Arial"/>
          <w:sz w:val="20"/>
          <w:szCs w:val="20"/>
          <w:lang w:val="en-US"/>
        </w:rPr>
        <w:t xml:space="preserve"> </w:t>
      </w:r>
      <w:r w:rsidR="00D863CD" w:rsidRPr="00D863CD">
        <w:rPr>
          <w:rFonts w:ascii="Arial" w:hAnsi="Arial" w:cs="Arial"/>
          <w:color w:val="FF0000"/>
          <w:sz w:val="20"/>
          <w:szCs w:val="20"/>
          <w:lang w:val="en-US"/>
        </w:rPr>
        <w:t xml:space="preserve">Additionally, </w:t>
      </w:r>
      <w:r w:rsidR="00D863CD" w:rsidRPr="00D863CD">
        <w:rPr>
          <w:rFonts w:ascii="Arial" w:hAnsi="Arial" w:cs="Arial"/>
          <w:color w:val="FF0000"/>
          <w:sz w:val="20"/>
          <w:lang w:val="en-US"/>
        </w:rPr>
        <w:t xml:space="preserve">evaluating the </w:t>
      </w:r>
      <w:r w:rsidR="00D863CD" w:rsidRPr="00D863CD">
        <w:rPr>
          <w:rFonts w:ascii="Arial" w:hAnsi="Arial" w:cs="Arial"/>
          <w:color w:val="FF0000"/>
          <w:sz w:val="20"/>
          <w:lang w:val="en-US"/>
        </w:rPr>
        <w:lastRenderedPageBreak/>
        <w:t xml:space="preserve">stability of these </w:t>
      </w:r>
      <w:r w:rsidR="00D863CD" w:rsidRPr="00D863CD">
        <w:rPr>
          <w:rFonts w:ascii="Arial" w:hAnsi="Arial" w:cs="Arial"/>
          <w:color w:val="FF0000"/>
          <w:sz w:val="20"/>
          <w:szCs w:val="20"/>
          <w:lang w:val="en-US"/>
        </w:rPr>
        <w:t>biopesticides</w:t>
      </w:r>
      <w:r w:rsidR="00D863CD" w:rsidRPr="00D863CD">
        <w:rPr>
          <w:rFonts w:ascii="Arial" w:hAnsi="Arial" w:cs="Arial"/>
          <w:color w:val="FF0000"/>
          <w:sz w:val="20"/>
          <w:lang w:val="en-US"/>
        </w:rPr>
        <w:t xml:space="preserve"> and identifying the bioactive compounds responsible for the observed effects remains necessary.</w:t>
      </w:r>
    </w:p>
    <w:p w14:paraId="3C7CCF2F" w14:textId="77777777" w:rsidR="000B4F70" w:rsidRDefault="000B4F70" w:rsidP="00B44392">
      <w:pPr>
        <w:spacing w:after="0" w:line="360" w:lineRule="auto"/>
        <w:jc w:val="both"/>
        <w:rPr>
          <w:rFonts w:ascii="Arial" w:hAnsi="Arial" w:cs="Arial"/>
          <w:sz w:val="20"/>
          <w:szCs w:val="20"/>
          <w:lang w:val="en-US"/>
        </w:rPr>
      </w:pPr>
    </w:p>
    <w:p w14:paraId="51D9E046" w14:textId="77777777" w:rsidR="00C4702C" w:rsidRPr="00107A4C" w:rsidRDefault="00C4702C" w:rsidP="00C4702C">
      <w:pPr>
        <w:rPr>
          <w:rFonts w:ascii="Arial" w:hAnsi="Arial" w:cs="Arial"/>
          <w:b/>
          <w:sz w:val="20"/>
          <w:lang w:val="en-US"/>
        </w:rPr>
      </w:pPr>
      <w:r w:rsidRPr="00107A4C">
        <w:rPr>
          <w:rFonts w:ascii="Arial" w:hAnsi="Arial" w:cs="Arial"/>
          <w:b/>
          <w:sz w:val="20"/>
          <w:lang w:val="en-US"/>
        </w:rPr>
        <w:t>Disclaimer (Artificial intelligence)</w:t>
      </w:r>
    </w:p>
    <w:p w14:paraId="2E7DC728" w14:textId="77777777" w:rsidR="00C4702C" w:rsidRPr="00107A4C" w:rsidRDefault="00C4702C" w:rsidP="00C4702C">
      <w:pPr>
        <w:rPr>
          <w:rFonts w:ascii="Arial" w:hAnsi="Arial" w:cs="Arial"/>
          <w:sz w:val="20"/>
          <w:lang w:val="en-US"/>
        </w:rPr>
      </w:pPr>
      <w:r w:rsidRPr="00107A4C">
        <w:rPr>
          <w:rFonts w:ascii="Arial" w:hAnsi="Arial" w:cs="Arial"/>
          <w:sz w:val="20"/>
          <w:lang w:val="en-US"/>
        </w:rPr>
        <w:t>Author(s) hereby declare that NO generative AI technologies such as Large Language Models (</w:t>
      </w:r>
      <w:proofErr w:type="spellStart"/>
      <w:r w:rsidRPr="00107A4C">
        <w:rPr>
          <w:rFonts w:ascii="Arial" w:hAnsi="Arial" w:cs="Arial"/>
          <w:sz w:val="20"/>
          <w:lang w:val="en-US"/>
        </w:rPr>
        <w:t>ChatGPT</w:t>
      </w:r>
      <w:proofErr w:type="spellEnd"/>
      <w:r w:rsidRPr="00107A4C">
        <w:rPr>
          <w:rFonts w:ascii="Arial" w:hAnsi="Arial" w:cs="Arial"/>
          <w:sz w:val="20"/>
          <w:lang w:val="en-US"/>
        </w:rPr>
        <w:t xml:space="preserve">, COPILOT, etc.) and text-to-image generators have been used during the writing or editing of this manuscript. </w:t>
      </w:r>
    </w:p>
    <w:p w14:paraId="398AD45A" w14:textId="77777777" w:rsidR="00B44392" w:rsidRPr="00B44392" w:rsidRDefault="00B44392" w:rsidP="00B44392">
      <w:pPr>
        <w:spacing w:after="0" w:line="360" w:lineRule="auto"/>
        <w:jc w:val="both"/>
        <w:rPr>
          <w:rFonts w:ascii="Arial" w:hAnsi="Arial" w:cs="Arial"/>
          <w:sz w:val="20"/>
          <w:szCs w:val="20"/>
          <w:lang w:val="en-US"/>
        </w:rPr>
      </w:pPr>
    </w:p>
    <w:p w14:paraId="641A0BC7" w14:textId="1FD500D0" w:rsidR="00BD0E91" w:rsidRPr="00BD0E91" w:rsidRDefault="00BD0E91" w:rsidP="00BD0E91">
      <w:pPr>
        <w:spacing w:after="0" w:line="360" w:lineRule="auto"/>
        <w:jc w:val="both"/>
        <w:rPr>
          <w:rFonts w:ascii="Arial" w:hAnsi="Arial" w:cs="Arial"/>
          <w:b/>
          <w:bCs/>
          <w:color w:val="000000"/>
          <w:lang w:val="en-US"/>
        </w:rPr>
      </w:pPr>
    </w:p>
    <w:p w14:paraId="5642ADC1" w14:textId="77777777" w:rsidR="0036374C" w:rsidRPr="00CB5CD1" w:rsidRDefault="0036374C" w:rsidP="006C7917">
      <w:pPr>
        <w:spacing w:after="0" w:line="480" w:lineRule="auto"/>
        <w:rPr>
          <w:rFonts w:ascii="Arial" w:hAnsi="Arial" w:cs="Arial"/>
          <w:szCs w:val="24"/>
          <w:lang w:val="en-US"/>
        </w:rPr>
      </w:pPr>
      <w:r w:rsidRPr="00CB5CD1">
        <w:rPr>
          <w:rFonts w:ascii="Arial" w:hAnsi="Arial" w:cs="Arial"/>
          <w:b/>
          <w:szCs w:val="24"/>
          <w:lang w:val="en-US"/>
        </w:rPr>
        <w:t>References</w:t>
      </w:r>
    </w:p>
    <w:p w14:paraId="5A76EB14" w14:textId="77777777" w:rsidR="00521DFD" w:rsidRPr="00546C07" w:rsidRDefault="00521DFD" w:rsidP="00521DFD">
      <w:pPr>
        <w:pStyle w:val="ListBullet"/>
        <w:spacing w:after="0" w:line="360" w:lineRule="auto"/>
        <w:jc w:val="both"/>
        <w:rPr>
          <w:rFonts w:ascii="Arial" w:hAnsi="Arial" w:cs="Arial"/>
          <w:sz w:val="20"/>
          <w:szCs w:val="20"/>
        </w:rPr>
      </w:pPr>
      <w:r w:rsidRPr="00521DFD">
        <w:rPr>
          <w:rFonts w:ascii="Arial" w:eastAsia="Times New Roman" w:hAnsi="Arial" w:cs="Arial"/>
          <w:color w:val="C00000"/>
          <w:sz w:val="20"/>
          <w:szCs w:val="20"/>
          <w:lang w:eastAsia="fr-FR"/>
        </w:rPr>
        <w:t>Abbott, W.S. (1925)</w:t>
      </w:r>
      <w:r w:rsidRPr="00521DFD">
        <w:rPr>
          <w:rFonts w:ascii="Arial" w:eastAsia="Times New Roman" w:hAnsi="Arial" w:cs="Arial"/>
          <w:sz w:val="20"/>
          <w:szCs w:val="20"/>
          <w:lang w:eastAsia="fr-FR"/>
        </w:rPr>
        <w:t>.</w:t>
      </w:r>
      <w:r w:rsidRPr="00546C07">
        <w:rPr>
          <w:rFonts w:ascii="Arial" w:eastAsia="Times New Roman" w:hAnsi="Arial" w:cs="Arial"/>
          <w:color w:val="FF0000"/>
          <w:sz w:val="20"/>
          <w:szCs w:val="20"/>
          <w:lang w:eastAsia="fr-FR"/>
        </w:rPr>
        <w:t xml:space="preserve"> </w:t>
      </w:r>
      <w:r w:rsidRPr="00546C07">
        <w:rPr>
          <w:rFonts w:ascii="Arial" w:eastAsia="Times New Roman" w:hAnsi="Arial" w:cs="Arial"/>
          <w:color w:val="000000"/>
          <w:sz w:val="20"/>
          <w:szCs w:val="20"/>
          <w:lang w:eastAsia="fr-FR"/>
        </w:rPr>
        <w:t xml:space="preserve">A method of computing the effectiveness of an insecticide. Journal of the American Mosquito Control </w:t>
      </w:r>
      <w:r w:rsidRPr="00546C07">
        <w:rPr>
          <w:rFonts w:ascii="Arial" w:eastAsia="Times New Roman" w:hAnsi="Arial" w:cs="Arial"/>
          <w:color w:val="000000"/>
          <w:sz w:val="20"/>
          <w:szCs w:val="20"/>
          <w:lang w:eastAsia="fr-FR"/>
        </w:rPr>
        <w:tab/>
        <w:t>Association, 3(2), 302-303.</w:t>
      </w:r>
    </w:p>
    <w:p w14:paraId="1F253CFA" w14:textId="77777777" w:rsidR="00521DFD" w:rsidRPr="00546C07" w:rsidRDefault="00521DFD" w:rsidP="00521DFD">
      <w:pPr>
        <w:pStyle w:val="ListBullet"/>
        <w:spacing w:line="360" w:lineRule="auto"/>
        <w:jc w:val="both"/>
        <w:rPr>
          <w:rFonts w:ascii="Arial" w:hAnsi="Arial" w:cs="Arial"/>
          <w:sz w:val="20"/>
          <w:szCs w:val="20"/>
        </w:rPr>
      </w:pPr>
      <w:r w:rsidRPr="00546C07">
        <w:rPr>
          <w:rFonts w:ascii="Arial" w:hAnsi="Arial" w:cs="Arial"/>
          <w:sz w:val="20"/>
          <w:szCs w:val="20"/>
        </w:rPr>
        <w:t>Akhtar, M., &amp; Malik, A. (2000). Roles of organic soil amendments and soil organisms in the biological control of plant-parasitic nematodes. Bi</w:t>
      </w:r>
      <w:r>
        <w:rPr>
          <w:rFonts w:ascii="Arial" w:hAnsi="Arial" w:cs="Arial"/>
          <w:sz w:val="20"/>
          <w:szCs w:val="20"/>
        </w:rPr>
        <w:t>oresource Technology, 74(1), 35-</w:t>
      </w:r>
      <w:r w:rsidRPr="00546C07">
        <w:rPr>
          <w:rFonts w:ascii="Arial" w:hAnsi="Arial" w:cs="Arial"/>
          <w:sz w:val="20"/>
          <w:szCs w:val="20"/>
        </w:rPr>
        <w:t xml:space="preserve">47. </w:t>
      </w:r>
      <w:hyperlink r:id="rId22" w:history="1">
        <w:r w:rsidRPr="00546C07">
          <w:rPr>
            <w:rStyle w:val="Hyperlink"/>
            <w:rFonts w:ascii="Arial" w:hAnsi="Arial" w:cs="Arial"/>
            <w:sz w:val="20"/>
            <w:szCs w:val="20"/>
          </w:rPr>
          <w:t>https://doi.org/10.1016/S0960-8524(99)00154-6</w:t>
        </w:r>
      </w:hyperlink>
      <w:r w:rsidRPr="00546C07">
        <w:rPr>
          <w:rFonts w:ascii="Arial" w:hAnsi="Arial" w:cs="Arial"/>
          <w:sz w:val="20"/>
          <w:szCs w:val="20"/>
        </w:rPr>
        <w:t xml:space="preserve"> </w:t>
      </w:r>
    </w:p>
    <w:p w14:paraId="72A10D12" w14:textId="77777777" w:rsidR="00521DFD" w:rsidRPr="00546C07" w:rsidRDefault="00521DFD" w:rsidP="00521DFD">
      <w:pPr>
        <w:pStyle w:val="ListBullet"/>
        <w:spacing w:after="0" w:line="360" w:lineRule="auto"/>
        <w:jc w:val="both"/>
        <w:rPr>
          <w:rFonts w:ascii="Arial" w:hAnsi="Arial" w:cs="Arial"/>
          <w:sz w:val="20"/>
          <w:szCs w:val="20"/>
        </w:rPr>
      </w:pPr>
      <w:proofErr w:type="spellStart"/>
      <w:r w:rsidRPr="00546C07">
        <w:rPr>
          <w:rFonts w:ascii="Arial" w:hAnsi="Arial" w:cs="Arial"/>
          <w:sz w:val="20"/>
          <w:szCs w:val="20"/>
        </w:rPr>
        <w:t>Ayilara</w:t>
      </w:r>
      <w:proofErr w:type="spellEnd"/>
      <w:r w:rsidRPr="00546C07">
        <w:rPr>
          <w:rFonts w:ascii="Arial" w:hAnsi="Arial" w:cs="Arial"/>
          <w:sz w:val="20"/>
          <w:szCs w:val="20"/>
        </w:rPr>
        <w:t xml:space="preserve">, MS., Kutu, FR., </w:t>
      </w:r>
      <w:r w:rsidRPr="00546C07">
        <w:rPr>
          <w:rFonts w:ascii="Arial" w:hAnsi="Arial" w:cs="Arial"/>
          <w:sz w:val="20"/>
          <w:szCs w:val="20"/>
        </w:rPr>
        <w:sym w:font="Symbol" w:char="F026"/>
      </w:r>
      <w:r w:rsidRPr="00546C07">
        <w:rPr>
          <w:rFonts w:ascii="Arial" w:hAnsi="Arial" w:cs="Arial"/>
          <w:sz w:val="20"/>
          <w:szCs w:val="20"/>
        </w:rPr>
        <w:t xml:space="preserve"> </w:t>
      </w:r>
      <w:proofErr w:type="spellStart"/>
      <w:r w:rsidRPr="00546C07">
        <w:rPr>
          <w:rFonts w:ascii="Arial" w:hAnsi="Arial" w:cs="Arial"/>
          <w:sz w:val="20"/>
          <w:szCs w:val="20"/>
        </w:rPr>
        <w:t>Muchaonyerwa</w:t>
      </w:r>
      <w:proofErr w:type="spellEnd"/>
      <w:r w:rsidRPr="00546C07">
        <w:rPr>
          <w:rFonts w:ascii="Arial" w:hAnsi="Arial" w:cs="Arial"/>
          <w:sz w:val="20"/>
          <w:szCs w:val="20"/>
        </w:rPr>
        <w:t xml:space="preserve">, P. (2023). Impact of pesticides on soil microbial diversity and ecosystem functioning: a review. </w:t>
      </w:r>
      <w:proofErr w:type="spellStart"/>
      <w:r w:rsidRPr="00546C07">
        <w:rPr>
          <w:rFonts w:ascii="Arial" w:hAnsi="Arial" w:cs="Arial"/>
          <w:sz w:val="20"/>
          <w:szCs w:val="20"/>
          <w:lang w:val="fr-FR"/>
        </w:rPr>
        <w:t>Frontiers</w:t>
      </w:r>
      <w:proofErr w:type="spellEnd"/>
      <w:r w:rsidRPr="00546C07">
        <w:rPr>
          <w:rFonts w:ascii="Arial" w:hAnsi="Arial" w:cs="Arial"/>
          <w:sz w:val="20"/>
          <w:szCs w:val="20"/>
          <w:lang w:val="fr-FR"/>
        </w:rPr>
        <w:t xml:space="preserve"> in </w:t>
      </w:r>
      <w:proofErr w:type="spellStart"/>
      <w:r w:rsidRPr="00546C07">
        <w:rPr>
          <w:rFonts w:ascii="Arial" w:hAnsi="Arial" w:cs="Arial"/>
          <w:sz w:val="20"/>
          <w:szCs w:val="20"/>
          <w:lang w:val="fr-FR"/>
        </w:rPr>
        <w:t>Microbiology</w:t>
      </w:r>
      <w:proofErr w:type="spellEnd"/>
      <w:r w:rsidRPr="00546C07">
        <w:rPr>
          <w:rFonts w:ascii="Arial" w:hAnsi="Arial" w:cs="Arial"/>
          <w:sz w:val="20"/>
          <w:szCs w:val="20"/>
          <w:lang w:val="fr-FR"/>
        </w:rPr>
        <w:t>, 14, 1040901.</w:t>
      </w:r>
      <w:hyperlink r:id="rId23" w:history="1">
        <w:r w:rsidRPr="00546C07">
          <w:rPr>
            <w:rStyle w:val="Hyperlink"/>
            <w:rFonts w:ascii="Arial" w:hAnsi="Arial" w:cs="Arial"/>
            <w:sz w:val="20"/>
            <w:szCs w:val="20"/>
          </w:rPr>
          <w:t>https://doi.org/10.3389/fmicb.2023.1040901</w:t>
        </w:r>
      </w:hyperlink>
    </w:p>
    <w:p w14:paraId="277F6BF8" w14:textId="13AE22D9" w:rsidR="00521DFD" w:rsidRPr="00546C07" w:rsidRDefault="00521DFD" w:rsidP="00521DFD">
      <w:pPr>
        <w:pStyle w:val="ListBullet"/>
        <w:spacing w:line="360" w:lineRule="auto"/>
        <w:jc w:val="both"/>
        <w:rPr>
          <w:rFonts w:ascii="Arial" w:hAnsi="Arial" w:cs="Arial"/>
          <w:sz w:val="20"/>
          <w:szCs w:val="20"/>
        </w:rPr>
      </w:pPr>
      <w:r w:rsidRPr="00546C07">
        <w:rPr>
          <w:rFonts w:ascii="Arial" w:eastAsia="Times New Roman" w:hAnsi="Arial" w:cs="Arial"/>
          <w:sz w:val="20"/>
          <w:szCs w:val="20"/>
          <w:lang w:eastAsia="fr-FR"/>
        </w:rPr>
        <w:t xml:space="preserve">Cary, J.W., </w:t>
      </w:r>
      <w:proofErr w:type="spellStart"/>
      <w:r w:rsidRPr="00546C07">
        <w:rPr>
          <w:rFonts w:ascii="Arial" w:eastAsia="Times New Roman" w:hAnsi="Arial" w:cs="Arial"/>
          <w:sz w:val="20"/>
          <w:szCs w:val="20"/>
          <w:lang w:eastAsia="fr-FR"/>
        </w:rPr>
        <w:t>Rajasekaran</w:t>
      </w:r>
      <w:proofErr w:type="spellEnd"/>
      <w:r w:rsidRPr="00546C07">
        <w:rPr>
          <w:rFonts w:ascii="Arial" w:eastAsia="Times New Roman" w:hAnsi="Arial" w:cs="Arial"/>
          <w:sz w:val="20"/>
          <w:szCs w:val="20"/>
          <w:lang w:eastAsia="fr-FR"/>
        </w:rPr>
        <w:t>, K., Brown, R.L, Luo, M., Chen, Z.Y., &amp; Bhatnagar, D. (2018). Development of aflatoxin resistance in maize and cottonseed. Toxins, 10(6), 230.</w:t>
      </w:r>
      <w:r w:rsidR="001B51D5">
        <w:rPr>
          <w:rFonts w:ascii="Arial" w:eastAsia="Times New Roman" w:hAnsi="Arial" w:cs="Arial"/>
          <w:sz w:val="20"/>
          <w:szCs w:val="20"/>
          <w:lang w:eastAsia="fr-FR"/>
        </w:rPr>
        <w:t xml:space="preserve"> </w:t>
      </w:r>
      <w:hyperlink r:id="rId24" w:history="1">
        <w:r w:rsidRPr="00546C07">
          <w:rPr>
            <w:rStyle w:val="Hyperlink"/>
            <w:rFonts w:ascii="Arial" w:eastAsia="Times New Roman" w:hAnsi="Arial" w:cs="Arial"/>
            <w:sz w:val="20"/>
            <w:szCs w:val="20"/>
            <w:lang w:eastAsia="fr-FR"/>
          </w:rPr>
          <w:t>https://doi.org/10.3390/toxins10060230</w:t>
        </w:r>
      </w:hyperlink>
      <w:r w:rsidRPr="00546C07">
        <w:rPr>
          <w:rFonts w:ascii="Arial" w:eastAsia="Times New Roman" w:hAnsi="Arial" w:cs="Arial"/>
          <w:sz w:val="20"/>
          <w:szCs w:val="20"/>
          <w:lang w:eastAsia="fr-FR"/>
        </w:rPr>
        <w:t xml:space="preserve"> </w:t>
      </w:r>
    </w:p>
    <w:p w14:paraId="5E5DC975" w14:textId="77777777" w:rsidR="00521DFD" w:rsidRPr="00546C07" w:rsidRDefault="00521DFD" w:rsidP="00521DFD">
      <w:pPr>
        <w:pStyle w:val="ListBullet"/>
        <w:spacing w:line="360" w:lineRule="auto"/>
        <w:jc w:val="both"/>
        <w:rPr>
          <w:rFonts w:ascii="Arial" w:hAnsi="Arial" w:cs="Arial"/>
          <w:sz w:val="20"/>
          <w:szCs w:val="20"/>
        </w:rPr>
      </w:pPr>
      <w:r w:rsidRPr="00546C07">
        <w:rPr>
          <w:rFonts w:ascii="Arial" w:hAnsi="Arial" w:cs="Arial"/>
          <w:sz w:val="20"/>
          <w:szCs w:val="20"/>
        </w:rPr>
        <w:t>Chitwood, D. J. (2002). Phytochemical-based strategies for nematode control. Annual Review of Phytopathology, 40, 221</w:t>
      </w:r>
      <w:r>
        <w:rPr>
          <w:rFonts w:ascii="Arial" w:hAnsi="Arial" w:cs="Arial"/>
          <w:sz w:val="20"/>
          <w:szCs w:val="20"/>
        </w:rPr>
        <w:t>-</w:t>
      </w:r>
      <w:r w:rsidRPr="00546C07">
        <w:rPr>
          <w:rFonts w:ascii="Arial" w:hAnsi="Arial" w:cs="Arial"/>
          <w:sz w:val="20"/>
          <w:szCs w:val="20"/>
        </w:rPr>
        <w:t xml:space="preserve">249. </w:t>
      </w:r>
      <w:hyperlink r:id="rId25" w:history="1">
        <w:r w:rsidRPr="00891C48">
          <w:rPr>
            <w:rStyle w:val="Hyperlink"/>
            <w:rFonts w:ascii="Arial" w:hAnsi="Arial" w:cs="Arial"/>
            <w:sz w:val="20"/>
            <w:szCs w:val="20"/>
          </w:rPr>
          <w:t>https://doi.org/10.1146/annurev.phyto.40.032602.130045</w:t>
        </w:r>
      </w:hyperlink>
      <w:r>
        <w:rPr>
          <w:rFonts w:ascii="Arial" w:hAnsi="Arial" w:cs="Arial"/>
          <w:sz w:val="20"/>
          <w:szCs w:val="20"/>
        </w:rPr>
        <w:t xml:space="preserve"> </w:t>
      </w:r>
    </w:p>
    <w:p w14:paraId="4F066877" w14:textId="77777777" w:rsidR="00521DFD" w:rsidRPr="00546C07" w:rsidRDefault="00521DFD" w:rsidP="00521DFD">
      <w:pPr>
        <w:pStyle w:val="ListBullet"/>
        <w:spacing w:line="360" w:lineRule="auto"/>
        <w:jc w:val="both"/>
        <w:rPr>
          <w:rFonts w:ascii="Arial" w:hAnsi="Arial" w:cs="Arial"/>
          <w:sz w:val="20"/>
          <w:szCs w:val="20"/>
        </w:rPr>
      </w:pPr>
      <w:r w:rsidRPr="00546C07">
        <w:rPr>
          <w:rFonts w:ascii="Arial" w:hAnsi="Arial" w:cs="Arial"/>
          <w:sz w:val="20"/>
          <w:szCs w:val="20"/>
        </w:rPr>
        <w:t xml:space="preserve">Copping, L.G., </w:t>
      </w:r>
      <w:r w:rsidRPr="00546C07">
        <w:rPr>
          <w:rFonts w:ascii="Arial" w:hAnsi="Arial" w:cs="Arial"/>
          <w:sz w:val="20"/>
          <w:szCs w:val="20"/>
        </w:rPr>
        <w:sym w:font="Symbol" w:char="F026"/>
      </w:r>
      <w:r w:rsidRPr="00546C07">
        <w:rPr>
          <w:rFonts w:ascii="Arial" w:hAnsi="Arial" w:cs="Arial"/>
          <w:sz w:val="20"/>
          <w:szCs w:val="20"/>
        </w:rPr>
        <w:t xml:space="preserve"> </w:t>
      </w:r>
      <w:proofErr w:type="spellStart"/>
      <w:r w:rsidRPr="00546C07">
        <w:rPr>
          <w:rFonts w:ascii="Arial" w:hAnsi="Arial" w:cs="Arial"/>
          <w:sz w:val="20"/>
          <w:szCs w:val="20"/>
        </w:rPr>
        <w:t>Menn</w:t>
      </w:r>
      <w:proofErr w:type="spellEnd"/>
      <w:r w:rsidRPr="00546C07">
        <w:rPr>
          <w:rFonts w:ascii="Arial" w:hAnsi="Arial" w:cs="Arial"/>
          <w:sz w:val="20"/>
          <w:szCs w:val="20"/>
        </w:rPr>
        <w:t>, J.J. (2000). Biopesticides: review of their action, applications and efficacy. Pest Management Science, 56(8), 651-676.</w:t>
      </w:r>
    </w:p>
    <w:p w14:paraId="43E28AB3" w14:textId="7D46A193" w:rsidR="00521DFD" w:rsidRPr="00546C07" w:rsidRDefault="00521DFD" w:rsidP="00521DFD">
      <w:pPr>
        <w:pStyle w:val="ListBullet"/>
        <w:spacing w:line="360" w:lineRule="auto"/>
        <w:jc w:val="both"/>
        <w:rPr>
          <w:rFonts w:ascii="Arial" w:hAnsi="Arial" w:cs="Arial"/>
          <w:sz w:val="20"/>
          <w:szCs w:val="20"/>
        </w:rPr>
      </w:pPr>
      <w:proofErr w:type="spellStart"/>
      <w:r w:rsidRPr="00546C07">
        <w:rPr>
          <w:rFonts w:ascii="Arial" w:hAnsi="Arial" w:cs="Arial"/>
          <w:sz w:val="20"/>
          <w:szCs w:val="20"/>
        </w:rPr>
        <w:t>Desaeger</w:t>
      </w:r>
      <w:proofErr w:type="spellEnd"/>
      <w:r w:rsidRPr="00546C07">
        <w:rPr>
          <w:rFonts w:ascii="Arial" w:hAnsi="Arial" w:cs="Arial"/>
          <w:sz w:val="20"/>
          <w:szCs w:val="20"/>
        </w:rPr>
        <w:t xml:space="preserve">, J., Watson, T. T., &amp; </w:t>
      </w:r>
      <w:proofErr w:type="spellStart"/>
      <w:r w:rsidRPr="00546C07">
        <w:rPr>
          <w:rFonts w:ascii="Arial" w:hAnsi="Arial" w:cs="Arial"/>
          <w:sz w:val="20"/>
          <w:szCs w:val="20"/>
        </w:rPr>
        <w:t>Csinos</w:t>
      </w:r>
      <w:proofErr w:type="spellEnd"/>
      <w:r w:rsidRPr="00546C07">
        <w:rPr>
          <w:rFonts w:ascii="Arial" w:hAnsi="Arial" w:cs="Arial"/>
          <w:sz w:val="20"/>
          <w:szCs w:val="20"/>
        </w:rPr>
        <w:t xml:space="preserve">, A. S. (2020). Nematicides: Past and present uses, and future prospects. Journal of Nematology, 52,–91. </w:t>
      </w:r>
      <w:hyperlink r:id="rId26" w:history="1">
        <w:r w:rsidRPr="00546C07">
          <w:rPr>
            <w:rStyle w:val="Hyperlink"/>
            <w:rFonts w:ascii="Arial" w:hAnsi="Arial" w:cs="Arial"/>
            <w:sz w:val="20"/>
            <w:szCs w:val="20"/>
          </w:rPr>
          <w:t>https://doi.org/10.21307/jofnem-2020-091</w:t>
        </w:r>
      </w:hyperlink>
      <w:r w:rsidRPr="00546C07">
        <w:rPr>
          <w:rFonts w:ascii="Arial" w:hAnsi="Arial" w:cs="Arial"/>
          <w:sz w:val="20"/>
          <w:szCs w:val="20"/>
        </w:rPr>
        <w:t xml:space="preserve"> </w:t>
      </w:r>
    </w:p>
    <w:p w14:paraId="64EFDD53" w14:textId="77777777" w:rsidR="00521DFD" w:rsidRPr="00546C07" w:rsidRDefault="00521DFD" w:rsidP="00521DFD">
      <w:pPr>
        <w:pStyle w:val="ListBullet"/>
        <w:spacing w:line="360" w:lineRule="auto"/>
        <w:jc w:val="both"/>
        <w:rPr>
          <w:rFonts w:ascii="Arial" w:hAnsi="Arial" w:cs="Arial"/>
          <w:sz w:val="20"/>
          <w:szCs w:val="20"/>
        </w:rPr>
      </w:pPr>
      <w:r w:rsidRPr="00521DFD">
        <w:rPr>
          <w:rFonts w:ascii="Arial" w:hAnsi="Arial" w:cs="Arial"/>
          <w:color w:val="C00000"/>
          <w:sz w:val="20"/>
          <w:szCs w:val="20"/>
        </w:rPr>
        <w:t xml:space="preserve">Diouf, E.H.G., Diop, M., </w:t>
      </w:r>
      <w:proofErr w:type="spellStart"/>
      <w:r w:rsidRPr="00521DFD">
        <w:rPr>
          <w:rFonts w:ascii="Arial" w:hAnsi="Arial" w:cs="Arial"/>
          <w:color w:val="C00000"/>
          <w:sz w:val="20"/>
          <w:szCs w:val="20"/>
        </w:rPr>
        <w:t>Sène</w:t>
      </w:r>
      <w:proofErr w:type="spellEnd"/>
      <w:r w:rsidRPr="00521DFD">
        <w:rPr>
          <w:rFonts w:ascii="Arial" w:hAnsi="Arial" w:cs="Arial"/>
          <w:color w:val="C00000"/>
          <w:sz w:val="20"/>
          <w:szCs w:val="20"/>
        </w:rPr>
        <w:t xml:space="preserve">, A., </w:t>
      </w:r>
      <w:r w:rsidRPr="00521DFD">
        <w:rPr>
          <w:rFonts w:ascii="Arial" w:hAnsi="Arial" w:cs="Arial"/>
          <w:color w:val="C00000"/>
          <w:sz w:val="20"/>
          <w:szCs w:val="20"/>
        </w:rPr>
        <w:sym w:font="Symbol" w:char="F026"/>
      </w:r>
      <w:r w:rsidRPr="00521DFD">
        <w:rPr>
          <w:rFonts w:ascii="Arial" w:hAnsi="Arial" w:cs="Arial"/>
          <w:color w:val="C00000"/>
          <w:sz w:val="20"/>
          <w:szCs w:val="20"/>
        </w:rPr>
        <w:t xml:space="preserve"> Samb, A. (2016)</w:t>
      </w:r>
      <w:r w:rsidRPr="00521DFD">
        <w:rPr>
          <w:rFonts w:ascii="Arial" w:hAnsi="Arial" w:cs="Arial"/>
          <w:sz w:val="20"/>
          <w:szCs w:val="20"/>
        </w:rPr>
        <w:t>.</w:t>
      </w:r>
      <w:r w:rsidRPr="00546C07">
        <w:rPr>
          <w:rFonts w:ascii="Arial" w:hAnsi="Arial" w:cs="Arial"/>
          <w:color w:val="FF0000"/>
          <w:sz w:val="20"/>
          <w:szCs w:val="20"/>
        </w:rPr>
        <w:t xml:space="preserve"> </w:t>
      </w:r>
      <w:r w:rsidRPr="00546C07">
        <w:rPr>
          <w:rFonts w:ascii="Arial" w:hAnsi="Arial" w:cs="Arial"/>
          <w:sz w:val="20"/>
          <w:szCs w:val="20"/>
        </w:rPr>
        <w:t xml:space="preserve">Phytochemical Screening and Insecticidal Activity of three extracts of </w:t>
      </w:r>
      <w:proofErr w:type="spellStart"/>
      <w:r w:rsidRPr="00546C07">
        <w:rPr>
          <w:rFonts w:ascii="Arial" w:hAnsi="Arial" w:cs="Arial"/>
          <w:sz w:val="20"/>
          <w:szCs w:val="20"/>
        </w:rPr>
        <w:t>Tapinanthus</w:t>
      </w:r>
      <w:proofErr w:type="spellEnd"/>
      <w:r w:rsidRPr="00546C07">
        <w:rPr>
          <w:rFonts w:ascii="Arial" w:hAnsi="Arial" w:cs="Arial"/>
          <w:sz w:val="20"/>
          <w:szCs w:val="20"/>
        </w:rPr>
        <w:t xml:space="preserve"> </w:t>
      </w:r>
      <w:proofErr w:type="spellStart"/>
      <w:r w:rsidRPr="00546C07">
        <w:rPr>
          <w:rFonts w:ascii="Arial" w:hAnsi="Arial" w:cs="Arial"/>
          <w:sz w:val="20"/>
          <w:szCs w:val="20"/>
        </w:rPr>
        <w:t>bangwensis</w:t>
      </w:r>
      <w:proofErr w:type="spellEnd"/>
      <w:r w:rsidRPr="00546C07">
        <w:rPr>
          <w:rFonts w:ascii="Arial" w:hAnsi="Arial" w:cs="Arial"/>
          <w:sz w:val="20"/>
          <w:szCs w:val="20"/>
        </w:rPr>
        <w:t xml:space="preserve"> on Sitophilus </w:t>
      </w:r>
      <w:proofErr w:type="spellStart"/>
      <w:r w:rsidRPr="00546C07">
        <w:rPr>
          <w:rFonts w:ascii="Arial" w:hAnsi="Arial" w:cs="Arial"/>
          <w:sz w:val="20"/>
          <w:szCs w:val="20"/>
        </w:rPr>
        <w:t>zeamais</w:t>
      </w:r>
      <w:proofErr w:type="spellEnd"/>
      <w:r w:rsidRPr="00546C07">
        <w:rPr>
          <w:rFonts w:ascii="Arial" w:hAnsi="Arial" w:cs="Arial"/>
          <w:sz w:val="20"/>
          <w:szCs w:val="20"/>
        </w:rPr>
        <w:t xml:space="preserve"> (Maize Weevil). Open A</w:t>
      </w:r>
      <w:r>
        <w:rPr>
          <w:rFonts w:ascii="Arial" w:hAnsi="Arial" w:cs="Arial"/>
          <w:sz w:val="20"/>
          <w:szCs w:val="20"/>
        </w:rPr>
        <w:t>ccess Library Journal, 3(8), 10</w:t>
      </w:r>
      <w:r w:rsidRPr="00546C07">
        <w:rPr>
          <w:rFonts w:ascii="Arial" w:hAnsi="Arial" w:cs="Arial"/>
          <w:sz w:val="20"/>
          <w:szCs w:val="20"/>
        </w:rPr>
        <w:t xml:space="preserve">. </w:t>
      </w:r>
      <w:hyperlink r:id="rId27" w:history="1">
        <w:r w:rsidRPr="00546C07">
          <w:rPr>
            <w:rStyle w:val="Hyperlink"/>
            <w:rFonts w:ascii="Arial" w:hAnsi="Arial" w:cs="Arial"/>
            <w:sz w:val="20"/>
            <w:szCs w:val="20"/>
          </w:rPr>
          <w:t>https://file.scirp.org/Html/70188_70188.htm</w:t>
        </w:r>
      </w:hyperlink>
      <w:r w:rsidRPr="00546C07">
        <w:rPr>
          <w:rFonts w:ascii="Arial" w:hAnsi="Arial" w:cs="Arial"/>
          <w:color w:val="0070C0"/>
          <w:sz w:val="20"/>
          <w:szCs w:val="20"/>
          <w:u w:val="single"/>
        </w:rPr>
        <w:t xml:space="preserve"> </w:t>
      </w:r>
    </w:p>
    <w:p w14:paraId="610AB35C" w14:textId="38ED52F1" w:rsidR="00521DFD" w:rsidRPr="00546C07" w:rsidRDefault="00521DFD" w:rsidP="00521DFD">
      <w:pPr>
        <w:pStyle w:val="ListBullet"/>
        <w:spacing w:line="360" w:lineRule="auto"/>
        <w:jc w:val="both"/>
        <w:rPr>
          <w:rFonts w:ascii="Arial" w:hAnsi="Arial" w:cs="Arial"/>
          <w:sz w:val="20"/>
          <w:szCs w:val="20"/>
        </w:rPr>
      </w:pPr>
      <w:proofErr w:type="spellStart"/>
      <w:r w:rsidRPr="00546C07">
        <w:rPr>
          <w:rFonts w:ascii="Arial" w:hAnsi="Arial" w:cs="Arial"/>
          <w:bCs/>
          <w:sz w:val="20"/>
          <w:szCs w:val="20"/>
        </w:rPr>
        <w:t>Ewane</w:t>
      </w:r>
      <w:proofErr w:type="spellEnd"/>
      <w:r w:rsidRPr="00546C07">
        <w:rPr>
          <w:rFonts w:ascii="Arial" w:hAnsi="Arial" w:cs="Arial"/>
          <w:bCs/>
          <w:sz w:val="20"/>
          <w:szCs w:val="20"/>
        </w:rPr>
        <w:t xml:space="preserve">, C., Tatsegouock, R., Meshuneke, A., </w:t>
      </w:r>
      <w:r w:rsidRPr="00546C07">
        <w:rPr>
          <w:rFonts w:ascii="Arial" w:hAnsi="Arial" w:cs="Arial"/>
          <w:sz w:val="20"/>
          <w:szCs w:val="20"/>
        </w:rPr>
        <w:sym w:font="Symbol" w:char="F026"/>
      </w:r>
      <w:r w:rsidRPr="00546C07">
        <w:rPr>
          <w:rFonts w:ascii="Arial" w:hAnsi="Arial" w:cs="Arial"/>
          <w:sz w:val="20"/>
          <w:szCs w:val="20"/>
        </w:rPr>
        <w:t xml:space="preserve"> </w:t>
      </w:r>
      <w:proofErr w:type="spellStart"/>
      <w:r w:rsidRPr="00546C07">
        <w:rPr>
          <w:rFonts w:ascii="Arial" w:hAnsi="Arial" w:cs="Arial"/>
          <w:bCs/>
          <w:sz w:val="20"/>
          <w:szCs w:val="20"/>
        </w:rPr>
        <w:t>Niemenak</w:t>
      </w:r>
      <w:proofErr w:type="spellEnd"/>
      <w:r w:rsidRPr="00546C07">
        <w:rPr>
          <w:rFonts w:ascii="Arial" w:hAnsi="Arial" w:cs="Arial"/>
          <w:bCs/>
          <w:sz w:val="20"/>
          <w:szCs w:val="20"/>
        </w:rPr>
        <w:t xml:space="preserve">, N. (2020). </w:t>
      </w:r>
      <w:r w:rsidRPr="00546C07">
        <w:rPr>
          <w:rFonts w:ascii="Arial" w:hAnsi="Arial" w:cs="Arial"/>
          <w:sz w:val="20"/>
          <w:szCs w:val="20"/>
        </w:rPr>
        <w:t xml:space="preserve">Field efficacy of a </w:t>
      </w:r>
      <w:r w:rsidRPr="00546C07">
        <w:rPr>
          <w:rFonts w:ascii="Arial" w:hAnsi="Arial" w:cs="Arial"/>
          <w:i/>
          <w:sz w:val="20"/>
          <w:szCs w:val="20"/>
        </w:rPr>
        <w:t>Tithonia</w:t>
      </w:r>
      <w:r w:rsidRPr="00546C07">
        <w:rPr>
          <w:rFonts w:ascii="Arial" w:hAnsi="Arial" w:cs="Arial"/>
          <w:sz w:val="20"/>
          <w:szCs w:val="20"/>
        </w:rPr>
        <w:t xml:space="preserve"> </w:t>
      </w:r>
      <w:r w:rsidRPr="00546C07">
        <w:rPr>
          <w:rFonts w:ascii="Arial" w:hAnsi="Arial" w:cs="Arial"/>
          <w:i/>
          <w:sz w:val="20"/>
          <w:szCs w:val="20"/>
        </w:rPr>
        <w:t>diversifolia</w:t>
      </w:r>
      <w:r w:rsidRPr="00546C07">
        <w:rPr>
          <w:rFonts w:ascii="Arial" w:hAnsi="Arial" w:cs="Arial"/>
          <w:sz w:val="20"/>
          <w:szCs w:val="20"/>
        </w:rPr>
        <w:t>-based biopesticide against black Sigatoka disease of plantain (</w:t>
      </w:r>
      <w:r w:rsidRPr="00546C07">
        <w:rPr>
          <w:rFonts w:ascii="Arial" w:hAnsi="Arial" w:cs="Arial"/>
          <w:i/>
          <w:sz w:val="20"/>
          <w:szCs w:val="20"/>
        </w:rPr>
        <w:t>Musa</w:t>
      </w:r>
      <w:r w:rsidRPr="00546C07">
        <w:rPr>
          <w:rFonts w:ascii="Arial" w:hAnsi="Arial" w:cs="Arial"/>
          <w:sz w:val="20"/>
          <w:szCs w:val="20"/>
        </w:rPr>
        <w:t xml:space="preserve"> spp., AAB). Agricultural Sciences, 11, 730-743.</w:t>
      </w:r>
      <w:r w:rsidR="001B51D5">
        <w:rPr>
          <w:rFonts w:ascii="Arial" w:hAnsi="Arial" w:cs="Arial"/>
          <w:sz w:val="20"/>
          <w:szCs w:val="20"/>
        </w:rPr>
        <w:t xml:space="preserve"> </w:t>
      </w:r>
      <w:hyperlink r:id="rId28" w:history="1">
        <w:r w:rsidRPr="00546C07">
          <w:rPr>
            <w:rFonts w:ascii="Arial" w:hAnsi="Arial" w:cs="Arial"/>
            <w:color w:val="0070C0"/>
            <w:sz w:val="20"/>
            <w:szCs w:val="20"/>
            <w:u w:val="single"/>
          </w:rPr>
          <w:t>https://doi.org/10.4236/as.2020.118048</w:t>
        </w:r>
      </w:hyperlink>
      <w:r w:rsidRPr="00546C07">
        <w:rPr>
          <w:rFonts w:ascii="Arial" w:hAnsi="Arial" w:cs="Arial"/>
          <w:color w:val="0070C0"/>
          <w:sz w:val="20"/>
          <w:szCs w:val="20"/>
          <w:u w:val="single"/>
          <w:lang w:val="fr-FR"/>
        </w:rPr>
        <w:t xml:space="preserve"> </w:t>
      </w:r>
      <w:r w:rsidRPr="00546C07">
        <w:rPr>
          <w:rFonts w:ascii="Arial" w:hAnsi="Arial" w:cs="Arial"/>
          <w:sz w:val="20"/>
          <w:szCs w:val="20"/>
          <w:u w:val="single"/>
        </w:rPr>
        <w:t xml:space="preserve"> </w:t>
      </w:r>
    </w:p>
    <w:p w14:paraId="728FB413" w14:textId="77777777" w:rsidR="00521DFD" w:rsidRDefault="00521DFD" w:rsidP="00521DFD">
      <w:pPr>
        <w:pStyle w:val="ListBullet"/>
        <w:spacing w:line="360" w:lineRule="auto"/>
        <w:jc w:val="both"/>
        <w:rPr>
          <w:rFonts w:ascii="Arial" w:eastAsia="Times New Roman" w:hAnsi="Arial" w:cs="Arial"/>
          <w:sz w:val="20"/>
          <w:szCs w:val="20"/>
          <w:lang w:eastAsia="fr-FR"/>
        </w:rPr>
      </w:pPr>
      <w:r w:rsidRPr="00521DFD">
        <w:rPr>
          <w:rFonts w:ascii="Arial" w:eastAsia="Times New Roman" w:hAnsi="Arial" w:cs="Arial"/>
          <w:color w:val="C00000"/>
          <w:sz w:val="20"/>
          <w:szCs w:val="20"/>
          <w:lang w:eastAsia="fr-FR"/>
        </w:rPr>
        <w:t>IPCC. (2019)</w:t>
      </w:r>
      <w:r>
        <w:rPr>
          <w:rFonts w:ascii="Arial" w:eastAsia="Times New Roman" w:hAnsi="Arial" w:cs="Arial"/>
          <w:sz w:val="20"/>
          <w:szCs w:val="20"/>
          <w:lang w:eastAsia="fr-FR"/>
        </w:rPr>
        <w:t xml:space="preserve">. Climate change and land: an IPCC special report on climate change, desertification, land degradation, sustainable land management, food security, and greenhouse gas fluxes in terrestrial ecosystems. </w:t>
      </w:r>
      <w:hyperlink r:id="rId29" w:history="1">
        <w:r w:rsidRPr="00891C48">
          <w:rPr>
            <w:rStyle w:val="Hyperlink"/>
            <w:rFonts w:ascii="Arial" w:eastAsia="Times New Roman" w:hAnsi="Arial" w:cs="Arial"/>
            <w:sz w:val="20"/>
            <w:szCs w:val="20"/>
            <w:lang w:eastAsia="fr-FR"/>
          </w:rPr>
          <w:t>https://www.ipcc.ch/srccl/</w:t>
        </w:r>
      </w:hyperlink>
      <w:r>
        <w:rPr>
          <w:rFonts w:ascii="Arial" w:eastAsia="Times New Roman" w:hAnsi="Arial" w:cs="Arial"/>
          <w:sz w:val="20"/>
          <w:szCs w:val="20"/>
          <w:lang w:eastAsia="fr-FR"/>
        </w:rPr>
        <w:t xml:space="preserve"> </w:t>
      </w:r>
    </w:p>
    <w:p w14:paraId="0DFC2D13" w14:textId="77777777" w:rsidR="00521DFD" w:rsidRPr="00546C07" w:rsidRDefault="00521DFD" w:rsidP="00521DFD">
      <w:pPr>
        <w:pStyle w:val="ListBullet"/>
        <w:spacing w:line="360" w:lineRule="auto"/>
        <w:jc w:val="both"/>
        <w:rPr>
          <w:rFonts w:ascii="Arial" w:hAnsi="Arial" w:cs="Arial"/>
          <w:sz w:val="20"/>
          <w:szCs w:val="20"/>
          <w:lang w:val="fr-FR"/>
        </w:rPr>
      </w:pPr>
      <w:proofErr w:type="spellStart"/>
      <w:r w:rsidRPr="00546C07">
        <w:rPr>
          <w:rFonts w:ascii="Arial" w:hAnsi="Arial" w:cs="Arial"/>
          <w:sz w:val="20"/>
          <w:szCs w:val="20"/>
        </w:rPr>
        <w:t>Isman</w:t>
      </w:r>
      <w:proofErr w:type="spellEnd"/>
      <w:r w:rsidRPr="00546C07">
        <w:rPr>
          <w:rFonts w:ascii="Arial" w:hAnsi="Arial" w:cs="Arial"/>
          <w:sz w:val="20"/>
          <w:szCs w:val="20"/>
        </w:rPr>
        <w:t xml:space="preserve">, MB (2017). Bridging the gap: Transposing botanical insecticides from the laboratory to the farm. </w:t>
      </w:r>
      <w:proofErr w:type="spellStart"/>
      <w:r w:rsidRPr="00546C07">
        <w:rPr>
          <w:rFonts w:ascii="Arial" w:hAnsi="Arial" w:cs="Arial"/>
          <w:sz w:val="20"/>
          <w:szCs w:val="20"/>
          <w:lang w:val="fr-FR"/>
        </w:rPr>
        <w:t>Industrial</w:t>
      </w:r>
      <w:proofErr w:type="spellEnd"/>
      <w:r w:rsidRPr="00546C07">
        <w:rPr>
          <w:rFonts w:ascii="Arial" w:hAnsi="Arial" w:cs="Arial"/>
          <w:sz w:val="20"/>
          <w:szCs w:val="20"/>
          <w:lang w:val="fr-FR"/>
        </w:rPr>
        <w:t xml:space="preserve"> </w:t>
      </w:r>
      <w:proofErr w:type="spellStart"/>
      <w:r w:rsidRPr="00546C07">
        <w:rPr>
          <w:rFonts w:ascii="Arial" w:hAnsi="Arial" w:cs="Arial"/>
          <w:sz w:val="20"/>
          <w:szCs w:val="20"/>
          <w:lang w:val="fr-FR"/>
        </w:rPr>
        <w:t>Crops</w:t>
      </w:r>
      <w:proofErr w:type="spellEnd"/>
      <w:r w:rsidRPr="00546C07">
        <w:rPr>
          <w:rFonts w:ascii="Arial" w:hAnsi="Arial" w:cs="Arial"/>
          <w:sz w:val="20"/>
          <w:szCs w:val="20"/>
          <w:lang w:val="fr-FR"/>
        </w:rPr>
        <w:t xml:space="preserve"> and </w:t>
      </w:r>
      <w:proofErr w:type="spellStart"/>
      <w:r w:rsidRPr="00546C07">
        <w:rPr>
          <w:rFonts w:ascii="Arial" w:hAnsi="Arial" w:cs="Arial"/>
          <w:sz w:val="20"/>
          <w:szCs w:val="20"/>
          <w:lang w:val="fr-FR"/>
        </w:rPr>
        <w:t>Products</w:t>
      </w:r>
      <w:proofErr w:type="spellEnd"/>
      <w:r w:rsidRPr="00546C07">
        <w:rPr>
          <w:rFonts w:ascii="Arial" w:hAnsi="Arial" w:cs="Arial"/>
          <w:sz w:val="20"/>
          <w:szCs w:val="20"/>
          <w:lang w:val="fr-FR"/>
        </w:rPr>
        <w:t>, 110, 10-14.</w:t>
      </w:r>
    </w:p>
    <w:p w14:paraId="1E59E23C" w14:textId="77777777" w:rsidR="00521DFD" w:rsidRPr="00546C07" w:rsidRDefault="00521DFD" w:rsidP="00521DFD">
      <w:pPr>
        <w:pStyle w:val="ListBullet"/>
        <w:spacing w:line="360" w:lineRule="auto"/>
        <w:jc w:val="both"/>
        <w:rPr>
          <w:rFonts w:ascii="Arial" w:hAnsi="Arial" w:cs="Arial"/>
          <w:sz w:val="20"/>
          <w:szCs w:val="20"/>
        </w:rPr>
      </w:pPr>
      <w:proofErr w:type="spellStart"/>
      <w:r w:rsidRPr="00546C07">
        <w:rPr>
          <w:rFonts w:ascii="Arial" w:hAnsi="Arial" w:cs="Arial"/>
          <w:sz w:val="20"/>
          <w:szCs w:val="20"/>
        </w:rPr>
        <w:lastRenderedPageBreak/>
        <w:t>Jarial</w:t>
      </w:r>
      <w:proofErr w:type="spellEnd"/>
      <w:r w:rsidRPr="00546C07">
        <w:rPr>
          <w:rFonts w:ascii="Arial" w:hAnsi="Arial" w:cs="Arial"/>
          <w:sz w:val="20"/>
          <w:szCs w:val="20"/>
        </w:rPr>
        <w:t xml:space="preserve">, RS, Thakur, A., </w:t>
      </w:r>
      <w:r w:rsidRPr="00546C07">
        <w:rPr>
          <w:rFonts w:ascii="Arial" w:hAnsi="Arial" w:cs="Arial"/>
          <w:sz w:val="20"/>
          <w:szCs w:val="20"/>
        </w:rPr>
        <w:sym w:font="Symbol" w:char="F026"/>
      </w:r>
      <w:r w:rsidRPr="00546C07">
        <w:rPr>
          <w:rFonts w:ascii="Arial" w:hAnsi="Arial" w:cs="Arial"/>
          <w:sz w:val="20"/>
          <w:szCs w:val="20"/>
        </w:rPr>
        <w:t xml:space="preserve"> Sharma, S. (2023). Biopesticides: an environmentally friendly pest management strategy. </w:t>
      </w:r>
      <w:proofErr w:type="spellStart"/>
      <w:r w:rsidRPr="00546C07">
        <w:rPr>
          <w:rFonts w:ascii="Arial" w:hAnsi="Arial" w:cs="Arial"/>
          <w:sz w:val="20"/>
          <w:szCs w:val="20"/>
          <w:lang w:val="fr-FR"/>
        </w:rPr>
        <w:t>Environmental</w:t>
      </w:r>
      <w:proofErr w:type="spellEnd"/>
      <w:r w:rsidRPr="00546C07">
        <w:rPr>
          <w:rFonts w:ascii="Arial" w:hAnsi="Arial" w:cs="Arial"/>
          <w:sz w:val="20"/>
          <w:szCs w:val="20"/>
          <w:lang w:val="fr-FR"/>
        </w:rPr>
        <w:t xml:space="preserve"> </w:t>
      </w:r>
      <w:proofErr w:type="spellStart"/>
      <w:r w:rsidRPr="00546C07">
        <w:rPr>
          <w:rFonts w:ascii="Arial" w:hAnsi="Arial" w:cs="Arial"/>
          <w:sz w:val="20"/>
          <w:szCs w:val="20"/>
          <w:lang w:val="fr-FR"/>
        </w:rPr>
        <w:t>Sustainability</w:t>
      </w:r>
      <w:proofErr w:type="spellEnd"/>
      <w:r w:rsidRPr="00546C07">
        <w:rPr>
          <w:rFonts w:ascii="Arial" w:hAnsi="Arial" w:cs="Arial"/>
          <w:sz w:val="20"/>
          <w:szCs w:val="20"/>
          <w:lang w:val="fr-FR"/>
        </w:rPr>
        <w:t>, 6(1), 23-34.</w:t>
      </w:r>
      <w:hyperlink r:id="rId30" w:history="1">
        <w:r w:rsidRPr="00546C07">
          <w:rPr>
            <w:rStyle w:val="Hyperlink"/>
            <w:rFonts w:ascii="Arial" w:hAnsi="Arial" w:cs="Arial"/>
            <w:sz w:val="20"/>
            <w:szCs w:val="20"/>
          </w:rPr>
          <w:t>https://doi.org/10.1007/s42398-023-00254-1</w:t>
        </w:r>
      </w:hyperlink>
      <w:r w:rsidRPr="00546C07">
        <w:rPr>
          <w:rFonts w:ascii="Arial" w:hAnsi="Arial" w:cs="Arial"/>
          <w:sz w:val="20"/>
          <w:szCs w:val="20"/>
        </w:rPr>
        <w:t xml:space="preserve"> </w:t>
      </w:r>
    </w:p>
    <w:p w14:paraId="7948D157" w14:textId="77777777" w:rsidR="00521DFD" w:rsidRPr="00546C07" w:rsidRDefault="00521DFD" w:rsidP="00521DFD">
      <w:pPr>
        <w:pStyle w:val="ListBullet"/>
        <w:spacing w:line="360" w:lineRule="auto"/>
        <w:jc w:val="both"/>
        <w:rPr>
          <w:rFonts w:ascii="Arial" w:hAnsi="Arial" w:cs="Arial"/>
          <w:sz w:val="20"/>
          <w:szCs w:val="20"/>
        </w:rPr>
      </w:pPr>
      <w:proofErr w:type="spellStart"/>
      <w:r w:rsidRPr="00546C07">
        <w:rPr>
          <w:rFonts w:ascii="Arial" w:hAnsi="Arial" w:cs="Arial"/>
          <w:sz w:val="20"/>
          <w:szCs w:val="20"/>
        </w:rPr>
        <w:t>Koul</w:t>
      </w:r>
      <w:proofErr w:type="spellEnd"/>
      <w:r w:rsidRPr="00546C07">
        <w:rPr>
          <w:rFonts w:ascii="Arial" w:hAnsi="Arial" w:cs="Arial"/>
          <w:sz w:val="20"/>
          <w:szCs w:val="20"/>
        </w:rPr>
        <w:t xml:space="preserve">, O., Walia, S., </w:t>
      </w:r>
      <w:r w:rsidRPr="00546C07">
        <w:rPr>
          <w:rFonts w:ascii="Arial" w:hAnsi="Arial" w:cs="Arial"/>
          <w:sz w:val="20"/>
          <w:szCs w:val="20"/>
        </w:rPr>
        <w:sym w:font="Symbol" w:char="F026"/>
      </w:r>
      <w:r w:rsidRPr="00546C07">
        <w:rPr>
          <w:rFonts w:ascii="Arial" w:hAnsi="Arial" w:cs="Arial"/>
          <w:sz w:val="20"/>
          <w:szCs w:val="20"/>
        </w:rPr>
        <w:t xml:space="preserve"> Dhaliwal, GS. (2008). Essential oils as green pesticides: potential and constraints. Biopesticides International, 4(1), 63-84.</w:t>
      </w:r>
    </w:p>
    <w:p w14:paraId="7993E39F" w14:textId="77777777" w:rsidR="00521DFD" w:rsidRPr="00C75BF5" w:rsidRDefault="00521DFD" w:rsidP="00521DFD">
      <w:pPr>
        <w:pStyle w:val="ListBullet"/>
        <w:spacing w:line="360" w:lineRule="auto"/>
        <w:jc w:val="both"/>
        <w:rPr>
          <w:rFonts w:ascii="Arial" w:eastAsia="Times New Roman" w:hAnsi="Arial" w:cs="Arial"/>
          <w:sz w:val="20"/>
          <w:szCs w:val="20"/>
        </w:rPr>
      </w:pPr>
      <w:r w:rsidRPr="00521DFD">
        <w:rPr>
          <w:rFonts w:ascii="Arial" w:eastAsia="Times New Roman" w:hAnsi="Arial" w:cs="Arial"/>
          <w:color w:val="C00000"/>
          <w:sz w:val="20"/>
          <w:szCs w:val="20"/>
        </w:rPr>
        <w:t>Kumar, P.A., Das, S., Ali, S., Jaiswal, S.G., Rabbani, A., Rahman,</w:t>
      </w:r>
      <w:bookmarkStart w:id="9" w:name="bau7-profile"/>
      <w:r w:rsidRPr="00521DFD">
        <w:rPr>
          <w:rFonts w:ascii="Arial" w:hAnsi="Arial" w:cs="Arial"/>
          <w:color w:val="C00000"/>
          <w:sz w:val="20"/>
          <w:szCs w:val="20"/>
        </w:rPr>
        <w:t xml:space="preserve"> S.M.,</w:t>
      </w:r>
      <w:r w:rsidRPr="00521DFD">
        <w:rPr>
          <w:rFonts w:ascii="Arial" w:eastAsia="Times New Roman" w:hAnsi="Arial" w:cs="Arial"/>
          <w:color w:val="C00000"/>
          <w:sz w:val="20"/>
          <w:szCs w:val="20"/>
        </w:rPr>
        <w:t xml:space="preserve"> </w:t>
      </w:r>
      <w:bookmarkEnd w:id="9"/>
      <w:r w:rsidRPr="00521DFD">
        <w:rPr>
          <w:rFonts w:ascii="Arial" w:eastAsia="Times New Roman" w:hAnsi="Arial" w:cs="Arial"/>
          <w:color w:val="C00000"/>
          <w:sz w:val="20"/>
          <w:szCs w:val="20"/>
        </w:rPr>
        <w:t xml:space="preserve">et al. </w:t>
      </w:r>
      <w:r w:rsidRPr="00521DFD">
        <w:rPr>
          <w:rFonts w:ascii="Arial" w:hAnsi="Arial" w:cs="Arial"/>
          <w:color w:val="C00000"/>
          <w:sz w:val="20"/>
          <w:szCs w:val="20"/>
        </w:rPr>
        <w:t>(2025</w:t>
      </w:r>
      <w:r w:rsidRPr="00521DFD">
        <w:rPr>
          <w:rFonts w:ascii="Arial" w:eastAsia="Times New Roman" w:hAnsi="Arial" w:cs="Arial"/>
          <w:color w:val="C00000"/>
          <w:sz w:val="20"/>
          <w:szCs w:val="20"/>
        </w:rPr>
        <w:t>)</w:t>
      </w:r>
      <w:r w:rsidRPr="00C75BF5">
        <w:rPr>
          <w:rFonts w:ascii="Arial" w:eastAsia="Times New Roman" w:hAnsi="Arial" w:cs="Arial"/>
          <w:sz w:val="20"/>
          <w:szCs w:val="20"/>
        </w:rPr>
        <w:t xml:space="preserve">. </w:t>
      </w:r>
      <w:r w:rsidRPr="00C75BF5">
        <w:rPr>
          <w:rFonts w:ascii="Arial" w:eastAsia="Times New Roman" w:hAnsi="Arial" w:cs="Arial"/>
          <w:bCs/>
          <w:kern w:val="36"/>
          <w:sz w:val="20"/>
          <w:szCs w:val="20"/>
        </w:rPr>
        <w:t>Mechanisms, applications and challenges of natural antimicrobials in food system.</w:t>
      </w:r>
      <w:r w:rsidRPr="00C75BF5">
        <w:rPr>
          <w:rFonts w:ascii="Arial" w:hAnsi="Arial" w:cs="Arial"/>
          <w:sz w:val="20"/>
          <w:szCs w:val="20"/>
        </w:rPr>
        <w:t xml:space="preserve"> </w:t>
      </w:r>
      <w:hyperlink r:id="rId31" w:tooltip="Go to Food Bioscience on ScienceDirect" w:history="1">
        <w:r w:rsidRPr="00C75BF5">
          <w:rPr>
            <w:rFonts w:ascii="Arial" w:hAnsi="Arial" w:cs="Arial"/>
            <w:sz w:val="20"/>
            <w:szCs w:val="20"/>
          </w:rPr>
          <w:t>Food Bioscience</w:t>
        </w:r>
      </w:hyperlink>
      <w:r w:rsidRPr="00C75BF5">
        <w:rPr>
          <w:rFonts w:ascii="Arial" w:hAnsi="Arial" w:cs="Arial"/>
          <w:sz w:val="20"/>
          <w:szCs w:val="20"/>
        </w:rPr>
        <w:t xml:space="preserve">, </w:t>
      </w:r>
      <w:hyperlink r:id="rId32" w:tooltip="Go to table of contents for this volume/issue" w:history="1">
        <w:r w:rsidRPr="00C75BF5">
          <w:rPr>
            <w:rFonts w:ascii="Arial" w:eastAsia="Times New Roman" w:hAnsi="Arial" w:cs="Arial"/>
            <w:sz w:val="20"/>
            <w:szCs w:val="20"/>
          </w:rPr>
          <w:t>74</w:t>
        </w:r>
      </w:hyperlink>
      <w:r w:rsidRPr="00C75BF5">
        <w:rPr>
          <w:rFonts w:ascii="Arial" w:eastAsia="Times New Roman" w:hAnsi="Arial" w:cs="Arial"/>
          <w:sz w:val="20"/>
          <w:szCs w:val="20"/>
        </w:rPr>
        <w:t>, 107864</w:t>
      </w:r>
      <w:r w:rsidRPr="00C75BF5">
        <w:rPr>
          <w:rFonts w:ascii="Arial" w:hAnsi="Arial" w:cs="Arial"/>
          <w:sz w:val="20"/>
          <w:szCs w:val="20"/>
        </w:rPr>
        <w:t xml:space="preserve">. </w:t>
      </w:r>
      <w:hyperlink r:id="rId33" w:history="1">
        <w:r w:rsidRPr="00891C48">
          <w:rPr>
            <w:rStyle w:val="Hyperlink"/>
            <w:rFonts w:ascii="Arial" w:hAnsi="Arial" w:cs="Arial"/>
            <w:sz w:val="20"/>
            <w:szCs w:val="20"/>
          </w:rPr>
          <w:t>https://doi.org/10.1016/j.fbio.2025.107864</w:t>
        </w:r>
      </w:hyperlink>
      <w:r>
        <w:rPr>
          <w:rFonts w:ascii="Arial" w:hAnsi="Arial" w:cs="Arial"/>
          <w:sz w:val="20"/>
          <w:szCs w:val="20"/>
        </w:rPr>
        <w:t xml:space="preserve"> </w:t>
      </w:r>
      <w:r w:rsidRPr="00C75BF5">
        <w:rPr>
          <w:rFonts w:ascii="Arial" w:hAnsi="Arial" w:cs="Arial"/>
          <w:sz w:val="20"/>
          <w:szCs w:val="20"/>
        </w:rPr>
        <w:t xml:space="preserve"> </w:t>
      </w:r>
    </w:p>
    <w:p w14:paraId="3990560E" w14:textId="776CDC47" w:rsidR="00521DFD" w:rsidRPr="00546C07" w:rsidRDefault="00521DFD" w:rsidP="00521DFD">
      <w:pPr>
        <w:pStyle w:val="ListBullet"/>
        <w:spacing w:line="360" w:lineRule="auto"/>
        <w:jc w:val="both"/>
        <w:rPr>
          <w:rFonts w:ascii="Arial" w:hAnsi="Arial" w:cs="Arial"/>
          <w:sz w:val="20"/>
          <w:szCs w:val="20"/>
        </w:rPr>
      </w:pPr>
      <w:r w:rsidRPr="00546C07">
        <w:rPr>
          <w:rFonts w:ascii="Arial" w:hAnsi="Arial" w:cs="Arial"/>
          <w:sz w:val="20"/>
          <w:szCs w:val="20"/>
        </w:rPr>
        <w:t xml:space="preserve">Kumar, S., </w:t>
      </w:r>
      <w:r w:rsidRPr="00546C07">
        <w:rPr>
          <w:rFonts w:ascii="Arial" w:hAnsi="Arial" w:cs="Arial"/>
          <w:sz w:val="20"/>
          <w:szCs w:val="20"/>
        </w:rPr>
        <w:sym w:font="Symbol" w:char="F026"/>
      </w:r>
      <w:r w:rsidRPr="00546C07">
        <w:rPr>
          <w:rFonts w:ascii="Arial" w:hAnsi="Arial" w:cs="Arial"/>
          <w:sz w:val="20"/>
          <w:szCs w:val="20"/>
        </w:rPr>
        <w:t xml:space="preserve"> Pandey, AK. (2021). Chemistry and biological activities of flavonoids: an overview. The Scientific World Journal, 1627501. </w:t>
      </w:r>
      <w:hyperlink r:id="rId34" w:history="1">
        <w:r w:rsidRPr="00546C07">
          <w:rPr>
            <w:rStyle w:val="Hyperlink"/>
            <w:rFonts w:ascii="Arial" w:hAnsi="Arial" w:cs="Arial"/>
            <w:sz w:val="20"/>
            <w:szCs w:val="20"/>
          </w:rPr>
          <w:t>https://doi.org/10.1155/2021.1627501</w:t>
        </w:r>
      </w:hyperlink>
      <w:r w:rsidRPr="00546C07">
        <w:rPr>
          <w:rFonts w:ascii="Arial" w:hAnsi="Arial" w:cs="Arial"/>
          <w:sz w:val="20"/>
          <w:szCs w:val="20"/>
        </w:rPr>
        <w:t xml:space="preserve"> </w:t>
      </w:r>
      <w:r w:rsidRPr="00546C07">
        <w:rPr>
          <w:rFonts w:ascii="Arial" w:hAnsi="Arial" w:cs="Arial"/>
          <w:sz w:val="20"/>
          <w:szCs w:val="20"/>
          <w:highlight w:val="yellow"/>
        </w:rPr>
        <w:t xml:space="preserve"> </w:t>
      </w:r>
    </w:p>
    <w:p w14:paraId="71422456" w14:textId="77777777" w:rsidR="00521DFD" w:rsidRPr="00546C07" w:rsidRDefault="00521DFD" w:rsidP="00521DFD">
      <w:pPr>
        <w:pStyle w:val="ListBullet"/>
        <w:spacing w:line="360" w:lineRule="auto"/>
        <w:jc w:val="both"/>
        <w:rPr>
          <w:rFonts w:ascii="Arial" w:hAnsi="Arial" w:cs="Arial"/>
          <w:sz w:val="20"/>
          <w:szCs w:val="20"/>
        </w:rPr>
      </w:pPr>
      <w:r w:rsidRPr="00546C07">
        <w:rPr>
          <w:rFonts w:ascii="Arial" w:hAnsi="Arial" w:cs="Arial"/>
          <w:sz w:val="20"/>
          <w:szCs w:val="20"/>
        </w:rPr>
        <w:t xml:space="preserve">Kumar, S., Singh, A., </w:t>
      </w:r>
      <w:r w:rsidRPr="00546C07">
        <w:rPr>
          <w:rFonts w:ascii="Arial" w:hAnsi="Arial" w:cs="Arial"/>
          <w:sz w:val="20"/>
          <w:szCs w:val="20"/>
        </w:rPr>
        <w:sym w:font="Symbol" w:char="F026"/>
      </w:r>
      <w:r w:rsidRPr="00546C07">
        <w:rPr>
          <w:rFonts w:ascii="Arial" w:hAnsi="Arial" w:cs="Arial"/>
          <w:sz w:val="20"/>
          <w:szCs w:val="20"/>
        </w:rPr>
        <w:t xml:space="preserve"> Singh, AK. (2021). Plant-based biopesticides: safe and sustainable crop protection. Journal of Applied and Natural Science, 13(1), 167-176.</w:t>
      </w:r>
    </w:p>
    <w:p w14:paraId="1178DB80" w14:textId="77777777" w:rsidR="00521DFD" w:rsidRPr="00546C07" w:rsidRDefault="00521DFD" w:rsidP="00521DFD">
      <w:pPr>
        <w:pStyle w:val="ListBullet"/>
        <w:spacing w:line="360" w:lineRule="auto"/>
        <w:jc w:val="both"/>
        <w:rPr>
          <w:rFonts w:ascii="Arial" w:hAnsi="Arial" w:cs="Arial"/>
          <w:sz w:val="20"/>
          <w:szCs w:val="20"/>
        </w:rPr>
      </w:pPr>
      <w:proofErr w:type="spellStart"/>
      <w:r w:rsidRPr="00546C07">
        <w:rPr>
          <w:rFonts w:ascii="Arial" w:hAnsi="Arial" w:cs="Arial"/>
          <w:sz w:val="20"/>
          <w:szCs w:val="20"/>
        </w:rPr>
        <w:t>Lahlali</w:t>
      </w:r>
      <w:proofErr w:type="spellEnd"/>
      <w:r w:rsidRPr="00546C07">
        <w:rPr>
          <w:rFonts w:ascii="Arial" w:hAnsi="Arial" w:cs="Arial"/>
          <w:sz w:val="20"/>
          <w:szCs w:val="20"/>
        </w:rPr>
        <w:t xml:space="preserve">, R., </w:t>
      </w:r>
      <w:proofErr w:type="spellStart"/>
      <w:r w:rsidRPr="00546C07">
        <w:rPr>
          <w:rFonts w:ascii="Arial" w:hAnsi="Arial" w:cs="Arial"/>
          <w:sz w:val="20"/>
          <w:szCs w:val="20"/>
        </w:rPr>
        <w:t>Ezrari</w:t>
      </w:r>
      <w:proofErr w:type="spellEnd"/>
      <w:r w:rsidRPr="00546C07">
        <w:rPr>
          <w:rFonts w:ascii="Arial" w:hAnsi="Arial" w:cs="Arial"/>
          <w:sz w:val="20"/>
          <w:szCs w:val="20"/>
        </w:rPr>
        <w:t xml:space="preserve">, S., El </w:t>
      </w:r>
      <w:proofErr w:type="spellStart"/>
      <w:r w:rsidRPr="00546C07">
        <w:rPr>
          <w:rFonts w:ascii="Arial" w:hAnsi="Arial" w:cs="Arial"/>
          <w:sz w:val="20"/>
          <w:szCs w:val="20"/>
        </w:rPr>
        <w:t>Hamss</w:t>
      </w:r>
      <w:proofErr w:type="spellEnd"/>
      <w:r w:rsidRPr="00546C07">
        <w:rPr>
          <w:rFonts w:ascii="Arial" w:hAnsi="Arial" w:cs="Arial"/>
          <w:sz w:val="20"/>
          <w:szCs w:val="20"/>
        </w:rPr>
        <w:t xml:space="preserve">, H., </w:t>
      </w:r>
      <w:proofErr w:type="spellStart"/>
      <w:r w:rsidRPr="00546C07">
        <w:rPr>
          <w:rFonts w:ascii="Arial" w:hAnsi="Arial" w:cs="Arial"/>
          <w:sz w:val="20"/>
          <w:szCs w:val="20"/>
        </w:rPr>
        <w:t>Belabess</w:t>
      </w:r>
      <w:proofErr w:type="spellEnd"/>
      <w:r w:rsidRPr="00546C07">
        <w:rPr>
          <w:rFonts w:ascii="Arial" w:hAnsi="Arial" w:cs="Arial"/>
          <w:sz w:val="20"/>
          <w:szCs w:val="20"/>
        </w:rPr>
        <w:t xml:space="preserve">, Z., </w:t>
      </w:r>
      <w:r w:rsidRPr="00546C07">
        <w:rPr>
          <w:rFonts w:ascii="Arial" w:hAnsi="Arial" w:cs="Arial"/>
          <w:sz w:val="20"/>
          <w:szCs w:val="20"/>
        </w:rPr>
        <w:sym w:font="Symbol" w:char="F026"/>
      </w:r>
      <w:r w:rsidRPr="00546C07">
        <w:rPr>
          <w:rFonts w:ascii="Arial" w:hAnsi="Arial" w:cs="Arial"/>
          <w:sz w:val="20"/>
          <w:szCs w:val="20"/>
        </w:rPr>
        <w:t xml:space="preserve"> Barka, E. (2022). Biological control of plant pathogens: a global perspective. Microorganisms, 10(3), 596.</w:t>
      </w:r>
    </w:p>
    <w:p w14:paraId="64897279" w14:textId="77777777" w:rsidR="00521DFD" w:rsidRPr="00546C07" w:rsidRDefault="00521DFD" w:rsidP="00521DFD">
      <w:pPr>
        <w:pStyle w:val="ListBullet"/>
        <w:spacing w:line="360" w:lineRule="auto"/>
        <w:jc w:val="both"/>
        <w:rPr>
          <w:rFonts w:ascii="Arial" w:hAnsi="Arial" w:cs="Arial"/>
          <w:sz w:val="20"/>
          <w:szCs w:val="20"/>
        </w:rPr>
      </w:pPr>
      <w:proofErr w:type="spellStart"/>
      <w:r w:rsidRPr="00546C07">
        <w:rPr>
          <w:rFonts w:ascii="Arial" w:hAnsi="Arial" w:cs="Arial"/>
          <w:bCs/>
          <w:sz w:val="20"/>
          <w:szCs w:val="20"/>
        </w:rPr>
        <w:t>Magro</w:t>
      </w:r>
      <w:proofErr w:type="spellEnd"/>
      <w:r w:rsidRPr="00546C07">
        <w:rPr>
          <w:rFonts w:ascii="Arial" w:hAnsi="Arial" w:cs="Arial"/>
          <w:bCs/>
          <w:sz w:val="20"/>
          <w:szCs w:val="20"/>
        </w:rPr>
        <w:t xml:space="preserve">, A., </w:t>
      </w:r>
      <w:proofErr w:type="spellStart"/>
      <w:r w:rsidRPr="00546C07">
        <w:rPr>
          <w:rFonts w:ascii="Arial" w:hAnsi="Arial" w:cs="Arial"/>
          <w:bCs/>
          <w:sz w:val="20"/>
          <w:szCs w:val="20"/>
        </w:rPr>
        <w:t>Carolino</w:t>
      </w:r>
      <w:proofErr w:type="spellEnd"/>
      <w:r w:rsidRPr="00546C07">
        <w:rPr>
          <w:rFonts w:ascii="Arial" w:hAnsi="Arial" w:cs="Arial"/>
          <w:bCs/>
          <w:sz w:val="20"/>
          <w:szCs w:val="20"/>
        </w:rPr>
        <w:t xml:space="preserve">, M., Bastos, M., </w:t>
      </w:r>
      <w:r w:rsidRPr="00546C07">
        <w:rPr>
          <w:rFonts w:ascii="Arial" w:hAnsi="Arial" w:cs="Arial"/>
          <w:sz w:val="20"/>
          <w:szCs w:val="20"/>
        </w:rPr>
        <w:sym w:font="Symbol" w:char="F026"/>
      </w:r>
      <w:r w:rsidRPr="00546C07">
        <w:rPr>
          <w:rFonts w:ascii="Arial" w:hAnsi="Arial" w:cs="Arial"/>
          <w:bCs/>
          <w:sz w:val="20"/>
          <w:szCs w:val="20"/>
        </w:rPr>
        <w:t xml:space="preserve"> </w:t>
      </w:r>
      <w:proofErr w:type="spellStart"/>
      <w:r w:rsidRPr="00546C07">
        <w:rPr>
          <w:rFonts w:ascii="Arial" w:hAnsi="Arial" w:cs="Arial"/>
          <w:bCs/>
          <w:sz w:val="20"/>
          <w:szCs w:val="20"/>
        </w:rPr>
        <w:t>Mexia</w:t>
      </w:r>
      <w:proofErr w:type="spellEnd"/>
      <w:r w:rsidRPr="00546C07">
        <w:rPr>
          <w:rFonts w:ascii="Arial" w:hAnsi="Arial" w:cs="Arial"/>
          <w:bCs/>
          <w:sz w:val="20"/>
          <w:szCs w:val="20"/>
        </w:rPr>
        <w:t xml:space="preserve">, A. (2006). </w:t>
      </w:r>
      <w:r w:rsidRPr="00546C07">
        <w:rPr>
          <w:rFonts w:ascii="Arial" w:hAnsi="Arial" w:cs="Arial"/>
          <w:sz w:val="20"/>
          <w:szCs w:val="20"/>
        </w:rPr>
        <w:t xml:space="preserve">Efficacy of plant extracts against fungi in stored products. </w:t>
      </w:r>
      <w:proofErr w:type="spellStart"/>
      <w:r w:rsidRPr="00546C07">
        <w:rPr>
          <w:rFonts w:ascii="Arial" w:hAnsi="Arial" w:cs="Arial"/>
          <w:sz w:val="20"/>
          <w:szCs w:val="20"/>
        </w:rPr>
        <w:t>Revista</w:t>
      </w:r>
      <w:proofErr w:type="spellEnd"/>
      <w:r w:rsidRPr="00546C07">
        <w:rPr>
          <w:rFonts w:ascii="Arial" w:hAnsi="Arial" w:cs="Arial"/>
          <w:sz w:val="20"/>
          <w:szCs w:val="20"/>
        </w:rPr>
        <w:t xml:space="preserve"> </w:t>
      </w:r>
      <w:proofErr w:type="spellStart"/>
      <w:r w:rsidRPr="00546C07">
        <w:rPr>
          <w:rFonts w:ascii="Arial" w:hAnsi="Arial" w:cs="Arial"/>
          <w:sz w:val="20"/>
          <w:szCs w:val="20"/>
        </w:rPr>
        <w:t>Iberoamericana</w:t>
      </w:r>
      <w:proofErr w:type="spellEnd"/>
      <w:r w:rsidRPr="00546C07">
        <w:rPr>
          <w:rFonts w:ascii="Arial" w:hAnsi="Arial" w:cs="Arial"/>
          <w:sz w:val="20"/>
          <w:szCs w:val="20"/>
        </w:rPr>
        <w:t xml:space="preserve"> de </w:t>
      </w:r>
      <w:proofErr w:type="spellStart"/>
      <w:r w:rsidRPr="00546C07">
        <w:rPr>
          <w:rFonts w:ascii="Arial" w:hAnsi="Arial" w:cs="Arial"/>
          <w:sz w:val="20"/>
          <w:szCs w:val="20"/>
        </w:rPr>
        <w:t>Micologia</w:t>
      </w:r>
      <w:proofErr w:type="spellEnd"/>
      <w:r w:rsidRPr="00546C07">
        <w:rPr>
          <w:rFonts w:ascii="Arial" w:hAnsi="Arial" w:cs="Arial"/>
          <w:sz w:val="20"/>
          <w:szCs w:val="20"/>
        </w:rPr>
        <w:t>, 23(3), 176-178.</w:t>
      </w:r>
    </w:p>
    <w:p w14:paraId="07F975E9" w14:textId="77777777" w:rsidR="00521DFD" w:rsidRPr="00546C07" w:rsidRDefault="00521DFD" w:rsidP="00521DFD">
      <w:pPr>
        <w:pStyle w:val="ListBullet"/>
        <w:spacing w:line="360" w:lineRule="auto"/>
        <w:jc w:val="both"/>
        <w:rPr>
          <w:rFonts w:ascii="Arial" w:hAnsi="Arial" w:cs="Arial"/>
          <w:sz w:val="20"/>
          <w:szCs w:val="20"/>
        </w:rPr>
      </w:pPr>
      <w:r w:rsidRPr="00546C07">
        <w:rPr>
          <w:rFonts w:ascii="Arial" w:hAnsi="Arial" w:cs="Arial"/>
          <w:sz w:val="20"/>
          <w:szCs w:val="20"/>
        </w:rPr>
        <w:t xml:space="preserve">Mansfield, J., </w:t>
      </w:r>
      <w:proofErr w:type="spellStart"/>
      <w:r w:rsidRPr="00546C07">
        <w:rPr>
          <w:rFonts w:ascii="Arial" w:hAnsi="Arial" w:cs="Arial"/>
          <w:sz w:val="20"/>
          <w:szCs w:val="20"/>
        </w:rPr>
        <w:t>Genin</w:t>
      </w:r>
      <w:proofErr w:type="spellEnd"/>
      <w:r w:rsidRPr="00546C07">
        <w:rPr>
          <w:rFonts w:ascii="Arial" w:hAnsi="Arial" w:cs="Arial"/>
          <w:sz w:val="20"/>
          <w:szCs w:val="20"/>
        </w:rPr>
        <w:t xml:space="preserve">, S., </w:t>
      </w:r>
      <w:proofErr w:type="spellStart"/>
      <w:r w:rsidRPr="00546C07">
        <w:rPr>
          <w:rFonts w:ascii="Arial" w:hAnsi="Arial" w:cs="Arial"/>
          <w:sz w:val="20"/>
          <w:szCs w:val="20"/>
        </w:rPr>
        <w:t>Magori</w:t>
      </w:r>
      <w:proofErr w:type="spellEnd"/>
      <w:r w:rsidRPr="00546C07">
        <w:rPr>
          <w:rFonts w:ascii="Arial" w:hAnsi="Arial" w:cs="Arial"/>
          <w:sz w:val="20"/>
          <w:szCs w:val="20"/>
        </w:rPr>
        <w:t xml:space="preserve">, S., </w:t>
      </w:r>
      <w:proofErr w:type="spellStart"/>
      <w:r w:rsidRPr="00546C07">
        <w:rPr>
          <w:rFonts w:ascii="Arial" w:hAnsi="Arial" w:cs="Arial"/>
          <w:sz w:val="20"/>
          <w:szCs w:val="20"/>
        </w:rPr>
        <w:t>Citovsky</w:t>
      </w:r>
      <w:proofErr w:type="spellEnd"/>
      <w:r w:rsidRPr="00546C07">
        <w:rPr>
          <w:rFonts w:ascii="Arial" w:hAnsi="Arial" w:cs="Arial"/>
          <w:sz w:val="20"/>
          <w:szCs w:val="20"/>
        </w:rPr>
        <w:t xml:space="preserve"> V., </w:t>
      </w:r>
      <w:r w:rsidRPr="00546C07">
        <w:rPr>
          <w:rFonts w:ascii="Arial" w:hAnsi="Arial" w:cs="Arial"/>
          <w:sz w:val="20"/>
          <w:szCs w:val="20"/>
        </w:rPr>
        <w:sym w:font="Symbol" w:char="F026"/>
      </w:r>
      <w:r w:rsidRPr="00546C07">
        <w:rPr>
          <w:rFonts w:ascii="Arial" w:hAnsi="Arial" w:cs="Arial"/>
          <w:sz w:val="20"/>
          <w:szCs w:val="20"/>
        </w:rPr>
        <w:t xml:space="preserve"> Foster G. (2012). The 10 main phytopathogenic bacteria in plant molecular pathology. Molecular Plant Pathology, 13(6), 614-629.</w:t>
      </w:r>
    </w:p>
    <w:p w14:paraId="082D18FB" w14:textId="75F4A7AF" w:rsidR="00521DFD" w:rsidRPr="00546C07" w:rsidRDefault="00521DFD" w:rsidP="00521DFD">
      <w:pPr>
        <w:pStyle w:val="ListBullet"/>
        <w:spacing w:line="360" w:lineRule="auto"/>
        <w:jc w:val="both"/>
        <w:rPr>
          <w:rFonts w:ascii="Arial" w:hAnsi="Arial" w:cs="Arial"/>
          <w:sz w:val="20"/>
          <w:szCs w:val="20"/>
          <w:lang w:val="fr-FR"/>
        </w:rPr>
      </w:pPr>
      <w:r w:rsidRPr="00521DFD">
        <w:rPr>
          <w:rFonts w:ascii="Arial" w:hAnsi="Arial" w:cs="Arial"/>
          <w:color w:val="C00000"/>
          <w:sz w:val="20"/>
          <w:szCs w:val="20"/>
        </w:rPr>
        <w:t>Martin</w:t>
      </w:r>
      <w:r>
        <w:rPr>
          <w:rFonts w:ascii="Arial" w:hAnsi="Arial" w:cs="Arial"/>
          <w:color w:val="C00000"/>
          <w:sz w:val="20"/>
          <w:szCs w:val="20"/>
        </w:rPr>
        <w:t>,</w:t>
      </w:r>
      <w:r w:rsidRPr="00521DFD">
        <w:rPr>
          <w:rFonts w:ascii="Arial" w:hAnsi="Arial" w:cs="Arial"/>
          <w:color w:val="C00000"/>
          <w:sz w:val="20"/>
          <w:szCs w:val="20"/>
        </w:rPr>
        <w:t xml:space="preserve"> P</w:t>
      </w:r>
      <w:r>
        <w:rPr>
          <w:rFonts w:ascii="Arial" w:hAnsi="Arial" w:cs="Arial"/>
          <w:color w:val="C00000"/>
          <w:sz w:val="20"/>
          <w:szCs w:val="20"/>
        </w:rPr>
        <w:t>.</w:t>
      </w:r>
      <w:r w:rsidRPr="00521DFD">
        <w:rPr>
          <w:rFonts w:ascii="Arial" w:hAnsi="Arial" w:cs="Arial"/>
          <w:color w:val="C00000"/>
          <w:sz w:val="20"/>
          <w:szCs w:val="20"/>
        </w:rPr>
        <w:t xml:space="preserve">, </w:t>
      </w:r>
      <w:proofErr w:type="spellStart"/>
      <w:r w:rsidRPr="00521DFD">
        <w:rPr>
          <w:rFonts w:ascii="Arial" w:hAnsi="Arial" w:cs="Arial"/>
          <w:color w:val="C00000"/>
          <w:sz w:val="20"/>
          <w:szCs w:val="20"/>
        </w:rPr>
        <w:t>Sarter</w:t>
      </w:r>
      <w:proofErr w:type="spellEnd"/>
      <w:r>
        <w:rPr>
          <w:rFonts w:ascii="Arial" w:hAnsi="Arial" w:cs="Arial"/>
          <w:color w:val="C00000"/>
          <w:sz w:val="20"/>
          <w:szCs w:val="20"/>
        </w:rPr>
        <w:t>,</w:t>
      </w:r>
      <w:r w:rsidRPr="00521DFD">
        <w:rPr>
          <w:rFonts w:ascii="Arial" w:hAnsi="Arial" w:cs="Arial"/>
          <w:color w:val="C00000"/>
          <w:sz w:val="20"/>
          <w:szCs w:val="20"/>
        </w:rPr>
        <w:t xml:space="preserve"> S</w:t>
      </w:r>
      <w:r>
        <w:rPr>
          <w:rFonts w:ascii="Arial" w:hAnsi="Arial" w:cs="Arial"/>
          <w:color w:val="C00000"/>
          <w:sz w:val="20"/>
          <w:szCs w:val="20"/>
        </w:rPr>
        <w:t>.</w:t>
      </w:r>
      <w:r w:rsidRPr="00521DFD">
        <w:rPr>
          <w:rFonts w:ascii="Arial" w:hAnsi="Arial" w:cs="Arial"/>
          <w:color w:val="C00000"/>
          <w:sz w:val="20"/>
          <w:szCs w:val="20"/>
        </w:rPr>
        <w:t xml:space="preserve">, </w:t>
      </w:r>
      <w:proofErr w:type="spellStart"/>
      <w:r w:rsidRPr="00521DFD">
        <w:rPr>
          <w:rFonts w:ascii="Arial" w:hAnsi="Arial" w:cs="Arial"/>
          <w:color w:val="C00000"/>
          <w:sz w:val="20"/>
          <w:szCs w:val="20"/>
        </w:rPr>
        <w:t>Huchard</w:t>
      </w:r>
      <w:proofErr w:type="spellEnd"/>
      <w:r>
        <w:rPr>
          <w:rFonts w:ascii="Arial" w:hAnsi="Arial" w:cs="Arial"/>
          <w:color w:val="C00000"/>
          <w:sz w:val="20"/>
          <w:szCs w:val="20"/>
        </w:rPr>
        <w:t>,</w:t>
      </w:r>
      <w:r w:rsidRPr="00521DFD">
        <w:rPr>
          <w:rFonts w:ascii="Arial" w:hAnsi="Arial" w:cs="Arial"/>
          <w:color w:val="C00000"/>
          <w:sz w:val="20"/>
          <w:szCs w:val="20"/>
        </w:rPr>
        <w:t xml:space="preserve"> M</w:t>
      </w:r>
      <w:r>
        <w:rPr>
          <w:rFonts w:ascii="Arial" w:hAnsi="Arial" w:cs="Arial"/>
          <w:color w:val="C00000"/>
          <w:sz w:val="20"/>
          <w:szCs w:val="20"/>
        </w:rPr>
        <w:t>.</w:t>
      </w:r>
      <w:r w:rsidRPr="00521DFD">
        <w:rPr>
          <w:rFonts w:ascii="Arial" w:hAnsi="Arial" w:cs="Arial"/>
          <w:color w:val="C00000"/>
          <w:sz w:val="20"/>
          <w:szCs w:val="20"/>
        </w:rPr>
        <w:t xml:space="preserve">, </w:t>
      </w:r>
      <w:proofErr w:type="spellStart"/>
      <w:r w:rsidRPr="00521DFD">
        <w:rPr>
          <w:rFonts w:ascii="Arial" w:hAnsi="Arial" w:cs="Arial"/>
          <w:color w:val="C00000"/>
          <w:sz w:val="20"/>
          <w:szCs w:val="20"/>
        </w:rPr>
        <w:t>Tagne</w:t>
      </w:r>
      <w:proofErr w:type="spellEnd"/>
      <w:r>
        <w:rPr>
          <w:rFonts w:ascii="Arial" w:hAnsi="Arial" w:cs="Arial"/>
          <w:color w:val="C00000"/>
          <w:sz w:val="20"/>
          <w:szCs w:val="20"/>
        </w:rPr>
        <w:t>,</w:t>
      </w:r>
      <w:r w:rsidRPr="00521DFD">
        <w:rPr>
          <w:rFonts w:ascii="Arial" w:hAnsi="Arial" w:cs="Arial"/>
          <w:color w:val="C00000"/>
          <w:sz w:val="20"/>
          <w:szCs w:val="20"/>
        </w:rPr>
        <w:t xml:space="preserve"> A</w:t>
      </w:r>
      <w:r>
        <w:rPr>
          <w:rFonts w:ascii="Arial" w:hAnsi="Arial" w:cs="Arial"/>
          <w:color w:val="C00000"/>
          <w:sz w:val="20"/>
          <w:szCs w:val="20"/>
        </w:rPr>
        <w:t>.</w:t>
      </w:r>
      <w:r w:rsidRPr="00521DFD">
        <w:rPr>
          <w:rFonts w:ascii="Arial" w:hAnsi="Arial" w:cs="Arial"/>
          <w:color w:val="C00000"/>
          <w:sz w:val="20"/>
          <w:szCs w:val="20"/>
        </w:rPr>
        <w:t xml:space="preserve">, </w:t>
      </w:r>
      <w:proofErr w:type="spellStart"/>
      <w:r w:rsidRPr="00521DFD">
        <w:rPr>
          <w:rFonts w:ascii="Arial" w:hAnsi="Arial" w:cs="Arial"/>
          <w:color w:val="C00000"/>
          <w:sz w:val="20"/>
          <w:szCs w:val="20"/>
        </w:rPr>
        <w:t>Ilboudo</w:t>
      </w:r>
      <w:proofErr w:type="spellEnd"/>
      <w:r>
        <w:rPr>
          <w:rFonts w:ascii="Arial" w:hAnsi="Arial" w:cs="Arial"/>
          <w:color w:val="C00000"/>
          <w:sz w:val="20"/>
          <w:szCs w:val="20"/>
        </w:rPr>
        <w:t>,</w:t>
      </w:r>
      <w:r w:rsidRPr="00521DFD">
        <w:rPr>
          <w:rFonts w:ascii="Arial" w:hAnsi="Arial" w:cs="Arial"/>
          <w:color w:val="C00000"/>
          <w:sz w:val="20"/>
          <w:szCs w:val="20"/>
        </w:rPr>
        <w:t xml:space="preserve"> Z</w:t>
      </w:r>
      <w:r>
        <w:rPr>
          <w:rFonts w:ascii="Arial" w:hAnsi="Arial" w:cs="Arial"/>
          <w:color w:val="C00000"/>
          <w:sz w:val="20"/>
          <w:szCs w:val="20"/>
        </w:rPr>
        <w:t>.</w:t>
      </w:r>
      <w:r w:rsidRPr="00521DFD">
        <w:rPr>
          <w:rFonts w:ascii="Arial" w:hAnsi="Arial" w:cs="Arial"/>
          <w:color w:val="C00000"/>
          <w:sz w:val="20"/>
          <w:szCs w:val="20"/>
        </w:rPr>
        <w:t xml:space="preserve">, </w:t>
      </w:r>
      <w:proofErr w:type="spellStart"/>
      <w:r w:rsidRPr="00521DFD">
        <w:rPr>
          <w:rFonts w:ascii="Arial" w:hAnsi="Arial" w:cs="Arial"/>
          <w:color w:val="C00000"/>
          <w:sz w:val="20"/>
          <w:szCs w:val="20"/>
        </w:rPr>
        <w:t>Marnotte</w:t>
      </w:r>
      <w:proofErr w:type="spellEnd"/>
      <w:r>
        <w:rPr>
          <w:rFonts w:ascii="Arial" w:hAnsi="Arial" w:cs="Arial"/>
          <w:color w:val="C00000"/>
          <w:sz w:val="20"/>
          <w:szCs w:val="20"/>
        </w:rPr>
        <w:t>,</w:t>
      </w:r>
      <w:r w:rsidRPr="00521DFD">
        <w:rPr>
          <w:rFonts w:ascii="Arial" w:hAnsi="Arial" w:cs="Arial"/>
          <w:color w:val="C00000"/>
          <w:sz w:val="20"/>
          <w:szCs w:val="20"/>
        </w:rPr>
        <w:t xml:space="preserve"> P</w:t>
      </w:r>
      <w:r>
        <w:rPr>
          <w:rFonts w:ascii="Arial" w:hAnsi="Arial" w:cs="Arial"/>
          <w:color w:val="C00000"/>
          <w:sz w:val="20"/>
          <w:szCs w:val="20"/>
        </w:rPr>
        <w:t>.</w:t>
      </w:r>
      <w:r w:rsidRPr="00521DFD">
        <w:rPr>
          <w:rFonts w:ascii="Arial" w:hAnsi="Arial" w:cs="Arial"/>
          <w:color w:val="C00000"/>
          <w:sz w:val="20"/>
          <w:szCs w:val="20"/>
        </w:rPr>
        <w:t xml:space="preserve">, </w:t>
      </w:r>
      <w:r w:rsidRPr="00521DFD">
        <w:rPr>
          <w:rFonts w:ascii="Arial" w:hAnsi="Arial" w:cs="Arial"/>
          <w:color w:val="C00000"/>
          <w:sz w:val="20"/>
          <w:szCs w:val="20"/>
        </w:rPr>
        <w:sym w:font="Symbol" w:char="F026"/>
      </w:r>
      <w:r w:rsidRPr="00546C07">
        <w:rPr>
          <w:rFonts w:ascii="Arial" w:hAnsi="Arial" w:cs="Arial"/>
          <w:sz w:val="20"/>
          <w:szCs w:val="20"/>
        </w:rPr>
        <w:t xml:space="preserve"> </w:t>
      </w:r>
      <w:proofErr w:type="spellStart"/>
      <w:r w:rsidRPr="00521DFD">
        <w:rPr>
          <w:rFonts w:ascii="Arial" w:hAnsi="Arial" w:cs="Arial"/>
          <w:color w:val="C00000"/>
          <w:sz w:val="20"/>
          <w:szCs w:val="20"/>
        </w:rPr>
        <w:t>Silvie</w:t>
      </w:r>
      <w:proofErr w:type="spellEnd"/>
      <w:r>
        <w:rPr>
          <w:rFonts w:ascii="Arial" w:hAnsi="Arial" w:cs="Arial"/>
          <w:color w:val="C00000"/>
          <w:sz w:val="20"/>
          <w:szCs w:val="20"/>
        </w:rPr>
        <w:t>,</w:t>
      </w:r>
      <w:r w:rsidRPr="00521DFD">
        <w:rPr>
          <w:rFonts w:ascii="Arial" w:hAnsi="Arial" w:cs="Arial"/>
          <w:color w:val="C00000"/>
          <w:sz w:val="20"/>
          <w:szCs w:val="20"/>
        </w:rPr>
        <w:t xml:space="preserve"> P</w:t>
      </w:r>
      <w:r>
        <w:rPr>
          <w:rFonts w:ascii="Arial" w:hAnsi="Arial" w:cs="Arial"/>
          <w:color w:val="C00000"/>
          <w:sz w:val="20"/>
          <w:szCs w:val="20"/>
        </w:rPr>
        <w:t>.</w:t>
      </w:r>
      <w:r w:rsidRPr="00521DFD">
        <w:rPr>
          <w:rFonts w:ascii="Arial" w:hAnsi="Arial" w:cs="Arial"/>
          <w:color w:val="C00000"/>
          <w:sz w:val="20"/>
          <w:szCs w:val="20"/>
        </w:rPr>
        <w:t xml:space="preserve"> (2018)</w:t>
      </w:r>
      <w:r w:rsidRPr="00521DFD">
        <w:rPr>
          <w:rFonts w:ascii="Arial" w:hAnsi="Arial" w:cs="Arial"/>
          <w:sz w:val="20"/>
          <w:szCs w:val="20"/>
        </w:rPr>
        <w:t>.</w:t>
      </w:r>
      <w:r w:rsidRPr="00546C07">
        <w:rPr>
          <w:rFonts w:ascii="Arial" w:hAnsi="Arial" w:cs="Arial"/>
          <w:color w:val="FF0000"/>
          <w:sz w:val="20"/>
          <w:szCs w:val="20"/>
        </w:rPr>
        <w:t xml:space="preserve"> </w:t>
      </w:r>
      <w:r w:rsidRPr="00546C07">
        <w:rPr>
          <w:rFonts w:ascii="Arial" w:hAnsi="Arial" w:cs="Arial"/>
          <w:sz w:val="20"/>
          <w:szCs w:val="20"/>
        </w:rPr>
        <w:t xml:space="preserve">Know the plants useful for Organic Agriculture according to the literature: Construction and exploration of a knowledge base for plant and animal health. African Organic Network, </w:t>
      </w:r>
      <w:proofErr w:type="spellStart"/>
      <w:r w:rsidRPr="00546C07">
        <w:rPr>
          <w:rFonts w:ascii="Arial" w:hAnsi="Arial" w:cs="Arial"/>
          <w:sz w:val="20"/>
          <w:szCs w:val="20"/>
        </w:rPr>
        <w:t>Saly</w:t>
      </w:r>
      <w:proofErr w:type="spellEnd"/>
      <w:r w:rsidRPr="00546C07">
        <w:rPr>
          <w:rFonts w:ascii="Arial" w:hAnsi="Arial" w:cs="Arial"/>
          <w:sz w:val="20"/>
          <w:szCs w:val="20"/>
        </w:rPr>
        <w:t xml:space="preserve"> </w:t>
      </w:r>
      <w:proofErr w:type="spellStart"/>
      <w:r w:rsidRPr="00546C07">
        <w:rPr>
          <w:rFonts w:ascii="Arial" w:hAnsi="Arial" w:cs="Arial"/>
          <w:sz w:val="20"/>
          <w:szCs w:val="20"/>
        </w:rPr>
        <w:t>Portudal</w:t>
      </w:r>
      <w:proofErr w:type="spellEnd"/>
      <w:r w:rsidRPr="00546C07">
        <w:rPr>
          <w:rFonts w:ascii="Arial" w:hAnsi="Arial" w:cs="Arial"/>
          <w:sz w:val="20"/>
          <w:szCs w:val="20"/>
        </w:rPr>
        <w:t>, Senegal, 137-142</w:t>
      </w:r>
    </w:p>
    <w:p w14:paraId="4524048A" w14:textId="77777777" w:rsidR="00521DFD" w:rsidRPr="00546C07" w:rsidRDefault="00521DFD" w:rsidP="00521DFD">
      <w:pPr>
        <w:pStyle w:val="ListBullet"/>
        <w:spacing w:line="360" w:lineRule="auto"/>
        <w:jc w:val="both"/>
        <w:rPr>
          <w:rFonts w:ascii="Arial" w:hAnsi="Arial" w:cs="Arial"/>
          <w:sz w:val="20"/>
          <w:szCs w:val="20"/>
        </w:rPr>
      </w:pPr>
      <w:r w:rsidRPr="00546C07">
        <w:rPr>
          <w:rFonts w:ascii="Arial" w:hAnsi="Arial" w:cs="Arial"/>
          <w:sz w:val="20"/>
          <w:szCs w:val="20"/>
        </w:rPr>
        <w:t xml:space="preserve">Molina-Santiago, C., </w:t>
      </w:r>
      <w:proofErr w:type="spellStart"/>
      <w:r w:rsidRPr="00546C07">
        <w:rPr>
          <w:rFonts w:ascii="Arial" w:hAnsi="Arial" w:cs="Arial"/>
          <w:sz w:val="20"/>
          <w:szCs w:val="20"/>
        </w:rPr>
        <w:t>Daddaoua</w:t>
      </w:r>
      <w:proofErr w:type="spellEnd"/>
      <w:r w:rsidRPr="00546C07">
        <w:rPr>
          <w:rFonts w:ascii="Arial" w:hAnsi="Arial" w:cs="Arial"/>
          <w:sz w:val="20"/>
          <w:szCs w:val="20"/>
        </w:rPr>
        <w:t xml:space="preserve">, A., </w:t>
      </w:r>
      <w:r w:rsidRPr="00546C07">
        <w:rPr>
          <w:rFonts w:ascii="Arial" w:hAnsi="Arial" w:cs="Arial"/>
          <w:sz w:val="20"/>
          <w:szCs w:val="20"/>
        </w:rPr>
        <w:sym w:font="Symbol" w:char="F026"/>
      </w:r>
      <w:r w:rsidRPr="00546C07">
        <w:rPr>
          <w:rFonts w:ascii="Arial" w:hAnsi="Arial" w:cs="Arial"/>
          <w:sz w:val="20"/>
          <w:szCs w:val="20"/>
        </w:rPr>
        <w:t xml:space="preserve"> Ramos, J.L. (2021). Antibacterial metabolites produced by Pseudomonas spp: Ecological and biotechnological relevance. Frontiers in Microbiology, 12, Article 645484. </w:t>
      </w:r>
      <w:hyperlink r:id="rId35" w:history="1">
        <w:r w:rsidRPr="00546C07">
          <w:rPr>
            <w:rStyle w:val="Hyperlink"/>
            <w:rFonts w:ascii="Arial" w:hAnsi="Arial" w:cs="Arial"/>
            <w:sz w:val="20"/>
            <w:szCs w:val="20"/>
          </w:rPr>
          <w:t>https://doi.org/10.3389/fmicb.2021.645484</w:t>
        </w:r>
      </w:hyperlink>
      <w:r w:rsidRPr="00546C07">
        <w:rPr>
          <w:rFonts w:ascii="Arial" w:hAnsi="Arial" w:cs="Arial"/>
          <w:sz w:val="20"/>
          <w:szCs w:val="20"/>
          <w:highlight w:val="yellow"/>
        </w:rPr>
        <w:t xml:space="preserve">  </w:t>
      </w:r>
    </w:p>
    <w:p w14:paraId="11CEF42F" w14:textId="77777777" w:rsidR="00521DFD" w:rsidRPr="00546C07" w:rsidRDefault="00521DFD" w:rsidP="00521DFD">
      <w:pPr>
        <w:pStyle w:val="ListBullet"/>
        <w:spacing w:line="360" w:lineRule="auto"/>
        <w:jc w:val="both"/>
        <w:rPr>
          <w:rFonts w:ascii="Arial" w:hAnsi="Arial" w:cs="Arial"/>
          <w:sz w:val="20"/>
          <w:szCs w:val="20"/>
        </w:rPr>
      </w:pPr>
      <w:proofErr w:type="spellStart"/>
      <w:r w:rsidRPr="00546C07">
        <w:rPr>
          <w:rFonts w:ascii="Arial" w:hAnsi="Arial" w:cs="Arial"/>
          <w:sz w:val="20"/>
          <w:szCs w:val="20"/>
        </w:rPr>
        <w:t>Mossa</w:t>
      </w:r>
      <w:proofErr w:type="spellEnd"/>
      <w:r w:rsidRPr="00546C07">
        <w:rPr>
          <w:rFonts w:ascii="Arial" w:hAnsi="Arial" w:cs="Arial"/>
          <w:sz w:val="20"/>
          <w:szCs w:val="20"/>
        </w:rPr>
        <w:t xml:space="preserve">, A.T.H. (2016). Green pesticides: essential oils as biopesticides in the management of insect pests. </w:t>
      </w:r>
      <w:r w:rsidRPr="00546C07">
        <w:rPr>
          <w:rFonts w:ascii="Arial" w:hAnsi="Arial" w:cs="Arial"/>
          <w:sz w:val="20"/>
          <w:szCs w:val="20"/>
          <w:lang w:val="fr-FR"/>
        </w:rPr>
        <w:t xml:space="preserve">Journal of </w:t>
      </w:r>
      <w:proofErr w:type="spellStart"/>
      <w:r w:rsidRPr="00546C07">
        <w:rPr>
          <w:rFonts w:ascii="Arial" w:hAnsi="Arial" w:cs="Arial"/>
          <w:sz w:val="20"/>
          <w:szCs w:val="20"/>
          <w:lang w:val="fr-FR"/>
        </w:rPr>
        <w:t>Environmental</w:t>
      </w:r>
      <w:proofErr w:type="spellEnd"/>
      <w:r w:rsidRPr="00546C07">
        <w:rPr>
          <w:rFonts w:ascii="Arial" w:hAnsi="Arial" w:cs="Arial"/>
          <w:sz w:val="20"/>
          <w:szCs w:val="20"/>
          <w:lang w:val="fr-FR"/>
        </w:rPr>
        <w:t xml:space="preserve"> Science and </w:t>
      </w:r>
      <w:proofErr w:type="spellStart"/>
      <w:r w:rsidRPr="00546C07">
        <w:rPr>
          <w:rFonts w:ascii="Arial" w:hAnsi="Arial" w:cs="Arial"/>
          <w:sz w:val="20"/>
          <w:szCs w:val="20"/>
          <w:lang w:val="fr-FR"/>
        </w:rPr>
        <w:t>Technology</w:t>
      </w:r>
      <w:proofErr w:type="spellEnd"/>
      <w:r w:rsidRPr="00546C07">
        <w:rPr>
          <w:rFonts w:ascii="Arial" w:hAnsi="Arial" w:cs="Arial"/>
          <w:sz w:val="20"/>
          <w:szCs w:val="20"/>
          <w:lang w:val="fr-FR"/>
        </w:rPr>
        <w:t>, 9(5), 354-378.</w:t>
      </w:r>
    </w:p>
    <w:p w14:paraId="4B7A5E94" w14:textId="77777777" w:rsidR="00521DFD" w:rsidRPr="00546C07" w:rsidRDefault="00521DFD" w:rsidP="00521DFD">
      <w:pPr>
        <w:pStyle w:val="ListBullet"/>
        <w:spacing w:line="360" w:lineRule="auto"/>
        <w:jc w:val="both"/>
        <w:rPr>
          <w:rFonts w:ascii="Arial" w:hAnsi="Arial" w:cs="Arial"/>
          <w:sz w:val="20"/>
          <w:szCs w:val="20"/>
        </w:rPr>
      </w:pPr>
      <w:proofErr w:type="spellStart"/>
      <w:r w:rsidRPr="00546C07">
        <w:rPr>
          <w:rFonts w:ascii="Arial" w:hAnsi="Arial" w:cs="Arial"/>
          <w:sz w:val="20"/>
          <w:szCs w:val="20"/>
          <w:lang w:val="fr-FR"/>
        </w:rPr>
        <w:t>Ntalli</w:t>
      </w:r>
      <w:proofErr w:type="spellEnd"/>
      <w:r w:rsidRPr="00546C07">
        <w:rPr>
          <w:rFonts w:ascii="Arial" w:hAnsi="Arial" w:cs="Arial"/>
          <w:sz w:val="20"/>
          <w:szCs w:val="20"/>
          <w:lang w:val="fr-FR"/>
        </w:rPr>
        <w:t xml:space="preserve">, N. G., &amp; </w:t>
      </w:r>
      <w:proofErr w:type="spellStart"/>
      <w:r w:rsidRPr="00546C07">
        <w:rPr>
          <w:rFonts w:ascii="Arial" w:hAnsi="Arial" w:cs="Arial"/>
          <w:sz w:val="20"/>
          <w:szCs w:val="20"/>
          <w:lang w:val="fr-FR"/>
        </w:rPr>
        <w:t>Caboni</w:t>
      </w:r>
      <w:proofErr w:type="spellEnd"/>
      <w:r w:rsidRPr="00546C07">
        <w:rPr>
          <w:rFonts w:ascii="Arial" w:hAnsi="Arial" w:cs="Arial"/>
          <w:sz w:val="20"/>
          <w:szCs w:val="20"/>
          <w:lang w:val="fr-FR"/>
        </w:rPr>
        <w:t xml:space="preserve">, P. (2012). </w:t>
      </w:r>
      <w:r w:rsidRPr="00546C07">
        <w:rPr>
          <w:rFonts w:ascii="Arial" w:hAnsi="Arial" w:cs="Arial"/>
          <w:sz w:val="20"/>
          <w:szCs w:val="20"/>
        </w:rPr>
        <w:t xml:space="preserve">Botanical nematicides: A review. Journal of Agricultural and Food Chemistry, 60(40), 9929-9940. </w:t>
      </w:r>
      <w:hyperlink r:id="rId36" w:history="1">
        <w:r w:rsidRPr="00546C07">
          <w:rPr>
            <w:rStyle w:val="Hyperlink"/>
            <w:rFonts w:ascii="Arial" w:hAnsi="Arial" w:cs="Arial"/>
            <w:sz w:val="20"/>
            <w:szCs w:val="20"/>
          </w:rPr>
          <w:t>https://doi.org/10.1021/jf3028374</w:t>
        </w:r>
      </w:hyperlink>
      <w:r w:rsidRPr="00546C07">
        <w:rPr>
          <w:rFonts w:ascii="Arial" w:hAnsi="Arial" w:cs="Arial"/>
          <w:sz w:val="20"/>
          <w:szCs w:val="20"/>
        </w:rPr>
        <w:t xml:space="preserve"> </w:t>
      </w:r>
    </w:p>
    <w:p w14:paraId="308B33C0" w14:textId="77777777" w:rsidR="00521DFD" w:rsidRPr="00546C07" w:rsidRDefault="00521DFD" w:rsidP="00521DFD">
      <w:pPr>
        <w:pStyle w:val="ListBullet"/>
        <w:spacing w:line="360" w:lineRule="auto"/>
        <w:jc w:val="both"/>
        <w:rPr>
          <w:rFonts w:ascii="Arial" w:hAnsi="Arial" w:cs="Arial"/>
          <w:sz w:val="20"/>
          <w:szCs w:val="20"/>
        </w:rPr>
      </w:pPr>
      <w:r w:rsidRPr="00521DFD">
        <w:rPr>
          <w:rFonts w:ascii="Arial" w:hAnsi="Arial" w:cs="Arial"/>
          <w:color w:val="C00000"/>
          <w:sz w:val="20"/>
          <w:szCs w:val="20"/>
        </w:rPr>
        <w:t xml:space="preserve">Oikawa, T., </w:t>
      </w:r>
      <w:proofErr w:type="spellStart"/>
      <w:r w:rsidRPr="00521DFD">
        <w:rPr>
          <w:rFonts w:ascii="Arial" w:hAnsi="Arial" w:cs="Arial"/>
          <w:color w:val="C00000"/>
          <w:sz w:val="20"/>
          <w:szCs w:val="20"/>
        </w:rPr>
        <w:t>Tsukagawa</w:t>
      </w:r>
      <w:proofErr w:type="spellEnd"/>
      <w:r w:rsidRPr="00521DFD">
        <w:rPr>
          <w:rFonts w:ascii="Arial" w:hAnsi="Arial" w:cs="Arial"/>
          <w:color w:val="C00000"/>
          <w:sz w:val="20"/>
          <w:szCs w:val="20"/>
        </w:rPr>
        <w:t xml:space="preserve">, Y., </w:t>
      </w:r>
      <w:r w:rsidRPr="00521DFD">
        <w:rPr>
          <w:rFonts w:ascii="Arial" w:hAnsi="Arial" w:cs="Arial"/>
          <w:color w:val="C00000"/>
          <w:sz w:val="20"/>
          <w:szCs w:val="20"/>
        </w:rPr>
        <w:sym w:font="Symbol" w:char="F026"/>
      </w:r>
      <w:r w:rsidRPr="00521DFD">
        <w:rPr>
          <w:rFonts w:ascii="Arial" w:hAnsi="Arial" w:cs="Arial"/>
          <w:color w:val="C00000"/>
          <w:sz w:val="20"/>
          <w:szCs w:val="20"/>
        </w:rPr>
        <w:t xml:space="preserve"> Soda, K. (1998)</w:t>
      </w:r>
      <w:r w:rsidRPr="00546C07">
        <w:rPr>
          <w:rFonts w:ascii="Arial" w:hAnsi="Arial" w:cs="Arial"/>
          <w:sz w:val="20"/>
          <w:szCs w:val="20"/>
        </w:rPr>
        <w:t xml:space="preserve">. Endo-ß-glucanase secreted by a </w:t>
      </w:r>
      <w:proofErr w:type="spellStart"/>
      <w:r w:rsidRPr="00546C07">
        <w:rPr>
          <w:rFonts w:ascii="Arial" w:hAnsi="Arial" w:cs="Arial"/>
          <w:sz w:val="20"/>
          <w:szCs w:val="20"/>
        </w:rPr>
        <w:t>psychrotrophic</w:t>
      </w:r>
      <w:proofErr w:type="spellEnd"/>
      <w:r w:rsidRPr="00546C07">
        <w:rPr>
          <w:rFonts w:ascii="Arial" w:hAnsi="Arial" w:cs="Arial"/>
          <w:sz w:val="20"/>
          <w:szCs w:val="20"/>
        </w:rPr>
        <w:t xml:space="preserve"> yeast: purification and characterization. Bioscience, Biotechnology and Biochemistry, 62, 1751-1756.</w:t>
      </w:r>
    </w:p>
    <w:p w14:paraId="674D1A60" w14:textId="77777777" w:rsidR="00521DFD" w:rsidRPr="00546C07" w:rsidRDefault="00521DFD" w:rsidP="00521DFD">
      <w:pPr>
        <w:pStyle w:val="ListBullet"/>
        <w:spacing w:line="360" w:lineRule="auto"/>
        <w:jc w:val="both"/>
        <w:rPr>
          <w:rStyle w:val="Hyperlink"/>
          <w:rFonts w:ascii="Arial" w:hAnsi="Arial" w:cs="Arial"/>
          <w:color w:val="auto"/>
          <w:sz w:val="20"/>
          <w:szCs w:val="20"/>
          <w:u w:val="none"/>
        </w:rPr>
      </w:pPr>
      <w:r w:rsidRPr="00546C07">
        <w:rPr>
          <w:rFonts w:ascii="Arial" w:hAnsi="Arial" w:cs="Arial"/>
          <w:sz w:val="20"/>
          <w:szCs w:val="20"/>
        </w:rPr>
        <w:t xml:space="preserve">Oka, Y., </w:t>
      </w:r>
      <w:proofErr w:type="spellStart"/>
      <w:r w:rsidRPr="00546C07">
        <w:rPr>
          <w:rFonts w:ascii="Arial" w:hAnsi="Arial" w:cs="Arial"/>
          <w:sz w:val="20"/>
          <w:szCs w:val="20"/>
        </w:rPr>
        <w:t>Nacar</w:t>
      </w:r>
      <w:proofErr w:type="spellEnd"/>
      <w:r w:rsidRPr="00546C07">
        <w:rPr>
          <w:rFonts w:ascii="Arial" w:hAnsi="Arial" w:cs="Arial"/>
          <w:sz w:val="20"/>
          <w:szCs w:val="20"/>
        </w:rPr>
        <w:t xml:space="preserve">, S., </w:t>
      </w:r>
      <w:proofErr w:type="spellStart"/>
      <w:r w:rsidRPr="00546C07">
        <w:rPr>
          <w:rFonts w:ascii="Arial" w:hAnsi="Arial" w:cs="Arial"/>
          <w:sz w:val="20"/>
          <w:szCs w:val="20"/>
        </w:rPr>
        <w:t>Putievsky</w:t>
      </w:r>
      <w:proofErr w:type="spellEnd"/>
      <w:r w:rsidRPr="00546C07">
        <w:rPr>
          <w:rFonts w:ascii="Arial" w:hAnsi="Arial" w:cs="Arial"/>
          <w:sz w:val="20"/>
          <w:szCs w:val="20"/>
        </w:rPr>
        <w:t xml:space="preserve">, E., </w:t>
      </w:r>
      <w:proofErr w:type="spellStart"/>
      <w:r w:rsidRPr="00546C07">
        <w:rPr>
          <w:rFonts w:ascii="Arial" w:hAnsi="Arial" w:cs="Arial"/>
          <w:sz w:val="20"/>
          <w:szCs w:val="20"/>
        </w:rPr>
        <w:t>Ravid</w:t>
      </w:r>
      <w:proofErr w:type="spellEnd"/>
      <w:r w:rsidRPr="00546C07">
        <w:rPr>
          <w:rFonts w:ascii="Arial" w:hAnsi="Arial" w:cs="Arial"/>
          <w:sz w:val="20"/>
          <w:szCs w:val="20"/>
        </w:rPr>
        <w:t xml:space="preserve">, U., Yaniv, Z., &amp; Spiegel, Y. (2000). Nematicidal activity of essential oils and their components against the root-knot nematode. Phytopathology, 90(7), 710-715. </w:t>
      </w:r>
      <w:hyperlink r:id="rId37" w:history="1">
        <w:r w:rsidRPr="00546C07">
          <w:rPr>
            <w:rStyle w:val="Hyperlink"/>
            <w:rFonts w:ascii="Arial" w:hAnsi="Arial" w:cs="Arial"/>
            <w:sz w:val="20"/>
            <w:szCs w:val="20"/>
          </w:rPr>
          <w:t>https://doi.org/10.1094/PHYTO.2000.90.7.710</w:t>
        </w:r>
      </w:hyperlink>
    </w:p>
    <w:p w14:paraId="13F9B59C" w14:textId="77777777" w:rsidR="00521DFD" w:rsidRPr="00546C07" w:rsidRDefault="00521DFD" w:rsidP="00521DFD">
      <w:pPr>
        <w:pStyle w:val="ListBullet"/>
        <w:spacing w:line="360" w:lineRule="auto"/>
        <w:jc w:val="both"/>
        <w:rPr>
          <w:rFonts w:ascii="Arial" w:hAnsi="Arial" w:cs="Arial"/>
          <w:sz w:val="20"/>
          <w:szCs w:val="20"/>
          <w:lang w:val="fr-FR"/>
        </w:rPr>
      </w:pPr>
      <w:proofErr w:type="spellStart"/>
      <w:r w:rsidRPr="00546C07">
        <w:rPr>
          <w:rFonts w:ascii="Arial" w:hAnsi="Arial" w:cs="Arial"/>
          <w:sz w:val="20"/>
          <w:szCs w:val="20"/>
        </w:rPr>
        <w:t>Ongena</w:t>
      </w:r>
      <w:proofErr w:type="spellEnd"/>
      <w:r w:rsidRPr="00546C07">
        <w:rPr>
          <w:rFonts w:ascii="Arial" w:hAnsi="Arial" w:cs="Arial"/>
          <w:sz w:val="20"/>
          <w:szCs w:val="20"/>
        </w:rPr>
        <w:t xml:space="preserve">, M., </w:t>
      </w:r>
      <w:r w:rsidRPr="00546C07">
        <w:rPr>
          <w:rFonts w:ascii="Arial" w:hAnsi="Arial" w:cs="Arial"/>
          <w:sz w:val="20"/>
          <w:szCs w:val="20"/>
        </w:rPr>
        <w:sym w:font="Symbol" w:char="F026"/>
      </w:r>
      <w:r w:rsidRPr="00546C07">
        <w:rPr>
          <w:rFonts w:ascii="Arial" w:hAnsi="Arial" w:cs="Arial"/>
          <w:sz w:val="20"/>
          <w:szCs w:val="20"/>
        </w:rPr>
        <w:t xml:space="preserve"> Jacques, P. (2008). Bacillus lipopeptides: versatile weapons for the biological control of plant diseases. </w:t>
      </w:r>
      <w:r w:rsidRPr="00546C07">
        <w:rPr>
          <w:rFonts w:ascii="Arial" w:hAnsi="Arial" w:cs="Arial"/>
          <w:sz w:val="20"/>
          <w:szCs w:val="20"/>
          <w:lang w:val="fr-FR"/>
        </w:rPr>
        <w:t xml:space="preserve">Trends in </w:t>
      </w:r>
      <w:proofErr w:type="spellStart"/>
      <w:r w:rsidRPr="00546C07">
        <w:rPr>
          <w:rFonts w:ascii="Arial" w:hAnsi="Arial" w:cs="Arial"/>
          <w:sz w:val="20"/>
          <w:szCs w:val="20"/>
          <w:lang w:val="fr-FR"/>
        </w:rPr>
        <w:t>Microbiology</w:t>
      </w:r>
      <w:proofErr w:type="spellEnd"/>
      <w:r w:rsidRPr="00546C07">
        <w:rPr>
          <w:rFonts w:ascii="Arial" w:hAnsi="Arial" w:cs="Arial"/>
          <w:sz w:val="20"/>
          <w:szCs w:val="20"/>
          <w:lang w:val="fr-FR"/>
        </w:rPr>
        <w:t>, 16(3), 115-125.</w:t>
      </w:r>
    </w:p>
    <w:p w14:paraId="6DB8E840" w14:textId="77777777" w:rsidR="00521DFD" w:rsidRPr="00546C07" w:rsidRDefault="00521DFD" w:rsidP="00521DFD">
      <w:pPr>
        <w:pStyle w:val="ListBullet"/>
        <w:spacing w:line="360" w:lineRule="auto"/>
        <w:jc w:val="both"/>
        <w:rPr>
          <w:rFonts w:ascii="Arial" w:hAnsi="Arial" w:cs="Arial"/>
          <w:sz w:val="20"/>
          <w:szCs w:val="20"/>
          <w:lang w:val="fr-FR"/>
        </w:rPr>
      </w:pPr>
      <w:r w:rsidRPr="00546C07">
        <w:rPr>
          <w:rFonts w:ascii="Arial" w:hAnsi="Arial" w:cs="Arial"/>
          <w:sz w:val="20"/>
          <w:szCs w:val="20"/>
        </w:rPr>
        <w:t xml:space="preserve">Parveen, S., Wani, A., </w:t>
      </w:r>
      <w:proofErr w:type="spellStart"/>
      <w:r w:rsidRPr="00546C07">
        <w:rPr>
          <w:rFonts w:ascii="Arial" w:hAnsi="Arial" w:cs="Arial"/>
          <w:sz w:val="20"/>
          <w:szCs w:val="20"/>
        </w:rPr>
        <w:t>Gani</w:t>
      </w:r>
      <w:proofErr w:type="spellEnd"/>
      <w:r w:rsidRPr="00546C07">
        <w:rPr>
          <w:rFonts w:ascii="Arial" w:hAnsi="Arial" w:cs="Arial"/>
          <w:sz w:val="20"/>
          <w:szCs w:val="20"/>
        </w:rPr>
        <w:t xml:space="preserve">, A., </w:t>
      </w:r>
      <w:r w:rsidRPr="00546C07">
        <w:rPr>
          <w:rFonts w:ascii="Arial" w:hAnsi="Arial" w:cs="Arial"/>
          <w:sz w:val="20"/>
          <w:szCs w:val="20"/>
        </w:rPr>
        <w:sym w:font="Symbol" w:char="F026"/>
      </w:r>
      <w:r w:rsidRPr="00546C07">
        <w:rPr>
          <w:rFonts w:ascii="Arial" w:hAnsi="Arial" w:cs="Arial"/>
          <w:sz w:val="20"/>
          <w:szCs w:val="20"/>
        </w:rPr>
        <w:t xml:space="preserve"> Mir, A. (2014). Antifungal activity of certain plant extracts on certain pathogenic fungi. </w:t>
      </w:r>
      <w:r w:rsidRPr="00546C07">
        <w:rPr>
          <w:rFonts w:ascii="Arial" w:hAnsi="Arial" w:cs="Arial"/>
          <w:sz w:val="20"/>
          <w:szCs w:val="20"/>
          <w:lang w:val="fr-FR"/>
        </w:rPr>
        <w:t xml:space="preserve">Archives of </w:t>
      </w:r>
      <w:proofErr w:type="spellStart"/>
      <w:r w:rsidRPr="00546C07">
        <w:rPr>
          <w:rFonts w:ascii="Arial" w:hAnsi="Arial" w:cs="Arial"/>
          <w:sz w:val="20"/>
          <w:szCs w:val="20"/>
          <w:lang w:val="fr-FR"/>
        </w:rPr>
        <w:t>Phytopathology</w:t>
      </w:r>
      <w:proofErr w:type="spellEnd"/>
      <w:r w:rsidRPr="00546C07">
        <w:rPr>
          <w:rFonts w:ascii="Arial" w:hAnsi="Arial" w:cs="Arial"/>
          <w:sz w:val="20"/>
          <w:szCs w:val="20"/>
          <w:lang w:val="fr-FR"/>
        </w:rPr>
        <w:t xml:space="preserve"> and Plant Protection, 47(3), 279-284.</w:t>
      </w:r>
    </w:p>
    <w:p w14:paraId="69B2E37F" w14:textId="77777777" w:rsidR="00521DFD" w:rsidRPr="00546C07" w:rsidRDefault="00521DFD" w:rsidP="00521DFD">
      <w:pPr>
        <w:pStyle w:val="ListBullet"/>
        <w:spacing w:line="360" w:lineRule="auto"/>
        <w:jc w:val="both"/>
        <w:rPr>
          <w:rFonts w:ascii="Arial" w:hAnsi="Arial" w:cs="Arial"/>
          <w:sz w:val="20"/>
          <w:szCs w:val="20"/>
        </w:rPr>
      </w:pPr>
      <w:proofErr w:type="spellStart"/>
      <w:r w:rsidRPr="00546C07">
        <w:rPr>
          <w:rFonts w:ascii="Arial" w:hAnsi="Arial" w:cs="Arial"/>
          <w:sz w:val="20"/>
          <w:szCs w:val="20"/>
        </w:rPr>
        <w:lastRenderedPageBreak/>
        <w:t>Pavela</w:t>
      </w:r>
      <w:proofErr w:type="spellEnd"/>
      <w:r w:rsidRPr="00546C07">
        <w:rPr>
          <w:rFonts w:ascii="Arial" w:hAnsi="Arial" w:cs="Arial"/>
          <w:sz w:val="20"/>
          <w:szCs w:val="20"/>
        </w:rPr>
        <w:t xml:space="preserve">, R., </w:t>
      </w:r>
      <w:r w:rsidRPr="00546C07">
        <w:rPr>
          <w:rFonts w:ascii="Arial" w:hAnsi="Arial" w:cs="Arial"/>
          <w:sz w:val="20"/>
          <w:szCs w:val="20"/>
        </w:rPr>
        <w:sym w:font="Symbol" w:char="F026"/>
      </w:r>
      <w:r w:rsidRPr="00546C07">
        <w:rPr>
          <w:rFonts w:ascii="Arial" w:hAnsi="Arial" w:cs="Arial"/>
          <w:sz w:val="20"/>
          <w:szCs w:val="20"/>
        </w:rPr>
        <w:t xml:space="preserve"> Benelli, G. (2016). Essential oils as ecological biopesticides? Challenges and constraints. Trends in Plant Science, 21(12), 1000-1017.</w:t>
      </w:r>
    </w:p>
    <w:p w14:paraId="0ECE6FE8" w14:textId="77777777" w:rsidR="00521DFD" w:rsidRPr="00546C07" w:rsidRDefault="00521DFD" w:rsidP="00521DFD">
      <w:pPr>
        <w:pStyle w:val="ListBullet"/>
        <w:numPr>
          <w:ilvl w:val="0"/>
          <w:numId w:val="0"/>
        </w:numPr>
        <w:tabs>
          <w:tab w:val="num" w:pos="360"/>
        </w:tabs>
        <w:spacing w:after="0" w:line="360" w:lineRule="auto"/>
        <w:ind w:left="360"/>
        <w:jc w:val="both"/>
        <w:rPr>
          <w:rFonts w:ascii="Arial" w:hAnsi="Arial" w:cs="Arial"/>
          <w:sz w:val="20"/>
          <w:szCs w:val="20"/>
        </w:rPr>
      </w:pPr>
      <w:r w:rsidRPr="00546C07">
        <w:rPr>
          <w:rFonts w:ascii="Arial" w:hAnsi="Arial" w:cs="Arial"/>
          <w:sz w:val="20"/>
          <w:szCs w:val="20"/>
        </w:rPr>
        <w:t xml:space="preserve">Popp, J., </w:t>
      </w:r>
      <w:proofErr w:type="spellStart"/>
      <w:r w:rsidRPr="00546C07">
        <w:rPr>
          <w:rFonts w:ascii="Arial" w:hAnsi="Arial" w:cs="Arial"/>
          <w:sz w:val="20"/>
          <w:szCs w:val="20"/>
        </w:rPr>
        <w:t>Pető</w:t>
      </w:r>
      <w:proofErr w:type="spellEnd"/>
      <w:r w:rsidRPr="00546C07">
        <w:rPr>
          <w:rFonts w:ascii="Arial" w:hAnsi="Arial" w:cs="Arial"/>
          <w:sz w:val="20"/>
          <w:szCs w:val="20"/>
        </w:rPr>
        <w:t xml:space="preserve">, K., </w:t>
      </w:r>
      <w:r w:rsidRPr="00546C07">
        <w:rPr>
          <w:rFonts w:ascii="Arial" w:hAnsi="Arial" w:cs="Arial"/>
          <w:sz w:val="20"/>
          <w:szCs w:val="20"/>
        </w:rPr>
        <w:sym w:font="Symbol" w:char="F026"/>
      </w:r>
      <w:r w:rsidRPr="00546C07">
        <w:rPr>
          <w:rFonts w:ascii="Arial" w:hAnsi="Arial" w:cs="Arial"/>
          <w:sz w:val="20"/>
          <w:szCs w:val="20"/>
        </w:rPr>
        <w:t xml:space="preserve"> Nagy, J. (2013). Pesticide productivity and food security: a review. </w:t>
      </w:r>
      <w:proofErr w:type="spellStart"/>
      <w:r w:rsidRPr="00546C07">
        <w:rPr>
          <w:rFonts w:ascii="Arial" w:hAnsi="Arial" w:cs="Arial"/>
          <w:sz w:val="20"/>
          <w:szCs w:val="20"/>
          <w:lang w:val="fr-FR"/>
        </w:rPr>
        <w:t>Agronomy</w:t>
      </w:r>
      <w:proofErr w:type="spellEnd"/>
      <w:r w:rsidRPr="00546C07">
        <w:rPr>
          <w:rFonts w:ascii="Arial" w:hAnsi="Arial" w:cs="Arial"/>
          <w:sz w:val="20"/>
          <w:szCs w:val="20"/>
          <w:lang w:val="fr-FR"/>
        </w:rPr>
        <w:t xml:space="preserve"> for </w:t>
      </w:r>
      <w:proofErr w:type="spellStart"/>
      <w:r w:rsidRPr="00546C07">
        <w:rPr>
          <w:rFonts w:ascii="Arial" w:hAnsi="Arial" w:cs="Arial"/>
          <w:sz w:val="20"/>
          <w:szCs w:val="20"/>
          <w:lang w:val="fr-FR"/>
        </w:rPr>
        <w:t>Sustainable</w:t>
      </w:r>
      <w:proofErr w:type="spellEnd"/>
      <w:r w:rsidRPr="00546C07">
        <w:rPr>
          <w:rFonts w:ascii="Arial" w:hAnsi="Arial" w:cs="Arial"/>
          <w:sz w:val="20"/>
          <w:szCs w:val="20"/>
          <w:lang w:val="fr-FR"/>
        </w:rPr>
        <w:t xml:space="preserve"> </w:t>
      </w:r>
      <w:proofErr w:type="spellStart"/>
      <w:r w:rsidRPr="00546C07">
        <w:rPr>
          <w:rFonts w:ascii="Arial" w:hAnsi="Arial" w:cs="Arial"/>
          <w:sz w:val="20"/>
          <w:szCs w:val="20"/>
          <w:lang w:val="fr-FR"/>
        </w:rPr>
        <w:t>Development</w:t>
      </w:r>
      <w:proofErr w:type="spellEnd"/>
      <w:r w:rsidRPr="00546C07">
        <w:rPr>
          <w:rFonts w:ascii="Arial" w:hAnsi="Arial" w:cs="Arial"/>
          <w:sz w:val="20"/>
          <w:szCs w:val="20"/>
          <w:lang w:val="fr-FR"/>
        </w:rPr>
        <w:t>, 33(1), 243</w:t>
      </w:r>
      <w:r>
        <w:rPr>
          <w:rFonts w:ascii="Arial" w:hAnsi="Arial" w:cs="Arial"/>
          <w:sz w:val="20"/>
          <w:szCs w:val="20"/>
          <w:lang w:val="fr-FR"/>
        </w:rPr>
        <w:t>-</w:t>
      </w:r>
      <w:r w:rsidRPr="00546C07">
        <w:rPr>
          <w:rFonts w:ascii="Arial" w:hAnsi="Arial" w:cs="Arial"/>
          <w:sz w:val="20"/>
          <w:szCs w:val="20"/>
          <w:lang w:val="fr-FR"/>
        </w:rPr>
        <w:t>255.</w:t>
      </w:r>
      <w:hyperlink r:id="rId38" w:history="1">
        <w:r w:rsidRPr="00546C07">
          <w:rPr>
            <w:rStyle w:val="Hyperlink"/>
            <w:rFonts w:ascii="Arial" w:hAnsi="Arial" w:cs="Arial"/>
            <w:sz w:val="20"/>
            <w:szCs w:val="20"/>
          </w:rPr>
          <w:t>https://doi.org/10.1007/s13593-012-0105-x</w:t>
        </w:r>
      </w:hyperlink>
      <w:r w:rsidRPr="00546C07">
        <w:rPr>
          <w:rFonts w:ascii="Arial" w:hAnsi="Arial" w:cs="Arial"/>
          <w:sz w:val="20"/>
          <w:szCs w:val="20"/>
        </w:rPr>
        <w:t xml:space="preserve"> </w:t>
      </w:r>
    </w:p>
    <w:p w14:paraId="20A7D8EC" w14:textId="77777777" w:rsidR="00521DFD" w:rsidRPr="00546C07" w:rsidRDefault="00521DFD" w:rsidP="00521DFD">
      <w:pPr>
        <w:pStyle w:val="ListBullet"/>
        <w:spacing w:line="360" w:lineRule="auto"/>
        <w:jc w:val="both"/>
        <w:rPr>
          <w:rFonts w:ascii="Arial" w:hAnsi="Arial" w:cs="Arial"/>
          <w:sz w:val="20"/>
          <w:szCs w:val="20"/>
          <w:lang w:val="fr-FR"/>
        </w:rPr>
      </w:pPr>
      <w:proofErr w:type="spellStart"/>
      <w:r w:rsidRPr="00546C07">
        <w:rPr>
          <w:rFonts w:ascii="Arial" w:hAnsi="Arial" w:cs="Arial"/>
          <w:sz w:val="20"/>
          <w:szCs w:val="20"/>
        </w:rPr>
        <w:t>Regnault</w:t>
      </w:r>
      <w:proofErr w:type="spellEnd"/>
      <w:r w:rsidRPr="00546C07">
        <w:rPr>
          <w:rFonts w:ascii="Arial" w:hAnsi="Arial" w:cs="Arial"/>
          <w:sz w:val="20"/>
          <w:szCs w:val="20"/>
        </w:rPr>
        <w:t xml:space="preserve">-Roger, C., Vincent, C., </w:t>
      </w:r>
      <w:r w:rsidRPr="00546C07">
        <w:rPr>
          <w:rFonts w:ascii="Arial" w:hAnsi="Arial" w:cs="Arial"/>
          <w:sz w:val="20"/>
          <w:szCs w:val="20"/>
        </w:rPr>
        <w:sym w:font="Symbol" w:char="F026"/>
      </w:r>
      <w:r w:rsidRPr="00546C07">
        <w:rPr>
          <w:rFonts w:ascii="Arial" w:hAnsi="Arial" w:cs="Arial"/>
          <w:sz w:val="20"/>
          <w:szCs w:val="20"/>
        </w:rPr>
        <w:t xml:space="preserve"> </w:t>
      </w:r>
      <w:proofErr w:type="spellStart"/>
      <w:r w:rsidRPr="00546C07">
        <w:rPr>
          <w:rFonts w:ascii="Arial" w:hAnsi="Arial" w:cs="Arial"/>
          <w:sz w:val="20"/>
          <w:szCs w:val="20"/>
        </w:rPr>
        <w:t>Arnason</w:t>
      </w:r>
      <w:proofErr w:type="spellEnd"/>
      <w:r w:rsidRPr="00546C07">
        <w:rPr>
          <w:rFonts w:ascii="Arial" w:hAnsi="Arial" w:cs="Arial"/>
          <w:sz w:val="20"/>
          <w:szCs w:val="20"/>
        </w:rPr>
        <w:t xml:space="preserve">, JT. (2012). Essential oils in insect control: low-risk products in a high-stakes world. </w:t>
      </w:r>
      <w:proofErr w:type="spellStart"/>
      <w:r w:rsidRPr="00546C07">
        <w:rPr>
          <w:rFonts w:ascii="Arial" w:hAnsi="Arial" w:cs="Arial"/>
          <w:sz w:val="20"/>
          <w:szCs w:val="20"/>
          <w:lang w:val="fr-FR"/>
        </w:rPr>
        <w:t>Annual</w:t>
      </w:r>
      <w:proofErr w:type="spellEnd"/>
      <w:r w:rsidRPr="00546C07">
        <w:rPr>
          <w:rFonts w:ascii="Arial" w:hAnsi="Arial" w:cs="Arial"/>
          <w:sz w:val="20"/>
          <w:szCs w:val="20"/>
          <w:lang w:val="fr-FR"/>
        </w:rPr>
        <w:t xml:space="preserve"> </w:t>
      </w:r>
      <w:proofErr w:type="spellStart"/>
      <w:r w:rsidRPr="00546C07">
        <w:rPr>
          <w:rFonts w:ascii="Arial" w:hAnsi="Arial" w:cs="Arial"/>
          <w:sz w:val="20"/>
          <w:szCs w:val="20"/>
          <w:lang w:val="fr-FR"/>
        </w:rPr>
        <w:t>Review</w:t>
      </w:r>
      <w:proofErr w:type="spellEnd"/>
      <w:r w:rsidRPr="00546C07">
        <w:rPr>
          <w:rFonts w:ascii="Arial" w:hAnsi="Arial" w:cs="Arial"/>
          <w:sz w:val="20"/>
          <w:szCs w:val="20"/>
          <w:lang w:val="fr-FR"/>
        </w:rPr>
        <w:t xml:space="preserve"> of </w:t>
      </w:r>
      <w:proofErr w:type="spellStart"/>
      <w:r w:rsidRPr="00546C07">
        <w:rPr>
          <w:rFonts w:ascii="Arial" w:hAnsi="Arial" w:cs="Arial"/>
          <w:sz w:val="20"/>
          <w:szCs w:val="20"/>
          <w:lang w:val="fr-FR"/>
        </w:rPr>
        <w:t>Entomology</w:t>
      </w:r>
      <w:proofErr w:type="spellEnd"/>
      <w:r w:rsidRPr="00546C07">
        <w:rPr>
          <w:rFonts w:ascii="Arial" w:hAnsi="Arial" w:cs="Arial"/>
          <w:sz w:val="20"/>
          <w:szCs w:val="20"/>
          <w:lang w:val="fr-FR"/>
        </w:rPr>
        <w:t>, 57, 405-424.</w:t>
      </w:r>
    </w:p>
    <w:p w14:paraId="62398DB4" w14:textId="77777777" w:rsidR="00521DFD" w:rsidRPr="00546C07" w:rsidRDefault="00521DFD" w:rsidP="00521DFD">
      <w:pPr>
        <w:pStyle w:val="ListBullet"/>
        <w:spacing w:line="360" w:lineRule="auto"/>
        <w:jc w:val="both"/>
        <w:rPr>
          <w:rFonts w:ascii="Arial" w:hAnsi="Arial" w:cs="Arial"/>
          <w:sz w:val="20"/>
          <w:szCs w:val="20"/>
        </w:rPr>
      </w:pPr>
      <w:r w:rsidRPr="00546C07">
        <w:rPr>
          <w:rFonts w:ascii="Arial" w:hAnsi="Arial" w:cs="Arial"/>
          <w:sz w:val="20"/>
          <w:szCs w:val="20"/>
        </w:rPr>
        <w:t xml:space="preserve">Roy, S., Rahman, MM., </w:t>
      </w:r>
      <w:r w:rsidRPr="00546C07">
        <w:rPr>
          <w:rFonts w:ascii="Arial" w:eastAsia="Times New Roman" w:hAnsi="Arial" w:cs="Arial"/>
          <w:sz w:val="20"/>
          <w:szCs w:val="20"/>
          <w:lang w:eastAsia="fr-FR"/>
        </w:rPr>
        <w:t>&amp;</w:t>
      </w:r>
      <w:r w:rsidRPr="00546C07">
        <w:rPr>
          <w:rFonts w:ascii="Arial" w:hAnsi="Arial" w:cs="Arial"/>
          <w:sz w:val="20"/>
          <w:szCs w:val="20"/>
        </w:rPr>
        <w:t xml:space="preserve"> </w:t>
      </w:r>
      <w:proofErr w:type="spellStart"/>
      <w:r w:rsidRPr="00546C07">
        <w:rPr>
          <w:rFonts w:ascii="Arial" w:hAnsi="Arial" w:cs="Arial"/>
          <w:sz w:val="20"/>
          <w:szCs w:val="20"/>
        </w:rPr>
        <w:t>Alam</w:t>
      </w:r>
      <w:proofErr w:type="spellEnd"/>
      <w:r w:rsidRPr="00546C07">
        <w:rPr>
          <w:rFonts w:ascii="Arial" w:hAnsi="Arial" w:cs="Arial"/>
          <w:sz w:val="20"/>
          <w:szCs w:val="20"/>
        </w:rPr>
        <w:t xml:space="preserve">, MN. (2018). </w:t>
      </w:r>
      <w:proofErr w:type="spellStart"/>
      <w:r w:rsidRPr="00546C07">
        <w:rPr>
          <w:rFonts w:ascii="Arial" w:hAnsi="Arial" w:cs="Arial"/>
          <w:sz w:val="20"/>
          <w:szCs w:val="20"/>
        </w:rPr>
        <w:t>Bioefficacy</w:t>
      </w:r>
      <w:proofErr w:type="spellEnd"/>
      <w:r w:rsidRPr="00546C07">
        <w:rPr>
          <w:rFonts w:ascii="Arial" w:hAnsi="Arial" w:cs="Arial"/>
          <w:sz w:val="20"/>
          <w:szCs w:val="20"/>
        </w:rPr>
        <w:t xml:space="preserve"> of plant-based biopesticides against stored product pests. Journal of Entomology and Zoology Studies, 6(2), 203-210.</w:t>
      </w:r>
    </w:p>
    <w:p w14:paraId="54FE2687" w14:textId="77777777" w:rsidR="00521DFD" w:rsidRDefault="00521DFD" w:rsidP="00521DFD">
      <w:pPr>
        <w:pStyle w:val="ListBullet"/>
        <w:spacing w:line="360" w:lineRule="auto"/>
        <w:jc w:val="both"/>
        <w:rPr>
          <w:rFonts w:ascii="Arial" w:eastAsia="Times New Roman" w:hAnsi="Arial" w:cs="Arial"/>
          <w:sz w:val="20"/>
          <w:szCs w:val="20"/>
          <w:lang w:eastAsia="fr-FR"/>
        </w:rPr>
      </w:pPr>
      <w:proofErr w:type="spellStart"/>
      <w:r w:rsidRPr="00981592">
        <w:rPr>
          <w:rFonts w:ascii="Arial" w:eastAsia="Times New Roman" w:hAnsi="Arial" w:cs="Arial"/>
          <w:color w:val="C00000"/>
          <w:sz w:val="20"/>
          <w:szCs w:val="20"/>
          <w:lang w:eastAsia="fr-FR"/>
        </w:rPr>
        <w:t>Seepe</w:t>
      </w:r>
      <w:proofErr w:type="spellEnd"/>
      <w:r w:rsidRPr="00981592">
        <w:rPr>
          <w:rFonts w:ascii="Arial" w:eastAsia="Times New Roman" w:hAnsi="Arial" w:cs="Arial"/>
          <w:color w:val="C00000"/>
          <w:sz w:val="20"/>
          <w:szCs w:val="20"/>
          <w:lang w:eastAsia="fr-FR"/>
        </w:rPr>
        <w:t xml:space="preserve">, H.A., Nxumalo, W., </w:t>
      </w:r>
      <w:r w:rsidRPr="00981592">
        <w:rPr>
          <w:rFonts w:ascii="Arial" w:hAnsi="Arial" w:cs="Arial"/>
          <w:color w:val="C00000"/>
          <w:sz w:val="20"/>
          <w:szCs w:val="20"/>
        </w:rPr>
        <w:sym w:font="Symbol" w:char="F026"/>
      </w:r>
      <w:r>
        <w:rPr>
          <w:rFonts w:ascii="Arial" w:hAnsi="Arial" w:cs="Arial"/>
          <w:sz w:val="20"/>
          <w:szCs w:val="20"/>
        </w:rPr>
        <w:t xml:space="preserve"> </w:t>
      </w:r>
      <w:proofErr w:type="spellStart"/>
      <w:r w:rsidRPr="00981592">
        <w:rPr>
          <w:rFonts w:ascii="Arial" w:eastAsia="Times New Roman" w:hAnsi="Arial" w:cs="Arial"/>
          <w:color w:val="C00000"/>
          <w:sz w:val="20"/>
          <w:szCs w:val="20"/>
          <w:lang w:eastAsia="fr-FR"/>
        </w:rPr>
        <w:t>Amoo</w:t>
      </w:r>
      <w:proofErr w:type="spellEnd"/>
      <w:r w:rsidRPr="00981592">
        <w:rPr>
          <w:rFonts w:ascii="Arial" w:eastAsia="Times New Roman" w:hAnsi="Arial" w:cs="Arial"/>
          <w:color w:val="C00000"/>
          <w:sz w:val="20"/>
          <w:szCs w:val="20"/>
          <w:lang w:eastAsia="fr-FR"/>
        </w:rPr>
        <w:t xml:space="preserve">, S.O. (2021). </w:t>
      </w:r>
      <w:r>
        <w:rPr>
          <w:rFonts w:ascii="Arial" w:eastAsia="Times New Roman" w:hAnsi="Arial" w:cs="Arial"/>
          <w:sz w:val="20"/>
          <w:szCs w:val="20"/>
          <w:lang w:eastAsia="fr-FR"/>
        </w:rPr>
        <w:t xml:space="preserve">Natural products from medicinal plants against phytopathogenic Fusarium species: Current research </w:t>
      </w:r>
      <w:proofErr w:type="spellStart"/>
      <w:r>
        <w:rPr>
          <w:rFonts w:ascii="Arial" w:eastAsia="Times New Roman" w:hAnsi="Arial" w:cs="Arial"/>
          <w:sz w:val="20"/>
          <w:szCs w:val="20"/>
          <w:lang w:eastAsia="fr-FR"/>
        </w:rPr>
        <w:t>endeavours</w:t>
      </w:r>
      <w:proofErr w:type="spellEnd"/>
      <w:r>
        <w:rPr>
          <w:rFonts w:ascii="Arial" w:eastAsia="Times New Roman" w:hAnsi="Arial" w:cs="Arial"/>
          <w:sz w:val="20"/>
          <w:szCs w:val="20"/>
          <w:lang w:eastAsia="fr-FR"/>
        </w:rPr>
        <w:t xml:space="preserve">, challenges and prospects. Molecules, 26, 6539. </w:t>
      </w:r>
      <w:hyperlink r:id="rId39" w:history="1">
        <w:r w:rsidRPr="00891C48">
          <w:rPr>
            <w:rStyle w:val="Hyperlink"/>
            <w:rFonts w:ascii="Arial" w:eastAsia="Times New Roman" w:hAnsi="Arial" w:cs="Arial"/>
            <w:sz w:val="20"/>
            <w:szCs w:val="20"/>
            <w:lang w:eastAsia="fr-FR"/>
          </w:rPr>
          <w:t>https://doi.org/10.3390/molecules26216539</w:t>
        </w:r>
      </w:hyperlink>
      <w:r>
        <w:rPr>
          <w:rFonts w:ascii="Arial" w:eastAsia="Times New Roman" w:hAnsi="Arial" w:cs="Arial"/>
          <w:sz w:val="20"/>
          <w:szCs w:val="20"/>
          <w:lang w:eastAsia="fr-FR"/>
        </w:rPr>
        <w:t xml:space="preserve"> </w:t>
      </w:r>
    </w:p>
    <w:p w14:paraId="3518F7B7" w14:textId="77777777" w:rsidR="00521DFD" w:rsidRPr="00546C07" w:rsidRDefault="00521DFD" w:rsidP="00521DFD">
      <w:pPr>
        <w:pStyle w:val="ListBullet"/>
        <w:spacing w:line="360" w:lineRule="auto"/>
        <w:jc w:val="both"/>
        <w:rPr>
          <w:rFonts w:ascii="Arial" w:hAnsi="Arial" w:cs="Arial"/>
          <w:sz w:val="20"/>
          <w:szCs w:val="20"/>
        </w:rPr>
      </w:pPr>
      <w:r w:rsidRPr="00546C07">
        <w:rPr>
          <w:rFonts w:ascii="Arial" w:hAnsi="Arial" w:cs="Arial"/>
          <w:sz w:val="20"/>
          <w:szCs w:val="20"/>
        </w:rPr>
        <w:t xml:space="preserve">Sharma, P., Gupta, R., </w:t>
      </w:r>
      <w:r w:rsidRPr="00546C07">
        <w:rPr>
          <w:rFonts w:ascii="Arial" w:hAnsi="Arial" w:cs="Arial"/>
          <w:sz w:val="20"/>
          <w:szCs w:val="20"/>
        </w:rPr>
        <w:sym w:font="Symbol" w:char="F026"/>
      </w:r>
      <w:r w:rsidRPr="00546C07">
        <w:rPr>
          <w:rFonts w:ascii="Arial" w:hAnsi="Arial" w:cs="Arial"/>
          <w:sz w:val="20"/>
          <w:szCs w:val="20"/>
        </w:rPr>
        <w:t xml:space="preserve"> Thakur, S. (2022). Antifungal efficacy of plant extracts against </w:t>
      </w:r>
      <w:r w:rsidRPr="00546C07">
        <w:rPr>
          <w:rFonts w:ascii="Arial" w:hAnsi="Arial" w:cs="Arial"/>
          <w:i/>
          <w:sz w:val="20"/>
          <w:szCs w:val="20"/>
        </w:rPr>
        <w:t>Fusarium oxysporum</w:t>
      </w:r>
      <w:r w:rsidRPr="00546C07">
        <w:rPr>
          <w:rFonts w:ascii="Arial" w:hAnsi="Arial" w:cs="Arial"/>
          <w:sz w:val="20"/>
          <w:szCs w:val="20"/>
        </w:rPr>
        <w:t>. Journal of Plant Pathology, 104(2), 497-506.</w:t>
      </w:r>
    </w:p>
    <w:p w14:paraId="19E3E5D3" w14:textId="77777777" w:rsidR="00521DFD" w:rsidRPr="00546C07" w:rsidRDefault="00521DFD" w:rsidP="00521DFD">
      <w:pPr>
        <w:pStyle w:val="ListBullet"/>
        <w:spacing w:line="360" w:lineRule="auto"/>
        <w:jc w:val="both"/>
        <w:rPr>
          <w:rFonts w:ascii="Arial" w:hAnsi="Arial" w:cs="Arial"/>
          <w:sz w:val="20"/>
          <w:szCs w:val="20"/>
        </w:rPr>
      </w:pPr>
      <w:r w:rsidRPr="00521DFD">
        <w:rPr>
          <w:rFonts w:ascii="Arial" w:hAnsi="Arial" w:cs="Arial"/>
          <w:color w:val="C00000"/>
          <w:sz w:val="20"/>
          <w:szCs w:val="20"/>
          <w:lang w:val="fr-FR"/>
        </w:rPr>
        <w:t xml:space="preserve">Silva, V., Hans, G.J., </w:t>
      </w:r>
      <w:proofErr w:type="spellStart"/>
      <w:r w:rsidRPr="00521DFD">
        <w:rPr>
          <w:rFonts w:ascii="Arial" w:hAnsi="Arial" w:cs="Arial"/>
          <w:color w:val="C00000"/>
          <w:sz w:val="20"/>
          <w:szCs w:val="20"/>
          <w:lang w:val="fr-FR"/>
        </w:rPr>
        <w:t>Zomer</w:t>
      </w:r>
      <w:proofErr w:type="spellEnd"/>
      <w:r w:rsidRPr="00521DFD">
        <w:rPr>
          <w:rFonts w:ascii="Arial" w:hAnsi="Arial" w:cs="Arial"/>
          <w:color w:val="C00000"/>
          <w:sz w:val="20"/>
          <w:szCs w:val="20"/>
          <w:lang w:val="fr-FR"/>
        </w:rPr>
        <w:t xml:space="preserve">, P., </w:t>
      </w:r>
      <w:proofErr w:type="spellStart"/>
      <w:r w:rsidRPr="00521DFD">
        <w:rPr>
          <w:rFonts w:ascii="Arial" w:hAnsi="Arial" w:cs="Arial"/>
          <w:color w:val="C00000"/>
          <w:sz w:val="20"/>
          <w:szCs w:val="20"/>
          <w:lang w:val="fr-FR"/>
        </w:rPr>
        <w:t>Tienstra</w:t>
      </w:r>
      <w:proofErr w:type="spellEnd"/>
      <w:r w:rsidRPr="00521DFD">
        <w:rPr>
          <w:rFonts w:ascii="Arial" w:hAnsi="Arial" w:cs="Arial"/>
          <w:color w:val="C00000"/>
          <w:sz w:val="20"/>
          <w:szCs w:val="20"/>
          <w:lang w:val="fr-FR"/>
        </w:rPr>
        <w:t xml:space="preserve">, M., </w:t>
      </w:r>
      <w:proofErr w:type="spellStart"/>
      <w:r w:rsidRPr="00521DFD">
        <w:rPr>
          <w:rFonts w:ascii="Arial" w:hAnsi="Arial" w:cs="Arial"/>
          <w:color w:val="C00000"/>
          <w:sz w:val="20"/>
          <w:szCs w:val="20"/>
          <w:lang w:val="fr-FR"/>
        </w:rPr>
        <w:t>Ritsema</w:t>
      </w:r>
      <w:proofErr w:type="spellEnd"/>
      <w:r w:rsidRPr="00521DFD">
        <w:rPr>
          <w:rFonts w:ascii="Arial" w:hAnsi="Arial" w:cs="Arial"/>
          <w:color w:val="C00000"/>
          <w:sz w:val="20"/>
          <w:szCs w:val="20"/>
          <w:lang w:val="fr-FR"/>
        </w:rPr>
        <w:t xml:space="preserve">, </w:t>
      </w:r>
      <w:proofErr w:type="spellStart"/>
      <w:r w:rsidRPr="00521DFD">
        <w:rPr>
          <w:rFonts w:ascii="Arial" w:hAnsi="Arial" w:cs="Arial"/>
          <w:color w:val="C00000"/>
          <w:sz w:val="20"/>
          <w:szCs w:val="20"/>
          <w:lang w:val="fr-FR"/>
        </w:rPr>
        <w:t>C.j</w:t>
      </w:r>
      <w:proofErr w:type="spellEnd"/>
      <w:r w:rsidRPr="00521DFD">
        <w:rPr>
          <w:rFonts w:ascii="Arial" w:hAnsi="Arial" w:cs="Arial"/>
          <w:color w:val="C00000"/>
          <w:sz w:val="20"/>
          <w:szCs w:val="20"/>
          <w:lang w:val="fr-FR"/>
        </w:rPr>
        <w:t xml:space="preserve">., &amp; </w:t>
      </w:r>
      <w:proofErr w:type="spellStart"/>
      <w:r w:rsidRPr="00521DFD">
        <w:rPr>
          <w:rFonts w:ascii="Arial" w:hAnsi="Arial" w:cs="Arial"/>
          <w:color w:val="C00000"/>
          <w:sz w:val="20"/>
          <w:szCs w:val="20"/>
          <w:lang w:val="fr-FR"/>
        </w:rPr>
        <w:t>Geissen</w:t>
      </w:r>
      <w:proofErr w:type="spellEnd"/>
      <w:r w:rsidRPr="00521DFD">
        <w:rPr>
          <w:rFonts w:ascii="Arial" w:hAnsi="Arial" w:cs="Arial"/>
          <w:color w:val="C00000"/>
          <w:sz w:val="20"/>
          <w:szCs w:val="20"/>
          <w:lang w:val="fr-FR"/>
        </w:rPr>
        <w:t>, V. (2019)</w:t>
      </w:r>
      <w:r w:rsidRPr="00546C07">
        <w:rPr>
          <w:rFonts w:ascii="Arial" w:hAnsi="Arial" w:cs="Arial"/>
          <w:sz w:val="20"/>
          <w:szCs w:val="20"/>
          <w:lang w:val="fr-FR"/>
        </w:rPr>
        <w:t xml:space="preserve">. </w:t>
      </w:r>
      <w:r w:rsidRPr="00546C07">
        <w:rPr>
          <w:rFonts w:ascii="Arial" w:hAnsi="Arial" w:cs="Arial"/>
          <w:sz w:val="20"/>
          <w:szCs w:val="20"/>
        </w:rPr>
        <w:t xml:space="preserve">Pesticide residues in European agricultural soils- A hidden reality unfolded. Science of the Total Environment, 653, 1532-1545. </w:t>
      </w:r>
      <w:hyperlink r:id="rId40" w:history="1">
        <w:r w:rsidRPr="00546C07">
          <w:rPr>
            <w:rStyle w:val="Hyperlink"/>
            <w:rFonts w:ascii="Arial" w:hAnsi="Arial" w:cs="Arial"/>
            <w:sz w:val="20"/>
            <w:szCs w:val="20"/>
          </w:rPr>
          <w:t>https://doi.org/10.1016/j.scitotenv.2018.10.441</w:t>
        </w:r>
      </w:hyperlink>
      <w:r w:rsidRPr="00546C07">
        <w:rPr>
          <w:rFonts w:ascii="Arial" w:hAnsi="Arial" w:cs="Arial"/>
          <w:sz w:val="20"/>
          <w:szCs w:val="20"/>
        </w:rPr>
        <w:t xml:space="preserve"> </w:t>
      </w:r>
    </w:p>
    <w:p w14:paraId="56F487EC" w14:textId="77777777" w:rsidR="00521DFD" w:rsidRPr="00546C07" w:rsidRDefault="00521DFD" w:rsidP="00521DFD">
      <w:pPr>
        <w:pStyle w:val="ListBullet"/>
        <w:spacing w:line="360" w:lineRule="auto"/>
        <w:jc w:val="both"/>
        <w:rPr>
          <w:rFonts w:ascii="Arial" w:hAnsi="Arial" w:cs="Arial"/>
          <w:sz w:val="20"/>
          <w:szCs w:val="20"/>
        </w:rPr>
      </w:pPr>
      <w:r w:rsidRPr="00546C07">
        <w:rPr>
          <w:rFonts w:ascii="Arial" w:hAnsi="Arial" w:cs="Arial"/>
          <w:sz w:val="20"/>
          <w:szCs w:val="20"/>
          <w:lang w:val="fr-FR"/>
        </w:rPr>
        <w:t xml:space="preserve">Simo, C., </w:t>
      </w:r>
      <w:proofErr w:type="spellStart"/>
      <w:r w:rsidRPr="00546C07">
        <w:rPr>
          <w:rFonts w:ascii="Arial" w:hAnsi="Arial" w:cs="Arial"/>
          <w:sz w:val="20"/>
          <w:szCs w:val="20"/>
          <w:lang w:val="fr-FR"/>
        </w:rPr>
        <w:t>Djocgoue</w:t>
      </w:r>
      <w:proofErr w:type="spellEnd"/>
      <w:r w:rsidRPr="00546C07">
        <w:rPr>
          <w:rFonts w:ascii="Arial" w:hAnsi="Arial" w:cs="Arial"/>
          <w:sz w:val="20"/>
          <w:szCs w:val="20"/>
          <w:lang w:val="fr-FR"/>
        </w:rPr>
        <w:t xml:space="preserve">, P., </w:t>
      </w:r>
      <w:proofErr w:type="spellStart"/>
      <w:r w:rsidRPr="00546C07">
        <w:rPr>
          <w:rFonts w:ascii="Arial" w:hAnsi="Arial" w:cs="Arial"/>
          <w:sz w:val="20"/>
          <w:szCs w:val="20"/>
          <w:lang w:val="fr-FR"/>
        </w:rPr>
        <w:t>Mbuouba</w:t>
      </w:r>
      <w:proofErr w:type="spellEnd"/>
      <w:r w:rsidRPr="00546C07">
        <w:rPr>
          <w:rFonts w:ascii="Arial" w:hAnsi="Arial" w:cs="Arial"/>
          <w:sz w:val="20"/>
          <w:szCs w:val="20"/>
          <w:lang w:val="fr-FR"/>
        </w:rPr>
        <w:t xml:space="preserve">, H., Effa, P., </w:t>
      </w:r>
      <w:proofErr w:type="spellStart"/>
      <w:r w:rsidRPr="00546C07">
        <w:rPr>
          <w:rFonts w:ascii="Arial" w:hAnsi="Arial" w:cs="Arial"/>
          <w:sz w:val="20"/>
          <w:szCs w:val="20"/>
          <w:lang w:val="fr-FR"/>
        </w:rPr>
        <w:t>Boudjeko</w:t>
      </w:r>
      <w:proofErr w:type="spellEnd"/>
      <w:r w:rsidRPr="00546C07">
        <w:rPr>
          <w:rFonts w:ascii="Arial" w:hAnsi="Arial" w:cs="Arial"/>
          <w:sz w:val="20"/>
          <w:szCs w:val="20"/>
          <w:lang w:val="fr-FR"/>
        </w:rPr>
        <w:t xml:space="preserve">, T., </w:t>
      </w:r>
      <w:proofErr w:type="spellStart"/>
      <w:r w:rsidRPr="00546C07">
        <w:rPr>
          <w:rFonts w:ascii="Arial" w:hAnsi="Arial" w:cs="Arial"/>
          <w:sz w:val="20"/>
          <w:szCs w:val="20"/>
          <w:lang w:val="fr-FR"/>
        </w:rPr>
        <w:t>Ndiang</w:t>
      </w:r>
      <w:proofErr w:type="spellEnd"/>
      <w:r w:rsidRPr="00546C07">
        <w:rPr>
          <w:rFonts w:ascii="Arial" w:hAnsi="Arial" w:cs="Arial"/>
          <w:sz w:val="20"/>
          <w:szCs w:val="20"/>
          <w:lang w:val="fr-FR"/>
        </w:rPr>
        <w:t xml:space="preserve">, Z., et al. </w:t>
      </w:r>
      <w:r w:rsidRPr="00546C07">
        <w:rPr>
          <w:rFonts w:ascii="Arial" w:hAnsi="Arial" w:cs="Arial"/>
          <w:sz w:val="20"/>
          <w:szCs w:val="20"/>
        </w:rPr>
        <w:t xml:space="preserve">(2014). Evaluation of the relationships between phenolic compounds and resistance to </w:t>
      </w:r>
      <w:r w:rsidRPr="00546C07">
        <w:rPr>
          <w:rFonts w:ascii="Arial" w:hAnsi="Arial" w:cs="Arial"/>
          <w:i/>
          <w:sz w:val="20"/>
          <w:szCs w:val="20"/>
        </w:rPr>
        <w:t>Phytophthora megakarya</w:t>
      </w:r>
      <w:r w:rsidRPr="00546C07">
        <w:rPr>
          <w:rFonts w:ascii="Arial" w:hAnsi="Arial" w:cs="Arial"/>
          <w:sz w:val="20"/>
          <w:szCs w:val="20"/>
        </w:rPr>
        <w:t xml:space="preserve"> in two families of cacao trees (</w:t>
      </w:r>
      <w:r w:rsidRPr="00546C07">
        <w:rPr>
          <w:rFonts w:ascii="Arial" w:hAnsi="Arial" w:cs="Arial"/>
          <w:i/>
          <w:sz w:val="20"/>
          <w:szCs w:val="20"/>
        </w:rPr>
        <w:t>Theobroma cacao</w:t>
      </w:r>
      <w:r w:rsidRPr="00546C07">
        <w:rPr>
          <w:rFonts w:ascii="Arial" w:hAnsi="Arial" w:cs="Arial"/>
          <w:sz w:val="20"/>
          <w:szCs w:val="20"/>
        </w:rPr>
        <w:t xml:space="preserve">). </w:t>
      </w:r>
      <w:r w:rsidRPr="00EB204D">
        <w:rPr>
          <w:rFonts w:ascii="Arial" w:hAnsi="Arial" w:cs="Arial"/>
          <w:sz w:val="20"/>
          <w:szCs w:val="20"/>
        </w:rPr>
        <w:t>African Journal of Biotechnology, 13, 2956 -2965.</w:t>
      </w:r>
    </w:p>
    <w:p w14:paraId="7E0F5261" w14:textId="77777777" w:rsidR="00521DFD" w:rsidRPr="00546C07" w:rsidRDefault="00521DFD" w:rsidP="00521DFD">
      <w:pPr>
        <w:pStyle w:val="ListBullet"/>
        <w:spacing w:line="360" w:lineRule="auto"/>
        <w:jc w:val="both"/>
        <w:rPr>
          <w:rFonts w:ascii="Arial" w:hAnsi="Arial" w:cs="Arial"/>
          <w:sz w:val="20"/>
          <w:szCs w:val="20"/>
        </w:rPr>
      </w:pPr>
      <w:r w:rsidRPr="00546C07">
        <w:rPr>
          <w:rFonts w:ascii="Arial" w:hAnsi="Arial" w:cs="Arial"/>
          <w:sz w:val="20"/>
          <w:szCs w:val="20"/>
        </w:rPr>
        <w:t xml:space="preserve">Singh, HB., </w:t>
      </w:r>
      <w:proofErr w:type="spellStart"/>
      <w:r w:rsidRPr="00546C07">
        <w:rPr>
          <w:rFonts w:ascii="Arial" w:hAnsi="Arial" w:cs="Arial"/>
          <w:sz w:val="20"/>
          <w:szCs w:val="20"/>
        </w:rPr>
        <w:t>Sarma</w:t>
      </w:r>
      <w:proofErr w:type="spellEnd"/>
      <w:r w:rsidRPr="00546C07">
        <w:rPr>
          <w:rFonts w:ascii="Arial" w:hAnsi="Arial" w:cs="Arial"/>
          <w:sz w:val="20"/>
          <w:szCs w:val="20"/>
        </w:rPr>
        <w:t xml:space="preserve">, BK., </w:t>
      </w:r>
      <w:proofErr w:type="spellStart"/>
      <w:r w:rsidRPr="00546C07">
        <w:rPr>
          <w:rFonts w:ascii="Arial" w:hAnsi="Arial" w:cs="Arial"/>
          <w:sz w:val="20"/>
          <w:szCs w:val="20"/>
        </w:rPr>
        <w:t>Keswani</w:t>
      </w:r>
      <w:proofErr w:type="spellEnd"/>
      <w:r w:rsidRPr="00546C07">
        <w:rPr>
          <w:rFonts w:ascii="Arial" w:hAnsi="Arial" w:cs="Arial"/>
          <w:sz w:val="20"/>
          <w:szCs w:val="20"/>
        </w:rPr>
        <w:t xml:space="preserve">, C., </w:t>
      </w:r>
      <w:r w:rsidRPr="00546C07">
        <w:rPr>
          <w:rFonts w:ascii="Arial" w:hAnsi="Arial" w:cs="Arial"/>
          <w:sz w:val="20"/>
          <w:szCs w:val="20"/>
        </w:rPr>
        <w:sym w:font="Symbol" w:char="F026"/>
      </w:r>
      <w:r w:rsidRPr="00546C07">
        <w:rPr>
          <w:rFonts w:ascii="Arial" w:hAnsi="Arial" w:cs="Arial"/>
          <w:sz w:val="20"/>
          <w:szCs w:val="20"/>
        </w:rPr>
        <w:t xml:space="preserve"> Singh, SP. (2020). Biological control agents and biopesticides in agriculture, (Eds). Springer</w:t>
      </w:r>
      <w:r>
        <w:rPr>
          <w:rFonts w:ascii="Arial" w:hAnsi="Arial" w:cs="Arial"/>
          <w:sz w:val="20"/>
          <w:szCs w:val="20"/>
        </w:rPr>
        <w:t>,</w:t>
      </w:r>
      <w:r w:rsidRPr="00546C07">
        <w:rPr>
          <w:rFonts w:ascii="Arial" w:hAnsi="Arial" w:cs="Arial"/>
          <w:sz w:val="20"/>
          <w:szCs w:val="20"/>
        </w:rPr>
        <w:t xml:space="preserve"> 1-31</w:t>
      </w:r>
      <w:r>
        <w:rPr>
          <w:rFonts w:ascii="Arial" w:hAnsi="Arial" w:cs="Arial"/>
          <w:sz w:val="20"/>
          <w:szCs w:val="20"/>
        </w:rPr>
        <w:t>.</w:t>
      </w:r>
    </w:p>
    <w:p w14:paraId="2CD857CA" w14:textId="77777777" w:rsidR="00521DFD" w:rsidRPr="00546C07" w:rsidRDefault="00521DFD" w:rsidP="00521DFD">
      <w:pPr>
        <w:pStyle w:val="ListBullet"/>
        <w:spacing w:line="360" w:lineRule="auto"/>
        <w:jc w:val="both"/>
        <w:rPr>
          <w:rFonts w:ascii="Arial" w:hAnsi="Arial" w:cs="Arial"/>
          <w:sz w:val="20"/>
          <w:szCs w:val="20"/>
        </w:rPr>
      </w:pPr>
      <w:proofErr w:type="spellStart"/>
      <w:r w:rsidRPr="00546C07">
        <w:rPr>
          <w:rFonts w:ascii="Arial" w:hAnsi="Arial" w:cs="Arial"/>
          <w:bCs/>
          <w:sz w:val="20"/>
          <w:szCs w:val="20"/>
          <w:lang w:val="fr-FR"/>
        </w:rPr>
        <w:t>Tatsinkouet</w:t>
      </w:r>
      <w:proofErr w:type="spellEnd"/>
      <w:r w:rsidRPr="00546C07">
        <w:rPr>
          <w:rFonts w:ascii="Arial" w:hAnsi="Arial" w:cs="Arial"/>
          <w:bCs/>
          <w:sz w:val="20"/>
          <w:szCs w:val="20"/>
          <w:lang w:val="fr-FR"/>
        </w:rPr>
        <w:t xml:space="preserve">, B., </w:t>
      </w:r>
      <w:proofErr w:type="spellStart"/>
      <w:r w:rsidRPr="00546C07">
        <w:rPr>
          <w:rFonts w:ascii="Arial" w:hAnsi="Arial" w:cs="Arial"/>
          <w:bCs/>
          <w:sz w:val="20"/>
          <w:szCs w:val="20"/>
          <w:lang w:val="fr-FR"/>
        </w:rPr>
        <w:t>Taveai</w:t>
      </w:r>
      <w:proofErr w:type="spellEnd"/>
      <w:r w:rsidRPr="00546C07">
        <w:rPr>
          <w:rFonts w:ascii="Arial" w:hAnsi="Arial" w:cs="Arial"/>
          <w:bCs/>
          <w:sz w:val="20"/>
          <w:szCs w:val="20"/>
          <w:lang w:val="fr-FR"/>
        </w:rPr>
        <w:t xml:space="preserve">, F., </w:t>
      </w:r>
      <w:r w:rsidRPr="00546C07">
        <w:rPr>
          <w:rFonts w:ascii="Arial" w:hAnsi="Arial" w:cs="Arial"/>
          <w:sz w:val="20"/>
          <w:szCs w:val="20"/>
        </w:rPr>
        <w:sym w:font="Symbol" w:char="F026"/>
      </w:r>
      <w:r w:rsidRPr="00546C07">
        <w:rPr>
          <w:rFonts w:ascii="Arial" w:hAnsi="Arial" w:cs="Arial"/>
          <w:sz w:val="20"/>
          <w:szCs w:val="20"/>
          <w:lang w:val="fr-FR"/>
        </w:rPr>
        <w:t xml:space="preserve"> </w:t>
      </w:r>
      <w:proofErr w:type="spellStart"/>
      <w:r w:rsidRPr="00546C07">
        <w:rPr>
          <w:rFonts w:ascii="Arial" w:hAnsi="Arial" w:cs="Arial"/>
          <w:bCs/>
          <w:sz w:val="20"/>
          <w:szCs w:val="20"/>
          <w:lang w:val="fr-FR"/>
        </w:rPr>
        <w:t>Ndjouenkeui</w:t>
      </w:r>
      <w:proofErr w:type="spellEnd"/>
      <w:r w:rsidRPr="00546C07">
        <w:rPr>
          <w:rFonts w:ascii="Arial" w:hAnsi="Arial" w:cs="Arial"/>
          <w:bCs/>
          <w:sz w:val="20"/>
          <w:szCs w:val="20"/>
          <w:lang w:val="fr-FR"/>
        </w:rPr>
        <w:t xml:space="preserve">, R. (2005). </w:t>
      </w:r>
      <w:r w:rsidRPr="00546C07">
        <w:rPr>
          <w:rFonts w:ascii="Arial" w:hAnsi="Arial" w:cs="Arial"/>
          <w:sz w:val="20"/>
          <w:szCs w:val="20"/>
        </w:rPr>
        <w:t>Production and partial characterization of a thermostable amylase from an ascomycete yeast strain isolated from starchy soils. African Journal of biotechnology, 4(1), 14 -18.</w:t>
      </w:r>
    </w:p>
    <w:p w14:paraId="02ACA04D" w14:textId="77777777" w:rsidR="00521DFD" w:rsidRPr="00546C07" w:rsidRDefault="00521DFD" w:rsidP="00521DFD">
      <w:pPr>
        <w:pStyle w:val="ListBullet"/>
        <w:spacing w:line="360" w:lineRule="auto"/>
        <w:jc w:val="both"/>
        <w:rPr>
          <w:rFonts w:ascii="Arial" w:hAnsi="Arial" w:cs="Arial"/>
          <w:sz w:val="20"/>
          <w:szCs w:val="20"/>
        </w:rPr>
      </w:pPr>
      <w:r w:rsidRPr="00521DFD">
        <w:rPr>
          <w:rFonts w:ascii="Arial" w:hAnsi="Arial" w:cs="Arial"/>
          <w:color w:val="C00000"/>
          <w:sz w:val="20"/>
          <w:szCs w:val="20"/>
        </w:rPr>
        <w:t xml:space="preserve">Tian, H., Pan, N., Thompson, R.L., </w:t>
      </w:r>
      <w:proofErr w:type="spellStart"/>
      <w:r w:rsidRPr="00521DFD">
        <w:rPr>
          <w:rFonts w:ascii="Arial" w:hAnsi="Arial" w:cs="Arial"/>
          <w:color w:val="C00000"/>
          <w:sz w:val="20"/>
          <w:szCs w:val="20"/>
        </w:rPr>
        <w:t>Canadell</w:t>
      </w:r>
      <w:proofErr w:type="spellEnd"/>
      <w:r w:rsidRPr="00521DFD">
        <w:rPr>
          <w:rFonts w:ascii="Arial" w:hAnsi="Arial" w:cs="Arial"/>
          <w:color w:val="C00000"/>
          <w:sz w:val="20"/>
          <w:szCs w:val="20"/>
        </w:rPr>
        <w:t xml:space="preserve">, J.G., </w:t>
      </w:r>
      <w:proofErr w:type="spellStart"/>
      <w:r w:rsidRPr="00521DFD">
        <w:rPr>
          <w:rFonts w:ascii="Arial" w:hAnsi="Arial" w:cs="Arial"/>
          <w:color w:val="C00000"/>
          <w:sz w:val="20"/>
          <w:szCs w:val="20"/>
        </w:rPr>
        <w:t>Suntharalingam</w:t>
      </w:r>
      <w:proofErr w:type="spellEnd"/>
      <w:r w:rsidRPr="00521DFD">
        <w:rPr>
          <w:rFonts w:ascii="Arial" w:hAnsi="Arial" w:cs="Arial"/>
          <w:color w:val="C00000"/>
          <w:sz w:val="20"/>
          <w:szCs w:val="20"/>
        </w:rPr>
        <w:t>, P., et al. (2024)</w:t>
      </w:r>
      <w:r w:rsidRPr="00546C07">
        <w:rPr>
          <w:rFonts w:ascii="Arial" w:hAnsi="Arial" w:cs="Arial"/>
          <w:sz w:val="20"/>
          <w:szCs w:val="20"/>
        </w:rPr>
        <w:t>. Global nitrous oxide budget (1980-2020). Earth System Science Data, 16(6), 2543-2604.</w:t>
      </w:r>
    </w:p>
    <w:p w14:paraId="338E5B20" w14:textId="77777777" w:rsidR="00521DFD" w:rsidRPr="00546C07" w:rsidRDefault="00521DFD" w:rsidP="00521DFD">
      <w:pPr>
        <w:pStyle w:val="ListBullet"/>
        <w:spacing w:line="360" w:lineRule="auto"/>
        <w:jc w:val="both"/>
        <w:rPr>
          <w:rFonts w:ascii="Arial" w:hAnsi="Arial" w:cs="Arial"/>
          <w:sz w:val="20"/>
          <w:szCs w:val="20"/>
        </w:rPr>
      </w:pPr>
      <w:proofErr w:type="spellStart"/>
      <w:r w:rsidRPr="00546C07">
        <w:rPr>
          <w:rFonts w:ascii="Arial" w:hAnsi="Arial" w:cs="Arial"/>
          <w:bCs/>
          <w:sz w:val="20"/>
          <w:szCs w:val="20"/>
        </w:rPr>
        <w:t>Tsirinirindravo</w:t>
      </w:r>
      <w:proofErr w:type="spellEnd"/>
      <w:r w:rsidRPr="00546C07">
        <w:rPr>
          <w:rFonts w:ascii="Arial" w:hAnsi="Arial" w:cs="Arial"/>
          <w:bCs/>
          <w:sz w:val="20"/>
          <w:szCs w:val="20"/>
        </w:rPr>
        <w:t xml:space="preserve">, L.H., </w:t>
      </w:r>
      <w:r w:rsidRPr="00546C07">
        <w:rPr>
          <w:rFonts w:ascii="Arial" w:hAnsi="Arial" w:cs="Arial"/>
          <w:sz w:val="20"/>
          <w:szCs w:val="20"/>
        </w:rPr>
        <w:sym w:font="Symbol" w:char="F026"/>
      </w:r>
      <w:r w:rsidRPr="00546C07">
        <w:rPr>
          <w:rFonts w:ascii="Arial" w:hAnsi="Arial" w:cs="Arial"/>
          <w:bCs/>
          <w:sz w:val="20"/>
          <w:szCs w:val="20"/>
        </w:rPr>
        <w:t xml:space="preserve"> </w:t>
      </w:r>
      <w:proofErr w:type="spellStart"/>
      <w:r w:rsidRPr="00546C07">
        <w:rPr>
          <w:rFonts w:ascii="Arial" w:hAnsi="Arial" w:cs="Arial"/>
          <w:bCs/>
          <w:sz w:val="20"/>
          <w:szCs w:val="20"/>
        </w:rPr>
        <w:t>Andrianarisoa</w:t>
      </w:r>
      <w:proofErr w:type="spellEnd"/>
      <w:r w:rsidRPr="00546C07">
        <w:rPr>
          <w:rFonts w:ascii="Arial" w:hAnsi="Arial" w:cs="Arial"/>
          <w:bCs/>
          <w:sz w:val="20"/>
          <w:szCs w:val="20"/>
        </w:rPr>
        <w:t>, B. (2009).</w:t>
      </w:r>
      <w:r w:rsidRPr="00546C07">
        <w:rPr>
          <w:rFonts w:ascii="Arial" w:hAnsi="Arial" w:cs="Arial"/>
          <w:sz w:val="20"/>
          <w:szCs w:val="20"/>
        </w:rPr>
        <w:t xml:space="preserve">Antibacterial activities of the leaf extract of </w:t>
      </w:r>
      <w:proofErr w:type="spellStart"/>
      <w:r w:rsidRPr="00546C07">
        <w:rPr>
          <w:rFonts w:ascii="Arial" w:hAnsi="Arial" w:cs="Arial"/>
          <w:i/>
          <w:sz w:val="20"/>
          <w:szCs w:val="20"/>
        </w:rPr>
        <w:t>Dalechampia</w:t>
      </w:r>
      <w:proofErr w:type="spellEnd"/>
      <w:r w:rsidRPr="00546C07">
        <w:rPr>
          <w:rFonts w:ascii="Arial" w:hAnsi="Arial" w:cs="Arial"/>
          <w:i/>
          <w:sz w:val="20"/>
          <w:szCs w:val="20"/>
        </w:rPr>
        <w:t xml:space="preserve"> </w:t>
      </w:r>
      <w:proofErr w:type="spellStart"/>
      <w:r w:rsidRPr="00546C07">
        <w:rPr>
          <w:rFonts w:ascii="Arial" w:hAnsi="Arial" w:cs="Arial"/>
          <w:i/>
          <w:sz w:val="20"/>
          <w:szCs w:val="20"/>
        </w:rPr>
        <w:t>clematidifolia</w:t>
      </w:r>
      <w:proofErr w:type="spellEnd"/>
      <w:r w:rsidRPr="00546C07">
        <w:rPr>
          <w:rFonts w:ascii="Arial" w:hAnsi="Arial" w:cs="Arial"/>
          <w:sz w:val="20"/>
          <w:szCs w:val="20"/>
        </w:rPr>
        <w:t xml:space="preserve"> (</w:t>
      </w:r>
      <w:proofErr w:type="spellStart"/>
      <w:r w:rsidRPr="00546C07">
        <w:rPr>
          <w:rFonts w:ascii="Arial" w:hAnsi="Arial" w:cs="Arial"/>
          <w:sz w:val="20"/>
          <w:szCs w:val="20"/>
        </w:rPr>
        <w:t>Euphorbiaceae</w:t>
      </w:r>
      <w:proofErr w:type="spellEnd"/>
      <w:r w:rsidRPr="00546C07">
        <w:rPr>
          <w:rFonts w:ascii="Arial" w:hAnsi="Arial" w:cs="Arial"/>
          <w:sz w:val="20"/>
          <w:szCs w:val="20"/>
        </w:rPr>
        <w:t xml:space="preserve">). International Journal of Biological and Chemical Science, 3(5),1198 -1202. </w:t>
      </w:r>
      <w:hyperlink r:id="rId41" w:history="1">
        <w:r w:rsidRPr="00546C07">
          <w:rPr>
            <w:rStyle w:val="Hyperlink"/>
            <w:rFonts w:ascii="Arial" w:hAnsi="Arial" w:cs="Arial"/>
            <w:sz w:val="20"/>
            <w:szCs w:val="20"/>
          </w:rPr>
          <w:t>http://dx.doi.org/10.4314/ijbcs.v3i5.5109</w:t>
        </w:r>
      </w:hyperlink>
      <w:r w:rsidRPr="00546C07">
        <w:rPr>
          <w:rFonts w:ascii="Arial" w:hAnsi="Arial" w:cs="Arial"/>
          <w:sz w:val="20"/>
          <w:szCs w:val="20"/>
        </w:rPr>
        <w:t>.</w:t>
      </w:r>
    </w:p>
    <w:p w14:paraId="774ABA75" w14:textId="77777777" w:rsidR="00521DFD" w:rsidRPr="00546C07" w:rsidRDefault="00521DFD" w:rsidP="00521DFD">
      <w:pPr>
        <w:pStyle w:val="ListBullet"/>
        <w:spacing w:line="360" w:lineRule="auto"/>
        <w:jc w:val="both"/>
        <w:rPr>
          <w:rFonts w:ascii="Arial" w:hAnsi="Arial" w:cs="Arial"/>
          <w:sz w:val="20"/>
          <w:szCs w:val="20"/>
        </w:rPr>
      </w:pPr>
      <w:proofErr w:type="spellStart"/>
      <w:r w:rsidRPr="00546C07">
        <w:rPr>
          <w:rFonts w:ascii="Arial" w:hAnsi="Arial" w:cs="Arial"/>
          <w:sz w:val="20"/>
          <w:szCs w:val="20"/>
          <w:lang w:val="fr-FR"/>
        </w:rPr>
        <w:t>Vinale</w:t>
      </w:r>
      <w:proofErr w:type="spellEnd"/>
      <w:r w:rsidRPr="00546C07">
        <w:rPr>
          <w:rFonts w:ascii="Arial" w:hAnsi="Arial" w:cs="Arial"/>
          <w:sz w:val="20"/>
          <w:szCs w:val="20"/>
          <w:lang w:val="fr-FR"/>
        </w:rPr>
        <w:t xml:space="preserve">, F., </w:t>
      </w:r>
      <w:proofErr w:type="spellStart"/>
      <w:r w:rsidRPr="00546C07">
        <w:rPr>
          <w:rFonts w:ascii="Arial" w:hAnsi="Arial" w:cs="Arial"/>
          <w:sz w:val="20"/>
          <w:szCs w:val="20"/>
          <w:lang w:val="fr-FR"/>
        </w:rPr>
        <w:t>Sivasithamparam</w:t>
      </w:r>
      <w:proofErr w:type="spellEnd"/>
      <w:r w:rsidRPr="00546C07">
        <w:rPr>
          <w:rFonts w:ascii="Arial" w:hAnsi="Arial" w:cs="Arial"/>
          <w:sz w:val="20"/>
          <w:szCs w:val="20"/>
          <w:lang w:val="fr-FR"/>
        </w:rPr>
        <w:t xml:space="preserve">, K., </w:t>
      </w:r>
      <w:proofErr w:type="spellStart"/>
      <w:r w:rsidRPr="00546C07">
        <w:rPr>
          <w:rFonts w:ascii="Arial" w:hAnsi="Arial" w:cs="Arial"/>
          <w:sz w:val="20"/>
          <w:szCs w:val="20"/>
          <w:lang w:val="fr-FR"/>
        </w:rPr>
        <w:t>Ghisalberti</w:t>
      </w:r>
      <w:proofErr w:type="spellEnd"/>
      <w:r w:rsidRPr="00546C07">
        <w:rPr>
          <w:rFonts w:ascii="Arial" w:hAnsi="Arial" w:cs="Arial"/>
          <w:sz w:val="20"/>
          <w:szCs w:val="20"/>
          <w:lang w:val="fr-FR"/>
        </w:rPr>
        <w:t xml:space="preserve">, EL, Marra, R., Woo, SL., et al. </w:t>
      </w:r>
      <w:r w:rsidRPr="00546C07">
        <w:rPr>
          <w:rFonts w:ascii="Arial" w:hAnsi="Arial" w:cs="Arial"/>
          <w:sz w:val="20"/>
          <w:szCs w:val="20"/>
        </w:rPr>
        <w:t>(2008). Secondary metabolites of Trichoderma spp. F</w:t>
      </w:r>
      <w:r>
        <w:rPr>
          <w:rFonts w:ascii="Arial" w:hAnsi="Arial" w:cs="Arial"/>
          <w:sz w:val="20"/>
          <w:szCs w:val="20"/>
        </w:rPr>
        <w:t>ungal Biology Reviews, 22(2), 1-</w:t>
      </w:r>
      <w:r w:rsidRPr="00546C07">
        <w:rPr>
          <w:rFonts w:ascii="Arial" w:hAnsi="Arial" w:cs="Arial"/>
          <w:sz w:val="20"/>
          <w:szCs w:val="20"/>
        </w:rPr>
        <w:t>17.</w:t>
      </w:r>
    </w:p>
    <w:p w14:paraId="08E01790" w14:textId="77777777" w:rsidR="00521DFD" w:rsidRPr="00546C07" w:rsidRDefault="00521DFD" w:rsidP="00521DFD">
      <w:pPr>
        <w:pStyle w:val="ListBullet"/>
        <w:spacing w:line="360" w:lineRule="auto"/>
        <w:jc w:val="both"/>
        <w:rPr>
          <w:rStyle w:val="Hyperlink"/>
          <w:rFonts w:ascii="Arial" w:eastAsia="Times New Roman" w:hAnsi="Arial" w:cs="Arial"/>
          <w:color w:val="auto"/>
          <w:sz w:val="20"/>
          <w:szCs w:val="20"/>
          <w:u w:val="none"/>
          <w:lang w:eastAsia="fr-FR"/>
        </w:rPr>
      </w:pPr>
      <w:r w:rsidRPr="00546C07">
        <w:rPr>
          <w:rFonts w:ascii="Arial" w:eastAsia="Times New Roman" w:hAnsi="Arial" w:cs="Arial"/>
          <w:sz w:val="20"/>
          <w:szCs w:val="20"/>
          <w:lang w:eastAsia="fr-FR"/>
        </w:rPr>
        <w:t xml:space="preserve">Williams, W.P, Windham, G.L., </w:t>
      </w:r>
      <w:r w:rsidRPr="00546C07">
        <w:rPr>
          <w:rFonts w:ascii="Arial" w:hAnsi="Arial" w:cs="Arial"/>
          <w:sz w:val="20"/>
          <w:szCs w:val="20"/>
        </w:rPr>
        <w:sym w:font="Symbol" w:char="F026"/>
      </w:r>
      <w:r w:rsidRPr="00546C07">
        <w:rPr>
          <w:rFonts w:ascii="Arial" w:eastAsia="Times New Roman" w:hAnsi="Arial" w:cs="Arial"/>
          <w:sz w:val="20"/>
          <w:szCs w:val="20"/>
          <w:lang w:eastAsia="fr-FR"/>
        </w:rPr>
        <w:t xml:space="preserve"> Abbas, H.K. (2019). Aflatoxin accumulation in maize and strategies for its control. Agriculture, 9(7), 137.</w:t>
      </w:r>
      <w:hyperlink r:id="rId42" w:history="1">
        <w:r w:rsidRPr="00546C07">
          <w:rPr>
            <w:rStyle w:val="Hyperlink"/>
            <w:rFonts w:ascii="Arial" w:eastAsia="Times New Roman" w:hAnsi="Arial" w:cs="Arial"/>
            <w:sz w:val="20"/>
            <w:szCs w:val="20"/>
            <w:lang w:eastAsia="fr-FR"/>
          </w:rPr>
          <w:t>https://doi.org/10.3390/agriculture9070137</w:t>
        </w:r>
      </w:hyperlink>
    </w:p>
    <w:p w14:paraId="60DDADA1" w14:textId="5791DC6D" w:rsidR="0036374C" w:rsidRPr="00C2225E" w:rsidRDefault="00521DFD" w:rsidP="00F44EDA">
      <w:pPr>
        <w:pStyle w:val="ListBullet"/>
        <w:spacing w:line="360" w:lineRule="auto"/>
        <w:jc w:val="both"/>
        <w:rPr>
          <w:rFonts w:ascii="Arial" w:hAnsi="Arial" w:cs="Arial"/>
          <w:sz w:val="20"/>
          <w:szCs w:val="20"/>
        </w:rPr>
      </w:pPr>
      <w:proofErr w:type="spellStart"/>
      <w:r w:rsidRPr="00521DFD">
        <w:rPr>
          <w:rFonts w:ascii="Arial" w:hAnsi="Arial" w:cs="Arial"/>
          <w:color w:val="C00000"/>
          <w:sz w:val="20"/>
          <w:szCs w:val="20"/>
        </w:rPr>
        <w:t>Xlstat</w:t>
      </w:r>
      <w:proofErr w:type="spellEnd"/>
      <w:r>
        <w:rPr>
          <w:rFonts w:ascii="Arial" w:hAnsi="Arial" w:cs="Arial"/>
          <w:color w:val="C00000"/>
          <w:sz w:val="20"/>
          <w:szCs w:val="20"/>
        </w:rPr>
        <w:t>.</w:t>
      </w:r>
      <w:r w:rsidRPr="00521DFD">
        <w:rPr>
          <w:rFonts w:ascii="Arial" w:hAnsi="Arial" w:cs="Arial"/>
          <w:color w:val="C00000"/>
          <w:sz w:val="20"/>
          <w:szCs w:val="20"/>
        </w:rPr>
        <w:t xml:space="preserve"> (2025)</w:t>
      </w:r>
      <w:r w:rsidRPr="00546C07">
        <w:rPr>
          <w:rFonts w:ascii="Arial" w:hAnsi="Arial" w:cs="Arial"/>
          <w:color w:val="FF0000"/>
          <w:sz w:val="20"/>
          <w:szCs w:val="20"/>
        </w:rPr>
        <w:t xml:space="preserve">. </w:t>
      </w:r>
      <w:r w:rsidRPr="00546C07">
        <w:rPr>
          <w:rFonts w:ascii="Arial" w:hAnsi="Arial" w:cs="Arial"/>
          <w:sz w:val="20"/>
          <w:szCs w:val="20"/>
        </w:rPr>
        <w:t xml:space="preserve">Statistical Software for Excel. </w:t>
      </w:r>
      <w:hyperlink r:id="rId43" w:history="1">
        <w:r w:rsidRPr="00546C07">
          <w:rPr>
            <w:rStyle w:val="Hyperlink"/>
            <w:rFonts w:ascii="Arial" w:hAnsi="Arial" w:cs="Arial"/>
            <w:sz w:val="20"/>
            <w:szCs w:val="20"/>
          </w:rPr>
          <w:t>https://www.xlstat.com</w:t>
        </w:r>
      </w:hyperlink>
      <w:r>
        <w:rPr>
          <w:rFonts w:ascii="Arial" w:hAnsi="Arial" w:cs="Arial"/>
          <w:sz w:val="20"/>
          <w:szCs w:val="20"/>
        </w:rPr>
        <w:t xml:space="preserve"> </w:t>
      </w:r>
      <w:bookmarkStart w:id="10" w:name="_GoBack"/>
      <w:bookmarkEnd w:id="10"/>
    </w:p>
    <w:sectPr w:rsidR="0036374C" w:rsidRPr="00C2225E" w:rsidSect="006D5F5D">
      <w:headerReference w:type="even" r:id="rId44"/>
      <w:headerReference w:type="default" r:id="rId45"/>
      <w:footerReference w:type="default" r:id="rId46"/>
      <w:headerReference w:type="first" r:id="rId47"/>
      <w:pgSz w:w="11906" w:h="16838"/>
      <w:pgMar w:top="1440" w:right="1440" w:bottom="1440" w:left="1530" w:header="567"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3C9BB5" w14:textId="77777777" w:rsidR="00A14519" w:rsidRDefault="00A14519" w:rsidP="00597F24">
      <w:pPr>
        <w:spacing w:after="0" w:line="240" w:lineRule="auto"/>
      </w:pPr>
      <w:r>
        <w:separator/>
      </w:r>
    </w:p>
  </w:endnote>
  <w:endnote w:type="continuationSeparator" w:id="0">
    <w:p w14:paraId="29098CF0" w14:textId="77777777" w:rsidR="00A14519" w:rsidRDefault="00A14519" w:rsidP="00597F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BoldMT">
    <w:panose1 w:val="00000000000000000000"/>
    <w:charset w:val="00"/>
    <w:family w:val="roman"/>
    <w:notTrueType/>
    <w:pitch w:val="default"/>
  </w:font>
  <w:font w:name="TimesNewRomanPSMT">
    <w:altName w:val="Microsoft JhengHei"/>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font>
  <w:font w:name="TimesNewRomanPS-ItalicMT">
    <w:altName w:val="Times New Roman"/>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8A3580" w14:textId="34142F22" w:rsidR="00107A4C" w:rsidRPr="00242CA0" w:rsidRDefault="00A14519" w:rsidP="0056372A">
    <w:pPr>
      <w:spacing w:after="0" w:line="240" w:lineRule="auto"/>
      <w:rPr>
        <w:rFonts w:ascii="Times New Roman" w:hAnsi="Times New Roman" w:cs="Times New Roman"/>
        <w:color w:val="000000"/>
        <w:sz w:val="24"/>
        <w:szCs w:val="24"/>
        <w:u w:val="single"/>
        <w:lang w:val="en-US"/>
      </w:rPr>
    </w:pPr>
    <w:sdt>
      <w:sdtPr>
        <w:id w:val="-297767399"/>
        <w:docPartObj>
          <w:docPartGallery w:val="Page Numbers (Bottom of Page)"/>
          <w:docPartUnique/>
        </w:docPartObj>
      </w:sdtPr>
      <w:sdtEndPr>
        <w:rPr>
          <w:noProof/>
        </w:rPr>
      </w:sdtEndPr>
      <w:sdtContent>
        <w:r w:rsidR="00107A4C">
          <w:fldChar w:fldCharType="begin"/>
        </w:r>
        <w:r w:rsidR="00107A4C" w:rsidRPr="00242CA0">
          <w:rPr>
            <w:lang w:val="en-US"/>
          </w:rPr>
          <w:instrText xml:space="preserve"> PAGE   \* MERGEFORMAT </w:instrText>
        </w:r>
        <w:r w:rsidR="00107A4C">
          <w:fldChar w:fldCharType="separate"/>
        </w:r>
        <w:r w:rsidR="0017522F">
          <w:rPr>
            <w:noProof/>
            <w:lang w:val="en-US"/>
          </w:rPr>
          <w:t>17</w:t>
        </w:r>
        <w:r w:rsidR="00107A4C">
          <w:rPr>
            <w:noProof/>
          </w:rPr>
          <w:fldChar w:fldCharType="end"/>
        </w:r>
      </w:sdtContent>
    </w:sdt>
  </w:p>
  <w:p w14:paraId="2733527B" w14:textId="77777777" w:rsidR="00107A4C" w:rsidRPr="00242CA0" w:rsidRDefault="00107A4C">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0DC152" w14:textId="77777777" w:rsidR="00A14519" w:rsidRDefault="00A14519" w:rsidP="00597F24">
      <w:pPr>
        <w:spacing w:after="0" w:line="240" w:lineRule="auto"/>
      </w:pPr>
      <w:r>
        <w:separator/>
      </w:r>
    </w:p>
  </w:footnote>
  <w:footnote w:type="continuationSeparator" w:id="0">
    <w:p w14:paraId="59B78C3A" w14:textId="77777777" w:rsidR="00A14519" w:rsidRDefault="00A14519" w:rsidP="00597F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061F4" w14:textId="111C22F0" w:rsidR="00107A4C" w:rsidRDefault="00A14519">
    <w:pPr>
      <w:pStyle w:val="Header"/>
    </w:pPr>
    <w:r>
      <w:rPr>
        <w:noProof/>
      </w:rPr>
      <w:pict w14:anchorId="067351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alt="" style="position:absolute;margin-left:0;margin-top:0;width:529.95pt;height:99.9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BFCE38" w14:textId="508C2271" w:rsidR="00107A4C" w:rsidRPr="0056372A" w:rsidRDefault="00A14519" w:rsidP="00597F24">
    <w:pPr>
      <w:pStyle w:val="Header"/>
      <w:jc w:val="center"/>
      <w:rPr>
        <w:rFonts w:ascii="Arial" w:hAnsi="Arial" w:cs="Arial"/>
      </w:rPr>
    </w:pPr>
    <w:r>
      <w:rPr>
        <w:noProof/>
      </w:rPr>
      <w:pict w14:anchorId="02BE10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alt="" style="position:absolute;left:0;text-align:left;margin-left:0;margin-top:0;width:529.95pt;height:99.9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E3A852" w14:textId="15B0B5A1" w:rsidR="00107A4C" w:rsidRDefault="00A14519">
    <w:pPr>
      <w:pStyle w:val="Header"/>
    </w:pPr>
    <w:r>
      <w:rPr>
        <w:noProof/>
      </w:rPr>
      <w:pict w14:anchorId="393733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alt="" style="position:absolute;margin-left:0;margin-top:0;width:529.95pt;height:99.9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142657AA"/>
    <w:lvl w:ilvl="0">
      <w:start w:val="1"/>
      <w:numFmt w:val="decimal"/>
      <w:pStyle w:val="ListBullet"/>
      <w:lvlText w:val="%1."/>
      <w:lvlJc w:val="left"/>
      <w:pPr>
        <w:tabs>
          <w:tab w:val="num" w:pos="502"/>
        </w:tabs>
        <w:ind w:left="502" w:hanging="360"/>
      </w:pPr>
      <w:rPr>
        <w:rFonts w:ascii="Times New Roman" w:eastAsiaTheme="minorEastAsia" w:hAnsi="Times New Roman" w:cs="Times New Roman"/>
      </w:rPr>
    </w:lvl>
  </w:abstractNum>
  <w:abstractNum w:abstractNumId="1" w15:restartNumberingAfterBreak="0">
    <w:nsid w:val="17501260"/>
    <w:multiLevelType w:val="hybridMultilevel"/>
    <w:tmpl w:val="5754A056"/>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 w15:restartNumberingAfterBreak="0">
    <w:nsid w:val="4C1F0E22"/>
    <w:multiLevelType w:val="hybridMultilevel"/>
    <w:tmpl w:val="28965976"/>
    <w:lvl w:ilvl="0" w:tplc="8A509B98">
      <w:start w:val="1"/>
      <w:numFmt w:val="decimal"/>
      <w:lvlText w:val="%1."/>
      <w:lvlJc w:val="left"/>
      <w:pPr>
        <w:ind w:left="720" w:hanging="360"/>
      </w:pPr>
      <w:rPr>
        <w:i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15:restartNumberingAfterBreak="0">
    <w:nsid w:val="4E124D96"/>
    <w:multiLevelType w:val="hybridMultilevel"/>
    <w:tmpl w:val="DAFC6E2E"/>
    <w:lvl w:ilvl="0" w:tplc="2C0C000B">
      <w:start w:val="1"/>
      <w:numFmt w:val="decimal"/>
      <w:lvlText w:val="%1)"/>
      <w:lvlJc w:val="left"/>
      <w:pPr>
        <w:ind w:left="360" w:hanging="360"/>
      </w:pPr>
      <w:rPr>
        <w:color w:val="auto"/>
      </w:rPr>
    </w:lvl>
    <w:lvl w:ilvl="1" w:tplc="2C0C0003" w:tentative="1">
      <w:start w:val="1"/>
      <w:numFmt w:val="lowerLetter"/>
      <w:lvlText w:val="%2."/>
      <w:lvlJc w:val="left"/>
      <w:pPr>
        <w:ind w:left="1582" w:hanging="360"/>
      </w:pPr>
    </w:lvl>
    <w:lvl w:ilvl="2" w:tplc="2C0C0005" w:tentative="1">
      <w:start w:val="1"/>
      <w:numFmt w:val="lowerRoman"/>
      <w:lvlText w:val="%3."/>
      <w:lvlJc w:val="right"/>
      <w:pPr>
        <w:ind w:left="2302" w:hanging="180"/>
      </w:pPr>
    </w:lvl>
    <w:lvl w:ilvl="3" w:tplc="2C0C0001" w:tentative="1">
      <w:start w:val="1"/>
      <w:numFmt w:val="decimal"/>
      <w:lvlText w:val="%4."/>
      <w:lvlJc w:val="left"/>
      <w:pPr>
        <w:ind w:left="3022" w:hanging="360"/>
      </w:pPr>
    </w:lvl>
    <w:lvl w:ilvl="4" w:tplc="2C0C0003" w:tentative="1">
      <w:start w:val="1"/>
      <w:numFmt w:val="lowerLetter"/>
      <w:lvlText w:val="%5."/>
      <w:lvlJc w:val="left"/>
      <w:pPr>
        <w:ind w:left="3742" w:hanging="360"/>
      </w:pPr>
    </w:lvl>
    <w:lvl w:ilvl="5" w:tplc="2C0C0005" w:tentative="1">
      <w:start w:val="1"/>
      <w:numFmt w:val="lowerRoman"/>
      <w:lvlText w:val="%6."/>
      <w:lvlJc w:val="right"/>
      <w:pPr>
        <w:ind w:left="4462" w:hanging="180"/>
      </w:pPr>
    </w:lvl>
    <w:lvl w:ilvl="6" w:tplc="2C0C0001" w:tentative="1">
      <w:start w:val="1"/>
      <w:numFmt w:val="decimal"/>
      <w:lvlText w:val="%7."/>
      <w:lvlJc w:val="left"/>
      <w:pPr>
        <w:ind w:left="5182" w:hanging="360"/>
      </w:pPr>
    </w:lvl>
    <w:lvl w:ilvl="7" w:tplc="2C0C0003" w:tentative="1">
      <w:start w:val="1"/>
      <w:numFmt w:val="lowerLetter"/>
      <w:lvlText w:val="%8."/>
      <w:lvlJc w:val="left"/>
      <w:pPr>
        <w:ind w:left="5902" w:hanging="360"/>
      </w:pPr>
    </w:lvl>
    <w:lvl w:ilvl="8" w:tplc="2C0C0005" w:tentative="1">
      <w:start w:val="1"/>
      <w:numFmt w:val="lowerRoman"/>
      <w:lvlText w:val="%9."/>
      <w:lvlJc w:val="right"/>
      <w:pPr>
        <w:ind w:left="6622" w:hanging="180"/>
      </w:pPr>
    </w:lvl>
  </w:abstractNum>
  <w:abstractNum w:abstractNumId="4" w15:restartNumberingAfterBreak="0">
    <w:nsid w:val="582254AB"/>
    <w:multiLevelType w:val="hybridMultilevel"/>
    <w:tmpl w:val="B58671F6"/>
    <w:lvl w:ilvl="0" w:tplc="04090005">
      <w:start w:val="1"/>
      <w:numFmt w:val="bullet"/>
      <w:lvlText w:val=""/>
      <w:lvlJc w:val="left"/>
      <w:pPr>
        <w:ind w:left="1346" w:hanging="360"/>
      </w:pPr>
      <w:rPr>
        <w:rFonts w:ascii="Wingdings" w:hAnsi="Wingdings" w:hint="default"/>
      </w:rPr>
    </w:lvl>
    <w:lvl w:ilvl="1" w:tplc="040C0003" w:tentative="1">
      <w:start w:val="1"/>
      <w:numFmt w:val="bullet"/>
      <w:lvlText w:val="o"/>
      <w:lvlJc w:val="left"/>
      <w:pPr>
        <w:ind w:left="2066" w:hanging="360"/>
      </w:pPr>
      <w:rPr>
        <w:rFonts w:ascii="Courier New" w:hAnsi="Courier New" w:cs="Courier New" w:hint="default"/>
      </w:rPr>
    </w:lvl>
    <w:lvl w:ilvl="2" w:tplc="040C0005" w:tentative="1">
      <w:start w:val="1"/>
      <w:numFmt w:val="bullet"/>
      <w:lvlText w:val=""/>
      <w:lvlJc w:val="left"/>
      <w:pPr>
        <w:ind w:left="2786" w:hanging="360"/>
      </w:pPr>
      <w:rPr>
        <w:rFonts w:ascii="Wingdings" w:hAnsi="Wingdings" w:hint="default"/>
      </w:rPr>
    </w:lvl>
    <w:lvl w:ilvl="3" w:tplc="040C0001" w:tentative="1">
      <w:start w:val="1"/>
      <w:numFmt w:val="bullet"/>
      <w:lvlText w:val=""/>
      <w:lvlJc w:val="left"/>
      <w:pPr>
        <w:ind w:left="3506" w:hanging="360"/>
      </w:pPr>
      <w:rPr>
        <w:rFonts w:ascii="Symbol" w:hAnsi="Symbol" w:hint="default"/>
      </w:rPr>
    </w:lvl>
    <w:lvl w:ilvl="4" w:tplc="040C0003" w:tentative="1">
      <w:start w:val="1"/>
      <w:numFmt w:val="bullet"/>
      <w:lvlText w:val="o"/>
      <w:lvlJc w:val="left"/>
      <w:pPr>
        <w:ind w:left="4226" w:hanging="360"/>
      </w:pPr>
      <w:rPr>
        <w:rFonts w:ascii="Courier New" w:hAnsi="Courier New" w:cs="Courier New" w:hint="default"/>
      </w:rPr>
    </w:lvl>
    <w:lvl w:ilvl="5" w:tplc="040C0005" w:tentative="1">
      <w:start w:val="1"/>
      <w:numFmt w:val="bullet"/>
      <w:lvlText w:val=""/>
      <w:lvlJc w:val="left"/>
      <w:pPr>
        <w:ind w:left="4946" w:hanging="360"/>
      </w:pPr>
      <w:rPr>
        <w:rFonts w:ascii="Wingdings" w:hAnsi="Wingdings" w:hint="default"/>
      </w:rPr>
    </w:lvl>
    <w:lvl w:ilvl="6" w:tplc="040C0001" w:tentative="1">
      <w:start w:val="1"/>
      <w:numFmt w:val="bullet"/>
      <w:lvlText w:val=""/>
      <w:lvlJc w:val="left"/>
      <w:pPr>
        <w:ind w:left="5666" w:hanging="360"/>
      </w:pPr>
      <w:rPr>
        <w:rFonts w:ascii="Symbol" w:hAnsi="Symbol" w:hint="default"/>
      </w:rPr>
    </w:lvl>
    <w:lvl w:ilvl="7" w:tplc="040C0003" w:tentative="1">
      <w:start w:val="1"/>
      <w:numFmt w:val="bullet"/>
      <w:lvlText w:val="o"/>
      <w:lvlJc w:val="left"/>
      <w:pPr>
        <w:ind w:left="6386" w:hanging="360"/>
      </w:pPr>
      <w:rPr>
        <w:rFonts w:ascii="Courier New" w:hAnsi="Courier New" w:cs="Courier New" w:hint="default"/>
      </w:rPr>
    </w:lvl>
    <w:lvl w:ilvl="8" w:tplc="040C0005" w:tentative="1">
      <w:start w:val="1"/>
      <w:numFmt w:val="bullet"/>
      <w:lvlText w:val=""/>
      <w:lvlJc w:val="left"/>
      <w:pPr>
        <w:ind w:left="7106" w:hanging="360"/>
      </w:pPr>
      <w:rPr>
        <w:rFonts w:ascii="Wingdings" w:hAnsi="Wingdings" w:hint="default"/>
      </w:rPr>
    </w:lvl>
  </w:abstractNum>
  <w:abstractNum w:abstractNumId="5" w15:restartNumberingAfterBreak="0">
    <w:nsid w:val="5A3F7E51"/>
    <w:multiLevelType w:val="hybridMultilevel"/>
    <w:tmpl w:val="24D2CFE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5A954F99"/>
    <w:multiLevelType w:val="hybridMultilevel"/>
    <w:tmpl w:val="DAFC6E2E"/>
    <w:lvl w:ilvl="0" w:tplc="2C0C000B">
      <w:start w:val="1"/>
      <w:numFmt w:val="decimal"/>
      <w:lvlText w:val="%1)"/>
      <w:lvlJc w:val="left"/>
      <w:pPr>
        <w:ind w:left="360" w:hanging="360"/>
      </w:pPr>
      <w:rPr>
        <w:color w:val="auto"/>
      </w:rPr>
    </w:lvl>
    <w:lvl w:ilvl="1" w:tplc="2C0C0003" w:tentative="1">
      <w:start w:val="1"/>
      <w:numFmt w:val="lowerLetter"/>
      <w:lvlText w:val="%2."/>
      <w:lvlJc w:val="left"/>
      <w:pPr>
        <w:ind w:left="1582" w:hanging="360"/>
      </w:pPr>
    </w:lvl>
    <w:lvl w:ilvl="2" w:tplc="2C0C0005" w:tentative="1">
      <w:start w:val="1"/>
      <w:numFmt w:val="lowerRoman"/>
      <w:lvlText w:val="%3."/>
      <w:lvlJc w:val="right"/>
      <w:pPr>
        <w:ind w:left="2302" w:hanging="180"/>
      </w:pPr>
    </w:lvl>
    <w:lvl w:ilvl="3" w:tplc="2C0C0001" w:tentative="1">
      <w:start w:val="1"/>
      <w:numFmt w:val="decimal"/>
      <w:lvlText w:val="%4."/>
      <w:lvlJc w:val="left"/>
      <w:pPr>
        <w:ind w:left="3022" w:hanging="360"/>
      </w:pPr>
    </w:lvl>
    <w:lvl w:ilvl="4" w:tplc="2C0C0003" w:tentative="1">
      <w:start w:val="1"/>
      <w:numFmt w:val="lowerLetter"/>
      <w:lvlText w:val="%5."/>
      <w:lvlJc w:val="left"/>
      <w:pPr>
        <w:ind w:left="3742" w:hanging="360"/>
      </w:pPr>
    </w:lvl>
    <w:lvl w:ilvl="5" w:tplc="2C0C0005" w:tentative="1">
      <w:start w:val="1"/>
      <w:numFmt w:val="lowerRoman"/>
      <w:lvlText w:val="%6."/>
      <w:lvlJc w:val="right"/>
      <w:pPr>
        <w:ind w:left="4462" w:hanging="180"/>
      </w:pPr>
    </w:lvl>
    <w:lvl w:ilvl="6" w:tplc="2C0C0001" w:tentative="1">
      <w:start w:val="1"/>
      <w:numFmt w:val="decimal"/>
      <w:lvlText w:val="%7."/>
      <w:lvlJc w:val="left"/>
      <w:pPr>
        <w:ind w:left="5182" w:hanging="360"/>
      </w:pPr>
    </w:lvl>
    <w:lvl w:ilvl="7" w:tplc="2C0C0003" w:tentative="1">
      <w:start w:val="1"/>
      <w:numFmt w:val="lowerLetter"/>
      <w:lvlText w:val="%8."/>
      <w:lvlJc w:val="left"/>
      <w:pPr>
        <w:ind w:left="5902" w:hanging="360"/>
      </w:pPr>
    </w:lvl>
    <w:lvl w:ilvl="8" w:tplc="2C0C0005" w:tentative="1">
      <w:start w:val="1"/>
      <w:numFmt w:val="lowerRoman"/>
      <w:lvlText w:val="%9."/>
      <w:lvlJc w:val="right"/>
      <w:pPr>
        <w:ind w:left="6622" w:hanging="180"/>
      </w:pPr>
    </w:lvl>
  </w:abstractNum>
  <w:abstractNum w:abstractNumId="7" w15:restartNumberingAfterBreak="0">
    <w:nsid w:val="6B7F2B4D"/>
    <w:multiLevelType w:val="hybridMultilevel"/>
    <w:tmpl w:val="E66EC65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788141BD"/>
    <w:multiLevelType w:val="hybridMultilevel"/>
    <w:tmpl w:val="A82AFD92"/>
    <w:lvl w:ilvl="0" w:tplc="2C0C0001">
      <w:start w:val="1"/>
      <w:numFmt w:val="bullet"/>
      <w:lvlText w:val=""/>
      <w:lvlJc w:val="left"/>
      <w:pPr>
        <w:ind w:left="360" w:hanging="360"/>
      </w:pPr>
      <w:rPr>
        <w:rFonts w:ascii="Wingdings" w:hAnsi="Wingdings" w:hint="default"/>
      </w:rPr>
    </w:lvl>
    <w:lvl w:ilvl="1" w:tplc="2C0C0003" w:tentative="1">
      <w:start w:val="1"/>
      <w:numFmt w:val="bullet"/>
      <w:lvlText w:val="o"/>
      <w:lvlJc w:val="left"/>
      <w:pPr>
        <w:ind w:left="2148" w:hanging="360"/>
      </w:pPr>
      <w:rPr>
        <w:rFonts w:ascii="Courier New" w:hAnsi="Courier New" w:cs="Courier New" w:hint="default"/>
      </w:rPr>
    </w:lvl>
    <w:lvl w:ilvl="2" w:tplc="2C0C0005" w:tentative="1">
      <w:start w:val="1"/>
      <w:numFmt w:val="bullet"/>
      <w:lvlText w:val=""/>
      <w:lvlJc w:val="left"/>
      <w:pPr>
        <w:ind w:left="2868" w:hanging="360"/>
      </w:pPr>
      <w:rPr>
        <w:rFonts w:ascii="Wingdings" w:hAnsi="Wingdings" w:hint="default"/>
      </w:rPr>
    </w:lvl>
    <w:lvl w:ilvl="3" w:tplc="2C0C0001" w:tentative="1">
      <w:start w:val="1"/>
      <w:numFmt w:val="bullet"/>
      <w:lvlText w:val=""/>
      <w:lvlJc w:val="left"/>
      <w:pPr>
        <w:ind w:left="3588" w:hanging="360"/>
      </w:pPr>
      <w:rPr>
        <w:rFonts w:ascii="Symbol" w:hAnsi="Symbol" w:hint="default"/>
      </w:rPr>
    </w:lvl>
    <w:lvl w:ilvl="4" w:tplc="2C0C0003" w:tentative="1">
      <w:start w:val="1"/>
      <w:numFmt w:val="bullet"/>
      <w:lvlText w:val="o"/>
      <w:lvlJc w:val="left"/>
      <w:pPr>
        <w:ind w:left="4308" w:hanging="360"/>
      </w:pPr>
      <w:rPr>
        <w:rFonts w:ascii="Courier New" w:hAnsi="Courier New" w:cs="Courier New" w:hint="default"/>
      </w:rPr>
    </w:lvl>
    <w:lvl w:ilvl="5" w:tplc="2C0C0005" w:tentative="1">
      <w:start w:val="1"/>
      <w:numFmt w:val="bullet"/>
      <w:lvlText w:val=""/>
      <w:lvlJc w:val="left"/>
      <w:pPr>
        <w:ind w:left="5028" w:hanging="360"/>
      </w:pPr>
      <w:rPr>
        <w:rFonts w:ascii="Wingdings" w:hAnsi="Wingdings" w:hint="default"/>
      </w:rPr>
    </w:lvl>
    <w:lvl w:ilvl="6" w:tplc="2C0C0001" w:tentative="1">
      <w:start w:val="1"/>
      <w:numFmt w:val="bullet"/>
      <w:lvlText w:val=""/>
      <w:lvlJc w:val="left"/>
      <w:pPr>
        <w:ind w:left="5748" w:hanging="360"/>
      </w:pPr>
      <w:rPr>
        <w:rFonts w:ascii="Symbol" w:hAnsi="Symbol" w:hint="default"/>
      </w:rPr>
    </w:lvl>
    <w:lvl w:ilvl="7" w:tplc="2C0C0003" w:tentative="1">
      <w:start w:val="1"/>
      <w:numFmt w:val="bullet"/>
      <w:lvlText w:val="o"/>
      <w:lvlJc w:val="left"/>
      <w:pPr>
        <w:ind w:left="6468" w:hanging="360"/>
      </w:pPr>
      <w:rPr>
        <w:rFonts w:ascii="Courier New" w:hAnsi="Courier New" w:cs="Courier New" w:hint="default"/>
      </w:rPr>
    </w:lvl>
    <w:lvl w:ilvl="8" w:tplc="2C0C0005" w:tentative="1">
      <w:start w:val="1"/>
      <w:numFmt w:val="bullet"/>
      <w:lvlText w:val=""/>
      <w:lvlJc w:val="left"/>
      <w:pPr>
        <w:ind w:left="7188" w:hanging="360"/>
      </w:pPr>
      <w:rPr>
        <w:rFonts w:ascii="Wingdings" w:hAnsi="Wingdings" w:hint="default"/>
      </w:rPr>
    </w:lvl>
  </w:abstractNum>
  <w:num w:numId="1">
    <w:abstractNumId w:val="2"/>
  </w:num>
  <w:num w:numId="2">
    <w:abstractNumId w:val="1"/>
  </w:num>
  <w:num w:numId="3">
    <w:abstractNumId w:val="4"/>
  </w:num>
  <w:num w:numId="4">
    <w:abstractNumId w:val="8"/>
  </w:num>
  <w:num w:numId="5">
    <w:abstractNumId w:val="5"/>
  </w:num>
  <w:num w:numId="6">
    <w:abstractNumId w:val="0"/>
  </w:num>
  <w:num w:numId="7">
    <w:abstractNumId w:val="6"/>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7F24"/>
    <w:rsid w:val="00001B17"/>
    <w:rsid w:val="0000391C"/>
    <w:rsid w:val="00003E7C"/>
    <w:rsid w:val="00007640"/>
    <w:rsid w:val="0001088E"/>
    <w:rsid w:val="00013B19"/>
    <w:rsid w:val="00013FEB"/>
    <w:rsid w:val="000157C0"/>
    <w:rsid w:val="00016131"/>
    <w:rsid w:val="0001688C"/>
    <w:rsid w:val="000170D2"/>
    <w:rsid w:val="00021E53"/>
    <w:rsid w:val="00022E31"/>
    <w:rsid w:val="000231A6"/>
    <w:rsid w:val="00024A04"/>
    <w:rsid w:val="00030C0A"/>
    <w:rsid w:val="00031CF6"/>
    <w:rsid w:val="00031D48"/>
    <w:rsid w:val="00034B72"/>
    <w:rsid w:val="00035FC5"/>
    <w:rsid w:val="00036667"/>
    <w:rsid w:val="0003787D"/>
    <w:rsid w:val="00041130"/>
    <w:rsid w:val="0004246A"/>
    <w:rsid w:val="00042ECA"/>
    <w:rsid w:val="0004322C"/>
    <w:rsid w:val="00043366"/>
    <w:rsid w:val="00043A64"/>
    <w:rsid w:val="000450D2"/>
    <w:rsid w:val="0004652F"/>
    <w:rsid w:val="00047197"/>
    <w:rsid w:val="0005273E"/>
    <w:rsid w:val="000616AD"/>
    <w:rsid w:val="000623D8"/>
    <w:rsid w:val="0006375F"/>
    <w:rsid w:val="00063DD4"/>
    <w:rsid w:val="00065154"/>
    <w:rsid w:val="00065D5F"/>
    <w:rsid w:val="0007151D"/>
    <w:rsid w:val="000728D0"/>
    <w:rsid w:val="00072A7D"/>
    <w:rsid w:val="00072B07"/>
    <w:rsid w:val="00072B3F"/>
    <w:rsid w:val="000733C1"/>
    <w:rsid w:val="000739A3"/>
    <w:rsid w:val="00073C3C"/>
    <w:rsid w:val="00075527"/>
    <w:rsid w:val="00077456"/>
    <w:rsid w:val="0008134F"/>
    <w:rsid w:val="00083421"/>
    <w:rsid w:val="00085E73"/>
    <w:rsid w:val="00090332"/>
    <w:rsid w:val="00090A78"/>
    <w:rsid w:val="00092F62"/>
    <w:rsid w:val="00093744"/>
    <w:rsid w:val="0009465C"/>
    <w:rsid w:val="0009602C"/>
    <w:rsid w:val="000962CB"/>
    <w:rsid w:val="0009651D"/>
    <w:rsid w:val="000A058D"/>
    <w:rsid w:val="000A1B28"/>
    <w:rsid w:val="000A4691"/>
    <w:rsid w:val="000A4EFC"/>
    <w:rsid w:val="000B0376"/>
    <w:rsid w:val="000B337A"/>
    <w:rsid w:val="000B362B"/>
    <w:rsid w:val="000B4F70"/>
    <w:rsid w:val="000B5B97"/>
    <w:rsid w:val="000B712D"/>
    <w:rsid w:val="000C08B5"/>
    <w:rsid w:val="000C0C84"/>
    <w:rsid w:val="000C4102"/>
    <w:rsid w:val="000C4620"/>
    <w:rsid w:val="000C5D98"/>
    <w:rsid w:val="000C79CF"/>
    <w:rsid w:val="000D53A3"/>
    <w:rsid w:val="000D5E47"/>
    <w:rsid w:val="000E40C1"/>
    <w:rsid w:val="000E445E"/>
    <w:rsid w:val="000E5E8C"/>
    <w:rsid w:val="000E60D5"/>
    <w:rsid w:val="000F03C5"/>
    <w:rsid w:val="000F1C52"/>
    <w:rsid w:val="000F22CC"/>
    <w:rsid w:val="00100118"/>
    <w:rsid w:val="00102572"/>
    <w:rsid w:val="001031BC"/>
    <w:rsid w:val="00105F36"/>
    <w:rsid w:val="00106600"/>
    <w:rsid w:val="00107A4C"/>
    <w:rsid w:val="00111246"/>
    <w:rsid w:val="001112BE"/>
    <w:rsid w:val="00111605"/>
    <w:rsid w:val="00112379"/>
    <w:rsid w:val="0011359C"/>
    <w:rsid w:val="001140C0"/>
    <w:rsid w:val="001147A3"/>
    <w:rsid w:val="001158FD"/>
    <w:rsid w:val="001222B6"/>
    <w:rsid w:val="00124055"/>
    <w:rsid w:val="00125B12"/>
    <w:rsid w:val="001277B0"/>
    <w:rsid w:val="00130865"/>
    <w:rsid w:val="00130FD4"/>
    <w:rsid w:val="00130FFB"/>
    <w:rsid w:val="00133736"/>
    <w:rsid w:val="001340BC"/>
    <w:rsid w:val="00136106"/>
    <w:rsid w:val="0013624F"/>
    <w:rsid w:val="0013738B"/>
    <w:rsid w:val="00143CB8"/>
    <w:rsid w:val="00144D40"/>
    <w:rsid w:val="0014591A"/>
    <w:rsid w:val="00145CE9"/>
    <w:rsid w:val="00147AD9"/>
    <w:rsid w:val="00150503"/>
    <w:rsid w:val="001520CF"/>
    <w:rsid w:val="00152A1A"/>
    <w:rsid w:val="00154E99"/>
    <w:rsid w:val="00155050"/>
    <w:rsid w:val="0015540A"/>
    <w:rsid w:val="00157E99"/>
    <w:rsid w:val="00163EC4"/>
    <w:rsid w:val="0016443A"/>
    <w:rsid w:val="00167732"/>
    <w:rsid w:val="001677DB"/>
    <w:rsid w:val="00167B36"/>
    <w:rsid w:val="00170BB5"/>
    <w:rsid w:val="001729F9"/>
    <w:rsid w:val="0017438C"/>
    <w:rsid w:val="0017522F"/>
    <w:rsid w:val="00175280"/>
    <w:rsid w:val="001759D7"/>
    <w:rsid w:val="00176D38"/>
    <w:rsid w:val="00177492"/>
    <w:rsid w:val="00177EE0"/>
    <w:rsid w:val="0018062E"/>
    <w:rsid w:val="00181B8E"/>
    <w:rsid w:val="0018301D"/>
    <w:rsid w:val="001844EF"/>
    <w:rsid w:val="0018486F"/>
    <w:rsid w:val="0018673D"/>
    <w:rsid w:val="00193540"/>
    <w:rsid w:val="001967A6"/>
    <w:rsid w:val="001A001E"/>
    <w:rsid w:val="001A313C"/>
    <w:rsid w:val="001A5651"/>
    <w:rsid w:val="001A5744"/>
    <w:rsid w:val="001A68E4"/>
    <w:rsid w:val="001A6AF6"/>
    <w:rsid w:val="001A7BB4"/>
    <w:rsid w:val="001A7FD1"/>
    <w:rsid w:val="001B26C3"/>
    <w:rsid w:val="001B2C08"/>
    <w:rsid w:val="001B4E73"/>
    <w:rsid w:val="001B51D5"/>
    <w:rsid w:val="001B6895"/>
    <w:rsid w:val="001B6BFB"/>
    <w:rsid w:val="001B7026"/>
    <w:rsid w:val="001B70C2"/>
    <w:rsid w:val="001C0822"/>
    <w:rsid w:val="001C0E5B"/>
    <w:rsid w:val="001C20C5"/>
    <w:rsid w:val="001C2EC5"/>
    <w:rsid w:val="001C48AA"/>
    <w:rsid w:val="001C6F37"/>
    <w:rsid w:val="001C7451"/>
    <w:rsid w:val="001C7AB5"/>
    <w:rsid w:val="001D2FC1"/>
    <w:rsid w:val="001D4C79"/>
    <w:rsid w:val="001D52A7"/>
    <w:rsid w:val="001D622E"/>
    <w:rsid w:val="001D6C0C"/>
    <w:rsid w:val="001E0B30"/>
    <w:rsid w:val="001E1588"/>
    <w:rsid w:val="001E170C"/>
    <w:rsid w:val="001F01E8"/>
    <w:rsid w:val="001F47C0"/>
    <w:rsid w:val="001F5376"/>
    <w:rsid w:val="001F5F7D"/>
    <w:rsid w:val="002030CE"/>
    <w:rsid w:val="00204023"/>
    <w:rsid w:val="00204BAA"/>
    <w:rsid w:val="0020714C"/>
    <w:rsid w:val="00214A9A"/>
    <w:rsid w:val="00216085"/>
    <w:rsid w:val="002166FD"/>
    <w:rsid w:val="00216847"/>
    <w:rsid w:val="00217D94"/>
    <w:rsid w:val="002205FE"/>
    <w:rsid w:val="002209AA"/>
    <w:rsid w:val="00221242"/>
    <w:rsid w:val="0022252F"/>
    <w:rsid w:val="00222624"/>
    <w:rsid w:val="00223439"/>
    <w:rsid w:val="002263D8"/>
    <w:rsid w:val="0022681B"/>
    <w:rsid w:val="00227CCA"/>
    <w:rsid w:val="00230BDC"/>
    <w:rsid w:val="00232ADC"/>
    <w:rsid w:val="00232F2B"/>
    <w:rsid w:val="002353DC"/>
    <w:rsid w:val="002378C8"/>
    <w:rsid w:val="00237ED6"/>
    <w:rsid w:val="00242CA0"/>
    <w:rsid w:val="00242EB7"/>
    <w:rsid w:val="00243B6E"/>
    <w:rsid w:val="00244B5B"/>
    <w:rsid w:val="002473EE"/>
    <w:rsid w:val="00250444"/>
    <w:rsid w:val="0025253C"/>
    <w:rsid w:val="0025321B"/>
    <w:rsid w:val="00257B24"/>
    <w:rsid w:val="00261254"/>
    <w:rsid w:val="002613A0"/>
    <w:rsid w:val="00262242"/>
    <w:rsid w:val="002623AD"/>
    <w:rsid w:val="00264EBC"/>
    <w:rsid w:val="00267FC3"/>
    <w:rsid w:val="0027167F"/>
    <w:rsid w:val="00271915"/>
    <w:rsid w:val="00272770"/>
    <w:rsid w:val="00275C95"/>
    <w:rsid w:val="0027674F"/>
    <w:rsid w:val="00276D37"/>
    <w:rsid w:val="00281625"/>
    <w:rsid w:val="00282341"/>
    <w:rsid w:val="002853D8"/>
    <w:rsid w:val="00286397"/>
    <w:rsid w:val="002908F8"/>
    <w:rsid w:val="00290C26"/>
    <w:rsid w:val="0029131B"/>
    <w:rsid w:val="0029274E"/>
    <w:rsid w:val="0029488F"/>
    <w:rsid w:val="00295CD3"/>
    <w:rsid w:val="002979C6"/>
    <w:rsid w:val="002A0F33"/>
    <w:rsid w:val="002A1E3B"/>
    <w:rsid w:val="002A23A6"/>
    <w:rsid w:val="002A3CDD"/>
    <w:rsid w:val="002A554D"/>
    <w:rsid w:val="002B1697"/>
    <w:rsid w:val="002B21A8"/>
    <w:rsid w:val="002B2998"/>
    <w:rsid w:val="002B76FF"/>
    <w:rsid w:val="002C0A8B"/>
    <w:rsid w:val="002C2D40"/>
    <w:rsid w:val="002C3081"/>
    <w:rsid w:val="002C6021"/>
    <w:rsid w:val="002D12B2"/>
    <w:rsid w:val="002D48D4"/>
    <w:rsid w:val="002E0FC2"/>
    <w:rsid w:val="002E1505"/>
    <w:rsid w:val="002E1606"/>
    <w:rsid w:val="002E705B"/>
    <w:rsid w:val="002F02C7"/>
    <w:rsid w:val="002F09F3"/>
    <w:rsid w:val="002F100B"/>
    <w:rsid w:val="002F358A"/>
    <w:rsid w:val="002F4531"/>
    <w:rsid w:val="002F7738"/>
    <w:rsid w:val="00300B56"/>
    <w:rsid w:val="00301620"/>
    <w:rsid w:val="00301E71"/>
    <w:rsid w:val="00303E0D"/>
    <w:rsid w:val="00303FC6"/>
    <w:rsid w:val="00304CD7"/>
    <w:rsid w:val="00305565"/>
    <w:rsid w:val="00306D42"/>
    <w:rsid w:val="003103E6"/>
    <w:rsid w:val="00310CBF"/>
    <w:rsid w:val="00311E5F"/>
    <w:rsid w:val="00313F52"/>
    <w:rsid w:val="00314754"/>
    <w:rsid w:val="00316340"/>
    <w:rsid w:val="00316812"/>
    <w:rsid w:val="00317BAB"/>
    <w:rsid w:val="00320EFC"/>
    <w:rsid w:val="003237A7"/>
    <w:rsid w:val="003250B8"/>
    <w:rsid w:val="00326D33"/>
    <w:rsid w:val="00327042"/>
    <w:rsid w:val="00330D01"/>
    <w:rsid w:val="003312EB"/>
    <w:rsid w:val="00332592"/>
    <w:rsid w:val="00333D3E"/>
    <w:rsid w:val="0033589D"/>
    <w:rsid w:val="00335B6F"/>
    <w:rsid w:val="00343254"/>
    <w:rsid w:val="00343398"/>
    <w:rsid w:val="003452F7"/>
    <w:rsid w:val="00347576"/>
    <w:rsid w:val="00350D21"/>
    <w:rsid w:val="003537F2"/>
    <w:rsid w:val="003556B1"/>
    <w:rsid w:val="0035743D"/>
    <w:rsid w:val="0036073F"/>
    <w:rsid w:val="0036314C"/>
    <w:rsid w:val="0036374C"/>
    <w:rsid w:val="003643DA"/>
    <w:rsid w:val="00365DB4"/>
    <w:rsid w:val="00370922"/>
    <w:rsid w:val="00371211"/>
    <w:rsid w:val="00371BB9"/>
    <w:rsid w:val="00371C6A"/>
    <w:rsid w:val="003722F7"/>
    <w:rsid w:val="003730E5"/>
    <w:rsid w:val="003733E2"/>
    <w:rsid w:val="003806BA"/>
    <w:rsid w:val="00381046"/>
    <w:rsid w:val="00384B65"/>
    <w:rsid w:val="00385047"/>
    <w:rsid w:val="00390C07"/>
    <w:rsid w:val="003928FA"/>
    <w:rsid w:val="00395D73"/>
    <w:rsid w:val="003A2821"/>
    <w:rsid w:val="003A4D20"/>
    <w:rsid w:val="003A54E3"/>
    <w:rsid w:val="003A5C04"/>
    <w:rsid w:val="003A65B5"/>
    <w:rsid w:val="003A7746"/>
    <w:rsid w:val="003B0A21"/>
    <w:rsid w:val="003B0AB6"/>
    <w:rsid w:val="003B32F0"/>
    <w:rsid w:val="003B382D"/>
    <w:rsid w:val="003B6826"/>
    <w:rsid w:val="003C12E0"/>
    <w:rsid w:val="003C14CC"/>
    <w:rsid w:val="003C191C"/>
    <w:rsid w:val="003C2371"/>
    <w:rsid w:val="003C38D5"/>
    <w:rsid w:val="003C5866"/>
    <w:rsid w:val="003C6976"/>
    <w:rsid w:val="003C6DD1"/>
    <w:rsid w:val="003D02E9"/>
    <w:rsid w:val="003D2146"/>
    <w:rsid w:val="003D3869"/>
    <w:rsid w:val="003D502F"/>
    <w:rsid w:val="003D62B7"/>
    <w:rsid w:val="003D6FEA"/>
    <w:rsid w:val="003D7978"/>
    <w:rsid w:val="003D7FBC"/>
    <w:rsid w:val="003E041C"/>
    <w:rsid w:val="003E2BFE"/>
    <w:rsid w:val="003E3E08"/>
    <w:rsid w:val="003E449F"/>
    <w:rsid w:val="003E5056"/>
    <w:rsid w:val="003E720F"/>
    <w:rsid w:val="003F317F"/>
    <w:rsid w:val="003F3326"/>
    <w:rsid w:val="003F33D5"/>
    <w:rsid w:val="003F59C7"/>
    <w:rsid w:val="0040351A"/>
    <w:rsid w:val="00405F31"/>
    <w:rsid w:val="004112F5"/>
    <w:rsid w:val="00411342"/>
    <w:rsid w:val="00411C49"/>
    <w:rsid w:val="0041299D"/>
    <w:rsid w:val="0041491B"/>
    <w:rsid w:val="004176B1"/>
    <w:rsid w:val="004177FC"/>
    <w:rsid w:val="00421C86"/>
    <w:rsid w:val="00427816"/>
    <w:rsid w:val="004278CA"/>
    <w:rsid w:val="0043242C"/>
    <w:rsid w:val="00433D07"/>
    <w:rsid w:val="00434668"/>
    <w:rsid w:val="00434C19"/>
    <w:rsid w:val="00434DC6"/>
    <w:rsid w:val="00444A2F"/>
    <w:rsid w:val="00451113"/>
    <w:rsid w:val="00451F26"/>
    <w:rsid w:val="00453C08"/>
    <w:rsid w:val="00454085"/>
    <w:rsid w:val="00456612"/>
    <w:rsid w:val="00457EE4"/>
    <w:rsid w:val="0046101D"/>
    <w:rsid w:val="004610FA"/>
    <w:rsid w:val="00465183"/>
    <w:rsid w:val="00470868"/>
    <w:rsid w:val="004714E9"/>
    <w:rsid w:val="004717D9"/>
    <w:rsid w:val="00471EF3"/>
    <w:rsid w:val="00485056"/>
    <w:rsid w:val="00491179"/>
    <w:rsid w:val="00493EA3"/>
    <w:rsid w:val="004969CB"/>
    <w:rsid w:val="00497C1F"/>
    <w:rsid w:val="004A0583"/>
    <w:rsid w:val="004A12A2"/>
    <w:rsid w:val="004A1CEC"/>
    <w:rsid w:val="004A26E2"/>
    <w:rsid w:val="004A45B6"/>
    <w:rsid w:val="004A5803"/>
    <w:rsid w:val="004A5DDC"/>
    <w:rsid w:val="004B0281"/>
    <w:rsid w:val="004B1959"/>
    <w:rsid w:val="004B2091"/>
    <w:rsid w:val="004B2AAA"/>
    <w:rsid w:val="004B46E6"/>
    <w:rsid w:val="004B4E97"/>
    <w:rsid w:val="004C2320"/>
    <w:rsid w:val="004C4C54"/>
    <w:rsid w:val="004D22FD"/>
    <w:rsid w:val="004D6714"/>
    <w:rsid w:val="004E2247"/>
    <w:rsid w:val="004E2C38"/>
    <w:rsid w:val="004E32A4"/>
    <w:rsid w:val="004E4FB8"/>
    <w:rsid w:val="004E55CC"/>
    <w:rsid w:val="004E64C5"/>
    <w:rsid w:val="004F2248"/>
    <w:rsid w:val="004F23DA"/>
    <w:rsid w:val="004F2E74"/>
    <w:rsid w:val="004F3513"/>
    <w:rsid w:val="004F447E"/>
    <w:rsid w:val="004F4DC6"/>
    <w:rsid w:val="0050238C"/>
    <w:rsid w:val="005027B3"/>
    <w:rsid w:val="00502D0C"/>
    <w:rsid w:val="00503EDE"/>
    <w:rsid w:val="00504C10"/>
    <w:rsid w:val="00504D69"/>
    <w:rsid w:val="00506F0C"/>
    <w:rsid w:val="00511B1C"/>
    <w:rsid w:val="00512A00"/>
    <w:rsid w:val="00512C07"/>
    <w:rsid w:val="00512EE6"/>
    <w:rsid w:val="00514605"/>
    <w:rsid w:val="005153E8"/>
    <w:rsid w:val="00516F1A"/>
    <w:rsid w:val="00517235"/>
    <w:rsid w:val="00521DBD"/>
    <w:rsid w:val="00521DFD"/>
    <w:rsid w:val="0052292D"/>
    <w:rsid w:val="0052530E"/>
    <w:rsid w:val="00525A59"/>
    <w:rsid w:val="00525E6D"/>
    <w:rsid w:val="00527231"/>
    <w:rsid w:val="00532A8B"/>
    <w:rsid w:val="0053492F"/>
    <w:rsid w:val="00535726"/>
    <w:rsid w:val="00535BA0"/>
    <w:rsid w:val="0053686E"/>
    <w:rsid w:val="00537B8B"/>
    <w:rsid w:val="005401A1"/>
    <w:rsid w:val="00541649"/>
    <w:rsid w:val="0054533A"/>
    <w:rsid w:val="00546C07"/>
    <w:rsid w:val="00546CA4"/>
    <w:rsid w:val="00547E1D"/>
    <w:rsid w:val="00550F60"/>
    <w:rsid w:val="00553FB2"/>
    <w:rsid w:val="005547CD"/>
    <w:rsid w:val="0055579E"/>
    <w:rsid w:val="00556225"/>
    <w:rsid w:val="00556382"/>
    <w:rsid w:val="005566D3"/>
    <w:rsid w:val="00561687"/>
    <w:rsid w:val="00561904"/>
    <w:rsid w:val="0056372A"/>
    <w:rsid w:val="00564439"/>
    <w:rsid w:val="00565D0F"/>
    <w:rsid w:val="00570F52"/>
    <w:rsid w:val="00577554"/>
    <w:rsid w:val="00577D25"/>
    <w:rsid w:val="00581F48"/>
    <w:rsid w:val="005849B7"/>
    <w:rsid w:val="00586439"/>
    <w:rsid w:val="00586ABE"/>
    <w:rsid w:val="0059036F"/>
    <w:rsid w:val="00592FC3"/>
    <w:rsid w:val="00594736"/>
    <w:rsid w:val="00595A90"/>
    <w:rsid w:val="00597597"/>
    <w:rsid w:val="00597F24"/>
    <w:rsid w:val="005A1569"/>
    <w:rsid w:val="005A16E6"/>
    <w:rsid w:val="005A1C4A"/>
    <w:rsid w:val="005A1F8E"/>
    <w:rsid w:val="005A2604"/>
    <w:rsid w:val="005A2617"/>
    <w:rsid w:val="005A2CFD"/>
    <w:rsid w:val="005A5359"/>
    <w:rsid w:val="005B0A68"/>
    <w:rsid w:val="005B16E8"/>
    <w:rsid w:val="005B2546"/>
    <w:rsid w:val="005B5543"/>
    <w:rsid w:val="005B5F97"/>
    <w:rsid w:val="005C04CD"/>
    <w:rsid w:val="005C0595"/>
    <w:rsid w:val="005C2005"/>
    <w:rsid w:val="005C20D7"/>
    <w:rsid w:val="005C30A5"/>
    <w:rsid w:val="005C4861"/>
    <w:rsid w:val="005C688C"/>
    <w:rsid w:val="005C69FF"/>
    <w:rsid w:val="005C6F2F"/>
    <w:rsid w:val="005D3C5A"/>
    <w:rsid w:val="005D6941"/>
    <w:rsid w:val="005D7205"/>
    <w:rsid w:val="005D7F95"/>
    <w:rsid w:val="005E2538"/>
    <w:rsid w:val="005E3E64"/>
    <w:rsid w:val="005E5491"/>
    <w:rsid w:val="005E70DF"/>
    <w:rsid w:val="005E7405"/>
    <w:rsid w:val="005F474A"/>
    <w:rsid w:val="005F4D69"/>
    <w:rsid w:val="005F4EAF"/>
    <w:rsid w:val="005F5A51"/>
    <w:rsid w:val="005F70D4"/>
    <w:rsid w:val="005F7538"/>
    <w:rsid w:val="006006A0"/>
    <w:rsid w:val="006043EF"/>
    <w:rsid w:val="0060539D"/>
    <w:rsid w:val="00605447"/>
    <w:rsid w:val="00610728"/>
    <w:rsid w:val="0061106B"/>
    <w:rsid w:val="00611256"/>
    <w:rsid w:val="00614E3E"/>
    <w:rsid w:val="00616543"/>
    <w:rsid w:val="00617B12"/>
    <w:rsid w:val="00620452"/>
    <w:rsid w:val="00620B92"/>
    <w:rsid w:val="00620D30"/>
    <w:rsid w:val="00620D52"/>
    <w:rsid w:val="006212C9"/>
    <w:rsid w:val="00621BD9"/>
    <w:rsid w:val="00622AB2"/>
    <w:rsid w:val="00624B89"/>
    <w:rsid w:val="00625795"/>
    <w:rsid w:val="00626C9E"/>
    <w:rsid w:val="006322DF"/>
    <w:rsid w:val="00634828"/>
    <w:rsid w:val="00634B8A"/>
    <w:rsid w:val="006355F4"/>
    <w:rsid w:val="00635B32"/>
    <w:rsid w:val="00635EAD"/>
    <w:rsid w:val="00636466"/>
    <w:rsid w:val="00636A5B"/>
    <w:rsid w:val="006426F4"/>
    <w:rsid w:val="00646F18"/>
    <w:rsid w:val="00650DF0"/>
    <w:rsid w:val="00652DE6"/>
    <w:rsid w:val="0065595C"/>
    <w:rsid w:val="00655B85"/>
    <w:rsid w:val="00657C63"/>
    <w:rsid w:val="006601B6"/>
    <w:rsid w:val="00661461"/>
    <w:rsid w:val="00662375"/>
    <w:rsid w:val="00666FCC"/>
    <w:rsid w:val="00670E96"/>
    <w:rsid w:val="00671E58"/>
    <w:rsid w:val="00672A48"/>
    <w:rsid w:val="00672EC0"/>
    <w:rsid w:val="0067396E"/>
    <w:rsid w:val="00680C32"/>
    <w:rsid w:val="0068270A"/>
    <w:rsid w:val="0068351F"/>
    <w:rsid w:val="00683F21"/>
    <w:rsid w:val="00684CBC"/>
    <w:rsid w:val="00685480"/>
    <w:rsid w:val="0068618D"/>
    <w:rsid w:val="0069303F"/>
    <w:rsid w:val="00693190"/>
    <w:rsid w:val="00694534"/>
    <w:rsid w:val="00696B29"/>
    <w:rsid w:val="00697248"/>
    <w:rsid w:val="006A1C4E"/>
    <w:rsid w:val="006A1E00"/>
    <w:rsid w:val="006A3136"/>
    <w:rsid w:val="006B0DF5"/>
    <w:rsid w:val="006B0FDD"/>
    <w:rsid w:val="006B460B"/>
    <w:rsid w:val="006B7833"/>
    <w:rsid w:val="006C0364"/>
    <w:rsid w:val="006C03FD"/>
    <w:rsid w:val="006C1723"/>
    <w:rsid w:val="006C1DF1"/>
    <w:rsid w:val="006C40A0"/>
    <w:rsid w:val="006C7917"/>
    <w:rsid w:val="006C7DE8"/>
    <w:rsid w:val="006D0EB6"/>
    <w:rsid w:val="006D17F9"/>
    <w:rsid w:val="006D38D7"/>
    <w:rsid w:val="006D4DC6"/>
    <w:rsid w:val="006D4EBA"/>
    <w:rsid w:val="006D4F7B"/>
    <w:rsid w:val="006D50E5"/>
    <w:rsid w:val="006D5F5D"/>
    <w:rsid w:val="006D6C66"/>
    <w:rsid w:val="006D7273"/>
    <w:rsid w:val="006D779B"/>
    <w:rsid w:val="006E0BE9"/>
    <w:rsid w:val="006E3B80"/>
    <w:rsid w:val="006E4E7E"/>
    <w:rsid w:val="006E6422"/>
    <w:rsid w:val="006F2E43"/>
    <w:rsid w:val="006F36E2"/>
    <w:rsid w:val="006F7C4F"/>
    <w:rsid w:val="0070019E"/>
    <w:rsid w:val="007011F9"/>
    <w:rsid w:val="00706E0B"/>
    <w:rsid w:val="007139EC"/>
    <w:rsid w:val="00717137"/>
    <w:rsid w:val="00720841"/>
    <w:rsid w:val="00720B61"/>
    <w:rsid w:val="00725EC3"/>
    <w:rsid w:val="007270C9"/>
    <w:rsid w:val="007275A0"/>
    <w:rsid w:val="007307C4"/>
    <w:rsid w:val="00744333"/>
    <w:rsid w:val="00744D00"/>
    <w:rsid w:val="00744EF2"/>
    <w:rsid w:val="0074502F"/>
    <w:rsid w:val="00745AC3"/>
    <w:rsid w:val="00751BC5"/>
    <w:rsid w:val="00752042"/>
    <w:rsid w:val="00760CC6"/>
    <w:rsid w:val="00761DB7"/>
    <w:rsid w:val="0076529E"/>
    <w:rsid w:val="00767BA6"/>
    <w:rsid w:val="00772635"/>
    <w:rsid w:val="00772959"/>
    <w:rsid w:val="0077679E"/>
    <w:rsid w:val="00776F69"/>
    <w:rsid w:val="00777EF9"/>
    <w:rsid w:val="007815D1"/>
    <w:rsid w:val="007912BD"/>
    <w:rsid w:val="00794C98"/>
    <w:rsid w:val="00796E5C"/>
    <w:rsid w:val="007971BE"/>
    <w:rsid w:val="007972CD"/>
    <w:rsid w:val="00797A15"/>
    <w:rsid w:val="007A022D"/>
    <w:rsid w:val="007A05C4"/>
    <w:rsid w:val="007A5926"/>
    <w:rsid w:val="007A5F05"/>
    <w:rsid w:val="007A78B1"/>
    <w:rsid w:val="007B1F83"/>
    <w:rsid w:val="007B3899"/>
    <w:rsid w:val="007B5F62"/>
    <w:rsid w:val="007B7427"/>
    <w:rsid w:val="007B7831"/>
    <w:rsid w:val="007B785B"/>
    <w:rsid w:val="007C0228"/>
    <w:rsid w:val="007C198A"/>
    <w:rsid w:val="007C19A9"/>
    <w:rsid w:val="007C5F88"/>
    <w:rsid w:val="007D0844"/>
    <w:rsid w:val="007D118E"/>
    <w:rsid w:val="007D1BA6"/>
    <w:rsid w:val="007D2687"/>
    <w:rsid w:val="007D28FA"/>
    <w:rsid w:val="007D7017"/>
    <w:rsid w:val="007D7BCE"/>
    <w:rsid w:val="007E114B"/>
    <w:rsid w:val="007E13BE"/>
    <w:rsid w:val="007E35CF"/>
    <w:rsid w:val="007E5106"/>
    <w:rsid w:val="007E69D0"/>
    <w:rsid w:val="007F4CD1"/>
    <w:rsid w:val="007F75BD"/>
    <w:rsid w:val="008002B1"/>
    <w:rsid w:val="0080047C"/>
    <w:rsid w:val="00800E47"/>
    <w:rsid w:val="0080230B"/>
    <w:rsid w:val="008029E7"/>
    <w:rsid w:val="00804C19"/>
    <w:rsid w:val="00804D82"/>
    <w:rsid w:val="00804DEA"/>
    <w:rsid w:val="00805058"/>
    <w:rsid w:val="008051D3"/>
    <w:rsid w:val="00811062"/>
    <w:rsid w:val="008112BA"/>
    <w:rsid w:val="008124E7"/>
    <w:rsid w:val="00813E52"/>
    <w:rsid w:val="00814EF7"/>
    <w:rsid w:val="00817C77"/>
    <w:rsid w:val="00822CD2"/>
    <w:rsid w:val="008230D3"/>
    <w:rsid w:val="00824337"/>
    <w:rsid w:val="008249B6"/>
    <w:rsid w:val="00825EB8"/>
    <w:rsid w:val="00831564"/>
    <w:rsid w:val="008315E9"/>
    <w:rsid w:val="00831DBC"/>
    <w:rsid w:val="00833D58"/>
    <w:rsid w:val="00834EA3"/>
    <w:rsid w:val="00836AD9"/>
    <w:rsid w:val="00840651"/>
    <w:rsid w:val="0084127F"/>
    <w:rsid w:val="0084325B"/>
    <w:rsid w:val="00843814"/>
    <w:rsid w:val="0085199E"/>
    <w:rsid w:val="00851AED"/>
    <w:rsid w:val="0085263C"/>
    <w:rsid w:val="00852FEC"/>
    <w:rsid w:val="00853857"/>
    <w:rsid w:val="00855452"/>
    <w:rsid w:val="008603AF"/>
    <w:rsid w:val="00860924"/>
    <w:rsid w:val="00861064"/>
    <w:rsid w:val="0086140B"/>
    <w:rsid w:val="0086455C"/>
    <w:rsid w:val="008659D2"/>
    <w:rsid w:val="00866C59"/>
    <w:rsid w:val="00867875"/>
    <w:rsid w:val="00873DE5"/>
    <w:rsid w:val="00874761"/>
    <w:rsid w:val="00875A3C"/>
    <w:rsid w:val="00880A78"/>
    <w:rsid w:val="00882B88"/>
    <w:rsid w:val="00886346"/>
    <w:rsid w:val="00886F17"/>
    <w:rsid w:val="00890094"/>
    <w:rsid w:val="00896F0A"/>
    <w:rsid w:val="00897635"/>
    <w:rsid w:val="008A20FF"/>
    <w:rsid w:val="008A41C4"/>
    <w:rsid w:val="008A7424"/>
    <w:rsid w:val="008B33E2"/>
    <w:rsid w:val="008B48F0"/>
    <w:rsid w:val="008B71FA"/>
    <w:rsid w:val="008C2FFE"/>
    <w:rsid w:val="008C4586"/>
    <w:rsid w:val="008C4790"/>
    <w:rsid w:val="008C4D2B"/>
    <w:rsid w:val="008C6C7F"/>
    <w:rsid w:val="008D086B"/>
    <w:rsid w:val="008D1586"/>
    <w:rsid w:val="008D2CF1"/>
    <w:rsid w:val="008D34E8"/>
    <w:rsid w:val="008D6761"/>
    <w:rsid w:val="008D792A"/>
    <w:rsid w:val="008D7B72"/>
    <w:rsid w:val="008E302D"/>
    <w:rsid w:val="008E4220"/>
    <w:rsid w:val="008E54FF"/>
    <w:rsid w:val="008F03BC"/>
    <w:rsid w:val="008F6527"/>
    <w:rsid w:val="008F7140"/>
    <w:rsid w:val="008F78AB"/>
    <w:rsid w:val="00900BEA"/>
    <w:rsid w:val="009055C2"/>
    <w:rsid w:val="009117FC"/>
    <w:rsid w:val="009135F6"/>
    <w:rsid w:val="009147F3"/>
    <w:rsid w:val="009147FE"/>
    <w:rsid w:val="00914E4F"/>
    <w:rsid w:val="0092079A"/>
    <w:rsid w:val="00923948"/>
    <w:rsid w:val="00927640"/>
    <w:rsid w:val="00927C9C"/>
    <w:rsid w:val="00930352"/>
    <w:rsid w:val="0093186F"/>
    <w:rsid w:val="00932335"/>
    <w:rsid w:val="00932B62"/>
    <w:rsid w:val="00937393"/>
    <w:rsid w:val="009373EE"/>
    <w:rsid w:val="00937E90"/>
    <w:rsid w:val="00941B4A"/>
    <w:rsid w:val="00941F94"/>
    <w:rsid w:val="009450AE"/>
    <w:rsid w:val="009453EC"/>
    <w:rsid w:val="009466BC"/>
    <w:rsid w:val="009505A4"/>
    <w:rsid w:val="0095118F"/>
    <w:rsid w:val="00952C3D"/>
    <w:rsid w:val="0095315A"/>
    <w:rsid w:val="00955601"/>
    <w:rsid w:val="00957E31"/>
    <w:rsid w:val="00963648"/>
    <w:rsid w:val="00963C4A"/>
    <w:rsid w:val="00965D0E"/>
    <w:rsid w:val="00971132"/>
    <w:rsid w:val="009722A9"/>
    <w:rsid w:val="00972578"/>
    <w:rsid w:val="00973A61"/>
    <w:rsid w:val="00977150"/>
    <w:rsid w:val="00981592"/>
    <w:rsid w:val="00984055"/>
    <w:rsid w:val="00984AE0"/>
    <w:rsid w:val="00992813"/>
    <w:rsid w:val="00993CB9"/>
    <w:rsid w:val="009953E1"/>
    <w:rsid w:val="009A13CF"/>
    <w:rsid w:val="009A40AA"/>
    <w:rsid w:val="009B412A"/>
    <w:rsid w:val="009B41C4"/>
    <w:rsid w:val="009B731B"/>
    <w:rsid w:val="009B75E8"/>
    <w:rsid w:val="009C0B62"/>
    <w:rsid w:val="009C310E"/>
    <w:rsid w:val="009C3984"/>
    <w:rsid w:val="009C5533"/>
    <w:rsid w:val="009C6FCE"/>
    <w:rsid w:val="009C7A37"/>
    <w:rsid w:val="009D1783"/>
    <w:rsid w:val="009D4DAB"/>
    <w:rsid w:val="009D5851"/>
    <w:rsid w:val="009D5A30"/>
    <w:rsid w:val="009E1DFD"/>
    <w:rsid w:val="009E40F7"/>
    <w:rsid w:val="009F12C1"/>
    <w:rsid w:val="00A00A7D"/>
    <w:rsid w:val="00A07DDB"/>
    <w:rsid w:val="00A1267F"/>
    <w:rsid w:val="00A13E1A"/>
    <w:rsid w:val="00A14519"/>
    <w:rsid w:val="00A1496D"/>
    <w:rsid w:val="00A14AA8"/>
    <w:rsid w:val="00A16567"/>
    <w:rsid w:val="00A206C2"/>
    <w:rsid w:val="00A2190B"/>
    <w:rsid w:val="00A23B4D"/>
    <w:rsid w:val="00A27A2A"/>
    <w:rsid w:val="00A30048"/>
    <w:rsid w:val="00A324A5"/>
    <w:rsid w:val="00A34C43"/>
    <w:rsid w:val="00A352C5"/>
    <w:rsid w:val="00A3794A"/>
    <w:rsid w:val="00A37B39"/>
    <w:rsid w:val="00A4015F"/>
    <w:rsid w:val="00A412D3"/>
    <w:rsid w:val="00A4665E"/>
    <w:rsid w:val="00A477A6"/>
    <w:rsid w:val="00A47F79"/>
    <w:rsid w:val="00A50BAB"/>
    <w:rsid w:val="00A515D3"/>
    <w:rsid w:val="00A52089"/>
    <w:rsid w:val="00A52379"/>
    <w:rsid w:val="00A60457"/>
    <w:rsid w:val="00A60907"/>
    <w:rsid w:val="00A6498A"/>
    <w:rsid w:val="00A6565A"/>
    <w:rsid w:val="00A65D6C"/>
    <w:rsid w:val="00A66170"/>
    <w:rsid w:val="00A673D2"/>
    <w:rsid w:val="00A6765F"/>
    <w:rsid w:val="00A716F6"/>
    <w:rsid w:val="00A75738"/>
    <w:rsid w:val="00A7583C"/>
    <w:rsid w:val="00A760F2"/>
    <w:rsid w:val="00A76E6C"/>
    <w:rsid w:val="00A8027D"/>
    <w:rsid w:val="00A80B39"/>
    <w:rsid w:val="00A83A97"/>
    <w:rsid w:val="00A84230"/>
    <w:rsid w:val="00A85F89"/>
    <w:rsid w:val="00A866E8"/>
    <w:rsid w:val="00A913DB"/>
    <w:rsid w:val="00A93CA1"/>
    <w:rsid w:val="00A9650C"/>
    <w:rsid w:val="00A96C79"/>
    <w:rsid w:val="00AA055F"/>
    <w:rsid w:val="00AA0857"/>
    <w:rsid w:val="00AA10BF"/>
    <w:rsid w:val="00AA29C6"/>
    <w:rsid w:val="00AA4C8F"/>
    <w:rsid w:val="00AA4C90"/>
    <w:rsid w:val="00AA5B3F"/>
    <w:rsid w:val="00AA6F5C"/>
    <w:rsid w:val="00AB13CE"/>
    <w:rsid w:val="00AB34C6"/>
    <w:rsid w:val="00AB3C94"/>
    <w:rsid w:val="00AB622E"/>
    <w:rsid w:val="00AB745C"/>
    <w:rsid w:val="00AC0C90"/>
    <w:rsid w:val="00AC1191"/>
    <w:rsid w:val="00AC14DC"/>
    <w:rsid w:val="00AC20CD"/>
    <w:rsid w:val="00AC3D76"/>
    <w:rsid w:val="00AC5338"/>
    <w:rsid w:val="00AC5B01"/>
    <w:rsid w:val="00AC5D8A"/>
    <w:rsid w:val="00AC64DF"/>
    <w:rsid w:val="00AD2878"/>
    <w:rsid w:val="00AD3E53"/>
    <w:rsid w:val="00AD441A"/>
    <w:rsid w:val="00AD5C7C"/>
    <w:rsid w:val="00AE06FB"/>
    <w:rsid w:val="00AE0980"/>
    <w:rsid w:val="00AE108B"/>
    <w:rsid w:val="00AE1875"/>
    <w:rsid w:val="00AE30D7"/>
    <w:rsid w:val="00AE3BDE"/>
    <w:rsid w:val="00AE5382"/>
    <w:rsid w:val="00AF0BA6"/>
    <w:rsid w:val="00AF373F"/>
    <w:rsid w:val="00AF4AD4"/>
    <w:rsid w:val="00AF5C0A"/>
    <w:rsid w:val="00AF7793"/>
    <w:rsid w:val="00B0125A"/>
    <w:rsid w:val="00B02482"/>
    <w:rsid w:val="00B032B4"/>
    <w:rsid w:val="00B0507E"/>
    <w:rsid w:val="00B10AB8"/>
    <w:rsid w:val="00B11F8B"/>
    <w:rsid w:val="00B120D3"/>
    <w:rsid w:val="00B1470F"/>
    <w:rsid w:val="00B14A98"/>
    <w:rsid w:val="00B14A9F"/>
    <w:rsid w:val="00B15494"/>
    <w:rsid w:val="00B16650"/>
    <w:rsid w:val="00B23D92"/>
    <w:rsid w:val="00B2483C"/>
    <w:rsid w:val="00B248B8"/>
    <w:rsid w:val="00B25C4E"/>
    <w:rsid w:val="00B25CF3"/>
    <w:rsid w:val="00B34BAE"/>
    <w:rsid w:val="00B35EA8"/>
    <w:rsid w:val="00B35EE8"/>
    <w:rsid w:val="00B37832"/>
    <w:rsid w:val="00B4206D"/>
    <w:rsid w:val="00B43EA8"/>
    <w:rsid w:val="00B43F53"/>
    <w:rsid w:val="00B44392"/>
    <w:rsid w:val="00B4495A"/>
    <w:rsid w:val="00B44C2A"/>
    <w:rsid w:val="00B512E5"/>
    <w:rsid w:val="00B530CA"/>
    <w:rsid w:val="00B540FC"/>
    <w:rsid w:val="00B558D6"/>
    <w:rsid w:val="00B56140"/>
    <w:rsid w:val="00B60041"/>
    <w:rsid w:val="00B6097E"/>
    <w:rsid w:val="00B61EE0"/>
    <w:rsid w:val="00B62A9B"/>
    <w:rsid w:val="00B65C6C"/>
    <w:rsid w:val="00B702C2"/>
    <w:rsid w:val="00B745DD"/>
    <w:rsid w:val="00B767E1"/>
    <w:rsid w:val="00B82875"/>
    <w:rsid w:val="00B8294C"/>
    <w:rsid w:val="00B839B5"/>
    <w:rsid w:val="00B973AF"/>
    <w:rsid w:val="00BA1CB7"/>
    <w:rsid w:val="00BA3D20"/>
    <w:rsid w:val="00BA43EA"/>
    <w:rsid w:val="00BA5FD5"/>
    <w:rsid w:val="00BA6A9D"/>
    <w:rsid w:val="00BA6B13"/>
    <w:rsid w:val="00BB1825"/>
    <w:rsid w:val="00BB429A"/>
    <w:rsid w:val="00BB5560"/>
    <w:rsid w:val="00BB7287"/>
    <w:rsid w:val="00BB7AA5"/>
    <w:rsid w:val="00BC1F64"/>
    <w:rsid w:val="00BC2612"/>
    <w:rsid w:val="00BC4FE6"/>
    <w:rsid w:val="00BD058B"/>
    <w:rsid w:val="00BD0E91"/>
    <w:rsid w:val="00BD14BC"/>
    <w:rsid w:val="00BD36DB"/>
    <w:rsid w:val="00BD3800"/>
    <w:rsid w:val="00BD3D29"/>
    <w:rsid w:val="00BD5AB5"/>
    <w:rsid w:val="00BD5FF9"/>
    <w:rsid w:val="00BE1361"/>
    <w:rsid w:val="00BE19BF"/>
    <w:rsid w:val="00BE234C"/>
    <w:rsid w:val="00BE29F2"/>
    <w:rsid w:val="00BE35BF"/>
    <w:rsid w:val="00BE47CE"/>
    <w:rsid w:val="00BE5646"/>
    <w:rsid w:val="00BF00FB"/>
    <w:rsid w:val="00BF0B1D"/>
    <w:rsid w:val="00BF0FE4"/>
    <w:rsid w:val="00BF1704"/>
    <w:rsid w:val="00BF7316"/>
    <w:rsid w:val="00C01590"/>
    <w:rsid w:val="00C01949"/>
    <w:rsid w:val="00C01BBC"/>
    <w:rsid w:val="00C02EBF"/>
    <w:rsid w:val="00C072F4"/>
    <w:rsid w:val="00C12D6E"/>
    <w:rsid w:val="00C2225E"/>
    <w:rsid w:val="00C23A9D"/>
    <w:rsid w:val="00C2439E"/>
    <w:rsid w:val="00C24FA4"/>
    <w:rsid w:val="00C26475"/>
    <w:rsid w:val="00C31658"/>
    <w:rsid w:val="00C32D2E"/>
    <w:rsid w:val="00C33412"/>
    <w:rsid w:val="00C358BF"/>
    <w:rsid w:val="00C44849"/>
    <w:rsid w:val="00C45956"/>
    <w:rsid w:val="00C4702C"/>
    <w:rsid w:val="00C5285B"/>
    <w:rsid w:val="00C5500F"/>
    <w:rsid w:val="00C57126"/>
    <w:rsid w:val="00C5783F"/>
    <w:rsid w:val="00C60314"/>
    <w:rsid w:val="00C608D0"/>
    <w:rsid w:val="00C6229E"/>
    <w:rsid w:val="00C63348"/>
    <w:rsid w:val="00C63D7F"/>
    <w:rsid w:val="00C6492F"/>
    <w:rsid w:val="00C66F25"/>
    <w:rsid w:val="00C7302D"/>
    <w:rsid w:val="00C75BF5"/>
    <w:rsid w:val="00C76AAF"/>
    <w:rsid w:val="00C77E55"/>
    <w:rsid w:val="00C8084E"/>
    <w:rsid w:val="00C81777"/>
    <w:rsid w:val="00C8202A"/>
    <w:rsid w:val="00C820FC"/>
    <w:rsid w:val="00C82A52"/>
    <w:rsid w:val="00C83321"/>
    <w:rsid w:val="00C83F4A"/>
    <w:rsid w:val="00C84F43"/>
    <w:rsid w:val="00C86353"/>
    <w:rsid w:val="00C931E9"/>
    <w:rsid w:val="00C9364B"/>
    <w:rsid w:val="00C9626A"/>
    <w:rsid w:val="00C969B0"/>
    <w:rsid w:val="00C97EF4"/>
    <w:rsid w:val="00CA4A22"/>
    <w:rsid w:val="00CA5430"/>
    <w:rsid w:val="00CA7932"/>
    <w:rsid w:val="00CB204E"/>
    <w:rsid w:val="00CB5CD1"/>
    <w:rsid w:val="00CB65AA"/>
    <w:rsid w:val="00CB6617"/>
    <w:rsid w:val="00CC1F62"/>
    <w:rsid w:val="00CC7D21"/>
    <w:rsid w:val="00CD069B"/>
    <w:rsid w:val="00CD2195"/>
    <w:rsid w:val="00CD4343"/>
    <w:rsid w:val="00CD529D"/>
    <w:rsid w:val="00CD5CA0"/>
    <w:rsid w:val="00CE0B81"/>
    <w:rsid w:val="00CE15B2"/>
    <w:rsid w:val="00CE366D"/>
    <w:rsid w:val="00CE4322"/>
    <w:rsid w:val="00CF0BE5"/>
    <w:rsid w:val="00CF1224"/>
    <w:rsid w:val="00CF77EE"/>
    <w:rsid w:val="00D00CCB"/>
    <w:rsid w:val="00D05786"/>
    <w:rsid w:val="00D0698F"/>
    <w:rsid w:val="00D07DD4"/>
    <w:rsid w:val="00D1084F"/>
    <w:rsid w:val="00D11E5D"/>
    <w:rsid w:val="00D21024"/>
    <w:rsid w:val="00D214AA"/>
    <w:rsid w:val="00D24E06"/>
    <w:rsid w:val="00D25A2B"/>
    <w:rsid w:val="00D26419"/>
    <w:rsid w:val="00D3028F"/>
    <w:rsid w:val="00D30AF2"/>
    <w:rsid w:val="00D30C66"/>
    <w:rsid w:val="00D319B0"/>
    <w:rsid w:val="00D3252D"/>
    <w:rsid w:val="00D41A2E"/>
    <w:rsid w:val="00D42999"/>
    <w:rsid w:val="00D461B5"/>
    <w:rsid w:val="00D5320C"/>
    <w:rsid w:val="00D53FB1"/>
    <w:rsid w:val="00D62C93"/>
    <w:rsid w:val="00D63054"/>
    <w:rsid w:val="00D63213"/>
    <w:rsid w:val="00D65112"/>
    <w:rsid w:val="00D70231"/>
    <w:rsid w:val="00D70307"/>
    <w:rsid w:val="00D709AE"/>
    <w:rsid w:val="00D71CFB"/>
    <w:rsid w:val="00D72F8A"/>
    <w:rsid w:val="00D73B71"/>
    <w:rsid w:val="00D743C4"/>
    <w:rsid w:val="00D7486B"/>
    <w:rsid w:val="00D760EB"/>
    <w:rsid w:val="00D761E3"/>
    <w:rsid w:val="00D77EC9"/>
    <w:rsid w:val="00D85DFB"/>
    <w:rsid w:val="00D863CD"/>
    <w:rsid w:val="00D87341"/>
    <w:rsid w:val="00D87891"/>
    <w:rsid w:val="00D901DF"/>
    <w:rsid w:val="00D9277F"/>
    <w:rsid w:val="00D937A3"/>
    <w:rsid w:val="00D9662F"/>
    <w:rsid w:val="00D96F5E"/>
    <w:rsid w:val="00DA193B"/>
    <w:rsid w:val="00DA6D6B"/>
    <w:rsid w:val="00DA7DB6"/>
    <w:rsid w:val="00DB1C1F"/>
    <w:rsid w:val="00DB2B4A"/>
    <w:rsid w:val="00DB5207"/>
    <w:rsid w:val="00DC1C8F"/>
    <w:rsid w:val="00DC4759"/>
    <w:rsid w:val="00DC5C95"/>
    <w:rsid w:val="00DC5F30"/>
    <w:rsid w:val="00DD0280"/>
    <w:rsid w:val="00DD02A4"/>
    <w:rsid w:val="00DD0390"/>
    <w:rsid w:val="00DD0C89"/>
    <w:rsid w:val="00DD1676"/>
    <w:rsid w:val="00DD22F3"/>
    <w:rsid w:val="00DD3593"/>
    <w:rsid w:val="00DD5838"/>
    <w:rsid w:val="00DD6307"/>
    <w:rsid w:val="00DD65C4"/>
    <w:rsid w:val="00DE373E"/>
    <w:rsid w:val="00DE45F3"/>
    <w:rsid w:val="00DE5D8D"/>
    <w:rsid w:val="00DE72C5"/>
    <w:rsid w:val="00DE7A8C"/>
    <w:rsid w:val="00DF3BA7"/>
    <w:rsid w:val="00DF4263"/>
    <w:rsid w:val="00DF6B65"/>
    <w:rsid w:val="00E004DB"/>
    <w:rsid w:val="00E00E27"/>
    <w:rsid w:val="00E02104"/>
    <w:rsid w:val="00E02665"/>
    <w:rsid w:val="00E0291D"/>
    <w:rsid w:val="00E0313C"/>
    <w:rsid w:val="00E03C26"/>
    <w:rsid w:val="00E048CA"/>
    <w:rsid w:val="00E04F66"/>
    <w:rsid w:val="00E07C15"/>
    <w:rsid w:val="00E126CF"/>
    <w:rsid w:val="00E12F72"/>
    <w:rsid w:val="00E13B13"/>
    <w:rsid w:val="00E16583"/>
    <w:rsid w:val="00E2327E"/>
    <w:rsid w:val="00E2394A"/>
    <w:rsid w:val="00E23A39"/>
    <w:rsid w:val="00E2552A"/>
    <w:rsid w:val="00E2588A"/>
    <w:rsid w:val="00E305AA"/>
    <w:rsid w:val="00E31A1B"/>
    <w:rsid w:val="00E347DE"/>
    <w:rsid w:val="00E34B3F"/>
    <w:rsid w:val="00E4139B"/>
    <w:rsid w:val="00E42DC9"/>
    <w:rsid w:val="00E44D2F"/>
    <w:rsid w:val="00E45E2B"/>
    <w:rsid w:val="00E4783D"/>
    <w:rsid w:val="00E542F6"/>
    <w:rsid w:val="00E559E7"/>
    <w:rsid w:val="00E604AD"/>
    <w:rsid w:val="00E60E89"/>
    <w:rsid w:val="00E62630"/>
    <w:rsid w:val="00E62B2F"/>
    <w:rsid w:val="00E67611"/>
    <w:rsid w:val="00E71008"/>
    <w:rsid w:val="00E734A7"/>
    <w:rsid w:val="00E769F6"/>
    <w:rsid w:val="00E830E3"/>
    <w:rsid w:val="00E91645"/>
    <w:rsid w:val="00E929BE"/>
    <w:rsid w:val="00E9706A"/>
    <w:rsid w:val="00EA3C33"/>
    <w:rsid w:val="00EA443F"/>
    <w:rsid w:val="00EA4E47"/>
    <w:rsid w:val="00EA62F2"/>
    <w:rsid w:val="00EA7B0C"/>
    <w:rsid w:val="00EB13FF"/>
    <w:rsid w:val="00EB204D"/>
    <w:rsid w:val="00EB5085"/>
    <w:rsid w:val="00EC6457"/>
    <w:rsid w:val="00ED2148"/>
    <w:rsid w:val="00ED519D"/>
    <w:rsid w:val="00ED64E1"/>
    <w:rsid w:val="00EE373C"/>
    <w:rsid w:val="00EE555E"/>
    <w:rsid w:val="00EE5E20"/>
    <w:rsid w:val="00EE728C"/>
    <w:rsid w:val="00EF2018"/>
    <w:rsid w:val="00EF56A4"/>
    <w:rsid w:val="00EF6276"/>
    <w:rsid w:val="00EF7D7B"/>
    <w:rsid w:val="00F01749"/>
    <w:rsid w:val="00F02898"/>
    <w:rsid w:val="00F0423B"/>
    <w:rsid w:val="00F10E81"/>
    <w:rsid w:val="00F12CA6"/>
    <w:rsid w:val="00F1343E"/>
    <w:rsid w:val="00F2190F"/>
    <w:rsid w:val="00F24710"/>
    <w:rsid w:val="00F30310"/>
    <w:rsid w:val="00F4088F"/>
    <w:rsid w:val="00F44EDA"/>
    <w:rsid w:val="00F451D9"/>
    <w:rsid w:val="00F45B83"/>
    <w:rsid w:val="00F4610F"/>
    <w:rsid w:val="00F50034"/>
    <w:rsid w:val="00F5337B"/>
    <w:rsid w:val="00F54475"/>
    <w:rsid w:val="00F54765"/>
    <w:rsid w:val="00F54971"/>
    <w:rsid w:val="00F55225"/>
    <w:rsid w:val="00F57780"/>
    <w:rsid w:val="00F60254"/>
    <w:rsid w:val="00F666F0"/>
    <w:rsid w:val="00F66CEF"/>
    <w:rsid w:val="00F702B7"/>
    <w:rsid w:val="00F71077"/>
    <w:rsid w:val="00F71C25"/>
    <w:rsid w:val="00F75E89"/>
    <w:rsid w:val="00F76828"/>
    <w:rsid w:val="00F81E75"/>
    <w:rsid w:val="00F873CB"/>
    <w:rsid w:val="00F87FE4"/>
    <w:rsid w:val="00F92BD9"/>
    <w:rsid w:val="00F93D19"/>
    <w:rsid w:val="00F977E7"/>
    <w:rsid w:val="00FA039D"/>
    <w:rsid w:val="00FA2111"/>
    <w:rsid w:val="00FA2EA3"/>
    <w:rsid w:val="00FA3F01"/>
    <w:rsid w:val="00FA41A5"/>
    <w:rsid w:val="00FA46EE"/>
    <w:rsid w:val="00FA73BD"/>
    <w:rsid w:val="00FB14E6"/>
    <w:rsid w:val="00FB6B87"/>
    <w:rsid w:val="00FC0047"/>
    <w:rsid w:val="00FC296B"/>
    <w:rsid w:val="00FC2B08"/>
    <w:rsid w:val="00FC425A"/>
    <w:rsid w:val="00FC47A0"/>
    <w:rsid w:val="00FC6176"/>
    <w:rsid w:val="00FC61C2"/>
    <w:rsid w:val="00FC7371"/>
    <w:rsid w:val="00FD0F43"/>
    <w:rsid w:val="00FE029B"/>
    <w:rsid w:val="00FE0816"/>
    <w:rsid w:val="00FE3F5A"/>
    <w:rsid w:val="00FE4451"/>
    <w:rsid w:val="00FE53C2"/>
    <w:rsid w:val="00FF030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F70F852"/>
  <w15:docId w15:val="{397F7A68-CA30-4046-A3A5-1DF3B9901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97F24"/>
  </w:style>
  <w:style w:type="paragraph" w:styleId="Heading1">
    <w:name w:val="heading 1"/>
    <w:basedOn w:val="Normal"/>
    <w:next w:val="Normal"/>
    <w:link w:val="Heading1Char"/>
    <w:uiPriority w:val="9"/>
    <w:qFormat/>
    <w:rsid w:val="00311E5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E0313C"/>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semiHidden/>
    <w:unhideWhenUsed/>
    <w:qFormat/>
    <w:rsid w:val="006D0EB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A206C2"/>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2613A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7F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7F24"/>
  </w:style>
  <w:style w:type="paragraph" w:styleId="Footer">
    <w:name w:val="footer"/>
    <w:basedOn w:val="Normal"/>
    <w:link w:val="FooterChar"/>
    <w:uiPriority w:val="99"/>
    <w:unhideWhenUsed/>
    <w:rsid w:val="00597F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7F24"/>
  </w:style>
  <w:style w:type="character" w:styleId="Hyperlink">
    <w:name w:val="Hyperlink"/>
    <w:basedOn w:val="DefaultParagraphFont"/>
    <w:uiPriority w:val="99"/>
    <w:unhideWhenUsed/>
    <w:rsid w:val="00597F24"/>
    <w:rPr>
      <w:color w:val="0563C1" w:themeColor="hyperlink"/>
      <w:u w:val="single"/>
    </w:rPr>
  </w:style>
  <w:style w:type="paragraph" w:styleId="ListParagraph">
    <w:name w:val="List Paragraph"/>
    <w:basedOn w:val="Normal"/>
    <w:uiPriority w:val="34"/>
    <w:qFormat/>
    <w:rsid w:val="00597F24"/>
    <w:pPr>
      <w:ind w:left="720"/>
      <w:contextualSpacing/>
    </w:pPr>
  </w:style>
  <w:style w:type="paragraph" w:styleId="BalloonText">
    <w:name w:val="Balloon Text"/>
    <w:basedOn w:val="Normal"/>
    <w:link w:val="BalloonTextChar"/>
    <w:uiPriority w:val="99"/>
    <w:semiHidden/>
    <w:unhideWhenUsed/>
    <w:rsid w:val="00D937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37A3"/>
    <w:rPr>
      <w:rFonts w:ascii="Tahoma" w:hAnsi="Tahoma" w:cs="Tahoma"/>
      <w:sz w:val="16"/>
      <w:szCs w:val="16"/>
    </w:rPr>
  </w:style>
  <w:style w:type="table" w:styleId="TableGrid">
    <w:name w:val="Table Grid"/>
    <w:basedOn w:val="TableNormal"/>
    <w:uiPriority w:val="39"/>
    <w:rsid w:val="001B26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D5838"/>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react-xocs-alternative-link">
    <w:name w:val="react-xocs-alternative-link"/>
    <w:basedOn w:val="DefaultParagraphFont"/>
    <w:rsid w:val="000E445E"/>
  </w:style>
  <w:style w:type="character" w:customStyle="1" w:styleId="given-name">
    <w:name w:val="given-name"/>
    <w:basedOn w:val="DefaultParagraphFont"/>
    <w:rsid w:val="000E445E"/>
  </w:style>
  <w:style w:type="character" w:customStyle="1" w:styleId="text">
    <w:name w:val="text"/>
    <w:basedOn w:val="DefaultParagraphFont"/>
    <w:rsid w:val="000E445E"/>
  </w:style>
  <w:style w:type="character" w:customStyle="1" w:styleId="author-ref">
    <w:name w:val="author-ref"/>
    <w:basedOn w:val="DefaultParagraphFont"/>
    <w:rsid w:val="000E445E"/>
  </w:style>
  <w:style w:type="character" w:customStyle="1" w:styleId="Heading2Char">
    <w:name w:val="Heading 2 Char"/>
    <w:basedOn w:val="DefaultParagraphFont"/>
    <w:link w:val="Heading2"/>
    <w:uiPriority w:val="9"/>
    <w:rsid w:val="00E0313C"/>
    <w:rPr>
      <w:rFonts w:ascii="Times New Roman" w:eastAsia="Times New Roman" w:hAnsi="Times New Roman" w:cs="Times New Roman"/>
      <w:b/>
      <w:bCs/>
      <w:sz w:val="36"/>
      <w:szCs w:val="36"/>
      <w:lang w:val="en-US"/>
    </w:rPr>
  </w:style>
  <w:style w:type="character" w:customStyle="1" w:styleId="anchor-text">
    <w:name w:val="anchor-text"/>
    <w:basedOn w:val="DefaultParagraphFont"/>
    <w:rsid w:val="00E0313C"/>
  </w:style>
  <w:style w:type="paragraph" w:styleId="DocumentMap">
    <w:name w:val="Document Map"/>
    <w:basedOn w:val="Normal"/>
    <w:link w:val="DocumentMapChar"/>
    <w:uiPriority w:val="99"/>
    <w:semiHidden/>
    <w:unhideWhenUsed/>
    <w:rsid w:val="0018486F"/>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8486F"/>
    <w:rPr>
      <w:rFonts w:ascii="Tahoma" w:hAnsi="Tahoma" w:cs="Tahoma"/>
      <w:sz w:val="16"/>
      <w:szCs w:val="16"/>
    </w:rPr>
  </w:style>
  <w:style w:type="character" w:customStyle="1" w:styleId="fontstyle01">
    <w:name w:val="fontstyle01"/>
    <w:basedOn w:val="DefaultParagraphFont"/>
    <w:rsid w:val="00491179"/>
    <w:rPr>
      <w:rFonts w:ascii="TimesNewRomanPS-BoldMT" w:hAnsi="TimesNewRomanPS-BoldMT" w:hint="default"/>
      <w:b/>
      <w:bCs/>
      <w:i w:val="0"/>
      <w:iCs w:val="0"/>
      <w:color w:val="000000"/>
      <w:sz w:val="20"/>
      <w:szCs w:val="20"/>
    </w:rPr>
  </w:style>
  <w:style w:type="character" w:customStyle="1" w:styleId="fontstyle11">
    <w:name w:val="fontstyle11"/>
    <w:basedOn w:val="DefaultParagraphFont"/>
    <w:rsid w:val="00491179"/>
    <w:rPr>
      <w:rFonts w:ascii="TimesNewRomanPSMT" w:hAnsi="TimesNewRomanPSMT" w:hint="default"/>
      <w:b w:val="0"/>
      <w:bCs w:val="0"/>
      <w:i w:val="0"/>
      <w:iCs w:val="0"/>
      <w:color w:val="000000"/>
      <w:sz w:val="20"/>
      <w:szCs w:val="20"/>
    </w:rPr>
  </w:style>
  <w:style w:type="character" w:customStyle="1" w:styleId="fontstyle21">
    <w:name w:val="fontstyle21"/>
    <w:basedOn w:val="DefaultParagraphFont"/>
    <w:rsid w:val="00491179"/>
    <w:rPr>
      <w:rFonts w:ascii="TimesNewRomanPS-BoldMT" w:hAnsi="TimesNewRomanPS-BoldMT" w:hint="default"/>
      <w:b/>
      <w:bCs/>
      <w:i w:val="0"/>
      <w:iCs w:val="0"/>
      <w:color w:val="000000"/>
      <w:sz w:val="20"/>
      <w:szCs w:val="20"/>
    </w:rPr>
  </w:style>
  <w:style w:type="character" w:customStyle="1" w:styleId="Heading5Char">
    <w:name w:val="Heading 5 Char"/>
    <w:basedOn w:val="DefaultParagraphFont"/>
    <w:link w:val="Heading5"/>
    <w:uiPriority w:val="9"/>
    <w:semiHidden/>
    <w:rsid w:val="002613A0"/>
    <w:rPr>
      <w:rFonts w:asciiTheme="majorHAnsi" w:eastAsiaTheme="majorEastAsia" w:hAnsiTheme="majorHAnsi" w:cstheme="majorBidi"/>
      <w:color w:val="2E74B5" w:themeColor="accent1" w:themeShade="BF"/>
    </w:rPr>
  </w:style>
  <w:style w:type="character" w:customStyle="1" w:styleId="fontstyle31">
    <w:name w:val="fontstyle31"/>
    <w:basedOn w:val="DefaultParagraphFont"/>
    <w:rsid w:val="00657C63"/>
    <w:rPr>
      <w:rFonts w:ascii="TimesNewRomanPS-BoldItalicMT" w:hAnsi="TimesNewRomanPS-BoldItalicMT" w:hint="default"/>
      <w:b/>
      <w:bCs/>
      <w:i/>
      <w:iCs/>
      <w:color w:val="000000"/>
      <w:sz w:val="24"/>
      <w:szCs w:val="24"/>
    </w:rPr>
  </w:style>
  <w:style w:type="character" w:customStyle="1" w:styleId="fontstyle41">
    <w:name w:val="fontstyle41"/>
    <w:basedOn w:val="DefaultParagraphFont"/>
    <w:rsid w:val="00657C63"/>
    <w:rPr>
      <w:rFonts w:ascii="TimesNewRomanPS-ItalicMT" w:eastAsia="TimesNewRomanPS-ItalicMT" w:hint="eastAsia"/>
      <w:b w:val="0"/>
      <w:bCs w:val="0"/>
      <w:i/>
      <w:iCs/>
      <w:color w:val="000000"/>
      <w:sz w:val="20"/>
      <w:szCs w:val="20"/>
    </w:rPr>
  </w:style>
  <w:style w:type="character" w:customStyle="1" w:styleId="fontstyle51">
    <w:name w:val="fontstyle51"/>
    <w:basedOn w:val="DefaultParagraphFont"/>
    <w:rsid w:val="00657C63"/>
    <w:rPr>
      <w:rFonts w:ascii="Calibri" w:hAnsi="Calibri" w:cs="Calibri" w:hint="default"/>
      <w:b w:val="0"/>
      <w:bCs w:val="0"/>
      <w:i w:val="0"/>
      <w:iCs w:val="0"/>
      <w:color w:val="000000"/>
      <w:sz w:val="22"/>
      <w:szCs w:val="22"/>
    </w:rPr>
  </w:style>
  <w:style w:type="paragraph" w:styleId="Caption">
    <w:name w:val="caption"/>
    <w:basedOn w:val="Normal"/>
    <w:next w:val="Normal"/>
    <w:uiPriority w:val="35"/>
    <w:unhideWhenUsed/>
    <w:qFormat/>
    <w:rsid w:val="00561687"/>
    <w:pPr>
      <w:spacing w:after="200" w:line="240" w:lineRule="auto"/>
    </w:pPr>
    <w:rPr>
      <w:i/>
      <w:iCs/>
      <w:color w:val="44546A" w:themeColor="text2"/>
      <w:sz w:val="18"/>
      <w:szCs w:val="18"/>
      <w:lang w:val="fr-CM"/>
    </w:rPr>
  </w:style>
  <w:style w:type="character" w:customStyle="1" w:styleId="Heading4Char">
    <w:name w:val="Heading 4 Char"/>
    <w:basedOn w:val="DefaultParagraphFont"/>
    <w:link w:val="Heading4"/>
    <w:uiPriority w:val="9"/>
    <w:rsid w:val="00A206C2"/>
    <w:rPr>
      <w:rFonts w:asciiTheme="majorHAnsi" w:eastAsiaTheme="majorEastAsia" w:hAnsiTheme="majorHAnsi" w:cstheme="majorBidi"/>
      <w:i/>
      <w:iCs/>
      <w:color w:val="2E74B5" w:themeColor="accent1" w:themeShade="BF"/>
    </w:rPr>
  </w:style>
  <w:style w:type="paragraph" w:styleId="ListBullet">
    <w:name w:val="List Bullet"/>
    <w:basedOn w:val="Normal"/>
    <w:uiPriority w:val="99"/>
    <w:unhideWhenUsed/>
    <w:rsid w:val="0036374C"/>
    <w:pPr>
      <w:numPr>
        <w:numId w:val="6"/>
      </w:numPr>
      <w:tabs>
        <w:tab w:val="clear" w:pos="502"/>
        <w:tab w:val="num" w:pos="360"/>
      </w:tabs>
      <w:spacing w:after="200" w:line="276" w:lineRule="auto"/>
      <w:ind w:left="360"/>
      <w:contextualSpacing/>
    </w:pPr>
    <w:rPr>
      <w:rFonts w:eastAsiaTheme="minorEastAsia"/>
      <w:lang w:val="en-US"/>
    </w:rPr>
  </w:style>
  <w:style w:type="character" w:customStyle="1" w:styleId="Heading1Char">
    <w:name w:val="Heading 1 Char"/>
    <w:basedOn w:val="DefaultParagraphFont"/>
    <w:link w:val="Heading1"/>
    <w:uiPriority w:val="9"/>
    <w:rsid w:val="00311E5F"/>
    <w:rPr>
      <w:rFonts w:asciiTheme="majorHAnsi" w:eastAsiaTheme="majorEastAsia" w:hAnsiTheme="majorHAnsi" w:cstheme="majorBidi"/>
      <w:color w:val="2E74B5" w:themeColor="accent1" w:themeShade="BF"/>
      <w:sz w:val="32"/>
      <w:szCs w:val="32"/>
    </w:rPr>
  </w:style>
  <w:style w:type="character" w:styleId="PlaceholderText">
    <w:name w:val="Placeholder Text"/>
    <w:basedOn w:val="DefaultParagraphFont"/>
    <w:uiPriority w:val="99"/>
    <w:semiHidden/>
    <w:rsid w:val="008D086B"/>
    <w:rPr>
      <w:color w:val="808080"/>
    </w:rPr>
  </w:style>
  <w:style w:type="paragraph" w:styleId="NormalWeb">
    <w:name w:val="Normal (Web)"/>
    <w:basedOn w:val="Normal"/>
    <w:uiPriority w:val="99"/>
    <w:unhideWhenUsed/>
    <w:rsid w:val="00E126C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Emphasis">
    <w:name w:val="Emphasis"/>
    <w:basedOn w:val="DefaultParagraphFont"/>
    <w:uiPriority w:val="20"/>
    <w:qFormat/>
    <w:rsid w:val="00E126CF"/>
    <w:rPr>
      <w:i/>
      <w:iCs/>
    </w:rPr>
  </w:style>
  <w:style w:type="character" w:customStyle="1" w:styleId="lrzxr">
    <w:name w:val="lrzxr"/>
    <w:basedOn w:val="DefaultParagraphFont"/>
    <w:rsid w:val="00D85DFB"/>
  </w:style>
  <w:style w:type="character" w:styleId="CommentReference">
    <w:name w:val="annotation reference"/>
    <w:basedOn w:val="DefaultParagraphFont"/>
    <w:uiPriority w:val="99"/>
    <w:semiHidden/>
    <w:unhideWhenUsed/>
    <w:rsid w:val="00D87341"/>
    <w:rPr>
      <w:sz w:val="16"/>
      <w:szCs w:val="16"/>
    </w:rPr>
  </w:style>
  <w:style w:type="paragraph" w:styleId="CommentText">
    <w:name w:val="annotation text"/>
    <w:basedOn w:val="Normal"/>
    <w:link w:val="CommentTextChar"/>
    <w:uiPriority w:val="99"/>
    <w:semiHidden/>
    <w:unhideWhenUsed/>
    <w:rsid w:val="00D87341"/>
    <w:pPr>
      <w:spacing w:line="240" w:lineRule="auto"/>
    </w:pPr>
    <w:rPr>
      <w:sz w:val="20"/>
      <w:szCs w:val="20"/>
    </w:rPr>
  </w:style>
  <w:style w:type="character" w:customStyle="1" w:styleId="CommentTextChar">
    <w:name w:val="Comment Text Char"/>
    <w:basedOn w:val="DefaultParagraphFont"/>
    <w:link w:val="CommentText"/>
    <w:uiPriority w:val="99"/>
    <w:semiHidden/>
    <w:rsid w:val="00D87341"/>
    <w:rPr>
      <w:sz w:val="20"/>
      <w:szCs w:val="20"/>
    </w:rPr>
  </w:style>
  <w:style w:type="paragraph" w:styleId="CommentSubject">
    <w:name w:val="annotation subject"/>
    <w:basedOn w:val="CommentText"/>
    <w:next w:val="CommentText"/>
    <w:link w:val="CommentSubjectChar"/>
    <w:uiPriority w:val="99"/>
    <w:semiHidden/>
    <w:unhideWhenUsed/>
    <w:rsid w:val="00D87341"/>
    <w:rPr>
      <w:b/>
      <w:bCs/>
    </w:rPr>
  </w:style>
  <w:style w:type="character" w:customStyle="1" w:styleId="CommentSubjectChar">
    <w:name w:val="Comment Subject Char"/>
    <w:basedOn w:val="CommentTextChar"/>
    <w:link w:val="CommentSubject"/>
    <w:uiPriority w:val="99"/>
    <w:semiHidden/>
    <w:rsid w:val="00D87341"/>
    <w:rPr>
      <w:b/>
      <w:bCs/>
      <w:sz w:val="20"/>
      <w:szCs w:val="20"/>
    </w:rPr>
  </w:style>
  <w:style w:type="paragraph" w:styleId="NoSpacing">
    <w:name w:val="No Spacing"/>
    <w:uiPriority w:val="1"/>
    <w:qFormat/>
    <w:rsid w:val="00B44392"/>
    <w:pPr>
      <w:spacing w:after="0" w:line="240" w:lineRule="auto"/>
    </w:pPr>
  </w:style>
  <w:style w:type="character" w:customStyle="1" w:styleId="Mentionnonrsolue1">
    <w:name w:val="Mention non résolue1"/>
    <w:basedOn w:val="DefaultParagraphFont"/>
    <w:uiPriority w:val="99"/>
    <w:semiHidden/>
    <w:unhideWhenUsed/>
    <w:rsid w:val="004A12A2"/>
    <w:rPr>
      <w:color w:val="605E5C"/>
      <w:shd w:val="clear" w:color="auto" w:fill="E1DFDD"/>
    </w:rPr>
  </w:style>
  <w:style w:type="character" w:styleId="FollowedHyperlink">
    <w:name w:val="FollowedHyperlink"/>
    <w:basedOn w:val="DefaultParagraphFont"/>
    <w:uiPriority w:val="99"/>
    <w:semiHidden/>
    <w:unhideWhenUsed/>
    <w:rsid w:val="00AF0BA6"/>
    <w:rPr>
      <w:color w:val="954F72" w:themeColor="followedHyperlink"/>
      <w:u w:val="single"/>
    </w:rPr>
  </w:style>
  <w:style w:type="character" w:customStyle="1" w:styleId="Heading3Char">
    <w:name w:val="Heading 3 Char"/>
    <w:basedOn w:val="DefaultParagraphFont"/>
    <w:link w:val="Heading3"/>
    <w:uiPriority w:val="9"/>
    <w:semiHidden/>
    <w:rsid w:val="006D0EB6"/>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866876">
      <w:bodyDiv w:val="1"/>
      <w:marLeft w:val="0"/>
      <w:marRight w:val="0"/>
      <w:marTop w:val="0"/>
      <w:marBottom w:val="0"/>
      <w:divBdr>
        <w:top w:val="none" w:sz="0" w:space="0" w:color="auto"/>
        <w:left w:val="none" w:sz="0" w:space="0" w:color="auto"/>
        <w:bottom w:val="none" w:sz="0" w:space="0" w:color="auto"/>
        <w:right w:val="none" w:sz="0" w:space="0" w:color="auto"/>
      </w:divBdr>
    </w:div>
    <w:div w:id="59796626">
      <w:bodyDiv w:val="1"/>
      <w:marLeft w:val="0"/>
      <w:marRight w:val="0"/>
      <w:marTop w:val="0"/>
      <w:marBottom w:val="0"/>
      <w:divBdr>
        <w:top w:val="none" w:sz="0" w:space="0" w:color="auto"/>
        <w:left w:val="none" w:sz="0" w:space="0" w:color="auto"/>
        <w:bottom w:val="none" w:sz="0" w:space="0" w:color="auto"/>
        <w:right w:val="none" w:sz="0" w:space="0" w:color="auto"/>
      </w:divBdr>
    </w:div>
    <w:div w:id="94979437">
      <w:bodyDiv w:val="1"/>
      <w:marLeft w:val="0"/>
      <w:marRight w:val="0"/>
      <w:marTop w:val="0"/>
      <w:marBottom w:val="0"/>
      <w:divBdr>
        <w:top w:val="none" w:sz="0" w:space="0" w:color="auto"/>
        <w:left w:val="none" w:sz="0" w:space="0" w:color="auto"/>
        <w:bottom w:val="none" w:sz="0" w:space="0" w:color="auto"/>
        <w:right w:val="none" w:sz="0" w:space="0" w:color="auto"/>
      </w:divBdr>
    </w:div>
    <w:div w:id="116721639">
      <w:bodyDiv w:val="1"/>
      <w:marLeft w:val="0"/>
      <w:marRight w:val="0"/>
      <w:marTop w:val="0"/>
      <w:marBottom w:val="0"/>
      <w:divBdr>
        <w:top w:val="none" w:sz="0" w:space="0" w:color="auto"/>
        <w:left w:val="none" w:sz="0" w:space="0" w:color="auto"/>
        <w:bottom w:val="none" w:sz="0" w:space="0" w:color="auto"/>
        <w:right w:val="none" w:sz="0" w:space="0" w:color="auto"/>
      </w:divBdr>
    </w:div>
    <w:div w:id="141237394">
      <w:bodyDiv w:val="1"/>
      <w:marLeft w:val="0"/>
      <w:marRight w:val="0"/>
      <w:marTop w:val="0"/>
      <w:marBottom w:val="0"/>
      <w:divBdr>
        <w:top w:val="none" w:sz="0" w:space="0" w:color="auto"/>
        <w:left w:val="none" w:sz="0" w:space="0" w:color="auto"/>
        <w:bottom w:val="none" w:sz="0" w:space="0" w:color="auto"/>
        <w:right w:val="none" w:sz="0" w:space="0" w:color="auto"/>
      </w:divBdr>
    </w:div>
    <w:div w:id="341787976">
      <w:bodyDiv w:val="1"/>
      <w:marLeft w:val="0"/>
      <w:marRight w:val="0"/>
      <w:marTop w:val="0"/>
      <w:marBottom w:val="0"/>
      <w:divBdr>
        <w:top w:val="none" w:sz="0" w:space="0" w:color="auto"/>
        <w:left w:val="none" w:sz="0" w:space="0" w:color="auto"/>
        <w:bottom w:val="none" w:sz="0" w:space="0" w:color="auto"/>
        <w:right w:val="none" w:sz="0" w:space="0" w:color="auto"/>
      </w:divBdr>
    </w:div>
    <w:div w:id="365065741">
      <w:bodyDiv w:val="1"/>
      <w:marLeft w:val="0"/>
      <w:marRight w:val="0"/>
      <w:marTop w:val="0"/>
      <w:marBottom w:val="0"/>
      <w:divBdr>
        <w:top w:val="none" w:sz="0" w:space="0" w:color="auto"/>
        <w:left w:val="none" w:sz="0" w:space="0" w:color="auto"/>
        <w:bottom w:val="none" w:sz="0" w:space="0" w:color="auto"/>
        <w:right w:val="none" w:sz="0" w:space="0" w:color="auto"/>
      </w:divBdr>
    </w:div>
    <w:div w:id="620652099">
      <w:bodyDiv w:val="1"/>
      <w:marLeft w:val="0"/>
      <w:marRight w:val="0"/>
      <w:marTop w:val="0"/>
      <w:marBottom w:val="0"/>
      <w:divBdr>
        <w:top w:val="none" w:sz="0" w:space="0" w:color="auto"/>
        <w:left w:val="none" w:sz="0" w:space="0" w:color="auto"/>
        <w:bottom w:val="none" w:sz="0" w:space="0" w:color="auto"/>
        <w:right w:val="none" w:sz="0" w:space="0" w:color="auto"/>
      </w:divBdr>
    </w:div>
    <w:div w:id="621037969">
      <w:bodyDiv w:val="1"/>
      <w:marLeft w:val="0"/>
      <w:marRight w:val="0"/>
      <w:marTop w:val="0"/>
      <w:marBottom w:val="0"/>
      <w:divBdr>
        <w:top w:val="none" w:sz="0" w:space="0" w:color="auto"/>
        <w:left w:val="none" w:sz="0" w:space="0" w:color="auto"/>
        <w:bottom w:val="none" w:sz="0" w:space="0" w:color="auto"/>
        <w:right w:val="none" w:sz="0" w:space="0" w:color="auto"/>
      </w:divBdr>
    </w:div>
    <w:div w:id="652611712">
      <w:bodyDiv w:val="1"/>
      <w:marLeft w:val="0"/>
      <w:marRight w:val="0"/>
      <w:marTop w:val="0"/>
      <w:marBottom w:val="0"/>
      <w:divBdr>
        <w:top w:val="none" w:sz="0" w:space="0" w:color="auto"/>
        <w:left w:val="none" w:sz="0" w:space="0" w:color="auto"/>
        <w:bottom w:val="none" w:sz="0" w:space="0" w:color="auto"/>
        <w:right w:val="none" w:sz="0" w:space="0" w:color="auto"/>
      </w:divBdr>
    </w:div>
    <w:div w:id="712928223">
      <w:bodyDiv w:val="1"/>
      <w:marLeft w:val="0"/>
      <w:marRight w:val="0"/>
      <w:marTop w:val="0"/>
      <w:marBottom w:val="0"/>
      <w:divBdr>
        <w:top w:val="none" w:sz="0" w:space="0" w:color="auto"/>
        <w:left w:val="none" w:sz="0" w:space="0" w:color="auto"/>
        <w:bottom w:val="none" w:sz="0" w:space="0" w:color="auto"/>
        <w:right w:val="none" w:sz="0" w:space="0" w:color="auto"/>
      </w:divBdr>
    </w:div>
    <w:div w:id="783961309">
      <w:bodyDiv w:val="1"/>
      <w:marLeft w:val="0"/>
      <w:marRight w:val="0"/>
      <w:marTop w:val="0"/>
      <w:marBottom w:val="0"/>
      <w:divBdr>
        <w:top w:val="none" w:sz="0" w:space="0" w:color="auto"/>
        <w:left w:val="none" w:sz="0" w:space="0" w:color="auto"/>
        <w:bottom w:val="none" w:sz="0" w:space="0" w:color="auto"/>
        <w:right w:val="none" w:sz="0" w:space="0" w:color="auto"/>
      </w:divBdr>
    </w:div>
    <w:div w:id="802499276">
      <w:bodyDiv w:val="1"/>
      <w:marLeft w:val="0"/>
      <w:marRight w:val="0"/>
      <w:marTop w:val="0"/>
      <w:marBottom w:val="0"/>
      <w:divBdr>
        <w:top w:val="none" w:sz="0" w:space="0" w:color="auto"/>
        <w:left w:val="none" w:sz="0" w:space="0" w:color="auto"/>
        <w:bottom w:val="none" w:sz="0" w:space="0" w:color="auto"/>
        <w:right w:val="none" w:sz="0" w:space="0" w:color="auto"/>
      </w:divBdr>
    </w:div>
    <w:div w:id="887188675">
      <w:bodyDiv w:val="1"/>
      <w:marLeft w:val="0"/>
      <w:marRight w:val="0"/>
      <w:marTop w:val="0"/>
      <w:marBottom w:val="0"/>
      <w:divBdr>
        <w:top w:val="none" w:sz="0" w:space="0" w:color="auto"/>
        <w:left w:val="none" w:sz="0" w:space="0" w:color="auto"/>
        <w:bottom w:val="none" w:sz="0" w:space="0" w:color="auto"/>
        <w:right w:val="none" w:sz="0" w:space="0" w:color="auto"/>
      </w:divBdr>
    </w:div>
    <w:div w:id="933854955">
      <w:bodyDiv w:val="1"/>
      <w:marLeft w:val="0"/>
      <w:marRight w:val="0"/>
      <w:marTop w:val="0"/>
      <w:marBottom w:val="0"/>
      <w:divBdr>
        <w:top w:val="none" w:sz="0" w:space="0" w:color="auto"/>
        <w:left w:val="none" w:sz="0" w:space="0" w:color="auto"/>
        <w:bottom w:val="none" w:sz="0" w:space="0" w:color="auto"/>
        <w:right w:val="none" w:sz="0" w:space="0" w:color="auto"/>
      </w:divBdr>
    </w:div>
    <w:div w:id="956714584">
      <w:bodyDiv w:val="1"/>
      <w:marLeft w:val="0"/>
      <w:marRight w:val="0"/>
      <w:marTop w:val="0"/>
      <w:marBottom w:val="0"/>
      <w:divBdr>
        <w:top w:val="none" w:sz="0" w:space="0" w:color="auto"/>
        <w:left w:val="none" w:sz="0" w:space="0" w:color="auto"/>
        <w:bottom w:val="none" w:sz="0" w:space="0" w:color="auto"/>
        <w:right w:val="none" w:sz="0" w:space="0" w:color="auto"/>
      </w:divBdr>
    </w:div>
    <w:div w:id="1000307783">
      <w:bodyDiv w:val="1"/>
      <w:marLeft w:val="0"/>
      <w:marRight w:val="0"/>
      <w:marTop w:val="0"/>
      <w:marBottom w:val="0"/>
      <w:divBdr>
        <w:top w:val="none" w:sz="0" w:space="0" w:color="auto"/>
        <w:left w:val="none" w:sz="0" w:space="0" w:color="auto"/>
        <w:bottom w:val="none" w:sz="0" w:space="0" w:color="auto"/>
        <w:right w:val="none" w:sz="0" w:space="0" w:color="auto"/>
      </w:divBdr>
    </w:div>
    <w:div w:id="1102913384">
      <w:bodyDiv w:val="1"/>
      <w:marLeft w:val="0"/>
      <w:marRight w:val="0"/>
      <w:marTop w:val="0"/>
      <w:marBottom w:val="0"/>
      <w:divBdr>
        <w:top w:val="none" w:sz="0" w:space="0" w:color="auto"/>
        <w:left w:val="none" w:sz="0" w:space="0" w:color="auto"/>
        <w:bottom w:val="none" w:sz="0" w:space="0" w:color="auto"/>
        <w:right w:val="none" w:sz="0" w:space="0" w:color="auto"/>
      </w:divBdr>
    </w:div>
    <w:div w:id="1269267668">
      <w:bodyDiv w:val="1"/>
      <w:marLeft w:val="0"/>
      <w:marRight w:val="0"/>
      <w:marTop w:val="0"/>
      <w:marBottom w:val="0"/>
      <w:divBdr>
        <w:top w:val="none" w:sz="0" w:space="0" w:color="auto"/>
        <w:left w:val="none" w:sz="0" w:space="0" w:color="auto"/>
        <w:bottom w:val="none" w:sz="0" w:space="0" w:color="auto"/>
        <w:right w:val="none" w:sz="0" w:space="0" w:color="auto"/>
      </w:divBdr>
    </w:div>
    <w:div w:id="1371221644">
      <w:bodyDiv w:val="1"/>
      <w:marLeft w:val="0"/>
      <w:marRight w:val="0"/>
      <w:marTop w:val="0"/>
      <w:marBottom w:val="0"/>
      <w:divBdr>
        <w:top w:val="none" w:sz="0" w:space="0" w:color="auto"/>
        <w:left w:val="none" w:sz="0" w:space="0" w:color="auto"/>
        <w:bottom w:val="none" w:sz="0" w:space="0" w:color="auto"/>
        <w:right w:val="none" w:sz="0" w:space="0" w:color="auto"/>
      </w:divBdr>
    </w:div>
    <w:div w:id="1389261298">
      <w:bodyDiv w:val="1"/>
      <w:marLeft w:val="0"/>
      <w:marRight w:val="0"/>
      <w:marTop w:val="0"/>
      <w:marBottom w:val="0"/>
      <w:divBdr>
        <w:top w:val="none" w:sz="0" w:space="0" w:color="auto"/>
        <w:left w:val="none" w:sz="0" w:space="0" w:color="auto"/>
        <w:bottom w:val="none" w:sz="0" w:space="0" w:color="auto"/>
        <w:right w:val="none" w:sz="0" w:space="0" w:color="auto"/>
      </w:divBdr>
    </w:div>
    <w:div w:id="1547062818">
      <w:bodyDiv w:val="1"/>
      <w:marLeft w:val="0"/>
      <w:marRight w:val="0"/>
      <w:marTop w:val="0"/>
      <w:marBottom w:val="0"/>
      <w:divBdr>
        <w:top w:val="none" w:sz="0" w:space="0" w:color="auto"/>
        <w:left w:val="none" w:sz="0" w:space="0" w:color="auto"/>
        <w:bottom w:val="none" w:sz="0" w:space="0" w:color="auto"/>
        <w:right w:val="none" w:sz="0" w:space="0" w:color="auto"/>
      </w:divBdr>
    </w:div>
    <w:div w:id="1656227816">
      <w:bodyDiv w:val="1"/>
      <w:marLeft w:val="0"/>
      <w:marRight w:val="0"/>
      <w:marTop w:val="0"/>
      <w:marBottom w:val="0"/>
      <w:divBdr>
        <w:top w:val="none" w:sz="0" w:space="0" w:color="auto"/>
        <w:left w:val="none" w:sz="0" w:space="0" w:color="auto"/>
        <w:bottom w:val="none" w:sz="0" w:space="0" w:color="auto"/>
        <w:right w:val="none" w:sz="0" w:space="0" w:color="auto"/>
      </w:divBdr>
    </w:div>
    <w:div w:id="1667517808">
      <w:bodyDiv w:val="1"/>
      <w:marLeft w:val="0"/>
      <w:marRight w:val="0"/>
      <w:marTop w:val="0"/>
      <w:marBottom w:val="0"/>
      <w:divBdr>
        <w:top w:val="none" w:sz="0" w:space="0" w:color="auto"/>
        <w:left w:val="none" w:sz="0" w:space="0" w:color="auto"/>
        <w:bottom w:val="none" w:sz="0" w:space="0" w:color="auto"/>
        <w:right w:val="none" w:sz="0" w:space="0" w:color="auto"/>
      </w:divBdr>
    </w:div>
    <w:div w:id="1678455882">
      <w:bodyDiv w:val="1"/>
      <w:marLeft w:val="0"/>
      <w:marRight w:val="0"/>
      <w:marTop w:val="0"/>
      <w:marBottom w:val="0"/>
      <w:divBdr>
        <w:top w:val="none" w:sz="0" w:space="0" w:color="auto"/>
        <w:left w:val="none" w:sz="0" w:space="0" w:color="auto"/>
        <w:bottom w:val="none" w:sz="0" w:space="0" w:color="auto"/>
        <w:right w:val="none" w:sz="0" w:space="0" w:color="auto"/>
      </w:divBdr>
    </w:div>
    <w:div w:id="1811053795">
      <w:bodyDiv w:val="1"/>
      <w:marLeft w:val="0"/>
      <w:marRight w:val="0"/>
      <w:marTop w:val="0"/>
      <w:marBottom w:val="0"/>
      <w:divBdr>
        <w:top w:val="none" w:sz="0" w:space="0" w:color="auto"/>
        <w:left w:val="none" w:sz="0" w:space="0" w:color="auto"/>
        <w:bottom w:val="none" w:sz="0" w:space="0" w:color="auto"/>
        <w:right w:val="none" w:sz="0" w:space="0" w:color="auto"/>
      </w:divBdr>
    </w:div>
    <w:div w:id="1833982574">
      <w:bodyDiv w:val="1"/>
      <w:marLeft w:val="0"/>
      <w:marRight w:val="0"/>
      <w:marTop w:val="0"/>
      <w:marBottom w:val="0"/>
      <w:divBdr>
        <w:top w:val="none" w:sz="0" w:space="0" w:color="auto"/>
        <w:left w:val="none" w:sz="0" w:space="0" w:color="auto"/>
        <w:bottom w:val="none" w:sz="0" w:space="0" w:color="auto"/>
        <w:right w:val="none" w:sz="0" w:space="0" w:color="auto"/>
      </w:divBdr>
    </w:div>
    <w:div w:id="1946620149">
      <w:bodyDiv w:val="1"/>
      <w:marLeft w:val="0"/>
      <w:marRight w:val="0"/>
      <w:marTop w:val="0"/>
      <w:marBottom w:val="0"/>
      <w:divBdr>
        <w:top w:val="none" w:sz="0" w:space="0" w:color="auto"/>
        <w:left w:val="none" w:sz="0" w:space="0" w:color="auto"/>
        <w:bottom w:val="none" w:sz="0" w:space="0" w:color="auto"/>
        <w:right w:val="none" w:sz="0" w:space="0" w:color="auto"/>
      </w:divBdr>
    </w:div>
    <w:div w:id="2027244417">
      <w:bodyDiv w:val="1"/>
      <w:marLeft w:val="0"/>
      <w:marRight w:val="0"/>
      <w:marTop w:val="0"/>
      <w:marBottom w:val="0"/>
      <w:divBdr>
        <w:top w:val="none" w:sz="0" w:space="0" w:color="auto"/>
        <w:left w:val="none" w:sz="0" w:space="0" w:color="auto"/>
        <w:bottom w:val="none" w:sz="0" w:space="0" w:color="auto"/>
        <w:right w:val="none" w:sz="0" w:space="0" w:color="auto"/>
      </w:divBdr>
    </w:div>
    <w:div w:id="2088912890">
      <w:bodyDiv w:val="1"/>
      <w:marLeft w:val="0"/>
      <w:marRight w:val="0"/>
      <w:marTop w:val="0"/>
      <w:marBottom w:val="0"/>
      <w:divBdr>
        <w:top w:val="none" w:sz="0" w:space="0" w:color="auto"/>
        <w:left w:val="none" w:sz="0" w:space="0" w:color="auto"/>
        <w:bottom w:val="none" w:sz="0" w:space="0" w:color="auto"/>
        <w:right w:val="none" w:sz="0" w:space="0" w:color="auto"/>
      </w:divBdr>
    </w:div>
    <w:div w:id="2092968347">
      <w:bodyDiv w:val="1"/>
      <w:marLeft w:val="0"/>
      <w:marRight w:val="0"/>
      <w:marTop w:val="0"/>
      <w:marBottom w:val="0"/>
      <w:divBdr>
        <w:top w:val="none" w:sz="0" w:space="0" w:color="auto"/>
        <w:left w:val="none" w:sz="0" w:space="0" w:color="auto"/>
        <w:bottom w:val="none" w:sz="0" w:space="0" w:color="auto"/>
        <w:right w:val="none" w:sz="0" w:space="0" w:color="auto"/>
      </w:divBdr>
    </w:div>
    <w:div w:id="2098138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hyperlink" Target="https://doi.org/10.21307/jofnem-2020-091" TargetMode="External"/><Relationship Id="rId39" Type="http://schemas.openxmlformats.org/officeDocument/2006/relationships/hyperlink" Target="https://doi.org/10.3390/molecules26216539" TargetMode="External"/><Relationship Id="rId21" Type="http://schemas.openxmlformats.org/officeDocument/2006/relationships/chart" Target="charts/chart14.xml"/><Relationship Id="rId34" Type="http://schemas.openxmlformats.org/officeDocument/2006/relationships/hyperlink" Target="https://doi.org/10.1155/2021.1627501" TargetMode="External"/><Relationship Id="rId42" Type="http://schemas.openxmlformats.org/officeDocument/2006/relationships/hyperlink" Target="https://doi.org/10.3390/agriculture9070137" TargetMode="External"/><Relationship Id="rId47"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9.xml"/><Relationship Id="rId29" Type="http://schemas.openxmlformats.org/officeDocument/2006/relationships/hyperlink" Target="https://www.ipcc.ch/srccl/" TargetMode="External"/><Relationship Id="rId11" Type="http://schemas.openxmlformats.org/officeDocument/2006/relationships/chart" Target="charts/chart4.xml"/><Relationship Id="rId24" Type="http://schemas.openxmlformats.org/officeDocument/2006/relationships/hyperlink" Target="https://doi.org/10.3390/toxins10060230" TargetMode="External"/><Relationship Id="rId32" Type="http://schemas.openxmlformats.org/officeDocument/2006/relationships/hyperlink" Target="https://www.sciencedirect.com/journal/food-bioscience/vol/74/suppl/C" TargetMode="External"/><Relationship Id="rId37" Type="http://schemas.openxmlformats.org/officeDocument/2006/relationships/hyperlink" Target="https://doi.org/10.1094/PHYTO.2000.90.7.710" TargetMode="External"/><Relationship Id="rId40" Type="http://schemas.openxmlformats.org/officeDocument/2006/relationships/hyperlink" Target="https://doi.org/10.1016/j.scitotenv.2018.10.441"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hyperlink" Target="https://doi.org/10.3389/fmicb.2023.1040901" TargetMode="External"/><Relationship Id="rId28" Type="http://schemas.openxmlformats.org/officeDocument/2006/relationships/hyperlink" Target="https://doi.org/10.4236/as.2020.118048" TargetMode="External"/><Relationship Id="rId36" Type="http://schemas.openxmlformats.org/officeDocument/2006/relationships/hyperlink" Target="https://doi.org/10.1021/jf3028374" TargetMode="External"/><Relationship Id="rId49"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hyperlink" Target="https://www.sciencedirect.com/journal/food-bioscience"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hyperlink" Target="https://doi.org/10.1016/S0960-8524(99)00154-6" TargetMode="External"/><Relationship Id="rId27" Type="http://schemas.openxmlformats.org/officeDocument/2006/relationships/hyperlink" Target="https://file.scirp.org/Html/70188_70188.htm" TargetMode="External"/><Relationship Id="rId30" Type="http://schemas.openxmlformats.org/officeDocument/2006/relationships/hyperlink" Target="https://doi.org/10.1007/s42398-023-00254-1" TargetMode="External"/><Relationship Id="rId35" Type="http://schemas.openxmlformats.org/officeDocument/2006/relationships/hyperlink" Target="https://doi.org/10.3389/fmicb.2021.645484" TargetMode="External"/><Relationship Id="rId43" Type="http://schemas.openxmlformats.org/officeDocument/2006/relationships/hyperlink" Target="https://www.xlstat.com" TargetMode="External"/><Relationship Id="rId48" Type="http://schemas.openxmlformats.org/officeDocument/2006/relationships/fontTable" Target="fontTable.xml"/><Relationship Id="rId8"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hyperlink" Target="https://doi.org/10.1146/annurev.phyto.40.032602.130045" TargetMode="External"/><Relationship Id="rId33" Type="http://schemas.openxmlformats.org/officeDocument/2006/relationships/hyperlink" Target="https://doi.org/10.1016/j.fbio.2025.107864" TargetMode="External"/><Relationship Id="rId38" Type="http://schemas.openxmlformats.org/officeDocument/2006/relationships/hyperlink" Target="https://doi.org/10.1007/s13593-012-0105-x" TargetMode="External"/><Relationship Id="rId46" Type="http://schemas.openxmlformats.org/officeDocument/2006/relationships/footer" Target="footer1.xml"/><Relationship Id="rId20" Type="http://schemas.openxmlformats.org/officeDocument/2006/relationships/chart" Target="charts/chart13.xml"/><Relationship Id="rId41" Type="http://schemas.openxmlformats.org/officeDocument/2006/relationships/hyperlink" Target="http://dx.doi.org/10.4314/ijbcs.v3i5.5109" TargetMode="Externa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Gaston\Desktop\20250822_ELOCK.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Gaston\Desktop\20250822_ELOCK.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Gaston\Desktop\20250822_ELOCK.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Gaston\Desktop\RESULTATS%20POUR%20TRAITEMENT.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Gaston\Desktop\RESULTATS%20POUR%20TRAITEMENT.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Gaston\Desktop\RESULTATS%20POUR%20NEMATODES.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Gaston\Desktop\20250822_ELOCK.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Gaston\Desktop\20250822_ELOCK.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Gaston\Desktop\20250822_ELOCK.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Gaston\AppData\Roaming\Microsoft\Excel\20250822_ELOCK%20(version%201).xlsb"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Gaston\AppData\Roaming\Microsoft\Excel\20250822_ELOCK%20(version%201).xlsb"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Gaston\Desktop\20250822_ELOCK.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Gaston\Desktop\20250822_ELOCK.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134345263826042"/>
          <c:y val="3.1258128585399295E-2"/>
          <c:w val="0.78769523163322441"/>
          <c:h val="0.58319033744341497"/>
        </c:manualLayout>
      </c:layout>
      <c:lineChart>
        <c:grouping val="standard"/>
        <c:varyColors val="0"/>
        <c:ser>
          <c:idx val="0"/>
          <c:order val="0"/>
          <c:tx>
            <c:v>Modality-BP1</c:v>
          </c:tx>
          <c:spPr>
            <a:ln w="6350">
              <a:solidFill>
                <a:srgbClr val="000000"/>
              </a:solidFill>
              <a:prstDash val="solid"/>
            </a:ln>
            <a:effectLst/>
          </c:spPr>
          <c:marker>
            <c:symbol val="diamond"/>
            <c:size val="5"/>
            <c:spPr>
              <a:solidFill>
                <a:srgbClr val="FFFFFF"/>
              </a:solidFill>
              <a:ln w="6350">
                <a:solidFill>
                  <a:srgbClr val="000000"/>
                </a:solidFill>
                <a:prstDash val="solid"/>
              </a:ln>
            </c:spPr>
          </c:marker>
          <c:dLbls>
            <c:dLbl>
              <c:idx val="6"/>
              <c:layout>
                <c:manualLayout>
                  <c:x val="-1.8366911380020889E-2"/>
                  <c:y val="-6.4020486555697821E-3"/>
                </c:manualLayout>
              </c:layout>
              <c:tx>
                <c:rich>
                  <a:bodyPr/>
                  <a:lstStyle/>
                  <a:p>
                    <a:r>
                      <a:rPr lang="en-US"/>
                      <a:t>a</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739-49D1-B851-BB18050B8EF9}"/>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errBars>
            <c:errDir val="y"/>
            <c:errBarType val="both"/>
            <c:errValType val="cust"/>
            <c:noEndCap val="0"/>
            <c:plus>
              <c:numLit>
                <c:formatCode>General</c:formatCode>
                <c:ptCount val="7"/>
                <c:pt idx="0">
                  <c:v>0.56604630048542537</c:v>
                </c:pt>
                <c:pt idx="1">
                  <c:v>0.56604630048542548</c:v>
                </c:pt>
                <c:pt idx="2">
                  <c:v>0.56604630048542548</c:v>
                </c:pt>
                <c:pt idx="3">
                  <c:v>0.56604630048542504</c:v>
                </c:pt>
                <c:pt idx="4">
                  <c:v>0.56604630048542559</c:v>
                </c:pt>
                <c:pt idx="5">
                  <c:v>0.56604630048542548</c:v>
                </c:pt>
                <c:pt idx="6">
                  <c:v>0.56604630048542415</c:v>
                </c:pt>
              </c:numLit>
            </c:plus>
            <c:minus>
              <c:numLit>
                <c:formatCode>General</c:formatCode>
                <c:ptCount val="7"/>
                <c:pt idx="0">
                  <c:v>0.56604630048542537</c:v>
                </c:pt>
                <c:pt idx="1">
                  <c:v>0.56604630048542548</c:v>
                </c:pt>
                <c:pt idx="2">
                  <c:v>0.56604630048542548</c:v>
                </c:pt>
                <c:pt idx="3">
                  <c:v>0.56604630048542504</c:v>
                </c:pt>
                <c:pt idx="4">
                  <c:v>0.56604630048542559</c:v>
                </c:pt>
                <c:pt idx="5">
                  <c:v>0.56604630048542548</c:v>
                </c:pt>
                <c:pt idx="6">
                  <c:v>0.56604630048542415</c:v>
                </c:pt>
              </c:numLit>
            </c:minus>
            <c:spPr>
              <a:ln>
                <a:solidFill>
                  <a:srgbClr val="000000"/>
                </a:solidFill>
                <a:prstDash val="solid"/>
              </a:ln>
            </c:spPr>
          </c:errBars>
          <c:cat>
            <c:strRef>
              <c:f>ANOVA8!$B$871:$B$877</c:f>
              <c:strCache>
                <c:ptCount val="7"/>
                <c:pt idx="0">
                  <c:v>1</c:v>
                </c:pt>
                <c:pt idx="1">
                  <c:v>2</c:v>
                </c:pt>
                <c:pt idx="2">
                  <c:v>3</c:v>
                </c:pt>
                <c:pt idx="3">
                  <c:v>4</c:v>
                </c:pt>
                <c:pt idx="4">
                  <c:v>5</c:v>
                </c:pt>
                <c:pt idx="5">
                  <c:v>6</c:v>
                </c:pt>
                <c:pt idx="6">
                  <c:v>7</c:v>
                </c:pt>
              </c:strCache>
            </c:strRef>
          </c:cat>
          <c:val>
            <c:numRef>
              <c:f>ANOVA8!$C$871:$C$877</c:f>
              <c:numCache>
                <c:formatCode>0.000</c:formatCode>
                <c:ptCount val="7"/>
                <c:pt idx="0">
                  <c:v>0.30876666666665997</c:v>
                </c:pt>
                <c:pt idx="1">
                  <c:v>0.50239999999999441</c:v>
                </c:pt>
                <c:pt idx="2">
                  <c:v>0.84779999999999944</c:v>
                </c:pt>
                <c:pt idx="3">
                  <c:v>0.45268333333332933</c:v>
                </c:pt>
                <c:pt idx="4">
                  <c:v>0.40296666666666958</c:v>
                </c:pt>
                <c:pt idx="5">
                  <c:v>0.51810000000000134</c:v>
                </c:pt>
                <c:pt idx="6">
                  <c:v>0.50240000000001928</c:v>
                </c:pt>
              </c:numCache>
            </c:numRef>
          </c:val>
          <c:smooth val="0"/>
          <c:extLst>
            <c:ext xmlns:c16="http://schemas.microsoft.com/office/drawing/2014/chart" uri="{C3380CC4-5D6E-409C-BE32-E72D297353CC}">
              <c16:uniqueId val="{00000000-5D06-4F43-9842-7B0A1F4740ED}"/>
            </c:ext>
          </c:extLst>
        </c:ser>
        <c:ser>
          <c:idx val="1"/>
          <c:order val="1"/>
          <c:tx>
            <c:v>Modality-BP2</c:v>
          </c:tx>
          <c:spPr>
            <a:ln w="6350">
              <a:solidFill>
                <a:srgbClr val="FF4A46"/>
              </a:solidFill>
              <a:prstDash val="solid"/>
            </a:ln>
            <a:effectLst/>
          </c:spPr>
          <c:marker>
            <c:symbol val="diamond"/>
            <c:size val="5"/>
            <c:spPr>
              <a:solidFill>
                <a:srgbClr val="FFFFFF"/>
              </a:solidFill>
              <a:ln w="6350">
                <a:solidFill>
                  <a:srgbClr val="FF4A46"/>
                </a:solidFill>
                <a:prstDash val="solid"/>
              </a:ln>
            </c:spPr>
          </c:marker>
          <c:errBars>
            <c:errDir val="y"/>
            <c:errBarType val="both"/>
            <c:errValType val="cust"/>
            <c:noEndCap val="0"/>
            <c:plus>
              <c:numLit>
                <c:formatCode>General</c:formatCode>
                <c:ptCount val="7"/>
                <c:pt idx="0">
                  <c:v>0.56604630048542526</c:v>
                </c:pt>
                <c:pt idx="1">
                  <c:v>0.56604630048542504</c:v>
                </c:pt>
                <c:pt idx="2">
                  <c:v>0.56604630048542548</c:v>
                </c:pt>
                <c:pt idx="3">
                  <c:v>0.56604630048542504</c:v>
                </c:pt>
                <c:pt idx="4">
                  <c:v>0.56604630048542504</c:v>
                </c:pt>
                <c:pt idx="5">
                  <c:v>0.56604630048542504</c:v>
                </c:pt>
                <c:pt idx="6">
                  <c:v>0.56604630048542348</c:v>
                </c:pt>
              </c:numLit>
            </c:plus>
            <c:minus>
              <c:numLit>
                <c:formatCode>General</c:formatCode>
                <c:ptCount val="7"/>
                <c:pt idx="0">
                  <c:v>0.56604630048542526</c:v>
                </c:pt>
                <c:pt idx="1">
                  <c:v>0.56604630048542504</c:v>
                </c:pt>
                <c:pt idx="2">
                  <c:v>0.56604630048542548</c:v>
                </c:pt>
                <c:pt idx="3">
                  <c:v>0.56604630048542504</c:v>
                </c:pt>
                <c:pt idx="4">
                  <c:v>0.56604630048542504</c:v>
                </c:pt>
                <c:pt idx="5">
                  <c:v>0.56604630048542504</c:v>
                </c:pt>
                <c:pt idx="6">
                  <c:v>0.56604630048542348</c:v>
                </c:pt>
              </c:numLit>
            </c:minus>
            <c:spPr>
              <a:ln>
                <a:solidFill>
                  <a:srgbClr val="FF4A46"/>
                </a:solidFill>
                <a:prstDash val="solid"/>
              </a:ln>
            </c:spPr>
          </c:errBars>
          <c:cat>
            <c:strRef>
              <c:f>ANOVA8!$B$871:$B$877</c:f>
              <c:strCache>
                <c:ptCount val="7"/>
                <c:pt idx="0">
                  <c:v>1</c:v>
                </c:pt>
                <c:pt idx="1">
                  <c:v>2</c:v>
                </c:pt>
                <c:pt idx="2">
                  <c:v>3</c:v>
                </c:pt>
                <c:pt idx="3">
                  <c:v>4</c:v>
                </c:pt>
                <c:pt idx="4">
                  <c:v>5</c:v>
                </c:pt>
                <c:pt idx="5">
                  <c:v>6</c:v>
                </c:pt>
                <c:pt idx="6">
                  <c:v>7</c:v>
                </c:pt>
              </c:strCache>
            </c:strRef>
          </c:cat>
          <c:val>
            <c:numRef>
              <c:f>ANOVA8!$D$871:$D$877</c:f>
              <c:numCache>
                <c:formatCode>0.000</c:formatCode>
                <c:ptCount val="7"/>
                <c:pt idx="0">
                  <c:v>0.35324999999999207</c:v>
                </c:pt>
                <c:pt idx="1">
                  <c:v>0.66724999999999923</c:v>
                </c:pt>
                <c:pt idx="2">
                  <c:v>1.2559999999999967</c:v>
                </c:pt>
                <c:pt idx="3">
                  <c:v>1.8185833333333221</c:v>
                </c:pt>
                <c:pt idx="4">
                  <c:v>1.3318833333333284</c:v>
                </c:pt>
                <c:pt idx="5">
                  <c:v>1.6511166666666597</c:v>
                </c:pt>
                <c:pt idx="6">
                  <c:v>1.6511166666666808</c:v>
                </c:pt>
              </c:numCache>
            </c:numRef>
          </c:val>
          <c:smooth val="0"/>
          <c:extLst>
            <c:ext xmlns:c16="http://schemas.microsoft.com/office/drawing/2014/chart" uri="{C3380CC4-5D6E-409C-BE32-E72D297353CC}">
              <c16:uniqueId val="{00000001-5D06-4F43-9842-7B0A1F4740ED}"/>
            </c:ext>
          </c:extLst>
        </c:ser>
        <c:ser>
          <c:idx val="2"/>
          <c:order val="2"/>
          <c:tx>
            <c:v>Modality-BP3</c:v>
          </c:tx>
          <c:spPr>
            <a:ln w="6350">
              <a:solidFill>
                <a:srgbClr val="2A7498"/>
              </a:solidFill>
              <a:prstDash val="solid"/>
            </a:ln>
            <a:effectLst/>
          </c:spPr>
          <c:marker>
            <c:symbol val="diamond"/>
            <c:size val="5"/>
            <c:spPr>
              <a:solidFill>
                <a:srgbClr val="FFFFFF"/>
              </a:solidFill>
              <a:ln w="6350">
                <a:solidFill>
                  <a:srgbClr val="2A7498"/>
                </a:solidFill>
                <a:prstDash val="solid"/>
              </a:ln>
            </c:spPr>
          </c:marker>
          <c:dLbls>
            <c:dLbl>
              <c:idx val="6"/>
              <c:layout>
                <c:manualLayout>
                  <c:x val="-1.8695923983356722E-2"/>
                  <c:y val="-1.2804097311139623E-2"/>
                </c:manualLayout>
              </c:layout>
              <c:tx>
                <c:rich>
                  <a:bodyPr/>
                  <a:lstStyle/>
                  <a:p>
                    <a:r>
                      <a:rPr lang="en-US"/>
                      <a:t>b</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739-49D1-B851-BB18050B8EF9}"/>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errBars>
            <c:errDir val="y"/>
            <c:errBarType val="both"/>
            <c:errValType val="cust"/>
            <c:noEndCap val="0"/>
            <c:plus>
              <c:numLit>
                <c:formatCode>General</c:formatCode>
                <c:ptCount val="7"/>
                <c:pt idx="0">
                  <c:v>0.56604630048542537</c:v>
                </c:pt>
                <c:pt idx="1">
                  <c:v>0.56604630048542548</c:v>
                </c:pt>
                <c:pt idx="2">
                  <c:v>0.56604630048542548</c:v>
                </c:pt>
                <c:pt idx="3">
                  <c:v>0.56604630048542504</c:v>
                </c:pt>
                <c:pt idx="4">
                  <c:v>0.56604630048542548</c:v>
                </c:pt>
                <c:pt idx="5">
                  <c:v>0.56604630048542504</c:v>
                </c:pt>
                <c:pt idx="6">
                  <c:v>0.56604630048542415</c:v>
                </c:pt>
              </c:numLit>
            </c:plus>
            <c:minus>
              <c:numLit>
                <c:formatCode>General</c:formatCode>
                <c:ptCount val="7"/>
                <c:pt idx="0">
                  <c:v>0.56604630048542537</c:v>
                </c:pt>
                <c:pt idx="1">
                  <c:v>0.56604630048542548</c:v>
                </c:pt>
                <c:pt idx="2">
                  <c:v>0.56604630048542548</c:v>
                </c:pt>
                <c:pt idx="3">
                  <c:v>0.56604630048542504</c:v>
                </c:pt>
                <c:pt idx="4">
                  <c:v>0.56604630048542548</c:v>
                </c:pt>
                <c:pt idx="5">
                  <c:v>0.56604630048542504</c:v>
                </c:pt>
                <c:pt idx="6">
                  <c:v>0.56604630048542415</c:v>
                </c:pt>
              </c:numLit>
            </c:minus>
            <c:spPr>
              <a:ln>
                <a:solidFill>
                  <a:srgbClr val="2A7498"/>
                </a:solidFill>
                <a:prstDash val="solid"/>
              </a:ln>
            </c:spPr>
          </c:errBars>
          <c:cat>
            <c:strRef>
              <c:f>ANOVA8!$B$871:$B$877</c:f>
              <c:strCache>
                <c:ptCount val="7"/>
                <c:pt idx="0">
                  <c:v>1</c:v>
                </c:pt>
                <c:pt idx="1">
                  <c:v>2</c:v>
                </c:pt>
                <c:pt idx="2">
                  <c:v>3</c:v>
                </c:pt>
                <c:pt idx="3">
                  <c:v>4</c:v>
                </c:pt>
                <c:pt idx="4">
                  <c:v>5</c:v>
                </c:pt>
                <c:pt idx="5">
                  <c:v>6</c:v>
                </c:pt>
                <c:pt idx="6">
                  <c:v>7</c:v>
                </c:pt>
              </c:strCache>
            </c:strRef>
          </c:cat>
          <c:val>
            <c:numRef>
              <c:f>ANOVA8!$E$871:$E$877</c:f>
              <c:numCache>
                <c:formatCode>0.000</c:formatCode>
                <c:ptCount val="7"/>
                <c:pt idx="0">
                  <c:v>0.26428333333333143</c:v>
                </c:pt>
                <c:pt idx="1">
                  <c:v>0.97863333333333458</c:v>
                </c:pt>
                <c:pt idx="2">
                  <c:v>1.7270000000000039</c:v>
                </c:pt>
                <c:pt idx="3">
                  <c:v>1.8996999999999957</c:v>
                </c:pt>
                <c:pt idx="4">
                  <c:v>2.6585333333333363</c:v>
                </c:pt>
                <c:pt idx="5">
                  <c:v>3.6397833333333294</c:v>
                </c:pt>
                <c:pt idx="6">
                  <c:v>3.7575333333333489</c:v>
                </c:pt>
              </c:numCache>
            </c:numRef>
          </c:val>
          <c:smooth val="0"/>
          <c:extLst>
            <c:ext xmlns:c16="http://schemas.microsoft.com/office/drawing/2014/chart" uri="{C3380CC4-5D6E-409C-BE32-E72D297353CC}">
              <c16:uniqueId val="{00000002-5D06-4F43-9842-7B0A1F4740ED}"/>
            </c:ext>
          </c:extLst>
        </c:ser>
        <c:ser>
          <c:idx val="3"/>
          <c:order val="3"/>
          <c:tx>
            <c:v>Modality-BP4</c:v>
          </c:tx>
          <c:spPr>
            <a:ln w="6350">
              <a:solidFill>
                <a:srgbClr val="008941"/>
              </a:solidFill>
              <a:prstDash val="solid"/>
            </a:ln>
            <a:effectLst/>
          </c:spPr>
          <c:marker>
            <c:symbol val="diamond"/>
            <c:size val="5"/>
            <c:spPr>
              <a:solidFill>
                <a:srgbClr val="FFFFFF"/>
              </a:solidFill>
              <a:ln w="6350">
                <a:solidFill>
                  <a:srgbClr val="008941"/>
                </a:solidFill>
                <a:prstDash val="solid"/>
              </a:ln>
            </c:spPr>
          </c:marker>
          <c:errBars>
            <c:errDir val="y"/>
            <c:errBarType val="both"/>
            <c:errValType val="cust"/>
            <c:noEndCap val="0"/>
            <c:plus>
              <c:numLit>
                <c:formatCode>General</c:formatCode>
                <c:ptCount val="7"/>
                <c:pt idx="0">
                  <c:v>0.56604630048542526</c:v>
                </c:pt>
                <c:pt idx="1">
                  <c:v>0.56604630048542548</c:v>
                </c:pt>
                <c:pt idx="2">
                  <c:v>0.56604630048542548</c:v>
                </c:pt>
                <c:pt idx="3">
                  <c:v>0.56604630048542526</c:v>
                </c:pt>
                <c:pt idx="4">
                  <c:v>0.56604630048542504</c:v>
                </c:pt>
                <c:pt idx="5">
                  <c:v>0.56604630048542548</c:v>
                </c:pt>
                <c:pt idx="6">
                  <c:v>0.56604630048542393</c:v>
                </c:pt>
              </c:numLit>
            </c:plus>
            <c:minus>
              <c:numLit>
                <c:formatCode>General</c:formatCode>
                <c:ptCount val="7"/>
                <c:pt idx="0">
                  <c:v>0.56604630048542526</c:v>
                </c:pt>
                <c:pt idx="1">
                  <c:v>0.56604630048542548</c:v>
                </c:pt>
                <c:pt idx="2">
                  <c:v>0.56604630048542548</c:v>
                </c:pt>
                <c:pt idx="3">
                  <c:v>0.56604630048542526</c:v>
                </c:pt>
                <c:pt idx="4">
                  <c:v>0.56604630048542504</c:v>
                </c:pt>
                <c:pt idx="5">
                  <c:v>0.56604630048542548</c:v>
                </c:pt>
                <c:pt idx="6">
                  <c:v>0.56604630048542393</c:v>
                </c:pt>
              </c:numLit>
            </c:minus>
            <c:spPr>
              <a:ln>
                <a:solidFill>
                  <a:srgbClr val="008941"/>
                </a:solidFill>
                <a:prstDash val="solid"/>
              </a:ln>
            </c:spPr>
          </c:errBars>
          <c:cat>
            <c:strRef>
              <c:f>ANOVA8!$B$871:$B$877</c:f>
              <c:strCache>
                <c:ptCount val="7"/>
                <c:pt idx="0">
                  <c:v>1</c:v>
                </c:pt>
                <c:pt idx="1">
                  <c:v>2</c:v>
                </c:pt>
                <c:pt idx="2">
                  <c:v>3</c:v>
                </c:pt>
                <c:pt idx="3">
                  <c:v>4</c:v>
                </c:pt>
                <c:pt idx="4">
                  <c:v>5</c:v>
                </c:pt>
                <c:pt idx="5">
                  <c:v>6</c:v>
                </c:pt>
                <c:pt idx="6">
                  <c:v>7</c:v>
                </c:pt>
              </c:strCache>
            </c:strRef>
          </c:cat>
          <c:val>
            <c:numRef>
              <c:f>ANOVA8!$F$871:$F$877</c:f>
              <c:numCache>
                <c:formatCode>0.000</c:formatCode>
                <c:ptCount val="7"/>
                <c:pt idx="0">
                  <c:v>0.35324999999999207</c:v>
                </c:pt>
                <c:pt idx="1">
                  <c:v>1.185349999999989</c:v>
                </c:pt>
                <c:pt idx="2">
                  <c:v>1.3318833333333266</c:v>
                </c:pt>
                <c:pt idx="3">
                  <c:v>1.3318833333333195</c:v>
                </c:pt>
                <c:pt idx="4">
                  <c:v>1.4993499999999962</c:v>
                </c:pt>
                <c:pt idx="5">
                  <c:v>1.4993499999999926</c:v>
                </c:pt>
                <c:pt idx="6">
                  <c:v>1.6458833333333514</c:v>
                </c:pt>
              </c:numCache>
            </c:numRef>
          </c:val>
          <c:smooth val="0"/>
          <c:extLst>
            <c:ext xmlns:c16="http://schemas.microsoft.com/office/drawing/2014/chart" uri="{C3380CC4-5D6E-409C-BE32-E72D297353CC}">
              <c16:uniqueId val="{00000003-5D06-4F43-9842-7B0A1F4740ED}"/>
            </c:ext>
          </c:extLst>
        </c:ser>
        <c:ser>
          <c:idx val="4"/>
          <c:order val="4"/>
          <c:tx>
            <c:v>Modality-C+</c:v>
          </c:tx>
          <c:spPr>
            <a:ln w="6350">
              <a:solidFill>
                <a:srgbClr val="A30059"/>
              </a:solidFill>
              <a:prstDash val="solid"/>
            </a:ln>
            <a:effectLst/>
          </c:spPr>
          <c:marker>
            <c:symbol val="diamond"/>
            <c:size val="5"/>
            <c:spPr>
              <a:solidFill>
                <a:srgbClr val="FFFFFF"/>
              </a:solidFill>
              <a:ln w="6350">
                <a:solidFill>
                  <a:srgbClr val="A30059"/>
                </a:solidFill>
                <a:prstDash val="solid"/>
              </a:ln>
            </c:spPr>
          </c:marker>
          <c:dLbls>
            <c:dLbl>
              <c:idx val="6"/>
              <c:layout>
                <c:manualLayout>
                  <c:x val="-1.8531387537642052E-2"/>
                  <c:y val="-3.8412291933418691E-2"/>
                </c:manualLayout>
              </c:layout>
              <c:tx>
                <c:rich>
                  <a:bodyPr/>
                  <a:lstStyle/>
                  <a:p>
                    <a:r>
                      <a:rPr lang="en-US"/>
                      <a:t>c</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739-49D1-B851-BB18050B8EF9}"/>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errBars>
            <c:errDir val="y"/>
            <c:errBarType val="both"/>
            <c:errValType val="cust"/>
            <c:noEndCap val="0"/>
            <c:plus>
              <c:numLit>
                <c:formatCode>General</c:formatCode>
                <c:ptCount val="7"/>
                <c:pt idx="0">
                  <c:v>0.56604630048542504</c:v>
                </c:pt>
                <c:pt idx="1">
                  <c:v>0.56604630048542526</c:v>
                </c:pt>
                <c:pt idx="2">
                  <c:v>0.56604630048542548</c:v>
                </c:pt>
                <c:pt idx="3">
                  <c:v>0.56604630048542526</c:v>
                </c:pt>
                <c:pt idx="4">
                  <c:v>0.56604630048542504</c:v>
                </c:pt>
                <c:pt idx="5">
                  <c:v>0.56604630048542504</c:v>
                </c:pt>
                <c:pt idx="6">
                  <c:v>0.56604630048542326</c:v>
                </c:pt>
              </c:numLit>
            </c:plus>
            <c:minus>
              <c:numLit>
                <c:formatCode>General</c:formatCode>
                <c:ptCount val="7"/>
                <c:pt idx="0">
                  <c:v>0.56604630048542504</c:v>
                </c:pt>
                <c:pt idx="1">
                  <c:v>0.56604630048542526</c:v>
                </c:pt>
                <c:pt idx="2">
                  <c:v>0.56604630048542548</c:v>
                </c:pt>
                <c:pt idx="3">
                  <c:v>0.56604630048542526</c:v>
                </c:pt>
                <c:pt idx="4">
                  <c:v>0.56604630048542504</c:v>
                </c:pt>
                <c:pt idx="5">
                  <c:v>0.56604630048542504</c:v>
                </c:pt>
                <c:pt idx="6">
                  <c:v>0.56604630048542326</c:v>
                </c:pt>
              </c:numLit>
            </c:minus>
            <c:spPr>
              <a:ln>
                <a:solidFill>
                  <a:srgbClr val="A30059"/>
                </a:solidFill>
                <a:prstDash val="solid"/>
              </a:ln>
            </c:spPr>
          </c:errBars>
          <c:cat>
            <c:strRef>
              <c:f>ANOVA8!$B$871:$B$877</c:f>
              <c:strCache>
                <c:ptCount val="7"/>
                <c:pt idx="0">
                  <c:v>1</c:v>
                </c:pt>
                <c:pt idx="1">
                  <c:v>2</c:v>
                </c:pt>
                <c:pt idx="2">
                  <c:v>3</c:v>
                </c:pt>
                <c:pt idx="3">
                  <c:v>4</c:v>
                </c:pt>
                <c:pt idx="4">
                  <c:v>5</c:v>
                </c:pt>
                <c:pt idx="5">
                  <c:v>6</c:v>
                </c:pt>
                <c:pt idx="6">
                  <c:v>7</c:v>
                </c:pt>
              </c:strCache>
            </c:strRef>
          </c:cat>
          <c:val>
            <c:numRef>
              <c:f>ANOVA8!$G$871:$G$877</c:f>
              <c:numCache>
                <c:formatCode>0.000</c:formatCode>
                <c:ptCount val="7"/>
                <c:pt idx="0">
                  <c:v>0.23550000000000892</c:v>
                </c:pt>
                <c:pt idx="1">
                  <c:v>0.31400000000001071</c:v>
                </c:pt>
                <c:pt idx="2">
                  <c:v>0.51810000000001111</c:v>
                </c:pt>
                <c:pt idx="3">
                  <c:v>0.86350000000000193</c:v>
                </c:pt>
                <c:pt idx="4">
                  <c:v>2.6585333333333399</c:v>
                </c:pt>
                <c:pt idx="5">
                  <c:v>4.2547000000000033</c:v>
                </c:pt>
                <c:pt idx="6">
                  <c:v>6.0628166666666878</c:v>
                </c:pt>
              </c:numCache>
            </c:numRef>
          </c:val>
          <c:smooth val="0"/>
          <c:extLst>
            <c:ext xmlns:c16="http://schemas.microsoft.com/office/drawing/2014/chart" uri="{C3380CC4-5D6E-409C-BE32-E72D297353CC}">
              <c16:uniqueId val="{00000004-5D06-4F43-9842-7B0A1F4740ED}"/>
            </c:ext>
          </c:extLst>
        </c:ser>
        <c:ser>
          <c:idx val="5"/>
          <c:order val="5"/>
          <c:tx>
            <c:v>Modality-C-</c:v>
          </c:tx>
          <c:spPr>
            <a:ln w="6350">
              <a:solidFill>
                <a:srgbClr val="7A4900"/>
              </a:solidFill>
              <a:prstDash val="solid"/>
            </a:ln>
            <a:effectLst/>
          </c:spPr>
          <c:marker>
            <c:symbol val="diamond"/>
            <c:size val="5"/>
            <c:spPr>
              <a:solidFill>
                <a:srgbClr val="FFFFFF"/>
              </a:solidFill>
              <a:ln w="6350">
                <a:solidFill>
                  <a:srgbClr val="7A4900"/>
                </a:solidFill>
                <a:prstDash val="solid"/>
              </a:ln>
            </c:spPr>
          </c:marker>
          <c:dLbls>
            <c:dLbl>
              <c:idx val="6"/>
              <c:layout>
                <c:manualLayout>
                  <c:x val="-2.316423442205252E-2"/>
                  <c:y val="-2.5608194622279128E-2"/>
                </c:manualLayout>
              </c:layout>
              <c:tx>
                <c:rich>
                  <a:bodyPr/>
                  <a:lstStyle/>
                  <a:p>
                    <a:r>
                      <a:rPr lang="en-US"/>
                      <a:t>d</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739-49D1-B851-BB18050B8EF9}"/>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errBars>
            <c:errDir val="y"/>
            <c:errBarType val="both"/>
            <c:errValType val="cust"/>
            <c:noEndCap val="0"/>
            <c:plus>
              <c:numLit>
                <c:formatCode>General</c:formatCode>
                <c:ptCount val="7"/>
                <c:pt idx="0">
                  <c:v>0.56604630048542504</c:v>
                </c:pt>
                <c:pt idx="1">
                  <c:v>0.56604630048542526</c:v>
                </c:pt>
                <c:pt idx="2">
                  <c:v>0.56604630048542548</c:v>
                </c:pt>
                <c:pt idx="3">
                  <c:v>0.56604630048542504</c:v>
                </c:pt>
                <c:pt idx="4">
                  <c:v>0.56604630048542504</c:v>
                </c:pt>
                <c:pt idx="5">
                  <c:v>0.56604630048542504</c:v>
                </c:pt>
                <c:pt idx="6">
                  <c:v>0.56604630048542504</c:v>
                </c:pt>
              </c:numLit>
            </c:plus>
            <c:minus>
              <c:numLit>
                <c:formatCode>General</c:formatCode>
                <c:ptCount val="7"/>
                <c:pt idx="0">
                  <c:v>0.56604630048542504</c:v>
                </c:pt>
                <c:pt idx="1">
                  <c:v>0.56604630048542526</c:v>
                </c:pt>
                <c:pt idx="2">
                  <c:v>0.56604630048542548</c:v>
                </c:pt>
                <c:pt idx="3">
                  <c:v>0.56604630048542504</c:v>
                </c:pt>
                <c:pt idx="4">
                  <c:v>0.56604630048542504</c:v>
                </c:pt>
                <c:pt idx="5">
                  <c:v>0.56604630048542504</c:v>
                </c:pt>
                <c:pt idx="6">
                  <c:v>0.56604630048542504</c:v>
                </c:pt>
              </c:numLit>
            </c:minus>
            <c:spPr>
              <a:ln>
                <a:solidFill>
                  <a:srgbClr val="7A4900"/>
                </a:solidFill>
                <a:prstDash val="solid"/>
              </a:ln>
            </c:spPr>
          </c:errBars>
          <c:cat>
            <c:strRef>
              <c:f>ANOVA8!$B$871:$B$877</c:f>
              <c:strCache>
                <c:ptCount val="7"/>
                <c:pt idx="0">
                  <c:v>1</c:v>
                </c:pt>
                <c:pt idx="1">
                  <c:v>2</c:v>
                </c:pt>
                <c:pt idx="2">
                  <c:v>3</c:v>
                </c:pt>
                <c:pt idx="3">
                  <c:v>4</c:v>
                </c:pt>
                <c:pt idx="4">
                  <c:v>5</c:v>
                </c:pt>
                <c:pt idx="5">
                  <c:v>6</c:v>
                </c:pt>
                <c:pt idx="6">
                  <c:v>7</c:v>
                </c:pt>
              </c:strCache>
            </c:strRef>
          </c:cat>
          <c:val>
            <c:numRef>
              <c:f>ANOVA8!$H$871:$H$877</c:f>
              <c:numCache>
                <c:formatCode>0.000</c:formatCode>
                <c:ptCount val="7"/>
                <c:pt idx="0">
                  <c:v>0.26428333333332427</c:v>
                </c:pt>
                <c:pt idx="1">
                  <c:v>0.84779999999999589</c:v>
                </c:pt>
                <c:pt idx="2">
                  <c:v>2.8573999999999984</c:v>
                </c:pt>
                <c:pt idx="3">
                  <c:v>6.1700999999999944</c:v>
                </c:pt>
                <c:pt idx="4">
                  <c:v>11.460999999999993</c:v>
                </c:pt>
                <c:pt idx="5">
                  <c:v>20.716150000000003</c:v>
                </c:pt>
                <c:pt idx="6">
                  <c:v>27.359866666666466</c:v>
                </c:pt>
              </c:numCache>
            </c:numRef>
          </c:val>
          <c:smooth val="0"/>
          <c:extLst>
            <c:ext xmlns:c16="http://schemas.microsoft.com/office/drawing/2014/chart" uri="{C3380CC4-5D6E-409C-BE32-E72D297353CC}">
              <c16:uniqueId val="{00000005-5D06-4F43-9842-7B0A1F4740ED}"/>
            </c:ext>
          </c:extLst>
        </c:ser>
        <c:dLbls>
          <c:showLegendKey val="0"/>
          <c:showVal val="0"/>
          <c:showCatName val="0"/>
          <c:showSerName val="0"/>
          <c:showPercent val="0"/>
          <c:showBubbleSize val="0"/>
        </c:dLbls>
        <c:marker val="1"/>
        <c:smooth val="0"/>
        <c:axId val="701308095"/>
        <c:axId val="701294383"/>
      </c:lineChart>
      <c:catAx>
        <c:axId val="701308095"/>
        <c:scaling>
          <c:orientation val="minMax"/>
        </c:scaling>
        <c:delete val="0"/>
        <c:axPos val="b"/>
        <c:title>
          <c:tx>
            <c:rich>
              <a:bodyPr/>
              <a:lstStyle/>
              <a:p>
                <a:pPr>
                  <a:defRPr sz="800" b="0">
                    <a:latin typeface="Arial"/>
                    <a:ea typeface="Arial"/>
                    <a:cs typeface="Arial"/>
                  </a:defRPr>
                </a:pPr>
                <a:r>
                  <a:rPr lang="fr-FR" sz="800"/>
                  <a:t>Time (Hour)</a:t>
                </a:r>
              </a:p>
            </c:rich>
          </c:tx>
          <c:layout>
            <c:manualLayout>
              <c:xMode val="edge"/>
              <c:yMode val="edge"/>
              <c:x val="0.40538796444746006"/>
              <c:y val="0.74467722584612905"/>
            </c:manualLayout>
          </c:layout>
          <c:overlay val="0"/>
        </c:title>
        <c:numFmt formatCode="General" sourceLinked="0"/>
        <c:majorTickMark val="cross"/>
        <c:minorTickMark val="none"/>
        <c:tickLblPos val="low"/>
        <c:spPr>
          <a:ln>
            <a:solidFill>
              <a:srgbClr val="000000"/>
            </a:solidFill>
            <a:prstDash val="solid"/>
          </a:ln>
        </c:spPr>
        <c:txPr>
          <a:bodyPr rot="-60000000" vert="horz"/>
          <a:lstStyle/>
          <a:p>
            <a:pPr>
              <a:defRPr sz="800"/>
            </a:pPr>
            <a:endParaRPr lang="en-US"/>
          </a:p>
        </c:txPr>
        <c:crossAx val="701294383"/>
        <c:crosses val="autoZero"/>
        <c:auto val="1"/>
        <c:lblAlgn val="ctr"/>
        <c:lblOffset val="100"/>
        <c:noMultiLvlLbl val="0"/>
      </c:catAx>
      <c:valAx>
        <c:axId val="701294383"/>
        <c:scaling>
          <c:orientation val="minMax"/>
          <c:max val="50"/>
          <c:min val="0"/>
        </c:scaling>
        <c:delete val="0"/>
        <c:axPos val="l"/>
        <c:title>
          <c:tx>
            <c:rich>
              <a:bodyPr/>
              <a:lstStyle/>
              <a:p>
                <a:pPr>
                  <a:defRPr sz="900" b="0">
                    <a:latin typeface="Arial"/>
                    <a:ea typeface="Arial"/>
                    <a:cs typeface="Arial"/>
                  </a:defRPr>
                </a:pPr>
                <a:r>
                  <a:rPr lang="fr-FR"/>
                  <a:t>MGK (cm</a:t>
                </a:r>
                <a:r>
                  <a:rPr lang="fr-FR" baseline="30000"/>
                  <a:t>2</a:t>
                </a:r>
                <a:r>
                  <a:rPr lang="fr-FR" baseline="0"/>
                  <a:t>)</a:t>
                </a:r>
              </a:p>
            </c:rich>
          </c:tx>
          <c:layout>
            <c:manualLayout>
              <c:xMode val="edge"/>
              <c:yMode val="edge"/>
              <c:x val="6.0619911117490745E-3"/>
              <c:y val="0.16177775313297105"/>
            </c:manualLayout>
          </c:layout>
          <c:overlay val="0"/>
        </c:title>
        <c:numFmt formatCode="General" sourceLinked="0"/>
        <c:majorTickMark val="cross"/>
        <c:minorTickMark val="none"/>
        <c:tickLblPos val="nextTo"/>
        <c:spPr>
          <a:ln>
            <a:solidFill>
              <a:srgbClr val="000000"/>
            </a:solidFill>
            <a:prstDash val="solid"/>
          </a:ln>
        </c:spPr>
        <c:txPr>
          <a:bodyPr/>
          <a:lstStyle/>
          <a:p>
            <a:pPr>
              <a:defRPr sz="800"/>
            </a:pPr>
            <a:endParaRPr lang="en-US"/>
          </a:p>
        </c:txPr>
        <c:crossAx val="701308095"/>
        <c:crosses val="autoZero"/>
        <c:crossBetween val="between"/>
      </c:valAx>
      <c:spPr>
        <a:ln>
          <a:solidFill>
            <a:srgbClr val="C0C0C0"/>
          </a:solidFill>
          <a:prstDash val="solid"/>
        </a:ln>
      </c:spPr>
    </c:plotArea>
    <c:legend>
      <c:legendPos val="b"/>
      <c:layout>
        <c:manualLayout>
          <c:xMode val="edge"/>
          <c:yMode val="edge"/>
          <c:x val="0"/>
          <c:y val="0.85007107786302649"/>
          <c:w val="0.9916900708831401"/>
          <c:h val="0.14992892213697359"/>
        </c:manualLayout>
      </c:layout>
      <c:overlay val="0"/>
      <c:spPr>
        <a:noFill/>
        <a:ln w="6350">
          <a:noFill/>
          <a:prstDash val="solid"/>
        </a:ln>
      </c:spPr>
      <c:txPr>
        <a:bodyPr/>
        <a:lstStyle/>
        <a:p>
          <a:pPr>
            <a:defRPr sz="800" b="0"/>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ln>
      <a:solidFill>
        <a:srgbClr val="000000"/>
      </a:solidFill>
      <a:prstDash val="solid"/>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6 H</c:v>
          </c:tx>
          <c:spPr>
            <a:solidFill>
              <a:srgbClr val="C0C0C0"/>
            </a:solidFill>
            <a:ln w="6350">
              <a:solidFill>
                <a:srgbClr val="000000"/>
              </a:solidFill>
              <a:prstDash val="solid"/>
            </a:ln>
          </c:spPr>
          <c:invertIfNegative val="0"/>
          <c:errBars>
            <c:errBarType val="both"/>
            <c:errValType val="fixedVal"/>
            <c:noEndCap val="0"/>
            <c:val val="2.5"/>
          </c:errBars>
          <c:cat>
            <c:strRef>
              <c:f>ANOVA7!$B$251:$B$256</c:f>
              <c:strCache>
                <c:ptCount val="6"/>
                <c:pt idx="0">
                  <c:v>BP1</c:v>
                </c:pt>
                <c:pt idx="1">
                  <c:v>BP2</c:v>
                </c:pt>
                <c:pt idx="2">
                  <c:v>BP3</c:v>
                </c:pt>
                <c:pt idx="3">
                  <c:v>BP4</c:v>
                </c:pt>
                <c:pt idx="4">
                  <c:v>C+</c:v>
                </c:pt>
                <c:pt idx="5">
                  <c:v>C-</c:v>
                </c:pt>
              </c:strCache>
            </c:strRef>
          </c:cat>
          <c:val>
            <c:numRef>
              <c:f>ANOVA7!$C$251:$C$256</c:f>
              <c:numCache>
                <c:formatCode>0.000</c:formatCode>
                <c:ptCount val="6"/>
                <c:pt idx="0">
                  <c:v>60</c:v>
                </c:pt>
                <c:pt idx="1">
                  <c:v>60</c:v>
                </c:pt>
                <c:pt idx="2">
                  <c:v>40</c:v>
                </c:pt>
                <c:pt idx="3">
                  <c:v>30</c:v>
                </c:pt>
                <c:pt idx="4">
                  <c:v>60</c:v>
                </c:pt>
                <c:pt idx="5">
                  <c:v>-5.6843418860808015E-14</c:v>
                </c:pt>
              </c:numCache>
            </c:numRef>
          </c:val>
          <c:extLst>
            <c:ext xmlns:c16="http://schemas.microsoft.com/office/drawing/2014/chart" uri="{C3380CC4-5D6E-409C-BE32-E72D297353CC}">
              <c16:uniqueId val="{00000000-69FB-46E5-9381-1B9146F58398}"/>
            </c:ext>
          </c:extLst>
        </c:ser>
        <c:ser>
          <c:idx val="1"/>
          <c:order val="1"/>
          <c:tx>
            <c:v>12 H</c:v>
          </c:tx>
          <c:spPr>
            <a:solidFill>
              <a:srgbClr val="FF4A46"/>
            </a:solidFill>
            <a:ln w="6350">
              <a:solidFill>
                <a:srgbClr val="000000"/>
              </a:solidFill>
              <a:prstDash val="solid"/>
            </a:ln>
          </c:spPr>
          <c:invertIfNegative val="0"/>
          <c:errBars>
            <c:errBarType val="both"/>
            <c:errValType val="cust"/>
            <c:noEndCap val="0"/>
            <c:plus>
              <c:numLit>
                <c:formatCode>General</c:formatCode>
                <c:ptCount val="6"/>
                <c:pt idx="0">
                  <c:v>4.5414768796581413</c:v>
                </c:pt>
                <c:pt idx="1">
                  <c:v>4.5414768796581342</c:v>
                </c:pt>
                <c:pt idx="2">
                  <c:v>4.5414768796581484</c:v>
                </c:pt>
                <c:pt idx="3">
                  <c:v>4.5414768796581413</c:v>
                </c:pt>
                <c:pt idx="4">
                  <c:v>4.5414768796581413</c:v>
                </c:pt>
                <c:pt idx="5">
                  <c:v>4.5414768796581413</c:v>
                </c:pt>
              </c:numLit>
            </c:plus>
            <c:minus>
              <c:numLit>
                <c:formatCode>General</c:formatCode>
                <c:ptCount val="6"/>
                <c:pt idx="0">
                  <c:v>4.5414768796581413</c:v>
                </c:pt>
                <c:pt idx="1">
                  <c:v>4.5414768796581342</c:v>
                </c:pt>
                <c:pt idx="2">
                  <c:v>4.5414768796581484</c:v>
                </c:pt>
                <c:pt idx="3">
                  <c:v>4.5414768796581413</c:v>
                </c:pt>
                <c:pt idx="4">
                  <c:v>4.5414768796581413</c:v>
                </c:pt>
                <c:pt idx="5">
                  <c:v>4.5414768796581413</c:v>
                </c:pt>
              </c:numLit>
            </c:minus>
          </c:errBars>
          <c:cat>
            <c:strRef>
              <c:f>ANOVA7!$B$251:$B$256</c:f>
              <c:strCache>
                <c:ptCount val="6"/>
                <c:pt idx="0">
                  <c:v>BP1</c:v>
                </c:pt>
                <c:pt idx="1">
                  <c:v>BP2</c:v>
                </c:pt>
                <c:pt idx="2">
                  <c:v>BP3</c:v>
                </c:pt>
                <c:pt idx="3">
                  <c:v>BP4</c:v>
                </c:pt>
                <c:pt idx="4">
                  <c:v>C+</c:v>
                </c:pt>
                <c:pt idx="5">
                  <c:v>C-</c:v>
                </c:pt>
              </c:strCache>
            </c:strRef>
          </c:cat>
          <c:val>
            <c:numRef>
              <c:f>ANOVA7!$D$251:$D$256</c:f>
              <c:numCache>
                <c:formatCode>0.000</c:formatCode>
                <c:ptCount val="6"/>
                <c:pt idx="0">
                  <c:v>50</c:v>
                </c:pt>
                <c:pt idx="1">
                  <c:v>60</c:v>
                </c:pt>
                <c:pt idx="2">
                  <c:v>60</c:v>
                </c:pt>
                <c:pt idx="3">
                  <c:v>50</c:v>
                </c:pt>
                <c:pt idx="4">
                  <c:v>40.000000000000377</c:v>
                </c:pt>
                <c:pt idx="5">
                  <c:v>0</c:v>
                </c:pt>
              </c:numCache>
            </c:numRef>
          </c:val>
          <c:extLst>
            <c:ext xmlns:c16="http://schemas.microsoft.com/office/drawing/2014/chart" uri="{C3380CC4-5D6E-409C-BE32-E72D297353CC}">
              <c16:uniqueId val="{00000001-69FB-46E5-9381-1B9146F58398}"/>
            </c:ext>
          </c:extLst>
        </c:ser>
        <c:ser>
          <c:idx val="2"/>
          <c:order val="2"/>
          <c:tx>
            <c:v>24 H</c:v>
          </c:tx>
          <c:spPr>
            <a:solidFill>
              <a:srgbClr val="2A7498"/>
            </a:solidFill>
            <a:ln w="6350">
              <a:solidFill>
                <a:srgbClr val="000000"/>
              </a:solidFill>
              <a:prstDash val="solid"/>
            </a:ln>
          </c:spPr>
          <c:invertIfNegative val="0"/>
          <c:errBars>
            <c:errBarType val="both"/>
            <c:errValType val="cust"/>
            <c:noEndCap val="0"/>
            <c:plus>
              <c:numLit>
                <c:formatCode>General</c:formatCode>
                <c:ptCount val="6"/>
                <c:pt idx="0">
                  <c:v>4.5414768796581413</c:v>
                </c:pt>
                <c:pt idx="1">
                  <c:v>4.5414768796581413</c:v>
                </c:pt>
                <c:pt idx="2">
                  <c:v>4.5414768796581413</c:v>
                </c:pt>
                <c:pt idx="3">
                  <c:v>4.5414768796581342</c:v>
                </c:pt>
                <c:pt idx="4">
                  <c:v>4.5414768796581422</c:v>
                </c:pt>
                <c:pt idx="5">
                  <c:v>4.5414768796581377</c:v>
                </c:pt>
              </c:numLit>
            </c:plus>
            <c:minus>
              <c:numLit>
                <c:formatCode>General</c:formatCode>
                <c:ptCount val="6"/>
                <c:pt idx="0">
                  <c:v>4.5414768796581413</c:v>
                </c:pt>
                <c:pt idx="1">
                  <c:v>4.5414768796581413</c:v>
                </c:pt>
                <c:pt idx="2">
                  <c:v>4.5414768796581413</c:v>
                </c:pt>
                <c:pt idx="3">
                  <c:v>4.5414768796581342</c:v>
                </c:pt>
                <c:pt idx="4">
                  <c:v>4.5414768796581422</c:v>
                </c:pt>
                <c:pt idx="5">
                  <c:v>4.5414768796581377</c:v>
                </c:pt>
              </c:numLit>
            </c:minus>
          </c:errBars>
          <c:cat>
            <c:strRef>
              <c:f>ANOVA7!$B$251:$B$256</c:f>
              <c:strCache>
                <c:ptCount val="6"/>
                <c:pt idx="0">
                  <c:v>BP1</c:v>
                </c:pt>
                <c:pt idx="1">
                  <c:v>BP2</c:v>
                </c:pt>
                <c:pt idx="2">
                  <c:v>BP3</c:v>
                </c:pt>
                <c:pt idx="3">
                  <c:v>BP4</c:v>
                </c:pt>
                <c:pt idx="4">
                  <c:v>C+</c:v>
                </c:pt>
                <c:pt idx="5">
                  <c:v>C-</c:v>
                </c:pt>
              </c:strCache>
            </c:strRef>
          </c:cat>
          <c:val>
            <c:numRef>
              <c:f>ANOVA7!$E$251:$E$256</c:f>
              <c:numCache>
                <c:formatCode>0.000</c:formatCode>
                <c:ptCount val="6"/>
                <c:pt idx="0">
                  <c:v>57</c:v>
                </c:pt>
                <c:pt idx="1">
                  <c:v>50</c:v>
                </c:pt>
                <c:pt idx="2">
                  <c:v>60</c:v>
                </c:pt>
                <c:pt idx="3">
                  <c:v>50</c:v>
                </c:pt>
                <c:pt idx="4">
                  <c:v>25</c:v>
                </c:pt>
                <c:pt idx="5">
                  <c:v>20</c:v>
                </c:pt>
              </c:numCache>
            </c:numRef>
          </c:val>
          <c:extLst>
            <c:ext xmlns:c16="http://schemas.microsoft.com/office/drawing/2014/chart" uri="{C3380CC4-5D6E-409C-BE32-E72D297353CC}">
              <c16:uniqueId val="{00000002-69FB-46E5-9381-1B9146F58398}"/>
            </c:ext>
          </c:extLst>
        </c:ser>
        <c:ser>
          <c:idx val="3"/>
          <c:order val="3"/>
          <c:tx>
            <c:v>48 H</c:v>
          </c:tx>
          <c:spPr>
            <a:solidFill>
              <a:srgbClr val="008941"/>
            </a:solidFill>
            <a:ln w="6350">
              <a:solidFill>
                <a:srgbClr val="000000"/>
              </a:solidFill>
              <a:prstDash val="solid"/>
            </a:ln>
          </c:spPr>
          <c:invertIfNegative val="0"/>
          <c:errBars>
            <c:errBarType val="both"/>
            <c:errValType val="cust"/>
            <c:noEndCap val="0"/>
            <c:plus>
              <c:numLit>
                <c:formatCode>General</c:formatCode>
                <c:ptCount val="6"/>
                <c:pt idx="0">
                  <c:v>4.5414768796581431</c:v>
                </c:pt>
                <c:pt idx="1">
                  <c:v>4.5414768796581431</c:v>
                </c:pt>
                <c:pt idx="2">
                  <c:v>4.5414768796581431</c:v>
                </c:pt>
                <c:pt idx="3">
                  <c:v>4.5414768796581422</c:v>
                </c:pt>
                <c:pt idx="4">
                  <c:v>4.5414768796581404</c:v>
                </c:pt>
                <c:pt idx="5">
                  <c:v>4.5414768796581253</c:v>
                </c:pt>
              </c:numLit>
            </c:plus>
            <c:minus>
              <c:numLit>
                <c:formatCode>General</c:formatCode>
                <c:ptCount val="6"/>
                <c:pt idx="0">
                  <c:v>4.5414768796581431</c:v>
                </c:pt>
                <c:pt idx="1">
                  <c:v>4.5414768796581431</c:v>
                </c:pt>
                <c:pt idx="2">
                  <c:v>4.5414768796581431</c:v>
                </c:pt>
                <c:pt idx="3">
                  <c:v>4.5414768796581422</c:v>
                </c:pt>
                <c:pt idx="4">
                  <c:v>4.5414768796581404</c:v>
                </c:pt>
                <c:pt idx="5">
                  <c:v>4.5414768796581253</c:v>
                </c:pt>
              </c:numLit>
            </c:minus>
          </c:errBars>
          <c:cat>
            <c:strRef>
              <c:f>ANOVA7!$B$251:$B$256</c:f>
              <c:strCache>
                <c:ptCount val="6"/>
                <c:pt idx="0">
                  <c:v>BP1</c:v>
                </c:pt>
                <c:pt idx="1">
                  <c:v>BP2</c:v>
                </c:pt>
                <c:pt idx="2">
                  <c:v>BP3</c:v>
                </c:pt>
                <c:pt idx="3">
                  <c:v>BP4</c:v>
                </c:pt>
                <c:pt idx="4">
                  <c:v>C+</c:v>
                </c:pt>
                <c:pt idx="5">
                  <c:v>C-</c:v>
                </c:pt>
              </c:strCache>
            </c:strRef>
          </c:cat>
          <c:val>
            <c:numRef>
              <c:f>ANOVA7!$F$251:$F$256</c:f>
              <c:numCache>
                <c:formatCode>0.000</c:formatCode>
                <c:ptCount val="6"/>
                <c:pt idx="0">
                  <c:v>40</c:v>
                </c:pt>
                <c:pt idx="1">
                  <c:v>0</c:v>
                </c:pt>
                <c:pt idx="2">
                  <c:v>-3.907985046680551E-14</c:v>
                </c:pt>
                <c:pt idx="3">
                  <c:v>-4.4408920985006262E-14</c:v>
                </c:pt>
                <c:pt idx="4">
                  <c:v>-3.0198066269804258E-14</c:v>
                </c:pt>
                <c:pt idx="5">
                  <c:v>10.000000000000437</c:v>
                </c:pt>
              </c:numCache>
            </c:numRef>
          </c:val>
          <c:extLst>
            <c:ext xmlns:c16="http://schemas.microsoft.com/office/drawing/2014/chart" uri="{C3380CC4-5D6E-409C-BE32-E72D297353CC}">
              <c16:uniqueId val="{00000003-69FB-46E5-9381-1B9146F58398}"/>
            </c:ext>
          </c:extLst>
        </c:ser>
        <c:dLbls>
          <c:showLegendKey val="0"/>
          <c:showVal val="0"/>
          <c:showCatName val="0"/>
          <c:showSerName val="0"/>
          <c:showPercent val="0"/>
          <c:showBubbleSize val="0"/>
        </c:dLbls>
        <c:gapWidth val="200"/>
        <c:axId val="1705469023"/>
        <c:axId val="1705478015"/>
      </c:barChart>
      <c:catAx>
        <c:axId val="1705469023"/>
        <c:scaling>
          <c:orientation val="minMax"/>
        </c:scaling>
        <c:delete val="0"/>
        <c:axPos val="b"/>
        <c:title>
          <c:tx>
            <c:rich>
              <a:bodyPr/>
              <a:lstStyle/>
              <a:p>
                <a:pPr>
                  <a:defRPr sz="900" b="0">
                    <a:latin typeface="Arial"/>
                    <a:ea typeface="Arial"/>
                    <a:cs typeface="Arial"/>
                  </a:defRPr>
                </a:pPr>
                <a:r>
                  <a:rPr lang="fr-FR"/>
                  <a:t>Modality</a:t>
                </a:r>
              </a:p>
            </c:rich>
          </c:tx>
          <c:overlay val="0"/>
        </c:title>
        <c:numFmt formatCode="General" sourceLinked="0"/>
        <c:majorTickMark val="cross"/>
        <c:minorTickMark val="none"/>
        <c:tickLblPos val="low"/>
        <c:spPr>
          <a:ln>
            <a:solidFill>
              <a:srgbClr val="000000"/>
            </a:solidFill>
            <a:prstDash val="solid"/>
          </a:ln>
        </c:spPr>
        <c:txPr>
          <a:bodyPr rot="-60000000" vert="horz"/>
          <a:lstStyle/>
          <a:p>
            <a:pPr>
              <a:defRPr sz="800"/>
            </a:pPr>
            <a:endParaRPr lang="en-US"/>
          </a:p>
        </c:txPr>
        <c:crossAx val="1705478015"/>
        <c:crosses val="autoZero"/>
        <c:auto val="1"/>
        <c:lblAlgn val="ctr"/>
        <c:lblOffset val="100"/>
        <c:noMultiLvlLbl val="0"/>
      </c:catAx>
      <c:valAx>
        <c:axId val="1705478015"/>
        <c:scaling>
          <c:orientation val="minMax"/>
          <c:max val="100"/>
          <c:min val="0"/>
        </c:scaling>
        <c:delete val="0"/>
        <c:axPos val="l"/>
        <c:title>
          <c:tx>
            <c:rich>
              <a:bodyPr/>
              <a:lstStyle/>
              <a:p>
                <a:pPr>
                  <a:defRPr sz="900" b="0">
                    <a:latin typeface="Arial"/>
                    <a:ea typeface="Arial"/>
                    <a:cs typeface="Arial"/>
                  </a:defRPr>
                </a:pPr>
                <a:r>
                  <a:rPr lang="fr-FR"/>
                  <a:t>Repulsion (%)</a:t>
                </a:r>
              </a:p>
            </c:rich>
          </c:tx>
          <c:layout>
            <c:manualLayout>
              <c:xMode val="edge"/>
              <c:yMode val="edge"/>
              <c:x val="2.3468669326449192E-2"/>
              <c:y val="0.15384462321271214"/>
            </c:manualLayout>
          </c:layout>
          <c:overlay val="0"/>
        </c:title>
        <c:numFmt formatCode="General" sourceLinked="0"/>
        <c:majorTickMark val="cross"/>
        <c:minorTickMark val="none"/>
        <c:tickLblPos val="nextTo"/>
        <c:spPr>
          <a:ln>
            <a:solidFill>
              <a:srgbClr val="000000"/>
            </a:solidFill>
            <a:prstDash val="solid"/>
          </a:ln>
        </c:spPr>
        <c:txPr>
          <a:bodyPr/>
          <a:lstStyle/>
          <a:p>
            <a:pPr>
              <a:defRPr sz="800"/>
            </a:pPr>
            <a:endParaRPr lang="en-US"/>
          </a:p>
        </c:txPr>
        <c:crossAx val="1705469023"/>
        <c:crosses val="autoZero"/>
        <c:crossBetween val="between"/>
      </c:valAx>
      <c:spPr>
        <a:ln>
          <a:solidFill>
            <a:srgbClr val="C0C0C0"/>
          </a:solidFill>
          <a:prstDash val="solid"/>
        </a:ln>
      </c:spPr>
    </c:plotArea>
    <c:legend>
      <c:legendPos val="b"/>
      <c:overlay val="0"/>
      <c:spPr>
        <a:noFill/>
        <a:ln w="6350">
          <a:noFill/>
          <a:prstDash val="solid"/>
        </a:ln>
      </c:spPr>
      <c:txPr>
        <a:bodyPr/>
        <a:lstStyle/>
        <a:p>
          <a:pPr>
            <a:defRPr sz="900" b="0"/>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ln>
      <a:solidFill>
        <a:srgbClr val="000000"/>
      </a:solidFill>
      <a:prstDash val="solid"/>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6 H</c:v>
          </c:tx>
          <c:spPr>
            <a:solidFill>
              <a:srgbClr val="C0C0C0"/>
            </a:solidFill>
            <a:ln w="6350">
              <a:solidFill>
                <a:srgbClr val="000000"/>
              </a:solidFill>
              <a:prstDash val="solid"/>
            </a:ln>
          </c:spPr>
          <c:invertIfNegative val="0"/>
          <c:errBars>
            <c:errBarType val="both"/>
            <c:errValType val="fixedVal"/>
            <c:noEndCap val="0"/>
            <c:val val="2.5"/>
          </c:errBars>
          <c:cat>
            <c:strRef>
              <c:f>ANOVA7!$B$662:$B$667</c:f>
              <c:strCache>
                <c:ptCount val="6"/>
                <c:pt idx="0">
                  <c:v>BP1</c:v>
                </c:pt>
                <c:pt idx="1">
                  <c:v>BP2</c:v>
                </c:pt>
                <c:pt idx="2">
                  <c:v>BP3</c:v>
                </c:pt>
                <c:pt idx="3">
                  <c:v>BP4</c:v>
                </c:pt>
                <c:pt idx="4">
                  <c:v>C+</c:v>
                </c:pt>
                <c:pt idx="5">
                  <c:v>C-</c:v>
                </c:pt>
              </c:strCache>
            </c:strRef>
          </c:cat>
          <c:val>
            <c:numRef>
              <c:f>ANOVA7!$C$662:$C$667</c:f>
              <c:numCache>
                <c:formatCode>0.000</c:formatCode>
                <c:ptCount val="6"/>
                <c:pt idx="0">
                  <c:v>7.1054273576010019E-14</c:v>
                </c:pt>
                <c:pt idx="1">
                  <c:v>7.1054273576010019E-14</c:v>
                </c:pt>
                <c:pt idx="2">
                  <c:v>7.815970093361102E-14</c:v>
                </c:pt>
                <c:pt idx="3">
                  <c:v>5.6843418860808015E-14</c:v>
                </c:pt>
                <c:pt idx="4">
                  <c:v>5.6843418860808015E-14</c:v>
                </c:pt>
                <c:pt idx="5">
                  <c:v>-1.4210854715202004E-14</c:v>
                </c:pt>
              </c:numCache>
            </c:numRef>
          </c:val>
          <c:extLst>
            <c:ext xmlns:c16="http://schemas.microsoft.com/office/drawing/2014/chart" uri="{C3380CC4-5D6E-409C-BE32-E72D297353CC}">
              <c16:uniqueId val="{00000000-DFE1-492A-AE8D-8B67477EFBF9}"/>
            </c:ext>
          </c:extLst>
        </c:ser>
        <c:ser>
          <c:idx val="1"/>
          <c:order val="1"/>
          <c:tx>
            <c:v>12 H</c:v>
          </c:tx>
          <c:spPr>
            <a:solidFill>
              <a:srgbClr val="FF4A46"/>
            </a:solidFill>
            <a:ln w="6350">
              <a:solidFill>
                <a:srgbClr val="000000"/>
              </a:solidFill>
              <a:prstDash val="solid"/>
            </a:ln>
          </c:spPr>
          <c:invertIfNegative val="0"/>
          <c:errBars>
            <c:errBarType val="both"/>
            <c:errValType val="cust"/>
            <c:noEndCap val="0"/>
            <c:plus>
              <c:numLit>
                <c:formatCode>General</c:formatCode>
                <c:ptCount val="6"/>
                <c:pt idx="0">
                  <c:v>2.4472666925628341</c:v>
                </c:pt>
                <c:pt idx="1">
                  <c:v>2.4472666925628337</c:v>
                </c:pt>
                <c:pt idx="2">
                  <c:v>2.4472666925628341</c:v>
                </c:pt>
                <c:pt idx="3">
                  <c:v>2.4472666925628341</c:v>
                </c:pt>
                <c:pt idx="4">
                  <c:v>2.4472666925628346</c:v>
                </c:pt>
                <c:pt idx="5">
                  <c:v>2.4472666925628359</c:v>
                </c:pt>
              </c:numLit>
            </c:plus>
            <c:minus>
              <c:numLit>
                <c:formatCode>General</c:formatCode>
                <c:ptCount val="6"/>
                <c:pt idx="0">
                  <c:v>2.4472666925628341</c:v>
                </c:pt>
                <c:pt idx="1">
                  <c:v>2.4472666925628337</c:v>
                </c:pt>
                <c:pt idx="2">
                  <c:v>2.4472666925628341</c:v>
                </c:pt>
                <c:pt idx="3">
                  <c:v>2.4472666925628341</c:v>
                </c:pt>
                <c:pt idx="4">
                  <c:v>2.4472666925628346</c:v>
                </c:pt>
                <c:pt idx="5">
                  <c:v>2.4472666925628359</c:v>
                </c:pt>
              </c:numLit>
            </c:minus>
          </c:errBars>
          <c:cat>
            <c:strRef>
              <c:f>ANOVA7!$B$662:$B$667</c:f>
              <c:strCache>
                <c:ptCount val="6"/>
                <c:pt idx="0">
                  <c:v>BP1</c:v>
                </c:pt>
                <c:pt idx="1">
                  <c:v>BP2</c:v>
                </c:pt>
                <c:pt idx="2">
                  <c:v>BP3</c:v>
                </c:pt>
                <c:pt idx="3">
                  <c:v>BP4</c:v>
                </c:pt>
                <c:pt idx="4">
                  <c:v>C+</c:v>
                </c:pt>
                <c:pt idx="5">
                  <c:v>C-</c:v>
                </c:pt>
              </c:strCache>
            </c:strRef>
          </c:cat>
          <c:val>
            <c:numRef>
              <c:f>ANOVA7!$D$662:$D$667</c:f>
              <c:numCache>
                <c:formatCode>0.000</c:formatCode>
                <c:ptCount val="6"/>
                <c:pt idx="0">
                  <c:v>-4.2632564145606011E-14</c:v>
                </c:pt>
                <c:pt idx="1">
                  <c:v>-5.6843418860808015E-14</c:v>
                </c:pt>
                <c:pt idx="2">
                  <c:v>-4.9737991503207013E-14</c:v>
                </c:pt>
                <c:pt idx="3">
                  <c:v>-4.9737991503207013E-14</c:v>
                </c:pt>
                <c:pt idx="4">
                  <c:v>39.999999999999972</c:v>
                </c:pt>
                <c:pt idx="5">
                  <c:v>-1.4210854715202004E-14</c:v>
                </c:pt>
              </c:numCache>
            </c:numRef>
          </c:val>
          <c:extLst>
            <c:ext xmlns:c16="http://schemas.microsoft.com/office/drawing/2014/chart" uri="{C3380CC4-5D6E-409C-BE32-E72D297353CC}">
              <c16:uniqueId val="{00000001-DFE1-492A-AE8D-8B67477EFBF9}"/>
            </c:ext>
          </c:extLst>
        </c:ser>
        <c:ser>
          <c:idx val="2"/>
          <c:order val="2"/>
          <c:tx>
            <c:v>24 H</c:v>
          </c:tx>
          <c:spPr>
            <a:solidFill>
              <a:srgbClr val="2A7498"/>
            </a:solidFill>
            <a:ln w="6350">
              <a:solidFill>
                <a:srgbClr val="000000"/>
              </a:solidFill>
              <a:prstDash val="solid"/>
            </a:ln>
          </c:spPr>
          <c:invertIfNegative val="0"/>
          <c:errBars>
            <c:errBarType val="both"/>
            <c:errValType val="cust"/>
            <c:noEndCap val="0"/>
            <c:plus>
              <c:numLit>
                <c:formatCode>General</c:formatCode>
                <c:ptCount val="6"/>
                <c:pt idx="0">
                  <c:v>2.4472666925628346</c:v>
                </c:pt>
                <c:pt idx="1">
                  <c:v>2.4472666925628346</c:v>
                </c:pt>
                <c:pt idx="2">
                  <c:v>2.4472666925628346</c:v>
                </c:pt>
                <c:pt idx="3">
                  <c:v>2.447266692562831</c:v>
                </c:pt>
                <c:pt idx="4">
                  <c:v>2.4472666925628346</c:v>
                </c:pt>
                <c:pt idx="5">
                  <c:v>2.4472666925628346</c:v>
                </c:pt>
              </c:numLit>
            </c:plus>
            <c:minus>
              <c:numLit>
                <c:formatCode>General</c:formatCode>
                <c:ptCount val="6"/>
                <c:pt idx="0">
                  <c:v>2.4472666925628346</c:v>
                </c:pt>
                <c:pt idx="1">
                  <c:v>2.4472666925628346</c:v>
                </c:pt>
                <c:pt idx="2">
                  <c:v>2.4472666925628346</c:v>
                </c:pt>
                <c:pt idx="3">
                  <c:v>2.447266692562831</c:v>
                </c:pt>
                <c:pt idx="4">
                  <c:v>2.4472666925628346</c:v>
                </c:pt>
                <c:pt idx="5">
                  <c:v>2.4472666925628346</c:v>
                </c:pt>
              </c:numLit>
            </c:minus>
          </c:errBars>
          <c:cat>
            <c:strRef>
              <c:f>ANOVA7!$B$662:$B$667</c:f>
              <c:strCache>
                <c:ptCount val="6"/>
                <c:pt idx="0">
                  <c:v>BP1</c:v>
                </c:pt>
                <c:pt idx="1">
                  <c:v>BP2</c:v>
                </c:pt>
                <c:pt idx="2">
                  <c:v>BP3</c:v>
                </c:pt>
                <c:pt idx="3">
                  <c:v>BP4</c:v>
                </c:pt>
                <c:pt idx="4">
                  <c:v>C+</c:v>
                </c:pt>
                <c:pt idx="5">
                  <c:v>C-</c:v>
                </c:pt>
              </c:strCache>
            </c:strRef>
          </c:cat>
          <c:val>
            <c:numRef>
              <c:f>ANOVA7!$E$662:$E$667</c:f>
              <c:numCache>
                <c:formatCode>0.000</c:formatCode>
                <c:ptCount val="6"/>
                <c:pt idx="0">
                  <c:v>32.666666666666501</c:v>
                </c:pt>
                <c:pt idx="1">
                  <c:v>20.666666666666494</c:v>
                </c:pt>
                <c:pt idx="2">
                  <c:v>24.999999999999829</c:v>
                </c:pt>
                <c:pt idx="3">
                  <c:v>31.333333333333162</c:v>
                </c:pt>
                <c:pt idx="4">
                  <c:v>59.999999999999837</c:v>
                </c:pt>
                <c:pt idx="5">
                  <c:v>-1.4210854715202004E-14</c:v>
                </c:pt>
              </c:numCache>
            </c:numRef>
          </c:val>
          <c:extLst>
            <c:ext xmlns:c16="http://schemas.microsoft.com/office/drawing/2014/chart" uri="{C3380CC4-5D6E-409C-BE32-E72D297353CC}">
              <c16:uniqueId val="{00000002-DFE1-492A-AE8D-8B67477EFBF9}"/>
            </c:ext>
          </c:extLst>
        </c:ser>
        <c:ser>
          <c:idx val="3"/>
          <c:order val="3"/>
          <c:tx>
            <c:v>48 H</c:v>
          </c:tx>
          <c:spPr>
            <a:solidFill>
              <a:srgbClr val="008941"/>
            </a:solidFill>
            <a:ln w="6350">
              <a:solidFill>
                <a:srgbClr val="000000"/>
              </a:solidFill>
              <a:prstDash val="solid"/>
            </a:ln>
          </c:spPr>
          <c:invertIfNegative val="0"/>
          <c:errBars>
            <c:errBarType val="both"/>
            <c:errValType val="cust"/>
            <c:noEndCap val="0"/>
            <c:plus>
              <c:numLit>
                <c:formatCode>General</c:formatCode>
                <c:ptCount val="6"/>
                <c:pt idx="0">
                  <c:v>2.4472666925628346</c:v>
                </c:pt>
                <c:pt idx="1">
                  <c:v>2.4472666925628346</c:v>
                </c:pt>
                <c:pt idx="2">
                  <c:v>2.4472666925628346</c:v>
                </c:pt>
                <c:pt idx="3">
                  <c:v>2.4472666925628346</c:v>
                </c:pt>
                <c:pt idx="4">
                  <c:v>2.4472666925628346</c:v>
                </c:pt>
                <c:pt idx="5">
                  <c:v>2.4472666925628279</c:v>
                </c:pt>
              </c:numLit>
            </c:plus>
            <c:minus>
              <c:numLit>
                <c:formatCode>General</c:formatCode>
                <c:ptCount val="6"/>
                <c:pt idx="0">
                  <c:v>2.4472666925628346</c:v>
                </c:pt>
                <c:pt idx="1">
                  <c:v>2.4472666925628346</c:v>
                </c:pt>
                <c:pt idx="2">
                  <c:v>2.4472666925628346</c:v>
                </c:pt>
                <c:pt idx="3">
                  <c:v>2.4472666925628346</c:v>
                </c:pt>
                <c:pt idx="4">
                  <c:v>2.4472666925628346</c:v>
                </c:pt>
                <c:pt idx="5">
                  <c:v>2.4472666925628279</c:v>
                </c:pt>
              </c:numLit>
            </c:minus>
          </c:errBars>
          <c:cat>
            <c:strRef>
              <c:f>ANOVA7!$B$662:$B$667</c:f>
              <c:strCache>
                <c:ptCount val="6"/>
                <c:pt idx="0">
                  <c:v>BP1</c:v>
                </c:pt>
                <c:pt idx="1">
                  <c:v>BP2</c:v>
                </c:pt>
                <c:pt idx="2">
                  <c:v>BP3</c:v>
                </c:pt>
                <c:pt idx="3">
                  <c:v>BP4</c:v>
                </c:pt>
                <c:pt idx="4">
                  <c:v>C+</c:v>
                </c:pt>
                <c:pt idx="5">
                  <c:v>C-</c:v>
                </c:pt>
              </c:strCache>
            </c:strRef>
          </c:cat>
          <c:val>
            <c:numRef>
              <c:f>ANOVA7!$F$662:$F$667</c:f>
              <c:numCache>
                <c:formatCode>0.000</c:formatCode>
                <c:ptCount val="6"/>
                <c:pt idx="0">
                  <c:v>64.000000000000028</c:v>
                </c:pt>
                <c:pt idx="1">
                  <c:v>65.6666666666667</c:v>
                </c:pt>
                <c:pt idx="2">
                  <c:v>55.000000000000028</c:v>
                </c:pt>
                <c:pt idx="3">
                  <c:v>59.666666666666714</c:v>
                </c:pt>
                <c:pt idx="4">
                  <c:v>100.00000000000007</c:v>
                </c:pt>
                <c:pt idx="5">
                  <c:v>-1.4210854715202004E-14</c:v>
                </c:pt>
              </c:numCache>
            </c:numRef>
          </c:val>
          <c:extLst>
            <c:ext xmlns:c16="http://schemas.microsoft.com/office/drawing/2014/chart" uri="{C3380CC4-5D6E-409C-BE32-E72D297353CC}">
              <c16:uniqueId val="{00000003-DFE1-492A-AE8D-8B67477EFBF9}"/>
            </c:ext>
          </c:extLst>
        </c:ser>
        <c:dLbls>
          <c:showLegendKey val="0"/>
          <c:showVal val="0"/>
          <c:showCatName val="0"/>
          <c:showSerName val="0"/>
          <c:showPercent val="0"/>
          <c:showBubbleSize val="0"/>
        </c:dLbls>
        <c:gapWidth val="200"/>
        <c:axId val="789436319"/>
        <c:axId val="702988527"/>
      </c:barChart>
      <c:catAx>
        <c:axId val="789436319"/>
        <c:scaling>
          <c:orientation val="minMax"/>
        </c:scaling>
        <c:delete val="0"/>
        <c:axPos val="b"/>
        <c:title>
          <c:tx>
            <c:rich>
              <a:bodyPr/>
              <a:lstStyle/>
              <a:p>
                <a:pPr>
                  <a:defRPr sz="900" b="0">
                    <a:latin typeface="Arial"/>
                    <a:ea typeface="Arial"/>
                    <a:cs typeface="Arial"/>
                  </a:defRPr>
                </a:pPr>
                <a:r>
                  <a:rPr lang="fr-FR"/>
                  <a:t>Modality</a:t>
                </a:r>
              </a:p>
            </c:rich>
          </c:tx>
          <c:overlay val="0"/>
        </c:title>
        <c:numFmt formatCode="General" sourceLinked="0"/>
        <c:majorTickMark val="cross"/>
        <c:minorTickMark val="none"/>
        <c:tickLblPos val="low"/>
        <c:spPr>
          <a:ln>
            <a:solidFill>
              <a:srgbClr val="000000"/>
            </a:solidFill>
            <a:prstDash val="solid"/>
          </a:ln>
        </c:spPr>
        <c:txPr>
          <a:bodyPr rot="-60000000" vert="horz"/>
          <a:lstStyle/>
          <a:p>
            <a:pPr>
              <a:defRPr sz="800"/>
            </a:pPr>
            <a:endParaRPr lang="en-US"/>
          </a:p>
        </c:txPr>
        <c:crossAx val="702988527"/>
        <c:crosses val="autoZero"/>
        <c:auto val="1"/>
        <c:lblAlgn val="ctr"/>
        <c:lblOffset val="100"/>
        <c:noMultiLvlLbl val="0"/>
      </c:catAx>
      <c:valAx>
        <c:axId val="702988527"/>
        <c:scaling>
          <c:orientation val="minMax"/>
          <c:min val="0"/>
        </c:scaling>
        <c:delete val="0"/>
        <c:axPos val="l"/>
        <c:title>
          <c:tx>
            <c:rich>
              <a:bodyPr/>
              <a:lstStyle/>
              <a:p>
                <a:pPr>
                  <a:defRPr sz="900" b="0">
                    <a:latin typeface="Arial"/>
                    <a:ea typeface="Arial"/>
                    <a:cs typeface="Arial"/>
                  </a:defRPr>
                </a:pPr>
                <a:r>
                  <a:rPr lang="fr-FR"/>
                  <a:t>Mortality (%)</a:t>
                </a:r>
              </a:p>
            </c:rich>
          </c:tx>
          <c:layout>
            <c:manualLayout>
              <c:xMode val="edge"/>
              <c:yMode val="edge"/>
              <c:x val="1.8774935461159353E-2"/>
              <c:y val="0.17256153791586862"/>
            </c:manualLayout>
          </c:layout>
          <c:overlay val="0"/>
        </c:title>
        <c:numFmt formatCode="General" sourceLinked="0"/>
        <c:majorTickMark val="cross"/>
        <c:minorTickMark val="none"/>
        <c:tickLblPos val="nextTo"/>
        <c:spPr>
          <a:ln>
            <a:solidFill>
              <a:srgbClr val="000000"/>
            </a:solidFill>
            <a:prstDash val="solid"/>
          </a:ln>
        </c:spPr>
        <c:txPr>
          <a:bodyPr/>
          <a:lstStyle/>
          <a:p>
            <a:pPr>
              <a:defRPr sz="800"/>
            </a:pPr>
            <a:endParaRPr lang="en-US"/>
          </a:p>
        </c:txPr>
        <c:crossAx val="789436319"/>
        <c:crosses val="autoZero"/>
        <c:crossBetween val="between"/>
      </c:valAx>
      <c:spPr>
        <a:ln>
          <a:solidFill>
            <a:srgbClr val="C0C0C0"/>
          </a:solidFill>
          <a:prstDash val="solid"/>
        </a:ln>
      </c:spPr>
    </c:plotArea>
    <c:legend>
      <c:legendPos val="b"/>
      <c:overlay val="0"/>
      <c:spPr>
        <a:noFill/>
        <a:ln w="6350">
          <a:noFill/>
          <a:prstDash val="solid"/>
        </a:ln>
      </c:spPr>
      <c:txPr>
        <a:bodyPr/>
        <a:lstStyle/>
        <a:p>
          <a:pPr>
            <a:defRPr sz="900" b="0"/>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ln>
      <a:solidFill>
        <a:srgbClr val="000000"/>
      </a:solidFill>
      <a:prstDash val="solid"/>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6 H</c:v>
          </c:tx>
          <c:spPr>
            <a:solidFill>
              <a:srgbClr val="C0C0C0"/>
            </a:solidFill>
            <a:ln w="6350">
              <a:solidFill>
                <a:srgbClr val="000000"/>
              </a:solidFill>
              <a:prstDash val="solid"/>
            </a:ln>
          </c:spPr>
          <c:invertIfNegative val="0"/>
          <c:errBars>
            <c:errBarType val="both"/>
            <c:errValType val="fixedVal"/>
            <c:noEndCap val="0"/>
            <c:val val="2.5"/>
          </c:errBars>
          <c:cat>
            <c:strRef>
              <c:f>ANOVA7!$B$251:$B$256</c:f>
              <c:strCache>
                <c:ptCount val="6"/>
                <c:pt idx="0">
                  <c:v>BP1</c:v>
                </c:pt>
                <c:pt idx="1">
                  <c:v>BP2</c:v>
                </c:pt>
                <c:pt idx="2">
                  <c:v>BP3</c:v>
                </c:pt>
                <c:pt idx="3">
                  <c:v>BP4</c:v>
                </c:pt>
                <c:pt idx="4">
                  <c:v>C+</c:v>
                </c:pt>
                <c:pt idx="5">
                  <c:v>C-</c:v>
                </c:pt>
              </c:strCache>
            </c:strRef>
          </c:cat>
          <c:val>
            <c:numRef>
              <c:f>ANOVA7!$C$251:$C$256</c:f>
              <c:numCache>
                <c:formatCode>0.000</c:formatCode>
                <c:ptCount val="6"/>
                <c:pt idx="0">
                  <c:v>60</c:v>
                </c:pt>
                <c:pt idx="1">
                  <c:v>60</c:v>
                </c:pt>
                <c:pt idx="2">
                  <c:v>40</c:v>
                </c:pt>
                <c:pt idx="3">
                  <c:v>30</c:v>
                </c:pt>
                <c:pt idx="4">
                  <c:v>60</c:v>
                </c:pt>
                <c:pt idx="5">
                  <c:v>-5.6843418860808015E-14</c:v>
                </c:pt>
              </c:numCache>
            </c:numRef>
          </c:val>
          <c:extLst>
            <c:ext xmlns:c16="http://schemas.microsoft.com/office/drawing/2014/chart" uri="{C3380CC4-5D6E-409C-BE32-E72D297353CC}">
              <c16:uniqueId val="{00000000-CB10-48D2-8828-3F362DF87B70}"/>
            </c:ext>
          </c:extLst>
        </c:ser>
        <c:ser>
          <c:idx val="1"/>
          <c:order val="1"/>
          <c:tx>
            <c:v>12 H</c:v>
          </c:tx>
          <c:spPr>
            <a:solidFill>
              <a:srgbClr val="FF4A46"/>
            </a:solidFill>
            <a:ln w="6350">
              <a:solidFill>
                <a:srgbClr val="000000"/>
              </a:solidFill>
              <a:prstDash val="solid"/>
            </a:ln>
          </c:spPr>
          <c:invertIfNegative val="0"/>
          <c:errBars>
            <c:errBarType val="both"/>
            <c:errValType val="cust"/>
            <c:noEndCap val="0"/>
            <c:plus>
              <c:numLit>
                <c:formatCode>General</c:formatCode>
                <c:ptCount val="6"/>
                <c:pt idx="0">
                  <c:v>4.5414768796581413</c:v>
                </c:pt>
                <c:pt idx="1">
                  <c:v>4.5414768796581342</c:v>
                </c:pt>
                <c:pt idx="2">
                  <c:v>4.5414768796581484</c:v>
                </c:pt>
                <c:pt idx="3">
                  <c:v>4.5414768796581413</c:v>
                </c:pt>
                <c:pt idx="4">
                  <c:v>4.5414768796581413</c:v>
                </c:pt>
                <c:pt idx="5">
                  <c:v>4.5414768796581413</c:v>
                </c:pt>
              </c:numLit>
            </c:plus>
            <c:minus>
              <c:numLit>
                <c:formatCode>General</c:formatCode>
                <c:ptCount val="6"/>
                <c:pt idx="0">
                  <c:v>4.5414768796581413</c:v>
                </c:pt>
                <c:pt idx="1">
                  <c:v>4.5414768796581342</c:v>
                </c:pt>
                <c:pt idx="2">
                  <c:v>4.5414768796581484</c:v>
                </c:pt>
                <c:pt idx="3">
                  <c:v>4.5414768796581413</c:v>
                </c:pt>
                <c:pt idx="4">
                  <c:v>4.5414768796581413</c:v>
                </c:pt>
                <c:pt idx="5">
                  <c:v>4.5414768796581413</c:v>
                </c:pt>
              </c:numLit>
            </c:minus>
          </c:errBars>
          <c:cat>
            <c:strRef>
              <c:f>ANOVA7!$B$251:$B$256</c:f>
              <c:strCache>
                <c:ptCount val="6"/>
                <c:pt idx="0">
                  <c:v>BP1</c:v>
                </c:pt>
                <c:pt idx="1">
                  <c:v>BP2</c:v>
                </c:pt>
                <c:pt idx="2">
                  <c:v>BP3</c:v>
                </c:pt>
                <c:pt idx="3">
                  <c:v>BP4</c:v>
                </c:pt>
                <c:pt idx="4">
                  <c:v>C+</c:v>
                </c:pt>
                <c:pt idx="5">
                  <c:v>C-</c:v>
                </c:pt>
              </c:strCache>
            </c:strRef>
          </c:cat>
          <c:val>
            <c:numRef>
              <c:f>ANOVA7!$D$251:$D$256</c:f>
              <c:numCache>
                <c:formatCode>0.000</c:formatCode>
                <c:ptCount val="6"/>
                <c:pt idx="0">
                  <c:v>50</c:v>
                </c:pt>
                <c:pt idx="1">
                  <c:v>60</c:v>
                </c:pt>
                <c:pt idx="2">
                  <c:v>60</c:v>
                </c:pt>
                <c:pt idx="3">
                  <c:v>50</c:v>
                </c:pt>
                <c:pt idx="4">
                  <c:v>40.000000000000377</c:v>
                </c:pt>
                <c:pt idx="5">
                  <c:v>0</c:v>
                </c:pt>
              </c:numCache>
            </c:numRef>
          </c:val>
          <c:extLst>
            <c:ext xmlns:c16="http://schemas.microsoft.com/office/drawing/2014/chart" uri="{C3380CC4-5D6E-409C-BE32-E72D297353CC}">
              <c16:uniqueId val="{00000001-CB10-48D2-8828-3F362DF87B70}"/>
            </c:ext>
          </c:extLst>
        </c:ser>
        <c:ser>
          <c:idx val="2"/>
          <c:order val="2"/>
          <c:tx>
            <c:v>24 H</c:v>
          </c:tx>
          <c:spPr>
            <a:solidFill>
              <a:srgbClr val="2A7498"/>
            </a:solidFill>
            <a:ln w="6350">
              <a:solidFill>
                <a:srgbClr val="000000"/>
              </a:solidFill>
              <a:prstDash val="solid"/>
            </a:ln>
          </c:spPr>
          <c:invertIfNegative val="0"/>
          <c:errBars>
            <c:errBarType val="both"/>
            <c:errValType val="cust"/>
            <c:noEndCap val="0"/>
            <c:plus>
              <c:numLit>
                <c:formatCode>General</c:formatCode>
                <c:ptCount val="6"/>
                <c:pt idx="0">
                  <c:v>4.5414768796581413</c:v>
                </c:pt>
                <c:pt idx="1">
                  <c:v>4.5414768796581413</c:v>
                </c:pt>
                <c:pt idx="2">
                  <c:v>4.5414768796581413</c:v>
                </c:pt>
                <c:pt idx="3">
                  <c:v>4.5414768796581342</c:v>
                </c:pt>
                <c:pt idx="4">
                  <c:v>4.5414768796581422</c:v>
                </c:pt>
                <c:pt idx="5">
                  <c:v>4.5414768796581377</c:v>
                </c:pt>
              </c:numLit>
            </c:plus>
            <c:minus>
              <c:numLit>
                <c:formatCode>General</c:formatCode>
                <c:ptCount val="6"/>
                <c:pt idx="0">
                  <c:v>4.5414768796581413</c:v>
                </c:pt>
                <c:pt idx="1">
                  <c:v>4.5414768796581413</c:v>
                </c:pt>
                <c:pt idx="2">
                  <c:v>4.5414768796581413</c:v>
                </c:pt>
                <c:pt idx="3">
                  <c:v>4.5414768796581342</c:v>
                </c:pt>
                <c:pt idx="4">
                  <c:v>4.5414768796581422</c:v>
                </c:pt>
                <c:pt idx="5">
                  <c:v>4.5414768796581377</c:v>
                </c:pt>
              </c:numLit>
            </c:minus>
          </c:errBars>
          <c:cat>
            <c:strRef>
              <c:f>ANOVA7!$B$251:$B$256</c:f>
              <c:strCache>
                <c:ptCount val="6"/>
                <c:pt idx="0">
                  <c:v>BP1</c:v>
                </c:pt>
                <c:pt idx="1">
                  <c:v>BP2</c:v>
                </c:pt>
                <c:pt idx="2">
                  <c:v>BP3</c:v>
                </c:pt>
                <c:pt idx="3">
                  <c:v>BP4</c:v>
                </c:pt>
                <c:pt idx="4">
                  <c:v>C+</c:v>
                </c:pt>
                <c:pt idx="5">
                  <c:v>C-</c:v>
                </c:pt>
              </c:strCache>
            </c:strRef>
          </c:cat>
          <c:val>
            <c:numRef>
              <c:f>ANOVA7!$E$251:$E$256</c:f>
              <c:numCache>
                <c:formatCode>0.000</c:formatCode>
                <c:ptCount val="6"/>
                <c:pt idx="0">
                  <c:v>57</c:v>
                </c:pt>
                <c:pt idx="1">
                  <c:v>50</c:v>
                </c:pt>
                <c:pt idx="2">
                  <c:v>60</c:v>
                </c:pt>
                <c:pt idx="3">
                  <c:v>50</c:v>
                </c:pt>
                <c:pt idx="4">
                  <c:v>25</c:v>
                </c:pt>
                <c:pt idx="5">
                  <c:v>20</c:v>
                </c:pt>
              </c:numCache>
            </c:numRef>
          </c:val>
          <c:extLst>
            <c:ext xmlns:c16="http://schemas.microsoft.com/office/drawing/2014/chart" uri="{C3380CC4-5D6E-409C-BE32-E72D297353CC}">
              <c16:uniqueId val="{00000002-CB10-48D2-8828-3F362DF87B70}"/>
            </c:ext>
          </c:extLst>
        </c:ser>
        <c:ser>
          <c:idx val="3"/>
          <c:order val="3"/>
          <c:tx>
            <c:v>48 H</c:v>
          </c:tx>
          <c:spPr>
            <a:solidFill>
              <a:srgbClr val="008941"/>
            </a:solidFill>
            <a:ln w="6350">
              <a:solidFill>
                <a:srgbClr val="000000"/>
              </a:solidFill>
              <a:prstDash val="solid"/>
            </a:ln>
          </c:spPr>
          <c:invertIfNegative val="0"/>
          <c:errBars>
            <c:errBarType val="both"/>
            <c:errValType val="cust"/>
            <c:noEndCap val="0"/>
            <c:plus>
              <c:numLit>
                <c:formatCode>General</c:formatCode>
                <c:ptCount val="6"/>
                <c:pt idx="0">
                  <c:v>4.5414768796581431</c:v>
                </c:pt>
                <c:pt idx="1">
                  <c:v>4.5414768796581431</c:v>
                </c:pt>
                <c:pt idx="2">
                  <c:v>4.5414768796581431</c:v>
                </c:pt>
                <c:pt idx="3">
                  <c:v>4.5414768796581422</c:v>
                </c:pt>
                <c:pt idx="4">
                  <c:v>4.5414768796581404</c:v>
                </c:pt>
                <c:pt idx="5">
                  <c:v>4.5414768796581253</c:v>
                </c:pt>
              </c:numLit>
            </c:plus>
            <c:minus>
              <c:numLit>
                <c:formatCode>General</c:formatCode>
                <c:ptCount val="6"/>
                <c:pt idx="0">
                  <c:v>4.5414768796581431</c:v>
                </c:pt>
                <c:pt idx="1">
                  <c:v>4.5414768796581431</c:v>
                </c:pt>
                <c:pt idx="2">
                  <c:v>4.5414768796581431</c:v>
                </c:pt>
                <c:pt idx="3">
                  <c:v>4.5414768796581422</c:v>
                </c:pt>
                <c:pt idx="4">
                  <c:v>4.5414768796581404</c:v>
                </c:pt>
                <c:pt idx="5">
                  <c:v>4.5414768796581253</c:v>
                </c:pt>
              </c:numLit>
            </c:minus>
          </c:errBars>
          <c:cat>
            <c:strRef>
              <c:f>ANOVA7!$B$251:$B$256</c:f>
              <c:strCache>
                <c:ptCount val="6"/>
                <c:pt idx="0">
                  <c:v>BP1</c:v>
                </c:pt>
                <c:pt idx="1">
                  <c:v>BP2</c:v>
                </c:pt>
                <c:pt idx="2">
                  <c:v>BP3</c:v>
                </c:pt>
                <c:pt idx="3">
                  <c:v>BP4</c:v>
                </c:pt>
                <c:pt idx="4">
                  <c:v>C+</c:v>
                </c:pt>
                <c:pt idx="5">
                  <c:v>C-</c:v>
                </c:pt>
              </c:strCache>
            </c:strRef>
          </c:cat>
          <c:val>
            <c:numRef>
              <c:f>ANOVA7!$F$251:$F$256</c:f>
              <c:numCache>
                <c:formatCode>0.000</c:formatCode>
                <c:ptCount val="6"/>
                <c:pt idx="0">
                  <c:v>40</c:v>
                </c:pt>
                <c:pt idx="1">
                  <c:v>0</c:v>
                </c:pt>
                <c:pt idx="2">
                  <c:v>-3.907985046680551E-14</c:v>
                </c:pt>
                <c:pt idx="3">
                  <c:v>-4.4408920985006262E-14</c:v>
                </c:pt>
                <c:pt idx="4">
                  <c:v>-3.0198066269804258E-14</c:v>
                </c:pt>
                <c:pt idx="5">
                  <c:v>10.000000000000437</c:v>
                </c:pt>
              </c:numCache>
            </c:numRef>
          </c:val>
          <c:extLst>
            <c:ext xmlns:c16="http://schemas.microsoft.com/office/drawing/2014/chart" uri="{C3380CC4-5D6E-409C-BE32-E72D297353CC}">
              <c16:uniqueId val="{00000003-CB10-48D2-8828-3F362DF87B70}"/>
            </c:ext>
          </c:extLst>
        </c:ser>
        <c:dLbls>
          <c:showLegendKey val="0"/>
          <c:showVal val="0"/>
          <c:showCatName val="0"/>
          <c:showSerName val="0"/>
          <c:showPercent val="0"/>
          <c:showBubbleSize val="0"/>
        </c:dLbls>
        <c:gapWidth val="200"/>
        <c:axId val="1705469023"/>
        <c:axId val="1705478015"/>
      </c:barChart>
      <c:catAx>
        <c:axId val="1705469023"/>
        <c:scaling>
          <c:orientation val="minMax"/>
        </c:scaling>
        <c:delete val="0"/>
        <c:axPos val="b"/>
        <c:title>
          <c:tx>
            <c:rich>
              <a:bodyPr/>
              <a:lstStyle/>
              <a:p>
                <a:pPr>
                  <a:defRPr sz="900" b="0">
                    <a:latin typeface="Arial"/>
                    <a:ea typeface="Arial"/>
                    <a:cs typeface="Arial"/>
                  </a:defRPr>
                </a:pPr>
                <a:r>
                  <a:rPr lang="fr-FR"/>
                  <a:t>Modality</a:t>
                </a:r>
              </a:p>
            </c:rich>
          </c:tx>
          <c:overlay val="0"/>
        </c:title>
        <c:numFmt formatCode="General" sourceLinked="0"/>
        <c:majorTickMark val="cross"/>
        <c:minorTickMark val="none"/>
        <c:tickLblPos val="low"/>
        <c:spPr>
          <a:ln>
            <a:solidFill>
              <a:srgbClr val="000000"/>
            </a:solidFill>
            <a:prstDash val="solid"/>
          </a:ln>
        </c:spPr>
        <c:txPr>
          <a:bodyPr rot="-60000000" vert="horz"/>
          <a:lstStyle/>
          <a:p>
            <a:pPr>
              <a:defRPr sz="800"/>
            </a:pPr>
            <a:endParaRPr lang="en-US"/>
          </a:p>
        </c:txPr>
        <c:crossAx val="1705478015"/>
        <c:crosses val="autoZero"/>
        <c:auto val="1"/>
        <c:lblAlgn val="ctr"/>
        <c:lblOffset val="100"/>
        <c:noMultiLvlLbl val="0"/>
      </c:catAx>
      <c:valAx>
        <c:axId val="1705478015"/>
        <c:scaling>
          <c:orientation val="minMax"/>
          <c:max val="100"/>
          <c:min val="0"/>
        </c:scaling>
        <c:delete val="0"/>
        <c:axPos val="l"/>
        <c:title>
          <c:tx>
            <c:rich>
              <a:bodyPr/>
              <a:lstStyle/>
              <a:p>
                <a:pPr>
                  <a:defRPr sz="900" b="0">
                    <a:latin typeface="Arial"/>
                    <a:ea typeface="Arial"/>
                    <a:cs typeface="Arial"/>
                  </a:defRPr>
                </a:pPr>
                <a:r>
                  <a:rPr lang="fr-FR"/>
                  <a:t>Repulsion (%)</a:t>
                </a:r>
              </a:p>
            </c:rich>
          </c:tx>
          <c:layout>
            <c:manualLayout>
              <c:xMode val="edge"/>
              <c:yMode val="edge"/>
              <c:x val="2.3419203747072601E-2"/>
              <c:y val="0.15873188655523102"/>
            </c:manualLayout>
          </c:layout>
          <c:overlay val="0"/>
        </c:title>
        <c:numFmt formatCode="General" sourceLinked="0"/>
        <c:majorTickMark val="cross"/>
        <c:minorTickMark val="none"/>
        <c:tickLblPos val="nextTo"/>
        <c:spPr>
          <a:ln>
            <a:solidFill>
              <a:srgbClr val="000000"/>
            </a:solidFill>
            <a:prstDash val="solid"/>
          </a:ln>
        </c:spPr>
        <c:txPr>
          <a:bodyPr/>
          <a:lstStyle/>
          <a:p>
            <a:pPr>
              <a:defRPr sz="800"/>
            </a:pPr>
            <a:endParaRPr lang="en-US"/>
          </a:p>
        </c:txPr>
        <c:crossAx val="1705469023"/>
        <c:crosses val="autoZero"/>
        <c:crossBetween val="between"/>
      </c:valAx>
      <c:spPr>
        <a:ln>
          <a:solidFill>
            <a:srgbClr val="C0C0C0"/>
          </a:solidFill>
          <a:prstDash val="solid"/>
        </a:ln>
      </c:spPr>
    </c:plotArea>
    <c:legend>
      <c:legendPos val="b"/>
      <c:overlay val="0"/>
      <c:spPr>
        <a:noFill/>
        <a:ln w="6350">
          <a:noFill/>
          <a:prstDash val="solid"/>
        </a:ln>
      </c:spPr>
      <c:txPr>
        <a:bodyPr/>
        <a:lstStyle/>
        <a:p>
          <a:pPr>
            <a:defRPr sz="900" b="0"/>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ln>
      <a:solidFill>
        <a:srgbClr val="000000"/>
      </a:solidFill>
      <a:prstDash val="solid"/>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6 H</c:v>
          </c:tx>
          <c:spPr>
            <a:solidFill>
              <a:srgbClr val="C0C0C0"/>
            </a:solidFill>
            <a:ln w="6350">
              <a:solidFill>
                <a:srgbClr val="000000"/>
              </a:solidFill>
              <a:prstDash val="solid"/>
            </a:ln>
          </c:spPr>
          <c:invertIfNegative val="0"/>
          <c:errBars>
            <c:errBarType val="both"/>
            <c:errValType val="fixedVal"/>
            <c:noEndCap val="0"/>
            <c:val val="2.5"/>
          </c:errBars>
          <c:cat>
            <c:strRef>
              <c:f>ANOVA7!$B$662:$B$667</c:f>
              <c:strCache>
                <c:ptCount val="6"/>
                <c:pt idx="0">
                  <c:v>BP1</c:v>
                </c:pt>
                <c:pt idx="1">
                  <c:v>BP2</c:v>
                </c:pt>
                <c:pt idx="2">
                  <c:v>BP3</c:v>
                </c:pt>
                <c:pt idx="3">
                  <c:v>BP4</c:v>
                </c:pt>
                <c:pt idx="4">
                  <c:v>C+</c:v>
                </c:pt>
                <c:pt idx="5">
                  <c:v>C-</c:v>
                </c:pt>
              </c:strCache>
            </c:strRef>
          </c:cat>
          <c:val>
            <c:numRef>
              <c:f>ANOVA7!$C$662:$C$667</c:f>
              <c:numCache>
                <c:formatCode>0.000</c:formatCode>
                <c:ptCount val="6"/>
                <c:pt idx="0">
                  <c:v>7.1054273576010019E-14</c:v>
                </c:pt>
                <c:pt idx="1">
                  <c:v>7.1054273576010019E-14</c:v>
                </c:pt>
                <c:pt idx="2">
                  <c:v>7.815970093361102E-14</c:v>
                </c:pt>
                <c:pt idx="3">
                  <c:v>5.6843418860808015E-14</c:v>
                </c:pt>
                <c:pt idx="4">
                  <c:v>5.6843418860808015E-14</c:v>
                </c:pt>
                <c:pt idx="5">
                  <c:v>-1.4210854715202004E-14</c:v>
                </c:pt>
              </c:numCache>
            </c:numRef>
          </c:val>
          <c:extLst>
            <c:ext xmlns:c16="http://schemas.microsoft.com/office/drawing/2014/chart" uri="{C3380CC4-5D6E-409C-BE32-E72D297353CC}">
              <c16:uniqueId val="{00000000-D83A-4B7A-BFDB-BCDE318E0FAC}"/>
            </c:ext>
          </c:extLst>
        </c:ser>
        <c:ser>
          <c:idx val="1"/>
          <c:order val="1"/>
          <c:tx>
            <c:v>12 H</c:v>
          </c:tx>
          <c:spPr>
            <a:solidFill>
              <a:srgbClr val="FF4A46"/>
            </a:solidFill>
            <a:ln w="6350">
              <a:solidFill>
                <a:srgbClr val="000000"/>
              </a:solidFill>
              <a:prstDash val="solid"/>
            </a:ln>
          </c:spPr>
          <c:invertIfNegative val="0"/>
          <c:errBars>
            <c:errBarType val="both"/>
            <c:errValType val="cust"/>
            <c:noEndCap val="0"/>
            <c:plus>
              <c:numLit>
                <c:formatCode>General</c:formatCode>
                <c:ptCount val="6"/>
                <c:pt idx="0">
                  <c:v>2.4472666925628341</c:v>
                </c:pt>
                <c:pt idx="1">
                  <c:v>2.4472666925628337</c:v>
                </c:pt>
                <c:pt idx="2">
                  <c:v>2.4472666925628341</c:v>
                </c:pt>
                <c:pt idx="3">
                  <c:v>2.4472666925628341</c:v>
                </c:pt>
                <c:pt idx="4">
                  <c:v>2.4472666925628346</c:v>
                </c:pt>
                <c:pt idx="5">
                  <c:v>2.4472666925628359</c:v>
                </c:pt>
              </c:numLit>
            </c:plus>
            <c:minus>
              <c:numLit>
                <c:formatCode>General</c:formatCode>
                <c:ptCount val="6"/>
                <c:pt idx="0">
                  <c:v>2.4472666925628341</c:v>
                </c:pt>
                <c:pt idx="1">
                  <c:v>2.4472666925628337</c:v>
                </c:pt>
                <c:pt idx="2">
                  <c:v>2.4472666925628341</c:v>
                </c:pt>
                <c:pt idx="3">
                  <c:v>2.4472666925628341</c:v>
                </c:pt>
                <c:pt idx="4">
                  <c:v>2.4472666925628346</c:v>
                </c:pt>
                <c:pt idx="5">
                  <c:v>2.4472666925628359</c:v>
                </c:pt>
              </c:numLit>
            </c:minus>
          </c:errBars>
          <c:cat>
            <c:strRef>
              <c:f>ANOVA7!$B$662:$B$667</c:f>
              <c:strCache>
                <c:ptCount val="6"/>
                <c:pt idx="0">
                  <c:v>BP1</c:v>
                </c:pt>
                <c:pt idx="1">
                  <c:v>BP2</c:v>
                </c:pt>
                <c:pt idx="2">
                  <c:v>BP3</c:v>
                </c:pt>
                <c:pt idx="3">
                  <c:v>BP4</c:v>
                </c:pt>
                <c:pt idx="4">
                  <c:v>C+</c:v>
                </c:pt>
                <c:pt idx="5">
                  <c:v>C-</c:v>
                </c:pt>
              </c:strCache>
            </c:strRef>
          </c:cat>
          <c:val>
            <c:numRef>
              <c:f>ANOVA7!$D$662:$D$667</c:f>
              <c:numCache>
                <c:formatCode>0.000</c:formatCode>
                <c:ptCount val="6"/>
                <c:pt idx="0">
                  <c:v>10</c:v>
                </c:pt>
                <c:pt idx="1">
                  <c:v>-5.6843418860808015E-14</c:v>
                </c:pt>
                <c:pt idx="2">
                  <c:v>10</c:v>
                </c:pt>
                <c:pt idx="3">
                  <c:v>20</c:v>
                </c:pt>
                <c:pt idx="4">
                  <c:v>39.999999999999972</c:v>
                </c:pt>
                <c:pt idx="5">
                  <c:v>-1.4210854715202004E-14</c:v>
                </c:pt>
              </c:numCache>
            </c:numRef>
          </c:val>
          <c:extLst>
            <c:ext xmlns:c16="http://schemas.microsoft.com/office/drawing/2014/chart" uri="{C3380CC4-5D6E-409C-BE32-E72D297353CC}">
              <c16:uniqueId val="{00000001-D83A-4B7A-BFDB-BCDE318E0FAC}"/>
            </c:ext>
          </c:extLst>
        </c:ser>
        <c:ser>
          <c:idx val="2"/>
          <c:order val="2"/>
          <c:tx>
            <c:v>24 H</c:v>
          </c:tx>
          <c:spPr>
            <a:solidFill>
              <a:srgbClr val="2A7498"/>
            </a:solidFill>
            <a:ln w="6350">
              <a:solidFill>
                <a:srgbClr val="000000"/>
              </a:solidFill>
              <a:prstDash val="solid"/>
            </a:ln>
          </c:spPr>
          <c:invertIfNegative val="0"/>
          <c:errBars>
            <c:errBarType val="both"/>
            <c:errValType val="cust"/>
            <c:noEndCap val="0"/>
            <c:plus>
              <c:numLit>
                <c:formatCode>General</c:formatCode>
                <c:ptCount val="6"/>
                <c:pt idx="0">
                  <c:v>2.4472666925628346</c:v>
                </c:pt>
                <c:pt idx="1">
                  <c:v>2.4472666925628346</c:v>
                </c:pt>
                <c:pt idx="2">
                  <c:v>2.4472666925628346</c:v>
                </c:pt>
                <c:pt idx="3">
                  <c:v>2.447266692562831</c:v>
                </c:pt>
                <c:pt idx="4">
                  <c:v>2.4472666925628346</c:v>
                </c:pt>
                <c:pt idx="5">
                  <c:v>2.4472666925628346</c:v>
                </c:pt>
              </c:numLit>
            </c:plus>
            <c:minus>
              <c:numLit>
                <c:formatCode>General</c:formatCode>
                <c:ptCount val="6"/>
                <c:pt idx="0">
                  <c:v>2.4472666925628346</c:v>
                </c:pt>
                <c:pt idx="1">
                  <c:v>2.4472666925628346</c:v>
                </c:pt>
                <c:pt idx="2">
                  <c:v>2.4472666925628346</c:v>
                </c:pt>
                <c:pt idx="3">
                  <c:v>2.447266692562831</c:v>
                </c:pt>
                <c:pt idx="4">
                  <c:v>2.4472666925628346</c:v>
                </c:pt>
                <c:pt idx="5">
                  <c:v>2.4472666925628346</c:v>
                </c:pt>
              </c:numLit>
            </c:minus>
          </c:errBars>
          <c:cat>
            <c:strRef>
              <c:f>ANOVA7!$B$662:$B$667</c:f>
              <c:strCache>
                <c:ptCount val="6"/>
                <c:pt idx="0">
                  <c:v>BP1</c:v>
                </c:pt>
                <c:pt idx="1">
                  <c:v>BP2</c:v>
                </c:pt>
                <c:pt idx="2">
                  <c:v>BP3</c:v>
                </c:pt>
                <c:pt idx="3">
                  <c:v>BP4</c:v>
                </c:pt>
                <c:pt idx="4">
                  <c:v>C+</c:v>
                </c:pt>
                <c:pt idx="5">
                  <c:v>C-</c:v>
                </c:pt>
              </c:strCache>
            </c:strRef>
          </c:cat>
          <c:val>
            <c:numRef>
              <c:f>ANOVA7!$E$662:$E$667</c:f>
              <c:numCache>
                <c:formatCode>0.000</c:formatCode>
                <c:ptCount val="6"/>
                <c:pt idx="0">
                  <c:v>30</c:v>
                </c:pt>
                <c:pt idx="1">
                  <c:v>20</c:v>
                </c:pt>
                <c:pt idx="2">
                  <c:v>20</c:v>
                </c:pt>
                <c:pt idx="3">
                  <c:v>40</c:v>
                </c:pt>
                <c:pt idx="4">
                  <c:v>60</c:v>
                </c:pt>
                <c:pt idx="5">
                  <c:v>-1.4210854715202004E-14</c:v>
                </c:pt>
              </c:numCache>
            </c:numRef>
          </c:val>
          <c:extLst>
            <c:ext xmlns:c16="http://schemas.microsoft.com/office/drawing/2014/chart" uri="{C3380CC4-5D6E-409C-BE32-E72D297353CC}">
              <c16:uniqueId val="{00000002-D83A-4B7A-BFDB-BCDE318E0FAC}"/>
            </c:ext>
          </c:extLst>
        </c:ser>
        <c:ser>
          <c:idx val="3"/>
          <c:order val="3"/>
          <c:tx>
            <c:v>48 H</c:v>
          </c:tx>
          <c:spPr>
            <a:solidFill>
              <a:srgbClr val="008941"/>
            </a:solidFill>
            <a:ln w="6350">
              <a:solidFill>
                <a:srgbClr val="000000"/>
              </a:solidFill>
              <a:prstDash val="solid"/>
            </a:ln>
          </c:spPr>
          <c:invertIfNegative val="0"/>
          <c:errBars>
            <c:errBarType val="both"/>
            <c:errValType val="cust"/>
            <c:noEndCap val="0"/>
            <c:plus>
              <c:numLit>
                <c:formatCode>General</c:formatCode>
                <c:ptCount val="6"/>
                <c:pt idx="0">
                  <c:v>2.4472666925628346</c:v>
                </c:pt>
                <c:pt idx="1">
                  <c:v>2.4472666925628346</c:v>
                </c:pt>
                <c:pt idx="2">
                  <c:v>2.4472666925628346</c:v>
                </c:pt>
                <c:pt idx="3">
                  <c:v>2.4472666925628346</c:v>
                </c:pt>
                <c:pt idx="4">
                  <c:v>2.4472666925628346</c:v>
                </c:pt>
                <c:pt idx="5">
                  <c:v>2.4472666925628279</c:v>
                </c:pt>
              </c:numLit>
            </c:plus>
            <c:minus>
              <c:numLit>
                <c:formatCode>General</c:formatCode>
                <c:ptCount val="6"/>
                <c:pt idx="0">
                  <c:v>2.4472666925628346</c:v>
                </c:pt>
                <c:pt idx="1">
                  <c:v>2.4472666925628346</c:v>
                </c:pt>
                <c:pt idx="2">
                  <c:v>2.4472666925628346</c:v>
                </c:pt>
                <c:pt idx="3">
                  <c:v>2.4472666925628346</c:v>
                </c:pt>
                <c:pt idx="4">
                  <c:v>2.4472666925628346</c:v>
                </c:pt>
                <c:pt idx="5">
                  <c:v>2.4472666925628279</c:v>
                </c:pt>
              </c:numLit>
            </c:minus>
          </c:errBars>
          <c:cat>
            <c:strRef>
              <c:f>ANOVA7!$B$662:$B$667</c:f>
              <c:strCache>
                <c:ptCount val="6"/>
                <c:pt idx="0">
                  <c:v>BP1</c:v>
                </c:pt>
                <c:pt idx="1">
                  <c:v>BP2</c:v>
                </c:pt>
                <c:pt idx="2">
                  <c:v>BP3</c:v>
                </c:pt>
                <c:pt idx="3">
                  <c:v>BP4</c:v>
                </c:pt>
                <c:pt idx="4">
                  <c:v>C+</c:v>
                </c:pt>
                <c:pt idx="5">
                  <c:v>C-</c:v>
                </c:pt>
              </c:strCache>
            </c:strRef>
          </c:cat>
          <c:val>
            <c:numRef>
              <c:f>ANOVA7!$F$662:$F$667</c:f>
              <c:numCache>
                <c:formatCode>0.000</c:formatCode>
                <c:ptCount val="6"/>
                <c:pt idx="0">
                  <c:v>50</c:v>
                </c:pt>
                <c:pt idx="1">
                  <c:v>40</c:v>
                </c:pt>
                <c:pt idx="2">
                  <c:v>80</c:v>
                </c:pt>
                <c:pt idx="3">
                  <c:v>90</c:v>
                </c:pt>
                <c:pt idx="4">
                  <c:v>100.00000000000007</c:v>
                </c:pt>
                <c:pt idx="5">
                  <c:v>-1.4210854715202004E-14</c:v>
                </c:pt>
              </c:numCache>
            </c:numRef>
          </c:val>
          <c:extLst>
            <c:ext xmlns:c16="http://schemas.microsoft.com/office/drawing/2014/chart" uri="{C3380CC4-5D6E-409C-BE32-E72D297353CC}">
              <c16:uniqueId val="{00000003-D83A-4B7A-BFDB-BCDE318E0FAC}"/>
            </c:ext>
          </c:extLst>
        </c:ser>
        <c:dLbls>
          <c:showLegendKey val="0"/>
          <c:showVal val="0"/>
          <c:showCatName val="0"/>
          <c:showSerName val="0"/>
          <c:showPercent val="0"/>
          <c:showBubbleSize val="0"/>
        </c:dLbls>
        <c:gapWidth val="200"/>
        <c:axId val="789436319"/>
        <c:axId val="702988527"/>
      </c:barChart>
      <c:catAx>
        <c:axId val="789436319"/>
        <c:scaling>
          <c:orientation val="minMax"/>
        </c:scaling>
        <c:delete val="0"/>
        <c:axPos val="b"/>
        <c:title>
          <c:tx>
            <c:rich>
              <a:bodyPr/>
              <a:lstStyle/>
              <a:p>
                <a:pPr>
                  <a:defRPr sz="900" b="0">
                    <a:latin typeface="Arial"/>
                    <a:ea typeface="Arial"/>
                    <a:cs typeface="Arial"/>
                  </a:defRPr>
                </a:pPr>
                <a:r>
                  <a:rPr lang="fr-FR"/>
                  <a:t>Modality</a:t>
                </a:r>
              </a:p>
            </c:rich>
          </c:tx>
          <c:overlay val="0"/>
        </c:title>
        <c:numFmt formatCode="General" sourceLinked="0"/>
        <c:majorTickMark val="cross"/>
        <c:minorTickMark val="none"/>
        <c:tickLblPos val="low"/>
        <c:spPr>
          <a:ln>
            <a:solidFill>
              <a:srgbClr val="000000"/>
            </a:solidFill>
            <a:prstDash val="solid"/>
          </a:ln>
        </c:spPr>
        <c:txPr>
          <a:bodyPr rot="-60000000" vert="horz"/>
          <a:lstStyle/>
          <a:p>
            <a:pPr>
              <a:defRPr sz="800"/>
            </a:pPr>
            <a:endParaRPr lang="en-US"/>
          </a:p>
        </c:txPr>
        <c:crossAx val="702988527"/>
        <c:crosses val="autoZero"/>
        <c:auto val="1"/>
        <c:lblAlgn val="ctr"/>
        <c:lblOffset val="100"/>
        <c:noMultiLvlLbl val="0"/>
      </c:catAx>
      <c:valAx>
        <c:axId val="702988527"/>
        <c:scaling>
          <c:orientation val="minMax"/>
          <c:min val="0"/>
        </c:scaling>
        <c:delete val="0"/>
        <c:axPos val="l"/>
        <c:title>
          <c:tx>
            <c:rich>
              <a:bodyPr/>
              <a:lstStyle/>
              <a:p>
                <a:pPr>
                  <a:defRPr sz="900" b="0">
                    <a:latin typeface="Arial"/>
                    <a:ea typeface="Arial"/>
                    <a:cs typeface="Arial"/>
                  </a:defRPr>
                </a:pPr>
                <a:r>
                  <a:rPr lang="fr-FR"/>
                  <a:t>Mortality (%)</a:t>
                </a:r>
              </a:p>
            </c:rich>
          </c:tx>
          <c:layout>
            <c:manualLayout>
              <c:xMode val="edge"/>
              <c:yMode val="edge"/>
              <c:x val="1.4147606696533836E-2"/>
              <c:y val="0.17107967838861771"/>
            </c:manualLayout>
          </c:layout>
          <c:overlay val="0"/>
        </c:title>
        <c:numFmt formatCode="General" sourceLinked="0"/>
        <c:majorTickMark val="cross"/>
        <c:minorTickMark val="none"/>
        <c:tickLblPos val="nextTo"/>
        <c:spPr>
          <a:ln>
            <a:solidFill>
              <a:srgbClr val="000000"/>
            </a:solidFill>
            <a:prstDash val="solid"/>
          </a:ln>
        </c:spPr>
        <c:txPr>
          <a:bodyPr/>
          <a:lstStyle/>
          <a:p>
            <a:pPr>
              <a:defRPr sz="800"/>
            </a:pPr>
            <a:endParaRPr lang="en-US"/>
          </a:p>
        </c:txPr>
        <c:crossAx val="789436319"/>
        <c:crosses val="autoZero"/>
        <c:crossBetween val="between"/>
      </c:valAx>
      <c:spPr>
        <a:ln>
          <a:solidFill>
            <a:srgbClr val="C0C0C0"/>
          </a:solidFill>
          <a:prstDash val="solid"/>
        </a:ln>
      </c:spPr>
    </c:plotArea>
    <c:legend>
      <c:legendPos val="b"/>
      <c:overlay val="0"/>
      <c:spPr>
        <a:noFill/>
        <a:ln w="6350">
          <a:noFill/>
          <a:prstDash val="solid"/>
        </a:ln>
      </c:spPr>
      <c:txPr>
        <a:bodyPr/>
        <a:lstStyle/>
        <a:p>
          <a:pPr>
            <a:defRPr sz="900" b="0"/>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ln>
      <a:solidFill>
        <a:srgbClr val="000000"/>
      </a:solidFill>
      <a:prstDash val="solid"/>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045506136057316"/>
          <c:y val="8.4291187739463605E-2"/>
          <c:w val="0.75999538908987729"/>
          <c:h val="0.66167362882456593"/>
        </c:manualLayout>
      </c:layout>
      <c:barChart>
        <c:barDir val="col"/>
        <c:grouping val="clustered"/>
        <c:varyColors val="0"/>
        <c:ser>
          <c:idx val="0"/>
          <c:order val="0"/>
          <c:tx>
            <c:v/>
          </c:tx>
          <c:spPr>
            <a:solidFill>
              <a:srgbClr val="C0C0C0"/>
            </a:solidFill>
            <a:ln w="6350">
              <a:solidFill>
                <a:srgbClr val="000000"/>
              </a:solidFill>
              <a:prstDash val="solid"/>
            </a:ln>
          </c:spPr>
          <c:invertIfNegative val="0"/>
          <c:dLbls>
            <c:dLbl>
              <c:idx val="0"/>
              <c:layout>
                <c:manualLayout>
                  <c:x val="0"/>
                  <c:y val="2.2988505747126436E-2"/>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4E8-4F74-A99E-2922A0AE7AC2}"/>
                </c:ext>
              </c:extLst>
            </c:dLbl>
            <c:dLbl>
              <c:idx val="1"/>
              <c:layout>
                <c:manualLayout>
                  <c:x val="-8.2581628592562116E-17"/>
                  <c:y val="1.532567049808429E-2"/>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4E8-4F74-A99E-2922A0AE7AC2}"/>
                </c:ext>
              </c:extLst>
            </c:dLbl>
            <c:dLbl>
              <c:idx val="2"/>
              <c:layout>
                <c:manualLayout>
                  <c:x val="-8.2581628592562116E-17"/>
                  <c:y val="2.2988505747126436E-2"/>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4E8-4F74-A99E-2922A0AE7AC2}"/>
                </c:ext>
              </c:extLst>
            </c:dLbl>
            <c:dLbl>
              <c:idx val="3"/>
              <c:layout>
                <c:manualLayout>
                  <c:x val="0"/>
                  <c:y val="2.2988505747126436E-2"/>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4E8-4F74-A99E-2922A0AE7AC2}"/>
                </c:ext>
              </c:extLst>
            </c:dLbl>
            <c:dLbl>
              <c:idx val="4"/>
              <c:layout>
                <c:manualLayout>
                  <c:x val="0"/>
                  <c:y val="2.2988505747126436E-2"/>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4E8-4F74-A99E-2922A0AE7AC2}"/>
                </c:ext>
              </c:extLst>
            </c:dLbl>
            <c:dLbl>
              <c:idx val="5"/>
              <c:layout>
                <c:manualLayout>
                  <c:x val="0"/>
                  <c:y val="1.532567049808429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4E8-4F74-A99E-2922A0AE7AC2}"/>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errBars>
            <c:errBarType val="both"/>
            <c:errValType val="fixedVal"/>
            <c:noEndCap val="0"/>
            <c:val val="1"/>
          </c:errBars>
          <c:cat>
            <c:strRef>
              <c:f>ANOVA7!$B$194:$B$199</c:f>
              <c:strCache>
                <c:ptCount val="6"/>
                <c:pt idx="0">
                  <c:v>BP1</c:v>
                </c:pt>
                <c:pt idx="1">
                  <c:v>BP2</c:v>
                </c:pt>
                <c:pt idx="2">
                  <c:v>BP3</c:v>
                </c:pt>
                <c:pt idx="3">
                  <c:v>BP4</c:v>
                </c:pt>
                <c:pt idx="4">
                  <c:v>C+</c:v>
                </c:pt>
                <c:pt idx="5">
                  <c:v>C-</c:v>
                </c:pt>
              </c:strCache>
            </c:strRef>
          </c:cat>
          <c:val>
            <c:numRef>
              <c:f>ANOVA7!$C$194:$C$199</c:f>
              <c:numCache>
                <c:formatCode>0.000</c:formatCode>
                <c:ptCount val="6"/>
                <c:pt idx="0">
                  <c:v>100</c:v>
                </c:pt>
                <c:pt idx="1">
                  <c:v>100</c:v>
                </c:pt>
                <c:pt idx="2">
                  <c:v>100</c:v>
                </c:pt>
                <c:pt idx="3">
                  <c:v>100</c:v>
                </c:pt>
                <c:pt idx="4">
                  <c:v>100</c:v>
                </c:pt>
                <c:pt idx="5">
                  <c:v>0</c:v>
                </c:pt>
              </c:numCache>
            </c:numRef>
          </c:val>
          <c:extLst>
            <c:ext xmlns:c16="http://schemas.microsoft.com/office/drawing/2014/chart" uri="{C3380CC4-5D6E-409C-BE32-E72D297353CC}">
              <c16:uniqueId val="{00000000-34E8-4F74-A99E-2922A0AE7AC2}"/>
            </c:ext>
          </c:extLst>
        </c:ser>
        <c:dLbls>
          <c:dLblPos val="outEnd"/>
          <c:showLegendKey val="0"/>
          <c:showVal val="1"/>
          <c:showCatName val="0"/>
          <c:showSerName val="0"/>
          <c:showPercent val="0"/>
          <c:showBubbleSize val="0"/>
        </c:dLbls>
        <c:gapWidth val="180"/>
        <c:axId val="1054992895"/>
        <c:axId val="1054963151"/>
      </c:barChart>
      <c:catAx>
        <c:axId val="1054992895"/>
        <c:scaling>
          <c:orientation val="minMax"/>
        </c:scaling>
        <c:delete val="0"/>
        <c:axPos val="b"/>
        <c:title>
          <c:tx>
            <c:rich>
              <a:bodyPr/>
              <a:lstStyle/>
              <a:p>
                <a:pPr>
                  <a:defRPr sz="900" b="0">
                    <a:latin typeface="Arial"/>
                    <a:ea typeface="Arial"/>
                    <a:cs typeface="Arial"/>
                  </a:defRPr>
                </a:pPr>
                <a:r>
                  <a:rPr lang="fr-FR"/>
                  <a:t>Modality</a:t>
                </a:r>
              </a:p>
            </c:rich>
          </c:tx>
          <c:layout>
            <c:manualLayout>
              <c:xMode val="edge"/>
              <c:yMode val="edge"/>
              <c:x val="0.48656736379290161"/>
              <c:y val="0.87952829839931979"/>
            </c:manualLayout>
          </c:layout>
          <c:overlay val="0"/>
        </c:title>
        <c:numFmt formatCode="General" sourceLinked="0"/>
        <c:majorTickMark val="cross"/>
        <c:minorTickMark val="none"/>
        <c:tickLblPos val="low"/>
        <c:spPr>
          <a:ln>
            <a:solidFill>
              <a:srgbClr val="000000"/>
            </a:solidFill>
            <a:prstDash val="solid"/>
          </a:ln>
        </c:spPr>
        <c:txPr>
          <a:bodyPr rot="-60000000" vert="horz"/>
          <a:lstStyle/>
          <a:p>
            <a:pPr>
              <a:defRPr sz="800"/>
            </a:pPr>
            <a:endParaRPr lang="en-US"/>
          </a:p>
        </c:txPr>
        <c:crossAx val="1054963151"/>
        <c:crosses val="autoZero"/>
        <c:auto val="1"/>
        <c:lblAlgn val="ctr"/>
        <c:lblOffset val="100"/>
        <c:noMultiLvlLbl val="0"/>
      </c:catAx>
      <c:valAx>
        <c:axId val="1054963151"/>
        <c:scaling>
          <c:orientation val="minMax"/>
          <c:max val="120"/>
          <c:min val="0"/>
        </c:scaling>
        <c:delete val="0"/>
        <c:axPos val="l"/>
        <c:title>
          <c:tx>
            <c:rich>
              <a:bodyPr/>
              <a:lstStyle/>
              <a:p>
                <a:pPr>
                  <a:defRPr sz="900" b="0">
                    <a:latin typeface="Arial"/>
                    <a:ea typeface="Arial"/>
                    <a:cs typeface="Arial"/>
                  </a:defRPr>
                </a:pPr>
                <a:r>
                  <a:rPr lang="fr-FR" sz="900"/>
                  <a:t>Nematodes mortality (%)</a:t>
                </a:r>
              </a:p>
            </c:rich>
          </c:tx>
          <c:layout>
            <c:manualLayout>
              <c:xMode val="edge"/>
              <c:yMode val="edge"/>
              <c:x val="2.7027099319591422E-2"/>
              <c:y val="0.10307049646963143"/>
            </c:manualLayout>
          </c:layout>
          <c:overlay val="0"/>
        </c:title>
        <c:numFmt formatCode="General" sourceLinked="0"/>
        <c:majorTickMark val="cross"/>
        <c:minorTickMark val="none"/>
        <c:tickLblPos val="nextTo"/>
        <c:spPr>
          <a:ln>
            <a:solidFill>
              <a:srgbClr val="000000"/>
            </a:solidFill>
            <a:prstDash val="solid"/>
          </a:ln>
        </c:spPr>
        <c:txPr>
          <a:bodyPr/>
          <a:lstStyle/>
          <a:p>
            <a:pPr>
              <a:defRPr sz="800"/>
            </a:pPr>
            <a:endParaRPr lang="en-US"/>
          </a:p>
        </c:txPr>
        <c:crossAx val="1054992895"/>
        <c:crosses val="autoZero"/>
        <c:crossBetween val="between"/>
        <c:majorUnit val="20"/>
      </c:valAx>
      <c:spPr>
        <a:ln>
          <a:solidFill>
            <a:srgbClr val="C0C0C0"/>
          </a:solidFill>
          <a:prstDash val="solid"/>
        </a:ln>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ln>
      <a:solidFill>
        <a:srgbClr val="000000"/>
      </a:solidFill>
      <a:prstDash val="solid"/>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236319847546899"/>
          <c:y val="3.1847133757961783E-2"/>
          <c:w val="0.77319483171507797"/>
          <c:h val="0.61531721751341595"/>
        </c:manualLayout>
      </c:layout>
      <c:lineChart>
        <c:grouping val="standard"/>
        <c:varyColors val="0"/>
        <c:ser>
          <c:idx val="0"/>
          <c:order val="0"/>
          <c:tx>
            <c:v>Modality-BP1</c:v>
          </c:tx>
          <c:spPr>
            <a:ln w="6350">
              <a:solidFill>
                <a:srgbClr val="000000"/>
              </a:solidFill>
              <a:prstDash val="solid"/>
            </a:ln>
            <a:effectLst/>
          </c:spPr>
          <c:marker>
            <c:symbol val="diamond"/>
            <c:size val="5"/>
            <c:spPr>
              <a:solidFill>
                <a:srgbClr val="FFFFFF"/>
              </a:solidFill>
              <a:ln w="6350">
                <a:solidFill>
                  <a:srgbClr val="000000"/>
                </a:solidFill>
                <a:prstDash val="solid"/>
              </a:ln>
            </c:spPr>
          </c:marker>
          <c:dLbls>
            <c:dLbl>
              <c:idx val="4"/>
              <c:layout>
                <c:manualLayout>
                  <c:x val="-1.0658346286709541E-2"/>
                  <c:y val="0"/>
                </c:manualLayout>
              </c:layout>
              <c:tx>
                <c:rich>
                  <a:bodyPr/>
                  <a:lstStyle/>
                  <a:p>
                    <a:r>
                      <a:rPr lang="en-US"/>
                      <a:t>a</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F36-420B-9AD0-319D670AB595}"/>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errBars>
            <c:errDir val="y"/>
            <c:errBarType val="both"/>
            <c:errValType val="cust"/>
            <c:noEndCap val="0"/>
            <c:plus>
              <c:numLit>
                <c:formatCode>General</c:formatCode>
                <c:ptCount val="5"/>
                <c:pt idx="0">
                  <c:v>1.1654477868758337</c:v>
                </c:pt>
                <c:pt idx="1">
                  <c:v>1.1654477868758351</c:v>
                </c:pt>
                <c:pt idx="2">
                  <c:v>1.1654477868758337</c:v>
                </c:pt>
                <c:pt idx="3">
                  <c:v>1.1654477868758333</c:v>
                </c:pt>
                <c:pt idx="4">
                  <c:v>1.1654477868758342</c:v>
                </c:pt>
              </c:numLit>
            </c:plus>
            <c:minus>
              <c:numLit>
                <c:formatCode>General</c:formatCode>
                <c:ptCount val="5"/>
                <c:pt idx="0">
                  <c:v>1.1654477868758337</c:v>
                </c:pt>
                <c:pt idx="1">
                  <c:v>1.1654477868758351</c:v>
                </c:pt>
                <c:pt idx="2">
                  <c:v>1.1654477868758337</c:v>
                </c:pt>
                <c:pt idx="3">
                  <c:v>1.1654477868758333</c:v>
                </c:pt>
                <c:pt idx="4">
                  <c:v>1.1654477868758342</c:v>
                </c:pt>
              </c:numLit>
            </c:minus>
            <c:spPr>
              <a:ln>
                <a:solidFill>
                  <a:srgbClr val="000000"/>
                </a:solidFill>
                <a:prstDash val="solid"/>
              </a:ln>
            </c:spPr>
          </c:errBars>
          <c:cat>
            <c:strRef>
              <c:f>ANOVA10!$B$732:$B$736</c:f>
              <c:strCache>
                <c:ptCount val="5"/>
                <c:pt idx="0">
                  <c:v>1</c:v>
                </c:pt>
                <c:pt idx="1">
                  <c:v>2</c:v>
                </c:pt>
                <c:pt idx="2">
                  <c:v>3</c:v>
                </c:pt>
                <c:pt idx="3">
                  <c:v>4</c:v>
                </c:pt>
                <c:pt idx="4">
                  <c:v>5</c:v>
                </c:pt>
              </c:strCache>
            </c:strRef>
          </c:cat>
          <c:val>
            <c:numRef>
              <c:f>ANOVA10!$C$732:$C$736</c:f>
              <c:numCache>
                <c:formatCode>0.000</c:formatCode>
                <c:ptCount val="5"/>
                <c:pt idx="0">
                  <c:v>0.35324999999997431</c:v>
                </c:pt>
                <c:pt idx="1">
                  <c:v>1.4129999999999825</c:v>
                </c:pt>
                <c:pt idx="2">
                  <c:v>2.195383333333325</c:v>
                </c:pt>
                <c:pt idx="3">
                  <c:v>2.5564833333333183</c:v>
                </c:pt>
                <c:pt idx="4">
                  <c:v>2.969916666666677</c:v>
                </c:pt>
              </c:numCache>
            </c:numRef>
          </c:val>
          <c:smooth val="0"/>
          <c:extLst>
            <c:ext xmlns:c16="http://schemas.microsoft.com/office/drawing/2014/chart" uri="{C3380CC4-5D6E-409C-BE32-E72D297353CC}">
              <c16:uniqueId val="{00000000-282A-4615-AD7C-D35FAB8D7BC9}"/>
            </c:ext>
          </c:extLst>
        </c:ser>
        <c:ser>
          <c:idx val="1"/>
          <c:order val="1"/>
          <c:tx>
            <c:v>Modality-BP2</c:v>
          </c:tx>
          <c:spPr>
            <a:ln w="6350">
              <a:solidFill>
                <a:srgbClr val="FF4A46"/>
              </a:solidFill>
              <a:prstDash val="solid"/>
            </a:ln>
            <a:effectLst/>
          </c:spPr>
          <c:marker>
            <c:symbol val="diamond"/>
            <c:size val="5"/>
            <c:spPr>
              <a:solidFill>
                <a:srgbClr val="FFFFFF"/>
              </a:solidFill>
              <a:ln w="6350">
                <a:solidFill>
                  <a:srgbClr val="FF4A46"/>
                </a:solidFill>
                <a:prstDash val="solid"/>
              </a:ln>
            </c:spPr>
          </c:marker>
          <c:errBars>
            <c:errDir val="y"/>
            <c:errBarType val="both"/>
            <c:errValType val="cust"/>
            <c:noEndCap val="0"/>
            <c:plus>
              <c:numLit>
                <c:formatCode>General</c:formatCode>
                <c:ptCount val="5"/>
                <c:pt idx="0">
                  <c:v>1.1654477868758346</c:v>
                </c:pt>
                <c:pt idx="1">
                  <c:v>1.1654477868758351</c:v>
                </c:pt>
                <c:pt idx="2">
                  <c:v>1.1654477868758346</c:v>
                </c:pt>
                <c:pt idx="3">
                  <c:v>1.1654477868758342</c:v>
                </c:pt>
                <c:pt idx="4">
                  <c:v>1.1654477868758342</c:v>
                </c:pt>
              </c:numLit>
            </c:plus>
            <c:minus>
              <c:numLit>
                <c:formatCode>General</c:formatCode>
                <c:ptCount val="5"/>
                <c:pt idx="0">
                  <c:v>1.1654477868758346</c:v>
                </c:pt>
                <c:pt idx="1">
                  <c:v>1.1654477868758351</c:v>
                </c:pt>
                <c:pt idx="2">
                  <c:v>1.1654477868758346</c:v>
                </c:pt>
                <c:pt idx="3">
                  <c:v>1.1654477868758342</c:v>
                </c:pt>
                <c:pt idx="4">
                  <c:v>1.1654477868758342</c:v>
                </c:pt>
              </c:numLit>
            </c:minus>
            <c:spPr>
              <a:ln>
                <a:solidFill>
                  <a:srgbClr val="FF4A46"/>
                </a:solidFill>
                <a:prstDash val="solid"/>
              </a:ln>
            </c:spPr>
          </c:errBars>
          <c:cat>
            <c:strRef>
              <c:f>ANOVA10!$B$732:$B$736</c:f>
              <c:strCache>
                <c:ptCount val="5"/>
                <c:pt idx="0">
                  <c:v>1</c:v>
                </c:pt>
                <c:pt idx="1">
                  <c:v>2</c:v>
                </c:pt>
                <c:pt idx="2">
                  <c:v>3</c:v>
                </c:pt>
                <c:pt idx="3">
                  <c:v>4</c:v>
                </c:pt>
                <c:pt idx="4">
                  <c:v>5</c:v>
                </c:pt>
              </c:strCache>
            </c:strRef>
          </c:cat>
          <c:val>
            <c:numRef>
              <c:f>ANOVA10!$D$732:$D$736</c:f>
              <c:numCache>
                <c:formatCode>0.000</c:formatCode>
                <c:ptCount val="5"/>
                <c:pt idx="0">
                  <c:v>0.50239999999999441</c:v>
                </c:pt>
                <c:pt idx="1">
                  <c:v>1.483649999999983</c:v>
                </c:pt>
                <c:pt idx="2">
                  <c:v>2.0776333333333383</c:v>
                </c:pt>
                <c:pt idx="3">
                  <c:v>4.3672166666666676</c:v>
                </c:pt>
                <c:pt idx="4">
                  <c:v>4.4954333333333523</c:v>
                </c:pt>
              </c:numCache>
            </c:numRef>
          </c:val>
          <c:smooth val="0"/>
          <c:extLst>
            <c:ext xmlns:c16="http://schemas.microsoft.com/office/drawing/2014/chart" uri="{C3380CC4-5D6E-409C-BE32-E72D297353CC}">
              <c16:uniqueId val="{00000001-282A-4615-AD7C-D35FAB8D7BC9}"/>
            </c:ext>
          </c:extLst>
        </c:ser>
        <c:ser>
          <c:idx val="2"/>
          <c:order val="2"/>
          <c:tx>
            <c:v>Modality-BP3</c:v>
          </c:tx>
          <c:spPr>
            <a:ln w="6350">
              <a:solidFill>
                <a:srgbClr val="2A7498"/>
              </a:solidFill>
              <a:prstDash val="solid"/>
            </a:ln>
            <a:effectLst/>
          </c:spPr>
          <c:marker>
            <c:symbol val="diamond"/>
            <c:size val="5"/>
            <c:spPr>
              <a:solidFill>
                <a:srgbClr val="FFFFFF"/>
              </a:solidFill>
              <a:ln w="6350">
                <a:solidFill>
                  <a:srgbClr val="2A7498"/>
                </a:solidFill>
                <a:prstDash val="solid"/>
              </a:ln>
            </c:spPr>
          </c:marker>
          <c:errBars>
            <c:errDir val="y"/>
            <c:errBarType val="both"/>
            <c:errValType val="cust"/>
            <c:noEndCap val="0"/>
            <c:plus>
              <c:numLit>
                <c:formatCode>General</c:formatCode>
                <c:ptCount val="5"/>
                <c:pt idx="0">
                  <c:v>1.1654477868758346</c:v>
                </c:pt>
                <c:pt idx="1">
                  <c:v>1.1654477868758351</c:v>
                </c:pt>
                <c:pt idx="2">
                  <c:v>1.1654477868758351</c:v>
                </c:pt>
                <c:pt idx="3">
                  <c:v>1.1654477868758351</c:v>
                </c:pt>
                <c:pt idx="4">
                  <c:v>1.1654477868758342</c:v>
                </c:pt>
              </c:numLit>
            </c:plus>
            <c:minus>
              <c:numLit>
                <c:formatCode>General</c:formatCode>
                <c:ptCount val="5"/>
                <c:pt idx="0">
                  <c:v>1.1654477868758346</c:v>
                </c:pt>
                <c:pt idx="1">
                  <c:v>1.1654477868758351</c:v>
                </c:pt>
                <c:pt idx="2">
                  <c:v>1.1654477868758351</c:v>
                </c:pt>
                <c:pt idx="3">
                  <c:v>1.1654477868758351</c:v>
                </c:pt>
                <c:pt idx="4">
                  <c:v>1.1654477868758342</c:v>
                </c:pt>
              </c:numLit>
            </c:minus>
            <c:spPr>
              <a:ln>
                <a:solidFill>
                  <a:srgbClr val="2A7498"/>
                </a:solidFill>
                <a:prstDash val="solid"/>
              </a:ln>
            </c:spPr>
          </c:errBars>
          <c:cat>
            <c:strRef>
              <c:f>ANOVA10!$B$732:$B$736</c:f>
              <c:strCache>
                <c:ptCount val="5"/>
                <c:pt idx="0">
                  <c:v>1</c:v>
                </c:pt>
                <c:pt idx="1">
                  <c:v>2</c:v>
                </c:pt>
                <c:pt idx="2">
                  <c:v>3</c:v>
                </c:pt>
                <c:pt idx="3">
                  <c:v>4</c:v>
                </c:pt>
                <c:pt idx="4">
                  <c:v>5</c:v>
                </c:pt>
              </c:strCache>
            </c:strRef>
          </c:cat>
          <c:val>
            <c:numRef>
              <c:f>ANOVA10!$E$732:$E$736</c:f>
              <c:numCache>
                <c:formatCode>0.000</c:formatCode>
                <c:ptCount val="5"/>
                <c:pt idx="0">
                  <c:v>0.50239999999997309</c:v>
                </c:pt>
                <c:pt idx="1">
                  <c:v>3.1949499999999702</c:v>
                </c:pt>
                <c:pt idx="2">
                  <c:v>3.4147499999999908</c:v>
                </c:pt>
                <c:pt idx="3">
                  <c:v>4.2442333333333231</c:v>
                </c:pt>
                <c:pt idx="4">
                  <c:v>4.6236500000000049</c:v>
                </c:pt>
              </c:numCache>
            </c:numRef>
          </c:val>
          <c:smooth val="0"/>
          <c:extLst>
            <c:ext xmlns:c16="http://schemas.microsoft.com/office/drawing/2014/chart" uri="{C3380CC4-5D6E-409C-BE32-E72D297353CC}">
              <c16:uniqueId val="{00000002-282A-4615-AD7C-D35FAB8D7BC9}"/>
            </c:ext>
          </c:extLst>
        </c:ser>
        <c:ser>
          <c:idx val="3"/>
          <c:order val="3"/>
          <c:tx>
            <c:v>Modality-BP4</c:v>
          </c:tx>
          <c:spPr>
            <a:ln w="6350">
              <a:solidFill>
                <a:srgbClr val="008941"/>
              </a:solidFill>
              <a:prstDash val="solid"/>
            </a:ln>
            <a:effectLst/>
          </c:spPr>
          <c:marker>
            <c:symbol val="diamond"/>
            <c:size val="5"/>
            <c:spPr>
              <a:solidFill>
                <a:srgbClr val="FFFFFF"/>
              </a:solidFill>
              <a:ln w="6350">
                <a:solidFill>
                  <a:srgbClr val="008941"/>
                </a:solidFill>
                <a:prstDash val="solid"/>
              </a:ln>
            </c:spPr>
          </c:marker>
          <c:errBars>
            <c:errDir val="y"/>
            <c:errBarType val="both"/>
            <c:errValType val="cust"/>
            <c:noEndCap val="0"/>
            <c:plus>
              <c:numLit>
                <c:formatCode>General</c:formatCode>
                <c:ptCount val="5"/>
                <c:pt idx="0">
                  <c:v>1.1654477868758353</c:v>
                </c:pt>
                <c:pt idx="1">
                  <c:v>1.1654477868758342</c:v>
                </c:pt>
                <c:pt idx="2">
                  <c:v>1.1654477868758351</c:v>
                </c:pt>
                <c:pt idx="3">
                  <c:v>1.1654477868758342</c:v>
                </c:pt>
                <c:pt idx="4">
                  <c:v>1.1654477868758342</c:v>
                </c:pt>
              </c:numLit>
            </c:plus>
            <c:minus>
              <c:numLit>
                <c:formatCode>General</c:formatCode>
                <c:ptCount val="5"/>
                <c:pt idx="0">
                  <c:v>1.1654477868758353</c:v>
                </c:pt>
                <c:pt idx="1">
                  <c:v>1.1654477868758342</c:v>
                </c:pt>
                <c:pt idx="2">
                  <c:v>1.1654477868758351</c:v>
                </c:pt>
                <c:pt idx="3">
                  <c:v>1.1654477868758342</c:v>
                </c:pt>
                <c:pt idx="4">
                  <c:v>1.1654477868758342</c:v>
                </c:pt>
              </c:numLit>
            </c:minus>
            <c:spPr>
              <a:ln>
                <a:solidFill>
                  <a:srgbClr val="008941"/>
                </a:solidFill>
                <a:prstDash val="solid"/>
              </a:ln>
            </c:spPr>
          </c:errBars>
          <c:cat>
            <c:strRef>
              <c:f>ANOVA10!$B$732:$B$736</c:f>
              <c:strCache>
                <c:ptCount val="5"/>
                <c:pt idx="0">
                  <c:v>1</c:v>
                </c:pt>
                <c:pt idx="1">
                  <c:v>2</c:v>
                </c:pt>
                <c:pt idx="2">
                  <c:v>3</c:v>
                </c:pt>
                <c:pt idx="3">
                  <c:v>4</c:v>
                </c:pt>
                <c:pt idx="4">
                  <c:v>5</c:v>
                </c:pt>
              </c:strCache>
            </c:strRef>
          </c:cat>
          <c:val>
            <c:numRef>
              <c:f>ANOVA10!$F$732:$F$736</c:f>
              <c:numCache>
                <c:formatCode>0.000</c:formatCode>
                <c:ptCount val="5"/>
                <c:pt idx="0">
                  <c:v>0.45268333333329736</c:v>
                </c:pt>
                <c:pt idx="1">
                  <c:v>3.5324999999999704</c:v>
                </c:pt>
                <c:pt idx="2">
                  <c:v>3.9930333333333223</c:v>
                </c:pt>
                <c:pt idx="3">
                  <c:v>5.3118333333333219</c:v>
                </c:pt>
                <c:pt idx="4">
                  <c:v>4.116016666666674</c:v>
                </c:pt>
              </c:numCache>
            </c:numRef>
          </c:val>
          <c:smooth val="0"/>
          <c:extLst>
            <c:ext xmlns:c16="http://schemas.microsoft.com/office/drawing/2014/chart" uri="{C3380CC4-5D6E-409C-BE32-E72D297353CC}">
              <c16:uniqueId val="{00000003-282A-4615-AD7C-D35FAB8D7BC9}"/>
            </c:ext>
          </c:extLst>
        </c:ser>
        <c:ser>
          <c:idx val="4"/>
          <c:order val="4"/>
          <c:tx>
            <c:v>Modality-C+</c:v>
          </c:tx>
          <c:spPr>
            <a:ln w="6350">
              <a:solidFill>
                <a:srgbClr val="A30059"/>
              </a:solidFill>
              <a:prstDash val="solid"/>
            </a:ln>
            <a:effectLst/>
          </c:spPr>
          <c:marker>
            <c:symbol val="diamond"/>
            <c:size val="5"/>
            <c:spPr>
              <a:solidFill>
                <a:srgbClr val="FFFFFF"/>
              </a:solidFill>
              <a:ln w="6350">
                <a:solidFill>
                  <a:srgbClr val="A30059"/>
                </a:solidFill>
                <a:prstDash val="solid"/>
              </a:ln>
            </c:spPr>
          </c:marker>
          <c:dLbls>
            <c:dLbl>
              <c:idx val="4"/>
              <c:layout>
                <c:manualLayout>
                  <c:x val="-1.6139182530224019E-2"/>
                  <c:y val="-2.5477707006369428E-2"/>
                </c:manualLayout>
              </c:layout>
              <c:tx>
                <c:rich>
                  <a:bodyPr wrap="square" lIns="38100" tIns="19050" rIns="38100" bIns="19050" anchor="ctr">
                    <a:noAutofit/>
                  </a:bodyPr>
                  <a:lstStyle/>
                  <a:p>
                    <a:pPr>
                      <a:defRPr/>
                    </a:pPr>
                    <a:r>
                      <a:rPr lang="en-US"/>
                      <a:t>b</a:t>
                    </a:r>
                  </a:p>
                </c:rich>
              </c:tx>
              <c:spPr>
                <a:noFill/>
                <a:ln>
                  <a:noFill/>
                </a:ln>
                <a:effectLst/>
              </c:spPr>
              <c:dLblPos val="r"/>
              <c:showLegendKey val="0"/>
              <c:showVal val="1"/>
              <c:showCatName val="0"/>
              <c:showSerName val="0"/>
              <c:showPercent val="0"/>
              <c:showBubbleSize val="0"/>
              <c:extLst>
                <c:ext xmlns:c15="http://schemas.microsoft.com/office/drawing/2012/chart" uri="{CE6537A1-D6FC-4f65-9D91-7224C49458BB}">
                  <c15:layout>
                    <c:manualLayout>
                      <c:w val="6.1668520746492192E-2"/>
                      <c:h val="0.11089171974522292"/>
                    </c:manualLayout>
                  </c15:layout>
                </c:ext>
                <c:ext xmlns:c16="http://schemas.microsoft.com/office/drawing/2014/chart" uri="{C3380CC4-5D6E-409C-BE32-E72D297353CC}">
                  <c16:uniqueId val="{00000000-3F36-420B-9AD0-319D670AB595}"/>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errBars>
            <c:errDir val="y"/>
            <c:errBarType val="both"/>
            <c:errValType val="cust"/>
            <c:noEndCap val="0"/>
            <c:plus>
              <c:numLit>
                <c:formatCode>General</c:formatCode>
                <c:ptCount val="5"/>
                <c:pt idx="0">
                  <c:v>1.1654477868758346</c:v>
                </c:pt>
                <c:pt idx="1">
                  <c:v>1.1654477868758346</c:v>
                </c:pt>
                <c:pt idx="2">
                  <c:v>1.1654477868758342</c:v>
                </c:pt>
                <c:pt idx="3">
                  <c:v>1.1654477868758342</c:v>
                </c:pt>
                <c:pt idx="4">
                  <c:v>1.1654477868758342</c:v>
                </c:pt>
              </c:numLit>
            </c:plus>
            <c:minus>
              <c:numLit>
                <c:formatCode>General</c:formatCode>
                <c:ptCount val="5"/>
                <c:pt idx="0">
                  <c:v>1.1654477868758346</c:v>
                </c:pt>
                <c:pt idx="1">
                  <c:v>1.1654477868758346</c:v>
                </c:pt>
                <c:pt idx="2">
                  <c:v>1.1654477868758342</c:v>
                </c:pt>
                <c:pt idx="3">
                  <c:v>1.1654477868758342</c:v>
                </c:pt>
                <c:pt idx="4">
                  <c:v>1.1654477868758342</c:v>
                </c:pt>
              </c:numLit>
            </c:minus>
            <c:spPr>
              <a:ln>
                <a:solidFill>
                  <a:srgbClr val="A30059"/>
                </a:solidFill>
                <a:prstDash val="solid"/>
              </a:ln>
            </c:spPr>
          </c:errBars>
          <c:cat>
            <c:strRef>
              <c:f>ANOVA10!$B$732:$B$736</c:f>
              <c:strCache>
                <c:ptCount val="5"/>
                <c:pt idx="0">
                  <c:v>1</c:v>
                </c:pt>
                <c:pt idx="1">
                  <c:v>2</c:v>
                </c:pt>
                <c:pt idx="2">
                  <c:v>3</c:v>
                </c:pt>
                <c:pt idx="3">
                  <c:v>4</c:v>
                </c:pt>
                <c:pt idx="4">
                  <c:v>5</c:v>
                </c:pt>
              </c:strCache>
            </c:strRef>
          </c:cat>
          <c:val>
            <c:numRef>
              <c:f>ANOVA10!$G$732:$G$736</c:f>
              <c:numCache>
                <c:formatCode>0.000</c:formatCode>
                <c:ptCount val="5"/>
                <c:pt idx="0">
                  <c:v>0.30876666666661379</c:v>
                </c:pt>
                <c:pt idx="1">
                  <c:v>1.4993499999999571</c:v>
                </c:pt>
                <c:pt idx="2">
                  <c:v>3.0719666666666505</c:v>
                </c:pt>
                <c:pt idx="3">
                  <c:v>4.7570999999999799</c:v>
                </c:pt>
                <c:pt idx="4">
                  <c:v>4.7571000000000083</c:v>
                </c:pt>
              </c:numCache>
            </c:numRef>
          </c:val>
          <c:smooth val="0"/>
          <c:extLst>
            <c:ext xmlns:c16="http://schemas.microsoft.com/office/drawing/2014/chart" uri="{C3380CC4-5D6E-409C-BE32-E72D297353CC}">
              <c16:uniqueId val="{00000004-282A-4615-AD7C-D35FAB8D7BC9}"/>
            </c:ext>
          </c:extLst>
        </c:ser>
        <c:ser>
          <c:idx val="5"/>
          <c:order val="5"/>
          <c:tx>
            <c:v>Modality-C-</c:v>
          </c:tx>
          <c:spPr>
            <a:ln w="6350">
              <a:solidFill>
                <a:srgbClr val="7A4900"/>
              </a:solidFill>
              <a:prstDash val="solid"/>
            </a:ln>
            <a:effectLst/>
          </c:spPr>
          <c:marker>
            <c:symbol val="diamond"/>
            <c:size val="5"/>
            <c:spPr>
              <a:solidFill>
                <a:srgbClr val="FFFFFF"/>
              </a:solidFill>
              <a:ln w="6350">
                <a:solidFill>
                  <a:srgbClr val="7A4900"/>
                </a:solidFill>
                <a:prstDash val="solid"/>
              </a:ln>
            </c:spPr>
          </c:marker>
          <c:dLbls>
            <c:dLbl>
              <c:idx val="4"/>
              <c:layout>
                <c:manualLayout>
                  <c:x val="-1.9645187671282035E-2"/>
                  <c:y val="-1.2738853503184714E-2"/>
                </c:manualLayout>
              </c:layout>
              <c:tx>
                <c:rich>
                  <a:bodyPr/>
                  <a:lstStyle/>
                  <a:p>
                    <a:r>
                      <a:rPr lang="en-US"/>
                      <a:t>c</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F36-420B-9AD0-319D670AB595}"/>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errBars>
            <c:errDir val="y"/>
            <c:errBarType val="both"/>
            <c:errValType val="cust"/>
            <c:noEndCap val="0"/>
            <c:plus>
              <c:numLit>
                <c:formatCode>General</c:formatCode>
                <c:ptCount val="5"/>
                <c:pt idx="0">
                  <c:v>1.1654477868758337</c:v>
                </c:pt>
                <c:pt idx="1">
                  <c:v>1.1654477868758342</c:v>
                </c:pt>
                <c:pt idx="2">
                  <c:v>1.1654477868758324</c:v>
                </c:pt>
                <c:pt idx="3">
                  <c:v>1.1654477868758342</c:v>
                </c:pt>
                <c:pt idx="4">
                  <c:v>1.1654477868758306</c:v>
                </c:pt>
              </c:numLit>
            </c:plus>
            <c:minus>
              <c:numLit>
                <c:formatCode>General</c:formatCode>
                <c:ptCount val="5"/>
                <c:pt idx="0">
                  <c:v>1.1654477868758337</c:v>
                </c:pt>
                <c:pt idx="1">
                  <c:v>1.1654477868758342</c:v>
                </c:pt>
                <c:pt idx="2">
                  <c:v>1.1654477868758324</c:v>
                </c:pt>
                <c:pt idx="3">
                  <c:v>1.1654477868758342</c:v>
                </c:pt>
                <c:pt idx="4">
                  <c:v>1.1654477868758306</c:v>
                </c:pt>
              </c:numLit>
            </c:minus>
            <c:spPr>
              <a:ln>
                <a:solidFill>
                  <a:srgbClr val="7A4900"/>
                </a:solidFill>
                <a:prstDash val="solid"/>
              </a:ln>
            </c:spPr>
          </c:errBars>
          <c:cat>
            <c:strRef>
              <c:f>ANOVA10!$B$732:$B$736</c:f>
              <c:strCache>
                <c:ptCount val="5"/>
                <c:pt idx="0">
                  <c:v>1</c:v>
                </c:pt>
                <c:pt idx="1">
                  <c:v>2</c:v>
                </c:pt>
                <c:pt idx="2">
                  <c:v>3</c:v>
                </c:pt>
                <c:pt idx="3">
                  <c:v>4</c:v>
                </c:pt>
                <c:pt idx="4">
                  <c:v>5</c:v>
                </c:pt>
              </c:strCache>
            </c:strRef>
          </c:cat>
          <c:val>
            <c:numRef>
              <c:f>ANOVA10!$H$732:$H$736</c:f>
              <c:numCache>
                <c:formatCode>0.000</c:formatCode>
                <c:ptCount val="5"/>
                <c:pt idx="0">
                  <c:v>1.3371166666666028</c:v>
                </c:pt>
                <c:pt idx="1">
                  <c:v>6.1962666666666664</c:v>
                </c:pt>
                <c:pt idx="2">
                  <c:v>12.573083333333358</c:v>
                </c:pt>
                <c:pt idx="3">
                  <c:v>18.099483333333325</c:v>
                </c:pt>
                <c:pt idx="4">
                  <c:v>45.511683333333288</c:v>
                </c:pt>
              </c:numCache>
            </c:numRef>
          </c:val>
          <c:smooth val="0"/>
          <c:extLst>
            <c:ext xmlns:c16="http://schemas.microsoft.com/office/drawing/2014/chart" uri="{C3380CC4-5D6E-409C-BE32-E72D297353CC}">
              <c16:uniqueId val="{00000005-282A-4615-AD7C-D35FAB8D7BC9}"/>
            </c:ext>
          </c:extLst>
        </c:ser>
        <c:dLbls>
          <c:showLegendKey val="0"/>
          <c:showVal val="0"/>
          <c:showCatName val="0"/>
          <c:showSerName val="0"/>
          <c:showPercent val="0"/>
          <c:showBubbleSize val="0"/>
        </c:dLbls>
        <c:marker val="1"/>
        <c:smooth val="0"/>
        <c:axId val="837838943"/>
        <c:axId val="837828735"/>
      </c:lineChart>
      <c:catAx>
        <c:axId val="837838943"/>
        <c:scaling>
          <c:orientation val="minMax"/>
        </c:scaling>
        <c:delete val="0"/>
        <c:axPos val="b"/>
        <c:title>
          <c:tx>
            <c:rich>
              <a:bodyPr/>
              <a:lstStyle/>
              <a:p>
                <a:pPr>
                  <a:defRPr sz="700" b="0">
                    <a:latin typeface="Arial"/>
                    <a:ea typeface="Arial"/>
                    <a:cs typeface="Arial"/>
                  </a:defRPr>
                </a:pPr>
                <a:r>
                  <a:rPr lang="fr-FR" sz="700"/>
                  <a:t>Time (Hour)</a:t>
                </a:r>
              </a:p>
            </c:rich>
          </c:tx>
          <c:layout>
            <c:manualLayout>
              <c:xMode val="edge"/>
              <c:yMode val="edge"/>
              <c:x val="0.41955195466936351"/>
              <c:y val="0.74488239129344502"/>
            </c:manualLayout>
          </c:layout>
          <c:overlay val="0"/>
        </c:title>
        <c:numFmt formatCode="General" sourceLinked="0"/>
        <c:majorTickMark val="cross"/>
        <c:minorTickMark val="none"/>
        <c:tickLblPos val="low"/>
        <c:spPr>
          <a:ln>
            <a:solidFill>
              <a:srgbClr val="000000"/>
            </a:solidFill>
            <a:prstDash val="solid"/>
          </a:ln>
        </c:spPr>
        <c:txPr>
          <a:bodyPr rot="-60000000" vert="horz"/>
          <a:lstStyle/>
          <a:p>
            <a:pPr>
              <a:defRPr sz="800"/>
            </a:pPr>
            <a:endParaRPr lang="en-US"/>
          </a:p>
        </c:txPr>
        <c:crossAx val="837828735"/>
        <c:crosses val="autoZero"/>
        <c:auto val="1"/>
        <c:lblAlgn val="ctr"/>
        <c:lblOffset val="100"/>
        <c:noMultiLvlLbl val="0"/>
      </c:catAx>
      <c:valAx>
        <c:axId val="837828735"/>
        <c:scaling>
          <c:orientation val="minMax"/>
          <c:min val="0"/>
        </c:scaling>
        <c:delete val="0"/>
        <c:axPos val="l"/>
        <c:title>
          <c:tx>
            <c:rich>
              <a:bodyPr/>
              <a:lstStyle/>
              <a:p>
                <a:pPr>
                  <a:defRPr sz="900" b="0">
                    <a:latin typeface="Arial"/>
                    <a:ea typeface="Arial"/>
                    <a:cs typeface="Arial"/>
                  </a:defRPr>
                </a:pPr>
                <a:r>
                  <a:rPr lang="fr-FR"/>
                  <a:t>MGK (cm</a:t>
                </a:r>
                <a:r>
                  <a:rPr lang="fr-FR" baseline="30000"/>
                  <a:t>2</a:t>
                </a:r>
                <a:r>
                  <a:rPr lang="fr-FR"/>
                  <a:t>)</a:t>
                </a:r>
              </a:p>
            </c:rich>
          </c:tx>
          <c:layout>
            <c:manualLayout>
              <c:xMode val="edge"/>
              <c:yMode val="edge"/>
              <c:x val="2.6898952334724045E-3"/>
              <c:y val="0.1792507146797733"/>
            </c:manualLayout>
          </c:layout>
          <c:overlay val="0"/>
        </c:title>
        <c:numFmt formatCode="General" sourceLinked="0"/>
        <c:majorTickMark val="cross"/>
        <c:minorTickMark val="none"/>
        <c:tickLblPos val="nextTo"/>
        <c:spPr>
          <a:ln>
            <a:solidFill>
              <a:srgbClr val="000000"/>
            </a:solidFill>
            <a:prstDash val="solid"/>
          </a:ln>
        </c:spPr>
        <c:txPr>
          <a:bodyPr/>
          <a:lstStyle/>
          <a:p>
            <a:pPr>
              <a:defRPr sz="800"/>
            </a:pPr>
            <a:endParaRPr lang="en-US"/>
          </a:p>
        </c:txPr>
        <c:crossAx val="837838943"/>
        <c:crosses val="autoZero"/>
        <c:crossBetween val="between"/>
      </c:valAx>
      <c:spPr>
        <a:ln>
          <a:solidFill>
            <a:srgbClr val="C0C0C0"/>
          </a:solidFill>
          <a:prstDash val="solid"/>
        </a:ln>
      </c:spPr>
    </c:plotArea>
    <c:legend>
      <c:legendPos val="b"/>
      <c:layout>
        <c:manualLayout>
          <c:xMode val="edge"/>
          <c:yMode val="edge"/>
          <c:x val="0"/>
          <c:y val="0.84711169065650238"/>
          <c:w val="0.98870629297986823"/>
          <c:h val="0.15288830934349767"/>
        </c:manualLayout>
      </c:layout>
      <c:overlay val="0"/>
      <c:spPr>
        <a:noFill/>
        <a:ln w="6350">
          <a:noFill/>
          <a:prstDash val="solid"/>
        </a:ln>
      </c:spPr>
      <c:txPr>
        <a:bodyPr/>
        <a:lstStyle/>
        <a:p>
          <a:pPr>
            <a:defRPr sz="800" b="0"/>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ln>
      <a:solidFill>
        <a:srgbClr val="000000"/>
      </a:solidFill>
      <a:prstDash val="solid"/>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798570391467029"/>
          <c:y val="4.5454545454545456E-2"/>
          <c:w val="0.66400011168816664"/>
          <c:h val="0.72206991171558099"/>
        </c:manualLayout>
      </c:layout>
      <c:barChart>
        <c:barDir val="col"/>
        <c:grouping val="clustered"/>
        <c:varyColors val="0"/>
        <c:ser>
          <c:idx val="0"/>
          <c:order val="0"/>
          <c:tx>
            <c:v/>
          </c:tx>
          <c:spPr>
            <a:solidFill>
              <a:srgbClr val="C0C0C0"/>
            </a:solidFill>
            <a:ln w="6350">
              <a:solidFill>
                <a:srgbClr val="000000"/>
              </a:solidFill>
              <a:prstDash val="solid"/>
            </a:ln>
          </c:spPr>
          <c:invertIfNegative val="0"/>
          <c:dLbls>
            <c:dLbl>
              <c:idx val="0"/>
              <c:layout>
                <c:manualLayout>
                  <c:x val="2.9490695682078054E-7"/>
                  <c:y val="-3.7878787878787949E-2"/>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layout>
                    <c:manualLayout>
                      <c:w val="9.1798047715945602E-2"/>
                      <c:h val="0.11518969219756621"/>
                    </c:manualLayout>
                  </c15:layout>
                </c:ext>
                <c:ext xmlns:c16="http://schemas.microsoft.com/office/drawing/2014/chart" uri="{C3380CC4-5D6E-409C-BE32-E72D297353CC}">
                  <c16:uniqueId val="{00000006-52E4-4F20-988B-D0CB1FB94AC3}"/>
                </c:ext>
              </c:extLst>
            </c:dLbl>
            <c:dLbl>
              <c:idx val="1"/>
              <c:layout>
                <c:manualLayout>
                  <c:x val="0"/>
                  <c:y val="-4.5454545454545525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2E4-4F20-988B-D0CB1FB94AC3}"/>
                </c:ext>
              </c:extLst>
            </c:dLbl>
            <c:dLbl>
              <c:idx val="2"/>
              <c:layout>
                <c:manualLayout>
                  <c:x val="0"/>
                  <c:y val="-3.787878787878788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2E4-4F20-988B-D0CB1FB94AC3}"/>
                </c:ext>
              </c:extLst>
            </c:dLbl>
            <c:dLbl>
              <c:idx val="3"/>
              <c:layout>
                <c:manualLayout>
                  <c:x val="-6.8663376582579738E-17"/>
                  <c:y val="-4.5454545454545525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2E4-4F20-988B-D0CB1FB94AC3}"/>
                </c:ext>
              </c:extLst>
            </c:dLbl>
            <c:dLbl>
              <c:idx val="4"/>
              <c:layout>
                <c:manualLayout>
                  <c:x val="0"/>
                  <c:y val="-4.5454545454545456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2E4-4F20-988B-D0CB1FB94AC3}"/>
                </c:ext>
              </c:extLst>
            </c:dLbl>
            <c:dLbl>
              <c:idx val="5"/>
              <c:layout>
                <c:manualLayout>
                  <c:x val="-1.3732675316515948E-16"/>
                  <c:y val="-3.7878787878787949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2E4-4F20-988B-D0CB1FB94AC3}"/>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errBars>
            <c:errBarType val="plus"/>
            <c:errValType val="fixedVal"/>
            <c:noEndCap val="0"/>
            <c:val val="5"/>
          </c:errBars>
          <c:cat>
            <c:strRef>
              <c:f>XLSTAT_20250822_191029_1_HID!$B$3:$B$8</c:f>
              <c:strCache>
                <c:ptCount val="6"/>
                <c:pt idx="0">
                  <c:v>C-</c:v>
                </c:pt>
                <c:pt idx="1">
                  <c:v>BP4</c:v>
                </c:pt>
                <c:pt idx="2">
                  <c:v>BP2</c:v>
                </c:pt>
                <c:pt idx="3">
                  <c:v>BP3</c:v>
                </c:pt>
                <c:pt idx="4">
                  <c:v>BP1</c:v>
                </c:pt>
                <c:pt idx="5">
                  <c:v>C+</c:v>
                </c:pt>
              </c:strCache>
            </c:strRef>
          </c:cat>
          <c:val>
            <c:numRef>
              <c:f>XLSTAT_20250822_191029_1_HID!$C$3:$C$8</c:f>
              <c:numCache>
                <c:formatCode>0.000</c:formatCode>
                <c:ptCount val="6"/>
                <c:pt idx="0">
                  <c:v>15.372916666666658</c:v>
                </c:pt>
                <c:pt idx="1">
                  <c:v>9.6496666666666666</c:v>
                </c:pt>
                <c:pt idx="2">
                  <c:v>9.5533999999999981</c:v>
                </c:pt>
                <c:pt idx="3">
                  <c:v>7.2557999999999989</c:v>
                </c:pt>
                <c:pt idx="4">
                  <c:v>6.2574333333333296</c:v>
                </c:pt>
                <c:pt idx="5">
                  <c:v>5.387716666666666</c:v>
                </c:pt>
              </c:numCache>
            </c:numRef>
          </c:val>
          <c:extLst>
            <c:ext xmlns:c16="http://schemas.microsoft.com/office/drawing/2014/chart" uri="{C3380CC4-5D6E-409C-BE32-E72D297353CC}">
              <c16:uniqueId val="{00000000-52E4-4F20-988B-D0CB1FB94AC3}"/>
            </c:ext>
          </c:extLst>
        </c:ser>
        <c:dLbls>
          <c:dLblPos val="outEnd"/>
          <c:showLegendKey val="0"/>
          <c:showVal val="1"/>
          <c:showCatName val="0"/>
          <c:showSerName val="0"/>
          <c:showPercent val="0"/>
          <c:showBubbleSize val="0"/>
        </c:dLbls>
        <c:gapWidth val="200"/>
        <c:axId val="674704623"/>
        <c:axId val="675186191"/>
      </c:barChart>
      <c:catAx>
        <c:axId val="674704623"/>
        <c:scaling>
          <c:orientation val="minMax"/>
        </c:scaling>
        <c:delete val="0"/>
        <c:axPos val="b"/>
        <c:title>
          <c:tx>
            <c:rich>
              <a:bodyPr/>
              <a:lstStyle/>
              <a:p>
                <a:pPr>
                  <a:defRPr sz="900" b="0">
                    <a:latin typeface="Arial"/>
                    <a:ea typeface="Arial"/>
                    <a:cs typeface="Arial"/>
                  </a:defRPr>
                </a:pPr>
                <a:r>
                  <a:rPr lang="fr-FR"/>
                  <a:t>Modality</a:t>
                </a:r>
              </a:p>
            </c:rich>
          </c:tx>
          <c:layout>
            <c:manualLayout>
              <c:xMode val="edge"/>
              <c:yMode val="edge"/>
              <c:x val="0.43424932621677326"/>
              <c:y val="0.89890121689334301"/>
            </c:manualLayout>
          </c:layout>
          <c:overlay val="0"/>
        </c:title>
        <c:numFmt formatCode="General" sourceLinked="0"/>
        <c:majorTickMark val="cross"/>
        <c:minorTickMark val="none"/>
        <c:tickLblPos val="low"/>
        <c:spPr>
          <a:ln>
            <a:solidFill>
              <a:srgbClr val="000000"/>
            </a:solidFill>
            <a:prstDash val="solid"/>
          </a:ln>
        </c:spPr>
        <c:txPr>
          <a:bodyPr rot="-60000000" vert="horz"/>
          <a:lstStyle/>
          <a:p>
            <a:pPr>
              <a:defRPr sz="800"/>
            </a:pPr>
            <a:endParaRPr lang="en-US"/>
          </a:p>
        </c:txPr>
        <c:crossAx val="675186191"/>
        <c:crosses val="autoZero"/>
        <c:auto val="1"/>
        <c:lblAlgn val="ctr"/>
        <c:lblOffset val="100"/>
        <c:noMultiLvlLbl val="0"/>
      </c:catAx>
      <c:valAx>
        <c:axId val="675186191"/>
        <c:scaling>
          <c:orientation val="minMax"/>
          <c:max val="45"/>
        </c:scaling>
        <c:delete val="0"/>
        <c:axPos val="l"/>
        <c:title>
          <c:tx>
            <c:rich>
              <a:bodyPr/>
              <a:lstStyle/>
              <a:p>
                <a:pPr>
                  <a:defRPr sz="900" b="0">
                    <a:latin typeface="Arial"/>
                    <a:ea typeface="Arial"/>
                    <a:cs typeface="Arial"/>
                  </a:defRPr>
                </a:pPr>
                <a:r>
                  <a:rPr lang="fr-FR"/>
                  <a:t>Amylolytic activity</a:t>
                </a:r>
              </a:p>
            </c:rich>
          </c:tx>
          <c:layout>
            <c:manualLayout>
              <c:xMode val="edge"/>
              <c:yMode val="edge"/>
              <c:x val="5.4983060003405615E-3"/>
              <c:y val="0.15076950608446671"/>
            </c:manualLayout>
          </c:layout>
          <c:overlay val="0"/>
        </c:title>
        <c:numFmt formatCode="General" sourceLinked="0"/>
        <c:majorTickMark val="cross"/>
        <c:minorTickMark val="none"/>
        <c:tickLblPos val="nextTo"/>
        <c:spPr>
          <a:ln>
            <a:solidFill>
              <a:srgbClr val="000000"/>
            </a:solidFill>
            <a:prstDash val="solid"/>
          </a:ln>
        </c:spPr>
        <c:txPr>
          <a:bodyPr/>
          <a:lstStyle/>
          <a:p>
            <a:pPr>
              <a:defRPr sz="800"/>
            </a:pPr>
            <a:endParaRPr lang="en-US"/>
          </a:p>
        </c:txPr>
        <c:crossAx val="674704623"/>
        <c:crosses val="autoZero"/>
        <c:crossBetween val="between"/>
      </c:valAx>
      <c:spPr>
        <a:ln>
          <a:solidFill>
            <a:srgbClr val="C0C0C0"/>
          </a:solidFill>
          <a:prstDash val="solid"/>
        </a:ln>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ln>
      <a:solidFill>
        <a:srgbClr val="000000"/>
      </a:solidFill>
      <a:prstDash val="solid"/>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084046559397468"/>
          <c:y val="4.5454545454545456E-2"/>
          <c:w val="0.64944938947848907"/>
          <c:h val="0.71449415413982342"/>
        </c:manualLayout>
      </c:layout>
      <c:barChart>
        <c:barDir val="col"/>
        <c:grouping val="clustered"/>
        <c:varyColors val="0"/>
        <c:ser>
          <c:idx val="0"/>
          <c:order val="0"/>
          <c:tx>
            <c:v/>
          </c:tx>
          <c:spPr>
            <a:solidFill>
              <a:srgbClr val="C0C0C0"/>
            </a:solidFill>
            <a:ln w="6350">
              <a:solidFill>
                <a:srgbClr val="000000"/>
              </a:solidFill>
              <a:prstDash val="solid"/>
            </a:ln>
          </c:spPr>
          <c:invertIfNegative val="0"/>
          <c:dLbls>
            <c:dLbl>
              <c:idx val="0"/>
              <c:layout>
                <c:manualLayout>
                  <c:x val="0"/>
                  <c:y val="-2.9945120496301597E-3"/>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E17-4267-BD2C-2AA13E89973A}"/>
                </c:ext>
              </c:extLst>
            </c:dLbl>
            <c:dLbl>
              <c:idx val="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E17-4267-BD2C-2AA13E89973A}"/>
                </c:ext>
              </c:extLst>
            </c:dLbl>
            <c:dLbl>
              <c:idx val="2"/>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E17-4267-BD2C-2AA13E89973A}"/>
                </c:ext>
              </c:extLst>
            </c:dLbl>
            <c:dLbl>
              <c:idx val="3"/>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E17-4267-BD2C-2AA13E89973A}"/>
                </c:ext>
              </c:extLst>
            </c:dLbl>
            <c:dLbl>
              <c:idx val="4"/>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E17-4267-BD2C-2AA13E89973A}"/>
                </c:ext>
              </c:extLst>
            </c:dLbl>
            <c:dLbl>
              <c:idx val="5"/>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E17-4267-BD2C-2AA13E89973A}"/>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errBars>
            <c:errBarType val="plus"/>
            <c:errValType val="cust"/>
            <c:noEndCap val="0"/>
            <c:plus>
              <c:numLit>
                <c:formatCode>General</c:formatCode>
                <c:ptCount val="6"/>
                <c:pt idx="0">
                  <c:v>1.8135275120695518</c:v>
                </c:pt>
                <c:pt idx="1">
                  <c:v>1.8135275120695518</c:v>
                </c:pt>
                <c:pt idx="2">
                  <c:v>1.8135275120695518</c:v>
                </c:pt>
                <c:pt idx="3">
                  <c:v>1.8135275120695518</c:v>
                </c:pt>
                <c:pt idx="4">
                  <c:v>1.8135275120695518</c:v>
                </c:pt>
                <c:pt idx="5">
                  <c:v>1.8135275120695515</c:v>
                </c:pt>
              </c:numLit>
            </c:plus>
            <c:minus>
              <c:numLit>
                <c:formatCode>General</c:formatCode>
                <c:ptCount val="6"/>
                <c:pt idx="0">
                  <c:v>1.8135275120695518</c:v>
                </c:pt>
                <c:pt idx="1">
                  <c:v>1.8135275120695518</c:v>
                </c:pt>
                <c:pt idx="2">
                  <c:v>1.8135275120695518</c:v>
                </c:pt>
                <c:pt idx="3">
                  <c:v>1.8135275120695518</c:v>
                </c:pt>
                <c:pt idx="4">
                  <c:v>1.8135275120695518</c:v>
                </c:pt>
                <c:pt idx="5">
                  <c:v>1.8135275120695515</c:v>
                </c:pt>
              </c:numLit>
            </c:minus>
          </c:errBars>
          <c:cat>
            <c:strRef>
              <c:f>XLSTAT_20250822_191029_1_HID!$B$12:$B$17</c:f>
              <c:strCache>
                <c:ptCount val="6"/>
                <c:pt idx="0">
                  <c:v>C-</c:v>
                </c:pt>
                <c:pt idx="1">
                  <c:v>BP1</c:v>
                </c:pt>
                <c:pt idx="2">
                  <c:v>BP2</c:v>
                </c:pt>
                <c:pt idx="3">
                  <c:v>BP3</c:v>
                </c:pt>
                <c:pt idx="4">
                  <c:v>BP4</c:v>
                </c:pt>
                <c:pt idx="5">
                  <c:v>C+</c:v>
                </c:pt>
              </c:strCache>
            </c:strRef>
          </c:cat>
          <c:val>
            <c:numRef>
              <c:f>XLSTAT_20250822_191029_1_HID!$C$12:$C$17</c:f>
              <c:numCache>
                <c:formatCode>0.000</c:formatCode>
                <c:ptCount val="6"/>
                <c:pt idx="0">
                  <c:v>22.634166666666648</c:v>
                </c:pt>
                <c:pt idx="1">
                  <c:v>2.7600000000000016</c:v>
                </c:pt>
                <c:pt idx="2">
                  <c:v>2.5066666666666677</c:v>
                </c:pt>
                <c:pt idx="3">
                  <c:v>1.5005333333333368</c:v>
                </c:pt>
                <c:pt idx="4">
                  <c:v>1.247399999999999</c:v>
                </c:pt>
                <c:pt idx="5">
                  <c:v>0.1334500000000034</c:v>
                </c:pt>
              </c:numCache>
            </c:numRef>
          </c:val>
          <c:extLst>
            <c:ext xmlns:c16="http://schemas.microsoft.com/office/drawing/2014/chart" uri="{C3380CC4-5D6E-409C-BE32-E72D297353CC}">
              <c16:uniqueId val="{00000000-9E17-4267-BD2C-2AA13E89973A}"/>
            </c:ext>
          </c:extLst>
        </c:ser>
        <c:dLbls>
          <c:dLblPos val="outEnd"/>
          <c:showLegendKey val="0"/>
          <c:showVal val="1"/>
          <c:showCatName val="0"/>
          <c:showSerName val="0"/>
          <c:showPercent val="0"/>
          <c:showBubbleSize val="0"/>
        </c:dLbls>
        <c:gapWidth val="200"/>
        <c:axId val="700609999"/>
        <c:axId val="700611647"/>
      </c:barChart>
      <c:catAx>
        <c:axId val="700609999"/>
        <c:scaling>
          <c:orientation val="minMax"/>
        </c:scaling>
        <c:delete val="0"/>
        <c:axPos val="b"/>
        <c:title>
          <c:tx>
            <c:rich>
              <a:bodyPr/>
              <a:lstStyle/>
              <a:p>
                <a:pPr>
                  <a:defRPr sz="900" b="0">
                    <a:latin typeface="Arial"/>
                    <a:ea typeface="Arial"/>
                    <a:cs typeface="Arial"/>
                  </a:defRPr>
                </a:pPr>
                <a:r>
                  <a:rPr lang="fr-FR"/>
                  <a:t>Modality</a:t>
                </a:r>
              </a:p>
            </c:rich>
          </c:tx>
          <c:layout>
            <c:manualLayout>
              <c:xMode val="edge"/>
              <c:yMode val="edge"/>
              <c:x val="0.45420916345188395"/>
              <c:y val="0.89886363636363631"/>
            </c:manualLayout>
          </c:layout>
          <c:overlay val="0"/>
        </c:title>
        <c:numFmt formatCode="General" sourceLinked="0"/>
        <c:majorTickMark val="cross"/>
        <c:minorTickMark val="none"/>
        <c:tickLblPos val="low"/>
        <c:spPr>
          <a:ln>
            <a:solidFill>
              <a:srgbClr val="000000"/>
            </a:solidFill>
            <a:prstDash val="solid"/>
          </a:ln>
        </c:spPr>
        <c:txPr>
          <a:bodyPr rot="-60000000" vert="horz"/>
          <a:lstStyle/>
          <a:p>
            <a:pPr>
              <a:defRPr sz="800"/>
            </a:pPr>
            <a:endParaRPr lang="en-US"/>
          </a:p>
        </c:txPr>
        <c:crossAx val="700611647"/>
        <c:crosses val="autoZero"/>
        <c:auto val="1"/>
        <c:lblAlgn val="ctr"/>
        <c:lblOffset val="100"/>
        <c:noMultiLvlLbl val="0"/>
      </c:catAx>
      <c:valAx>
        <c:axId val="700611647"/>
        <c:scaling>
          <c:orientation val="minMax"/>
          <c:max val="45"/>
          <c:min val="0"/>
        </c:scaling>
        <c:delete val="0"/>
        <c:axPos val="l"/>
        <c:title>
          <c:tx>
            <c:rich>
              <a:bodyPr/>
              <a:lstStyle/>
              <a:p>
                <a:pPr>
                  <a:defRPr sz="900" b="0">
                    <a:latin typeface="Arial"/>
                    <a:ea typeface="Arial"/>
                    <a:cs typeface="Arial"/>
                  </a:defRPr>
                </a:pPr>
                <a:r>
                  <a:rPr lang="fr-FR"/>
                  <a:t>Cellulolytic activity</a:t>
                </a:r>
              </a:p>
            </c:rich>
          </c:tx>
          <c:layout>
            <c:manualLayout>
              <c:xMode val="edge"/>
              <c:yMode val="edge"/>
              <c:x val="6.0999154766671112E-3"/>
              <c:y val="0.13368647100930567"/>
            </c:manualLayout>
          </c:layout>
          <c:overlay val="0"/>
        </c:title>
        <c:numFmt formatCode="General" sourceLinked="0"/>
        <c:majorTickMark val="cross"/>
        <c:minorTickMark val="none"/>
        <c:tickLblPos val="nextTo"/>
        <c:spPr>
          <a:ln>
            <a:solidFill>
              <a:srgbClr val="000000"/>
            </a:solidFill>
            <a:prstDash val="solid"/>
          </a:ln>
        </c:spPr>
        <c:txPr>
          <a:bodyPr/>
          <a:lstStyle/>
          <a:p>
            <a:pPr>
              <a:defRPr sz="800"/>
            </a:pPr>
            <a:endParaRPr lang="en-US"/>
          </a:p>
        </c:txPr>
        <c:crossAx val="700609999"/>
        <c:crosses val="autoZero"/>
        <c:crossBetween val="between"/>
      </c:valAx>
      <c:spPr>
        <a:ln>
          <a:solidFill>
            <a:srgbClr val="C0C0C0"/>
          </a:solidFill>
          <a:prstDash val="solid"/>
        </a:ln>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ln>
      <a:solidFill>
        <a:srgbClr val="000000"/>
      </a:solidFill>
      <a:prstDash val="solid"/>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010550661365351"/>
          <c:y val="4.691374956396259E-2"/>
          <c:w val="0.68728723266027392"/>
          <c:h val="0.6934577990322206"/>
        </c:manualLayout>
      </c:layout>
      <c:barChart>
        <c:barDir val="col"/>
        <c:grouping val="clustered"/>
        <c:varyColors val="0"/>
        <c:ser>
          <c:idx val="0"/>
          <c:order val="0"/>
          <c:tx>
            <c:v/>
          </c:tx>
          <c:spPr>
            <a:solidFill>
              <a:srgbClr val="C0C0C0"/>
            </a:solidFill>
            <a:ln w="6350">
              <a:solidFill>
                <a:srgbClr val="000000"/>
              </a:solidFill>
              <a:prstDash val="solid"/>
            </a:ln>
          </c:spPr>
          <c:invertIfNegative val="0"/>
          <c:dLbls>
            <c:dLbl>
              <c:idx val="0"/>
              <c:layout>
                <c:manualLayout>
                  <c:x val="6.8374786485022702E-3"/>
                  <c:y val="4.0950950495349889E-3"/>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CBA-4FBF-84E2-955FB293AEBD}"/>
                </c:ext>
              </c:extLst>
            </c:dLbl>
            <c:dLbl>
              <c:idx val="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CBA-4FBF-84E2-955FB293AEBD}"/>
                </c:ext>
              </c:extLst>
            </c:dLbl>
            <c:dLbl>
              <c:idx val="2"/>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CBA-4FBF-84E2-955FB293AEBD}"/>
                </c:ext>
              </c:extLst>
            </c:dLbl>
            <c:dLbl>
              <c:idx val="3"/>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CBA-4FBF-84E2-955FB293AEBD}"/>
                </c:ext>
              </c:extLst>
            </c:dLbl>
            <c:dLbl>
              <c:idx val="4"/>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CBA-4FBF-84E2-955FB293AEBD}"/>
                </c:ext>
              </c:extLst>
            </c:dLbl>
            <c:dLbl>
              <c:idx val="5"/>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CBA-4FBF-84E2-955FB293AEBD}"/>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errBars>
            <c:errBarType val="plus"/>
            <c:errValType val="cust"/>
            <c:noEndCap val="0"/>
            <c:plus>
              <c:numLit>
                <c:formatCode>General</c:formatCode>
                <c:ptCount val="6"/>
                <c:pt idx="0">
                  <c:v>2.0042885038247817</c:v>
                </c:pt>
                <c:pt idx="1">
                  <c:v>2.0042885038247817</c:v>
                </c:pt>
                <c:pt idx="2">
                  <c:v>2.0042885038247817</c:v>
                </c:pt>
                <c:pt idx="3">
                  <c:v>2.0042885038247817</c:v>
                </c:pt>
                <c:pt idx="4">
                  <c:v>2.0042885038247817</c:v>
                </c:pt>
                <c:pt idx="5">
                  <c:v>2.0042885038247817</c:v>
                </c:pt>
              </c:numLit>
            </c:plus>
            <c:minus>
              <c:numLit>
                <c:formatCode>General</c:formatCode>
                <c:ptCount val="6"/>
                <c:pt idx="0">
                  <c:v>2.0042885038247817</c:v>
                </c:pt>
                <c:pt idx="1">
                  <c:v>2.0042885038247817</c:v>
                </c:pt>
                <c:pt idx="2">
                  <c:v>2.0042885038247817</c:v>
                </c:pt>
                <c:pt idx="3">
                  <c:v>2.0042885038247817</c:v>
                </c:pt>
                <c:pt idx="4">
                  <c:v>2.0042885038247817</c:v>
                </c:pt>
                <c:pt idx="5">
                  <c:v>2.0042885038247817</c:v>
                </c:pt>
              </c:numLit>
            </c:minus>
          </c:errBars>
          <c:cat>
            <c:strRef>
              <c:f>XLSTAT_20250822_190323_1_HID!$B$3:$B$8</c:f>
              <c:strCache>
                <c:ptCount val="6"/>
                <c:pt idx="0">
                  <c:v>C-</c:v>
                </c:pt>
                <c:pt idx="1">
                  <c:v>BP1</c:v>
                </c:pt>
                <c:pt idx="2">
                  <c:v>C+</c:v>
                </c:pt>
                <c:pt idx="3">
                  <c:v>BP4</c:v>
                </c:pt>
                <c:pt idx="4">
                  <c:v>BP3</c:v>
                </c:pt>
                <c:pt idx="5">
                  <c:v>BP2</c:v>
                </c:pt>
              </c:strCache>
            </c:strRef>
          </c:cat>
          <c:val>
            <c:numRef>
              <c:f>XLSTAT_20250822_190323_1_HID!$C$3:$C$8</c:f>
              <c:numCache>
                <c:formatCode>0.000</c:formatCode>
                <c:ptCount val="6"/>
                <c:pt idx="0">
                  <c:v>39.999999999999972</c:v>
                </c:pt>
                <c:pt idx="1">
                  <c:v>13.099999999999994</c:v>
                </c:pt>
                <c:pt idx="2">
                  <c:v>12.999999999999996</c:v>
                </c:pt>
                <c:pt idx="3">
                  <c:v>10.466666666666665</c:v>
                </c:pt>
                <c:pt idx="4">
                  <c:v>9.8399999999999963</c:v>
                </c:pt>
                <c:pt idx="5">
                  <c:v>7.0333333333333314</c:v>
                </c:pt>
              </c:numCache>
            </c:numRef>
          </c:val>
          <c:extLst>
            <c:ext xmlns:c16="http://schemas.microsoft.com/office/drawing/2014/chart" uri="{C3380CC4-5D6E-409C-BE32-E72D297353CC}">
              <c16:uniqueId val="{00000000-0CBA-4FBF-84E2-955FB293AEBD}"/>
            </c:ext>
          </c:extLst>
        </c:ser>
        <c:dLbls>
          <c:dLblPos val="outEnd"/>
          <c:showLegendKey val="0"/>
          <c:showVal val="1"/>
          <c:showCatName val="0"/>
          <c:showSerName val="0"/>
          <c:showPercent val="0"/>
          <c:showBubbleSize val="0"/>
        </c:dLbls>
        <c:gapWidth val="200"/>
        <c:axId val="1043552943"/>
        <c:axId val="1043554591"/>
      </c:barChart>
      <c:catAx>
        <c:axId val="1043552943"/>
        <c:scaling>
          <c:orientation val="minMax"/>
        </c:scaling>
        <c:delete val="0"/>
        <c:axPos val="b"/>
        <c:title>
          <c:tx>
            <c:rich>
              <a:bodyPr/>
              <a:lstStyle/>
              <a:p>
                <a:pPr>
                  <a:defRPr sz="900" b="0">
                    <a:latin typeface="Arial"/>
                    <a:ea typeface="Arial"/>
                    <a:cs typeface="Arial"/>
                  </a:defRPr>
                </a:pPr>
                <a:r>
                  <a:rPr lang="fr-FR"/>
                  <a:t>Modality</a:t>
                </a:r>
              </a:p>
            </c:rich>
          </c:tx>
          <c:layout>
            <c:manualLayout>
              <c:xMode val="edge"/>
              <c:yMode val="edge"/>
              <c:x val="0.4279154702977564"/>
              <c:y val="0.89661098307429477"/>
            </c:manualLayout>
          </c:layout>
          <c:overlay val="0"/>
        </c:title>
        <c:numFmt formatCode="General" sourceLinked="0"/>
        <c:majorTickMark val="cross"/>
        <c:minorTickMark val="none"/>
        <c:tickLblPos val="low"/>
        <c:spPr>
          <a:ln>
            <a:solidFill>
              <a:srgbClr val="000000"/>
            </a:solidFill>
            <a:prstDash val="solid"/>
          </a:ln>
        </c:spPr>
        <c:txPr>
          <a:bodyPr rot="-60000000" vert="horz"/>
          <a:lstStyle/>
          <a:p>
            <a:pPr>
              <a:defRPr sz="800"/>
            </a:pPr>
            <a:endParaRPr lang="en-US"/>
          </a:p>
        </c:txPr>
        <c:crossAx val="1043554591"/>
        <c:crosses val="autoZero"/>
        <c:auto val="1"/>
        <c:lblAlgn val="ctr"/>
        <c:lblOffset val="100"/>
        <c:noMultiLvlLbl val="0"/>
      </c:catAx>
      <c:valAx>
        <c:axId val="1043554591"/>
        <c:scaling>
          <c:orientation val="minMax"/>
        </c:scaling>
        <c:delete val="0"/>
        <c:axPos val="l"/>
        <c:title>
          <c:tx>
            <c:rich>
              <a:bodyPr/>
              <a:lstStyle/>
              <a:p>
                <a:pPr>
                  <a:defRPr sz="900" b="0">
                    <a:latin typeface="Arial"/>
                    <a:ea typeface="Arial"/>
                    <a:cs typeface="Arial"/>
                  </a:defRPr>
                </a:pPr>
                <a:r>
                  <a:rPr lang="fr-FR"/>
                  <a:t>Amylolytic activity</a:t>
                </a:r>
              </a:p>
            </c:rich>
          </c:tx>
          <c:layout>
            <c:manualLayout>
              <c:xMode val="edge"/>
              <c:yMode val="edge"/>
              <c:x val="4.7844019497562803E-3"/>
              <c:y val="0.11388527301139378"/>
            </c:manualLayout>
          </c:layout>
          <c:overlay val="0"/>
        </c:title>
        <c:numFmt formatCode="General" sourceLinked="0"/>
        <c:majorTickMark val="cross"/>
        <c:minorTickMark val="none"/>
        <c:tickLblPos val="nextTo"/>
        <c:spPr>
          <a:ln>
            <a:solidFill>
              <a:srgbClr val="000000"/>
            </a:solidFill>
            <a:prstDash val="solid"/>
          </a:ln>
        </c:spPr>
        <c:txPr>
          <a:bodyPr/>
          <a:lstStyle/>
          <a:p>
            <a:pPr>
              <a:defRPr sz="800"/>
            </a:pPr>
            <a:endParaRPr lang="en-US"/>
          </a:p>
        </c:txPr>
        <c:crossAx val="1043552943"/>
        <c:crosses val="autoZero"/>
        <c:crossBetween val="between"/>
      </c:valAx>
      <c:spPr>
        <a:ln>
          <a:solidFill>
            <a:srgbClr val="C0C0C0"/>
          </a:solidFill>
          <a:prstDash val="solid"/>
        </a:ln>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ln>
      <a:solidFill>
        <a:srgbClr val="000000"/>
      </a:solidFill>
      <a:prstDash val="solid"/>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148733549241016"/>
          <c:y val="3.9787798408488062E-2"/>
          <c:w val="0.74261851963880099"/>
          <c:h val="0.69040602351761737"/>
        </c:manualLayout>
      </c:layout>
      <c:lineChart>
        <c:grouping val="standard"/>
        <c:varyColors val="0"/>
        <c:ser>
          <c:idx val="0"/>
          <c:order val="0"/>
          <c:tx>
            <c:v/>
          </c:tx>
          <c:spPr>
            <a:ln w="6350">
              <a:solidFill>
                <a:srgbClr val="000000"/>
              </a:solidFill>
              <a:prstDash val="solid"/>
            </a:ln>
            <a:effectLst/>
          </c:spPr>
          <c:marker>
            <c:symbol val="diamond"/>
            <c:size val="5"/>
            <c:spPr>
              <a:solidFill>
                <a:srgbClr val="FFFFFF"/>
              </a:solidFill>
              <a:ln w="6350">
                <a:solidFill>
                  <a:srgbClr val="000000"/>
                </a:solidFill>
                <a:prstDash val="solid"/>
              </a:ln>
            </c:spPr>
          </c:marker>
          <c:dLbls>
            <c:dLbl>
              <c:idx val="0"/>
              <c:tx>
                <c:rich>
                  <a:bodyPr/>
                  <a:lstStyle/>
                  <a:p>
                    <a:r>
                      <a:rPr lang="en-US"/>
                      <a:t>c</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A1C-4557-91D8-8A97F45B3C05}"/>
                </c:ext>
              </c:extLst>
            </c:dLbl>
            <c:dLbl>
              <c:idx val="1"/>
              <c:tx>
                <c:rich>
                  <a:bodyPr/>
                  <a:lstStyle/>
                  <a:p>
                    <a:r>
                      <a:rPr lang="en-US"/>
                      <a:t>c</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A1C-4557-91D8-8A97F45B3C05}"/>
                </c:ext>
              </c:extLst>
            </c:dLbl>
            <c:dLbl>
              <c:idx val="2"/>
              <c:tx>
                <c:rich>
                  <a:bodyPr/>
                  <a:lstStyle/>
                  <a:p>
                    <a:r>
                      <a:rPr lang="en-US"/>
                      <a:t>bc</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A1C-4557-91D8-8A97F45B3C05}"/>
                </c:ext>
              </c:extLst>
            </c:dLbl>
            <c:dLbl>
              <c:idx val="3"/>
              <c:tx>
                <c:rich>
                  <a:bodyPr/>
                  <a:lstStyle/>
                  <a:p>
                    <a:r>
                      <a:rPr lang="en-US"/>
                      <a:t>b</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A1C-4557-91D8-8A97F45B3C05}"/>
                </c:ext>
              </c:extLst>
            </c:dLbl>
            <c:dLbl>
              <c:idx val="4"/>
              <c:tx>
                <c:rich>
                  <a:bodyPr/>
                  <a:lstStyle/>
                  <a:p>
                    <a:r>
                      <a:rPr lang="en-US"/>
                      <a:t>b</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A1C-4557-91D8-8A97F45B3C05}"/>
                </c:ext>
              </c:extLst>
            </c:dLbl>
            <c:dLbl>
              <c:idx val="5"/>
              <c:tx>
                <c:rich>
                  <a:bodyPr/>
                  <a:lstStyle/>
                  <a:p>
                    <a:r>
                      <a:rPr lang="en-US"/>
                      <a:t>a</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A1C-4557-91D8-8A97F45B3C05}"/>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errBars>
            <c:errDir val="y"/>
            <c:errBarType val="both"/>
            <c:errValType val="cust"/>
            <c:noEndCap val="0"/>
            <c:plus>
              <c:numLit>
                <c:formatCode>General</c:formatCode>
                <c:ptCount val="6"/>
                <c:pt idx="0">
                  <c:v>1.4993875432391377</c:v>
                </c:pt>
                <c:pt idx="1">
                  <c:v>1.4993875432391377</c:v>
                </c:pt>
                <c:pt idx="2">
                  <c:v>1.4993875432391377</c:v>
                </c:pt>
                <c:pt idx="3">
                  <c:v>1.4993875432391377</c:v>
                </c:pt>
                <c:pt idx="4">
                  <c:v>1.4993875432391377</c:v>
                </c:pt>
                <c:pt idx="5">
                  <c:v>1.499387543239137</c:v>
                </c:pt>
              </c:numLit>
            </c:plus>
            <c:minus>
              <c:numLit>
                <c:formatCode>General</c:formatCode>
                <c:ptCount val="6"/>
                <c:pt idx="0">
                  <c:v>1.4993875432391377</c:v>
                </c:pt>
                <c:pt idx="1">
                  <c:v>1.4993875432391377</c:v>
                </c:pt>
                <c:pt idx="2">
                  <c:v>1.4993875432391377</c:v>
                </c:pt>
                <c:pt idx="3">
                  <c:v>1.4993875432391377</c:v>
                </c:pt>
                <c:pt idx="4">
                  <c:v>1.4993875432391377</c:v>
                </c:pt>
                <c:pt idx="5">
                  <c:v>1.499387543239137</c:v>
                </c:pt>
              </c:numLit>
            </c:minus>
            <c:spPr>
              <a:ln>
                <a:solidFill>
                  <a:srgbClr val="000000"/>
                </a:solidFill>
                <a:prstDash val="solid"/>
              </a:ln>
            </c:spPr>
          </c:errBars>
          <c:cat>
            <c:strRef>
              <c:f>ANOVA5!$B$211:$B$216</c:f>
              <c:strCache>
                <c:ptCount val="6"/>
                <c:pt idx="0">
                  <c:v>C+</c:v>
                </c:pt>
                <c:pt idx="1">
                  <c:v>BP3</c:v>
                </c:pt>
                <c:pt idx="2">
                  <c:v>BP4</c:v>
                </c:pt>
                <c:pt idx="3">
                  <c:v>BP1</c:v>
                </c:pt>
                <c:pt idx="4">
                  <c:v>BP2</c:v>
                </c:pt>
                <c:pt idx="5">
                  <c:v>C-</c:v>
                </c:pt>
              </c:strCache>
            </c:strRef>
          </c:cat>
          <c:val>
            <c:numRef>
              <c:f>ANOVA5!$C$211:$C$216</c:f>
              <c:numCache>
                <c:formatCode>0.000</c:formatCode>
                <c:ptCount val="6"/>
                <c:pt idx="0">
                  <c:v>99.999999999999986</c:v>
                </c:pt>
                <c:pt idx="1">
                  <c:v>93.000000000000014</c:v>
                </c:pt>
                <c:pt idx="2">
                  <c:v>79.166666666666657</c:v>
                </c:pt>
                <c:pt idx="3">
                  <c:v>66.166666666666657</c:v>
                </c:pt>
                <c:pt idx="4">
                  <c:v>64.666666666666657</c:v>
                </c:pt>
                <c:pt idx="5">
                  <c:v>-1.4210854715202004E-14</c:v>
                </c:pt>
              </c:numCache>
            </c:numRef>
          </c:val>
          <c:smooth val="0"/>
          <c:extLst>
            <c:ext xmlns:c16="http://schemas.microsoft.com/office/drawing/2014/chart" uri="{C3380CC4-5D6E-409C-BE32-E72D297353CC}">
              <c16:uniqueId val="{00000000-EA7D-428D-9B5B-1C2EE6587FCC}"/>
            </c:ext>
          </c:extLst>
        </c:ser>
        <c:dLbls>
          <c:showLegendKey val="0"/>
          <c:showVal val="0"/>
          <c:showCatName val="0"/>
          <c:showSerName val="0"/>
          <c:showPercent val="0"/>
          <c:showBubbleSize val="0"/>
        </c:dLbls>
        <c:marker val="1"/>
        <c:smooth val="0"/>
        <c:axId val="1303807855"/>
        <c:axId val="1303650767"/>
      </c:lineChart>
      <c:catAx>
        <c:axId val="1303807855"/>
        <c:scaling>
          <c:orientation val="minMax"/>
        </c:scaling>
        <c:delete val="0"/>
        <c:axPos val="b"/>
        <c:title>
          <c:tx>
            <c:rich>
              <a:bodyPr/>
              <a:lstStyle/>
              <a:p>
                <a:pPr>
                  <a:defRPr sz="900" b="0">
                    <a:latin typeface="Arial"/>
                    <a:ea typeface="Arial"/>
                    <a:cs typeface="Arial"/>
                  </a:defRPr>
                </a:pPr>
                <a:r>
                  <a:rPr lang="fr-FR"/>
                  <a:t>Modality</a:t>
                </a:r>
              </a:p>
            </c:rich>
          </c:tx>
          <c:layout>
            <c:manualLayout>
              <c:xMode val="edge"/>
              <c:yMode val="edge"/>
              <c:x val="0.45660809167146782"/>
              <c:y val="0.87171724555650698"/>
            </c:manualLayout>
          </c:layout>
          <c:overlay val="0"/>
        </c:title>
        <c:numFmt formatCode="General" sourceLinked="0"/>
        <c:majorTickMark val="cross"/>
        <c:minorTickMark val="none"/>
        <c:tickLblPos val="low"/>
        <c:spPr>
          <a:ln>
            <a:solidFill>
              <a:srgbClr val="000000"/>
            </a:solidFill>
            <a:prstDash val="solid"/>
          </a:ln>
        </c:spPr>
        <c:txPr>
          <a:bodyPr rot="-60000000" vert="horz"/>
          <a:lstStyle/>
          <a:p>
            <a:pPr>
              <a:defRPr sz="800"/>
            </a:pPr>
            <a:endParaRPr lang="en-US"/>
          </a:p>
        </c:txPr>
        <c:crossAx val="1303650767"/>
        <c:crosses val="autoZero"/>
        <c:auto val="1"/>
        <c:lblAlgn val="ctr"/>
        <c:lblOffset val="100"/>
        <c:noMultiLvlLbl val="0"/>
      </c:catAx>
      <c:valAx>
        <c:axId val="1303650767"/>
        <c:scaling>
          <c:orientation val="minMax"/>
          <c:min val="0"/>
        </c:scaling>
        <c:delete val="0"/>
        <c:axPos val="l"/>
        <c:title>
          <c:tx>
            <c:rich>
              <a:bodyPr/>
              <a:lstStyle/>
              <a:p>
                <a:pPr>
                  <a:defRPr sz="900" b="0">
                    <a:latin typeface="Arial"/>
                    <a:ea typeface="Arial"/>
                    <a:cs typeface="Arial"/>
                  </a:defRPr>
                </a:pPr>
                <a:r>
                  <a:rPr lang="fr-FR"/>
                  <a:t>Inhibition pourcentage (%)</a:t>
                </a:r>
              </a:p>
            </c:rich>
          </c:tx>
          <c:layout>
            <c:manualLayout>
              <c:xMode val="edge"/>
              <c:yMode val="edge"/>
              <c:x val="6.0198555435035982E-3"/>
              <c:y val="6.6312997347480109E-3"/>
            </c:manualLayout>
          </c:layout>
          <c:overlay val="0"/>
        </c:title>
        <c:numFmt formatCode="General" sourceLinked="0"/>
        <c:majorTickMark val="cross"/>
        <c:minorTickMark val="none"/>
        <c:tickLblPos val="nextTo"/>
        <c:spPr>
          <a:ln>
            <a:solidFill>
              <a:srgbClr val="000000"/>
            </a:solidFill>
            <a:prstDash val="solid"/>
          </a:ln>
        </c:spPr>
        <c:txPr>
          <a:bodyPr/>
          <a:lstStyle/>
          <a:p>
            <a:pPr>
              <a:defRPr sz="800"/>
            </a:pPr>
            <a:endParaRPr lang="en-US"/>
          </a:p>
        </c:txPr>
        <c:crossAx val="1303807855"/>
        <c:crosses val="autoZero"/>
        <c:crossBetween val="between"/>
      </c:valAx>
      <c:spPr>
        <a:ln>
          <a:solidFill>
            <a:srgbClr val="C0C0C0"/>
          </a:solidFill>
          <a:prstDash val="solid"/>
        </a:ln>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ln>
      <a:solidFill>
        <a:srgbClr val="000000"/>
      </a:solidFill>
      <a:prstDash val="solid"/>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652329054894629"/>
          <c:y val="3.9973351099267154E-2"/>
          <c:w val="0.76144265079447837"/>
          <c:h val="0.57291359566063571"/>
        </c:manualLayout>
      </c:layout>
      <c:barChart>
        <c:barDir val="col"/>
        <c:grouping val="clustered"/>
        <c:varyColors val="0"/>
        <c:ser>
          <c:idx val="0"/>
          <c:order val="0"/>
          <c:tx>
            <c:v>Modality-BP1</c:v>
          </c:tx>
          <c:spPr>
            <a:solidFill>
              <a:srgbClr val="C0C0C0"/>
            </a:solidFill>
            <a:ln w="6350">
              <a:solidFill>
                <a:srgbClr val="000000"/>
              </a:solidFill>
              <a:prstDash val="solid"/>
            </a:ln>
          </c:spPr>
          <c:invertIfNegative val="0"/>
          <c:dLbls>
            <c:dLbl>
              <c:idx val="0"/>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166-475E-A3BC-27AAF1A04DEC}"/>
                </c:ext>
              </c:extLst>
            </c:dLbl>
            <c:dLbl>
              <c:idx val="1"/>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166-475E-A3BC-27AAF1A04DEC}"/>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errBars>
            <c:errBarType val="both"/>
            <c:errValType val="cust"/>
            <c:noEndCap val="0"/>
            <c:plus>
              <c:numLit>
                <c:formatCode>General</c:formatCode>
                <c:ptCount val="2"/>
                <c:pt idx="0">
                  <c:v>2.1204541989020598</c:v>
                </c:pt>
                <c:pt idx="1">
                  <c:v>2.1204541989020669</c:v>
                </c:pt>
              </c:numLit>
            </c:plus>
            <c:minus>
              <c:numLit>
                <c:formatCode>General</c:formatCode>
                <c:ptCount val="2"/>
                <c:pt idx="0">
                  <c:v>2.1204541989020598</c:v>
                </c:pt>
                <c:pt idx="1">
                  <c:v>2.1204541989020669</c:v>
                </c:pt>
              </c:numLit>
            </c:minus>
          </c:errBars>
          <c:cat>
            <c:strRef>
              <c:f>ANOVA5!$B$185:$B$186</c:f>
              <c:strCache>
                <c:ptCount val="2"/>
                <c:pt idx="0">
                  <c:v>Pseudomonas spp.</c:v>
                </c:pt>
                <c:pt idx="1">
                  <c:v>Ralstonia solanacearum</c:v>
                </c:pt>
              </c:strCache>
            </c:strRef>
          </c:cat>
          <c:val>
            <c:numRef>
              <c:f>ANOVA5!$C$185:$C$186</c:f>
              <c:numCache>
                <c:formatCode>0.000</c:formatCode>
                <c:ptCount val="2"/>
                <c:pt idx="0">
                  <c:v>62.999999999999979</c:v>
                </c:pt>
                <c:pt idx="1">
                  <c:v>69.333333333333343</c:v>
                </c:pt>
              </c:numCache>
            </c:numRef>
          </c:val>
          <c:extLst>
            <c:ext xmlns:c16="http://schemas.microsoft.com/office/drawing/2014/chart" uri="{C3380CC4-5D6E-409C-BE32-E72D297353CC}">
              <c16:uniqueId val="{00000000-D493-4439-B9E4-B8AF9898FADC}"/>
            </c:ext>
          </c:extLst>
        </c:ser>
        <c:ser>
          <c:idx val="1"/>
          <c:order val="1"/>
          <c:tx>
            <c:v>Modality-BP2</c:v>
          </c:tx>
          <c:spPr>
            <a:solidFill>
              <a:srgbClr val="FF4A46"/>
            </a:solidFill>
            <a:ln w="6350">
              <a:solidFill>
                <a:srgbClr val="000000"/>
              </a:solidFill>
              <a:prstDash val="solid"/>
            </a:ln>
          </c:spPr>
          <c:invertIfNegative val="0"/>
          <c:dLbls>
            <c:dLbl>
              <c:idx val="0"/>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166-475E-A3BC-27AAF1A04DEC}"/>
                </c:ext>
              </c:extLst>
            </c:dLbl>
            <c:dLbl>
              <c:idx val="1"/>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166-475E-A3BC-27AAF1A04DEC}"/>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errBars>
            <c:errBarType val="both"/>
            <c:errValType val="cust"/>
            <c:noEndCap val="0"/>
            <c:plus>
              <c:numLit>
                <c:formatCode>General</c:formatCode>
                <c:ptCount val="2"/>
                <c:pt idx="0">
                  <c:v>2.1204541989020598</c:v>
                </c:pt>
                <c:pt idx="1">
                  <c:v>2.1204541989020669</c:v>
                </c:pt>
              </c:numLit>
            </c:plus>
            <c:minus>
              <c:numLit>
                <c:formatCode>General</c:formatCode>
                <c:ptCount val="2"/>
                <c:pt idx="0">
                  <c:v>2.1204541989020598</c:v>
                </c:pt>
                <c:pt idx="1">
                  <c:v>2.1204541989020669</c:v>
                </c:pt>
              </c:numLit>
            </c:minus>
          </c:errBars>
          <c:cat>
            <c:strRef>
              <c:f>ANOVA5!$B$185:$B$186</c:f>
              <c:strCache>
                <c:ptCount val="2"/>
                <c:pt idx="0">
                  <c:v>Pseudomonas spp.</c:v>
                </c:pt>
                <c:pt idx="1">
                  <c:v>Ralstonia solanacearum</c:v>
                </c:pt>
              </c:strCache>
            </c:strRef>
          </c:cat>
          <c:val>
            <c:numRef>
              <c:f>ANOVA5!$D$185:$D$186</c:f>
              <c:numCache>
                <c:formatCode>0.000</c:formatCode>
                <c:ptCount val="2"/>
                <c:pt idx="0">
                  <c:v>57.666666666666636</c:v>
                </c:pt>
                <c:pt idx="1">
                  <c:v>71.666666666666671</c:v>
                </c:pt>
              </c:numCache>
            </c:numRef>
          </c:val>
          <c:extLst>
            <c:ext xmlns:c16="http://schemas.microsoft.com/office/drawing/2014/chart" uri="{C3380CC4-5D6E-409C-BE32-E72D297353CC}">
              <c16:uniqueId val="{00000001-D493-4439-B9E4-B8AF9898FADC}"/>
            </c:ext>
          </c:extLst>
        </c:ser>
        <c:ser>
          <c:idx val="2"/>
          <c:order val="2"/>
          <c:tx>
            <c:v>Modality-BP3</c:v>
          </c:tx>
          <c:spPr>
            <a:solidFill>
              <a:srgbClr val="2A7498"/>
            </a:solidFill>
            <a:ln w="6350">
              <a:solidFill>
                <a:srgbClr val="000000"/>
              </a:solidFill>
              <a:prstDash val="solid"/>
            </a:ln>
          </c:spPr>
          <c:invertIfNegative val="0"/>
          <c:dLbls>
            <c:dLbl>
              <c:idx val="0"/>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166-475E-A3BC-27AAF1A04DEC}"/>
                </c:ext>
              </c:extLst>
            </c:dLbl>
            <c:dLbl>
              <c:idx val="1"/>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166-475E-A3BC-27AAF1A04DEC}"/>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errBars>
            <c:errBarType val="both"/>
            <c:errValType val="cust"/>
            <c:noEndCap val="0"/>
            <c:plus>
              <c:numLit>
                <c:formatCode>General</c:formatCode>
                <c:ptCount val="2"/>
                <c:pt idx="0">
                  <c:v>2.1204541989020669</c:v>
                </c:pt>
                <c:pt idx="1">
                  <c:v>2.1204541989020669</c:v>
                </c:pt>
              </c:numLit>
            </c:plus>
            <c:minus>
              <c:numLit>
                <c:formatCode>General</c:formatCode>
                <c:ptCount val="2"/>
                <c:pt idx="0">
                  <c:v>2.1204541989020669</c:v>
                </c:pt>
                <c:pt idx="1">
                  <c:v>2.1204541989020669</c:v>
                </c:pt>
              </c:numLit>
            </c:minus>
          </c:errBars>
          <c:cat>
            <c:strRef>
              <c:f>ANOVA5!$B$185:$B$186</c:f>
              <c:strCache>
                <c:ptCount val="2"/>
                <c:pt idx="0">
                  <c:v>Pseudomonas spp.</c:v>
                </c:pt>
                <c:pt idx="1">
                  <c:v>Ralstonia solanacearum</c:v>
                </c:pt>
              </c:strCache>
            </c:strRef>
          </c:cat>
          <c:val>
            <c:numRef>
              <c:f>ANOVA5!$E$185:$E$186</c:f>
              <c:numCache>
                <c:formatCode>0.000</c:formatCode>
                <c:ptCount val="2"/>
                <c:pt idx="0">
                  <c:v>91.333333333333329</c:v>
                </c:pt>
                <c:pt idx="1">
                  <c:v>94.6666666666667</c:v>
                </c:pt>
              </c:numCache>
            </c:numRef>
          </c:val>
          <c:extLst>
            <c:ext xmlns:c16="http://schemas.microsoft.com/office/drawing/2014/chart" uri="{C3380CC4-5D6E-409C-BE32-E72D297353CC}">
              <c16:uniqueId val="{00000002-D493-4439-B9E4-B8AF9898FADC}"/>
            </c:ext>
          </c:extLst>
        </c:ser>
        <c:ser>
          <c:idx val="3"/>
          <c:order val="3"/>
          <c:tx>
            <c:v>Modality-BP4</c:v>
          </c:tx>
          <c:spPr>
            <a:solidFill>
              <a:srgbClr val="008941"/>
            </a:solidFill>
            <a:ln w="6350">
              <a:solidFill>
                <a:srgbClr val="000000"/>
              </a:solidFill>
              <a:prstDash val="solid"/>
            </a:ln>
          </c:spPr>
          <c:invertIfNegative val="0"/>
          <c:dLbls>
            <c:dLbl>
              <c:idx val="0"/>
              <c:tx>
                <c:rich>
                  <a:bodyPr/>
                  <a:lstStyle/>
                  <a:p>
                    <a:r>
                      <a:rPr lang="en-US"/>
                      <a:t>bc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166-475E-A3BC-27AAF1A04DEC}"/>
                </c:ext>
              </c:extLst>
            </c:dLbl>
            <c:dLbl>
              <c:idx val="1"/>
              <c:tx>
                <c:rich>
                  <a:bodyPr/>
                  <a:lstStyle/>
                  <a:p>
                    <a:r>
                      <a:rPr lang="en-US"/>
                      <a:t>bc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166-475E-A3BC-27AAF1A04DEC}"/>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errBars>
            <c:errBarType val="both"/>
            <c:errValType val="cust"/>
            <c:noEndCap val="0"/>
            <c:plus>
              <c:numLit>
                <c:formatCode>General</c:formatCode>
                <c:ptCount val="2"/>
                <c:pt idx="0">
                  <c:v>2.1204541989020669</c:v>
                </c:pt>
                <c:pt idx="1">
                  <c:v>2.1204541989020669</c:v>
                </c:pt>
              </c:numLit>
            </c:plus>
            <c:minus>
              <c:numLit>
                <c:formatCode>General</c:formatCode>
                <c:ptCount val="2"/>
                <c:pt idx="0">
                  <c:v>2.1204541989020669</c:v>
                </c:pt>
                <c:pt idx="1">
                  <c:v>2.1204541989020669</c:v>
                </c:pt>
              </c:numLit>
            </c:minus>
          </c:errBars>
          <c:cat>
            <c:strRef>
              <c:f>ANOVA5!$B$185:$B$186</c:f>
              <c:strCache>
                <c:ptCount val="2"/>
                <c:pt idx="0">
                  <c:v>Pseudomonas spp.</c:v>
                </c:pt>
                <c:pt idx="1">
                  <c:v>Ralstonia solanacearum</c:v>
                </c:pt>
              </c:strCache>
            </c:strRef>
          </c:cat>
          <c:val>
            <c:numRef>
              <c:f>ANOVA5!$F$185:$F$186</c:f>
              <c:numCache>
                <c:formatCode>0.000</c:formatCode>
                <c:ptCount val="2"/>
                <c:pt idx="0">
                  <c:v>72.333333333333314</c:v>
                </c:pt>
                <c:pt idx="1">
                  <c:v>86.000000000000014</c:v>
                </c:pt>
              </c:numCache>
            </c:numRef>
          </c:val>
          <c:extLst>
            <c:ext xmlns:c16="http://schemas.microsoft.com/office/drawing/2014/chart" uri="{C3380CC4-5D6E-409C-BE32-E72D297353CC}">
              <c16:uniqueId val="{00000003-D493-4439-B9E4-B8AF9898FADC}"/>
            </c:ext>
          </c:extLst>
        </c:ser>
        <c:ser>
          <c:idx val="4"/>
          <c:order val="4"/>
          <c:tx>
            <c:v>Modality-C+</c:v>
          </c:tx>
          <c:spPr>
            <a:solidFill>
              <a:srgbClr val="A30059"/>
            </a:solidFill>
            <a:ln w="6350">
              <a:solidFill>
                <a:srgbClr val="000000"/>
              </a:solidFill>
              <a:prstDash val="solid"/>
            </a:ln>
          </c:spPr>
          <c:invertIfNegative val="0"/>
          <c:dLbls>
            <c:dLbl>
              <c:idx val="0"/>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166-475E-A3BC-27AAF1A04DEC}"/>
                </c:ext>
              </c:extLst>
            </c:dLbl>
            <c:dLbl>
              <c:idx val="1"/>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166-475E-A3BC-27AAF1A04DEC}"/>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errBars>
            <c:errBarType val="both"/>
            <c:errValType val="cust"/>
            <c:noEndCap val="0"/>
            <c:plus>
              <c:numLit>
                <c:formatCode>General</c:formatCode>
                <c:ptCount val="2"/>
                <c:pt idx="0">
                  <c:v>2.1204541989020669</c:v>
                </c:pt>
                <c:pt idx="1">
                  <c:v>2.1204541989020669</c:v>
                </c:pt>
              </c:numLit>
            </c:plus>
            <c:minus>
              <c:numLit>
                <c:formatCode>General</c:formatCode>
                <c:ptCount val="2"/>
                <c:pt idx="0">
                  <c:v>2.1204541989020669</c:v>
                </c:pt>
                <c:pt idx="1">
                  <c:v>2.1204541989020669</c:v>
                </c:pt>
              </c:numLit>
            </c:minus>
          </c:errBars>
          <c:cat>
            <c:strRef>
              <c:f>ANOVA5!$B$185:$B$186</c:f>
              <c:strCache>
                <c:ptCount val="2"/>
                <c:pt idx="0">
                  <c:v>Pseudomonas spp.</c:v>
                </c:pt>
                <c:pt idx="1">
                  <c:v>Ralstonia solanacearum</c:v>
                </c:pt>
              </c:strCache>
            </c:strRef>
          </c:cat>
          <c:val>
            <c:numRef>
              <c:f>ANOVA5!$G$185:$G$186</c:f>
              <c:numCache>
                <c:formatCode>0.000</c:formatCode>
                <c:ptCount val="2"/>
                <c:pt idx="0">
                  <c:v>99.999999999999986</c:v>
                </c:pt>
                <c:pt idx="1">
                  <c:v>99.999999999999986</c:v>
                </c:pt>
              </c:numCache>
            </c:numRef>
          </c:val>
          <c:extLst>
            <c:ext xmlns:c16="http://schemas.microsoft.com/office/drawing/2014/chart" uri="{C3380CC4-5D6E-409C-BE32-E72D297353CC}">
              <c16:uniqueId val="{00000004-D493-4439-B9E4-B8AF9898FADC}"/>
            </c:ext>
          </c:extLst>
        </c:ser>
        <c:ser>
          <c:idx val="5"/>
          <c:order val="5"/>
          <c:tx>
            <c:v>Modality-C-</c:v>
          </c:tx>
          <c:spPr>
            <a:solidFill>
              <a:srgbClr val="7A4900"/>
            </a:solidFill>
            <a:ln w="6350">
              <a:solidFill>
                <a:srgbClr val="000000"/>
              </a:solidFill>
              <a:prstDash val="solid"/>
            </a:ln>
          </c:spPr>
          <c:invertIfNegative val="0"/>
          <c:dLbls>
            <c:dLbl>
              <c:idx val="0"/>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166-475E-A3BC-27AAF1A04DEC}"/>
                </c:ext>
              </c:extLst>
            </c:dLbl>
            <c:dLbl>
              <c:idx val="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166-475E-A3BC-27AAF1A04DEC}"/>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errBars>
            <c:errBarType val="both"/>
            <c:errValType val="cust"/>
            <c:noEndCap val="0"/>
            <c:plus>
              <c:numLit>
                <c:formatCode>General</c:formatCode>
                <c:ptCount val="2"/>
                <c:pt idx="0">
                  <c:v>2.1204541989020655</c:v>
                </c:pt>
                <c:pt idx="1">
                  <c:v>2.120454198902066</c:v>
                </c:pt>
              </c:numLit>
            </c:plus>
            <c:minus>
              <c:numLit>
                <c:formatCode>General</c:formatCode>
                <c:ptCount val="2"/>
                <c:pt idx="0">
                  <c:v>2.1204541989020655</c:v>
                </c:pt>
                <c:pt idx="1">
                  <c:v>2.120454198902066</c:v>
                </c:pt>
              </c:numLit>
            </c:minus>
          </c:errBars>
          <c:cat>
            <c:strRef>
              <c:f>ANOVA5!$B$185:$B$186</c:f>
              <c:strCache>
                <c:ptCount val="2"/>
                <c:pt idx="0">
                  <c:v>Pseudomonas spp.</c:v>
                </c:pt>
                <c:pt idx="1">
                  <c:v>Ralstonia solanacearum</c:v>
                </c:pt>
              </c:strCache>
            </c:strRef>
          </c:cat>
          <c:val>
            <c:numRef>
              <c:f>ANOVA5!$H$185:$H$186</c:f>
              <c:numCache>
                <c:formatCode>0.000</c:formatCode>
                <c:ptCount val="2"/>
                <c:pt idx="0">
                  <c:v>-1.4210854715202004E-14</c:v>
                </c:pt>
                <c:pt idx="1">
                  <c:v>-1.4210854715202004E-14</c:v>
                </c:pt>
              </c:numCache>
            </c:numRef>
          </c:val>
          <c:extLst>
            <c:ext xmlns:c16="http://schemas.microsoft.com/office/drawing/2014/chart" uri="{C3380CC4-5D6E-409C-BE32-E72D297353CC}">
              <c16:uniqueId val="{00000005-D493-4439-B9E4-B8AF9898FADC}"/>
            </c:ext>
          </c:extLst>
        </c:ser>
        <c:dLbls>
          <c:dLblPos val="outEnd"/>
          <c:showLegendKey val="0"/>
          <c:showVal val="1"/>
          <c:showCatName val="0"/>
          <c:showSerName val="0"/>
          <c:showPercent val="0"/>
          <c:showBubbleSize val="0"/>
        </c:dLbls>
        <c:gapWidth val="200"/>
        <c:axId val="1519052415"/>
        <c:axId val="1304096655"/>
      </c:barChart>
      <c:catAx>
        <c:axId val="1519052415"/>
        <c:scaling>
          <c:orientation val="minMax"/>
        </c:scaling>
        <c:delete val="0"/>
        <c:axPos val="b"/>
        <c:title>
          <c:tx>
            <c:rich>
              <a:bodyPr/>
              <a:lstStyle/>
              <a:p>
                <a:pPr>
                  <a:defRPr sz="900" b="0">
                    <a:latin typeface="Arial"/>
                    <a:ea typeface="Arial"/>
                    <a:cs typeface="Arial"/>
                  </a:defRPr>
                </a:pPr>
                <a:r>
                  <a:rPr lang="fr-FR"/>
                  <a:t>Specie</a:t>
                </a:r>
              </a:p>
            </c:rich>
          </c:tx>
          <c:overlay val="0"/>
        </c:title>
        <c:numFmt formatCode="General" sourceLinked="0"/>
        <c:majorTickMark val="cross"/>
        <c:minorTickMark val="none"/>
        <c:tickLblPos val="low"/>
        <c:spPr>
          <a:ln>
            <a:solidFill>
              <a:srgbClr val="000000"/>
            </a:solidFill>
            <a:prstDash val="solid"/>
          </a:ln>
        </c:spPr>
        <c:txPr>
          <a:bodyPr rot="-60000000" vert="horz"/>
          <a:lstStyle/>
          <a:p>
            <a:pPr>
              <a:defRPr sz="800"/>
            </a:pPr>
            <a:endParaRPr lang="en-US"/>
          </a:p>
        </c:txPr>
        <c:crossAx val="1304096655"/>
        <c:crosses val="autoZero"/>
        <c:auto val="1"/>
        <c:lblAlgn val="ctr"/>
        <c:lblOffset val="100"/>
        <c:noMultiLvlLbl val="0"/>
      </c:catAx>
      <c:valAx>
        <c:axId val="1304096655"/>
        <c:scaling>
          <c:orientation val="minMax"/>
          <c:min val="0"/>
        </c:scaling>
        <c:delete val="0"/>
        <c:axPos val="l"/>
        <c:title>
          <c:tx>
            <c:rich>
              <a:bodyPr/>
              <a:lstStyle/>
              <a:p>
                <a:pPr>
                  <a:defRPr sz="900" b="0">
                    <a:latin typeface="Arial"/>
                    <a:ea typeface="Arial"/>
                    <a:cs typeface="Arial"/>
                  </a:defRPr>
                </a:pPr>
                <a:r>
                  <a:rPr lang="fr-FR"/>
                  <a:t>Inhibition pourcentage (%)</a:t>
                </a:r>
              </a:p>
            </c:rich>
          </c:tx>
          <c:layout>
            <c:manualLayout>
              <c:xMode val="edge"/>
              <c:yMode val="edge"/>
              <c:x val="4.0774570416280548E-3"/>
              <c:y val="4.0502375219626352E-4"/>
            </c:manualLayout>
          </c:layout>
          <c:overlay val="0"/>
        </c:title>
        <c:numFmt formatCode="General" sourceLinked="0"/>
        <c:majorTickMark val="cross"/>
        <c:minorTickMark val="none"/>
        <c:tickLblPos val="nextTo"/>
        <c:spPr>
          <a:ln>
            <a:solidFill>
              <a:srgbClr val="000000"/>
            </a:solidFill>
            <a:prstDash val="solid"/>
          </a:ln>
        </c:spPr>
        <c:txPr>
          <a:bodyPr/>
          <a:lstStyle/>
          <a:p>
            <a:pPr>
              <a:defRPr sz="800"/>
            </a:pPr>
            <a:endParaRPr lang="en-US"/>
          </a:p>
        </c:txPr>
        <c:crossAx val="1519052415"/>
        <c:crosses val="autoZero"/>
        <c:crossBetween val="between"/>
      </c:valAx>
      <c:spPr>
        <a:ln>
          <a:solidFill>
            <a:srgbClr val="C0C0C0"/>
          </a:solidFill>
          <a:prstDash val="solid"/>
        </a:ln>
      </c:spPr>
    </c:plotArea>
    <c:legend>
      <c:legendPos val="b"/>
      <c:layout>
        <c:manualLayout>
          <c:xMode val="edge"/>
          <c:yMode val="edge"/>
          <c:x val="1.7877695554754949E-2"/>
          <c:y val="0.8373663044185593"/>
          <c:w val="0.95347799533377386"/>
          <c:h val="0.16263369558144075"/>
        </c:manualLayout>
      </c:layout>
      <c:overlay val="0"/>
      <c:spPr>
        <a:noFill/>
        <a:ln w="6350">
          <a:noFill/>
          <a:prstDash val="solid"/>
        </a:ln>
      </c:spPr>
      <c:txPr>
        <a:bodyPr/>
        <a:lstStyle/>
        <a:p>
          <a:pPr>
            <a:defRPr sz="800" b="0"/>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ln>
      <a:solidFill>
        <a:srgbClr val="000000"/>
      </a:solidFill>
      <a:prstDash val="solid"/>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320565391658827"/>
          <c:y val="5.4545454545454543E-2"/>
          <c:w val="0.73516327356522349"/>
          <c:h val="0.56032116439990454"/>
        </c:manualLayout>
      </c:layout>
      <c:barChart>
        <c:barDir val="col"/>
        <c:grouping val="clustered"/>
        <c:varyColors val="0"/>
        <c:ser>
          <c:idx val="0"/>
          <c:order val="0"/>
          <c:tx>
            <c:v>6 H</c:v>
          </c:tx>
          <c:spPr>
            <a:solidFill>
              <a:srgbClr val="C0C0C0"/>
            </a:solidFill>
            <a:ln w="6350">
              <a:solidFill>
                <a:srgbClr val="000000"/>
              </a:solidFill>
              <a:prstDash val="solid"/>
            </a:ln>
          </c:spPr>
          <c:invertIfNegative val="0"/>
          <c:errBars>
            <c:errBarType val="both"/>
            <c:errValType val="fixedVal"/>
            <c:noEndCap val="0"/>
            <c:val val="2"/>
          </c:errBars>
          <c:cat>
            <c:strRef>
              <c:f>ANOVA6!$B$236:$B$241</c:f>
              <c:strCache>
                <c:ptCount val="6"/>
                <c:pt idx="0">
                  <c:v>BP1</c:v>
                </c:pt>
                <c:pt idx="1">
                  <c:v>BP2</c:v>
                </c:pt>
                <c:pt idx="2">
                  <c:v>BP3</c:v>
                </c:pt>
                <c:pt idx="3">
                  <c:v>BP4</c:v>
                </c:pt>
                <c:pt idx="4">
                  <c:v>C+</c:v>
                </c:pt>
                <c:pt idx="5">
                  <c:v>C-</c:v>
                </c:pt>
              </c:strCache>
            </c:strRef>
          </c:cat>
          <c:val>
            <c:numRef>
              <c:f>ANOVA6!$C$236:$C$241</c:f>
              <c:numCache>
                <c:formatCode>0.000</c:formatCode>
                <c:ptCount val="6"/>
                <c:pt idx="0">
                  <c:v>58.333333333333307</c:v>
                </c:pt>
                <c:pt idx="1">
                  <c:v>58.333333333333307</c:v>
                </c:pt>
                <c:pt idx="2">
                  <c:v>50.666666666666643</c:v>
                </c:pt>
                <c:pt idx="3">
                  <c:v>67.999999999999986</c:v>
                </c:pt>
                <c:pt idx="4">
                  <c:v>69.3333333333333</c:v>
                </c:pt>
                <c:pt idx="5">
                  <c:v>0</c:v>
                </c:pt>
              </c:numCache>
            </c:numRef>
          </c:val>
          <c:extLst>
            <c:ext xmlns:c16="http://schemas.microsoft.com/office/drawing/2014/chart" uri="{C3380CC4-5D6E-409C-BE32-E72D297353CC}">
              <c16:uniqueId val="{00000000-B9D8-4057-8E6A-B5ED999AFE96}"/>
            </c:ext>
          </c:extLst>
        </c:ser>
        <c:ser>
          <c:idx val="1"/>
          <c:order val="1"/>
          <c:tx>
            <c:v>12 H</c:v>
          </c:tx>
          <c:spPr>
            <a:solidFill>
              <a:srgbClr val="FF4A46"/>
            </a:solidFill>
            <a:ln w="6350">
              <a:solidFill>
                <a:srgbClr val="000000"/>
              </a:solidFill>
              <a:prstDash val="solid"/>
            </a:ln>
          </c:spPr>
          <c:invertIfNegative val="0"/>
          <c:errBars>
            <c:errBarType val="both"/>
            <c:errValType val="cust"/>
            <c:noEndCap val="0"/>
            <c:plus>
              <c:numLit>
                <c:formatCode>General</c:formatCode>
                <c:ptCount val="6"/>
                <c:pt idx="0">
                  <c:v>4.3521112348394979</c:v>
                </c:pt>
                <c:pt idx="1">
                  <c:v>4.3521112348394979</c:v>
                </c:pt>
                <c:pt idx="2">
                  <c:v>4.352111234839505</c:v>
                </c:pt>
                <c:pt idx="3">
                  <c:v>4.352111234839505</c:v>
                </c:pt>
                <c:pt idx="4">
                  <c:v>4.3521112348395015</c:v>
                </c:pt>
                <c:pt idx="5">
                  <c:v>4.3521112348394944</c:v>
                </c:pt>
              </c:numLit>
            </c:plus>
            <c:minus>
              <c:numLit>
                <c:formatCode>General</c:formatCode>
                <c:ptCount val="6"/>
                <c:pt idx="0">
                  <c:v>4.3521112348394979</c:v>
                </c:pt>
                <c:pt idx="1">
                  <c:v>4.3521112348394979</c:v>
                </c:pt>
                <c:pt idx="2">
                  <c:v>4.352111234839505</c:v>
                </c:pt>
                <c:pt idx="3">
                  <c:v>4.352111234839505</c:v>
                </c:pt>
                <c:pt idx="4">
                  <c:v>4.3521112348395015</c:v>
                </c:pt>
                <c:pt idx="5">
                  <c:v>4.3521112348394944</c:v>
                </c:pt>
              </c:numLit>
            </c:minus>
          </c:errBars>
          <c:cat>
            <c:strRef>
              <c:f>ANOVA6!$B$236:$B$241</c:f>
              <c:strCache>
                <c:ptCount val="6"/>
                <c:pt idx="0">
                  <c:v>BP1</c:v>
                </c:pt>
                <c:pt idx="1">
                  <c:v>BP2</c:v>
                </c:pt>
                <c:pt idx="2">
                  <c:v>BP3</c:v>
                </c:pt>
                <c:pt idx="3">
                  <c:v>BP4</c:v>
                </c:pt>
                <c:pt idx="4">
                  <c:v>C+</c:v>
                </c:pt>
                <c:pt idx="5">
                  <c:v>C-</c:v>
                </c:pt>
              </c:strCache>
            </c:strRef>
          </c:cat>
          <c:val>
            <c:numRef>
              <c:f>ANOVA6!$D$236:$D$241</c:f>
              <c:numCache>
                <c:formatCode>0.000</c:formatCode>
                <c:ptCount val="6"/>
                <c:pt idx="0">
                  <c:v>87.333333333333343</c:v>
                </c:pt>
                <c:pt idx="1">
                  <c:v>68.333333333333329</c:v>
                </c:pt>
                <c:pt idx="2">
                  <c:v>63.333333333333336</c:v>
                </c:pt>
                <c:pt idx="3">
                  <c:v>61.333333333333336</c:v>
                </c:pt>
                <c:pt idx="4">
                  <c:v>22.666666666666664</c:v>
                </c:pt>
                <c:pt idx="5">
                  <c:v>0</c:v>
                </c:pt>
              </c:numCache>
            </c:numRef>
          </c:val>
          <c:extLst>
            <c:ext xmlns:c16="http://schemas.microsoft.com/office/drawing/2014/chart" uri="{C3380CC4-5D6E-409C-BE32-E72D297353CC}">
              <c16:uniqueId val="{00000001-B9D8-4057-8E6A-B5ED999AFE96}"/>
            </c:ext>
          </c:extLst>
        </c:ser>
        <c:ser>
          <c:idx val="2"/>
          <c:order val="2"/>
          <c:tx>
            <c:v>24 H</c:v>
          </c:tx>
          <c:spPr>
            <a:solidFill>
              <a:srgbClr val="2A7498"/>
            </a:solidFill>
            <a:ln w="6350">
              <a:solidFill>
                <a:srgbClr val="000000"/>
              </a:solidFill>
              <a:prstDash val="solid"/>
            </a:ln>
          </c:spPr>
          <c:invertIfNegative val="0"/>
          <c:errBars>
            <c:errBarType val="both"/>
            <c:errValType val="cust"/>
            <c:noEndCap val="0"/>
            <c:plus>
              <c:numLit>
                <c:formatCode>General</c:formatCode>
                <c:ptCount val="6"/>
                <c:pt idx="0">
                  <c:v>4.3521112348394979</c:v>
                </c:pt>
                <c:pt idx="1">
                  <c:v>4.3521112348395006</c:v>
                </c:pt>
                <c:pt idx="2">
                  <c:v>4.3521112348394997</c:v>
                </c:pt>
                <c:pt idx="3">
                  <c:v>4.3521112348394979</c:v>
                </c:pt>
                <c:pt idx="4">
                  <c:v>4.3521112348394997</c:v>
                </c:pt>
                <c:pt idx="5">
                  <c:v>4.3521112348394908</c:v>
                </c:pt>
              </c:numLit>
            </c:plus>
            <c:minus>
              <c:numLit>
                <c:formatCode>General</c:formatCode>
                <c:ptCount val="6"/>
                <c:pt idx="0">
                  <c:v>4.3521112348394979</c:v>
                </c:pt>
                <c:pt idx="1">
                  <c:v>4.3521112348395006</c:v>
                </c:pt>
                <c:pt idx="2">
                  <c:v>4.3521112348394997</c:v>
                </c:pt>
                <c:pt idx="3">
                  <c:v>4.3521112348394979</c:v>
                </c:pt>
                <c:pt idx="4">
                  <c:v>4.3521112348394997</c:v>
                </c:pt>
                <c:pt idx="5">
                  <c:v>4.3521112348394908</c:v>
                </c:pt>
              </c:numLit>
            </c:minus>
          </c:errBars>
          <c:cat>
            <c:strRef>
              <c:f>ANOVA6!$B$236:$B$241</c:f>
              <c:strCache>
                <c:ptCount val="6"/>
                <c:pt idx="0">
                  <c:v>BP1</c:v>
                </c:pt>
                <c:pt idx="1">
                  <c:v>BP2</c:v>
                </c:pt>
                <c:pt idx="2">
                  <c:v>BP3</c:v>
                </c:pt>
                <c:pt idx="3">
                  <c:v>BP4</c:v>
                </c:pt>
                <c:pt idx="4">
                  <c:v>C+</c:v>
                </c:pt>
                <c:pt idx="5">
                  <c:v>C-</c:v>
                </c:pt>
              </c:strCache>
            </c:strRef>
          </c:cat>
          <c:val>
            <c:numRef>
              <c:f>ANOVA6!$E$236:$E$241</c:f>
              <c:numCache>
                <c:formatCode>0.000</c:formatCode>
                <c:ptCount val="6"/>
                <c:pt idx="0">
                  <c:v>53.999999999999972</c:v>
                </c:pt>
                <c:pt idx="1">
                  <c:v>4.0000000000000258</c:v>
                </c:pt>
                <c:pt idx="2">
                  <c:v>12.000000000000016</c:v>
                </c:pt>
                <c:pt idx="3">
                  <c:v>44.666666666666664</c:v>
                </c:pt>
                <c:pt idx="4">
                  <c:v>10.666666666666696</c:v>
                </c:pt>
                <c:pt idx="5">
                  <c:v>0</c:v>
                </c:pt>
              </c:numCache>
            </c:numRef>
          </c:val>
          <c:extLst>
            <c:ext xmlns:c16="http://schemas.microsoft.com/office/drawing/2014/chart" uri="{C3380CC4-5D6E-409C-BE32-E72D297353CC}">
              <c16:uniqueId val="{00000002-B9D8-4057-8E6A-B5ED999AFE96}"/>
            </c:ext>
          </c:extLst>
        </c:ser>
        <c:dLbls>
          <c:showLegendKey val="0"/>
          <c:showVal val="0"/>
          <c:showCatName val="0"/>
          <c:showSerName val="0"/>
          <c:showPercent val="0"/>
          <c:showBubbleSize val="0"/>
        </c:dLbls>
        <c:gapWidth val="200"/>
        <c:axId val="1534428479"/>
        <c:axId val="1055913551"/>
      </c:barChart>
      <c:catAx>
        <c:axId val="1534428479"/>
        <c:scaling>
          <c:orientation val="minMax"/>
        </c:scaling>
        <c:delete val="0"/>
        <c:axPos val="b"/>
        <c:title>
          <c:tx>
            <c:rich>
              <a:bodyPr/>
              <a:lstStyle/>
              <a:p>
                <a:pPr>
                  <a:defRPr sz="900" b="0">
                    <a:latin typeface="Arial"/>
                    <a:ea typeface="Arial"/>
                    <a:cs typeface="Arial"/>
                  </a:defRPr>
                </a:pPr>
                <a:r>
                  <a:rPr lang="fr-FR"/>
                  <a:t>Modality</a:t>
                </a:r>
              </a:p>
            </c:rich>
          </c:tx>
          <c:overlay val="0"/>
        </c:title>
        <c:numFmt formatCode="General" sourceLinked="0"/>
        <c:majorTickMark val="cross"/>
        <c:minorTickMark val="none"/>
        <c:tickLblPos val="low"/>
        <c:spPr>
          <a:ln>
            <a:solidFill>
              <a:srgbClr val="000000"/>
            </a:solidFill>
            <a:prstDash val="solid"/>
          </a:ln>
        </c:spPr>
        <c:txPr>
          <a:bodyPr rot="-60000000" vert="horz"/>
          <a:lstStyle/>
          <a:p>
            <a:pPr>
              <a:defRPr sz="800"/>
            </a:pPr>
            <a:endParaRPr lang="en-US"/>
          </a:p>
        </c:txPr>
        <c:crossAx val="1055913551"/>
        <c:crosses val="autoZero"/>
        <c:auto val="1"/>
        <c:lblAlgn val="ctr"/>
        <c:lblOffset val="100"/>
        <c:noMultiLvlLbl val="0"/>
      </c:catAx>
      <c:valAx>
        <c:axId val="1055913551"/>
        <c:scaling>
          <c:orientation val="minMax"/>
          <c:min val="0"/>
        </c:scaling>
        <c:delete val="0"/>
        <c:axPos val="l"/>
        <c:title>
          <c:tx>
            <c:rich>
              <a:bodyPr/>
              <a:lstStyle/>
              <a:p>
                <a:pPr>
                  <a:defRPr sz="900" b="0">
                    <a:latin typeface="Arial"/>
                    <a:ea typeface="Arial"/>
                    <a:cs typeface="Arial"/>
                  </a:defRPr>
                </a:pPr>
                <a:r>
                  <a:rPr lang="fr-FR"/>
                  <a:t>Repulsion (%)</a:t>
                </a:r>
              </a:p>
            </c:rich>
          </c:tx>
          <c:layout>
            <c:manualLayout>
              <c:xMode val="edge"/>
              <c:yMode val="edge"/>
              <c:x val="1.8774935461159353E-2"/>
              <c:y val="0.15132712956335004"/>
            </c:manualLayout>
          </c:layout>
          <c:overlay val="0"/>
        </c:title>
        <c:numFmt formatCode="General" sourceLinked="0"/>
        <c:majorTickMark val="cross"/>
        <c:minorTickMark val="none"/>
        <c:tickLblPos val="nextTo"/>
        <c:spPr>
          <a:ln>
            <a:solidFill>
              <a:srgbClr val="000000"/>
            </a:solidFill>
            <a:prstDash val="solid"/>
          </a:ln>
        </c:spPr>
        <c:txPr>
          <a:bodyPr/>
          <a:lstStyle/>
          <a:p>
            <a:pPr>
              <a:defRPr sz="800"/>
            </a:pPr>
            <a:endParaRPr lang="en-US"/>
          </a:p>
        </c:txPr>
        <c:crossAx val="1534428479"/>
        <c:crosses val="autoZero"/>
        <c:crossBetween val="between"/>
        <c:majorUnit val="20"/>
      </c:valAx>
      <c:spPr>
        <a:ln>
          <a:solidFill>
            <a:srgbClr val="C0C0C0"/>
          </a:solidFill>
          <a:prstDash val="solid"/>
        </a:ln>
      </c:spPr>
    </c:plotArea>
    <c:legend>
      <c:legendPos val="b"/>
      <c:overlay val="0"/>
      <c:spPr>
        <a:noFill/>
        <a:ln w="6350">
          <a:noFill/>
          <a:prstDash val="solid"/>
        </a:ln>
      </c:spPr>
      <c:txPr>
        <a:bodyPr/>
        <a:lstStyle/>
        <a:p>
          <a:pPr>
            <a:defRPr sz="900" b="0"/>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ln>
      <a:solidFill>
        <a:srgbClr val="000000"/>
      </a:solidFill>
      <a:prstDash val="solid"/>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6 H</c:v>
          </c:tx>
          <c:spPr>
            <a:solidFill>
              <a:srgbClr val="C0C0C0"/>
            </a:solidFill>
            <a:ln w="6350">
              <a:solidFill>
                <a:srgbClr val="000000"/>
              </a:solidFill>
              <a:prstDash val="solid"/>
            </a:ln>
          </c:spPr>
          <c:invertIfNegative val="0"/>
          <c:errBars>
            <c:errBarType val="both"/>
            <c:errValType val="fixedVal"/>
            <c:noEndCap val="0"/>
            <c:val val="3"/>
          </c:errBars>
          <c:cat>
            <c:strRef>
              <c:f>ANOVA6!$B$621:$B$626</c:f>
              <c:strCache>
                <c:ptCount val="6"/>
                <c:pt idx="0">
                  <c:v>BP1</c:v>
                </c:pt>
                <c:pt idx="1">
                  <c:v>BP2</c:v>
                </c:pt>
                <c:pt idx="2">
                  <c:v>BP3</c:v>
                </c:pt>
                <c:pt idx="3">
                  <c:v>BP4</c:v>
                </c:pt>
                <c:pt idx="4">
                  <c:v>C+</c:v>
                </c:pt>
                <c:pt idx="5">
                  <c:v>C-</c:v>
                </c:pt>
              </c:strCache>
            </c:strRef>
          </c:cat>
          <c:val>
            <c:numRef>
              <c:f>ANOVA6!$C$621:$C$626</c:f>
              <c:numCache>
                <c:formatCode>0.000</c:formatCode>
                <c:ptCount val="6"/>
                <c:pt idx="0">
                  <c:v>0</c:v>
                </c:pt>
                <c:pt idx="1">
                  <c:v>0</c:v>
                </c:pt>
                <c:pt idx="2">
                  <c:v>-1.4210854715202004E-14</c:v>
                </c:pt>
                <c:pt idx="3">
                  <c:v>7.1054273576010019E-15</c:v>
                </c:pt>
                <c:pt idx="4">
                  <c:v>1.4210854715202004E-14</c:v>
                </c:pt>
                <c:pt idx="5">
                  <c:v>-3.1974423109204508E-14</c:v>
                </c:pt>
              </c:numCache>
            </c:numRef>
          </c:val>
          <c:extLst>
            <c:ext xmlns:c16="http://schemas.microsoft.com/office/drawing/2014/chart" uri="{C3380CC4-5D6E-409C-BE32-E72D297353CC}">
              <c16:uniqueId val="{00000000-7CC8-43A7-A8EA-8B1F4DCEEA6E}"/>
            </c:ext>
          </c:extLst>
        </c:ser>
        <c:ser>
          <c:idx val="1"/>
          <c:order val="1"/>
          <c:tx>
            <c:v>12 H</c:v>
          </c:tx>
          <c:spPr>
            <a:solidFill>
              <a:srgbClr val="FF4A46"/>
            </a:solidFill>
            <a:ln w="6350">
              <a:solidFill>
                <a:srgbClr val="000000"/>
              </a:solidFill>
              <a:prstDash val="solid"/>
            </a:ln>
          </c:spPr>
          <c:invertIfNegative val="0"/>
          <c:errBars>
            <c:errBarType val="both"/>
            <c:errValType val="cust"/>
            <c:noEndCap val="0"/>
            <c:plus>
              <c:numLit>
                <c:formatCode>General</c:formatCode>
                <c:ptCount val="6"/>
                <c:pt idx="0">
                  <c:v>3.0691458554421089</c:v>
                </c:pt>
                <c:pt idx="1">
                  <c:v>3.0691458554421125</c:v>
                </c:pt>
                <c:pt idx="2">
                  <c:v>3.0691458554421089</c:v>
                </c:pt>
                <c:pt idx="3">
                  <c:v>3.0691458554421089</c:v>
                </c:pt>
                <c:pt idx="4">
                  <c:v>3.069145855442116</c:v>
                </c:pt>
                <c:pt idx="5">
                  <c:v>3.0691458554421089</c:v>
                </c:pt>
              </c:numLit>
            </c:plus>
            <c:minus>
              <c:numLit>
                <c:formatCode>General</c:formatCode>
                <c:ptCount val="6"/>
                <c:pt idx="0">
                  <c:v>3.0691458554421089</c:v>
                </c:pt>
                <c:pt idx="1">
                  <c:v>3.0691458554421125</c:v>
                </c:pt>
                <c:pt idx="2">
                  <c:v>3.0691458554421089</c:v>
                </c:pt>
                <c:pt idx="3">
                  <c:v>3.0691458554421089</c:v>
                </c:pt>
                <c:pt idx="4">
                  <c:v>3.069145855442116</c:v>
                </c:pt>
                <c:pt idx="5">
                  <c:v>3.0691458554421089</c:v>
                </c:pt>
              </c:numLit>
            </c:minus>
          </c:errBars>
          <c:cat>
            <c:strRef>
              <c:f>ANOVA6!$B$621:$B$626</c:f>
              <c:strCache>
                <c:ptCount val="6"/>
                <c:pt idx="0">
                  <c:v>BP1</c:v>
                </c:pt>
                <c:pt idx="1">
                  <c:v>BP2</c:v>
                </c:pt>
                <c:pt idx="2">
                  <c:v>BP3</c:v>
                </c:pt>
                <c:pt idx="3">
                  <c:v>BP4</c:v>
                </c:pt>
                <c:pt idx="4">
                  <c:v>C+</c:v>
                </c:pt>
                <c:pt idx="5">
                  <c:v>C-</c:v>
                </c:pt>
              </c:strCache>
            </c:strRef>
          </c:cat>
          <c:val>
            <c:numRef>
              <c:f>ANOVA6!$D$621:$D$626</c:f>
              <c:numCache>
                <c:formatCode>0.000</c:formatCode>
                <c:ptCount val="6"/>
                <c:pt idx="0">
                  <c:v>29.666666666666643</c:v>
                </c:pt>
                <c:pt idx="1">
                  <c:v>23.333333333333336</c:v>
                </c:pt>
                <c:pt idx="2">
                  <c:v>53</c:v>
                </c:pt>
                <c:pt idx="3">
                  <c:v>43.666666666666679</c:v>
                </c:pt>
                <c:pt idx="4">
                  <c:v>62.666666666666671</c:v>
                </c:pt>
                <c:pt idx="5">
                  <c:v>10.3333333333334</c:v>
                </c:pt>
              </c:numCache>
            </c:numRef>
          </c:val>
          <c:extLst>
            <c:ext xmlns:c16="http://schemas.microsoft.com/office/drawing/2014/chart" uri="{C3380CC4-5D6E-409C-BE32-E72D297353CC}">
              <c16:uniqueId val="{00000001-7CC8-43A7-A8EA-8B1F4DCEEA6E}"/>
            </c:ext>
          </c:extLst>
        </c:ser>
        <c:ser>
          <c:idx val="2"/>
          <c:order val="2"/>
          <c:tx>
            <c:v>24 H</c:v>
          </c:tx>
          <c:spPr>
            <a:solidFill>
              <a:srgbClr val="2A7498"/>
            </a:solidFill>
            <a:ln w="6350">
              <a:solidFill>
                <a:srgbClr val="000000"/>
              </a:solidFill>
              <a:prstDash val="solid"/>
            </a:ln>
          </c:spPr>
          <c:invertIfNegative val="0"/>
          <c:errBars>
            <c:errBarType val="both"/>
            <c:errValType val="cust"/>
            <c:noEndCap val="0"/>
            <c:plus>
              <c:numLit>
                <c:formatCode>General</c:formatCode>
                <c:ptCount val="6"/>
                <c:pt idx="0">
                  <c:v>3.069145855442116</c:v>
                </c:pt>
                <c:pt idx="1">
                  <c:v>3.069145855442116</c:v>
                </c:pt>
                <c:pt idx="2">
                  <c:v>3.069145855442116</c:v>
                </c:pt>
                <c:pt idx="3">
                  <c:v>3.069145855442116</c:v>
                </c:pt>
                <c:pt idx="4">
                  <c:v>3.069145855442116</c:v>
                </c:pt>
                <c:pt idx="5">
                  <c:v>3.0691458554421089</c:v>
                </c:pt>
              </c:numLit>
            </c:plus>
            <c:minus>
              <c:numLit>
                <c:formatCode>General</c:formatCode>
                <c:ptCount val="6"/>
                <c:pt idx="0">
                  <c:v>3.069145855442116</c:v>
                </c:pt>
                <c:pt idx="1">
                  <c:v>3.069145855442116</c:v>
                </c:pt>
                <c:pt idx="2">
                  <c:v>3.069145855442116</c:v>
                </c:pt>
                <c:pt idx="3">
                  <c:v>3.069145855442116</c:v>
                </c:pt>
                <c:pt idx="4">
                  <c:v>3.069145855442116</c:v>
                </c:pt>
                <c:pt idx="5">
                  <c:v>3.0691458554421089</c:v>
                </c:pt>
              </c:numLit>
            </c:minus>
          </c:errBars>
          <c:cat>
            <c:strRef>
              <c:f>ANOVA6!$B$621:$B$626</c:f>
              <c:strCache>
                <c:ptCount val="6"/>
                <c:pt idx="0">
                  <c:v>BP1</c:v>
                </c:pt>
                <c:pt idx="1">
                  <c:v>BP2</c:v>
                </c:pt>
                <c:pt idx="2">
                  <c:v>BP3</c:v>
                </c:pt>
                <c:pt idx="3">
                  <c:v>BP4</c:v>
                </c:pt>
                <c:pt idx="4">
                  <c:v>C+</c:v>
                </c:pt>
                <c:pt idx="5">
                  <c:v>C-</c:v>
                </c:pt>
              </c:strCache>
            </c:strRef>
          </c:cat>
          <c:val>
            <c:numRef>
              <c:f>ANOVA6!$E$621:$E$626</c:f>
              <c:numCache>
                <c:formatCode>0.000</c:formatCode>
                <c:ptCount val="6"/>
                <c:pt idx="0">
                  <c:v>91.333333333333286</c:v>
                </c:pt>
                <c:pt idx="1">
                  <c:v>92.6666666666666</c:v>
                </c:pt>
                <c:pt idx="2">
                  <c:v>94.3333333333333</c:v>
                </c:pt>
                <c:pt idx="3">
                  <c:v>93.333333333333286</c:v>
                </c:pt>
                <c:pt idx="4">
                  <c:v>97.3333333333333</c:v>
                </c:pt>
                <c:pt idx="5">
                  <c:v>20.6666666666667</c:v>
                </c:pt>
              </c:numCache>
            </c:numRef>
          </c:val>
          <c:extLst>
            <c:ext xmlns:c16="http://schemas.microsoft.com/office/drawing/2014/chart" uri="{C3380CC4-5D6E-409C-BE32-E72D297353CC}">
              <c16:uniqueId val="{00000002-7CC8-43A7-A8EA-8B1F4DCEEA6E}"/>
            </c:ext>
          </c:extLst>
        </c:ser>
        <c:dLbls>
          <c:showLegendKey val="0"/>
          <c:showVal val="0"/>
          <c:showCatName val="0"/>
          <c:showSerName val="0"/>
          <c:showPercent val="0"/>
          <c:showBubbleSize val="0"/>
        </c:dLbls>
        <c:gapWidth val="200"/>
        <c:axId val="1042441167"/>
        <c:axId val="1042442815"/>
      </c:barChart>
      <c:catAx>
        <c:axId val="1042441167"/>
        <c:scaling>
          <c:orientation val="minMax"/>
        </c:scaling>
        <c:delete val="0"/>
        <c:axPos val="b"/>
        <c:title>
          <c:tx>
            <c:rich>
              <a:bodyPr/>
              <a:lstStyle/>
              <a:p>
                <a:pPr>
                  <a:defRPr sz="900" b="0">
                    <a:latin typeface="Arial"/>
                    <a:ea typeface="Arial"/>
                    <a:cs typeface="Arial"/>
                  </a:defRPr>
                </a:pPr>
                <a:r>
                  <a:rPr lang="fr-FR"/>
                  <a:t>Modality</a:t>
                </a:r>
              </a:p>
            </c:rich>
          </c:tx>
          <c:overlay val="0"/>
        </c:title>
        <c:numFmt formatCode="General" sourceLinked="0"/>
        <c:majorTickMark val="cross"/>
        <c:minorTickMark val="none"/>
        <c:tickLblPos val="low"/>
        <c:spPr>
          <a:ln>
            <a:solidFill>
              <a:srgbClr val="000000"/>
            </a:solidFill>
            <a:prstDash val="solid"/>
          </a:ln>
        </c:spPr>
        <c:txPr>
          <a:bodyPr rot="-60000000" vert="horz"/>
          <a:lstStyle/>
          <a:p>
            <a:pPr>
              <a:defRPr sz="800"/>
            </a:pPr>
            <a:endParaRPr lang="en-US"/>
          </a:p>
        </c:txPr>
        <c:crossAx val="1042442815"/>
        <c:crosses val="autoZero"/>
        <c:auto val="1"/>
        <c:lblAlgn val="ctr"/>
        <c:lblOffset val="100"/>
        <c:noMultiLvlLbl val="0"/>
      </c:catAx>
      <c:valAx>
        <c:axId val="1042442815"/>
        <c:scaling>
          <c:orientation val="minMax"/>
          <c:min val="0"/>
        </c:scaling>
        <c:delete val="0"/>
        <c:axPos val="l"/>
        <c:title>
          <c:tx>
            <c:rich>
              <a:bodyPr/>
              <a:lstStyle/>
              <a:p>
                <a:pPr>
                  <a:defRPr sz="900" b="0">
                    <a:latin typeface="Arial"/>
                    <a:ea typeface="Arial"/>
                    <a:cs typeface="Arial"/>
                  </a:defRPr>
                </a:pPr>
                <a:r>
                  <a:rPr lang="fr-FR"/>
                  <a:t>Mortality (%)</a:t>
                </a:r>
              </a:p>
            </c:rich>
          </c:tx>
          <c:layout>
            <c:manualLayout>
              <c:xMode val="edge"/>
              <c:yMode val="edge"/>
              <c:x val="1.4081201595869515E-2"/>
              <c:y val="0.17256153791586862"/>
            </c:manualLayout>
          </c:layout>
          <c:overlay val="0"/>
        </c:title>
        <c:numFmt formatCode="General" sourceLinked="0"/>
        <c:majorTickMark val="cross"/>
        <c:minorTickMark val="none"/>
        <c:tickLblPos val="nextTo"/>
        <c:spPr>
          <a:ln>
            <a:solidFill>
              <a:srgbClr val="000000"/>
            </a:solidFill>
            <a:prstDash val="solid"/>
          </a:ln>
        </c:spPr>
        <c:txPr>
          <a:bodyPr/>
          <a:lstStyle/>
          <a:p>
            <a:pPr>
              <a:defRPr sz="800"/>
            </a:pPr>
            <a:endParaRPr lang="en-US"/>
          </a:p>
        </c:txPr>
        <c:crossAx val="1042441167"/>
        <c:crosses val="autoZero"/>
        <c:crossBetween val="between"/>
      </c:valAx>
      <c:spPr>
        <a:ln>
          <a:solidFill>
            <a:srgbClr val="C0C0C0"/>
          </a:solidFill>
          <a:prstDash val="solid"/>
        </a:ln>
      </c:spPr>
    </c:plotArea>
    <c:legend>
      <c:legendPos val="b"/>
      <c:overlay val="0"/>
      <c:spPr>
        <a:noFill/>
        <a:ln w="6350">
          <a:noFill/>
          <a:prstDash val="solid"/>
        </a:ln>
      </c:spPr>
      <c:txPr>
        <a:bodyPr/>
        <a:lstStyle/>
        <a:p>
          <a:pPr>
            <a:defRPr sz="900" b="0"/>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ln>
      <a:solidFill>
        <a:srgbClr val="000000"/>
      </a:solidFill>
      <a:prstDash val="solid"/>
    </a:ln>
  </c:spPr>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401013-380E-4BAA-A3FB-4AE32D7D5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6194</Words>
  <Characters>35308</Characters>
  <Application>Microsoft Office Word</Application>
  <DocSecurity>0</DocSecurity>
  <Lines>294</Lines>
  <Paragraphs>82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USER</dc:creator>
  <cp:keywords/>
  <dc:description/>
  <cp:lastModifiedBy>Editor-1183</cp:lastModifiedBy>
  <cp:revision>3</cp:revision>
  <cp:lastPrinted>2025-10-17T03:03:00Z</cp:lastPrinted>
  <dcterms:created xsi:type="dcterms:W3CDTF">2026-02-25T21:47:00Z</dcterms:created>
  <dcterms:modified xsi:type="dcterms:W3CDTF">2026-03-04T08:08:00Z</dcterms:modified>
</cp:coreProperties>
</file>