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B553" w14:textId="77777777" w:rsidR="00990C50" w:rsidRDefault="0080472E" w:rsidP="00897F95">
      <w:pPr>
        <w:pStyle w:val="Title"/>
      </w:pPr>
      <w:r>
        <w:t>Further S</w:t>
      </w:r>
      <w:r w:rsidR="00783234">
        <w:t>tudy of Topological Integer Additive Set-Labeling of Graphs</w:t>
      </w:r>
    </w:p>
    <w:p w14:paraId="785289BB" w14:textId="6DE14EEF" w:rsidR="00431303" w:rsidRDefault="00431303" w:rsidP="00431303">
      <w:pPr>
        <w:pStyle w:val="Affiliation"/>
        <w:spacing w:line="240" w:lineRule="auto"/>
        <w:rPr>
          <w:rFonts w:ascii="Arial" w:hAnsi="Arial" w:cs="Arial"/>
          <w:i/>
        </w:rPr>
      </w:pPr>
    </w:p>
    <w:p w14:paraId="779E22AD" w14:textId="77777777" w:rsidR="00C30447" w:rsidRPr="00BF17E1" w:rsidRDefault="00C30447" w:rsidP="00431303">
      <w:pPr>
        <w:pStyle w:val="Affiliation"/>
        <w:spacing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E32C9" w:rsidRPr="001E44FE" w14:paraId="19D39565" w14:textId="77777777" w:rsidTr="006E2645">
        <w:tc>
          <w:tcPr>
            <w:tcW w:w="9576" w:type="dxa"/>
            <w:shd w:val="clear" w:color="auto" w:fill="F2F2F2"/>
          </w:tcPr>
          <w:p w14:paraId="277705D1" w14:textId="77777777" w:rsidR="002E32C9" w:rsidRPr="007F5F98" w:rsidRDefault="002E32C9" w:rsidP="002E32C9">
            <w:pPr>
              <w:jc w:val="both"/>
              <w:rPr>
                <w:b/>
              </w:rPr>
            </w:pPr>
            <w:r w:rsidRPr="007F5F98">
              <w:rPr>
                <w:b/>
              </w:rPr>
              <w:t>Abstract</w:t>
            </w:r>
          </w:p>
          <w:p w14:paraId="1C26DC06" w14:textId="49B18692" w:rsidR="002E32C9" w:rsidRPr="002E32C9" w:rsidRDefault="00EF7FF1" w:rsidP="002E32C9">
            <w:pPr>
              <w:jc w:val="both"/>
            </w:pPr>
            <w:r w:rsidRPr="00D25C62">
              <w:rPr>
                <w:highlight w:val="yellow"/>
              </w:rPr>
              <w:t xml:space="preserve">Topological integer additive set-labeling (TIASL), introduced by </w:t>
            </w:r>
            <w:proofErr w:type="spellStart"/>
            <w:r w:rsidRPr="00D25C62">
              <w:rPr>
                <w:highlight w:val="yellow"/>
              </w:rPr>
              <w:t>Sudev</w:t>
            </w:r>
            <w:proofErr w:type="spellEnd"/>
            <w:r w:rsidRPr="00D25C62">
              <w:rPr>
                <w:highlight w:val="yellow"/>
              </w:rPr>
              <w:t xml:space="preserve"> and </w:t>
            </w:r>
            <w:proofErr w:type="spellStart"/>
            <w:r w:rsidRPr="00D25C62">
              <w:rPr>
                <w:highlight w:val="yellow"/>
              </w:rPr>
              <w:t>Germina</w:t>
            </w:r>
            <w:proofErr w:type="spellEnd"/>
            <w:r w:rsidRPr="00D25C62">
              <w:rPr>
                <w:highlight w:val="yellow"/>
              </w:rPr>
              <w:t>, integrates integer additive set-labeling with topological constraints on the ground set. While basic characterization results are known, deeper structural and operational aspects remain less explored. In this paper, we establish a universality theorem by proving that every finite connected graph can be embedded into a connected TIASL graph via the addition of a single suitably labeled vertex. We then analyze the behavior of TIASL under classical graph operations including disjoint union, join, Cartesian product, corona, subdivision, and vertex identification, determining precise closure and non-closure conditions. Finally, we derive an explicit formula for the topological set-indexing number in terms of the order of the graph and its pendant vertex structure. These results extend the TIASL theory beyond existence and characterization, providing new structural and quantitative insights.</w:t>
            </w:r>
          </w:p>
        </w:tc>
      </w:tr>
    </w:tbl>
    <w:p w14:paraId="6516F48B" w14:textId="77777777" w:rsidR="002E32C9" w:rsidRDefault="00783234" w:rsidP="00BF17E1">
      <w:pPr>
        <w:spacing w:before="240"/>
        <w:jc w:val="both"/>
      </w:pPr>
      <w:r w:rsidRPr="007F5F98">
        <w:rPr>
          <w:b/>
          <w:i/>
          <w:iCs/>
        </w:rPr>
        <w:t>Keywords.</w:t>
      </w:r>
      <w:r>
        <w:t xml:space="preserve"> graphs, set-labeling, integer additive set-labeling, topological integer additive set-labeling, topological integer additive set-indexing number.</w:t>
      </w:r>
    </w:p>
    <w:p w14:paraId="3CB062D2" w14:textId="77777777" w:rsidR="00990C50" w:rsidRDefault="00783234" w:rsidP="00245A51">
      <w:pPr>
        <w:jc w:val="both"/>
      </w:pPr>
      <w:r>
        <w:rPr>
          <w:i/>
          <w:iCs/>
        </w:rPr>
        <w:t>2020 Mathematics Subject Classification.</w:t>
      </w:r>
      <w:r>
        <w:t xml:space="preserve"> </w:t>
      </w:r>
      <w:r w:rsidRPr="007F5F98">
        <w:rPr>
          <w:b/>
        </w:rPr>
        <w:t>05C78</w:t>
      </w:r>
    </w:p>
    <w:p w14:paraId="55CBE276" w14:textId="77777777" w:rsidR="00990C50" w:rsidRDefault="00783234" w:rsidP="00CE6844">
      <w:pPr>
        <w:pStyle w:val="Heading1"/>
        <w:numPr>
          <w:ilvl w:val="0"/>
          <w:numId w:val="36"/>
        </w:numPr>
        <w:ind w:left="426"/>
        <w:jc w:val="both"/>
      </w:pPr>
      <w:bookmarkStart w:id="0" w:name="introduction"/>
      <w:r>
        <w:t>Introduction</w:t>
      </w:r>
    </w:p>
    <w:p w14:paraId="09BBB059" w14:textId="77777777" w:rsidR="00245A51" w:rsidRDefault="00783234" w:rsidP="00BF17E1">
      <w:pPr>
        <w:spacing w:after="240"/>
        <w:jc w:val="both"/>
      </w:pPr>
      <w:r>
        <w:t xml:space="preserve">Graph labeling is a well-established area of graph theory in which labels are assigned to vertices, edges, or both, subject to prescribed conditions. Since the introduction of </w:t>
      </w:r>
      <m:oMath>
        <m:r>
          <w:rPr>
            <w:rFonts w:ascii="Cambria Math" w:hAnsi="Cambria Math"/>
          </w:rPr>
          <m:t>β</m:t>
        </m:r>
      </m:oMath>
      <w:r w:rsidR="009314F1">
        <w:t>-valuations in</w:t>
      </w:r>
      <w:r>
        <w:t> </w:t>
      </w:r>
      <w:r w:rsidR="009314F1">
        <w:t>(</w:t>
      </w:r>
      <w:r w:rsidR="006E2645">
        <w:t>Rosa,19</w:t>
      </w:r>
      <w:r w:rsidR="009314F1">
        <w:t>67)</w:t>
      </w:r>
      <w:r>
        <w:t>, numerous labeling schemes have been proposed and studied; see Gallian’s dynamic survey </w:t>
      </w:r>
      <w:r w:rsidR="009314F1">
        <w:t>(Gallian,</w:t>
      </w:r>
      <w:r w:rsidR="00601709">
        <w:t xml:space="preserve"> </w:t>
      </w:r>
      <w:r w:rsidR="009314F1">
        <w:t>2025)</w:t>
      </w:r>
      <w:r>
        <w:t xml:space="preserve"> for a comprehensive account.</w:t>
      </w:r>
    </w:p>
    <w:p w14:paraId="0068F3E5" w14:textId="77777777" w:rsidR="00990C50" w:rsidRDefault="00783234" w:rsidP="00BF17E1">
      <w:pPr>
        <w:spacing w:after="240"/>
        <w:jc w:val="both"/>
      </w:pPr>
      <w:r>
        <w:t>A significant generalization of classical numerical labe</w:t>
      </w:r>
      <w:r w:rsidR="008C1502">
        <w:t>li</w:t>
      </w:r>
      <w:r w:rsidR="00601709">
        <w:t>ng was introduced by (Acharya, 1983)</w:t>
      </w:r>
      <w:r w:rsidR="008C1502">
        <w:t xml:space="preserve"> </w:t>
      </w:r>
      <w:r>
        <w:t>through set-labeling of graphs, where vertices are assigned subsets of a ground set. Incorporating additive structure into this fra</w:t>
      </w:r>
      <w:r w:rsidR="00601709">
        <w:t>mework, (</w:t>
      </w:r>
      <w:proofErr w:type="spellStart"/>
      <w:r w:rsidR="00601709">
        <w:t>Germina</w:t>
      </w:r>
      <w:proofErr w:type="spellEnd"/>
      <w:r w:rsidR="00601709">
        <w:t xml:space="preserve"> and </w:t>
      </w:r>
      <w:proofErr w:type="spellStart"/>
      <w:r w:rsidR="00601709">
        <w:t>Anandavally</w:t>
      </w:r>
      <w:proofErr w:type="spellEnd"/>
      <w:r w:rsidR="00601709">
        <w:t>, 2012)</w:t>
      </w:r>
      <w:r>
        <w:t xml:space="preserve"> defined integer additive set-labeling (IASL), in which edge labels are obtained as </w:t>
      </w:r>
      <w:proofErr w:type="spellStart"/>
      <w:r>
        <w:t>sumsets</w:t>
      </w:r>
      <w:proofErr w:type="spellEnd"/>
      <w:r>
        <w:t xml:space="preserve"> of vertex labels.</w:t>
      </w:r>
    </w:p>
    <w:p w14:paraId="55613616" w14:textId="77777777" w:rsidR="00245A51" w:rsidRDefault="00783234" w:rsidP="00BF17E1">
      <w:pPr>
        <w:spacing w:after="240"/>
        <w:jc w:val="both"/>
      </w:pPr>
      <w:r>
        <w:t>Topological constraints were later introduced into set-labeling through the notion of topological set-labeling, requiring the collection of vertex labels to form a topology on the ground set. Combining</w:t>
      </w:r>
      <w:r w:rsidR="00FE0DC2">
        <w:t xml:space="preserve"> these ideas, (Sudev and Germina, 2015)</w:t>
      </w:r>
      <w:r>
        <w:t xml:space="preserve"> introduced </w:t>
      </w:r>
      <w:r>
        <w:rPr>
          <w:i/>
          <w:iCs/>
        </w:rPr>
        <w:t>topological integer additive set-labeling</w:t>
      </w:r>
      <w:r>
        <w:t xml:space="preserve"> (TIASL) and established necessary and sufficient conditions for a graph to admit a TIASL. Their work clarified the basic structure of TIASL graphs, including the existence of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the necessity of pendant vertices adjacent to it. A comprehensive survey o</w:t>
      </w:r>
      <w:r w:rsidR="00245A51">
        <w:t>f early developments appears in</w:t>
      </w:r>
      <w:r w:rsidR="00FE0DC2">
        <w:t xml:space="preserve"> (Sudev, Chithra, Germina, 2015)</w:t>
      </w:r>
      <w:r>
        <w:t>.</w:t>
      </w:r>
    </w:p>
    <w:p w14:paraId="0D64D60B" w14:textId="77777777" w:rsidR="00245A51" w:rsidRDefault="00783234" w:rsidP="00BF17E1">
      <w:pPr>
        <w:spacing w:after="240"/>
        <w:jc w:val="both"/>
      </w:pPr>
      <w:r>
        <w:t>Since the characterization of TIASL graphs is now well understood, the natural next step is to investigate deeper structural and operational properties of this class. In particular, questions concerning universality, stability under graph operations, and the behavior of graph invariants have remained largely open.</w:t>
      </w:r>
    </w:p>
    <w:p w14:paraId="70742302" w14:textId="77777777" w:rsidR="00245A51" w:rsidRDefault="00783234" w:rsidP="00BF17E1">
      <w:pPr>
        <w:spacing w:after="240"/>
        <w:jc w:val="both"/>
      </w:pPr>
      <w:r>
        <w:lastRenderedPageBreak/>
        <w:t>The present paper addresses these questions. We begin by establishing an embedding theorem showing that every finite connected graph can be realized as a subgraph of a connected TIASL graph. This result demonstrates that, despite strong local structural constraints, the class of TIASL graphs is globally universal. We then examine the behavior of TIASL under standard graph operations, identifying both closure and non-closure phenomena and revealing the fundamentally single-centered nature of TIASL graphs.</w:t>
      </w:r>
    </w:p>
    <w:p w14:paraId="326FFAB7" w14:textId="77777777" w:rsidR="00245A51" w:rsidRDefault="00783234" w:rsidP="00BF17E1">
      <w:pPr>
        <w:spacing w:after="240"/>
        <w:jc w:val="both"/>
      </w:pPr>
      <w:r>
        <w:t xml:space="preserve">Finally, we study the </w:t>
      </w:r>
      <w:r>
        <w:rPr>
          <w:i/>
          <w:iCs/>
        </w:rPr>
        <w:t>topological set-indexing number</w:t>
      </w:r>
      <w:r>
        <w:t>, an invariant introduced by Sudev and Germina, and derive new results expressing it in terms of the order of the graph and its pendant vertex structure. These results extend the known theory of TIASL and provide new tools for analyzing this class of graphs.</w:t>
      </w:r>
    </w:p>
    <w:p w14:paraId="0CF2030B" w14:textId="77777777" w:rsidR="00990C50" w:rsidRDefault="00783234" w:rsidP="00245A51">
      <w:pPr>
        <w:jc w:val="both"/>
      </w:pPr>
      <w:r>
        <w:t>The paper is organized as follows. Section 2 presents preliminaries and recalls key results from the literature. In Section 3, we prove an embedding theorem for TIASL graphs. Section 4 studies TIASL under various graph operations. In Section 5, we investigate the topological set-indexing number and derive further consequences. The paper concludes with remarks and future directions.</w:t>
      </w:r>
    </w:p>
    <w:p w14:paraId="3B6B7831" w14:textId="77777777" w:rsidR="00990C50" w:rsidRDefault="00CE6844" w:rsidP="00CE6844">
      <w:pPr>
        <w:pStyle w:val="Heading1"/>
        <w:jc w:val="both"/>
      </w:pPr>
      <w:bookmarkStart w:id="1" w:name="preliminaries-and-known-results"/>
      <w:bookmarkEnd w:id="0"/>
      <w:r w:rsidRPr="00CE6844">
        <w:t xml:space="preserve">2. </w:t>
      </w:r>
      <w:r w:rsidR="00783234">
        <w:t>Preliminaries and Known Results</w:t>
      </w:r>
    </w:p>
    <w:p w14:paraId="24EEB64F" w14:textId="77777777" w:rsidR="00245A51" w:rsidRDefault="00783234" w:rsidP="00BF17E1">
      <w:pPr>
        <w:spacing w:after="240"/>
        <w:jc w:val="both"/>
      </w:pPr>
      <w:r>
        <w:t>In this section, we recall the definitions and known results required in the sequel. All graphs considered are finite, simple, undirected, and connected unless stated otherwise. Standard graph-the</w:t>
      </w:r>
      <w:r w:rsidR="00245A51">
        <w:t>oretic</w:t>
      </w:r>
      <w:r w:rsidR="00FE0DC2">
        <w:t>, set-theoretic, and topology related</w:t>
      </w:r>
      <w:r w:rsidR="00245A51">
        <w:t xml:space="preserve"> terminology </w:t>
      </w:r>
      <w:r w:rsidR="00FE0DC2">
        <w:t>follow</w:t>
      </w:r>
      <w:r w:rsidR="00245A51">
        <w:t xml:space="preserve"> </w:t>
      </w:r>
      <w:r w:rsidR="00FE0DC2">
        <w:t>(</w:t>
      </w:r>
      <w:r w:rsidR="00245A51">
        <w:t>West</w:t>
      </w:r>
      <w:r w:rsidR="00FE0DC2">
        <w:t xml:space="preserve">, 2001) and (Nathanson, 1996), and (Munkres, 2000), respectively. </w:t>
      </w:r>
    </w:p>
    <w:p w14:paraId="74D4CB9D" w14:textId="77777777" w:rsidR="00245A51" w:rsidRDefault="00783234" w:rsidP="00BF17E1">
      <w:pPr>
        <w:spacing w:after="240"/>
        <w:jc w:val="both"/>
      </w:pPr>
      <w:r>
        <w:t xml:space="preserve">Let </w:t>
      </w:r>
      <m:oMath>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be a graph with vertex set </w:t>
      </w:r>
      <m:oMath>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and edge set </w:t>
      </w:r>
      <m:oMath>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The order of </w:t>
      </w:r>
      <m:oMath>
        <m:r>
          <w:rPr>
            <w:rFonts w:ascii="Cambria Math" w:hAnsi="Cambria Math"/>
          </w:rPr>
          <m:t>G</m:t>
        </m:r>
      </m:oMath>
      <w:r>
        <w:t xml:space="preserve"> is </w:t>
      </w: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A vertex of degree one is called a </w:t>
      </w:r>
      <w:r>
        <w:rPr>
          <w:i/>
          <w:iCs/>
        </w:rPr>
        <w:t>pendant vertex</w:t>
      </w:r>
      <w:r>
        <w:t xml:space="preserve">. The set of all non-negative integers is denoted by </w:t>
      </w:r>
      <m:oMath>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oMath>
      <w:r>
        <w:t>.</w:t>
      </w:r>
    </w:p>
    <w:p w14:paraId="22943ADA" w14:textId="77777777" w:rsidR="00245A51" w:rsidRDefault="00783234" w:rsidP="00BF17E1">
      <w:pPr>
        <w:spacing w:after="240"/>
        <w:jc w:val="both"/>
      </w:pPr>
      <w:r>
        <w:t xml:space="preserve">Throughout this paper, </w:t>
      </w:r>
      <m:oMath>
        <m:r>
          <w:rPr>
            <w:rFonts w:ascii="Cambria Math" w:hAnsi="Cambria Math"/>
          </w:rPr>
          <m:t>S</m:t>
        </m:r>
      </m:oMath>
      <w:r>
        <w:t xml:space="preserve"> denotes a finite non-empty subset of </w:t>
      </w:r>
      <m:oMath>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oMath>
      <w:r>
        <w:t>.</w:t>
      </w:r>
    </w:p>
    <w:p w14:paraId="2BA27791" w14:textId="77777777" w:rsidR="00990C50" w:rsidRPr="00245A51" w:rsidRDefault="00CE6844" w:rsidP="00245A51">
      <w:pPr>
        <w:jc w:val="both"/>
        <w:rPr>
          <w:b/>
        </w:rPr>
      </w:pPr>
      <w:bookmarkStart w:id="2" w:name="Xbe012241d95a31cfad64ba0b19f629637708ebe"/>
      <w:r>
        <w:rPr>
          <w:b/>
        </w:rPr>
        <w:t xml:space="preserve">2.1 </w:t>
      </w:r>
      <w:r w:rsidR="00783234" w:rsidRPr="00245A51">
        <w:rPr>
          <w:b/>
        </w:rPr>
        <w:t>Set-Labeling and Integer Additive Set-Labeling</w:t>
      </w:r>
    </w:p>
    <w:p w14:paraId="12D1BC43" w14:textId="77777777" w:rsidR="00245A51" w:rsidRDefault="00783234" w:rsidP="00BF17E1">
      <w:pPr>
        <w:spacing w:after="240"/>
        <w:jc w:val="both"/>
      </w:pPr>
      <w:r>
        <w:t xml:space="preserve">Let </w:t>
      </w:r>
      <m:oMath>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denote the power set of </w:t>
      </w:r>
      <m:oMath>
        <m:r>
          <w:rPr>
            <w:rFonts w:ascii="Cambria Math" w:hAnsi="Cambria Math"/>
          </w:rPr>
          <m:t>S</m:t>
        </m:r>
      </m:oMath>
      <w:r>
        <w:t>.</w:t>
      </w:r>
    </w:p>
    <w:p w14:paraId="13300DDD" w14:textId="77777777" w:rsidR="00990C50" w:rsidRDefault="00783234" w:rsidP="00245A51">
      <w:pPr>
        <w:jc w:val="both"/>
      </w:pPr>
      <w:r>
        <w:rPr>
          <w:b/>
          <w:bCs/>
        </w:rPr>
        <w:t xml:space="preserve">Definition </w:t>
      </w:r>
      <w:r w:rsidR="00CE6844">
        <w:rPr>
          <w:b/>
          <w:bCs/>
        </w:rPr>
        <w:t>2.</w:t>
      </w:r>
      <w:r>
        <w:rPr>
          <w:b/>
          <w:bCs/>
        </w:rPr>
        <w:t>1</w:t>
      </w:r>
      <w:r w:rsidR="00CE6844">
        <w:rPr>
          <w:b/>
          <w:bCs/>
        </w:rPr>
        <w:t>.1</w:t>
      </w:r>
      <w:r>
        <w:t xml:space="preserve">.  A </w:t>
      </w:r>
      <w:r>
        <w:rPr>
          <w:i/>
          <w:iCs/>
        </w:rPr>
        <w:t>set-labeling</w:t>
      </w:r>
      <w:r>
        <w:t xml:space="preserve"> of a graph </w:t>
      </w:r>
      <m:oMath>
        <m:r>
          <w:rPr>
            <w:rFonts w:ascii="Cambria Math" w:hAnsi="Cambria Math"/>
          </w:rPr>
          <m:t>G</m:t>
        </m:r>
      </m:oMath>
      <w:r>
        <w:t xml:space="preserve"> is an injective function</w:t>
      </w:r>
    </w:p>
    <w:p w14:paraId="3590A19D" w14:textId="77777777" w:rsidR="00245A51" w:rsidRDefault="00783234" w:rsidP="00BF17E1">
      <w:pPr>
        <w:spacing w:after="240"/>
        <w:jc w:val="both"/>
      </w:pPr>
      <m:oMathPara>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m:oMathPara>
    </w:p>
    <w:p w14:paraId="0894E512" w14:textId="77777777" w:rsidR="00990C50" w:rsidRDefault="00783234" w:rsidP="00245A51">
      <w:pPr>
        <w:jc w:val="both"/>
      </w:pPr>
      <w:r>
        <w:rPr>
          <w:b/>
          <w:bCs/>
        </w:rPr>
        <w:t>Definition 2</w:t>
      </w:r>
      <w:r w:rsidR="00CE6844">
        <w:rPr>
          <w:b/>
          <w:bCs/>
        </w:rPr>
        <w:t>.1.2</w:t>
      </w:r>
      <w:r>
        <w:t xml:space="preserve">.  For two subsets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N</m:t>
            </m:r>
          </m:e>
          <m:sub>
            <m:r>
              <w:rPr>
                <w:rFonts w:ascii="Cambria Math" w:hAnsi="Cambria Math"/>
              </w:rPr>
              <m:t>0</m:t>
            </m:r>
          </m:sub>
        </m:sSub>
      </m:oMath>
      <w:r>
        <w:t xml:space="preserve">, the </w:t>
      </w:r>
      <w:r>
        <w:rPr>
          <w:i/>
          <w:iCs/>
        </w:rPr>
        <w:t>sumset</w:t>
      </w:r>
      <w:r>
        <w:t xml:space="preserve"> of </w:t>
      </w:r>
      <m:oMath>
        <m:r>
          <w:rPr>
            <w:rFonts w:ascii="Cambria Math" w:hAnsi="Cambria Math"/>
          </w:rPr>
          <m:t>A</m:t>
        </m:r>
      </m:oMath>
      <w:r>
        <w:t xml:space="preserve"> and </w:t>
      </w:r>
      <m:oMath>
        <m:r>
          <w:rPr>
            <w:rFonts w:ascii="Cambria Math" w:hAnsi="Cambria Math"/>
          </w:rPr>
          <m:t>B</m:t>
        </m:r>
      </m:oMath>
      <w:r>
        <w:t xml:space="preserve"> is defined by</w:t>
      </w:r>
    </w:p>
    <w:p w14:paraId="53249FA1" w14:textId="77777777" w:rsidR="00245A51" w:rsidRDefault="00783234" w:rsidP="00BF17E1">
      <w:pPr>
        <w:spacing w:after="240"/>
        <w:jc w:val="both"/>
      </w:pPr>
      <m:oMathPara>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 b</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3F0CD741" w14:textId="77777777" w:rsidR="00245A51" w:rsidRDefault="00783234" w:rsidP="00BF17E1">
      <w:pPr>
        <w:spacing w:after="240"/>
        <w:jc w:val="both"/>
      </w:pPr>
      <w:r>
        <w:t xml:space="preserve">If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oMath>
      <w:r>
        <w:t xml:space="preserve">, then </w:t>
      </w:r>
      <m:oMath>
        <m:r>
          <w:rPr>
            <w:rFonts w:ascii="Cambria Math" w:hAnsi="Cambria Math"/>
          </w:rPr>
          <m:t>A</m:t>
        </m:r>
      </m:oMath>
      <w:r>
        <w:t xml:space="preserve"> and </w:t>
      </w:r>
      <m:oMath>
        <m:r>
          <w:rPr>
            <w:rFonts w:ascii="Cambria Math" w:hAnsi="Cambria Math"/>
          </w:rPr>
          <m:t>B</m:t>
        </m:r>
      </m:oMath>
      <w:r>
        <w:t xml:space="preserve"> are called </w:t>
      </w:r>
      <w:r>
        <w:rPr>
          <w:i/>
          <w:iCs/>
        </w:rPr>
        <w:t>summands</w:t>
      </w:r>
      <w:r>
        <w:t xml:space="preserve"> of </w:t>
      </w:r>
      <m:oMath>
        <m:r>
          <w:rPr>
            <w:rFonts w:ascii="Cambria Math" w:hAnsi="Cambria Math"/>
          </w:rPr>
          <m:t>C</m:t>
        </m:r>
      </m:oMath>
      <w:r>
        <w:t xml:space="preserve">. The sets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w:t>
      </w:r>
      <m:oMath>
        <m:r>
          <w:rPr>
            <w:rFonts w:ascii="Cambria Math" w:hAnsi="Cambria Math"/>
          </w:rPr>
          <m:t>C</m:t>
        </m:r>
      </m:oMath>
      <w:r>
        <w:t xml:space="preserve"> are referred to as </w:t>
      </w:r>
      <w:r>
        <w:rPr>
          <w:i/>
          <w:iCs/>
        </w:rPr>
        <w:t>trivial summands</w:t>
      </w:r>
      <w:r>
        <w:t>.</w:t>
      </w:r>
    </w:p>
    <w:p w14:paraId="6AAAA470" w14:textId="77777777" w:rsidR="00990C50" w:rsidRDefault="00783234" w:rsidP="00245A51">
      <w:pPr>
        <w:jc w:val="both"/>
      </w:pPr>
      <w:r>
        <w:rPr>
          <w:b/>
          <w:bCs/>
        </w:rPr>
        <w:t xml:space="preserve">Definition </w:t>
      </w:r>
      <w:r w:rsidR="00CE6844">
        <w:rPr>
          <w:b/>
          <w:bCs/>
        </w:rPr>
        <w:t>2.1.3</w:t>
      </w:r>
      <w:r>
        <w:t xml:space="preserve">.  An </w:t>
      </w:r>
      <w:r>
        <w:rPr>
          <w:i/>
          <w:iCs/>
        </w:rPr>
        <w:t>integer additive set-labeling</w:t>
      </w:r>
      <w:r>
        <w:t xml:space="preserve"> (IASL) of a graph </w:t>
      </w:r>
      <m:oMath>
        <m:r>
          <w:rPr>
            <w:rFonts w:ascii="Cambria Math" w:hAnsi="Cambria Math"/>
          </w:rPr>
          <m:t>G</m:t>
        </m:r>
      </m:oMath>
      <w:r>
        <w:t xml:space="preserve"> is a set-labeling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such that the induced mapping</w:t>
      </w:r>
    </w:p>
    <w:p w14:paraId="2F7355FF" w14:textId="77777777" w:rsidR="00990C50" w:rsidRDefault="008821CE" w:rsidP="00245A51">
      <w:pPr>
        <w:jc w:val="both"/>
      </w:pPr>
      <m:oMathPara>
        <m:oMathParaPr>
          <m:jc m:val="center"/>
        </m:oMathParaPr>
        <m:oMath>
          <m:sSup>
            <m:sSupPr>
              <m:ctrlPr>
                <w:rPr>
                  <w:rFonts w:ascii="Cambria Math" w:hAnsi="Cambria Math"/>
                </w:rPr>
              </m:ctrlPr>
            </m:sSupPr>
            <m:e>
              <m:r>
                <w:rPr>
                  <w:rFonts w:ascii="Cambria Math" w:hAnsi="Cambria Math"/>
                </w:rPr>
                <m:t>ψ</m:t>
              </m:r>
            </m:e>
            <m:sup>
              <m:r>
                <m:rPr>
                  <m:sty m:val="p"/>
                </m:rPr>
                <w:rPr>
                  <w:rFonts w:ascii="Cambria Math" w:hAnsi="Cambria Math"/>
                </w:rPr>
                <m:t>+</m:t>
              </m:r>
            </m:sup>
          </m:sSup>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ψ</m:t>
              </m:r>
            </m:e>
            <m:sup>
              <m:r>
                <m:rPr>
                  <m:sty m:val="p"/>
                </m:rPr>
                <w:rPr>
                  <w:rFonts w:ascii="Cambria Math" w:hAnsi="Cambria Math"/>
                </w:rPr>
                <m:t>+</m:t>
              </m:r>
            </m:sup>
          </m:sSup>
          <m:r>
            <m:rPr>
              <m:sty m:val="p"/>
            </m:rPr>
            <w:rPr>
              <w:rFonts w:ascii="Cambria Math" w:hAnsi="Cambria Math"/>
            </w:rPr>
            <m:t>(</m:t>
          </m:r>
          <m:r>
            <w:rPr>
              <w:rFonts w:ascii="Cambria Math" w:hAnsi="Cambria Math"/>
            </w:rPr>
            <m:t>uv</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m:oMathPara>
    </w:p>
    <w:p w14:paraId="76B6F465" w14:textId="77777777" w:rsidR="00245A51" w:rsidRDefault="00783234" w:rsidP="00BF17E1">
      <w:pPr>
        <w:spacing w:after="240"/>
        <w:jc w:val="both"/>
      </w:pPr>
      <w:r>
        <w:t xml:space="preserve">is well defined for all </w:t>
      </w:r>
      <m:oMath>
        <m:r>
          <w:rPr>
            <w:rFonts w:ascii="Cambria Math" w:hAnsi="Cambria Math"/>
          </w:rPr>
          <m:t>uv</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w:t>
      </w:r>
    </w:p>
    <w:p w14:paraId="63CAC1F2" w14:textId="77777777" w:rsidR="00990C50" w:rsidRPr="00245A51" w:rsidRDefault="00CE6844" w:rsidP="00245A51">
      <w:pPr>
        <w:jc w:val="both"/>
        <w:rPr>
          <w:b/>
        </w:rPr>
      </w:pPr>
      <w:bookmarkStart w:id="3" w:name="finite-topologies-and-tiasl"/>
      <w:bookmarkEnd w:id="2"/>
      <w:r>
        <w:rPr>
          <w:b/>
        </w:rPr>
        <w:t xml:space="preserve">2.2 </w:t>
      </w:r>
      <w:r w:rsidR="00783234" w:rsidRPr="00245A51">
        <w:rPr>
          <w:b/>
        </w:rPr>
        <w:t>Finite Topologies and TIASL</w:t>
      </w:r>
    </w:p>
    <w:p w14:paraId="747F5979" w14:textId="77777777" w:rsidR="00990C50" w:rsidRDefault="00783234" w:rsidP="00245A51">
      <w:pPr>
        <w:jc w:val="both"/>
      </w:pPr>
      <w:r>
        <w:rPr>
          <w:b/>
          <w:bCs/>
        </w:rPr>
        <w:t xml:space="preserve">Definition </w:t>
      </w:r>
      <w:r w:rsidR="00CE6844">
        <w:rPr>
          <w:b/>
          <w:bCs/>
        </w:rPr>
        <w:t>2.2.1</w:t>
      </w:r>
      <w:r>
        <w:t xml:space="preserve">.  A collection </w:t>
      </w:r>
      <m:oMath>
        <m:r>
          <w:rPr>
            <w:rFonts w:ascii="Cambria Math" w:hAnsi="Cambria Math"/>
          </w:rPr>
          <m:t>τ</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is called a </w:t>
      </w:r>
      <w:r>
        <w:rPr>
          <w:i/>
          <w:iCs/>
        </w:rPr>
        <w:t>topology</w:t>
      </w:r>
      <w:r>
        <w:t xml:space="preserve"> on </w:t>
      </w:r>
      <m:oMath>
        <m:r>
          <w:rPr>
            <w:rFonts w:ascii="Cambria Math" w:hAnsi="Cambria Math"/>
          </w:rPr>
          <m:t>S</m:t>
        </m:r>
      </m:oMath>
      <w:r>
        <w:t xml:space="preserve"> if:</w:t>
      </w:r>
    </w:p>
    <w:p w14:paraId="54985AC3" w14:textId="77777777" w:rsidR="00990C50" w:rsidRDefault="00783234" w:rsidP="00245A51">
      <w:pPr>
        <w:numPr>
          <w:ilvl w:val="0"/>
          <w:numId w:val="32"/>
        </w:numPr>
        <w:jc w:val="both"/>
      </w:pP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oMath>
      <w:r>
        <w:t>;</w:t>
      </w:r>
    </w:p>
    <w:p w14:paraId="73DEC294" w14:textId="77777777" w:rsidR="00990C50" w:rsidRDefault="00783234" w:rsidP="00245A51">
      <w:pPr>
        <w:numPr>
          <w:ilvl w:val="0"/>
          <w:numId w:val="32"/>
        </w:numPr>
        <w:jc w:val="both"/>
      </w:pPr>
      <w:r>
        <w:t xml:space="preserve">the union of any subcollection of </w:t>
      </w:r>
      <m:oMath>
        <m:r>
          <w:rPr>
            <w:rFonts w:ascii="Cambria Math" w:hAnsi="Cambria Math"/>
          </w:rPr>
          <m:t>τ</m:t>
        </m:r>
      </m:oMath>
      <w:r>
        <w:t xml:space="preserve"> belongs to </w:t>
      </w:r>
      <m:oMath>
        <m:r>
          <w:rPr>
            <w:rFonts w:ascii="Cambria Math" w:hAnsi="Cambria Math"/>
          </w:rPr>
          <m:t>τ</m:t>
        </m:r>
      </m:oMath>
      <w:r>
        <w:t>;</w:t>
      </w:r>
    </w:p>
    <w:p w14:paraId="43DB9C81" w14:textId="77777777" w:rsidR="00990C50" w:rsidRDefault="00783234" w:rsidP="00245A51">
      <w:pPr>
        <w:numPr>
          <w:ilvl w:val="0"/>
          <w:numId w:val="32"/>
        </w:numPr>
        <w:jc w:val="both"/>
      </w:pPr>
      <w:r>
        <w:t xml:space="preserve">the intersection of any finite subcollection of </w:t>
      </w:r>
      <m:oMath>
        <m:r>
          <w:rPr>
            <w:rFonts w:ascii="Cambria Math" w:hAnsi="Cambria Math"/>
          </w:rPr>
          <m:t>τ</m:t>
        </m:r>
      </m:oMath>
      <w:r>
        <w:t xml:space="preserve"> belongs to </w:t>
      </w:r>
      <m:oMath>
        <m:r>
          <w:rPr>
            <w:rFonts w:ascii="Cambria Math" w:hAnsi="Cambria Math"/>
          </w:rPr>
          <m:t>τ</m:t>
        </m:r>
      </m:oMath>
      <w:r>
        <w:t>.</w:t>
      </w:r>
    </w:p>
    <w:p w14:paraId="5B0FDAB3" w14:textId="77777777" w:rsidR="00245A51" w:rsidRDefault="00783234" w:rsidP="00BF17E1">
      <w:pPr>
        <w:spacing w:after="240"/>
        <w:jc w:val="both"/>
      </w:pPr>
      <w:r>
        <w:lastRenderedPageBreak/>
        <w:t xml:space="preserve">The pair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 xml:space="preserve"> is called a </w:t>
      </w:r>
      <w:r>
        <w:rPr>
          <w:i/>
          <w:iCs/>
        </w:rPr>
        <w:t>finite topological space</w:t>
      </w:r>
      <w:r>
        <w:t>.</w:t>
      </w:r>
    </w:p>
    <w:p w14:paraId="0A45FD11" w14:textId="77777777" w:rsidR="00990C50" w:rsidRDefault="00783234" w:rsidP="00245A51">
      <w:pPr>
        <w:jc w:val="both"/>
      </w:pPr>
      <w:r>
        <w:rPr>
          <w:b/>
          <w:bCs/>
        </w:rPr>
        <w:t xml:space="preserve">Definition </w:t>
      </w:r>
      <w:r w:rsidR="00CE6844">
        <w:rPr>
          <w:b/>
          <w:bCs/>
        </w:rPr>
        <w:t>2.2.2</w:t>
      </w:r>
      <w:r>
        <w:t xml:space="preserve">.  A </w:t>
      </w:r>
      <w:r>
        <w:rPr>
          <w:i/>
          <w:iCs/>
        </w:rPr>
        <w:t>topological integer additive set-labeling</w:t>
      </w:r>
      <w:r>
        <w:t xml:space="preserve"> (TIASL) of a graph </w:t>
      </w:r>
      <m:oMath>
        <m:r>
          <w:rPr>
            <w:rFonts w:ascii="Cambria Math" w:hAnsi="Cambria Math"/>
          </w:rPr>
          <m:t>G</m:t>
        </m:r>
      </m:oMath>
      <w:r>
        <w:t xml:space="preserve"> is an integer additive set-labeling</w:t>
      </w:r>
    </w:p>
    <w:p w14:paraId="3A0A2834"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m:oMathPara>
    </w:p>
    <w:p w14:paraId="32B5211E" w14:textId="77777777" w:rsidR="00990C50" w:rsidRDefault="00783234" w:rsidP="00245A51">
      <w:pPr>
        <w:jc w:val="both"/>
      </w:pPr>
      <w:r>
        <w:t>such that</w:t>
      </w:r>
    </w:p>
    <w:p w14:paraId="69C447A6"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m:oMathPara>
    </w:p>
    <w:p w14:paraId="29FD9DA6" w14:textId="77777777" w:rsidR="00245A51" w:rsidRDefault="00783234" w:rsidP="00BF17E1">
      <w:pPr>
        <w:spacing w:after="240"/>
        <w:jc w:val="both"/>
      </w:pPr>
      <w:r>
        <w:t xml:space="preserve">forms a topology </w:t>
      </w:r>
      <m:oMath>
        <m:r>
          <w:rPr>
            <w:rFonts w:ascii="Cambria Math" w:hAnsi="Cambria Math"/>
          </w:rPr>
          <m:t>τ</m:t>
        </m:r>
      </m:oMath>
      <w:r>
        <w:t xml:space="preserve"> on </w:t>
      </w:r>
      <m:oMath>
        <m:r>
          <w:rPr>
            <w:rFonts w:ascii="Cambria Math" w:hAnsi="Cambria Math"/>
          </w:rPr>
          <m:t>S</m:t>
        </m:r>
      </m:oMath>
      <w:r>
        <w:t>.</w:t>
      </w:r>
    </w:p>
    <w:p w14:paraId="0195A3D4" w14:textId="77777777" w:rsidR="00245A51" w:rsidRDefault="00783234" w:rsidP="00BF17E1">
      <w:pPr>
        <w:spacing w:after="240"/>
        <w:jc w:val="both"/>
      </w:pPr>
      <w:r>
        <w:t xml:space="preserve">A graph admitting a TIASL is called a </w:t>
      </w:r>
      <w:r>
        <w:rPr>
          <w:i/>
          <w:iCs/>
        </w:rPr>
        <w:t>TIASL graph</w:t>
      </w:r>
      <w:r>
        <w:t xml:space="preserve">. When a TIASL is defined with respect to a ground set </w:t>
      </w:r>
      <m:oMath>
        <m:r>
          <w:rPr>
            <w:rFonts w:ascii="Cambria Math" w:hAnsi="Cambria Math"/>
          </w:rPr>
          <m:t>S</m:t>
        </m:r>
      </m:oMath>
      <w:r>
        <w:t xml:space="preserve"> and a topology </w:t>
      </w:r>
      <m:oMath>
        <m:r>
          <w:rPr>
            <w:rFonts w:ascii="Cambria Math" w:hAnsi="Cambria Math"/>
          </w:rPr>
          <m:t>τ</m:t>
        </m:r>
      </m:oMath>
      <w:r>
        <w:t xml:space="preserve">, we denote the labeling structure by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w:t>
      </w:r>
    </w:p>
    <w:p w14:paraId="64BAAA2B" w14:textId="77777777" w:rsidR="00990C50" w:rsidRPr="00245A51" w:rsidRDefault="00CE6844" w:rsidP="00245A51">
      <w:pPr>
        <w:jc w:val="both"/>
        <w:rPr>
          <w:b/>
        </w:rPr>
      </w:pPr>
      <w:bookmarkStart w:id="4" w:name="known-characterization-results"/>
      <w:bookmarkEnd w:id="3"/>
      <w:r>
        <w:rPr>
          <w:b/>
        </w:rPr>
        <w:t xml:space="preserve">2.3 </w:t>
      </w:r>
      <w:r w:rsidR="00783234" w:rsidRPr="00245A51">
        <w:rPr>
          <w:b/>
        </w:rPr>
        <w:t>Known Characterization Results</w:t>
      </w:r>
    </w:p>
    <w:p w14:paraId="681F2FA0" w14:textId="77777777" w:rsidR="00245A51" w:rsidRDefault="00783234" w:rsidP="00BF17E1">
      <w:pPr>
        <w:spacing w:after="240"/>
        <w:jc w:val="both"/>
      </w:pPr>
      <w:r>
        <w:t>The basic structural properties of TIASL graphs were e</w:t>
      </w:r>
      <w:r w:rsidR="00FE0DC2">
        <w:t>stablished in</w:t>
      </w:r>
      <w:r w:rsidR="00245A51">
        <w:t xml:space="preserve"> </w:t>
      </w:r>
      <w:r w:rsidR="00FE0DC2">
        <w:t>(Sudev, Germina, 2015)</w:t>
      </w:r>
      <w:r>
        <w:t>. We recall the following results, which will be used throughout the paper.</w:t>
      </w:r>
      <w:bookmarkStart w:id="5" w:name="thm:SG-existence"/>
    </w:p>
    <w:p w14:paraId="0F730A09" w14:textId="77777777" w:rsidR="0022060C" w:rsidRDefault="00783234" w:rsidP="00BF17E1">
      <w:pPr>
        <w:spacing w:after="240"/>
        <w:jc w:val="both"/>
        <w:rPr>
          <w:i/>
          <w:iCs/>
        </w:rPr>
      </w:pPr>
      <w:bookmarkStart w:id="6" w:name="thm:SG-zero"/>
      <w:bookmarkEnd w:id="5"/>
      <w:r>
        <w:rPr>
          <w:b/>
          <w:bCs/>
        </w:rPr>
        <w:t xml:space="preserve">Theorem </w:t>
      </w:r>
      <w:r w:rsidR="00CE6844">
        <w:rPr>
          <w:b/>
          <w:bCs/>
        </w:rPr>
        <w:t>2.3.1</w:t>
      </w:r>
      <w:r w:rsidR="00FE0DC2">
        <w:t xml:space="preserve"> (Sudev, </w:t>
      </w:r>
      <w:r w:rsidR="00245A51">
        <w:t>Germina</w:t>
      </w:r>
      <w:r w:rsidR="00FE0DC2">
        <w:t>, 2015</w:t>
      </w:r>
      <w:r>
        <w:t xml:space="preserve">).  </w:t>
      </w:r>
      <w:r>
        <w:rPr>
          <w:i/>
          <w:iCs/>
        </w:rPr>
        <w:t xml:space="preserve">In any TIASL graph, there exists a unique vertex whose label is </w:t>
      </w:r>
      <m:oMath>
        <m:r>
          <m:rPr>
            <m:sty m:val="p"/>
          </m:rPr>
          <w:rPr>
            <w:rFonts w:ascii="Cambria Math" w:hAnsi="Cambria Math"/>
          </w:rPr>
          <m:t>{</m:t>
        </m:r>
        <m:r>
          <w:rPr>
            <w:rFonts w:ascii="Cambria Math" w:hAnsi="Cambria Math"/>
          </w:rPr>
          <m:t>0</m:t>
        </m:r>
        <m:r>
          <m:rPr>
            <m:sty m:val="p"/>
          </m:rPr>
          <w:rPr>
            <w:rFonts w:ascii="Cambria Math" w:hAnsi="Cambria Math"/>
          </w:rPr>
          <m:t>}</m:t>
        </m:r>
      </m:oMath>
      <w:r>
        <w:rPr>
          <w:i/>
          <w:iCs/>
        </w:rPr>
        <w:t>.</w:t>
      </w:r>
      <w:bookmarkStart w:id="7" w:name="thm:SG-pendant"/>
      <w:bookmarkEnd w:id="6"/>
    </w:p>
    <w:p w14:paraId="4B54A6E1" w14:textId="77777777" w:rsidR="0022060C" w:rsidRDefault="0022060C" w:rsidP="00BF17E1">
      <w:pPr>
        <w:spacing w:after="240"/>
        <w:jc w:val="both"/>
        <w:rPr>
          <w:i/>
          <w:iCs/>
        </w:rPr>
      </w:pPr>
      <w:r>
        <w:rPr>
          <w:b/>
          <w:bCs/>
        </w:rPr>
        <w:t xml:space="preserve">Theorem </w:t>
      </w:r>
      <w:r w:rsidR="00CE6844">
        <w:rPr>
          <w:b/>
          <w:bCs/>
        </w:rPr>
        <w:t>2.3.2</w:t>
      </w:r>
      <w:r>
        <w:t xml:space="preserve"> </w:t>
      </w:r>
      <w:r w:rsidR="00FE0DC2">
        <w:t>(Sudev, Germina, 2015)</w:t>
      </w:r>
      <w:r>
        <w:t xml:space="preserve">.  </w:t>
      </w:r>
      <w:r>
        <w:rPr>
          <w:i/>
          <w:iCs/>
        </w:rPr>
        <w:t xml:space="preserve">A finite connected graph </w:t>
      </w:r>
      <m:oMath>
        <m:r>
          <w:rPr>
            <w:rFonts w:ascii="Cambria Math" w:hAnsi="Cambria Math"/>
          </w:rPr>
          <m:t>G</m:t>
        </m:r>
      </m:oMath>
      <w:r>
        <w:rPr>
          <w:i/>
          <w:iCs/>
        </w:rPr>
        <w:t xml:space="preserve"> admits a TIASL if and only if it contains a pendant vertex.</w:t>
      </w:r>
    </w:p>
    <w:p w14:paraId="0992D4A4" w14:textId="77777777" w:rsidR="0022060C" w:rsidRPr="0022060C" w:rsidRDefault="0022060C" w:rsidP="0022060C">
      <w:pPr>
        <w:jc w:val="both"/>
        <w:rPr>
          <w:i/>
          <w:iCs/>
          <w:lang w:val="en-IN"/>
        </w:rPr>
      </w:pPr>
      <w:r>
        <w:rPr>
          <w:b/>
          <w:bCs/>
        </w:rPr>
        <w:t xml:space="preserve">Theorem </w:t>
      </w:r>
      <w:r w:rsidR="00CE6844">
        <w:rPr>
          <w:b/>
          <w:bCs/>
        </w:rPr>
        <w:t>2.3.3</w:t>
      </w:r>
      <w:r>
        <w:t xml:space="preserve"> </w:t>
      </w:r>
      <w:r w:rsidR="00FE0DC2">
        <w:t>(Sudev, Germina, 2015)</w:t>
      </w:r>
      <w:r>
        <w:t xml:space="preserve">.  </w:t>
      </w:r>
      <w:r w:rsidRPr="0022060C">
        <w:rPr>
          <w:i/>
          <w:iCs/>
          <w:lang w:val="en-IN"/>
        </w:rPr>
        <w:t xml:space="preserve">Let </w:t>
      </w:r>
      <m:oMath>
        <m:r>
          <w:rPr>
            <w:rFonts w:ascii="Cambria Math" w:hAnsi="Cambria Math"/>
          </w:rPr>
          <m:t>τ</m:t>
        </m:r>
      </m:oMath>
      <w:r w:rsidRPr="0022060C">
        <w:rPr>
          <w:i/>
          <w:iCs/>
          <w:lang w:val="en-IN"/>
        </w:rPr>
        <w:t xml:space="preserve"> be a given topology of the ground set </w:t>
      </w:r>
      <m:oMath>
        <m:r>
          <w:rPr>
            <w:rFonts w:ascii="Cambria Math" w:hAnsi="Cambria Math"/>
            <w:lang w:val="en-IN"/>
          </w:rPr>
          <m:t>X</m:t>
        </m:r>
      </m:oMath>
      <w:r w:rsidRPr="0022060C">
        <w:rPr>
          <w:i/>
          <w:iCs/>
          <w:lang w:val="en-IN"/>
        </w:rPr>
        <w:t>. Then,</w:t>
      </w:r>
    </w:p>
    <w:p w14:paraId="60F45551" w14:textId="77777777" w:rsidR="0022060C" w:rsidRPr="0022060C" w:rsidRDefault="0022060C" w:rsidP="0022060C">
      <w:pPr>
        <w:jc w:val="both"/>
        <w:rPr>
          <w:i/>
          <w:iCs/>
          <w:lang w:val="en-IN"/>
        </w:rPr>
      </w:pPr>
      <w:r w:rsidRPr="0022060C">
        <w:rPr>
          <w:i/>
          <w:iCs/>
          <w:lang w:val="en-IN"/>
        </w:rPr>
        <w:t>(</w:t>
      </w:r>
      <w:proofErr w:type="spellStart"/>
      <w:r w:rsidRPr="0022060C">
        <w:rPr>
          <w:i/>
          <w:iCs/>
          <w:lang w:val="en-IN"/>
        </w:rPr>
        <w:t>i</w:t>
      </w:r>
      <w:proofErr w:type="spellEnd"/>
      <w:r w:rsidRPr="0022060C">
        <w:rPr>
          <w:i/>
          <w:iCs/>
          <w:lang w:val="en-IN"/>
        </w:rPr>
        <w:t>) the minimum number of pendant edges incident on a particular vertex of a TIASL-graph</w:t>
      </w:r>
    </w:p>
    <w:p w14:paraId="1879F80B" w14:textId="77777777" w:rsidR="0022060C" w:rsidRPr="0022060C" w:rsidRDefault="0022060C" w:rsidP="0022060C">
      <w:pPr>
        <w:jc w:val="both"/>
        <w:rPr>
          <w:i/>
          <w:iCs/>
          <w:lang w:val="en-IN"/>
        </w:rPr>
      </w:pPr>
      <w:r w:rsidRPr="0022060C">
        <w:rPr>
          <w:i/>
          <w:iCs/>
          <w:lang w:val="en-IN"/>
        </w:rPr>
        <w:t xml:space="preserve">is equal to the number of f-open sets in </w:t>
      </w:r>
      <m:oMath>
        <m:r>
          <w:rPr>
            <w:rFonts w:ascii="Cambria Math" w:hAnsi="Cambria Math"/>
            <w:lang w:val="en-IN"/>
          </w:rPr>
          <m:t>f(V(G))</m:t>
        </m:r>
      </m:oMath>
      <w:r w:rsidRPr="0022060C">
        <w:rPr>
          <w:i/>
          <w:iCs/>
          <w:lang w:val="en-IN"/>
        </w:rPr>
        <w:t xml:space="preserve"> containing the maximal element of the</w:t>
      </w:r>
    </w:p>
    <w:p w14:paraId="1A2D7BE4" w14:textId="77777777" w:rsidR="0022060C" w:rsidRPr="0022060C" w:rsidRDefault="0022060C" w:rsidP="0022060C">
      <w:pPr>
        <w:jc w:val="both"/>
        <w:rPr>
          <w:i/>
          <w:iCs/>
          <w:lang w:val="en-IN"/>
        </w:rPr>
      </w:pPr>
      <w:r w:rsidRPr="0022060C">
        <w:rPr>
          <w:i/>
          <w:iCs/>
          <w:lang w:val="en-IN"/>
        </w:rPr>
        <w:t xml:space="preserve">ground set </w:t>
      </w:r>
      <m:oMath>
        <m:r>
          <w:rPr>
            <w:rFonts w:ascii="Cambria Math" w:hAnsi="Cambria Math"/>
            <w:lang w:val="en-IN"/>
          </w:rPr>
          <m:t>X</m:t>
        </m:r>
      </m:oMath>
      <w:r>
        <w:rPr>
          <w:i/>
          <w:iCs/>
          <w:lang w:val="en-IN"/>
        </w:rPr>
        <w:t>.</w:t>
      </w:r>
    </w:p>
    <w:p w14:paraId="5DF68EA7" w14:textId="77777777" w:rsidR="00245A51" w:rsidRPr="00BF17E1" w:rsidRDefault="0022060C" w:rsidP="00BF17E1">
      <w:pPr>
        <w:spacing w:after="240"/>
        <w:jc w:val="both"/>
        <w:rPr>
          <w:i/>
          <w:iCs/>
        </w:rPr>
      </w:pPr>
      <w:r w:rsidRPr="0022060C">
        <w:rPr>
          <w:i/>
          <w:iCs/>
          <w:lang w:val="en-IN"/>
        </w:rPr>
        <w:t xml:space="preserve">(ii) the minimum number of pendant vertices of a TIASL-graph </w:t>
      </w:r>
      <m:oMath>
        <m:r>
          <w:rPr>
            <w:rFonts w:ascii="Cambria Math" w:hAnsi="Cambria Math"/>
            <w:lang w:val="en-IN"/>
          </w:rPr>
          <m:t>G</m:t>
        </m:r>
      </m:oMath>
      <w:r w:rsidRPr="0022060C">
        <w:rPr>
          <w:i/>
          <w:iCs/>
          <w:lang w:val="en-IN"/>
        </w:rPr>
        <w:t xml:space="preserve"> is the number of </w:t>
      </w:r>
      <m:oMath>
        <m:r>
          <w:rPr>
            <w:rFonts w:ascii="Cambria Math" w:hAnsi="Cambria Math"/>
            <w:lang w:val="en-IN"/>
          </w:rPr>
          <m:t>f</m:t>
        </m:r>
      </m:oMath>
      <w:r w:rsidRPr="0022060C">
        <w:rPr>
          <w:i/>
          <w:iCs/>
          <w:lang w:val="en-IN"/>
        </w:rPr>
        <w:t>-open sets</w:t>
      </w:r>
      <w:r>
        <w:rPr>
          <w:i/>
          <w:iCs/>
          <w:lang w:val="en-IN"/>
        </w:rPr>
        <w:t xml:space="preserve"> </w:t>
      </w:r>
      <w:r w:rsidRPr="0022060C">
        <w:rPr>
          <w:i/>
          <w:iCs/>
          <w:lang w:val="en-IN"/>
        </w:rPr>
        <w:t xml:space="preserve">in </w:t>
      </w:r>
      <m:oMath>
        <m:r>
          <w:rPr>
            <w:rFonts w:ascii="Cambria Math" w:hAnsi="Cambria Math"/>
          </w:rPr>
          <m:t>τ</m:t>
        </m:r>
      </m:oMath>
      <w:r w:rsidRPr="0022060C">
        <w:rPr>
          <w:i/>
          <w:iCs/>
          <w:lang w:val="en-IN"/>
        </w:rPr>
        <w:t xml:space="preserve">, each of which is the non-trivial summand of at most one </w:t>
      </w:r>
      <m:oMath>
        <m:r>
          <w:rPr>
            <w:rFonts w:ascii="Cambria Math" w:hAnsi="Cambria Math"/>
            <w:lang w:val="en-IN"/>
          </w:rPr>
          <m:t>f</m:t>
        </m:r>
      </m:oMath>
      <w:r w:rsidRPr="0022060C">
        <w:rPr>
          <w:i/>
          <w:iCs/>
          <w:lang w:val="en-IN"/>
        </w:rPr>
        <w:t xml:space="preserve">-open set in </w:t>
      </w:r>
      <m:oMath>
        <m:r>
          <w:rPr>
            <w:rFonts w:ascii="Cambria Math" w:hAnsi="Cambria Math"/>
          </w:rPr>
          <m:t>τ</m:t>
        </m:r>
      </m:oMath>
      <w:r w:rsidRPr="0022060C">
        <w:rPr>
          <w:i/>
          <w:iCs/>
          <w:lang w:val="en-IN"/>
        </w:rPr>
        <w:t xml:space="preserve"> .</w:t>
      </w:r>
    </w:p>
    <w:bookmarkEnd w:id="7"/>
    <w:p w14:paraId="56CB78AE" w14:textId="77777777" w:rsidR="00245A51" w:rsidRDefault="00783234" w:rsidP="00BF17E1">
      <w:pPr>
        <w:spacing w:after="240"/>
        <w:jc w:val="both"/>
      </w:pPr>
      <w:r>
        <w:t>Additional structu</w:t>
      </w:r>
      <w:r w:rsidR="00245A51">
        <w:t>ral consequences established in</w:t>
      </w:r>
      <w:r w:rsidR="008C1502">
        <w:t xml:space="preserve"> </w:t>
      </w:r>
      <w:r w:rsidR="00FE0DC2">
        <w:t>(Sudev, Germina, 2015)</w:t>
      </w:r>
      <w:r>
        <w:t>, such as the role of non-trivial summands and restrictions on adjacency, will be used implicitly wherever required.</w:t>
      </w:r>
    </w:p>
    <w:p w14:paraId="56E18726" w14:textId="77777777" w:rsidR="00990C50" w:rsidRPr="00245A51" w:rsidRDefault="00CE6844" w:rsidP="00245A51">
      <w:pPr>
        <w:jc w:val="both"/>
        <w:rPr>
          <w:b/>
        </w:rPr>
      </w:pPr>
      <w:bookmarkStart w:id="8" w:name="topological-set-indexing-number"/>
      <w:bookmarkEnd w:id="4"/>
      <w:r>
        <w:rPr>
          <w:b/>
        </w:rPr>
        <w:t xml:space="preserve">2.4 </w:t>
      </w:r>
      <w:r w:rsidR="00783234" w:rsidRPr="00245A51">
        <w:rPr>
          <w:b/>
        </w:rPr>
        <w:t>Topological Set-Indexing Number</w:t>
      </w:r>
    </w:p>
    <w:p w14:paraId="250A91C6" w14:textId="77777777" w:rsidR="00245A51" w:rsidRDefault="00783234" w:rsidP="00BF17E1">
      <w:pPr>
        <w:spacing w:after="240"/>
        <w:jc w:val="both"/>
      </w:pPr>
      <w:r>
        <w:t>The follow</w:t>
      </w:r>
      <w:r w:rsidR="00245A51">
        <w:t>ing invariant was introduced in</w:t>
      </w:r>
      <w:r w:rsidR="00FD3238">
        <w:t xml:space="preserve"> </w:t>
      </w:r>
      <w:r w:rsidR="00FE0DC2">
        <w:t>(Sudev, Germina, 2015)</w:t>
      </w:r>
      <w:r>
        <w:t>.</w:t>
      </w:r>
    </w:p>
    <w:p w14:paraId="21873206" w14:textId="77777777" w:rsidR="00245A51" w:rsidRDefault="00783234" w:rsidP="00BF17E1">
      <w:pPr>
        <w:spacing w:after="240"/>
        <w:jc w:val="both"/>
      </w:pPr>
      <w:r>
        <w:rPr>
          <w:b/>
          <w:bCs/>
        </w:rPr>
        <w:t xml:space="preserve">Definition </w:t>
      </w:r>
      <w:r w:rsidR="00CE6844">
        <w:rPr>
          <w:b/>
          <w:bCs/>
        </w:rPr>
        <w:t>2.4.1</w:t>
      </w:r>
      <w:r>
        <w:t xml:space="preserve">.  The </w:t>
      </w:r>
      <w:r>
        <w:rPr>
          <w:i/>
          <w:iCs/>
        </w:rPr>
        <w:t>topological set-indexing number</w:t>
      </w:r>
      <w:r>
        <w:t xml:space="preserve"> of a TIASL graph </w:t>
      </w:r>
      <m:oMath>
        <m:r>
          <w:rPr>
            <w:rFonts w:ascii="Cambria Math" w:hAnsi="Cambria Math"/>
          </w:rPr>
          <m:t>G</m:t>
        </m:r>
      </m:oMath>
      <w:r>
        <w:t xml:space="preserve">, denoted by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is the minimum cardinality of a ground set </w:t>
      </w:r>
      <m:oMath>
        <m:r>
          <w:rPr>
            <w:rFonts w:ascii="Cambria Math" w:hAnsi="Cambria Math"/>
          </w:rPr>
          <m:t>S</m:t>
        </m:r>
      </m:oMath>
      <w:r>
        <w:t xml:space="preserve"> such that </w:t>
      </w:r>
      <m:oMath>
        <m:r>
          <w:rPr>
            <w:rFonts w:ascii="Cambria Math" w:hAnsi="Cambria Math"/>
          </w:rPr>
          <m:t>G</m:t>
        </m:r>
      </m:oMath>
      <w:r>
        <w:t xml:space="preserve"> admits a TIASL with respect to some topology on </w:t>
      </w:r>
      <m:oMath>
        <m:r>
          <w:rPr>
            <w:rFonts w:ascii="Cambria Math" w:hAnsi="Cambria Math"/>
          </w:rPr>
          <m:t>S</m:t>
        </m:r>
      </m:oMath>
      <w:r>
        <w:t>.</w:t>
      </w:r>
    </w:p>
    <w:p w14:paraId="5A96C288" w14:textId="77777777" w:rsidR="00990C50" w:rsidRDefault="00783234" w:rsidP="00245A51">
      <w:pPr>
        <w:jc w:val="both"/>
      </w:pPr>
      <w:r>
        <w:t>This invariant will be studied further in later sections, where we derive exact formula to calculate the index of any given TIASL graph.</w:t>
      </w:r>
    </w:p>
    <w:p w14:paraId="64B1B7A4" w14:textId="77777777" w:rsidR="00990C50" w:rsidRDefault="00CE6844" w:rsidP="00245A51">
      <w:pPr>
        <w:pStyle w:val="Heading1"/>
        <w:jc w:val="both"/>
      </w:pPr>
      <w:bookmarkStart w:id="9" w:name="embedding-of-graphs-into-tiasl-graphs"/>
      <w:bookmarkEnd w:id="1"/>
      <w:bookmarkEnd w:id="8"/>
      <w:r>
        <w:t xml:space="preserve">3 </w:t>
      </w:r>
      <w:r w:rsidR="00783234">
        <w:t>Embedding of Graphs into TIASL Graphs</w:t>
      </w:r>
    </w:p>
    <w:p w14:paraId="10DEFF6C" w14:textId="77777777" w:rsidR="00245A51" w:rsidRDefault="00783234" w:rsidP="00F97581">
      <w:pPr>
        <w:spacing w:after="240"/>
        <w:jc w:val="both"/>
      </w:pPr>
      <w:r>
        <w:t>In this section, we establish a fundamental universality property of the class of topological integer additive set-labeled graphs. Although TIASL graphs are known to satisfy strong structural constraints, we show that every finite connected graph can be realized as a subgraph of a connected TIASL graph.</w:t>
      </w:r>
    </w:p>
    <w:p w14:paraId="55F99AD7" w14:textId="77777777" w:rsidR="00990C50" w:rsidRDefault="00783234" w:rsidP="00245A51">
      <w:pPr>
        <w:jc w:val="both"/>
      </w:pPr>
      <w:r>
        <w:t>Throughout this section, all graphs are finite, simple, undirected, and connected.</w:t>
      </w:r>
    </w:p>
    <w:p w14:paraId="63B60451" w14:textId="77777777" w:rsidR="00245A51" w:rsidRDefault="00783234" w:rsidP="00CF505E">
      <w:pPr>
        <w:spacing w:after="240"/>
        <w:jc w:val="both"/>
      </w:pPr>
      <w:r>
        <w:t>We begin with the principal result of this section.</w:t>
      </w:r>
    </w:p>
    <w:p w14:paraId="58D08BF0" w14:textId="77777777" w:rsidR="00245A51" w:rsidRPr="00CF505E" w:rsidRDefault="00CE6844" w:rsidP="00CF505E">
      <w:pPr>
        <w:spacing w:after="240"/>
        <w:jc w:val="both"/>
        <w:rPr>
          <w:i/>
          <w:iCs/>
        </w:rPr>
      </w:pPr>
      <w:bookmarkStart w:id="10" w:name="thm:embedding"/>
      <w:r>
        <w:rPr>
          <w:b/>
          <w:bCs/>
        </w:rPr>
        <w:lastRenderedPageBreak/>
        <w:t>Theorem 3.1</w:t>
      </w:r>
      <w:r w:rsidR="00783234">
        <w:t xml:space="preserve">.  </w:t>
      </w:r>
      <w:r w:rsidR="00783234">
        <w:rPr>
          <w:i/>
          <w:iCs/>
        </w:rPr>
        <w:t xml:space="preserve">Every finite connected graph </w:t>
      </w:r>
      <m:oMath>
        <m:r>
          <w:rPr>
            <w:rFonts w:ascii="Cambria Math" w:hAnsi="Cambria Math"/>
          </w:rPr>
          <m:t>G</m:t>
        </m:r>
      </m:oMath>
      <w:r w:rsidR="00783234">
        <w:rPr>
          <w:i/>
          <w:iCs/>
        </w:rPr>
        <w:t xml:space="preserve"> can be embedded as a subgraph of a connected TIASL graph.</w:t>
      </w:r>
    </w:p>
    <w:bookmarkEnd w:id="10"/>
    <w:p w14:paraId="53956156" w14:textId="77777777" w:rsidR="00245A51" w:rsidRDefault="00783234" w:rsidP="00245A51">
      <w:pPr>
        <w:jc w:val="both"/>
      </w:pPr>
      <w:r>
        <w:rPr>
          <w:i/>
          <w:iCs/>
        </w:rPr>
        <w:t>Proof.</w:t>
      </w:r>
      <w:r>
        <w:t xml:space="preserve"> Let </w:t>
      </w:r>
      <m:oMath>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be a finite connected graph with </w:t>
      </w: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n</m:t>
        </m:r>
      </m:oMath>
      <w:r>
        <w:t xml:space="preserve">. We construct a graph </w:t>
      </w:r>
      <m:oMath>
        <m:r>
          <w:rPr>
            <w:rFonts w:ascii="Cambria Math" w:hAnsi="Cambria Math"/>
          </w:rPr>
          <m:t>H</m:t>
        </m:r>
      </m:oMath>
      <w:r>
        <w:t xml:space="preserve"> containing </w:t>
      </w:r>
      <m:oMath>
        <m:r>
          <w:rPr>
            <w:rFonts w:ascii="Cambria Math" w:hAnsi="Cambria Math"/>
          </w:rPr>
          <m:t>G</m:t>
        </m:r>
      </m:oMath>
      <w:r>
        <w:t xml:space="preserve"> as a subgraph such that </w:t>
      </w:r>
      <m:oMath>
        <m:r>
          <w:rPr>
            <w:rFonts w:ascii="Cambria Math" w:hAnsi="Cambria Math"/>
          </w:rPr>
          <m:t>H</m:t>
        </m:r>
      </m:oMath>
      <w:r>
        <w:t xml:space="preserve"> admits a TIASL.</w:t>
      </w:r>
    </w:p>
    <w:p w14:paraId="24C3F058" w14:textId="77777777" w:rsidR="00990C50" w:rsidRDefault="00783234" w:rsidP="00245A51">
      <w:pPr>
        <w:jc w:val="both"/>
      </w:pPr>
      <w:r>
        <w:t xml:space="preserve">Let </w:t>
      </w:r>
      <m:oMath>
        <m:r>
          <w:rPr>
            <w:rFonts w:ascii="Cambria Math" w:hAnsi="Cambria Math"/>
          </w:rPr>
          <m:t>S</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and define a collection</w:t>
      </w:r>
    </w:p>
    <w:p w14:paraId="0BE81A1E" w14:textId="77777777" w:rsidR="00990C50" w:rsidRDefault="00783234" w:rsidP="00245A51">
      <w:pPr>
        <w:jc w:val="both"/>
      </w:pPr>
      <m:oMathPara>
        <m:oMathParaPr>
          <m:jc m:val="center"/>
        </m:oMathParaPr>
        <m:oMath>
          <m:r>
            <w:rPr>
              <w:rFonts w:ascii="Cambria Math" w:hAnsi="Cambria Math"/>
            </w:rPr>
            <m:t>τ</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r>
            <m:rPr>
              <m:sty m:val="p"/>
            </m:rPr>
            <w:rPr>
              <w:rFonts w:ascii="Cambria Math" w:hAnsi="Cambria Math"/>
            </w:rPr>
            <m:t>}}.</m:t>
          </m:r>
        </m:oMath>
      </m:oMathPara>
    </w:p>
    <w:p w14:paraId="623EA293" w14:textId="77777777" w:rsidR="00990C50" w:rsidRDefault="00783234" w:rsidP="00245A51">
      <w:pPr>
        <w:jc w:val="both"/>
      </w:pPr>
      <w:r>
        <w:t xml:space="preserve">It is easy to verify that </w:t>
      </w:r>
      <m:oMath>
        <m:r>
          <w:rPr>
            <w:rFonts w:ascii="Cambria Math" w:hAnsi="Cambria Math"/>
          </w:rPr>
          <m:t>τ</m:t>
        </m:r>
      </m:oMath>
      <w:r>
        <w:t xml:space="preserve"> is a topology on </w:t>
      </w:r>
      <m:oMath>
        <m:r>
          <w:rPr>
            <w:rFonts w:ascii="Cambria Math" w:hAnsi="Cambria Math"/>
          </w:rPr>
          <m:t>S</m:t>
        </m:r>
      </m:oMath>
      <w:r>
        <w:t>.</w:t>
      </w:r>
    </w:p>
    <w:p w14:paraId="17EFCBA7" w14:textId="77777777" w:rsidR="00990C50" w:rsidRDefault="00783234" w:rsidP="00245A51">
      <w:pPr>
        <w:jc w:val="both"/>
      </w:pPr>
      <w:r>
        <w:t xml:space="preserve">Add a new vertex </w:t>
      </w:r>
      <m:oMath>
        <m:r>
          <w:rPr>
            <w:rFonts w:ascii="Cambria Math" w:hAnsi="Cambria Math"/>
          </w:rPr>
          <m:t>z</m:t>
        </m:r>
      </m:oMath>
      <w:r>
        <w:t xml:space="preserve"> to </w:t>
      </w:r>
      <m:oMath>
        <m:r>
          <w:rPr>
            <w:rFonts w:ascii="Cambria Math" w:hAnsi="Cambria Math"/>
          </w:rPr>
          <m:t>G</m:t>
        </m:r>
      </m:oMath>
      <w:r>
        <w:t xml:space="preserve"> and join </w:t>
      </w:r>
      <m:oMath>
        <m:r>
          <w:rPr>
            <w:rFonts w:ascii="Cambria Math" w:hAnsi="Cambria Math"/>
          </w:rPr>
          <m:t>z</m:t>
        </m:r>
      </m:oMath>
      <w:r>
        <w:t xml:space="preserve"> to every vertex of </w:t>
      </w:r>
      <m:oMath>
        <m:r>
          <w:rPr>
            <w:rFonts w:ascii="Cambria Math" w:hAnsi="Cambria Math"/>
          </w:rPr>
          <m:t>G</m:t>
        </m:r>
      </m:oMath>
      <w:r>
        <w:t xml:space="preserve">. Denote the resulting graph by </w:t>
      </w:r>
      <m:oMath>
        <m:r>
          <w:rPr>
            <w:rFonts w:ascii="Cambria Math" w:hAnsi="Cambria Math"/>
          </w:rPr>
          <m:t>H</m:t>
        </m:r>
      </m:oMath>
      <w:r>
        <w:t xml:space="preserve">. Clearly, </w:t>
      </w:r>
      <m:oMath>
        <m:r>
          <w:rPr>
            <w:rFonts w:ascii="Cambria Math" w:hAnsi="Cambria Math"/>
          </w:rPr>
          <m:t>H</m:t>
        </m:r>
      </m:oMath>
      <w:r>
        <w:t xml:space="preserve"> is connected and contains </w:t>
      </w:r>
      <m:oMath>
        <m:r>
          <w:rPr>
            <w:rFonts w:ascii="Cambria Math" w:hAnsi="Cambria Math"/>
          </w:rPr>
          <m:t>G</m:t>
        </m:r>
      </m:oMath>
      <w:r>
        <w:t xml:space="preserve"> as an induced subgraph.</w:t>
      </w:r>
    </w:p>
    <w:p w14:paraId="65648EDF" w14:textId="77777777" w:rsidR="00990C50" w:rsidRDefault="00783234" w:rsidP="00245A51">
      <w:pPr>
        <w:jc w:val="both"/>
      </w:pPr>
      <w:r>
        <w:t xml:space="preserve">Define a vertex labeling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H</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by assigning</w:t>
      </w:r>
    </w:p>
    <w:p w14:paraId="5DC9EC9B"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0</m:t>
          </m:r>
          <m:r>
            <m:rPr>
              <m:sty m:val="p"/>
            </m:rPr>
            <w:rPr>
              <w:rFonts w:ascii="Cambria Math" w:hAnsi="Cambria Math"/>
            </w:rPr>
            <m:t>},</m:t>
          </m:r>
        </m:oMath>
      </m:oMathPara>
    </w:p>
    <w:p w14:paraId="2686F038" w14:textId="77777777" w:rsidR="00990C50" w:rsidRDefault="00783234" w:rsidP="00245A51">
      <w:pPr>
        <w:jc w:val="both"/>
      </w:pPr>
      <w:r>
        <w:t xml:space="preserve">and assigning to the vertices of </w:t>
      </w:r>
      <m:oMath>
        <m:r>
          <w:rPr>
            <w:rFonts w:ascii="Cambria Math" w:hAnsi="Cambria Math"/>
          </w:rPr>
          <m:t>G</m:t>
        </m:r>
      </m:oMath>
      <w:r>
        <w:t xml:space="preserve"> the distinct non-empty open sets</w:t>
      </w:r>
    </w:p>
    <w:p w14:paraId="21BA5C21" w14:textId="77777777" w:rsidR="00990C50" w:rsidRDefault="00783234" w:rsidP="00245A51">
      <w:pPr>
        <w:jc w:val="both"/>
      </w:pPr>
      <m:oMathPara>
        <m:oMathParaPr>
          <m:jc m:val="center"/>
        </m:oMathParaP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r>
            <m:rPr>
              <m:sty m:val="p"/>
            </m:rPr>
            <w:rPr>
              <w:rFonts w:ascii="Cambria Math" w:hAnsi="Cambria Math"/>
            </w:rPr>
            <m:t>}.</m:t>
          </m:r>
        </m:oMath>
      </m:oMathPara>
    </w:p>
    <w:p w14:paraId="056D11EB" w14:textId="77777777" w:rsidR="00990C50" w:rsidRDefault="00783234" w:rsidP="00245A51">
      <w:pPr>
        <w:jc w:val="both"/>
      </w:pPr>
      <w:r>
        <w:t xml:space="preserve">Since these labels are distinct, </w:t>
      </w:r>
      <m:oMath>
        <m:r>
          <w:rPr>
            <w:rFonts w:ascii="Cambria Math" w:hAnsi="Cambria Math"/>
          </w:rPr>
          <m:t>ψ</m:t>
        </m:r>
      </m:oMath>
      <w:r>
        <w:t xml:space="preserve"> is injective. Moreover,</w:t>
      </w:r>
    </w:p>
    <w:p w14:paraId="44551320"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τ</m:t>
          </m:r>
          <m:r>
            <m:rPr>
              <m:sty m:val="p"/>
            </m:rPr>
            <w:rPr>
              <w:rFonts w:ascii="Cambria Math" w:hAnsi="Cambria Math"/>
            </w:rPr>
            <m:t>,</m:t>
          </m:r>
        </m:oMath>
      </m:oMathPara>
    </w:p>
    <w:p w14:paraId="0ECB99A8" w14:textId="77777777" w:rsidR="00990C50" w:rsidRDefault="00783234" w:rsidP="00245A51">
      <w:pPr>
        <w:jc w:val="both"/>
      </w:pPr>
      <w:r>
        <w:t xml:space="preserve">so the vertex labels induce the topology </w:t>
      </w:r>
      <m:oMath>
        <m:r>
          <w:rPr>
            <w:rFonts w:ascii="Cambria Math" w:hAnsi="Cambria Math"/>
          </w:rPr>
          <m:t>τ</m:t>
        </m:r>
      </m:oMath>
      <w:r>
        <w:t xml:space="preserve"> on </w:t>
      </w:r>
      <m:oMath>
        <m:r>
          <w:rPr>
            <w:rFonts w:ascii="Cambria Math" w:hAnsi="Cambria Math"/>
          </w:rPr>
          <m:t>S</m:t>
        </m:r>
      </m:oMath>
      <w:r>
        <w:t>.</w:t>
      </w:r>
    </w:p>
    <w:p w14:paraId="33D26C24" w14:textId="77777777" w:rsidR="00990C50" w:rsidRDefault="00783234" w:rsidP="00245A51">
      <w:pPr>
        <w:jc w:val="both"/>
      </w:pPr>
      <w:r>
        <w:t xml:space="preserve">Now consider any edge of </w:t>
      </w:r>
      <m:oMath>
        <m:r>
          <w:rPr>
            <w:rFonts w:ascii="Cambria Math" w:hAnsi="Cambria Math"/>
          </w:rPr>
          <m:t>H</m:t>
        </m:r>
      </m:oMath>
      <w:r>
        <w:t xml:space="preserve">. If the edge is incident with </w:t>
      </w:r>
      <m:oMath>
        <m:r>
          <w:rPr>
            <w:rFonts w:ascii="Cambria Math" w:hAnsi="Cambria Math"/>
          </w:rPr>
          <m:t>z</m:t>
        </m:r>
      </m:oMath>
      <w:r>
        <w:t xml:space="preserve">, say </w:t>
      </w:r>
      <m:oMath>
        <m:r>
          <w:rPr>
            <w:rFonts w:ascii="Cambria Math" w:hAnsi="Cambria Math"/>
          </w:rPr>
          <m:t>zu</m:t>
        </m:r>
      </m:oMath>
      <w:r>
        <w:t>, then</w:t>
      </w:r>
    </w:p>
    <w:p w14:paraId="2A8B7E11"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oMath>
      </m:oMathPara>
    </w:p>
    <w:p w14:paraId="4470159C" w14:textId="77777777" w:rsidR="00990C50" w:rsidRDefault="00783234" w:rsidP="00245A51">
      <w:pPr>
        <w:jc w:val="both"/>
      </w:pPr>
      <w:r>
        <w:t xml:space="preserve">If the edge belongs to </w:t>
      </w:r>
      <m:oMath>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then both endpoints have labels containing </w:t>
      </w:r>
      <m:oMath>
        <m:r>
          <w:rPr>
            <w:rFonts w:ascii="Cambria Math" w:hAnsi="Cambria Math"/>
          </w:rPr>
          <m:t>0</m:t>
        </m:r>
      </m:oMath>
      <w:r>
        <w:t xml:space="preserve">, and their sumset is a subset of </w:t>
      </w:r>
      <m:oMath>
        <m:r>
          <w:rPr>
            <w:rFonts w:ascii="Cambria Math" w:hAnsi="Cambria Math"/>
          </w:rPr>
          <m:t>S</m:t>
        </m:r>
      </m:oMath>
      <w:r>
        <w:t xml:space="preserve"> by construction. Hence, every induced edge label is a valid sumset contained in </w:t>
      </w:r>
      <m:oMath>
        <m:r>
          <w:rPr>
            <w:rFonts w:ascii="Cambria Math" w:hAnsi="Cambria Math"/>
          </w:rPr>
          <m:t>S</m:t>
        </m:r>
      </m:oMath>
      <w:r>
        <w:t>.</w:t>
      </w:r>
    </w:p>
    <w:p w14:paraId="1AF9EDCC" w14:textId="77777777" w:rsidR="00245A51" w:rsidRDefault="00783234" w:rsidP="00CF505E">
      <w:pPr>
        <w:spacing w:after="240"/>
        <w:jc w:val="both"/>
      </w:pPr>
      <w:r>
        <w:t xml:space="preserve">Therefore, </w:t>
      </w:r>
      <m:oMath>
        <m:r>
          <w:rPr>
            <w:rFonts w:ascii="Cambria Math" w:hAnsi="Cambria Math"/>
          </w:rPr>
          <m:t>ψ</m:t>
        </m:r>
      </m:oMath>
      <w:r>
        <w:t xml:space="preserve"> defines a TIASL of </w:t>
      </w:r>
      <m:oMath>
        <m:r>
          <w:rPr>
            <w:rFonts w:ascii="Cambria Math" w:hAnsi="Cambria Math"/>
          </w:rPr>
          <m:t>H</m:t>
        </m:r>
      </m:oMath>
      <w:r>
        <w:t xml:space="preserve">, and </w:t>
      </w:r>
      <m:oMath>
        <m:r>
          <w:rPr>
            <w:rFonts w:ascii="Cambria Math" w:hAnsi="Cambria Math"/>
          </w:rPr>
          <m:t>G</m:t>
        </m:r>
      </m:oMath>
      <w:r>
        <w:t xml:space="preserve"> is embedded as a subgraph of a connected TIASL graph. ◻</w:t>
      </w:r>
    </w:p>
    <w:p w14:paraId="012462B6" w14:textId="77777777" w:rsidR="00990C50" w:rsidRDefault="00783234" w:rsidP="00245A51">
      <w:pPr>
        <w:jc w:val="both"/>
      </w:pPr>
      <w:r>
        <w:t>The embedding theorem immediately yields the following corollary.</w:t>
      </w:r>
    </w:p>
    <w:p w14:paraId="6BEB8B0C" w14:textId="77777777" w:rsidR="00245A51" w:rsidRPr="00CF505E" w:rsidRDefault="00CE6844" w:rsidP="00CF505E">
      <w:pPr>
        <w:spacing w:after="240"/>
        <w:jc w:val="both"/>
        <w:rPr>
          <w:i/>
          <w:iCs/>
        </w:rPr>
      </w:pPr>
      <w:r>
        <w:rPr>
          <w:b/>
          <w:bCs/>
        </w:rPr>
        <w:t>Corollary 3.1</w:t>
      </w:r>
      <w:r w:rsidR="00783234">
        <w:t xml:space="preserve">.  </w:t>
      </w:r>
      <w:r w:rsidR="00783234">
        <w:rPr>
          <w:i/>
          <w:iCs/>
        </w:rPr>
        <w:t>The class of TIASL graphs is universal with respect to finite connected graphs.</w:t>
      </w:r>
    </w:p>
    <w:p w14:paraId="46424EA3" w14:textId="77777777" w:rsidR="00245A51" w:rsidRDefault="00783234" w:rsidP="00CF505E">
      <w:pPr>
        <w:spacing w:after="240"/>
        <w:jc w:val="both"/>
      </w:pPr>
      <w:r>
        <w:rPr>
          <w:i/>
          <w:iCs/>
        </w:rPr>
        <w:t>Remark 12</w:t>
      </w:r>
      <w:r>
        <w:t>.  Theorem </w:t>
      </w:r>
      <w:hyperlink w:anchor="thm:embedding">
        <w:r w:rsidR="00CE6844">
          <w:rPr>
            <w:rStyle w:val="Hyperlink"/>
          </w:rPr>
          <w:t>3.1</w:t>
        </w:r>
      </w:hyperlink>
      <w:r>
        <w:t xml:space="preserve"> shows that, although TIASL graphs exhibit rigid local structure such as the presence of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necessary pendant vertices the class is globally flexible. Any finite connected graph can be realized within a TIASL graph by adjoining a single suitably labeled vertex.</w:t>
      </w:r>
    </w:p>
    <w:p w14:paraId="78CF8B38" w14:textId="77777777" w:rsidR="00990C50" w:rsidRDefault="00783234" w:rsidP="00245A51">
      <w:pPr>
        <w:jc w:val="both"/>
      </w:pPr>
      <w:r>
        <w:t>This embedding result plays a key role in the subsequent analysis of TIASL under graph operations and in the study of the topological set-indexing number.</w:t>
      </w:r>
    </w:p>
    <w:p w14:paraId="4D1CD289" w14:textId="77777777" w:rsidR="00990C50" w:rsidRDefault="00CE6844" w:rsidP="00245A51">
      <w:pPr>
        <w:pStyle w:val="Heading1"/>
        <w:jc w:val="both"/>
      </w:pPr>
      <w:bookmarkStart w:id="11" w:name="tiasl-under-graph-operations"/>
      <w:bookmarkEnd w:id="9"/>
      <w:r>
        <w:t xml:space="preserve">4 </w:t>
      </w:r>
      <w:r w:rsidR="00783234">
        <w:t>TIASL under Graph Operations</w:t>
      </w:r>
    </w:p>
    <w:p w14:paraId="65C5C0E3" w14:textId="77777777" w:rsidR="00245A51" w:rsidRDefault="00783234" w:rsidP="00CF505E">
      <w:pPr>
        <w:spacing w:after="240"/>
        <w:jc w:val="both"/>
      </w:pPr>
      <w:r>
        <w:t xml:space="preserve">In this section, we investigate the behavior of topological integer additive set-labeling under standard graph operations. Since TIASL graphs are structurally constrained, it is natural to ask whether these constraints are preserved when graphs are combined or modified via classical operations. We show that TIASL is generally </w:t>
      </w:r>
      <w:r>
        <w:rPr>
          <w:i/>
          <w:iCs/>
        </w:rPr>
        <w:t>not</w:t>
      </w:r>
      <w:r>
        <w:t xml:space="preserve"> closed under most graph operations, but can be preserved under carefully controlled conditions.</w:t>
      </w:r>
    </w:p>
    <w:p w14:paraId="6E85AC9D" w14:textId="77777777" w:rsidR="00245A51" w:rsidRDefault="00783234" w:rsidP="00CF505E">
      <w:pPr>
        <w:spacing w:after="240"/>
        <w:jc w:val="both"/>
      </w:pPr>
      <w:r>
        <w:t xml:space="preserve">Throughout this section,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 xml:space="preserve"> denotes a TIASL graph with labeling </w:t>
      </w:r>
      <m:oMath>
        <m:r>
          <w:rPr>
            <w:rFonts w:ascii="Cambria Math" w:hAnsi="Cambria Math"/>
          </w:rPr>
          <m:t>ψ</m:t>
        </m:r>
      </m:oMath>
      <w:r>
        <w:t>, and all graphs are assumed to be finite, simple, and connected unless stated otherwise.</w:t>
      </w:r>
    </w:p>
    <w:p w14:paraId="193BEF4F" w14:textId="77777777" w:rsidR="00990C50" w:rsidRDefault="00783234" w:rsidP="00245A51">
      <w:pPr>
        <w:jc w:val="both"/>
      </w:pPr>
      <w:r>
        <w:t>We first consider the union of TIASL graphs.</w:t>
      </w:r>
    </w:p>
    <w:p w14:paraId="2B586F4F" w14:textId="77777777" w:rsidR="00990C50" w:rsidRDefault="00783234" w:rsidP="00245A51">
      <w:pPr>
        <w:jc w:val="both"/>
      </w:pPr>
      <w:r>
        <w:rPr>
          <w:b/>
          <w:bCs/>
        </w:rPr>
        <w:t xml:space="preserve">Theorem </w:t>
      </w:r>
      <w:r w:rsidR="00CE6844">
        <w:rPr>
          <w:b/>
          <w:bCs/>
        </w:rPr>
        <w:t>4.1</w:t>
      </w:r>
      <w:r>
        <w:t xml:space="preserve">.  </w:t>
      </w:r>
      <w:r>
        <w:rPr>
          <w:i/>
          <w:iCs/>
        </w:rPr>
        <w:t>The class of TIASL graphs is not closed under disjoint union.</w:t>
      </w:r>
    </w:p>
    <w:p w14:paraId="7AB2F9B8" w14:textId="77777777" w:rsidR="00245A51" w:rsidRDefault="00783234" w:rsidP="00CF505E">
      <w:pPr>
        <w:spacing w:after="240"/>
        <w:jc w:val="both"/>
      </w:pPr>
      <w:r>
        <w:rPr>
          <w:i/>
          <w:iCs/>
        </w:rPr>
        <w:t>Proof.</w:t>
      </w:r>
      <w:r>
        <w:t xml:space="preserve"> Every TIASL graph contains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Hence, the disjoint union of two non-trivial TIASL graphs contains two distinct vertices with the same label, violating injectivity. ◻</w:t>
      </w:r>
    </w:p>
    <w:p w14:paraId="205B4EEB" w14:textId="77777777" w:rsidR="00D25C62" w:rsidRDefault="00D25C62" w:rsidP="00D25C62">
      <w:pPr>
        <w:jc w:val="both"/>
      </w:pPr>
      <w:bookmarkStart w:id="12" w:name="thm:join"/>
      <w:r>
        <w:lastRenderedPageBreak/>
        <w:t xml:space="preserve">We now consider the join of two </w:t>
      </w:r>
      <w:r w:rsidRPr="00D25C62">
        <w:rPr>
          <w:highlight w:val="yellow"/>
        </w:rPr>
        <w:t>graphs</w:t>
      </w:r>
      <w:r>
        <w:t>.</w:t>
      </w:r>
    </w:p>
    <w:p w14:paraId="3DED06A0" w14:textId="4033DABD" w:rsidR="00245A51" w:rsidRPr="00CF505E" w:rsidRDefault="00CE6844" w:rsidP="00CF505E">
      <w:pPr>
        <w:spacing w:after="240"/>
        <w:jc w:val="both"/>
        <w:rPr>
          <w:i/>
          <w:iCs/>
        </w:rPr>
      </w:pPr>
      <w:r>
        <w:rPr>
          <w:b/>
          <w:bCs/>
        </w:rPr>
        <w:t>Theorem 4.2</w:t>
      </w:r>
      <w:r w:rsidR="00783234">
        <w:t xml:space="preserve">.  </w:t>
      </w:r>
      <w:r w:rsidR="00783234">
        <w:rPr>
          <w:i/>
          <w:iCs/>
        </w:rPr>
        <w:t xml:space="preserve">Let </w:t>
      </w:r>
      <m:oMath>
        <m:sSub>
          <m:sSubPr>
            <m:ctrlPr>
              <w:rPr>
                <w:rFonts w:ascii="Cambria Math" w:hAnsi="Cambria Math"/>
              </w:rPr>
            </m:ctrlPr>
          </m:sSubPr>
          <m:e>
            <m:r>
              <w:rPr>
                <w:rFonts w:ascii="Cambria Math" w:hAnsi="Cambria Math"/>
              </w:rPr>
              <m:t>G</m:t>
            </m:r>
          </m:e>
          <m:sub>
            <m:r>
              <w:rPr>
                <w:rFonts w:ascii="Cambria Math" w:hAnsi="Cambria Math"/>
              </w:rPr>
              <m:t>1</m:t>
            </m:r>
          </m:sub>
        </m:sSub>
      </m:oMath>
      <w:r w:rsidR="00783234">
        <w:rPr>
          <w:i/>
          <w:iCs/>
        </w:rP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rsidR="00783234">
        <w:rPr>
          <w:i/>
          <w:iCs/>
        </w:rPr>
        <w:t xml:space="preserve"> be two non-trivial TIASL graphs. Then the join </w:t>
      </w:r>
      <m:oMath>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rsidR="00783234">
        <w:rPr>
          <w:i/>
          <w:iCs/>
        </w:rPr>
        <w:t xml:space="preserve"> does not admit a TIASL.</w:t>
      </w:r>
    </w:p>
    <w:bookmarkEnd w:id="12"/>
    <w:p w14:paraId="4923F29A" w14:textId="77777777" w:rsidR="00990C50" w:rsidRDefault="00783234" w:rsidP="00245A51">
      <w:pPr>
        <w:jc w:val="both"/>
      </w:pPr>
      <w:r>
        <w:rPr>
          <w:i/>
          <w:iCs/>
        </w:rPr>
        <w:t>Proof.</w:t>
      </w:r>
      <w:r>
        <w:t xml:space="preserve"> In the join </w:t>
      </w:r>
      <m:oMath>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every vertex of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is adjacent to every vertex of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In a TIASL graph, adjacency is highly restricted: except for the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vertices can be adjacent only when their labels form valid summands whose sumset lies in </w:t>
      </w:r>
      <m:oMath>
        <m:r>
          <w:rPr>
            <w:rFonts w:ascii="Cambria Math" w:hAnsi="Cambria Math"/>
          </w:rPr>
          <m:t>S</m:t>
        </m:r>
      </m:oMath>
      <w:r>
        <w:t>.</w:t>
      </w:r>
    </w:p>
    <w:p w14:paraId="031EECEB" w14:textId="77777777" w:rsidR="00245A51" w:rsidRDefault="00783234" w:rsidP="00CF505E">
      <w:pPr>
        <w:spacing w:after="240"/>
        <w:jc w:val="both"/>
      </w:pPr>
      <w:r>
        <w:t xml:space="preserve">Since both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contain vertices labeled by non-trivial open sets, there exist vertices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t xml:space="preserve"> and </w:t>
      </w:r>
      <m:oMath>
        <m:r>
          <w:rPr>
            <w:rFonts w:ascii="Cambria Math" w:hAnsi="Cambria Math"/>
          </w:rPr>
          <m:t>v</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t xml:space="preserve"> whose labels are not compatible summands. The edge </w:t>
      </w:r>
      <m:oMath>
        <m:r>
          <w:rPr>
            <w:rFonts w:ascii="Cambria Math" w:hAnsi="Cambria Math"/>
          </w:rPr>
          <m:t>uv</m:t>
        </m:r>
      </m:oMath>
      <w:r>
        <w:t xml:space="preserve"> in the join forces </w:t>
      </w:r>
      <m:oMath>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to lie in </w:t>
      </w:r>
      <m:oMath>
        <m:r>
          <w:rPr>
            <w:rFonts w:ascii="Cambria Math" w:hAnsi="Cambria Math"/>
          </w:rPr>
          <m:t>S</m:t>
        </m:r>
      </m:oMath>
      <w:r>
        <w:t>, which is impossible. Hence, the join does not admit a TIASL. ◻</w:t>
      </w:r>
    </w:p>
    <w:p w14:paraId="5473A738" w14:textId="77777777" w:rsidR="00990C50" w:rsidRDefault="00783234" w:rsidP="00245A51">
      <w:pPr>
        <w:jc w:val="both"/>
      </w:pPr>
      <w:r>
        <w:t>We now consider the Cartesian product of graphs.</w:t>
      </w:r>
    </w:p>
    <w:p w14:paraId="73E303DB" w14:textId="77777777" w:rsidR="00245A51" w:rsidRPr="00CF505E" w:rsidRDefault="00CE6844" w:rsidP="00CF505E">
      <w:pPr>
        <w:spacing w:after="240"/>
        <w:jc w:val="both"/>
        <w:rPr>
          <w:i/>
          <w:iCs/>
        </w:rPr>
      </w:pPr>
      <w:bookmarkStart w:id="13" w:name="thm:cartesian"/>
      <w:r>
        <w:rPr>
          <w:b/>
          <w:bCs/>
        </w:rPr>
        <w:t>Theorem 4.3</w:t>
      </w:r>
      <w:r w:rsidR="00783234">
        <w:t xml:space="preserve">.  </w:t>
      </w:r>
      <w:r w:rsidR="00783234">
        <w:rPr>
          <w:i/>
          <w:iCs/>
        </w:rPr>
        <w:t xml:space="preserve">Let </w:t>
      </w:r>
      <m:oMath>
        <m:r>
          <w:rPr>
            <w:rFonts w:ascii="Cambria Math" w:hAnsi="Cambria Math"/>
          </w:rPr>
          <m:t>G</m:t>
        </m:r>
      </m:oMath>
      <w:r w:rsidR="00783234">
        <w:rPr>
          <w:i/>
          <w:iCs/>
        </w:rPr>
        <w:t xml:space="preserve"> be a non-trivial TIASL graph. Then the Cartesian product </w:t>
      </w:r>
      <m:oMath>
        <m:r>
          <w:rPr>
            <w:rFonts w:ascii="Cambria Math" w:hAnsi="Cambria Math"/>
          </w:rPr>
          <m:t>G</m:t>
        </m:r>
        <m:r>
          <m:rPr>
            <m:sty m:val="p"/>
          </m:rPr>
          <w:rPr>
            <w:rFonts w:ascii="Cambria Math" w:hAnsi="Cambria Math"/>
          </w:rPr>
          <m:t>▫</m:t>
        </m:r>
        <m:r>
          <w:rPr>
            <w:rFonts w:ascii="Cambria Math" w:hAnsi="Cambria Math"/>
          </w:rPr>
          <m:t>G</m:t>
        </m:r>
      </m:oMath>
      <w:r w:rsidR="00783234">
        <w:rPr>
          <w:i/>
          <w:iCs/>
        </w:rPr>
        <w:t xml:space="preserve"> does not admit a TIASL.</w:t>
      </w:r>
    </w:p>
    <w:bookmarkEnd w:id="13"/>
    <w:p w14:paraId="6717EAB5" w14:textId="77777777" w:rsidR="00990C50" w:rsidRDefault="00783234" w:rsidP="00245A51">
      <w:pPr>
        <w:jc w:val="both"/>
      </w:pPr>
      <w:r>
        <w:rPr>
          <w:i/>
          <w:iCs/>
        </w:rPr>
        <w:t>Proof.</w:t>
      </w:r>
      <w:r>
        <w:t xml:space="preserve"> The Cartesian product </w:t>
      </w:r>
      <m:oMath>
        <m:r>
          <w:rPr>
            <w:rFonts w:ascii="Cambria Math" w:hAnsi="Cambria Math"/>
          </w:rPr>
          <m:t>G</m:t>
        </m:r>
        <m:r>
          <m:rPr>
            <m:sty m:val="p"/>
          </m:rPr>
          <w:rPr>
            <w:rFonts w:ascii="Cambria Math" w:hAnsi="Cambria Math"/>
          </w:rPr>
          <m:t>▫</m:t>
        </m:r>
        <m:r>
          <w:rPr>
            <w:rFonts w:ascii="Cambria Math" w:hAnsi="Cambria Math"/>
          </w:rPr>
          <m:t>G</m:t>
        </m:r>
      </m:oMath>
      <w:r>
        <w:t xml:space="preserve"> contains multiple vertices of degree greater than one whose neighborhoods are isomorphic. In particular, there exist vertices whose adjacency patterns force them to behave like non-pendant vertices.</w:t>
      </w:r>
    </w:p>
    <w:p w14:paraId="1B940F3A" w14:textId="77777777" w:rsidR="00245A51" w:rsidRDefault="00783234" w:rsidP="00CF505E">
      <w:pPr>
        <w:spacing w:after="240"/>
        <w:jc w:val="both"/>
      </w:pPr>
      <w:r>
        <w:t xml:space="preserve">However, by the structural characterization of TIASL graphs, all vertices except the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must be pendant or adjacent only to that vertex. Since </w:t>
      </w:r>
      <m:oMath>
        <m:r>
          <w:rPr>
            <w:rFonts w:ascii="Cambria Math" w:hAnsi="Cambria Math"/>
          </w:rPr>
          <m:t>G</m:t>
        </m:r>
        <m:r>
          <m:rPr>
            <m:sty m:val="p"/>
          </m:rPr>
          <w:rPr>
            <w:rFonts w:ascii="Cambria Math" w:hAnsi="Cambria Math"/>
          </w:rPr>
          <m:t>▫</m:t>
        </m:r>
        <m:r>
          <w:rPr>
            <w:rFonts w:ascii="Cambria Math" w:hAnsi="Cambria Math"/>
          </w:rPr>
          <m:t>G</m:t>
        </m:r>
      </m:oMath>
      <w:r>
        <w:t xml:space="preserve"> necessarily contains multiple vertices of degree at least two, it violates the structural constraints required for TIASL. Hence, </w:t>
      </w:r>
      <m:oMath>
        <m:r>
          <w:rPr>
            <w:rFonts w:ascii="Cambria Math" w:hAnsi="Cambria Math"/>
          </w:rPr>
          <m:t>G</m:t>
        </m:r>
        <m:r>
          <m:rPr>
            <m:sty m:val="p"/>
          </m:rPr>
          <w:rPr>
            <w:rFonts w:ascii="Cambria Math" w:hAnsi="Cambria Math"/>
          </w:rPr>
          <m:t>▫</m:t>
        </m:r>
        <m:r>
          <w:rPr>
            <w:rFonts w:ascii="Cambria Math" w:hAnsi="Cambria Math"/>
          </w:rPr>
          <m:t>G</m:t>
        </m:r>
      </m:oMath>
      <w:r>
        <w:t xml:space="preserve"> does not admit a TIASL. ◻</w:t>
      </w:r>
    </w:p>
    <w:p w14:paraId="1A18E603" w14:textId="77777777" w:rsidR="00990C50" w:rsidRDefault="00783234" w:rsidP="00245A51">
      <w:pPr>
        <w:jc w:val="both"/>
      </w:pPr>
      <w:r>
        <w:t>Next we discuss corona of two graphs.</w:t>
      </w:r>
    </w:p>
    <w:p w14:paraId="483CAE92" w14:textId="77777777" w:rsidR="00245A51" w:rsidRPr="00CF505E" w:rsidRDefault="00CE6844" w:rsidP="00CF505E">
      <w:pPr>
        <w:spacing w:after="240"/>
        <w:jc w:val="both"/>
        <w:rPr>
          <w:i/>
          <w:iCs/>
        </w:rPr>
      </w:pPr>
      <w:bookmarkStart w:id="14" w:name="thm:corona"/>
      <w:r>
        <w:rPr>
          <w:b/>
          <w:bCs/>
        </w:rPr>
        <w:t>Theorem 4.4</w:t>
      </w:r>
      <w:r w:rsidR="00783234">
        <w:t xml:space="preserve">.  </w:t>
      </w:r>
      <w:r w:rsidR="00783234">
        <w:rPr>
          <w:i/>
          <w:iCs/>
        </w:rPr>
        <w:t xml:space="preserve">Let </w:t>
      </w:r>
      <m:oMath>
        <m:r>
          <w:rPr>
            <w:rFonts w:ascii="Cambria Math" w:hAnsi="Cambria Math"/>
          </w:rPr>
          <m:t>G</m:t>
        </m:r>
      </m:oMath>
      <w:r w:rsidR="00783234">
        <w:rPr>
          <w:i/>
          <w:iCs/>
        </w:rPr>
        <w:t xml:space="preserve"> be a TIASL graph and let </w:t>
      </w:r>
      <m:oMath>
        <m:r>
          <w:rPr>
            <w:rFonts w:ascii="Cambria Math" w:hAnsi="Cambria Math"/>
          </w:rPr>
          <m:t>H</m:t>
        </m:r>
      </m:oMath>
      <w:r w:rsidR="00783234">
        <w:rPr>
          <w:i/>
          <w:iCs/>
        </w:rPr>
        <w:t xml:space="preserve"> be any graph. Then the corona </w:t>
      </w:r>
      <m:oMath>
        <m:r>
          <w:rPr>
            <w:rFonts w:ascii="Cambria Math" w:hAnsi="Cambria Math"/>
          </w:rPr>
          <m:t>G</m:t>
        </m:r>
        <m:r>
          <m:rPr>
            <m:sty m:val="p"/>
          </m:rPr>
          <w:rPr>
            <w:rFonts w:ascii="Cambria Math" w:hAnsi="Cambria Math"/>
          </w:rPr>
          <m:t>⊙</m:t>
        </m:r>
        <m:r>
          <w:rPr>
            <w:rFonts w:ascii="Cambria Math" w:hAnsi="Cambria Math"/>
          </w:rPr>
          <m:t>H</m:t>
        </m:r>
      </m:oMath>
      <w:r w:rsidR="00783234">
        <w:rPr>
          <w:i/>
          <w:iCs/>
        </w:rPr>
        <w:t xml:space="preserve"> admits a TIASL if and only if </w:t>
      </w:r>
      <m:oMath>
        <m:r>
          <w:rPr>
            <w:rFonts w:ascii="Cambria Math" w:hAnsi="Cambria Math"/>
          </w:rPr>
          <m:t>H</m:t>
        </m:r>
      </m:oMath>
      <w:r w:rsidR="00783234">
        <w:rPr>
          <w:i/>
          <w:iCs/>
        </w:rPr>
        <w:t xml:space="preserve"> is a null graph.</w:t>
      </w:r>
    </w:p>
    <w:bookmarkEnd w:id="14"/>
    <w:p w14:paraId="5B01FAB1" w14:textId="77777777" w:rsidR="00990C50" w:rsidRDefault="00783234" w:rsidP="00245A51">
      <w:pPr>
        <w:jc w:val="both"/>
      </w:pPr>
      <w:r>
        <w:rPr>
          <w:i/>
          <w:iCs/>
        </w:rPr>
        <w:t>Proof.</w:t>
      </w:r>
      <w:r>
        <w:t xml:space="preserve"> In the corona </w:t>
      </w:r>
      <m:oMath>
        <m:r>
          <w:rPr>
            <w:rFonts w:ascii="Cambria Math" w:hAnsi="Cambria Math"/>
          </w:rPr>
          <m:t>G</m:t>
        </m:r>
        <m:r>
          <m:rPr>
            <m:sty m:val="p"/>
          </m:rPr>
          <w:rPr>
            <w:rFonts w:ascii="Cambria Math" w:hAnsi="Cambria Math"/>
          </w:rPr>
          <m:t>⊙</m:t>
        </m:r>
        <m:r>
          <w:rPr>
            <w:rFonts w:ascii="Cambria Math" w:hAnsi="Cambria Math"/>
          </w:rPr>
          <m:t>H</m:t>
        </m:r>
      </m:oMath>
      <w:r>
        <w:t xml:space="preserve">, each vertex of </w:t>
      </w:r>
      <m:oMath>
        <m:r>
          <w:rPr>
            <w:rFonts w:ascii="Cambria Math" w:hAnsi="Cambria Math"/>
          </w:rPr>
          <m:t>G</m:t>
        </m:r>
      </m:oMath>
      <w:r>
        <w:t xml:space="preserve"> is joined to all vertices of a copy of </w:t>
      </w:r>
      <m:oMath>
        <m:r>
          <w:rPr>
            <w:rFonts w:ascii="Cambria Math" w:hAnsi="Cambria Math"/>
          </w:rPr>
          <m:t>H</m:t>
        </m:r>
      </m:oMath>
      <w:r>
        <w:t xml:space="preserve">. Vertices in the copies of </w:t>
      </w:r>
      <m:oMath>
        <m:r>
          <w:rPr>
            <w:rFonts w:ascii="Cambria Math" w:hAnsi="Cambria Math"/>
          </w:rPr>
          <m:t>H</m:t>
        </m:r>
      </m:oMath>
      <w:r>
        <w:t xml:space="preserve"> are adjacent to exactly one vertex of </w:t>
      </w:r>
      <m:oMath>
        <m:r>
          <w:rPr>
            <w:rFonts w:ascii="Cambria Math" w:hAnsi="Cambria Math"/>
          </w:rPr>
          <m:t>G</m:t>
        </m:r>
      </m:oMath>
      <w:r>
        <w:t>.</w:t>
      </w:r>
    </w:p>
    <w:p w14:paraId="75FB4877" w14:textId="77777777" w:rsidR="00990C50" w:rsidRDefault="00783234" w:rsidP="00245A51">
      <w:pPr>
        <w:jc w:val="both"/>
      </w:pPr>
      <w:r>
        <w:t xml:space="preserve">If </w:t>
      </w:r>
      <m:oMath>
        <m:r>
          <w:rPr>
            <w:rFonts w:ascii="Cambria Math" w:hAnsi="Cambria Math"/>
          </w:rPr>
          <m:t>H</m:t>
        </m:r>
      </m:oMath>
      <w:r>
        <w:t xml:space="preserve"> contains an edge, then there exist two vertices in a copy of </w:t>
      </w:r>
      <m:oMath>
        <m:r>
          <w:rPr>
            <w:rFonts w:ascii="Cambria Math" w:hAnsi="Cambria Math"/>
          </w:rPr>
          <m:t>H</m:t>
        </m:r>
      </m:oMath>
      <w:r>
        <w:t xml:space="preserve"> that are adjacent to each other and also adjacent to the same vertex of </w:t>
      </w:r>
      <m:oMath>
        <m:r>
          <w:rPr>
            <w:rFonts w:ascii="Cambria Math" w:hAnsi="Cambria Math"/>
          </w:rPr>
          <m:t>G</m:t>
        </m:r>
      </m:oMath>
      <w:r>
        <w:t>. Their labels must therefore form compatible summands, which contradicts the injectivity and summand restrictions of TIASL.</w:t>
      </w:r>
    </w:p>
    <w:p w14:paraId="4417FA36" w14:textId="77777777" w:rsidR="00245A51" w:rsidRDefault="00783234" w:rsidP="00CF505E">
      <w:pPr>
        <w:spacing w:after="240"/>
        <w:jc w:val="both"/>
      </w:pPr>
      <w:r>
        <w:t xml:space="preserve">Conversely, if </w:t>
      </w:r>
      <m:oMath>
        <m:r>
          <w:rPr>
            <w:rFonts w:ascii="Cambria Math" w:hAnsi="Cambria Math"/>
          </w:rPr>
          <m:t>H</m:t>
        </m:r>
      </m:oMath>
      <w:r>
        <w:t xml:space="preserve"> is a null graph, then each vertex in the copies of </w:t>
      </w:r>
      <m:oMath>
        <m:r>
          <w:rPr>
            <w:rFonts w:ascii="Cambria Math" w:hAnsi="Cambria Math"/>
          </w:rPr>
          <m:t>H</m:t>
        </m:r>
      </m:oMath>
      <w:r>
        <w:t xml:space="preserve"> is pendant. These vertices can be assigned open sets that are not summands with any other open set except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preserving the TIASL structure. Hence, </w:t>
      </w:r>
      <m:oMath>
        <m:r>
          <w:rPr>
            <w:rFonts w:ascii="Cambria Math" w:hAnsi="Cambria Math"/>
          </w:rPr>
          <m:t>G</m:t>
        </m:r>
        <m:r>
          <m:rPr>
            <m:sty m:val="p"/>
          </m:rPr>
          <w:rPr>
            <w:rFonts w:ascii="Cambria Math" w:hAnsi="Cambria Math"/>
          </w:rPr>
          <m:t>⊙</m:t>
        </m:r>
        <m:r>
          <w:rPr>
            <w:rFonts w:ascii="Cambria Math" w:hAnsi="Cambria Math"/>
          </w:rPr>
          <m:t>H</m:t>
        </m:r>
      </m:oMath>
      <w:r>
        <w:t xml:space="preserve"> admits a TIASL. ◻</w:t>
      </w:r>
    </w:p>
    <w:p w14:paraId="66E6C28E" w14:textId="77777777" w:rsidR="00990C50" w:rsidRDefault="00783234" w:rsidP="00245A51">
      <w:pPr>
        <w:jc w:val="both"/>
      </w:pPr>
      <w:r>
        <w:t>Next we consider edge subdivision.</w:t>
      </w:r>
    </w:p>
    <w:p w14:paraId="3DC2B2BA" w14:textId="77777777" w:rsidR="00245A51" w:rsidRPr="00CF505E" w:rsidRDefault="00783234" w:rsidP="00CF505E">
      <w:pPr>
        <w:spacing w:after="240"/>
        <w:jc w:val="both"/>
        <w:rPr>
          <w:i/>
          <w:iCs/>
        </w:rPr>
      </w:pPr>
      <w:bookmarkStart w:id="15" w:name="thm:subdivision"/>
      <w:r>
        <w:rPr>
          <w:b/>
          <w:bCs/>
        </w:rPr>
        <w:t>Theore</w:t>
      </w:r>
      <w:r w:rsidR="00CE6844">
        <w:rPr>
          <w:b/>
          <w:bCs/>
        </w:rPr>
        <w:t>m 4.5</w:t>
      </w:r>
      <w:r>
        <w:t xml:space="preserve">.  </w:t>
      </w:r>
      <w:r>
        <w:rPr>
          <w:i/>
          <w:iCs/>
        </w:rPr>
        <w:t xml:space="preserve">Let </w:t>
      </w:r>
      <m:oMath>
        <m:r>
          <w:rPr>
            <w:rFonts w:ascii="Cambria Math" w:hAnsi="Cambria Math"/>
          </w:rPr>
          <m:t>G</m:t>
        </m:r>
      </m:oMath>
      <w:r>
        <w:rPr>
          <w:i/>
          <w:iCs/>
        </w:rPr>
        <w:t xml:space="preserve"> be a TIASL graph. Then any subdivision of </w:t>
      </w:r>
      <m:oMath>
        <m:r>
          <w:rPr>
            <w:rFonts w:ascii="Cambria Math" w:hAnsi="Cambria Math"/>
          </w:rPr>
          <m:t>G</m:t>
        </m:r>
      </m:oMath>
      <w:r>
        <w:rPr>
          <w:i/>
          <w:iCs/>
        </w:rPr>
        <w:t xml:space="preserve"> obtained by subdividing edges incident to the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rPr>
          <w:i/>
          <w:iCs/>
        </w:rPr>
        <w:t xml:space="preserve"> admits a TIASL.</w:t>
      </w:r>
    </w:p>
    <w:bookmarkEnd w:id="15"/>
    <w:p w14:paraId="714F6E0C" w14:textId="77777777" w:rsidR="00990C50" w:rsidRDefault="00783234" w:rsidP="00245A51">
      <w:pPr>
        <w:jc w:val="both"/>
      </w:pPr>
      <w:r>
        <w:rPr>
          <w:i/>
          <w:iCs/>
        </w:rPr>
        <w:t>Proof.</w:t>
      </w:r>
      <w:r>
        <w:t xml:space="preserve"> Let </w:t>
      </w:r>
      <m:oMath>
        <m:r>
          <w:rPr>
            <w:rFonts w:ascii="Cambria Math" w:hAnsi="Cambria Math"/>
          </w:rPr>
          <m:t>z</m:t>
        </m:r>
      </m:oMath>
      <w:r>
        <w:t xml:space="preserve"> be the vertex of </w:t>
      </w:r>
      <m:oMath>
        <m:r>
          <w:rPr>
            <w:rFonts w:ascii="Cambria Math" w:hAnsi="Cambria Math"/>
          </w:rPr>
          <m:t>G</m:t>
        </m:r>
      </m:oMath>
      <w:r>
        <w:t xml:space="preserve">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Subdividing an edge </w:t>
      </w:r>
      <m:oMath>
        <m:r>
          <w:rPr>
            <w:rFonts w:ascii="Cambria Math" w:hAnsi="Cambria Math"/>
          </w:rPr>
          <m:t>zv</m:t>
        </m:r>
      </m:oMath>
      <w:r>
        <w:t xml:space="preserve"> introduces a new vertex </w:t>
      </w:r>
      <m:oMath>
        <m:r>
          <w:rPr>
            <w:rFonts w:ascii="Cambria Math" w:hAnsi="Cambria Math"/>
          </w:rPr>
          <m:t>u</m:t>
        </m:r>
      </m:oMath>
      <w:r>
        <w:t xml:space="preserve"> of degree two adjacent to </w:t>
      </w:r>
      <m:oMath>
        <m:r>
          <w:rPr>
            <w:rFonts w:ascii="Cambria Math" w:hAnsi="Cambria Math"/>
          </w:rPr>
          <m:t>z</m:t>
        </m:r>
      </m:oMath>
      <w:r>
        <w:t xml:space="preserve"> and </w:t>
      </w:r>
      <m:oMath>
        <m:r>
          <w:rPr>
            <w:rFonts w:ascii="Cambria Math" w:hAnsi="Cambria Math"/>
          </w:rPr>
          <m:t>v</m:t>
        </m:r>
      </m:oMath>
      <w:r>
        <w:t xml:space="preserve">. Assign </w:t>
      </w:r>
      <m:oMath>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w:r>
        <w:t>.</w:t>
      </w:r>
    </w:p>
    <w:p w14:paraId="0F3DB275" w14:textId="77777777" w:rsidR="00990C50" w:rsidRDefault="00783234" w:rsidP="00245A51">
      <w:pPr>
        <w:jc w:val="both"/>
      </w:pPr>
      <w:r>
        <w:t xml:space="preserve">Since </w:t>
      </w:r>
      <m:oMath>
        <m:r>
          <w:rPr>
            <w:rFonts w:ascii="Cambria Math" w:hAnsi="Cambria Math"/>
          </w:rPr>
          <m:t>ψ</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and </w:t>
      </w:r>
      <m:oMath>
        <m:r>
          <w:rPr>
            <w:rFonts w:ascii="Cambria Math" w:hAnsi="Cambria Math"/>
          </w:rPr>
          <m:t>ψ</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2ψ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oMath>
      <w:r>
        <w:t xml:space="preserve"> by suitable choice of </w:t>
      </w:r>
      <m:oMath>
        <m:r>
          <w:rPr>
            <w:rFonts w:ascii="Cambria Math" w:hAnsi="Cambria Math"/>
          </w:rPr>
          <m:t>S</m:t>
        </m:r>
      </m:oMath>
      <w:r>
        <w:t>, the induced labeling remains valid. Injectivity can be preserved by ex</w:t>
      </w:r>
      <w:bookmarkStart w:id="16" w:name="_GoBack"/>
      <w:bookmarkEnd w:id="16"/>
      <w:r>
        <w:t>tending the ground set if necessary. Hence, the subdivided graph admits a TIASL. ◻</w:t>
      </w:r>
    </w:p>
    <w:p w14:paraId="4CF3DBCA" w14:textId="77777777" w:rsidR="00245A51" w:rsidRDefault="00783234" w:rsidP="00CF505E">
      <w:pPr>
        <w:spacing w:after="240"/>
        <w:jc w:val="both"/>
      </w:pPr>
      <w:r>
        <w:t>Finally we consider vertex identification of two graphs. First we recall the definition of a vertex identification as follows.</w:t>
      </w:r>
    </w:p>
    <w:p w14:paraId="4243B172" w14:textId="77777777" w:rsidR="00245A51" w:rsidRDefault="00CE6844" w:rsidP="00CF505E">
      <w:pPr>
        <w:spacing w:after="240"/>
        <w:jc w:val="both"/>
      </w:pPr>
      <w:r>
        <w:rPr>
          <w:b/>
          <w:bCs/>
        </w:rPr>
        <w:t>Definition 4.1</w:t>
      </w:r>
      <w:r w:rsidR="00783234">
        <w:t xml:space="preserve">.  Let </w:t>
      </w:r>
      <m:oMath>
        <m:sSub>
          <m:sSubPr>
            <m:ctrlPr>
              <w:rPr>
                <w:rFonts w:ascii="Cambria Math" w:hAnsi="Cambria Math"/>
              </w:rPr>
            </m:ctrlPr>
          </m:sSubPr>
          <m:e>
            <m:r>
              <w:rPr>
                <w:rFonts w:ascii="Cambria Math" w:hAnsi="Cambria Math"/>
              </w:rPr>
              <m:t>G</m:t>
            </m:r>
          </m:e>
          <m:sub>
            <m:r>
              <w:rPr>
                <w:rFonts w:ascii="Cambria Math" w:hAnsi="Cambria Math"/>
              </w:rPr>
              <m:t>1</m:t>
            </m:r>
          </m:sub>
        </m:sSub>
      </m:oMath>
      <w:r w:rsidR="00783234">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rsidR="00783234">
        <w:t xml:space="preserve"> be two vertex-disjoint graphs, and let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rsidR="00783234">
        <w:t xml:space="preserve"> and </w:t>
      </w:r>
      <m:oMath>
        <m:r>
          <w:rPr>
            <w:rFonts w:ascii="Cambria Math" w:hAnsi="Cambria Math"/>
          </w:rPr>
          <m:t>v</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rsidR="00783234">
        <w:t xml:space="preserve">. The graph obtained by </w:t>
      </w:r>
      <w:r w:rsidR="00783234">
        <w:rPr>
          <w:i/>
          <w:iCs/>
        </w:rPr>
        <w:t>identifying</w:t>
      </w:r>
      <w:r w:rsidR="00783234">
        <w:t xml:space="preserve"> </w:t>
      </w:r>
      <m:oMath>
        <m:r>
          <w:rPr>
            <w:rFonts w:ascii="Cambria Math" w:hAnsi="Cambria Math"/>
          </w:rPr>
          <m:t>u</m:t>
        </m:r>
      </m:oMath>
      <w:r w:rsidR="00783234">
        <w:t xml:space="preserve"> and </w:t>
      </w:r>
      <m:oMath>
        <m:r>
          <w:rPr>
            <w:rFonts w:ascii="Cambria Math" w:hAnsi="Cambria Math"/>
          </w:rPr>
          <m:t>v</m:t>
        </m:r>
      </m:oMath>
      <w:r w:rsidR="00783234">
        <w:t xml:space="preserve">, denoted by </w:t>
      </w:r>
      <m:oMath>
        <m:sSub>
          <m:sSubPr>
            <m:ctrlPr>
              <w:rPr>
                <w:rFonts w:ascii="Cambria Math" w:hAnsi="Cambria Math"/>
              </w:rPr>
            </m:ctrlPr>
          </m:sSubPr>
          <m:e>
            <m:r>
              <w:rPr>
                <w:rFonts w:ascii="Cambria Math" w:hAnsi="Cambria Math"/>
              </w:rPr>
              <m:t>G</m:t>
            </m:r>
          </m:e>
          <m:sub>
            <m:r>
              <w:rPr>
                <w:rFonts w:ascii="Cambria Math" w:hAnsi="Cambria Math"/>
              </w:rPr>
              <m:t>1</m:t>
            </m:r>
          </m:sub>
        </m:sSub>
        <m:sSub>
          <m:sSubPr>
            <m:ctrlPr>
              <w:rPr>
                <w:rFonts w:ascii="Cambria Math" w:hAnsi="Cambria Math"/>
              </w:rPr>
            </m:ctrlPr>
          </m:sSubPr>
          <m:e>
            <m:r>
              <m:rPr>
                <m:sty m:val="p"/>
              </m:rPr>
              <w:rPr>
                <w:rFonts w:ascii="Cambria Math" w:hAnsi="Cambria Math"/>
              </w:rPr>
              <m:t>∨</m:t>
            </m:r>
          </m:e>
          <m:sub>
            <m:r>
              <w:rPr>
                <w:rFonts w:ascii="Cambria Math" w:hAnsi="Cambria Math"/>
              </w:rPr>
              <m:t>u</m:t>
            </m:r>
            <m:r>
              <m:rPr>
                <m:sty m:val="p"/>
              </m:rPr>
              <w:rPr>
                <w:rFonts w:ascii="Cambria Math" w:hAnsi="Cambria Math"/>
              </w:rPr>
              <m:t>=</m:t>
            </m:r>
            <m:r>
              <w:rPr>
                <w:rFonts w:ascii="Cambria Math" w:hAnsi="Cambria Math"/>
              </w:rPr>
              <m:t>v</m:t>
            </m:r>
          </m:sub>
        </m:sSub>
        <m:sSub>
          <m:sSubPr>
            <m:ctrlPr>
              <w:rPr>
                <w:rFonts w:ascii="Cambria Math" w:hAnsi="Cambria Math"/>
              </w:rPr>
            </m:ctrlPr>
          </m:sSubPr>
          <m:e>
            <m:r>
              <w:rPr>
                <w:rFonts w:ascii="Cambria Math" w:hAnsi="Cambria Math"/>
              </w:rPr>
              <m:t>G</m:t>
            </m:r>
          </m:e>
          <m:sub>
            <m:r>
              <w:rPr>
                <w:rFonts w:ascii="Cambria Math" w:hAnsi="Cambria Math"/>
              </w:rPr>
              <m:t>2</m:t>
            </m:r>
          </m:sub>
        </m:sSub>
      </m:oMath>
      <w:r w:rsidR="00783234">
        <w:t xml:space="preserve">, is the graph formed by merging </w:t>
      </w:r>
      <m:oMath>
        <m:r>
          <w:rPr>
            <w:rFonts w:ascii="Cambria Math" w:hAnsi="Cambria Math"/>
          </w:rPr>
          <m:t>u</m:t>
        </m:r>
      </m:oMath>
      <w:r w:rsidR="00783234">
        <w:t xml:space="preserve"> and </w:t>
      </w:r>
      <m:oMath>
        <m:r>
          <w:rPr>
            <w:rFonts w:ascii="Cambria Math" w:hAnsi="Cambria Math"/>
          </w:rPr>
          <m:t>v</m:t>
        </m:r>
      </m:oMath>
      <w:r w:rsidR="00783234">
        <w:t xml:space="preserve"> into a single vertex and preserving all adjacencies.</w:t>
      </w:r>
    </w:p>
    <w:p w14:paraId="39FB2CD2" w14:textId="77777777" w:rsidR="00990C50" w:rsidRDefault="00CE6844" w:rsidP="00245A51">
      <w:pPr>
        <w:jc w:val="both"/>
      </w:pPr>
      <w:bookmarkStart w:id="17" w:name="thm:vertex-identification"/>
      <w:r>
        <w:rPr>
          <w:b/>
          <w:bCs/>
        </w:rPr>
        <w:lastRenderedPageBreak/>
        <w:t>Theorem 4.6</w:t>
      </w:r>
      <w:r w:rsidR="00783234">
        <w:t xml:space="preserve">.  </w:t>
      </w:r>
      <w:r w:rsidR="00783234">
        <w:rPr>
          <w:i/>
          <w:iCs/>
        </w:rPr>
        <w:t xml:space="preserve">Let </w:t>
      </w:r>
      <m:oMath>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1</m:t>
            </m:r>
          </m:sub>
        </m:sSub>
        <m:r>
          <m:rPr>
            <m:sty m:val="p"/>
          </m:rPr>
          <w:rPr>
            <w:rFonts w:ascii="Cambria Math" w:hAnsi="Cambria Math"/>
          </w:rPr>
          <m:t>)</m:t>
        </m:r>
      </m:oMath>
      <w:r w:rsidR="00783234">
        <w:rPr>
          <w:i/>
          <w:iCs/>
        </w:rPr>
        <w:t xml:space="preserve"> and </w:t>
      </w:r>
      <m:oMath>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2</m:t>
            </m:r>
          </m:sub>
        </m:sSub>
        <m:r>
          <m:rPr>
            <m:sty m:val="p"/>
          </m:rPr>
          <w:rPr>
            <w:rFonts w:ascii="Cambria Math" w:hAnsi="Cambria Math"/>
          </w:rPr>
          <m:t>)</m:t>
        </m:r>
      </m:oMath>
      <w:r w:rsidR="00783234">
        <w:rPr>
          <w:i/>
          <w:iCs/>
        </w:rPr>
        <w:t xml:space="preserve"> be two non-trivial TIASL graphs with respect to the same ground set </w:t>
      </w:r>
      <m:oMath>
        <m:r>
          <w:rPr>
            <w:rFonts w:ascii="Cambria Math" w:hAnsi="Cambria Math"/>
          </w:rPr>
          <m:t>S</m:t>
        </m:r>
      </m:oMath>
      <w:r w:rsidR="00783234">
        <w:rPr>
          <w:i/>
          <w:iCs/>
        </w:rPr>
        <w:t xml:space="preserve"> and topology </w:t>
      </w:r>
      <m:oMath>
        <m:r>
          <w:rPr>
            <w:rFonts w:ascii="Cambria Math" w:hAnsi="Cambria Math"/>
          </w:rPr>
          <m:t>τ</m:t>
        </m:r>
      </m:oMath>
      <w:r w:rsidR="00783234">
        <w:rPr>
          <w:i/>
          <w:iCs/>
        </w:rPr>
        <w:t xml:space="preserve">. Let </w:t>
      </w: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rsidR="00783234">
        <w:rPr>
          <w:i/>
          <w:iCs/>
        </w:rPr>
        <w:t xml:space="preserve"> and </w:t>
      </w:r>
      <m:oMath>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rsidR="00783234">
        <w:rPr>
          <w:i/>
          <w:iCs/>
        </w:rPr>
        <w:t xml:space="preserve"> be the unique vertices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rsidR="00783234">
        <w:rPr>
          <w:i/>
          <w:iCs/>
        </w:rPr>
        <w:t xml:space="preserve"> in </w:t>
      </w:r>
      <m:oMath>
        <m:sSub>
          <m:sSubPr>
            <m:ctrlPr>
              <w:rPr>
                <w:rFonts w:ascii="Cambria Math" w:hAnsi="Cambria Math"/>
              </w:rPr>
            </m:ctrlPr>
          </m:sSubPr>
          <m:e>
            <m:r>
              <w:rPr>
                <w:rFonts w:ascii="Cambria Math" w:hAnsi="Cambria Math"/>
              </w:rPr>
              <m:t>G</m:t>
            </m:r>
          </m:e>
          <m:sub>
            <m:r>
              <w:rPr>
                <w:rFonts w:ascii="Cambria Math" w:hAnsi="Cambria Math"/>
              </w:rPr>
              <m:t>1</m:t>
            </m:r>
          </m:sub>
        </m:sSub>
      </m:oMath>
      <w:r w:rsidR="00783234">
        <w:rPr>
          <w:i/>
          <w:iCs/>
        </w:rP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rsidR="00783234">
        <w:rPr>
          <w:i/>
          <w:iCs/>
        </w:rPr>
        <w:t>, respectively.</w:t>
      </w:r>
    </w:p>
    <w:p w14:paraId="73F335EC" w14:textId="77777777" w:rsidR="00245A51" w:rsidRPr="00CF505E" w:rsidRDefault="00783234" w:rsidP="00CF505E">
      <w:pPr>
        <w:spacing w:after="240"/>
        <w:jc w:val="both"/>
        <w:rPr>
          <w:i/>
          <w:iCs/>
        </w:rPr>
      </w:pPr>
      <w:r>
        <w:rPr>
          <w:i/>
          <w:iCs/>
        </w:rPr>
        <w:t xml:space="preserve">Let </w:t>
      </w:r>
      <m:oMath>
        <m:r>
          <w:rPr>
            <w:rFonts w:ascii="Cambria Math" w:hAnsi="Cambria Math"/>
          </w:rPr>
          <m:t>G</m:t>
        </m:r>
      </m:oMath>
      <w:r>
        <w:rPr>
          <w:i/>
          <w:iCs/>
        </w:rPr>
        <w:t xml:space="preserve"> be the graph obtained by identifying </w:t>
      </w:r>
      <m:oMath>
        <m:sSub>
          <m:sSubPr>
            <m:ctrlPr>
              <w:rPr>
                <w:rFonts w:ascii="Cambria Math" w:hAnsi="Cambria Math"/>
              </w:rPr>
            </m:ctrlPr>
          </m:sSubPr>
          <m:e>
            <m:r>
              <w:rPr>
                <w:rFonts w:ascii="Cambria Math" w:hAnsi="Cambria Math"/>
              </w:rPr>
              <m:t>z</m:t>
            </m:r>
          </m:e>
          <m:sub>
            <m:r>
              <w:rPr>
                <w:rFonts w:ascii="Cambria Math" w:hAnsi="Cambria Math"/>
              </w:rPr>
              <m:t>1</m:t>
            </m:r>
          </m:sub>
        </m:sSub>
      </m:oMath>
      <w:r>
        <w:rPr>
          <w:i/>
          <w:iCs/>
        </w:rPr>
        <w:t xml:space="preserve"> and </w:t>
      </w:r>
      <m:oMath>
        <m:sSub>
          <m:sSubPr>
            <m:ctrlPr>
              <w:rPr>
                <w:rFonts w:ascii="Cambria Math" w:hAnsi="Cambria Math"/>
              </w:rPr>
            </m:ctrlPr>
          </m:sSubPr>
          <m:e>
            <m:r>
              <w:rPr>
                <w:rFonts w:ascii="Cambria Math" w:hAnsi="Cambria Math"/>
              </w:rPr>
              <m:t>z</m:t>
            </m:r>
          </m:e>
          <m:sub>
            <m:r>
              <w:rPr>
                <w:rFonts w:ascii="Cambria Math" w:hAnsi="Cambria Math"/>
              </w:rPr>
              <m:t>2</m:t>
            </m:r>
          </m:sub>
        </m:sSub>
      </m:oMath>
      <w:r>
        <w:rPr>
          <w:i/>
          <w:iCs/>
        </w:rPr>
        <w:t xml:space="preserve">. Then </w:t>
      </w:r>
      <m:oMath>
        <m:r>
          <w:rPr>
            <w:rFonts w:ascii="Cambria Math" w:hAnsi="Cambria Math"/>
          </w:rPr>
          <m:t>G</m:t>
        </m:r>
      </m:oMath>
      <w:r>
        <w:rPr>
          <w:i/>
          <w:iCs/>
        </w:rPr>
        <w:t xml:space="preserve"> admits a TIASL with respect to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rPr>
          <w:i/>
          <w:iCs/>
        </w:rPr>
        <w:t>.</w:t>
      </w:r>
    </w:p>
    <w:bookmarkEnd w:id="17"/>
    <w:p w14:paraId="5468A36E" w14:textId="77777777" w:rsidR="00990C50" w:rsidRDefault="00783234" w:rsidP="00245A51">
      <w:pPr>
        <w:jc w:val="both"/>
      </w:pPr>
      <w:r>
        <w:rPr>
          <w:i/>
          <w:iCs/>
        </w:rPr>
        <w:t>Proof.</w:t>
      </w:r>
      <w:r>
        <w:t xml:space="preserve"> By the structural characterization of TIASL graphs, both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contain exactly one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Identifying </w:t>
      </w:r>
      <m:oMath>
        <m:sSub>
          <m:sSubPr>
            <m:ctrlPr>
              <w:rPr>
                <w:rFonts w:ascii="Cambria Math" w:hAnsi="Cambria Math"/>
              </w:rPr>
            </m:ctrlPr>
          </m:sSubPr>
          <m:e>
            <m:r>
              <w:rPr>
                <w:rFonts w:ascii="Cambria Math" w:hAnsi="Cambria Math"/>
              </w:rPr>
              <m:t>z</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z</m:t>
            </m:r>
          </m:e>
          <m:sub>
            <m:r>
              <w:rPr>
                <w:rFonts w:ascii="Cambria Math" w:hAnsi="Cambria Math"/>
              </w:rPr>
              <m:t>2</m:t>
            </m:r>
          </m:sub>
        </m:sSub>
      </m:oMath>
      <w:r>
        <w:t xml:space="preserve"> produces a single vertex </w:t>
      </w:r>
      <m:oMath>
        <m:r>
          <w:rPr>
            <w:rFonts w:ascii="Cambria Math" w:hAnsi="Cambria Math"/>
          </w:rPr>
          <m:t>z</m:t>
        </m:r>
      </m:oMath>
      <w:r>
        <w:t xml:space="preserve"> in </w:t>
      </w:r>
      <m:oMath>
        <m:r>
          <w:rPr>
            <w:rFonts w:ascii="Cambria Math" w:hAnsi="Cambria Math"/>
          </w:rPr>
          <m:t>G</m:t>
        </m:r>
      </m:oMath>
      <w:r>
        <w:t>.</w:t>
      </w:r>
    </w:p>
    <w:p w14:paraId="4D52A72D" w14:textId="77777777" w:rsidR="00990C50" w:rsidRDefault="00783234" w:rsidP="00245A51">
      <w:pPr>
        <w:jc w:val="both"/>
      </w:pPr>
      <w:r>
        <w:t xml:space="preserve">Define a labeling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w:r>
        <w:t xml:space="preserve"> by</w:t>
      </w:r>
    </w:p>
    <w:p w14:paraId="76E4389E"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x</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m:t>
                    </m:r>
                    <m:r>
                      <w:rPr>
                        <w:rFonts w:ascii="Cambria Math" w:hAnsi="Cambria Math"/>
                      </w:rPr>
                      <m:t>0</m:t>
                    </m:r>
                    <m:r>
                      <m:rPr>
                        <m:sty m:val="p"/>
                      </m:rPr>
                      <w:rPr>
                        <w:rFonts w:ascii="Cambria Math" w:hAnsi="Cambria Math"/>
                      </w:rPr>
                      <m:t>},</m:t>
                    </m:r>
                  </m:e>
                  <m:e>
                    <m:r>
                      <m:rPr>
                        <m:nor/>
                      </m:rPr>
                      <m:t xml:space="preserve">if </m:t>
                    </m:r>
                    <m:r>
                      <w:rPr>
                        <w:rFonts w:ascii="Cambria Math" w:hAnsi="Cambria Math"/>
                      </w:rPr>
                      <m:t>x</m:t>
                    </m:r>
                    <m:r>
                      <m:rPr>
                        <m:sty m:val="p"/>
                      </m:rPr>
                      <w:rPr>
                        <w:rFonts w:ascii="Cambria Math" w:hAnsi="Cambria Math"/>
                      </w:rPr>
                      <m:t>=</m:t>
                    </m:r>
                    <m:r>
                      <w:rPr>
                        <w:rFonts w:ascii="Cambria Math" w:hAnsi="Cambria Math"/>
                      </w:rPr>
                      <m:t>z</m:t>
                    </m:r>
                    <m:r>
                      <m:rPr>
                        <m:sty m:val="p"/>
                      </m:rPr>
                      <w:rPr>
                        <w:rFonts w:ascii="Cambria Math" w:hAnsi="Cambria Math"/>
                      </w:rPr>
                      <m:t>,</m:t>
                    </m:r>
                  </m:e>
                </m:mr>
                <m:mr>
                  <m:e>
                    <m:sSub>
                      <m:sSubPr>
                        <m:ctrlPr>
                          <w:rPr>
                            <w:rFonts w:ascii="Cambria Math" w:hAnsi="Cambria Math"/>
                          </w:rPr>
                        </m:ctrlPr>
                      </m:sSubPr>
                      <m:e>
                        <m:r>
                          <w:rPr>
                            <w:rFonts w:ascii="Cambria Math" w:hAnsi="Cambria Math"/>
                          </w:rPr>
                          <m:t>ψ</m:t>
                        </m:r>
                      </m:e>
                      <m:sub>
                        <m: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e>
                  <m:e>
                    <m:r>
                      <m:rPr>
                        <m:nor/>
                      </m:rPr>
                      <m:t xml:space="preserve">if </m:t>
                    </m:r>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e>
                </m:mr>
                <m:mr>
                  <m:e>
                    <m:sSub>
                      <m:sSubPr>
                        <m:ctrlPr>
                          <w:rPr>
                            <w:rFonts w:ascii="Cambria Math" w:hAnsi="Cambria Math"/>
                          </w:rPr>
                        </m:ctrlPr>
                      </m:sSubPr>
                      <m:e>
                        <m:r>
                          <w:rPr>
                            <w:rFonts w:ascii="Cambria Math" w:hAnsi="Cambria Math"/>
                          </w:rPr>
                          <m:t>ψ</m:t>
                        </m:r>
                      </m:e>
                      <m:sub>
                        <m:r>
                          <w:rPr>
                            <w:rFonts w:ascii="Cambria Math" w:hAnsi="Cambria Math"/>
                          </w:rPr>
                          <m:t>2</m:t>
                        </m:r>
                      </m:sub>
                    </m:sSub>
                    <m:r>
                      <m:rPr>
                        <m:sty m:val="p"/>
                      </m:rPr>
                      <w:rPr>
                        <w:rFonts w:ascii="Cambria Math" w:hAnsi="Cambria Math"/>
                      </w:rPr>
                      <m:t>(</m:t>
                    </m:r>
                    <m:r>
                      <w:rPr>
                        <w:rFonts w:ascii="Cambria Math" w:hAnsi="Cambria Math"/>
                      </w:rPr>
                      <m:t>x</m:t>
                    </m:r>
                    <m:r>
                      <m:rPr>
                        <m:sty m:val="p"/>
                      </m:rPr>
                      <w:rPr>
                        <w:rFonts w:ascii="Cambria Math" w:hAnsi="Cambria Math"/>
                      </w:rPr>
                      <m:t>),</m:t>
                    </m:r>
                  </m:e>
                  <m:e>
                    <m:r>
                      <m:rPr>
                        <m:nor/>
                      </m:rPr>
                      <m:t xml:space="preserve">if </m:t>
                    </m:r>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m:t>
                    </m:r>
                  </m:e>
                </m:mr>
              </m:m>
            </m:e>
          </m:d>
        </m:oMath>
      </m:oMathPara>
    </w:p>
    <w:p w14:paraId="2C5D0C59" w14:textId="77777777" w:rsidR="00990C50" w:rsidRDefault="00783234" w:rsidP="00245A51">
      <w:pPr>
        <w:jc w:val="both"/>
      </w:pPr>
      <w:r>
        <w:t xml:space="preserve">Since </w:t>
      </w:r>
      <m:oMath>
        <m:sSub>
          <m:sSubPr>
            <m:ctrlPr>
              <w:rPr>
                <w:rFonts w:ascii="Cambria Math" w:hAnsi="Cambria Math"/>
              </w:rPr>
            </m:ctrlPr>
          </m:sSubPr>
          <m:e>
            <m:r>
              <w:rPr>
                <w:rFonts w:ascii="Cambria Math" w:hAnsi="Cambria Math"/>
              </w:rPr>
              <m:t>ψ</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ψ</m:t>
            </m:r>
          </m:e>
          <m:sub>
            <m:r>
              <w:rPr>
                <w:rFonts w:ascii="Cambria Math" w:hAnsi="Cambria Math"/>
              </w:rPr>
              <m:t>2</m:t>
            </m:r>
          </m:sub>
        </m:sSub>
      </m:oMath>
      <w:r>
        <w:t xml:space="preserve"> are injective and agree only on the label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the mapping </w:t>
      </w:r>
      <m:oMath>
        <m:r>
          <w:rPr>
            <w:rFonts w:ascii="Cambria Math" w:hAnsi="Cambria Math"/>
          </w:rPr>
          <m:t>ψ</m:t>
        </m:r>
      </m:oMath>
      <w:r>
        <w:t xml:space="preserve"> is injective on </w:t>
      </w:r>
      <m:oMath>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oMath>
      <w:r>
        <w:t>. Moreover,</w:t>
      </w:r>
    </w:p>
    <w:p w14:paraId="08AF6B0E" w14:textId="77777777" w:rsidR="00990C50" w:rsidRDefault="00783234" w:rsidP="00245A51">
      <w:pPr>
        <w:jc w:val="both"/>
      </w:pPr>
      <m:oMathPara>
        <m:oMathParaPr>
          <m:jc m:val="center"/>
        </m:oMathParaP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τ</m:t>
          </m:r>
          <m:r>
            <m:rPr>
              <m:sty m:val="p"/>
            </m:rPr>
            <w:rPr>
              <w:rFonts w:ascii="Cambria Math" w:hAnsi="Cambria Math"/>
            </w:rPr>
            <m:t>,</m:t>
          </m:r>
        </m:oMath>
      </m:oMathPara>
    </w:p>
    <w:p w14:paraId="4CAABED1" w14:textId="77777777" w:rsidR="00990C50" w:rsidRDefault="00783234" w:rsidP="00245A51">
      <w:pPr>
        <w:jc w:val="both"/>
      </w:pPr>
      <w:r>
        <w:t>so the vertex labels induce the same topology.</w:t>
      </w:r>
    </w:p>
    <w:p w14:paraId="4D6743BF" w14:textId="77777777" w:rsidR="00990C50" w:rsidRDefault="00783234" w:rsidP="00245A51">
      <w:pPr>
        <w:jc w:val="both"/>
      </w:pPr>
      <w:r>
        <w:t xml:space="preserve">All edges of </w:t>
      </w:r>
      <m:oMath>
        <m:r>
          <w:rPr>
            <w:rFonts w:ascii="Cambria Math" w:hAnsi="Cambria Math"/>
          </w:rPr>
          <m:t>G</m:t>
        </m:r>
      </m:oMath>
      <w:r>
        <w:t xml:space="preserve"> are inherited from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or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Hence, for any edge </w:t>
      </w:r>
      <m:oMath>
        <m:r>
          <w:rPr>
            <w:rFonts w:ascii="Cambria Math" w:hAnsi="Cambria Math"/>
          </w:rPr>
          <m:t>xy</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the induced edge label </w:t>
      </w:r>
      <m:oMath>
        <m:r>
          <w:rPr>
            <w:rFonts w:ascii="Cambria Math" w:hAnsi="Cambria Math"/>
          </w:rPr>
          <m:t>ψ</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ψ</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coincides with the corresponding edge label in either </w:t>
      </w:r>
      <m:oMath>
        <m:sSub>
          <m:sSubPr>
            <m:ctrlPr>
              <w:rPr>
                <w:rFonts w:ascii="Cambria Math" w:hAnsi="Cambria Math"/>
              </w:rPr>
            </m:ctrlPr>
          </m:sSubPr>
          <m:e>
            <m:r>
              <w:rPr>
                <w:rFonts w:ascii="Cambria Math" w:hAnsi="Cambria Math"/>
              </w:rPr>
              <m:t>G</m:t>
            </m:r>
          </m:e>
          <m:sub>
            <m:r>
              <w:rPr>
                <w:rFonts w:ascii="Cambria Math" w:hAnsi="Cambria Math"/>
              </w:rPr>
              <m:t>1</m:t>
            </m:r>
          </m:sub>
        </m:sSub>
      </m:oMath>
      <w:r>
        <w:t xml:space="preserve"> or </w:t>
      </w:r>
      <m:oMath>
        <m:sSub>
          <m:sSubPr>
            <m:ctrlPr>
              <w:rPr>
                <w:rFonts w:ascii="Cambria Math" w:hAnsi="Cambria Math"/>
              </w:rPr>
            </m:ctrlPr>
          </m:sSubPr>
          <m:e>
            <m:r>
              <w:rPr>
                <w:rFonts w:ascii="Cambria Math" w:hAnsi="Cambria Math"/>
              </w:rPr>
              <m:t>G</m:t>
            </m:r>
          </m:e>
          <m:sub>
            <m:r>
              <w:rPr>
                <w:rFonts w:ascii="Cambria Math" w:hAnsi="Cambria Math"/>
              </w:rPr>
              <m:t>2</m:t>
            </m:r>
          </m:sub>
        </m:sSub>
      </m:oMath>
      <w:r>
        <w:t xml:space="preserve"> and is therefore a subset of </w:t>
      </w:r>
      <m:oMath>
        <m:r>
          <w:rPr>
            <w:rFonts w:ascii="Cambria Math" w:hAnsi="Cambria Math"/>
          </w:rPr>
          <m:t>S</m:t>
        </m:r>
      </m:oMath>
      <w:r>
        <w:t>.</w:t>
      </w:r>
    </w:p>
    <w:p w14:paraId="0D9EDED7" w14:textId="77777777" w:rsidR="00245A51" w:rsidRDefault="00783234" w:rsidP="00CF505E">
      <w:pPr>
        <w:spacing w:after="240"/>
        <w:jc w:val="both"/>
      </w:pPr>
      <w:r>
        <w:t xml:space="preserve">Thus, </w:t>
      </w:r>
      <m:oMath>
        <m:r>
          <w:rPr>
            <w:rFonts w:ascii="Cambria Math" w:hAnsi="Cambria Math"/>
          </w:rPr>
          <m:t>ψ</m:t>
        </m:r>
      </m:oMath>
      <w:r>
        <w:t xml:space="preserve"> defines a TIASL of </w:t>
      </w:r>
      <m:oMath>
        <m:r>
          <w:rPr>
            <w:rFonts w:ascii="Cambria Math" w:hAnsi="Cambria Math"/>
          </w:rPr>
          <m:t>G</m:t>
        </m:r>
      </m:oMath>
      <w:r>
        <w:t xml:space="preserve"> with respect to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t>. ◻</w:t>
      </w:r>
    </w:p>
    <w:p w14:paraId="22D79987" w14:textId="77777777" w:rsidR="00245A51" w:rsidRPr="00CF505E" w:rsidRDefault="00783234" w:rsidP="00CF505E">
      <w:pPr>
        <w:spacing w:after="240"/>
        <w:jc w:val="both"/>
        <w:rPr>
          <w:i/>
          <w:iCs/>
        </w:rPr>
      </w:pPr>
      <w:bookmarkStart w:id="18" w:name="thm:closure-identification"/>
      <w:r>
        <w:rPr>
          <w:b/>
          <w:bCs/>
        </w:rPr>
        <w:t xml:space="preserve">Theorem </w:t>
      </w:r>
      <w:r w:rsidR="00CE6844">
        <w:rPr>
          <w:b/>
          <w:bCs/>
        </w:rPr>
        <w:t>4.7</w:t>
      </w:r>
      <w:r>
        <w:t xml:space="preserve">.  </w:t>
      </w:r>
      <w:r>
        <w:rPr>
          <w:i/>
          <w:iCs/>
        </w:rPr>
        <w:t xml:space="preserve">The class of TIASL graphs is closed under vertex identification if and only if the identified vertices are precisely the vertices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rPr>
          <w:i/>
          <w:iCs/>
        </w:rPr>
        <w:t xml:space="preserve"> in each graph.</w:t>
      </w:r>
    </w:p>
    <w:bookmarkEnd w:id="18"/>
    <w:p w14:paraId="44298518" w14:textId="77777777" w:rsidR="00990C50" w:rsidRDefault="00783234" w:rsidP="00245A51">
      <w:pPr>
        <w:jc w:val="both"/>
      </w:pPr>
      <w:r>
        <w:rPr>
          <w:i/>
          <w:iCs/>
        </w:rPr>
        <w:t>Proof.</w:t>
      </w:r>
      <w:r>
        <w:t xml:space="preserve"> (</w:t>
      </w:r>
      <m:oMath>
        <m:r>
          <m:rPr>
            <m:sty m:val="p"/>
          </m:rPr>
          <w:rPr>
            <w:rFonts w:ascii="Cambria Math" w:hAnsi="Cambria Math"/>
          </w:rPr>
          <m:t>⇒</m:t>
        </m:r>
      </m:oMath>
      <w:r>
        <w:t xml:space="preserve">) Suppose TIASL graphs are closed under vertex identification, and let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m:rPr>
            <m:sty m:val="p"/>
          </m:rPr>
          <w:rPr>
            <w:rFonts w:ascii="Cambria Math" w:hAnsi="Cambria Math"/>
          </w:rPr>
          <m:t>)</m:t>
        </m:r>
      </m:oMath>
      <w:r>
        <w:t xml:space="preserve"> and </w:t>
      </w:r>
      <m:oMath>
        <m:r>
          <w:rPr>
            <w:rFonts w:ascii="Cambria Math" w:hAnsi="Cambria Math"/>
          </w:rPr>
          <m:t>v</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m:rPr>
            <m:sty m:val="p"/>
          </m:rPr>
          <w:rPr>
            <w:rFonts w:ascii="Cambria Math" w:hAnsi="Cambria Math"/>
          </w:rPr>
          <m:t>)</m:t>
        </m:r>
      </m:oMath>
      <w:r>
        <w:t xml:space="preserve"> be identified. If either </w:t>
      </w:r>
      <m:oMath>
        <m:r>
          <w:rPr>
            <w:rFonts w:ascii="Cambria Math" w:hAnsi="Cambria Math"/>
          </w:rPr>
          <m:t>u</m:t>
        </m:r>
      </m:oMath>
      <w:r>
        <w:t xml:space="preserve"> or </w:t>
      </w:r>
      <m:oMath>
        <m:r>
          <w:rPr>
            <w:rFonts w:ascii="Cambria Math" w:hAnsi="Cambria Math"/>
          </w:rPr>
          <m:t>v</m:t>
        </m:r>
      </m:oMath>
      <w:r>
        <w:t xml:space="preserve"> is not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then the resulting graph contains two distinct vertices originally labeled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or forces adjacency between incompatible summands, violating the TIASL conditions. Hence, both </w:t>
      </w:r>
      <m:oMath>
        <m:r>
          <w:rPr>
            <w:rFonts w:ascii="Cambria Math" w:hAnsi="Cambria Math"/>
          </w:rPr>
          <m:t>u</m:t>
        </m:r>
      </m:oMath>
      <w:r>
        <w:t xml:space="preserve"> and </w:t>
      </w:r>
      <m:oMath>
        <m:r>
          <w:rPr>
            <w:rFonts w:ascii="Cambria Math" w:hAnsi="Cambria Math"/>
          </w:rPr>
          <m:t>v</m:t>
        </m:r>
      </m:oMath>
      <w:r>
        <w:t xml:space="preserve"> must be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w:t>
      </w:r>
    </w:p>
    <w:p w14:paraId="07E3B447" w14:textId="77777777" w:rsidR="00990C50" w:rsidRDefault="00783234" w:rsidP="00245A51">
      <w:pPr>
        <w:jc w:val="both"/>
      </w:pPr>
      <w:r>
        <w:t>(</w:t>
      </w:r>
      <m:oMath>
        <m:r>
          <m:rPr>
            <m:sty m:val="p"/>
          </m:rPr>
          <w:rPr>
            <w:rFonts w:ascii="Cambria Math" w:hAnsi="Cambria Math"/>
          </w:rPr>
          <m:t>⇐</m:t>
        </m:r>
      </m:oMath>
      <w:r>
        <w:t xml:space="preserve">) If the vertices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are identified, then by Theorem </w:t>
      </w:r>
      <w:hyperlink w:anchor="thm:vertex-identification">
        <w:r>
          <w:rPr>
            <w:rStyle w:val="Hyperlink"/>
          </w:rPr>
          <w:t>19</w:t>
        </w:r>
      </w:hyperlink>
      <w:r>
        <w:t>, the resulting graph admits a TIASL. ◻</w:t>
      </w:r>
    </w:p>
    <w:p w14:paraId="4587B101" w14:textId="77777777" w:rsidR="00990C50" w:rsidRDefault="00CE6844" w:rsidP="00245A51">
      <w:pPr>
        <w:pStyle w:val="Heading1"/>
        <w:jc w:val="both"/>
      </w:pPr>
      <w:bookmarkStart w:id="19" w:name="X9bb1d867ffe505992caae84577f1ccd3f670444"/>
      <w:bookmarkEnd w:id="11"/>
      <w:r>
        <w:t xml:space="preserve">5. </w:t>
      </w:r>
      <w:r w:rsidR="00783234">
        <w:t>Topological Set-Indexing Number of TIASL Graphs</w:t>
      </w:r>
    </w:p>
    <w:p w14:paraId="019E4976" w14:textId="77777777" w:rsidR="00245A51" w:rsidRDefault="00783234" w:rsidP="00CF505E">
      <w:pPr>
        <w:spacing w:after="240"/>
        <w:jc w:val="both"/>
      </w:pPr>
      <w:r>
        <w:t>One of the fundamental quantitative questions in any graph labeling scheme concerns the minimum size of the ground set required to admit a labeling of the given type. In the context of topological integer additive set-labeling, this question naturally leads to a topology-dependent invariant that reflects both the size and the structure of the graph.</w:t>
      </w:r>
    </w:p>
    <w:p w14:paraId="3074DC08" w14:textId="77777777" w:rsidR="00990C50" w:rsidRDefault="00783234" w:rsidP="00245A51">
      <w:pPr>
        <w:jc w:val="both"/>
      </w:pPr>
      <w:r>
        <w:t>We begin by recalling the relevant invariant.</w:t>
      </w:r>
    </w:p>
    <w:p w14:paraId="0E29E02C" w14:textId="77777777" w:rsidR="00245A51" w:rsidRDefault="00CE6844" w:rsidP="00CF505E">
      <w:pPr>
        <w:spacing w:after="240"/>
        <w:jc w:val="both"/>
      </w:pPr>
      <w:r>
        <w:rPr>
          <w:b/>
          <w:bCs/>
        </w:rPr>
        <w:t>Definition 5.1</w:t>
      </w:r>
      <w:r w:rsidR="00783234">
        <w:t xml:space="preserve">.  Let </w:t>
      </w:r>
      <m:oMath>
        <m:r>
          <w:rPr>
            <w:rFonts w:ascii="Cambria Math" w:hAnsi="Cambria Math"/>
          </w:rPr>
          <m:t>G</m:t>
        </m:r>
      </m:oMath>
      <w:r w:rsidR="00783234">
        <w:t xml:space="preserve"> be a TIASL graph. The </w:t>
      </w:r>
      <w:r w:rsidR="00783234">
        <w:rPr>
          <w:i/>
          <w:iCs/>
        </w:rPr>
        <w:t>topological set-labeling number</w:t>
      </w:r>
      <w:r w:rsidR="00783234">
        <w:t xml:space="preserve"> of </w:t>
      </w:r>
      <m:oMath>
        <m:r>
          <w:rPr>
            <w:rFonts w:ascii="Cambria Math" w:hAnsi="Cambria Math"/>
          </w:rPr>
          <m:t>G</m:t>
        </m:r>
      </m:oMath>
      <w:r w:rsidR="00783234">
        <w:t xml:space="preserve">, denoted by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oMath>
      <w:r w:rsidR="00783234">
        <w:t xml:space="preserve">, is the minimum cardinality of a set </w:t>
      </w:r>
      <m:oMath>
        <m:r>
          <w:rPr>
            <w:rFonts w:ascii="Cambria Math" w:hAnsi="Cambria Math"/>
          </w:rPr>
          <m:t>S</m:t>
        </m:r>
      </m:oMath>
      <w:r w:rsidR="00783234">
        <w:t xml:space="preserve"> such that </w:t>
      </w:r>
      <m:oMath>
        <m:r>
          <w:rPr>
            <w:rFonts w:ascii="Cambria Math" w:hAnsi="Cambria Math"/>
          </w:rPr>
          <m:t>G</m:t>
        </m:r>
      </m:oMath>
      <w:r w:rsidR="00783234">
        <w:t xml:space="preserve"> admits a TIASL with respect to some topology </w:t>
      </w:r>
      <m:oMath>
        <m:r>
          <w:rPr>
            <w:rFonts w:ascii="Cambria Math" w:hAnsi="Cambria Math"/>
          </w:rPr>
          <m:t>τ</m:t>
        </m:r>
      </m:oMath>
      <w:r w:rsidR="00783234">
        <w:t xml:space="preserve"> on </w:t>
      </w:r>
      <m:oMath>
        <m:r>
          <w:rPr>
            <w:rFonts w:ascii="Cambria Math" w:hAnsi="Cambria Math"/>
          </w:rPr>
          <m:t>S</m:t>
        </m:r>
      </m:oMath>
      <w:r w:rsidR="00783234">
        <w:t>.</w:t>
      </w:r>
    </w:p>
    <w:p w14:paraId="7789BEFA" w14:textId="77777777" w:rsidR="00245A51" w:rsidRDefault="00783234" w:rsidP="00CF505E">
      <w:pPr>
        <w:spacing w:after="240"/>
        <w:jc w:val="both"/>
      </w:pPr>
      <w:r>
        <w:t xml:space="preserve">This invariant measures the minimum topological complexity required to realize </w:t>
      </w:r>
      <m:oMath>
        <m:r>
          <w:rPr>
            <w:rFonts w:ascii="Cambria Math" w:hAnsi="Cambria Math"/>
          </w:rPr>
          <m:t>G</m:t>
        </m:r>
      </m:oMath>
      <w:r>
        <w:t xml:space="preserve"> as a TIASL graph.</w:t>
      </w:r>
    </w:p>
    <w:p w14:paraId="7A706DD9" w14:textId="77777777" w:rsidR="00245A51" w:rsidRDefault="00783234" w:rsidP="00CF505E">
      <w:pPr>
        <w:spacing w:after="240"/>
        <w:jc w:val="both"/>
      </w:pPr>
      <w:r>
        <w:t xml:space="preserve">Recall that for a TIASL graph </w:t>
      </w:r>
      <m:oMath>
        <m:r>
          <w:rPr>
            <w:rFonts w:ascii="Cambria Math" w:hAnsi="Cambria Math"/>
          </w:rPr>
          <m:t>G</m:t>
        </m:r>
      </m:oMath>
      <w:r>
        <w:t xml:space="preserve">, the vertex labels correspond precisely to the non-empty open sets of the topology </w:t>
      </w:r>
      <m:oMath>
        <m:r>
          <w:rPr>
            <w:rFonts w:ascii="Cambria Math" w:hAnsi="Cambria Math"/>
          </w:rPr>
          <m:t>τ</m:t>
        </m:r>
      </m:oMath>
      <w:r>
        <w:t xml:space="preserve">. Consequently, the number of vertices of </w:t>
      </w:r>
      <m:oMath>
        <m:r>
          <w:rPr>
            <w:rFonts w:ascii="Cambria Math" w:hAnsi="Cambria Math"/>
          </w:rPr>
          <m:t>G</m:t>
        </m:r>
      </m:oMath>
      <w:r>
        <w:t xml:space="preserve"> is bounded above by the number of non-empty subsets of </w:t>
      </w:r>
      <m:oMath>
        <m:r>
          <w:rPr>
            <w:rFonts w:ascii="Cambria Math" w:hAnsi="Cambria Math"/>
          </w:rPr>
          <m:t>S</m:t>
        </m:r>
      </m:oMath>
      <w:r>
        <w:t>.</w:t>
      </w:r>
    </w:p>
    <w:p w14:paraId="46330B27" w14:textId="77777777" w:rsidR="00990C50" w:rsidRDefault="00783234" w:rsidP="00245A51">
      <w:pPr>
        <w:jc w:val="both"/>
      </w:pPr>
      <w:bookmarkStart w:id="20" w:name="prop:basic-bounds"/>
      <w:r>
        <w:rPr>
          <w:b/>
          <w:bCs/>
        </w:rPr>
        <w:t>Propos</w:t>
      </w:r>
      <w:r w:rsidR="00CE6844">
        <w:rPr>
          <w:b/>
          <w:bCs/>
        </w:rPr>
        <w:t>ition 5.2</w:t>
      </w:r>
      <w:r>
        <w:t xml:space="preserve">.  </w:t>
      </w:r>
      <w:r>
        <w:rPr>
          <w:i/>
          <w:iCs/>
        </w:rPr>
        <w:t xml:space="preserve">Let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τ</m:t>
        </m:r>
        <m:r>
          <m:rPr>
            <m:sty m:val="p"/>
          </m:rPr>
          <w:rPr>
            <w:rFonts w:ascii="Cambria Math" w:hAnsi="Cambria Math"/>
          </w:rPr>
          <m:t>)</m:t>
        </m:r>
      </m:oMath>
      <w:r>
        <w:rPr>
          <w:i/>
          <w:iCs/>
        </w:rPr>
        <w:t xml:space="preserve"> be a TIASL graph. Then the following bounds hold:</w:t>
      </w:r>
    </w:p>
    <w:p w14:paraId="2F3FB19C" w14:textId="77777777" w:rsidR="00990C50" w:rsidRDefault="00783234" w:rsidP="00245A51">
      <w:pPr>
        <w:numPr>
          <w:ilvl w:val="0"/>
          <w:numId w:val="33"/>
        </w:numPr>
        <w:jc w:val="both"/>
      </w:p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S</m:t>
            </m:r>
            <m:r>
              <m:rPr>
                <m:sty m:val="p"/>
              </m:rPr>
              <w:rPr>
                <w:rFonts w:ascii="Cambria Math" w:hAnsi="Cambria Math"/>
              </w:rPr>
              <m:t>|</m:t>
            </m:r>
          </m:sup>
        </m:sSup>
        <m:r>
          <m:rPr>
            <m:sty m:val="p"/>
          </m:rPr>
          <w:rPr>
            <w:rFonts w:ascii="Cambria Math" w:hAnsi="Cambria Math"/>
          </w:rPr>
          <m:t>-</m:t>
        </m:r>
        <m:r>
          <w:rPr>
            <w:rFonts w:ascii="Cambria Math" w:hAnsi="Cambria Math"/>
          </w:rPr>
          <m:t>1</m:t>
        </m:r>
      </m:oMath>
      <w:r>
        <w:rPr>
          <w:i/>
          <w:iCs/>
        </w:rPr>
        <w:t>;</w:t>
      </w:r>
    </w:p>
    <w:p w14:paraId="398D6A5D" w14:textId="77777777" w:rsidR="00990C50" w:rsidRDefault="00783234" w:rsidP="00245A51">
      <w:pPr>
        <w:numPr>
          <w:ilvl w:val="0"/>
          <w:numId w:val="33"/>
        </w:numPr>
        <w:jc w:val="both"/>
      </w:pPr>
      <m:oMath>
        <m:r>
          <m:rPr>
            <m:sty m:val="p"/>
          </m:rPr>
          <w:rPr>
            <w:rFonts w:ascii="Cambria Math" w:hAnsi="Cambria Math"/>
          </w:rPr>
          <w:lastRenderedPageBreak/>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sup>
        </m:sSup>
      </m:oMath>
      <w:r>
        <w:rPr>
          <w:i/>
          <w:iCs/>
        </w:rPr>
        <w:t>,</w:t>
      </w:r>
    </w:p>
    <w:p w14:paraId="01365093" w14:textId="77777777" w:rsidR="00245A51" w:rsidRPr="00CF505E" w:rsidRDefault="00783234" w:rsidP="00CF505E">
      <w:pPr>
        <w:spacing w:after="240"/>
        <w:jc w:val="both"/>
        <w:rPr>
          <w:i/>
          <w:iCs/>
        </w:rPr>
      </w:pPr>
      <w:r>
        <w:rPr>
          <w:i/>
          <w:iCs/>
        </w:rPr>
        <w:t xml:space="preserve">where </w:t>
      </w:r>
      <m:oMath>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oMath>
      <w:r>
        <w:rPr>
          <w:i/>
          <w:iCs/>
        </w:rPr>
        <w:t xml:space="preserve"> denotes the maximum number of pendant vertices adjacent to a single vertex of </w:t>
      </w:r>
      <m:oMath>
        <m:r>
          <w:rPr>
            <w:rFonts w:ascii="Cambria Math" w:hAnsi="Cambria Math"/>
          </w:rPr>
          <m:t>G</m:t>
        </m:r>
      </m:oMath>
      <w:r>
        <w:rPr>
          <w:i/>
          <w:iCs/>
        </w:rPr>
        <w:t>.</w:t>
      </w:r>
    </w:p>
    <w:bookmarkEnd w:id="20"/>
    <w:p w14:paraId="1BBDC244" w14:textId="77777777" w:rsidR="00990C50" w:rsidRDefault="00783234" w:rsidP="00245A51">
      <w:pPr>
        <w:jc w:val="both"/>
      </w:pPr>
      <w:r>
        <w:rPr>
          <w:i/>
          <w:iCs/>
        </w:rPr>
        <w:t>Proof.</w:t>
      </w:r>
      <w:r>
        <w:t xml:space="preserve"> The first inequality follows immediately from the fact that </w:t>
      </w:r>
      <m:oMath>
        <m:r>
          <w:rPr>
            <w:rFonts w:ascii="Cambria Math" w:hAnsi="Cambria Math"/>
          </w:rPr>
          <m:t>ψ</m:t>
        </m:r>
      </m:oMath>
      <w:r>
        <w:t xml:space="preserve"> is injective and that </w:t>
      </w:r>
      <m:oMath>
        <m:r>
          <w:rPr>
            <w:rFonts w:ascii="Cambria Math" w:hAnsi="Cambria Math"/>
          </w:rPr>
          <m:t>ψ</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cr m:val="script"/>
            <m:sty m:val="p"/>
          </m:rPr>
          <w:rPr>
            <w:rFonts w:ascii="Cambria Math" w:hAnsi="Cambria Math"/>
          </w:rPr>
          <m:t>))⊆P(</m:t>
        </m:r>
        <m:r>
          <w:rPr>
            <w:rFonts w:ascii="Cambria Math" w:hAnsi="Cambria Math"/>
          </w:rPr>
          <m:t>S</m:t>
        </m:r>
        <m:r>
          <m:rPr>
            <m:sty m:val="p"/>
          </m:rPr>
          <w:rPr>
            <w:rFonts w:ascii="Cambria Math" w:hAnsi="Cambria Math"/>
          </w:rPr>
          <m:t>)\{⌀}</m:t>
        </m:r>
      </m:oMath>
      <w:r>
        <w:t>.</w:t>
      </w:r>
    </w:p>
    <w:p w14:paraId="59D25A48" w14:textId="77777777" w:rsidR="00245A51" w:rsidRDefault="00783234" w:rsidP="00CF505E">
      <w:pPr>
        <w:spacing w:after="240"/>
        <w:jc w:val="both"/>
      </w:pPr>
      <w:r>
        <w:t>For the second inequality, note from Theorem </w:t>
      </w:r>
      <w:r w:rsidR="00CE6844">
        <w:rPr>
          <w:rStyle w:val="Hyperlink"/>
        </w:rPr>
        <w:t>2.3.3</w:t>
      </w:r>
      <w:r>
        <w:t xml:space="preserve"> that at least </w:t>
      </w:r>
      <m:oMath>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vertices must be labeled by open sets that do not participate in non-trivial sumsets except with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The remaining </w:t>
      </w: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vertices must therefore be labeled by subsets that can act as summands with at least one other non-trivial open set. The number of such subsets is bounded above by </w:t>
      </w:r>
      <m:oMath>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sup>
        </m:sSup>
      </m:oMath>
      <w:r>
        <w:t>, yielding the desired inequality. ◻</w:t>
      </w:r>
    </w:p>
    <w:p w14:paraId="75DE6E9B" w14:textId="77777777" w:rsidR="00245A51" w:rsidRDefault="00783234" w:rsidP="00CF505E">
      <w:pPr>
        <w:spacing w:after="240"/>
        <w:jc w:val="both"/>
      </w:pPr>
      <w:r>
        <w:t>We now use the bounds obtained above to derive an explicit expression for the topological set-labeling number of a TIASL graph.</w:t>
      </w:r>
    </w:p>
    <w:p w14:paraId="71462EC9" w14:textId="77777777" w:rsidR="00245A51" w:rsidRPr="00CF505E" w:rsidRDefault="00CE6844" w:rsidP="00CF505E">
      <w:pPr>
        <w:spacing w:after="240"/>
        <w:jc w:val="both"/>
        <w:rPr>
          <w:i/>
        </w:rPr>
      </w:pPr>
      <w:bookmarkStart w:id="21" w:name="thm:iG"/>
      <w:r>
        <w:rPr>
          <w:b/>
          <w:bCs/>
        </w:rPr>
        <w:t>Theorem 5.3</w:t>
      </w:r>
      <w:r w:rsidR="00783234">
        <w:t xml:space="preserve">.  </w:t>
      </w:r>
      <w:r w:rsidR="00783234">
        <w:rPr>
          <w:i/>
          <w:iCs/>
        </w:rPr>
        <w:t xml:space="preserve">Let </w:t>
      </w:r>
      <m:oMath>
        <m:r>
          <w:rPr>
            <w:rFonts w:ascii="Cambria Math" w:hAnsi="Cambria Math"/>
          </w:rPr>
          <m:t>G</m:t>
        </m:r>
      </m:oMath>
      <w:r w:rsidR="00783234">
        <w:rPr>
          <w:i/>
          <w:iCs/>
        </w:rPr>
        <w:t xml:space="preserve"> be a finite connected TIASL graph. Then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oMath>
    </w:p>
    <w:bookmarkEnd w:id="21"/>
    <w:p w14:paraId="2C7DC63D" w14:textId="77777777" w:rsidR="00990C50" w:rsidRDefault="00783234" w:rsidP="00245A51">
      <w:pPr>
        <w:jc w:val="both"/>
      </w:pPr>
      <w:r>
        <w:rPr>
          <w:i/>
          <w:iCs/>
        </w:rPr>
        <w:t>Proof.</w:t>
      </w:r>
      <w:r>
        <w:t xml:space="preserve"> Let </w:t>
      </w:r>
      <m:oMath>
        <m:r>
          <w:rPr>
            <w:rFonts w:ascii="Cambria Math" w:hAnsi="Cambria Math"/>
          </w:rPr>
          <m:t>m</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By definition, there exists a TIASL of </w:t>
      </w:r>
      <m:oMath>
        <m:r>
          <w:rPr>
            <w:rFonts w:ascii="Cambria Math" w:hAnsi="Cambria Math"/>
          </w:rPr>
          <m:t>G</m:t>
        </m:r>
      </m:oMath>
      <w:r>
        <w:t xml:space="preserve"> with respect to a ground set </w:t>
      </w:r>
      <m:oMath>
        <m:r>
          <w:rPr>
            <w:rFonts w:ascii="Cambria Math" w:hAnsi="Cambria Math"/>
          </w:rPr>
          <m:t>S</m:t>
        </m:r>
      </m:oMath>
      <w:r>
        <w:t xml:space="preserve"> satisfying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m:t>
        </m:r>
      </m:oMath>
      <w:r>
        <w:t>. By Proposition </w:t>
      </w:r>
      <w:hyperlink w:anchor="prop:basic-bounds">
        <w:r w:rsidR="00CE6844">
          <w:rPr>
            <w:rStyle w:val="Hyperlink"/>
          </w:rPr>
          <w:t>5.</w:t>
        </w:r>
        <w:r>
          <w:rPr>
            <w:rStyle w:val="Hyperlink"/>
          </w:rPr>
          <w:t>2</w:t>
        </w:r>
      </w:hyperlink>
      <w:r>
        <w:t>, we have</w:t>
      </w:r>
    </w:p>
    <w:p w14:paraId="702AD751" w14:textId="77777777" w:rsidR="00990C50" w:rsidRDefault="00783234" w:rsidP="00245A51">
      <w:pPr>
        <w:jc w:val="both"/>
      </w:pPr>
      <m:oMathPara>
        <m:oMathParaPr>
          <m:jc m:val="center"/>
        </m:oMathPara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3693315E" w14:textId="77777777" w:rsidR="00990C50" w:rsidRDefault="00783234" w:rsidP="00245A51">
      <w:pPr>
        <w:jc w:val="both"/>
      </w:pPr>
      <w:r>
        <w:t>Taking logarithms, we obtain</w:t>
      </w:r>
    </w:p>
    <w:p w14:paraId="47D9AF33" w14:textId="77777777" w:rsidR="00990C50" w:rsidRDefault="008821CE" w:rsidP="00245A51">
      <w:pPr>
        <w:jc w:val="both"/>
      </w:pPr>
      <m:oMathPara>
        <m:oMathParaPr>
          <m:jc m:val="center"/>
        </m:oMathParaPr>
        <m:oMath>
          <m:sSub>
            <m:sSubPr>
              <m:ctrlPr>
                <w:rPr>
                  <w:rFonts w:ascii="Cambria Math" w:hAnsi="Cambria Math"/>
                </w:rPr>
              </m:ctrlPr>
            </m:sSubPr>
            <m:e>
              <m:r>
                <m:rPr>
                  <m:sty m:val="p"/>
                </m:rPr>
                <w:rPr>
                  <w:rFonts w:ascii="Cambria Math" w:hAnsi="Cambria Math"/>
                </w:rPr>
                <m:t>log</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05231F62" w14:textId="77777777" w:rsidR="00990C50" w:rsidRDefault="00783234" w:rsidP="00245A51">
      <w:pPr>
        <w:jc w:val="both"/>
      </w:pPr>
      <w:r>
        <w:t>which implies</w:t>
      </w:r>
    </w:p>
    <w:p w14:paraId="2F779CA3" w14:textId="77777777" w:rsidR="00990C50" w:rsidRDefault="00783234" w:rsidP="00245A51">
      <w:pPr>
        <w:jc w:val="both"/>
      </w:pPr>
      <m:oMathPara>
        <m:oMathParaPr>
          <m:jc m:val="center"/>
        </m:oMathParaPr>
        <m:oMath>
          <m:r>
            <w:rPr>
              <w:rFonts w:ascii="Cambria Math" w:hAnsi="Cambria Math"/>
            </w:rPr>
            <m:t>m</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oMath>
      </m:oMathPara>
    </w:p>
    <w:p w14:paraId="1AC0EF3C" w14:textId="77777777" w:rsidR="00990C50" w:rsidRDefault="00783234" w:rsidP="00245A51">
      <w:pPr>
        <w:jc w:val="both"/>
      </w:pPr>
      <w:r>
        <w:t xml:space="preserve">Since </w:t>
      </w:r>
      <m:oMath>
        <m:r>
          <w:rPr>
            <w:rFonts w:ascii="Cambria Math" w:hAnsi="Cambria Math"/>
          </w:rPr>
          <m:t>m</m:t>
        </m:r>
      </m:oMath>
      <w:r>
        <w:t xml:space="preserve"> is an integer and minimal, we conclude that</w:t>
      </w:r>
    </w:p>
    <w:p w14:paraId="76A6985A" w14:textId="77777777" w:rsidR="00990C50" w:rsidRDefault="00783234" w:rsidP="00245A51">
      <w:pPr>
        <w:jc w:val="both"/>
      </w:pPr>
      <m:oMathPara>
        <m:oMathParaPr>
          <m:jc m:val="center"/>
        </m:oMathParaP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e>
          </m:d>
          <m:r>
            <m:rPr>
              <m:sty m:val="p"/>
            </m:rPr>
            <w:rPr>
              <w:rFonts w:ascii="Cambria Math" w:hAnsi="Cambria Math"/>
            </w:rPr>
            <m:t>.</m:t>
          </m:r>
        </m:oMath>
      </m:oMathPara>
    </w:p>
    <w:p w14:paraId="702FA071" w14:textId="77777777" w:rsidR="00990C50" w:rsidRDefault="00783234" w:rsidP="00245A51">
      <w:pPr>
        <w:jc w:val="both"/>
      </w:pPr>
      <w:r>
        <w:t xml:space="preserve">Conversely, if </w:t>
      </w:r>
      <m:oMath>
        <m:r>
          <w:rPr>
            <w:rFonts w:ascii="Cambria Math" w:hAnsi="Cambria Math"/>
          </w:rPr>
          <m:t>m</m:t>
        </m:r>
      </m:oMath>
      <w:r>
        <w:t xml:space="preserve"> satisfies the above inequality, then</w:t>
      </w:r>
    </w:p>
    <w:p w14:paraId="6E2AF0AE" w14:textId="77777777" w:rsidR="00990C50" w:rsidRDefault="00783234" w:rsidP="00245A51">
      <w:pPr>
        <w:jc w:val="both"/>
      </w:pPr>
      <m:oMathPara>
        <m:oMathParaPr>
          <m:jc m:val="center"/>
        </m:oMathParaPr>
        <m:oMath>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m:t>
              </m:r>
              <m:r>
                <m:rPr>
                  <m:sty m:val="p"/>
                </m:rPr>
                <w:rPr>
                  <w:rFonts w:ascii="Cambria Math" w:hAnsi="Cambria Math"/>
                </w:rPr>
                <m:t>-</m:t>
              </m:r>
              <m:r>
                <w:rPr>
                  <w:rFonts w:ascii="Cambria Math" w:hAnsi="Cambria Math"/>
                </w:rPr>
                <m:t>1</m:t>
              </m:r>
            </m:sup>
          </m:sSup>
          <m:r>
            <w:rPr>
              <w:rFonts w:ascii="Cambria Math" w:hAnsi="Cambria Math"/>
            </w:rPr>
            <m:t> </m:t>
          </m:r>
          <m:r>
            <m:rPr>
              <m:nor/>
            </m:rPr>
            <m:t>and</m:t>
          </m:r>
          <m:r>
            <w:rPr>
              <w:rFonts w:ascii="Cambria Math" w:hAnsi="Cambria Math"/>
            </w:rPr>
            <m:t> </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m:t>
              </m:r>
            </m:sup>
          </m:sSup>
          <m:r>
            <m:rPr>
              <m:sty m:val="p"/>
            </m:rPr>
            <w:rPr>
              <w:rFonts w:ascii="Cambria Math" w:hAnsi="Cambria Math"/>
            </w:rPr>
            <m:t>-</m:t>
          </m:r>
          <m:r>
            <w:rPr>
              <w:rFonts w:ascii="Cambria Math" w:hAnsi="Cambria Math"/>
            </w:rPr>
            <m:t>1</m:t>
          </m:r>
          <m:r>
            <m:rPr>
              <m:sty m:val="p"/>
            </m:rPr>
            <w:rPr>
              <w:rFonts w:ascii="Cambria Math" w:hAnsi="Cambria Math"/>
            </w:rPr>
            <m:t>.</m:t>
          </m:r>
        </m:oMath>
      </m:oMathPara>
    </w:p>
    <w:p w14:paraId="00603721" w14:textId="77777777" w:rsidR="00245A51" w:rsidRDefault="00783234" w:rsidP="00391ACE">
      <w:pPr>
        <w:spacing w:after="240"/>
        <w:jc w:val="both"/>
      </w:pPr>
      <w:r>
        <w:t xml:space="preserve">Hence, there exists a topology on a set </w:t>
      </w:r>
      <m:oMath>
        <m:r>
          <w:rPr>
            <w:rFonts w:ascii="Cambria Math" w:hAnsi="Cambria Math"/>
          </w:rPr>
          <m:t>S</m:t>
        </m:r>
      </m:oMath>
      <w:r>
        <w:t xml:space="preserve"> with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m:t>
        </m:r>
      </m:oMath>
      <w:r>
        <w:t xml:space="preserve"> admitting sufficiently many open sets to label all vertices of </w:t>
      </w:r>
      <m:oMath>
        <m:r>
          <w:rPr>
            <w:rFonts w:ascii="Cambria Math" w:hAnsi="Cambria Math"/>
          </w:rPr>
          <m:t>G</m:t>
        </m:r>
      </m:oMath>
      <w:r>
        <w:t xml:space="preserve"> in accordance with Theorem </w:t>
      </w:r>
      <w:r w:rsidR="00CE6844">
        <w:rPr>
          <w:rStyle w:val="Hyperlink"/>
        </w:rPr>
        <w:t>2.3.3</w:t>
      </w:r>
      <w:r>
        <w:t xml:space="preserve">. Therefore, </w:t>
      </w:r>
      <m:oMath>
        <m:r>
          <w:rPr>
            <w:rFonts w:ascii="Cambria Math" w:hAnsi="Cambria Math"/>
          </w:rPr>
          <m:t>i</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m</m:t>
        </m:r>
      </m:oMath>
      <w:r>
        <w:t>. ◻</w:t>
      </w:r>
    </w:p>
    <w:p w14:paraId="062FA078" w14:textId="77777777" w:rsidR="00990C50" w:rsidRDefault="00CE6844" w:rsidP="00245A51">
      <w:pPr>
        <w:jc w:val="both"/>
      </w:pPr>
      <w:r>
        <w:rPr>
          <w:b/>
          <w:bCs/>
        </w:rPr>
        <w:t>Corollary 5.1</w:t>
      </w:r>
      <w:r w:rsidR="00783234">
        <w:t xml:space="preserve">.  </w:t>
      </w:r>
      <w:r w:rsidR="00783234">
        <w:rPr>
          <w:i/>
          <w:iCs/>
        </w:rPr>
        <w:t xml:space="preserve">Let </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00783234">
        <w:rPr>
          <w:i/>
          <w:iCs/>
        </w:rPr>
        <w:t xml:space="preserve"> be the path graph on </w:t>
      </w:r>
      <m:oMath>
        <m:r>
          <w:rPr>
            <w:rFonts w:ascii="Cambria Math" w:hAnsi="Cambria Math"/>
          </w:rPr>
          <m:t>n</m:t>
        </m:r>
      </m:oMath>
      <w:r w:rsidR="00783234">
        <w:rPr>
          <w:i/>
          <w:iCs/>
        </w:rPr>
        <w:t xml:space="preserve"> vertices. Then </w:t>
      </w:r>
      <m:oMath>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log</m:t>
                </m:r>
              </m:e>
              <m:sub>
                <m:r>
                  <w:rPr>
                    <w:rFonts w:ascii="Cambria Math" w:hAnsi="Cambria Math"/>
                  </w:rPr>
                  <m:t>2</m:t>
                </m:r>
              </m:sub>
            </m:sSub>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e>
        </m:d>
        <m:r>
          <m:rPr>
            <m:sty m:val="p"/>
          </m:rPr>
          <w:rPr>
            <w:rFonts w:ascii="Cambria Math" w:hAnsi="Cambria Math"/>
          </w:rPr>
          <m:t>.</m:t>
        </m:r>
      </m:oMath>
    </w:p>
    <w:p w14:paraId="6C2BC6E7" w14:textId="77777777" w:rsidR="00990C50" w:rsidRDefault="00783234" w:rsidP="00245A51">
      <w:pPr>
        <w:jc w:val="both"/>
      </w:pPr>
      <w:r>
        <w:rPr>
          <w:i/>
          <w:iCs/>
        </w:rPr>
        <w:t>Proof.</w:t>
      </w:r>
      <w:r>
        <w:t xml:space="preserve"> For the path graph </w:t>
      </w:r>
      <m:oMath>
        <m:sSub>
          <m:sSubPr>
            <m:ctrlPr>
              <w:rPr>
                <w:rFonts w:ascii="Cambria Math" w:hAnsi="Cambria Math"/>
              </w:rPr>
            </m:ctrlPr>
          </m:sSubPr>
          <m:e>
            <m:r>
              <w:rPr>
                <w:rFonts w:ascii="Cambria Math" w:hAnsi="Cambria Math"/>
              </w:rPr>
              <m:t>P</m:t>
            </m:r>
          </m:e>
          <m:sub>
            <m:r>
              <w:rPr>
                <w:rFonts w:ascii="Cambria Math" w:hAnsi="Cambria Math"/>
              </w:rPr>
              <m:t>n</m:t>
            </m:r>
          </m:sub>
        </m:sSub>
      </m:oMath>
      <w:r>
        <w:t xml:space="preserve">, we have </w:t>
      </w:r>
      <m:oMath>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n</m:t>
        </m:r>
      </m:oMath>
      <w:r>
        <w:t xml:space="preserve"> and </w:t>
      </w:r>
      <m:oMath>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1</m:t>
        </m:r>
      </m:oMath>
      <w:r>
        <w:t>, since at most one pendant vertex can be adjacent to a given vertex. Substituting into Theorem </w:t>
      </w:r>
      <w:hyperlink w:anchor="thm:iG">
        <w:r w:rsidR="00CE6844">
          <w:rPr>
            <w:rStyle w:val="Hyperlink"/>
          </w:rPr>
          <w:t>5.</w:t>
        </w:r>
        <w:r>
          <w:rPr>
            <w:rStyle w:val="Hyperlink"/>
          </w:rPr>
          <w:t>3</w:t>
        </w:r>
      </w:hyperlink>
      <w:r>
        <w:t xml:space="preserve"> yields the result. ◻</w:t>
      </w:r>
    </w:p>
    <w:p w14:paraId="667A73AD" w14:textId="77777777" w:rsidR="00990C50" w:rsidRDefault="00CE6844" w:rsidP="00245A51">
      <w:pPr>
        <w:pStyle w:val="Heading1"/>
        <w:jc w:val="both"/>
      </w:pPr>
      <w:bookmarkStart w:id="22" w:name="conclusion-and-future-directions"/>
      <w:bookmarkEnd w:id="19"/>
      <w:r>
        <w:t xml:space="preserve">6. </w:t>
      </w:r>
      <w:r w:rsidR="00783234">
        <w:t>Conclusion and Future Directions</w:t>
      </w:r>
    </w:p>
    <w:p w14:paraId="02B4B328" w14:textId="77777777" w:rsidR="00245A51" w:rsidRDefault="00783234" w:rsidP="00391ACE">
      <w:pPr>
        <w:spacing w:after="240"/>
        <w:jc w:val="both"/>
      </w:pPr>
      <w:r>
        <w:t>In this paper, we have investigated several structural and operational aspects of topological integer additive set-labeled graphs beyond their basic characterization. While necessary and sufficient conditions for the existence of TIASL graphs were previously established by Sudev and Germina, our focus has been on properties that emerge once such graphs are known to exist.</w:t>
      </w:r>
    </w:p>
    <w:p w14:paraId="6949A9F2" w14:textId="77777777" w:rsidR="00245A51" w:rsidRDefault="00783234" w:rsidP="00391ACE">
      <w:pPr>
        <w:spacing w:after="240"/>
        <w:jc w:val="both"/>
      </w:pPr>
      <w:r>
        <w:t xml:space="preserve">We first proved an embedding theorem showing that every finite connected graph can be realized as a subgraph of a connected TIASL graph. This universality result demonstrates that, despite strong local structural constraints such as the existence of a unique vertex labeled by </w:t>
      </w:r>
      <m:oMath>
        <m:r>
          <m:rPr>
            <m:sty m:val="p"/>
          </m:rPr>
          <w:rPr>
            <w:rFonts w:ascii="Cambria Math" w:hAnsi="Cambria Math"/>
          </w:rPr>
          <m:t>{</m:t>
        </m:r>
        <m:r>
          <w:rPr>
            <w:rFonts w:ascii="Cambria Math" w:hAnsi="Cambria Math"/>
          </w:rPr>
          <m:t>0</m:t>
        </m:r>
        <m:r>
          <m:rPr>
            <m:sty m:val="p"/>
          </m:rPr>
          <w:rPr>
            <w:rFonts w:ascii="Cambria Math" w:hAnsi="Cambria Math"/>
          </w:rPr>
          <m:t>}</m:t>
        </m:r>
      </m:oMath>
      <w:r>
        <w:t xml:space="preserve"> and the necessity of pendant vertices the class of TIASL graphs is globally flexible.</w:t>
      </w:r>
    </w:p>
    <w:p w14:paraId="4A098D65" w14:textId="77777777" w:rsidR="00245A51" w:rsidRDefault="00783234" w:rsidP="00391ACE">
      <w:pPr>
        <w:spacing w:after="240"/>
        <w:jc w:val="both"/>
      </w:pPr>
      <w:r>
        <w:t xml:space="preserve">We then examined the behavior of TIASL under standard graph operations. Our results show that TIASL graphs are not closed under most classical operations, including disjoint </w:t>
      </w:r>
      <w:r>
        <w:lastRenderedPageBreak/>
        <w:t xml:space="preserve">union and join. Closure holds only under carefully controlled operations, notably vertex identification at the unique </w:t>
      </w:r>
      <m:oMath>
        <m:r>
          <m:rPr>
            <m:sty m:val="p"/>
          </m:rPr>
          <w:rPr>
            <w:rFonts w:ascii="Cambria Math" w:hAnsi="Cambria Math"/>
          </w:rPr>
          <m:t>{</m:t>
        </m:r>
        <m:r>
          <w:rPr>
            <w:rFonts w:ascii="Cambria Math" w:hAnsi="Cambria Math"/>
          </w:rPr>
          <m:t>0</m:t>
        </m:r>
        <m:r>
          <m:rPr>
            <m:sty m:val="p"/>
          </m:rPr>
          <w:rPr>
            <w:rFonts w:ascii="Cambria Math" w:hAnsi="Cambria Math"/>
          </w:rPr>
          <m:t>}</m:t>
        </m:r>
      </m:oMath>
      <w:r>
        <w:t>-labeled vertex and subdivision of edges incident to it. These findings highlight the inherently single-centered nature of TIASL graphs and explain the fragility of the TIASL property under structural modifications.</w:t>
      </w:r>
    </w:p>
    <w:p w14:paraId="6B823C6C" w14:textId="77777777" w:rsidR="00245A51" w:rsidRDefault="00783234" w:rsidP="00391ACE">
      <w:pPr>
        <w:spacing w:after="240"/>
        <w:jc w:val="both"/>
      </w:pPr>
      <w:r>
        <w:t>Finally, we studied the topological set-indexing number introduced earlier and derived new bounds and consequences based on the embedding theorem and graph operations. These results demonstrate that this invariant is influenced not only by the order of the graph but also by its pendant vertex structure and centrality constraints.</w:t>
      </w:r>
    </w:p>
    <w:p w14:paraId="7E54E82D" w14:textId="77777777" w:rsidR="00245A51" w:rsidRDefault="00783234" w:rsidP="00391ACE">
      <w:pPr>
        <w:spacing w:after="240"/>
        <w:jc w:val="both"/>
      </w:pPr>
      <w:r>
        <w:t>Several directions for future research naturally arise from this work. One promising direction is the investigation of TIASL under additional graph operations or graph products, with the aim of obtaining a complete closure classification. Another is the study of algorithmic aspects of TIASL, such as determining the complexity of computing the topological set-indexing number or deciding whether a given labeling extends to a TIASL. It would also be of interest to explore variations of TIASL obtained by modifying the additive operation or by imposing further restrictions on the topology of the ground set.</w:t>
      </w:r>
    </w:p>
    <w:p w14:paraId="043D1393" w14:textId="050660E6" w:rsidR="00503BFC" w:rsidRDefault="00783234" w:rsidP="00C24476">
      <w:pPr>
        <w:spacing w:after="240"/>
        <w:jc w:val="both"/>
      </w:pPr>
      <w:r>
        <w:t>We hope that the results presented here contribute to a deeper understanding of topological integer additive set-labeling and stimulate further research in this direction.</w:t>
      </w:r>
    </w:p>
    <w:p w14:paraId="3629E6D5" w14:textId="4E2E73E7" w:rsidR="00503BFC" w:rsidRPr="00A05B35" w:rsidRDefault="00503BFC" w:rsidP="00503BFC">
      <w:pPr>
        <w:spacing w:after="200" w:line="276" w:lineRule="auto"/>
        <w:rPr>
          <w:rFonts w:ascii="Calibri" w:eastAsia="Calibri" w:hAnsi="Calibri"/>
          <w:b/>
          <w:kern w:val="2"/>
          <w:sz w:val="22"/>
          <w:szCs w:val="22"/>
          <w:highlight w:val="yellow"/>
        </w:rPr>
      </w:pPr>
      <w:r w:rsidRPr="00A05B35">
        <w:rPr>
          <w:rFonts w:ascii="Calibri" w:eastAsia="Calibri" w:hAnsi="Calibri"/>
          <w:b/>
          <w:kern w:val="2"/>
          <w:sz w:val="22"/>
          <w:szCs w:val="22"/>
          <w:highlight w:val="yellow"/>
        </w:rPr>
        <w:t>Disclaimer (Artificial intelligence)</w:t>
      </w:r>
    </w:p>
    <w:p w14:paraId="35F8AB32" w14:textId="5812D175" w:rsidR="00503BFC" w:rsidRDefault="00A05B35" w:rsidP="00C24476">
      <w:pPr>
        <w:spacing w:after="240"/>
        <w:jc w:val="both"/>
      </w:pPr>
      <w:r w:rsidRPr="00A05B35">
        <w:rPr>
          <w:rFonts w:ascii="Calibri" w:eastAsia="Calibri" w:hAnsi="Calibri"/>
          <w:kern w:val="2"/>
          <w:sz w:val="22"/>
          <w:szCs w:val="22"/>
          <w:highlight w:val="yellow"/>
        </w:rPr>
        <w:t xml:space="preserve">The authors used </w:t>
      </w:r>
      <w:proofErr w:type="spellStart"/>
      <w:r w:rsidRPr="00A05B35">
        <w:rPr>
          <w:rFonts w:ascii="Calibri" w:eastAsia="Calibri" w:hAnsi="Calibri"/>
          <w:kern w:val="2"/>
          <w:sz w:val="22"/>
          <w:szCs w:val="22"/>
          <w:highlight w:val="yellow"/>
        </w:rPr>
        <w:t>OpenAI’s</w:t>
      </w:r>
      <w:proofErr w:type="spellEnd"/>
      <w:r w:rsidRPr="00A05B35">
        <w:rPr>
          <w:rFonts w:ascii="Calibri" w:eastAsia="Calibri" w:hAnsi="Calibri"/>
          <w:kern w:val="2"/>
          <w:sz w:val="22"/>
          <w:szCs w:val="22"/>
          <w:highlight w:val="yellow"/>
        </w:rPr>
        <w:t xml:space="preserve"> </w:t>
      </w:r>
      <w:proofErr w:type="spellStart"/>
      <w:r w:rsidRPr="00A05B35">
        <w:rPr>
          <w:rFonts w:ascii="Calibri" w:eastAsia="Calibri" w:hAnsi="Calibri"/>
          <w:kern w:val="2"/>
          <w:sz w:val="22"/>
          <w:szCs w:val="22"/>
          <w:highlight w:val="yellow"/>
        </w:rPr>
        <w:t>ChatGPT</w:t>
      </w:r>
      <w:proofErr w:type="spellEnd"/>
      <w:r w:rsidRPr="00A05B35">
        <w:rPr>
          <w:rFonts w:ascii="Calibri" w:eastAsia="Calibri" w:hAnsi="Calibri"/>
          <w:kern w:val="2"/>
          <w:sz w:val="22"/>
          <w:szCs w:val="22"/>
          <w:highlight w:val="yellow"/>
        </w:rPr>
        <w:t xml:space="preserve"> (GPT-4.1) solely for language refinement and editing of wording in the manuscript. All substantive scientific content and intellectual contributions are the authors’ own and have been thoroughly reviewed and verified.</w:t>
      </w:r>
    </w:p>
    <w:p w14:paraId="68467999" w14:textId="77777777" w:rsidR="00990C50" w:rsidRPr="00391ACE" w:rsidRDefault="00C22638" w:rsidP="00391ACE">
      <w:pPr>
        <w:pStyle w:val="ReferHead"/>
        <w:jc w:val="both"/>
        <w:rPr>
          <w:rFonts w:ascii="Arial" w:hAnsi="Arial" w:cs="Arial"/>
        </w:rPr>
      </w:pPr>
      <w:r w:rsidRPr="00FB3A86">
        <w:rPr>
          <w:rFonts w:ascii="Arial" w:hAnsi="Arial" w:cs="Arial"/>
        </w:rPr>
        <w:t>References</w:t>
      </w:r>
    </w:p>
    <w:p w14:paraId="010602F5" w14:textId="0CF8755F" w:rsidR="00874CAE" w:rsidRPr="00110C39" w:rsidRDefault="008E3278" w:rsidP="00110C39">
      <w:pPr>
        <w:pStyle w:val="ListParagraph"/>
        <w:numPr>
          <w:ilvl w:val="0"/>
          <w:numId w:val="37"/>
        </w:numPr>
        <w:jc w:val="both"/>
        <w:rPr>
          <w:highlight w:val="yellow"/>
          <w:lang w:val="en-IN"/>
        </w:rPr>
      </w:pPr>
      <w:r w:rsidRPr="00110C39">
        <w:rPr>
          <w:highlight w:val="yellow"/>
          <w:lang w:val="en-IN"/>
        </w:rPr>
        <w:t>Acharya</w:t>
      </w:r>
      <w:r w:rsidR="00A252BA" w:rsidRPr="00110C39">
        <w:rPr>
          <w:highlight w:val="yellow"/>
          <w:lang w:val="en-IN"/>
        </w:rPr>
        <w:t>, B. D. (1983)</w:t>
      </w:r>
      <w:r w:rsidRPr="00110C39">
        <w:rPr>
          <w:highlight w:val="yellow"/>
          <w:lang w:val="en-IN"/>
        </w:rPr>
        <w:t>, Set valuations of a graph and their applications, MRI Lecture Notes in Applied Mathematics, No. 2, Mehta Res</w:t>
      </w:r>
      <w:r w:rsidR="00A252BA" w:rsidRPr="00110C39">
        <w:rPr>
          <w:highlight w:val="yellow"/>
          <w:lang w:val="en-IN"/>
        </w:rPr>
        <w:t>earch Institute, Allahabad</w:t>
      </w:r>
      <w:r w:rsidRPr="00110C39">
        <w:rPr>
          <w:highlight w:val="yellow"/>
          <w:lang w:val="en-IN"/>
        </w:rPr>
        <w:t>.</w:t>
      </w:r>
      <w:r w:rsidR="000271B5" w:rsidRPr="00110C39">
        <w:rPr>
          <w:i/>
        </w:rPr>
        <w:t>(</w:t>
      </w:r>
      <w:r w:rsidR="00874CAE" w:rsidRPr="00110C39">
        <w:rPr>
          <w:i/>
        </w:rPr>
        <w:t>This is a lecture notes monograph published by MRI (1983) and does not have a DOI or online archive link. It is a foundational reference in set-valuation literature.</w:t>
      </w:r>
      <w:r w:rsidR="000271B5" w:rsidRPr="00110C39">
        <w:rPr>
          <w:i/>
        </w:rPr>
        <w:t>)</w:t>
      </w:r>
    </w:p>
    <w:p w14:paraId="1DFC010B" w14:textId="4355CB74" w:rsidR="00A51B90" w:rsidRPr="00110C39" w:rsidRDefault="00EB6DFF" w:rsidP="00110C39">
      <w:pPr>
        <w:pStyle w:val="ListParagraph"/>
        <w:numPr>
          <w:ilvl w:val="0"/>
          <w:numId w:val="37"/>
        </w:numPr>
        <w:jc w:val="both"/>
        <w:rPr>
          <w:highlight w:val="yellow"/>
        </w:rPr>
      </w:pPr>
      <w:r w:rsidRPr="00110C39">
        <w:rPr>
          <w:highlight w:val="yellow"/>
        </w:rPr>
        <w:t xml:space="preserve">Acharya, B. D., </w:t>
      </w:r>
      <w:proofErr w:type="spellStart"/>
      <w:r w:rsidRPr="00110C39">
        <w:rPr>
          <w:highlight w:val="yellow"/>
        </w:rPr>
        <w:t>Germina</w:t>
      </w:r>
      <w:proofErr w:type="spellEnd"/>
      <w:r w:rsidRPr="00110C39">
        <w:rPr>
          <w:highlight w:val="yellow"/>
        </w:rPr>
        <w:t xml:space="preserve">, K. A., Abhishek, K., &amp; Slater, P. J. (2012). Some new results on set-graceful and set-sequential graphs. </w:t>
      </w:r>
      <w:r w:rsidRPr="00110C39">
        <w:rPr>
          <w:rStyle w:val="Emphasis"/>
          <w:highlight w:val="yellow"/>
        </w:rPr>
        <w:t>Journal of Combinatorics, Information and System Sciences</w:t>
      </w:r>
      <w:r w:rsidR="00A252BA" w:rsidRPr="00110C39">
        <w:rPr>
          <w:highlight w:val="yellow"/>
        </w:rPr>
        <w:t>, 37(2-4), 229-</w:t>
      </w:r>
      <w:r w:rsidRPr="00110C39">
        <w:rPr>
          <w:highlight w:val="yellow"/>
        </w:rPr>
        <w:t>239.</w:t>
      </w:r>
      <w:hyperlink r:id="rId7" w:history="1">
        <w:r w:rsidR="00110C39" w:rsidRPr="00081770">
          <w:rPr>
            <w:rStyle w:val="Hyperlink"/>
          </w:rPr>
          <w:t>https://www.researchgate.net/publication/220082519_Further_Results_on_Set_Sequential_and_Set_Graceful_Graphs</w:t>
        </w:r>
      </w:hyperlink>
    </w:p>
    <w:p w14:paraId="03848EBC" w14:textId="2474BDF2" w:rsidR="00E7678C" w:rsidRPr="00110C39" w:rsidRDefault="00F35901" w:rsidP="00110C39">
      <w:pPr>
        <w:pStyle w:val="ListParagraph"/>
        <w:numPr>
          <w:ilvl w:val="0"/>
          <w:numId w:val="37"/>
        </w:numPr>
        <w:jc w:val="both"/>
        <w:rPr>
          <w:rFonts w:ascii="Arial" w:hAnsi="Arial" w:cs="Arial"/>
          <w:i/>
          <w:iCs/>
          <w:color w:val="0A0A0A"/>
          <w:highlight w:val="yellow"/>
          <w:shd w:val="clear" w:color="auto" w:fill="E5EDFF"/>
        </w:rPr>
      </w:pPr>
      <w:r w:rsidRPr="00110C39">
        <w:rPr>
          <w:rStyle w:val="n9q8lc"/>
          <w:rFonts w:ascii="Arial" w:hAnsi="Arial" w:cs="Arial"/>
          <w:color w:val="0A0A0A"/>
          <w:highlight w:val="yellow"/>
          <w:shd w:val="clear" w:color="auto" w:fill="E5EDFF"/>
        </w:rPr>
        <w:t>Gallian</w:t>
      </w:r>
      <w:r w:rsidR="00A252BA" w:rsidRPr="00110C39">
        <w:rPr>
          <w:rStyle w:val="n9q8lc"/>
          <w:rFonts w:ascii="Arial" w:hAnsi="Arial" w:cs="Arial"/>
          <w:color w:val="0A0A0A"/>
          <w:highlight w:val="yellow"/>
          <w:shd w:val="clear" w:color="auto" w:fill="E5EDFF"/>
        </w:rPr>
        <w:t>,</w:t>
      </w:r>
      <w:r w:rsidRPr="00110C39">
        <w:rPr>
          <w:rStyle w:val="n9q8lc"/>
          <w:rFonts w:ascii="Arial" w:hAnsi="Arial" w:cs="Arial"/>
          <w:color w:val="0A0A0A"/>
          <w:highlight w:val="yellow"/>
          <w:shd w:val="clear" w:color="auto" w:fill="E5EDFF"/>
        </w:rPr>
        <w:t xml:space="preserve"> J. A. (2025). A Dynamic Survey of Graph Labeling. </w:t>
      </w:r>
      <w:r w:rsidR="00EB6DFF" w:rsidRPr="00110C39">
        <w:rPr>
          <w:rStyle w:val="n9q8lc"/>
          <w:rFonts w:ascii="Arial" w:hAnsi="Arial" w:cs="Arial"/>
          <w:i/>
          <w:iCs/>
          <w:color w:val="0A0A0A"/>
          <w:highlight w:val="yellow"/>
          <w:shd w:val="clear" w:color="auto" w:fill="E5EDFF"/>
        </w:rPr>
        <w:t>The Electronic Journal of</w:t>
      </w:r>
      <w:r w:rsidR="000271B5" w:rsidRPr="00110C39">
        <w:rPr>
          <w:rStyle w:val="n9q8lc"/>
          <w:rFonts w:ascii="Arial" w:hAnsi="Arial" w:cs="Arial"/>
          <w:i/>
          <w:iCs/>
          <w:color w:val="0A0A0A"/>
          <w:highlight w:val="yellow"/>
          <w:shd w:val="clear" w:color="auto" w:fill="E5EDFF"/>
        </w:rPr>
        <w:t xml:space="preserve"> </w:t>
      </w:r>
      <w:r w:rsidRPr="00110C39">
        <w:rPr>
          <w:rStyle w:val="n9q8lc"/>
          <w:rFonts w:ascii="Arial" w:hAnsi="Arial" w:cs="Arial"/>
          <w:i/>
          <w:iCs/>
          <w:color w:val="0A0A0A"/>
          <w:highlight w:val="yellow"/>
          <w:shd w:val="clear" w:color="auto" w:fill="E5EDFF"/>
        </w:rPr>
        <w:t>Combinatorics</w:t>
      </w:r>
      <w:r w:rsidRPr="00110C39">
        <w:rPr>
          <w:rStyle w:val="n9q8lc"/>
          <w:rFonts w:ascii="Arial" w:hAnsi="Arial" w:cs="Arial"/>
          <w:color w:val="0A0A0A"/>
          <w:highlight w:val="yellow"/>
          <w:shd w:val="clear" w:color="auto" w:fill="E5EDFF"/>
        </w:rPr>
        <w:t>, Dynamic Survey DS6.</w:t>
      </w:r>
      <w:hyperlink r:id="rId8" w:history="1">
        <w:r w:rsidR="00110C39" w:rsidRPr="00081770">
          <w:rPr>
            <w:rStyle w:val="Hyperlink"/>
            <w:i/>
            <w:iCs/>
          </w:rPr>
          <w:t>https://doi.org/10.37236/27</w:t>
        </w:r>
      </w:hyperlink>
    </w:p>
    <w:p w14:paraId="1348A0AF" w14:textId="2AB6696D" w:rsidR="00E7678C" w:rsidRPr="00110C39" w:rsidRDefault="00EB6DFF" w:rsidP="00110C39">
      <w:pPr>
        <w:pStyle w:val="ListParagraph"/>
        <w:numPr>
          <w:ilvl w:val="0"/>
          <w:numId w:val="37"/>
        </w:numPr>
        <w:jc w:val="both"/>
        <w:rPr>
          <w:highlight w:val="yellow"/>
        </w:rPr>
      </w:pPr>
      <w:proofErr w:type="spellStart"/>
      <w:r w:rsidRPr="00110C39">
        <w:rPr>
          <w:highlight w:val="yellow"/>
        </w:rPr>
        <w:t>Germina</w:t>
      </w:r>
      <w:proofErr w:type="spellEnd"/>
      <w:r w:rsidRPr="00110C39">
        <w:rPr>
          <w:highlight w:val="yellow"/>
        </w:rPr>
        <w:t xml:space="preserve">, K. A., &amp; </w:t>
      </w:r>
      <w:proofErr w:type="spellStart"/>
      <w:r w:rsidRPr="00110C39">
        <w:rPr>
          <w:highlight w:val="yellow"/>
        </w:rPr>
        <w:t>Anandavally</w:t>
      </w:r>
      <w:proofErr w:type="spellEnd"/>
      <w:r w:rsidRPr="00110C39">
        <w:rPr>
          <w:highlight w:val="yellow"/>
        </w:rPr>
        <w:t xml:space="preserve">, T. M. K. (2012). Integer additive set-indexers of a graph: sum square graphs. </w:t>
      </w:r>
      <w:r w:rsidRPr="00110C39">
        <w:rPr>
          <w:rStyle w:val="Emphasis"/>
          <w:highlight w:val="yellow"/>
        </w:rPr>
        <w:t>Journal of Combinatorics, Information and System Sciences</w:t>
      </w:r>
      <w:r w:rsidR="00A252BA" w:rsidRPr="00110C39">
        <w:rPr>
          <w:highlight w:val="yellow"/>
        </w:rPr>
        <w:t>, 37(2-</w:t>
      </w:r>
      <w:r w:rsidRPr="00110C39">
        <w:rPr>
          <w:highlight w:val="yellow"/>
        </w:rPr>
        <w:t>4), 345–358.</w:t>
      </w:r>
      <w:hyperlink r:id="rId9" w:history="1">
        <w:r w:rsidR="00110C39" w:rsidRPr="00081770">
          <w:rPr>
            <w:rStyle w:val="Hyperlink"/>
          </w:rPr>
          <w:t>https://www.researchgate.net/publication/267167590_Integer_additive_set-indexers_of_a_graph_sum_square_graphs</w:t>
        </w:r>
      </w:hyperlink>
    </w:p>
    <w:p w14:paraId="1D12F2D7" w14:textId="77777777" w:rsidR="00EA0021" w:rsidRPr="00110C39" w:rsidRDefault="00EA0021" w:rsidP="00110C39">
      <w:pPr>
        <w:pStyle w:val="ListParagraph"/>
        <w:numPr>
          <w:ilvl w:val="0"/>
          <w:numId w:val="37"/>
        </w:numPr>
        <w:spacing w:after="240"/>
        <w:jc w:val="both"/>
        <w:rPr>
          <w:highlight w:val="yellow"/>
        </w:rPr>
      </w:pPr>
      <w:proofErr w:type="spellStart"/>
      <w:r w:rsidRPr="00110C39">
        <w:rPr>
          <w:highlight w:val="yellow"/>
        </w:rPr>
        <w:t>Munkres</w:t>
      </w:r>
      <w:proofErr w:type="spellEnd"/>
      <w:r w:rsidRPr="00110C39">
        <w:rPr>
          <w:highlight w:val="yellow"/>
        </w:rPr>
        <w:t xml:space="preserve">, J. R. (2000). </w:t>
      </w:r>
      <w:r w:rsidRPr="00110C39">
        <w:rPr>
          <w:rStyle w:val="Emphasis"/>
          <w:highlight w:val="yellow"/>
        </w:rPr>
        <w:t>Topology</w:t>
      </w:r>
      <w:r w:rsidRPr="00110C39">
        <w:rPr>
          <w:highlight w:val="yellow"/>
        </w:rPr>
        <w:t xml:space="preserve"> (2nd ed.). Prentice Hall.</w:t>
      </w:r>
    </w:p>
    <w:p w14:paraId="512822B0" w14:textId="6414B47C" w:rsidR="00034072" w:rsidRPr="00110C39" w:rsidRDefault="00EA0021" w:rsidP="00110C39">
      <w:pPr>
        <w:pStyle w:val="ListParagraph"/>
        <w:numPr>
          <w:ilvl w:val="0"/>
          <w:numId w:val="37"/>
        </w:numPr>
        <w:jc w:val="both"/>
        <w:rPr>
          <w:highlight w:val="yellow"/>
        </w:rPr>
      </w:pPr>
      <w:r w:rsidRPr="00110C39">
        <w:rPr>
          <w:highlight w:val="yellow"/>
        </w:rPr>
        <w:t xml:space="preserve">Nathanson, M. B. (1996). </w:t>
      </w:r>
      <w:r w:rsidRPr="00110C39">
        <w:rPr>
          <w:rStyle w:val="Emphasis"/>
          <w:highlight w:val="yellow"/>
        </w:rPr>
        <w:t xml:space="preserve">Additive Number Theory: Inverse Problems and the Geometry of </w:t>
      </w:r>
      <w:proofErr w:type="spellStart"/>
      <w:r w:rsidRPr="00110C39">
        <w:rPr>
          <w:rStyle w:val="Emphasis"/>
          <w:highlight w:val="yellow"/>
        </w:rPr>
        <w:t>Sumsets</w:t>
      </w:r>
      <w:proofErr w:type="spellEnd"/>
      <w:r w:rsidRPr="00110C39">
        <w:rPr>
          <w:highlight w:val="yellow"/>
        </w:rPr>
        <w:t xml:space="preserve">. Graduate Texts in Mathematics, Vol. 165. </w:t>
      </w:r>
      <w:proofErr w:type="spellStart"/>
      <w:r w:rsidRPr="00110C39">
        <w:rPr>
          <w:highlight w:val="yellow"/>
        </w:rPr>
        <w:t>Springer.</w:t>
      </w:r>
      <w:hyperlink r:id="rId10" w:history="1">
        <w:r w:rsidR="00110C39" w:rsidRPr="00081770">
          <w:rPr>
            <w:rStyle w:val="Hyperlink"/>
          </w:rPr>
          <w:t>https</w:t>
        </w:r>
        <w:proofErr w:type="spellEnd"/>
        <w:r w:rsidR="00110C39" w:rsidRPr="00081770">
          <w:rPr>
            <w:rStyle w:val="Hyperlink"/>
          </w:rPr>
          <w:t>://link.springer.com/book/9780387946559</w:t>
        </w:r>
      </w:hyperlink>
    </w:p>
    <w:p w14:paraId="05F55F12" w14:textId="4EECD9C4" w:rsidR="00A51B90" w:rsidRPr="00110C39" w:rsidRDefault="00A252BA" w:rsidP="00110C39">
      <w:pPr>
        <w:pStyle w:val="ListParagraph"/>
        <w:numPr>
          <w:ilvl w:val="0"/>
          <w:numId w:val="37"/>
        </w:numPr>
        <w:jc w:val="both"/>
        <w:rPr>
          <w:highlight w:val="yellow"/>
          <w:lang w:val="en-IN"/>
        </w:rPr>
      </w:pPr>
      <w:r w:rsidRPr="00110C39">
        <w:rPr>
          <w:highlight w:val="yellow"/>
          <w:lang w:val="en-IN"/>
        </w:rPr>
        <w:t xml:space="preserve">Rosa, A. (1967). On certain valuations of the vertices of a graph, </w:t>
      </w:r>
      <w:r w:rsidRPr="00110C39">
        <w:rPr>
          <w:i/>
          <w:highlight w:val="yellow"/>
          <w:lang w:val="en-IN"/>
        </w:rPr>
        <w:t>Theory of Graphs (Internat. Symposium, Rome, July 1966)</w:t>
      </w:r>
      <w:r w:rsidRPr="00110C39">
        <w:rPr>
          <w:highlight w:val="yellow"/>
          <w:lang w:val="en-IN"/>
        </w:rPr>
        <w:t>, Gordon and Breach, 349-</w:t>
      </w:r>
      <w:r w:rsidRPr="00110C39">
        <w:rPr>
          <w:highlight w:val="yellow"/>
          <w:lang w:val="en-IN"/>
        </w:rPr>
        <w:lastRenderedPageBreak/>
        <w:t>355.</w:t>
      </w:r>
      <w:hyperlink r:id="rId11" w:history="1">
        <w:r w:rsidR="00110C39" w:rsidRPr="00081770">
          <w:rPr>
            <w:rStyle w:val="Hyperlink"/>
            <w:lang w:val="en-IN"/>
          </w:rPr>
          <w:t>https://www.researchgate.net/publication/244474213_On_certain_valuations_of_the_vertices_of_a_graph</w:t>
        </w:r>
      </w:hyperlink>
    </w:p>
    <w:p w14:paraId="334351E8" w14:textId="41AEBE59" w:rsidR="00874CAE" w:rsidRPr="00110C39" w:rsidRDefault="00EA0021" w:rsidP="00110C39">
      <w:pPr>
        <w:pStyle w:val="ListParagraph"/>
        <w:numPr>
          <w:ilvl w:val="0"/>
          <w:numId w:val="37"/>
        </w:numPr>
        <w:jc w:val="both"/>
        <w:rPr>
          <w:highlight w:val="yellow"/>
        </w:rPr>
      </w:pPr>
      <w:proofErr w:type="spellStart"/>
      <w:r w:rsidRPr="00110C39">
        <w:rPr>
          <w:highlight w:val="yellow"/>
        </w:rPr>
        <w:t>Sudev</w:t>
      </w:r>
      <w:proofErr w:type="spellEnd"/>
      <w:r w:rsidRPr="00110C39">
        <w:rPr>
          <w:highlight w:val="yellow"/>
        </w:rPr>
        <w:t xml:space="preserve">, N. K., &amp; </w:t>
      </w:r>
      <w:proofErr w:type="spellStart"/>
      <w:r w:rsidRPr="00110C39">
        <w:rPr>
          <w:highlight w:val="yellow"/>
        </w:rPr>
        <w:t>Germina</w:t>
      </w:r>
      <w:proofErr w:type="spellEnd"/>
      <w:r w:rsidRPr="00110C39">
        <w:rPr>
          <w:highlight w:val="yellow"/>
        </w:rPr>
        <w:t xml:space="preserve">, K. A. (2015). A study on topological integer additive set-labeling of graphs. </w:t>
      </w:r>
      <w:r w:rsidRPr="00110C39">
        <w:rPr>
          <w:rStyle w:val="Emphasis"/>
          <w:highlight w:val="yellow"/>
        </w:rPr>
        <w:t>Electronic Journal of Graph Theory and Applications</w:t>
      </w:r>
      <w:r w:rsidR="00A252BA" w:rsidRPr="00110C39">
        <w:rPr>
          <w:highlight w:val="yellow"/>
        </w:rPr>
        <w:t>, 3(1), 70-</w:t>
      </w:r>
      <w:r w:rsidRPr="00110C39">
        <w:rPr>
          <w:highlight w:val="yellow"/>
        </w:rPr>
        <w:t>84.</w:t>
      </w:r>
      <w:hyperlink r:id="rId12" w:history="1">
        <w:r w:rsidR="00110C39" w:rsidRPr="00081770">
          <w:rPr>
            <w:rStyle w:val="Hyperlink"/>
            <w:lang w:val="en-IN"/>
          </w:rPr>
          <w:t>https://dx.doi.org/10.5614/ejgta.2015.3.1.8</w:t>
        </w:r>
      </w:hyperlink>
    </w:p>
    <w:p w14:paraId="48B23F06" w14:textId="77777777" w:rsidR="00EA0021" w:rsidRPr="00110C39" w:rsidRDefault="00EA0021" w:rsidP="00110C39">
      <w:pPr>
        <w:pStyle w:val="ListParagraph"/>
        <w:numPr>
          <w:ilvl w:val="0"/>
          <w:numId w:val="37"/>
        </w:numPr>
        <w:spacing w:after="240"/>
        <w:jc w:val="both"/>
        <w:rPr>
          <w:highlight w:val="yellow"/>
        </w:rPr>
      </w:pPr>
      <w:r w:rsidRPr="00110C39">
        <w:rPr>
          <w:highlight w:val="yellow"/>
        </w:rPr>
        <w:t xml:space="preserve">Trudeau, R. J. (1994). </w:t>
      </w:r>
      <w:r w:rsidRPr="00110C39">
        <w:rPr>
          <w:i/>
          <w:iCs/>
          <w:highlight w:val="yellow"/>
        </w:rPr>
        <w:t>Introduction to Graph Theory</w:t>
      </w:r>
      <w:r w:rsidRPr="00110C39">
        <w:rPr>
          <w:highlight w:val="yellow"/>
        </w:rPr>
        <w:t>. Dover Publications.</w:t>
      </w:r>
    </w:p>
    <w:bookmarkEnd w:id="22"/>
    <w:p w14:paraId="024D2116" w14:textId="305AD807" w:rsidR="00990C50" w:rsidRDefault="000B3CBA" w:rsidP="00110C39">
      <w:pPr>
        <w:pStyle w:val="ListParagraph"/>
        <w:numPr>
          <w:ilvl w:val="0"/>
          <w:numId w:val="37"/>
        </w:numPr>
        <w:spacing w:after="240"/>
        <w:jc w:val="both"/>
      </w:pPr>
      <w:r w:rsidRPr="00110C39">
        <w:rPr>
          <w:highlight w:val="yellow"/>
        </w:rPr>
        <w:t xml:space="preserve">West, D. B. (2001). </w:t>
      </w:r>
      <w:r w:rsidRPr="00110C39">
        <w:rPr>
          <w:i/>
          <w:iCs/>
          <w:highlight w:val="yellow"/>
        </w:rPr>
        <w:t>Introduction to Graph Theory</w:t>
      </w:r>
      <w:r w:rsidRPr="00110C39">
        <w:rPr>
          <w:highlight w:val="yellow"/>
        </w:rPr>
        <w:t xml:space="preserve"> (2nd ed.). Prentice Hall.</w:t>
      </w:r>
    </w:p>
    <w:sectPr w:rsidR="00990C50" w:rsidSect="00DA7B02">
      <w:headerReference w:type="even" r:id="rId13"/>
      <w:headerReference w:type="default" r:id="rId14"/>
      <w:footerReference w:type="even" r:id="rId15"/>
      <w:footerReference w:type="default" r:id="rId16"/>
      <w:headerReference w:type="first" r:id="rId17"/>
      <w:footerReference w:type="first" r:id="rId18"/>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880C8" w14:textId="77777777" w:rsidR="008821CE" w:rsidRDefault="008821CE">
      <w:r>
        <w:separator/>
      </w:r>
    </w:p>
  </w:endnote>
  <w:endnote w:type="continuationSeparator" w:id="0">
    <w:p w14:paraId="0562A5D3" w14:textId="77777777" w:rsidR="008821CE" w:rsidRDefault="0088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A07C" w14:textId="77777777" w:rsidR="00D25C62" w:rsidRDefault="00D25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10FB" w14:textId="77777777" w:rsidR="00D25C62" w:rsidRDefault="00D25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451D" w14:textId="77777777" w:rsidR="00D25C62" w:rsidRDefault="00D25C62">
    <w:pPr>
      <w:pStyle w:val="Footer"/>
      <w:rPr>
        <w:rFonts w:ascii="Arial" w:hAnsi="Arial" w:cs="Arial"/>
        <w:sz w:val="16"/>
      </w:rPr>
    </w:pPr>
  </w:p>
  <w:p w14:paraId="516DCFF1" w14:textId="62F3433D" w:rsidR="00D25C62" w:rsidRDefault="00D25C62" w:rsidP="004A11FD">
    <w:pPr>
      <w:pStyle w:val="Footer"/>
      <w:jc w:val="center"/>
      <w:rPr>
        <w:rFonts w:ascii="Arial" w:hAnsi="Arial" w:cs="Arial"/>
        <w:sz w:val="16"/>
      </w:rPr>
    </w:pPr>
    <w:r>
      <w:rPr>
        <w:rFonts w:ascii="Arial" w:hAnsi="Arial" w:cs="Arial"/>
        <w:sz w:val="16"/>
      </w:rPr>
      <w:t>____________________________________________________________________________________</w:t>
    </w:r>
  </w:p>
  <w:p w14:paraId="7CCF42F7" w14:textId="442A9DA8" w:rsidR="00D25C62" w:rsidRPr="009E048A" w:rsidRDefault="00D25C62">
    <w:pPr>
      <w:pStyle w:val="Footer"/>
      <w:rPr>
        <w:rFonts w:ascii="Arial" w:hAnsi="Arial" w:cs="Arial"/>
        <w:i/>
        <w:sz w:val="16"/>
      </w:rPr>
    </w:pPr>
    <w:r w:rsidRPr="009E048A">
      <w:rPr>
        <w:rFonts w:ascii="Arial" w:hAnsi="Arial" w:cs="Arial"/>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DB9A7" w14:textId="77777777" w:rsidR="008821CE" w:rsidRDefault="008821CE">
      <w:r>
        <w:separator/>
      </w:r>
    </w:p>
  </w:footnote>
  <w:footnote w:type="continuationSeparator" w:id="0">
    <w:p w14:paraId="10487AC7" w14:textId="77777777" w:rsidR="008821CE" w:rsidRDefault="0088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DD04" w14:textId="3DD0BD58" w:rsidR="00D25C62" w:rsidRDefault="008821CE">
    <w:pPr>
      <w:pStyle w:val="Header"/>
    </w:pPr>
    <w:r>
      <w:rPr>
        <w:noProof/>
      </w:rPr>
      <w:pict w14:anchorId="6BC69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38DA" w14:textId="62DF35AC" w:rsidR="00D25C62" w:rsidRDefault="008821CE">
    <w:pPr>
      <w:pStyle w:val="Header"/>
    </w:pPr>
    <w:r>
      <w:rPr>
        <w:noProof/>
      </w:rPr>
      <w:pict w14:anchorId="4038E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5807" w14:textId="399A5C7F" w:rsidR="00D25C62" w:rsidRPr="00296529" w:rsidRDefault="008821CE" w:rsidP="00296529">
    <w:pPr>
      <w:ind w:left="2160"/>
      <w:jc w:val="center"/>
      <w:rPr>
        <w:rFonts w:ascii="Times New Roman" w:eastAsia="Calibri" w:hAnsi="Times New Roman"/>
        <w:i/>
        <w:sz w:val="18"/>
        <w:szCs w:val="22"/>
      </w:rPr>
    </w:pPr>
    <w:r>
      <w:rPr>
        <w:noProof/>
      </w:rPr>
      <w:pict w14:anchorId="663C7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0FDA1C" w14:textId="77777777" w:rsidR="00D25C62" w:rsidRPr="00296529" w:rsidRDefault="00D25C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2F4EA6" w14:textId="77777777" w:rsidR="00D25C62" w:rsidRPr="00296529" w:rsidRDefault="00D25C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E8EE0E" w14:textId="77777777" w:rsidR="00D25C62" w:rsidRPr="00296529" w:rsidRDefault="00D25C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0147F6" w14:textId="77777777" w:rsidR="00D25C62" w:rsidRDefault="00D25C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3256AD" w14:textId="77777777" w:rsidR="00D25C62" w:rsidRDefault="00D25C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33E811" w14:textId="77777777" w:rsidR="00D25C62" w:rsidRDefault="00D25C6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0"/>
    <w:multiLevelType w:val="multilevel"/>
    <w:tmpl w:val="CECCE6A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A99201"/>
    <w:multiLevelType w:val="multilevel"/>
    <w:tmpl w:val="B2AAA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1816D6"/>
    <w:multiLevelType w:val="hybridMultilevel"/>
    <w:tmpl w:val="9FE0C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160DE"/>
    <w:multiLevelType w:val="hybridMultilevel"/>
    <w:tmpl w:val="6C045B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A87A2C"/>
    <w:multiLevelType w:val="hybridMultilevel"/>
    <w:tmpl w:val="4EB84DB2"/>
    <w:lvl w:ilvl="0" w:tplc="6FE063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23F3E"/>
    <w:multiLevelType w:val="hybridMultilevel"/>
    <w:tmpl w:val="F466A3BC"/>
    <w:lvl w:ilvl="0" w:tplc="18640E9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3"/>
  </w:num>
  <w:num w:numId="8">
    <w:abstractNumId w:val="15"/>
  </w:num>
  <w:num w:numId="9">
    <w:abstractNumId w:val="30"/>
  </w:num>
  <w:num w:numId="10">
    <w:abstractNumId w:val="4"/>
  </w:num>
  <w:num w:numId="11">
    <w:abstractNumId w:val="22"/>
  </w:num>
  <w:num w:numId="12">
    <w:abstractNumId w:val="5"/>
  </w:num>
  <w:num w:numId="13">
    <w:abstractNumId w:val="21"/>
  </w:num>
  <w:num w:numId="14">
    <w:abstractNumId w:val="11"/>
  </w:num>
  <w:num w:numId="15">
    <w:abstractNumId w:val="26"/>
  </w:num>
  <w:num w:numId="16">
    <w:abstractNumId w:val="7"/>
  </w:num>
  <w:num w:numId="17">
    <w:abstractNumId w:val="27"/>
  </w:num>
  <w:num w:numId="18">
    <w:abstractNumId w:val="17"/>
  </w:num>
  <w:num w:numId="19">
    <w:abstractNumId w:val="34"/>
  </w:num>
  <w:num w:numId="20">
    <w:abstractNumId w:val="14"/>
  </w:num>
  <w:num w:numId="21">
    <w:abstractNumId w:val="12"/>
  </w:num>
  <w:num w:numId="22">
    <w:abstractNumId w:val="16"/>
  </w:num>
  <w:num w:numId="23">
    <w:abstractNumId w:val="23"/>
  </w:num>
  <w:num w:numId="24">
    <w:abstractNumId w:val="31"/>
  </w:num>
  <w:num w:numId="25">
    <w:abstractNumId w:val="6"/>
  </w:num>
  <w:num w:numId="26">
    <w:abstractNumId w:val="20"/>
  </w:num>
  <w:num w:numId="27">
    <w:abstractNumId w:val="25"/>
  </w:num>
  <w:num w:numId="28">
    <w:abstractNumId w:val="32"/>
  </w:num>
  <w:num w:numId="29">
    <w:abstractNumId w:val="29"/>
  </w:num>
  <w:num w:numId="30">
    <w:abstractNumId w:val="13"/>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8"/>
  </w:num>
  <w:num w:numId="36">
    <w:abstractNumId w:val="3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36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1B5"/>
    <w:rsid w:val="00030174"/>
    <w:rsid w:val="00034072"/>
    <w:rsid w:val="000354FA"/>
    <w:rsid w:val="0004579C"/>
    <w:rsid w:val="000819F2"/>
    <w:rsid w:val="000A31BB"/>
    <w:rsid w:val="000A47FA"/>
    <w:rsid w:val="000A65D3"/>
    <w:rsid w:val="000B1E33"/>
    <w:rsid w:val="000B3CBA"/>
    <w:rsid w:val="000D32E1"/>
    <w:rsid w:val="000D689F"/>
    <w:rsid w:val="000E7B7B"/>
    <w:rsid w:val="000E7D62"/>
    <w:rsid w:val="00103357"/>
    <w:rsid w:val="00110C39"/>
    <w:rsid w:val="00123C9F"/>
    <w:rsid w:val="00126190"/>
    <w:rsid w:val="00130F17"/>
    <w:rsid w:val="001320BF"/>
    <w:rsid w:val="00163BC4"/>
    <w:rsid w:val="001641E5"/>
    <w:rsid w:val="00191062"/>
    <w:rsid w:val="00192B72"/>
    <w:rsid w:val="001A29D8"/>
    <w:rsid w:val="001A5CAA"/>
    <w:rsid w:val="001B0427"/>
    <w:rsid w:val="001D0981"/>
    <w:rsid w:val="001D3A51"/>
    <w:rsid w:val="001E10D2"/>
    <w:rsid w:val="001E25B4"/>
    <w:rsid w:val="001E44FE"/>
    <w:rsid w:val="00200595"/>
    <w:rsid w:val="00204835"/>
    <w:rsid w:val="0022060C"/>
    <w:rsid w:val="00231920"/>
    <w:rsid w:val="0023195C"/>
    <w:rsid w:val="0024282C"/>
    <w:rsid w:val="00242F5F"/>
    <w:rsid w:val="00245A51"/>
    <w:rsid w:val="002460DC"/>
    <w:rsid w:val="00250985"/>
    <w:rsid w:val="002556F6"/>
    <w:rsid w:val="00283105"/>
    <w:rsid w:val="00284C4C"/>
    <w:rsid w:val="00287E68"/>
    <w:rsid w:val="00296529"/>
    <w:rsid w:val="002B27FB"/>
    <w:rsid w:val="002B685A"/>
    <w:rsid w:val="002C57D2"/>
    <w:rsid w:val="002E0D56"/>
    <w:rsid w:val="002E32C9"/>
    <w:rsid w:val="003147C9"/>
    <w:rsid w:val="00315186"/>
    <w:rsid w:val="003322CE"/>
    <w:rsid w:val="0033343E"/>
    <w:rsid w:val="00345E83"/>
    <w:rsid w:val="003512C2"/>
    <w:rsid w:val="00371FB5"/>
    <w:rsid w:val="00371FB6"/>
    <w:rsid w:val="003763C1"/>
    <w:rsid w:val="00376BBE"/>
    <w:rsid w:val="00391ACE"/>
    <w:rsid w:val="0039224F"/>
    <w:rsid w:val="003A3362"/>
    <w:rsid w:val="003A3601"/>
    <w:rsid w:val="003A43A4"/>
    <w:rsid w:val="003A7E18"/>
    <w:rsid w:val="003C4C86"/>
    <w:rsid w:val="003C6258"/>
    <w:rsid w:val="003D4F21"/>
    <w:rsid w:val="003E2904"/>
    <w:rsid w:val="003E61BB"/>
    <w:rsid w:val="00401927"/>
    <w:rsid w:val="0041027F"/>
    <w:rsid w:val="00412475"/>
    <w:rsid w:val="00423789"/>
    <w:rsid w:val="00431303"/>
    <w:rsid w:val="00434946"/>
    <w:rsid w:val="00440F43"/>
    <w:rsid w:val="00441B6F"/>
    <w:rsid w:val="00446221"/>
    <w:rsid w:val="00450E62"/>
    <w:rsid w:val="004539DB"/>
    <w:rsid w:val="00471A80"/>
    <w:rsid w:val="004A11FD"/>
    <w:rsid w:val="004D305E"/>
    <w:rsid w:val="004D4277"/>
    <w:rsid w:val="00502516"/>
    <w:rsid w:val="00503BFC"/>
    <w:rsid w:val="00505F06"/>
    <w:rsid w:val="00506828"/>
    <w:rsid w:val="0053056E"/>
    <w:rsid w:val="00554FDA"/>
    <w:rsid w:val="005C784C"/>
    <w:rsid w:val="005D0D41"/>
    <w:rsid w:val="005D17F6"/>
    <w:rsid w:val="005E5539"/>
    <w:rsid w:val="0060170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D2F"/>
    <w:rsid w:val="006D30FF"/>
    <w:rsid w:val="006D6940"/>
    <w:rsid w:val="006D787A"/>
    <w:rsid w:val="006E2645"/>
    <w:rsid w:val="006F11EC"/>
    <w:rsid w:val="0070082C"/>
    <w:rsid w:val="00710388"/>
    <w:rsid w:val="007369E6"/>
    <w:rsid w:val="00746E59"/>
    <w:rsid w:val="00754C9A"/>
    <w:rsid w:val="0075599A"/>
    <w:rsid w:val="00761D52"/>
    <w:rsid w:val="0077749E"/>
    <w:rsid w:val="00783234"/>
    <w:rsid w:val="00790ADA"/>
    <w:rsid w:val="007D2288"/>
    <w:rsid w:val="007E088F"/>
    <w:rsid w:val="007F5F98"/>
    <w:rsid w:val="007F7B32"/>
    <w:rsid w:val="0080472E"/>
    <w:rsid w:val="00804BC2"/>
    <w:rsid w:val="0081431A"/>
    <w:rsid w:val="00831377"/>
    <w:rsid w:val="008318A8"/>
    <w:rsid w:val="0083216F"/>
    <w:rsid w:val="00860000"/>
    <w:rsid w:val="00863BD3"/>
    <w:rsid w:val="008641ED"/>
    <w:rsid w:val="00866D66"/>
    <w:rsid w:val="008671C6"/>
    <w:rsid w:val="00874CAE"/>
    <w:rsid w:val="00875803"/>
    <w:rsid w:val="008821CE"/>
    <w:rsid w:val="00897154"/>
    <w:rsid w:val="00897F95"/>
    <w:rsid w:val="008B459E"/>
    <w:rsid w:val="008C1502"/>
    <w:rsid w:val="008E13AE"/>
    <w:rsid w:val="008E1506"/>
    <w:rsid w:val="008E3278"/>
    <w:rsid w:val="008E710C"/>
    <w:rsid w:val="008F69D6"/>
    <w:rsid w:val="00902823"/>
    <w:rsid w:val="00915CA6"/>
    <w:rsid w:val="00927834"/>
    <w:rsid w:val="009314F1"/>
    <w:rsid w:val="0094254C"/>
    <w:rsid w:val="009500A6"/>
    <w:rsid w:val="00957C18"/>
    <w:rsid w:val="009659BA"/>
    <w:rsid w:val="00983040"/>
    <w:rsid w:val="00990C50"/>
    <w:rsid w:val="009A0687"/>
    <w:rsid w:val="009B3FB9"/>
    <w:rsid w:val="009C2465"/>
    <w:rsid w:val="009D35A0"/>
    <w:rsid w:val="009D7EB7"/>
    <w:rsid w:val="009E048A"/>
    <w:rsid w:val="009E08E9"/>
    <w:rsid w:val="009E3DB9"/>
    <w:rsid w:val="009E6E35"/>
    <w:rsid w:val="009F0EDA"/>
    <w:rsid w:val="00A03B96"/>
    <w:rsid w:val="00A05B19"/>
    <w:rsid w:val="00A05B35"/>
    <w:rsid w:val="00A1134E"/>
    <w:rsid w:val="00A24E7E"/>
    <w:rsid w:val="00A252BA"/>
    <w:rsid w:val="00A258C3"/>
    <w:rsid w:val="00A347C0"/>
    <w:rsid w:val="00A51431"/>
    <w:rsid w:val="00A51B90"/>
    <w:rsid w:val="00A539AD"/>
    <w:rsid w:val="00A75AD1"/>
    <w:rsid w:val="00A917E0"/>
    <w:rsid w:val="00A94063"/>
    <w:rsid w:val="00AA6219"/>
    <w:rsid w:val="00AA74E0"/>
    <w:rsid w:val="00AB703F"/>
    <w:rsid w:val="00AC3976"/>
    <w:rsid w:val="00AC6BB8"/>
    <w:rsid w:val="00AE008F"/>
    <w:rsid w:val="00B01FCD"/>
    <w:rsid w:val="00B07844"/>
    <w:rsid w:val="00B1776C"/>
    <w:rsid w:val="00B40D90"/>
    <w:rsid w:val="00B52583"/>
    <w:rsid w:val="00B52896"/>
    <w:rsid w:val="00B95236"/>
    <w:rsid w:val="00B96BD9"/>
    <w:rsid w:val="00BA1B01"/>
    <w:rsid w:val="00BA2641"/>
    <w:rsid w:val="00BA69DE"/>
    <w:rsid w:val="00BB37AA"/>
    <w:rsid w:val="00BC53A0"/>
    <w:rsid w:val="00BE62AD"/>
    <w:rsid w:val="00BF121F"/>
    <w:rsid w:val="00BF17E1"/>
    <w:rsid w:val="00BF1F80"/>
    <w:rsid w:val="00C166EF"/>
    <w:rsid w:val="00C17EB0"/>
    <w:rsid w:val="00C22638"/>
    <w:rsid w:val="00C24476"/>
    <w:rsid w:val="00C27F5F"/>
    <w:rsid w:val="00C30447"/>
    <w:rsid w:val="00C30A0F"/>
    <w:rsid w:val="00C37E61"/>
    <w:rsid w:val="00C70F1B"/>
    <w:rsid w:val="00C71A47"/>
    <w:rsid w:val="00C7464C"/>
    <w:rsid w:val="00C85588"/>
    <w:rsid w:val="00CD6755"/>
    <w:rsid w:val="00CD6856"/>
    <w:rsid w:val="00CE0089"/>
    <w:rsid w:val="00CE6844"/>
    <w:rsid w:val="00CE793C"/>
    <w:rsid w:val="00CF193C"/>
    <w:rsid w:val="00CF505E"/>
    <w:rsid w:val="00D173F1"/>
    <w:rsid w:val="00D25C62"/>
    <w:rsid w:val="00D50DA9"/>
    <w:rsid w:val="00D74CB0"/>
    <w:rsid w:val="00D8295D"/>
    <w:rsid w:val="00DA7B02"/>
    <w:rsid w:val="00DC2A65"/>
    <w:rsid w:val="00DE15F0"/>
    <w:rsid w:val="00DE46DC"/>
    <w:rsid w:val="00DE5663"/>
    <w:rsid w:val="00DE78AA"/>
    <w:rsid w:val="00DF5541"/>
    <w:rsid w:val="00E053D0"/>
    <w:rsid w:val="00E15994"/>
    <w:rsid w:val="00E3114E"/>
    <w:rsid w:val="00E314DA"/>
    <w:rsid w:val="00E31A70"/>
    <w:rsid w:val="00E35B02"/>
    <w:rsid w:val="00E66496"/>
    <w:rsid w:val="00E66B35"/>
    <w:rsid w:val="00E66E10"/>
    <w:rsid w:val="00E7678C"/>
    <w:rsid w:val="00E769F6"/>
    <w:rsid w:val="00E76D40"/>
    <w:rsid w:val="00E778AF"/>
    <w:rsid w:val="00E8407C"/>
    <w:rsid w:val="00E84F3C"/>
    <w:rsid w:val="00E858DA"/>
    <w:rsid w:val="00EA0021"/>
    <w:rsid w:val="00EA012C"/>
    <w:rsid w:val="00EB6DFF"/>
    <w:rsid w:val="00EC6A55"/>
    <w:rsid w:val="00ED0288"/>
    <w:rsid w:val="00EE52CB"/>
    <w:rsid w:val="00EF581D"/>
    <w:rsid w:val="00EF7FD8"/>
    <w:rsid w:val="00EF7FF1"/>
    <w:rsid w:val="00F06F59"/>
    <w:rsid w:val="00F17988"/>
    <w:rsid w:val="00F27B6A"/>
    <w:rsid w:val="00F35901"/>
    <w:rsid w:val="00F469F0"/>
    <w:rsid w:val="00F53273"/>
    <w:rsid w:val="00F755E4"/>
    <w:rsid w:val="00F77D02"/>
    <w:rsid w:val="00F97581"/>
    <w:rsid w:val="00FB3A86"/>
    <w:rsid w:val="00FD3238"/>
    <w:rsid w:val="00FD36C8"/>
    <w:rsid w:val="00FE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FA7049"/>
  <w15:docId w15:val="{0675A07A-D360-4BEB-BD11-54FE8E2E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94254C"/>
    <w:pPr>
      <w:ind w:left="720"/>
      <w:contextualSpacing/>
    </w:pPr>
  </w:style>
  <w:style w:type="character" w:customStyle="1" w:styleId="n9q8lc">
    <w:name w:val="n9q8lc"/>
    <w:basedOn w:val="DefaultParagraphFont"/>
    <w:rsid w:val="00F35901"/>
  </w:style>
  <w:style w:type="character" w:customStyle="1" w:styleId="vkekvd">
    <w:name w:val="vkekvd"/>
    <w:basedOn w:val="DefaultParagraphFont"/>
    <w:rsid w:val="00F35901"/>
  </w:style>
  <w:style w:type="character" w:styleId="UnresolvedMention">
    <w:name w:val="Unresolved Mention"/>
    <w:basedOn w:val="DefaultParagraphFont"/>
    <w:uiPriority w:val="99"/>
    <w:semiHidden/>
    <w:unhideWhenUsed/>
    <w:rsid w:val="0011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36/2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220082519_Further_Results_on_Set_Sequential_and_Set_Graceful_Graphs" TargetMode="External"/><Relationship Id="rId12" Type="http://schemas.openxmlformats.org/officeDocument/2006/relationships/hyperlink" Target="https://dx.doi.org/10.5614/ejgta.2015.3.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44474213_On_certain_valuations_of_the_vertices_of_a_grap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nk.springer.com/book/97803879465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267167590_Integer_additive_set-indexers_of_a_graph_sum_square_graph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paper template</Template>
  <TotalTime>330</TotalTime>
  <Pages>9</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Further study of Topological Integer Additive Set-Labeling of Graphs</vt:lpstr>
    </vt:vector>
  </TitlesOfParts>
  <Company>aaaa</Company>
  <LinksUpToDate>false</LinksUpToDate>
  <CharactersWithSpaces>24310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study of Topological Integer Additive Set-Labeling of Graphs</dc:title>
  <dc:creator>U. M. Prajapati^1 and K. R. Odedara^{2,3}^{*}</dc:creator>
  <cp:keywords/>
  <cp:lastModifiedBy>Editor-1183</cp:lastModifiedBy>
  <cp:revision>73</cp:revision>
  <dcterms:created xsi:type="dcterms:W3CDTF">2026-02-22T06:55:00Z</dcterms:created>
  <dcterms:modified xsi:type="dcterms:W3CDTF">2026-03-04T12:30:00Z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Topological integer additive set-labeling (TIASL), introduced by Sudev and Germina, combines integer additive set-labeling with topological constraints on the ground set. While the basic characterization of TIASL graphs is known, further structural and op</vt:lpwstr>
  </property>
  <property fmtid="{D5CDD505-2E9C-101B-9397-08002B2CF9AE}" pid="3" name="address">
    <vt:lpwstr/>
  </property>
  <property fmtid="{D5CDD505-2E9C-101B-9397-08002B2CF9AE}" pid="4" name="date">
    <vt:lpwstr>Received: xxxxxx; Revised: yyyyyy; Accepted: zzzzzz. ^{*} Corresponding author © The Author(s) 2025. This article is licensed under a Creative Commons Attribution- NonCommercial-NoDerivatives 4.0 International License. To view a copy of the licence, visit</vt:lpwstr>
  </property>
</Properties>
</file>