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252A92" w:rsidRDefault="00252A92" w:rsidP="00441B6F">
      <w:pPr>
        <w:pStyle w:val="Title"/>
        <w:spacing w:after="0"/>
        <w:jc w:val="both"/>
        <w:rPr>
          <w:rFonts w:ascii="Arial" w:hAnsi="Arial" w:cs="Arial"/>
          <w:u w:val="single"/>
        </w:rPr>
      </w:pPr>
      <w:r w:rsidRPr="00252A92">
        <w:rPr>
          <w:rFonts w:ascii="Arial" w:hAnsi="Arial" w:cs="Arial"/>
          <w:u w:val="single"/>
        </w:rPr>
        <w:t>Review Article</w:t>
      </w:r>
    </w:p>
    <w:p w:rsidR="00163BC4" w:rsidRPr="00585013" w:rsidRDefault="00922235" w:rsidP="00441B6F">
      <w:pPr>
        <w:pStyle w:val="Author"/>
        <w:spacing w:line="240" w:lineRule="auto"/>
        <w:rPr>
          <w:rFonts w:ascii="Arial" w:hAnsi="Arial" w:cs="Arial"/>
          <w:bCs/>
          <w:iCs/>
          <w:kern w:val="28"/>
          <w:sz w:val="36"/>
        </w:rPr>
      </w:pPr>
      <w:r w:rsidRPr="00585013">
        <w:rPr>
          <w:rFonts w:ascii="Arial" w:hAnsi="Arial" w:cs="Arial"/>
          <w:bCs/>
          <w:iCs/>
          <w:kern w:val="28"/>
          <w:sz w:val="36"/>
        </w:rPr>
        <w:t xml:space="preserve">Evolving Molecular Classifications and Personalized </w:t>
      </w:r>
      <w:r w:rsidR="00B42B4E" w:rsidRPr="00585013">
        <w:rPr>
          <w:rFonts w:ascii="Arial" w:hAnsi="Arial" w:cs="Arial"/>
          <w:bCs/>
          <w:iCs/>
          <w:kern w:val="28"/>
          <w:sz w:val="36"/>
        </w:rPr>
        <w:t>Therapeutics</w:t>
      </w:r>
      <w:r w:rsidR="00B21086">
        <w:rPr>
          <w:rFonts w:ascii="Arial" w:hAnsi="Arial" w:cs="Arial"/>
          <w:bCs/>
          <w:iCs/>
          <w:kern w:val="28"/>
          <w:sz w:val="36"/>
        </w:rPr>
        <w:t xml:space="preserve"> in </w:t>
      </w:r>
      <w:r w:rsidR="00B21086" w:rsidRPr="00585013">
        <w:rPr>
          <w:rFonts w:ascii="Arial" w:hAnsi="Arial" w:cs="Arial"/>
          <w:bCs/>
          <w:iCs/>
          <w:kern w:val="28"/>
          <w:sz w:val="36"/>
        </w:rPr>
        <w:t xml:space="preserve">Endometrial Cancer: </w:t>
      </w:r>
      <w:r w:rsidR="00C051E1" w:rsidRPr="00C051E1">
        <w:rPr>
          <w:rFonts w:ascii="Arial" w:hAnsi="Arial" w:cs="Arial"/>
          <w:bCs/>
          <w:iCs/>
          <w:kern w:val="28"/>
          <w:sz w:val="36"/>
          <w:highlight w:val="yellow"/>
        </w:rPr>
        <w:t>A Narrative Review</w:t>
      </w:r>
    </w:p>
    <w:p w:rsidR="00A258C3" w:rsidRPr="00585013" w:rsidRDefault="00A258C3" w:rsidP="00441B6F">
      <w:pPr>
        <w:pStyle w:val="Author"/>
        <w:spacing w:line="240" w:lineRule="auto"/>
        <w:jc w:val="both"/>
        <w:rPr>
          <w:rFonts w:ascii="Arial" w:hAnsi="Arial" w:cs="Arial"/>
          <w:sz w:val="36"/>
        </w:rPr>
      </w:pPr>
    </w:p>
    <w:p w:rsidR="0060586A" w:rsidRDefault="0060586A" w:rsidP="00252A92">
      <w:pPr>
        <w:pStyle w:val="Affiliation"/>
        <w:rPr>
          <w:rFonts w:ascii="Arial" w:hAnsi="Arial" w:cs="Arial"/>
        </w:rPr>
      </w:pPr>
    </w:p>
    <w:p w:rsidR="00722FE7" w:rsidRPr="00252A92" w:rsidRDefault="00722FE7" w:rsidP="00252A92">
      <w:pPr>
        <w:pStyle w:val="Affiliation"/>
        <w:rPr>
          <w:rFonts w:ascii="Arial" w:hAnsi="Arial" w:cs="Arial"/>
        </w:rPr>
      </w:pPr>
    </w:p>
    <w:p w:rsidR="00252A92" w:rsidRPr="00585013" w:rsidRDefault="00252A92" w:rsidP="003D41B8">
      <w:pPr>
        <w:pStyle w:val="Affiliation"/>
        <w:spacing w:after="0" w:line="240" w:lineRule="auto"/>
        <w:rPr>
          <w:rFonts w:ascii="Arial" w:hAnsi="Arial" w:cs="Arial"/>
        </w:rPr>
      </w:pPr>
    </w:p>
    <w:p w:rsidR="002C57D2" w:rsidRPr="00585013" w:rsidRDefault="002C57D2" w:rsidP="00441B6F">
      <w:pPr>
        <w:pStyle w:val="Affiliation"/>
        <w:spacing w:after="0" w:line="240" w:lineRule="auto"/>
        <w:jc w:val="both"/>
        <w:rPr>
          <w:rFonts w:ascii="Arial" w:hAnsi="Arial" w:cs="Arial"/>
        </w:rPr>
      </w:pPr>
    </w:p>
    <w:p w:rsidR="00B01FCD" w:rsidRPr="00585013" w:rsidRDefault="00DC72B2" w:rsidP="00441B6F">
      <w:pPr>
        <w:pStyle w:val="Copyright"/>
        <w:spacing w:after="0" w:line="240" w:lineRule="auto"/>
        <w:jc w:val="both"/>
        <w:rPr>
          <w:rFonts w:ascii="Arial" w:hAnsi="Arial" w:cs="Arial"/>
        </w:rPr>
        <w:sectPr w:rsidR="00B01FCD" w:rsidRPr="00585013" w:rsidSect="00BC0A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C72B2">
        <w:rPr>
          <w:rFonts w:ascii="Arial" w:hAnsi="Arial" w:cs="Arial"/>
          <w:noProof/>
          <w:lang w:val="en-IN" w:eastAsia="en-IN"/>
        </w:rPr>
      </w:r>
      <w:r w:rsidRPr="00DC72B2">
        <w:rPr>
          <w:rFonts w:ascii="Arial" w:hAnsi="Arial" w:cs="Arial"/>
          <w:noProof/>
          <w:lang w:val="en-IN" w:eastAsia="en-IN"/>
        </w:rPr>
        <w:pict>
          <v:shapetype id="_x0000_t32" coordsize="21600,21600" o:spt="32" o:oned="t" path="m,l21600,21600e" filled="f">
            <v:path arrowok="t" fillok="f" o:connecttype="none"/>
            <o:lock v:ext="edit" shapetype="t"/>
          </v:shapetype>
          <v:shape id="AutoShape 2" o:spid="_x0000_s2050"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r w:rsidR="00FB3A86" w:rsidRPr="00585013">
        <w:rPr>
          <w:rFonts w:ascii="Arial" w:hAnsi="Arial" w:cs="Arial"/>
        </w:rPr>
        <w:t>.</w:t>
      </w:r>
    </w:p>
    <w:p w:rsidR="00790ADA" w:rsidRPr="00585013" w:rsidRDefault="00B01FCD" w:rsidP="00441B6F">
      <w:pPr>
        <w:pStyle w:val="AbstHead"/>
        <w:spacing w:after="0"/>
        <w:jc w:val="both"/>
        <w:rPr>
          <w:rFonts w:ascii="Arial" w:hAnsi="Arial" w:cs="Arial"/>
        </w:rPr>
      </w:pPr>
      <w:r w:rsidRPr="00585013">
        <w:rPr>
          <w:rFonts w:ascii="Arial" w:hAnsi="Arial" w:cs="Arial"/>
        </w:rPr>
        <w:lastRenderedPageBreak/>
        <w:t>ABSTRACT</w:t>
      </w:r>
    </w:p>
    <w:p w:rsidR="006A2994" w:rsidRPr="00585013" w:rsidRDefault="006A299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585013" w:rsidTr="001E44FE">
        <w:tc>
          <w:tcPr>
            <w:tcW w:w="9576" w:type="dxa"/>
            <w:shd w:val="clear" w:color="auto" w:fill="F2F2F2"/>
          </w:tcPr>
          <w:p w:rsidR="00505F06" w:rsidRPr="00585013" w:rsidRDefault="006A2994" w:rsidP="0052520A">
            <w:pPr>
              <w:spacing w:before="100" w:beforeAutospacing="1" w:after="100" w:afterAutospacing="1"/>
              <w:jc w:val="both"/>
              <w:rPr>
                <w:rFonts w:ascii="Arial" w:eastAsia="Calibri" w:hAnsi="Arial" w:cs="Arial"/>
                <w:szCs w:val="22"/>
              </w:rPr>
            </w:pPr>
            <w:r w:rsidRPr="00585013">
              <w:rPr>
                <w:rFonts w:ascii="Arial" w:hAnsi="Arial" w:cs="Arial"/>
              </w:rPr>
              <w:t>Endometrial cancer (EC) is the most common gynecological malignancy worldwide and an increasing public health concern. Although most cases are diagnosed at an early stage with favorable outcomes, advanced and high-risk disease remains associated with poor survival, highlighting the need for improved risk stratification. The traditional dualistic Type I/Type II classification inadequately reflects the molecular heterogeneity of EC. The Cancer Genome Atlas (TCGA) introduced a molecular classification defining four prognostically distinct subtypes: POLE ultramutated, microsatellite instability-high (MSI-H), copy-number low, and copy-number high. This framework has been translated into clinically applicable classifiers, including ProMisE and TransPORTEC, which stratify tumors into four clinically relevant</w:t>
            </w:r>
            <w:r w:rsidR="004554C8">
              <w:rPr>
                <w:rFonts w:ascii="Arial" w:hAnsi="Arial" w:cs="Arial"/>
              </w:rPr>
              <w:t xml:space="preserve"> molecular subgroups: POLE-</w:t>
            </w:r>
            <w:r w:rsidRPr="00585013">
              <w:rPr>
                <w:rFonts w:ascii="Arial" w:hAnsi="Arial" w:cs="Arial"/>
              </w:rPr>
              <w:t>mutated (POLEmut), mismatch repair-deficient (MMRd), no specific molecular profile (NSMP), and TP53-abnormal (</w:t>
            </w:r>
            <w:r w:rsidRPr="000A2991">
              <w:rPr>
                <w:rFonts w:ascii="Arial" w:hAnsi="Arial" w:cs="Arial"/>
              </w:rPr>
              <w:t>p53</w:t>
            </w:r>
            <w:r w:rsidR="00493322" w:rsidRPr="000A2991">
              <w:rPr>
                <w:rFonts w:ascii="Arial" w:hAnsi="Arial" w:cs="Arial"/>
                <w:bCs/>
                <w:highlight w:val="yellow"/>
              </w:rPr>
              <w:t>abnormal</w:t>
            </w:r>
            <w:r w:rsidRPr="000A2991">
              <w:rPr>
                <w:rFonts w:ascii="Arial" w:hAnsi="Arial" w:cs="Arial"/>
              </w:rPr>
              <w:t>). This classification has</w:t>
            </w:r>
            <w:r w:rsidR="004554C8" w:rsidRPr="000A2991">
              <w:rPr>
                <w:rFonts w:ascii="Arial" w:hAnsi="Arial" w:cs="Arial"/>
              </w:rPr>
              <w:t xml:space="preserve"> also been incorporated into the</w:t>
            </w:r>
            <w:r w:rsidRPr="000A2991">
              <w:rPr>
                <w:rFonts w:ascii="Arial" w:hAnsi="Arial" w:cs="Arial"/>
              </w:rPr>
              <w:t xml:space="preserve"> 2023 FIGO staging system. POLE</w:t>
            </w:r>
            <w:r w:rsidR="004554C8" w:rsidRPr="000A2991">
              <w:rPr>
                <w:rFonts w:ascii="Arial" w:hAnsi="Arial" w:cs="Arial"/>
              </w:rPr>
              <w:t>mut tumors demonstrate favorable</w:t>
            </w:r>
            <w:r w:rsidRPr="000A2991">
              <w:rPr>
                <w:rFonts w:ascii="Arial" w:hAnsi="Arial" w:cs="Arial"/>
              </w:rPr>
              <w:t xml:space="preserve"> prognosis supporting treatment de-escalation; MSI-H/MMRd tumors show intermediate prognosis and derive benefit from immune checkpoint inhibitors; NSMP tumors are heterogeneous with variable outcomes requiring further molecular refinement; whereas p53</w:t>
            </w:r>
            <w:r w:rsidR="00493322" w:rsidRPr="000A2991">
              <w:rPr>
                <w:rFonts w:ascii="Arial" w:hAnsi="Arial" w:cs="Arial"/>
                <w:bCs/>
                <w:highlight w:val="yellow"/>
              </w:rPr>
              <w:t>abnormal</w:t>
            </w:r>
            <w:r w:rsidRPr="000A2991">
              <w:rPr>
                <w:rFonts w:ascii="Arial" w:hAnsi="Arial" w:cs="Arial"/>
              </w:rPr>
              <w:t xml:space="preserve"> tumors exhibit aggressive behavior and poor prognosis, often necessitating intensified multimodal and targeted therapies.</w:t>
            </w:r>
            <w:r w:rsidRPr="00585013">
              <w:rPr>
                <w:rFonts w:ascii="Arial" w:hAnsi="Arial" w:cs="Arial"/>
              </w:rPr>
              <w:t xml:space="preserve"> This review highlights the clinical relevance of molecular classification, multiple-classifier tumors, and emerging diagnostic approaches including next-generation sequencing, underscoring a shift toward precision oncology in EC management.</w:t>
            </w:r>
          </w:p>
        </w:tc>
      </w:tr>
    </w:tbl>
    <w:p w:rsidR="00636EB2" w:rsidRPr="00585013" w:rsidRDefault="00636EB2" w:rsidP="00441B6F">
      <w:pPr>
        <w:pStyle w:val="Body"/>
        <w:spacing w:after="0"/>
        <w:rPr>
          <w:rFonts w:ascii="Arial" w:hAnsi="Arial" w:cs="Arial"/>
          <w:i/>
        </w:rPr>
      </w:pPr>
    </w:p>
    <w:p w:rsidR="00A24E7E" w:rsidRPr="00585013" w:rsidRDefault="00A24E7E" w:rsidP="00441B6F">
      <w:pPr>
        <w:pStyle w:val="Body"/>
        <w:spacing w:after="0"/>
        <w:rPr>
          <w:rFonts w:ascii="Arial" w:hAnsi="Arial" w:cs="Arial"/>
          <w:i/>
        </w:rPr>
      </w:pPr>
      <w:r w:rsidRPr="00585013">
        <w:rPr>
          <w:rFonts w:ascii="Arial" w:hAnsi="Arial" w:cs="Arial"/>
          <w:i/>
        </w:rPr>
        <w:t xml:space="preserve">Keywords: </w:t>
      </w:r>
      <w:r w:rsidR="00B53CB2" w:rsidRPr="00585013">
        <w:rPr>
          <w:rStyle w:val="Strong"/>
          <w:rFonts w:ascii="Arial" w:hAnsi="Arial" w:cs="Arial"/>
          <w:b w:val="0"/>
          <w:i/>
        </w:rPr>
        <w:t>Endometrial</w:t>
      </w:r>
      <w:r w:rsidR="00B53CB2" w:rsidRPr="00585013">
        <w:rPr>
          <w:rFonts w:ascii="Arial" w:hAnsi="Arial" w:cs="Arial"/>
          <w:i/>
        </w:rPr>
        <w:t xml:space="preserve"> cancer, Molecular classification, TCGA, POLE mutation, Mismatch repair deficiency, Microsatell</w:t>
      </w:r>
      <w:r w:rsidR="002A6BD1">
        <w:rPr>
          <w:rFonts w:ascii="Arial" w:hAnsi="Arial" w:cs="Arial"/>
          <w:i/>
        </w:rPr>
        <w:t xml:space="preserve">ite instability, p53 </w:t>
      </w:r>
      <w:r w:rsidR="002A6BD1" w:rsidRPr="002A6BD1">
        <w:rPr>
          <w:rFonts w:ascii="Arial" w:hAnsi="Arial" w:cs="Arial"/>
          <w:i/>
          <w:highlight w:val="yellow"/>
        </w:rPr>
        <w:t>abnormal</w:t>
      </w:r>
      <w:r w:rsidR="002A6BD1">
        <w:rPr>
          <w:rFonts w:ascii="Arial" w:hAnsi="Arial" w:cs="Arial"/>
          <w:i/>
        </w:rPr>
        <w:t>,</w:t>
      </w:r>
      <w:r w:rsidR="00B53CB2" w:rsidRPr="00585013">
        <w:rPr>
          <w:rFonts w:ascii="Arial" w:hAnsi="Arial" w:cs="Arial"/>
          <w:i/>
        </w:rPr>
        <w:t xml:space="preserve"> NSMP</w:t>
      </w:r>
    </w:p>
    <w:p w:rsidR="00790ADA" w:rsidRPr="00585013" w:rsidRDefault="00790ADA" w:rsidP="00441B6F">
      <w:pPr>
        <w:pStyle w:val="Body"/>
        <w:spacing w:after="0"/>
        <w:rPr>
          <w:rFonts w:ascii="Arial" w:hAnsi="Arial" w:cs="Arial"/>
          <w:i/>
        </w:rPr>
      </w:pPr>
    </w:p>
    <w:p w:rsidR="0024282C" w:rsidRPr="00585013" w:rsidRDefault="0024282C" w:rsidP="00441B6F">
      <w:pPr>
        <w:pStyle w:val="Body"/>
        <w:spacing w:after="0"/>
        <w:rPr>
          <w:rFonts w:ascii="Arial" w:hAnsi="Arial" w:cs="Arial"/>
          <w:i/>
          <w:sz w:val="18"/>
        </w:rPr>
      </w:pPr>
    </w:p>
    <w:p w:rsidR="00505F06" w:rsidRPr="00585013"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sidRPr="00585013">
        <w:rPr>
          <w:rFonts w:ascii="Arial" w:hAnsi="Arial" w:cs="Arial"/>
        </w:rPr>
        <w:t xml:space="preserve">1. </w:t>
      </w:r>
      <w:r w:rsidR="00B01FCD" w:rsidRPr="00585013">
        <w:rPr>
          <w:rFonts w:ascii="Arial" w:hAnsi="Arial" w:cs="Arial"/>
        </w:rPr>
        <w:t>INTRODUCTION</w:t>
      </w:r>
    </w:p>
    <w:p w:rsidR="00AD7021" w:rsidRPr="00BA0326" w:rsidRDefault="002E378C" w:rsidP="004C162E">
      <w:pPr>
        <w:pStyle w:val="NormalWeb"/>
        <w:jc w:val="both"/>
        <w:rPr>
          <w:rFonts w:ascii="Arial" w:hAnsi="Arial" w:cs="Arial"/>
          <w:color w:val="FF0000"/>
          <w:sz w:val="20"/>
          <w:szCs w:val="20"/>
        </w:rPr>
      </w:pPr>
      <w:r w:rsidRPr="00BA0326">
        <w:rPr>
          <w:rFonts w:ascii="Arial" w:hAnsi="Arial" w:cs="Arial"/>
          <w:sz w:val="20"/>
          <w:szCs w:val="20"/>
        </w:rPr>
        <w:t xml:space="preserve">Endometrial cancer (EC) is emerging as a significant public health concern and is currently the most prevalent gynecological malignancy worldwide. </w:t>
      </w:r>
      <w:r w:rsidR="002A6BD1" w:rsidRPr="00BA0326">
        <w:rPr>
          <w:rFonts w:ascii="Arial" w:hAnsi="Arial" w:cs="Arial"/>
          <w:sz w:val="20"/>
          <w:szCs w:val="20"/>
        </w:rPr>
        <w:t>According to GLOBOCAN 202</w:t>
      </w:r>
      <w:r w:rsidR="00713AD7" w:rsidRPr="00BA0326">
        <w:rPr>
          <w:rFonts w:ascii="Arial" w:hAnsi="Arial" w:cs="Arial"/>
          <w:sz w:val="20"/>
          <w:szCs w:val="20"/>
        </w:rPr>
        <w:t>0</w:t>
      </w:r>
      <w:r w:rsidR="002A6BD1" w:rsidRPr="00BA0326">
        <w:rPr>
          <w:rFonts w:ascii="Arial" w:hAnsi="Arial" w:cs="Arial"/>
          <w:sz w:val="20"/>
          <w:szCs w:val="20"/>
        </w:rPr>
        <w:t xml:space="preserve">, </w:t>
      </w:r>
      <w:r w:rsidR="00C35EAA" w:rsidRPr="00BA0326">
        <w:rPr>
          <w:rFonts w:ascii="Arial" w:hAnsi="Arial" w:cs="Arial"/>
          <w:sz w:val="20"/>
          <w:szCs w:val="20"/>
        </w:rPr>
        <w:t>over</w:t>
      </w:r>
      <w:r w:rsidR="002A6BD1" w:rsidRPr="00BA0326">
        <w:rPr>
          <w:rFonts w:ascii="Arial" w:hAnsi="Arial" w:cs="Arial"/>
          <w:sz w:val="20"/>
          <w:szCs w:val="20"/>
        </w:rPr>
        <w:t xml:space="preserve"> 4</w:t>
      </w:r>
      <w:r w:rsidR="00713AD7" w:rsidRPr="00BA0326">
        <w:rPr>
          <w:rFonts w:ascii="Arial" w:hAnsi="Arial" w:cs="Arial"/>
          <w:sz w:val="20"/>
          <w:szCs w:val="20"/>
        </w:rPr>
        <w:t>17</w:t>
      </w:r>
      <w:r w:rsidR="002A6BD1" w:rsidRPr="00BA0326">
        <w:rPr>
          <w:rFonts w:ascii="Arial" w:hAnsi="Arial" w:cs="Arial"/>
          <w:sz w:val="20"/>
          <w:szCs w:val="20"/>
        </w:rPr>
        <w:t xml:space="preserve">,000 new cases and </w:t>
      </w:r>
      <w:r w:rsidR="00C35EAA" w:rsidRPr="00BA0326">
        <w:rPr>
          <w:rFonts w:ascii="Arial" w:hAnsi="Arial" w:cs="Arial"/>
          <w:sz w:val="20"/>
          <w:szCs w:val="20"/>
        </w:rPr>
        <w:t>approximately</w:t>
      </w:r>
      <w:r w:rsidR="002A6BD1" w:rsidRPr="00BA0326">
        <w:rPr>
          <w:rFonts w:ascii="Arial" w:hAnsi="Arial" w:cs="Arial"/>
          <w:sz w:val="20"/>
          <w:szCs w:val="20"/>
        </w:rPr>
        <w:t xml:space="preserve"> 97,000 deaths </w:t>
      </w:r>
      <w:r w:rsidR="002A6BD1" w:rsidRPr="000A2991">
        <w:rPr>
          <w:rFonts w:ascii="Arial" w:hAnsi="Arial" w:cs="Arial"/>
          <w:sz w:val="20"/>
          <w:szCs w:val="20"/>
        </w:rPr>
        <w:t xml:space="preserve">from </w:t>
      </w:r>
      <w:r w:rsidR="00C35EAA" w:rsidRPr="000A2991">
        <w:rPr>
          <w:rFonts w:ascii="Arial" w:hAnsi="Arial" w:cs="Arial"/>
          <w:sz w:val="20"/>
          <w:szCs w:val="20"/>
        </w:rPr>
        <w:t>endometrial</w:t>
      </w:r>
      <w:r w:rsidR="002A6BD1" w:rsidRPr="000A2991">
        <w:rPr>
          <w:rFonts w:ascii="Arial" w:hAnsi="Arial" w:cs="Arial"/>
          <w:sz w:val="20"/>
          <w:szCs w:val="20"/>
        </w:rPr>
        <w:t xml:space="preserve"> can</w:t>
      </w:r>
      <w:r w:rsidR="002A6BD1" w:rsidRPr="00BA0326">
        <w:rPr>
          <w:rFonts w:ascii="Arial" w:hAnsi="Arial" w:cs="Arial"/>
          <w:sz w:val="20"/>
          <w:szCs w:val="20"/>
        </w:rPr>
        <w:t>cer were reported worldwide, making it the sixth most commonly diagnosed cancer among women</w:t>
      </w:r>
      <w:r w:rsidR="00C35EAA" w:rsidRPr="00BA0326">
        <w:rPr>
          <w:rFonts w:ascii="Arial" w:hAnsi="Arial" w:cs="Arial"/>
          <w:sz w:val="20"/>
          <w:szCs w:val="20"/>
        </w:rPr>
        <w:t xml:space="preserve"> (</w:t>
      </w:r>
      <w:r w:rsidR="000A2991">
        <w:rPr>
          <w:rFonts w:ascii="Arial" w:hAnsi="Arial" w:cs="Arial"/>
          <w:sz w:val="20"/>
          <w:szCs w:val="20"/>
        </w:rPr>
        <w:t>Concin</w:t>
      </w:r>
      <w:r w:rsidR="00C35EAA" w:rsidRPr="00BA0326">
        <w:rPr>
          <w:rFonts w:ascii="Arial" w:hAnsi="Arial" w:cs="Arial"/>
          <w:sz w:val="20"/>
          <w:szCs w:val="20"/>
        </w:rPr>
        <w:t xml:space="preserve"> et al</w:t>
      </w:r>
      <w:r w:rsidR="000A2991">
        <w:rPr>
          <w:rFonts w:ascii="Arial" w:hAnsi="Arial" w:cs="Arial"/>
          <w:sz w:val="20"/>
          <w:szCs w:val="20"/>
        </w:rPr>
        <w:t>.</w:t>
      </w:r>
      <w:r w:rsidR="00C35EAA" w:rsidRPr="00BA0326">
        <w:rPr>
          <w:rFonts w:ascii="Arial" w:hAnsi="Arial" w:cs="Arial"/>
          <w:sz w:val="20"/>
          <w:szCs w:val="20"/>
        </w:rPr>
        <w:t>, 202</w:t>
      </w:r>
      <w:r w:rsidR="000A2991">
        <w:rPr>
          <w:rFonts w:ascii="Arial" w:hAnsi="Arial" w:cs="Arial"/>
          <w:sz w:val="20"/>
          <w:szCs w:val="20"/>
        </w:rPr>
        <w:t>5</w:t>
      </w:r>
      <w:r w:rsidR="00C35EAA" w:rsidRPr="00BA0326">
        <w:rPr>
          <w:rFonts w:ascii="Arial" w:hAnsi="Arial" w:cs="Arial"/>
          <w:sz w:val="20"/>
          <w:szCs w:val="20"/>
        </w:rPr>
        <w:t>)</w:t>
      </w:r>
      <w:r w:rsidR="002A6BD1" w:rsidRPr="00BA0326">
        <w:rPr>
          <w:rFonts w:ascii="Arial" w:hAnsi="Arial" w:cs="Arial"/>
          <w:sz w:val="20"/>
          <w:szCs w:val="20"/>
        </w:rPr>
        <w:t xml:space="preserve">. Epidemiological trends further suggest that the global burden of EC is expected to increase </w:t>
      </w:r>
      <w:r w:rsidR="001B5BEA" w:rsidRPr="00BA0326">
        <w:rPr>
          <w:rFonts w:ascii="Arial" w:hAnsi="Arial" w:cs="Arial"/>
          <w:sz w:val="20"/>
          <w:szCs w:val="20"/>
          <w:lang w:val="en-US"/>
        </w:rPr>
        <w:t xml:space="preserve">by 50% worldwide by 2040 </w:t>
      </w:r>
      <w:r w:rsidR="002A6BD1" w:rsidRPr="00BA0326">
        <w:rPr>
          <w:rFonts w:ascii="Arial" w:hAnsi="Arial" w:cs="Arial"/>
          <w:sz w:val="20"/>
          <w:szCs w:val="20"/>
        </w:rPr>
        <w:t>(</w:t>
      </w:r>
      <w:r w:rsidR="001B5BEA" w:rsidRPr="00BA0326">
        <w:rPr>
          <w:rFonts w:ascii="Arial" w:hAnsi="Arial" w:cs="Arial"/>
          <w:sz w:val="20"/>
          <w:szCs w:val="20"/>
          <w:lang w:val="en-US"/>
        </w:rPr>
        <w:t>Agarwal</w:t>
      </w:r>
      <w:r w:rsidR="002A6BD1" w:rsidRPr="00BA0326">
        <w:rPr>
          <w:rFonts w:ascii="Arial" w:hAnsi="Arial" w:cs="Arial"/>
          <w:sz w:val="20"/>
          <w:szCs w:val="20"/>
        </w:rPr>
        <w:t xml:space="preserve"> et al., 202</w:t>
      </w:r>
      <w:r w:rsidR="001B5BEA" w:rsidRPr="00BA0326">
        <w:rPr>
          <w:rFonts w:ascii="Arial" w:hAnsi="Arial" w:cs="Arial"/>
          <w:sz w:val="20"/>
          <w:szCs w:val="20"/>
        </w:rPr>
        <w:t>3</w:t>
      </w:r>
      <w:r w:rsidR="002A6BD1" w:rsidRPr="00BA0326">
        <w:rPr>
          <w:rFonts w:ascii="Arial" w:hAnsi="Arial" w:cs="Arial"/>
          <w:sz w:val="20"/>
          <w:szCs w:val="20"/>
        </w:rPr>
        <w:t>)</w:t>
      </w:r>
      <w:r w:rsidR="001B5BEA" w:rsidRPr="00BA0326">
        <w:rPr>
          <w:rFonts w:ascii="Arial" w:hAnsi="Arial" w:cs="Arial"/>
          <w:sz w:val="20"/>
          <w:szCs w:val="20"/>
        </w:rPr>
        <w:t xml:space="preserve">. The rising incidence </w:t>
      </w:r>
      <w:r w:rsidR="001B5BEA" w:rsidRPr="00BA0326">
        <w:rPr>
          <w:rFonts w:ascii="Arial" w:hAnsi="Arial" w:cs="Arial"/>
          <w:sz w:val="20"/>
          <w:szCs w:val="20"/>
        </w:rPr>
        <w:lastRenderedPageBreak/>
        <w:t>is linked to several factors such as longer life expectancy, increasing rates of obesity, sedentary lifestyles, declining fertility, and factors related to hormonal changes.</w:t>
      </w:r>
    </w:p>
    <w:p w:rsidR="007C5D08" w:rsidRDefault="003D027B" w:rsidP="00AD7021">
      <w:pPr>
        <w:pStyle w:val="NormalWeb"/>
        <w:jc w:val="both"/>
        <w:rPr>
          <w:rFonts w:ascii="Arial" w:hAnsi="Arial" w:cs="Arial"/>
          <w:sz w:val="20"/>
          <w:szCs w:val="20"/>
        </w:rPr>
      </w:pPr>
      <w:r w:rsidRPr="00BA0326">
        <w:rPr>
          <w:rFonts w:ascii="Arial" w:hAnsi="Arial" w:cs="Arial"/>
          <w:sz w:val="20"/>
          <w:szCs w:val="20"/>
        </w:rPr>
        <w:t xml:space="preserve">Early detection plays a crucial role in the effective management of endometrial cancer. Recognition of symptoms, particularly abnormal postmenopausal bleeding, often prompts further clinical evaluation and facilitates timely diagnosis. </w:t>
      </w:r>
      <w:r w:rsidRPr="007C5D08">
        <w:rPr>
          <w:rFonts w:ascii="Arial" w:hAnsi="Arial" w:cs="Arial"/>
          <w:sz w:val="20"/>
          <w:szCs w:val="20"/>
          <w:highlight w:val="yellow"/>
        </w:rPr>
        <w:t>Transvaginal ultrasound is commonly used as the first-line imaging modality to assess endometrial thickness, especially in postmenopausal women. When abnormal endometrial thickening or suspicious findings are observed, hysteroscopy is considered the gold standard for direct visualization of the uterine cavity and allows targeted biopsy for definitive histopathological diagnosis. Comparative studies have shown that hysteroscopy provides higher diagnostic accuracy for intracavitary uterine pathologies compared with ultrasound alone</w:t>
      </w:r>
      <w:r w:rsidRPr="00BA0326">
        <w:rPr>
          <w:rFonts w:ascii="Arial" w:hAnsi="Arial" w:cs="Arial"/>
          <w:sz w:val="20"/>
          <w:szCs w:val="20"/>
        </w:rPr>
        <w:t xml:space="preserve"> (Palermo et al., 2023).</w:t>
      </w:r>
    </w:p>
    <w:p w:rsidR="00AD7021" w:rsidRPr="00BA0326" w:rsidRDefault="003D027B" w:rsidP="00AD7021">
      <w:pPr>
        <w:pStyle w:val="NormalWeb"/>
        <w:jc w:val="both"/>
        <w:rPr>
          <w:rFonts w:ascii="Arial" w:hAnsi="Arial" w:cs="Arial"/>
          <w:sz w:val="20"/>
          <w:szCs w:val="20"/>
        </w:rPr>
      </w:pPr>
      <w:r w:rsidRPr="00BA0326">
        <w:rPr>
          <w:rFonts w:ascii="Arial" w:hAnsi="Arial" w:cs="Arial"/>
          <w:sz w:val="20"/>
          <w:szCs w:val="20"/>
        </w:rPr>
        <w:t>Accurate diagnosis through these modalities enables appropriate treatment planning and improves clinical outcomes in patients with endometrial cancer.</w:t>
      </w:r>
      <w:r w:rsidR="00AD7021" w:rsidRPr="00BA0326">
        <w:rPr>
          <w:rFonts w:ascii="Arial" w:hAnsi="Arial" w:cs="Arial"/>
          <w:sz w:val="20"/>
          <w:szCs w:val="20"/>
        </w:rPr>
        <w:t xml:space="preserve">The encouraging fact remains that nearly 90% of EC cases are diagnosed at an early stage (Pados et al., 2024) where treatment outcomes are favourable, yielding a five-year survival rate of approximately 95% in stage I but significantly drops to 68% and 17% with regional and distant metastasis, respectively (Goel et al., 2023) underscoring the critical need for early detection, awareness programs, and effective treatment strategies to improve outcomes and reduce mortality. </w:t>
      </w:r>
    </w:p>
    <w:p w:rsidR="002E378C" w:rsidRPr="000A2991" w:rsidRDefault="002E378C" w:rsidP="004C162E">
      <w:pPr>
        <w:pStyle w:val="Heading3"/>
        <w:jc w:val="both"/>
        <w:rPr>
          <w:rFonts w:ascii="Arial" w:hAnsi="Arial" w:cs="Arial"/>
          <w:b/>
          <w:bCs/>
          <w:color w:val="auto"/>
          <w:sz w:val="22"/>
          <w:szCs w:val="22"/>
        </w:rPr>
      </w:pPr>
      <w:r w:rsidRPr="000317B2">
        <w:rPr>
          <w:rFonts w:ascii="Arial" w:hAnsi="Arial" w:cs="Arial"/>
          <w:b/>
          <w:bCs/>
          <w:color w:val="auto"/>
          <w:sz w:val="22"/>
          <w:szCs w:val="22"/>
          <w:highlight w:val="yellow"/>
        </w:rPr>
        <w:t>Regional Perspective: India</w:t>
      </w:r>
    </w:p>
    <w:p w:rsidR="00EF20EC" w:rsidRPr="00EF20EC" w:rsidRDefault="007C5CBD" w:rsidP="00EF20EC">
      <w:pPr>
        <w:pStyle w:val="NormalWeb"/>
        <w:jc w:val="both"/>
        <w:rPr>
          <w:rFonts w:ascii="Arial" w:hAnsi="Arial" w:cs="Arial"/>
          <w:sz w:val="20"/>
          <w:szCs w:val="20"/>
        </w:rPr>
      </w:pPr>
      <w:r w:rsidRPr="00BA0326">
        <w:rPr>
          <w:rFonts w:ascii="Arial" w:hAnsi="Arial" w:cs="Arial"/>
          <w:sz w:val="20"/>
          <w:szCs w:val="20"/>
        </w:rPr>
        <w:t xml:space="preserve">India has made notable progress in women’s health through national cancer awareness and prevention initiatives, including the introduction of the indigenous HPV vaccine, Cervavac, for cervical cancer prevention (Sharma et al., 2024). However, as the epidemiological profile of gynecological cancers evolves, increasing attention should be directed toward emerging malignancies such as endometrial cancer. Often described as a “silent threat,” its rising incidence highlights the need for improved awarenessto facilitate early diagnosis and better clinical outcomes. </w:t>
      </w:r>
      <w:r w:rsidR="003D027B" w:rsidRPr="00BA0326">
        <w:rPr>
          <w:rFonts w:ascii="Arial" w:hAnsi="Arial" w:cs="Arial"/>
          <w:sz w:val="20"/>
          <w:szCs w:val="20"/>
        </w:rPr>
        <w:t xml:space="preserve">Although the incidence of </w:t>
      </w:r>
      <w:r w:rsidR="00BA0326" w:rsidRPr="00BA0326">
        <w:rPr>
          <w:rFonts w:ascii="Arial" w:hAnsi="Arial" w:cs="Arial"/>
          <w:sz w:val="20"/>
          <w:szCs w:val="20"/>
        </w:rPr>
        <w:t>EC</w:t>
      </w:r>
      <w:r w:rsidR="003D027B" w:rsidRPr="00BA0326">
        <w:rPr>
          <w:rFonts w:ascii="Arial" w:hAnsi="Arial" w:cs="Arial"/>
          <w:sz w:val="20"/>
          <w:szCs w:val="20"/>
        </w:rPr>
        <w:t xml:space="preserve"> in India remains lower than that reported in many high-income countries, recent evidence suggests a gradual upward trend. According to GLOBOCAN 2020, India reported 16,413 new cases of endometrial cancer and 6,385 related deaths, with a cumulative lifetime risk of diagnosis of approximately 0.75% (Agarwal et al., 2023). The age-standardized incidence rate (ASIR) was estimated at 2.1 per 100,000 women (Gupta et al., 2023). Currently, endometrial cancer ranks as the third most common </w:t>
      </w:r>
      <w:r w:rsidR="003D027B" w:rsidRPr="00EF20EC">
        <w:rPr>
          <w:rFonts w:ascii="Arial" w:hAnsi="Arial" w:cs="Arial"/>
          <w:sz w:val="20"/>
          <w:szCs w:val="20"/>
        </w:rPr>
        <w:t>gynecological malignancy among Indian women after breast and cervical cancers (Crosbie et al., 2022).</w:t>
      </w:r>
      <w:r w:rsidR="00EF20EC" w:rsidRPr="00EF20EC">
        <w:rPr>
          <w:rStyle w:val="bzpyqfadein"/>
          <w:rFonts w:ascii="Arial" w:hAnsi="Arial" w:cs="Arial"/>
          <w:sz w:val="20"/>
          <w:szCs w:val="20"/>
        </w:rPr>
        <w:t>In this context, accurate characterization of endometrial cancer has become essential for guiding prognosis and treatment decisions.</w:t>
      </w:r>
    </w:p>
    <w:p w:rsidR="00790ADA" w:rsidRPr="00585013" w:rsidRDefault="00902823" w:rsidP="008F2CAE">
      <w:pPr>
        <w:spacing w:line="480" w:lineRule="auto"/>
        <w:jc w:val="both"/>
        <w:rPr>
          <w:rFonts w:ascii="Arial" w:hAnsi="Arial" w:cs="Arial"/>
          <w:b/>
          <w:bCs/>
          <w:sz w:val="28"/>
        </w:rPr>
      </w:pPr>
      <w:r w:rsidRPr="000A2991">
        <w:rPr>
          <w:rFonts w:ascii="Arial" w:hAnsi="Arial" w:cs="Arial"/>
          <w:b/>
          <w:sz w:val="22"/>
          <w:szCs w:val="22"/>
        </w:rPr>
        <w:t xml:space="preserve">2. </w:t>
      </w:r>
      <w:r w:rsidR="008F2CAE" w:rsidRPr="000A2991">
        <w:rPr>
          <w:rFonts w:ascii="Arial" w:hAnsi="Arial" w:cs="Arial"/>
          <w:b/>
          <w:bCs/>
          <w:sz w:val="22"/>
          <w:szCs w:val="22"/>
        </w:rPr>
        <w:t>Traditional</w:t>
      </w:r>
      <w:r w:rsidR="008F2CAE" w:rsidRPr="00585013">
        <w:rPr>
          <w:rFonts w:ascii="Arial" w:hAnsi="Arial" w:cs="Arial"/>
          <w:b/>
          <w:bCs/>
          <w:sz w:val="22"/>
          <w:szCs w:val="22"/>
        </w:rPr>
        <w:t xml:space="preserve"> Classification: The Dualistic Model</w:t>
      </w:r>
    </w:p>
    <w:p w:rsidR="008F2CAE" w:rsidRPr="00585013" w:rsidRDefault="008F2CAE" w:rsidP="008F2CAE">
      <w:pPr>
        <w:jc w:val="both"/>
        <w:rPr>
          <w:rFonts w:ascii="Arial" w:hAnsi="Arial" w:cs="Arial"/>
        </w:rPr>
      </w:pPr>
      <w:r w:rsidRPr="00585013">
        <w:rPr>
          <w:rFonts w:ascii="Arial" w:hAnsi="Arial" w:cs="Arial"/>
        </w:rPr>
        <w:t>Historically, EC has been classified into two distinct categories—Type I and Type II carcinomas—based on clinical, histopathological, and molecular features. This traditional dualistic model has been instrumental in guiding clinical practice for decades.</w:t>
      </w:r>
    </w:p>
    <w:p w:rsidR="004609B1" w:rsidRDefault="004609B1" w:rsidP="008F2CAE">
      <w:pPr>
        <w:jc w:val="both"/>
        <w:rPr>
          <w:rFonts w:ascii="Arial" w:hAnsi="Arial" w:cs="Arial"/>
        </w:rPr>
      </w:pPr>
    </w:p>
    <w:p w:rsidR="008F2CAE" w:rsidRDefault="008F2CAE" w:rsidP="008F2CAE">
      <w:pPr>
        <w:jc w:val="both"/>
        <w:rPr>
          <w:rFonts w:ascii="Arial" w:hAnsi="Arial" w:cs="Arial"/>
        </w:rPr>
      </w:pPr>
      <w:r w:rsidRPr="00585013">
        <w:rPr>
          <w:rFonts w:ascii="Arial" w:hAnsi="Arial" w:cs="Arial"/>
        </w:rPr>
        <w:t xml:space="preserve">Type I ECs represent approximately 70%–80% of cases and are generally low-grade, estrogen-dependent endometrioid adenocarcinomas. They predominantly occur in obese, perimenopausal, or postmenopausal women and are frequently associated with risk factors such as unopposed estrogen exposure, nulliparity, diabetes, and polycystic ovarian syndrome (Urick et al., 2019). The pathogenesis of Type I tumors typically follows a stepwise progression, beginning with simple endometrial hyperplasia without atypia, advancing to atypical hyperplasia—also recognized as endometrial intraepithelial neoplasia (EIN)—and </w:t>
      </w:r>
      <w:r w:rsidRPr="00585013">
        <w:rPr>
          <w:rFonts w:ascii="Arial" w:hAnsi="Arial" w:cs="Arial"/>
        </w:rPr>
        <w:lastRenderedPageBreak/>
        <w:t xml:space="preserve">ultimately evolving into invasive endometrioid carcinoma (Felix et al., 2010). Morphologically, these tumors are well to moderately differentiated and are graded according to the FIGO system, which classifies them into three grades based on the proportion of solid, non-glandular growth: Grade 1 (&lt;5%), Grade 2 (6–50%), and Grade 3 (&gt;50%) (Soslow et al., 2019). Immunohistochemically, Type I tumors are characteristically estrogen receptor (ER) and progesterone receptor (PR) positive, with wild-type p53 expression (p53−) and relatively low Ki-67 proliferation indices, correlating with their favorable prognosis (Swami et al., 2020). Diagnosing endometrial cancer can sometimes be tricky for pathologists. Challenges like fragmented tissue samples, differences in gland structure and cell appearance, and possible confusion caused by hormonal changes or polyps can make interpretation more difficult. On the molecular side, Type I tumors—which tend to grow more slowly—often show changes in genes like </w:t>
      </w:r>
      <w:r w:rsidRPr="00585013">
        <w:rPr>
          <w:rFonts w:ascii="Arial" w:hAnsi="Arial" w:cs="Arial"/>
          <w:i/>
          <w:iCs/>
        </w:rPr>
        <w:t>PTEN</w:t>
      </w:r>
      <w:r w:rsidRPr="00585013">
        <w:rPr>
          <w:rFonts w:ascii="Arial" w:hAnsi="Arial" w:cs="Arial"/>
        </w:rPr>
        <w:t xml:space="preserve">, </w:t>
      </w:r>
      <w:r w:rsidRPr="00585013">
        <w:rPr>
          <w:rFonts w:ascii="Arial" w:hAnsi="Arial" w:cs="Arial"/>
          <w:i/>
          <w:iCs/>
        </w:rPr>
        <w:t>KRAS</w:t>
      </w:r>
      <w:r w:rsidRPr="00585013">
        <w:rPr>
          <w:rFonts w:ascii="Arial" w:hAnsi="Arial" w:cs="Arial"/>
        </w:rPr>
        <w:t xml:space="preserve">, </w:t>
      </w:r>
      <w:r w:rsidRPr="00585013">
        <w:rPr>
          <w:rFonts w:ascii="Arial" w:hAnsi="Arial" w:cs="Arial"/>
          <w:i/>
          <w:iCs/>
        </w:rPr>
        <w:t>CTNNB1</w:t>
      </w:r>
      <w:r w:rsidRPr="00585013">
        <w:rPr>
          <w:rFonts w:ascii="Arial" w:hAnsi="Arial" w:cs="Arial"/>
        </w:rPr>
        <w:t xml:space="preserve">, and </w:t>
      </w:r>
      <w:r w:rsidRPr="00585013">
        <w:rPr>
          <w:rFonts w:ascii="Arial" w:hAnsi="Arial" w:cs="Arial"/>
          <w:i/>
          <w:iCs/>
        </w:rPr>
        <w:t>PIK3CA</w:t>
      </w:r>
      <w:r w:rsidRPr="00585013">
        <w:rPr>
          <w:rFonts w:ascii="Arial" w:hAnsi="Arial" w:cs="Arial"/>
        </w:rPr>
        <w:t xml:space="preserve">, and are commonly linked to microsatellite instability (MSI). These features help explain their generally less aggressive </w:t>
      </w:r>
      <w:r w:rsidR="004219B0" w:rsidRPr="00585013">
        <w:rPr>
          <w:rFonts w:ascii="Arial" w:hAnsi="Arial" w:cs="Arial"/>
        </w:rPr>
        <w:t>behavior</w:t>
      </w:r>
      <w:r w:rsidRPr="00585013">
        <w:rPr>
          <w:rFonts w:ascii="Arial" w:hAnsi="Arial" w:cs="Arial"/>
        </w:rPr>
        <w:t xml:space="preserve"> (Urick et al., 2019).</w:t>
      </w:r>
    </w:p>
    <w:p w:rsidR="0052520A" w:rsidRPr="00585013" w:rsidRDefault="0052520A" w:rsidP="008F2CAE">
      <w:pPr>
        <w:jc w:val="both"/>
        <w:rPr>
          <w:rFonts w:ascii="Arial" w:hAnsi="Arial" w:cs="Arial"/>
        </w:rPr>
      </w:pPr>
    </w:p>
    <w:p w:rsidR="0052520A" w:rsidRPr="00585013" w:rsidRDefault="008F2CAE" w:rsidP="008F2CAE">
      <w:pPr>
        <w:jc w:val="both"/>
        <w:rPr>
          <w:rFonts w:ascii="Arial" w:hAnsi="Arial" w:cs="Arial"/>
        </w:rPr>
      </w:pPr>
      <w:r w:rsidRPr="00585013">
        <w:rPr>
          <w:rFonts w:ascii="Arial" w:hAnsi="Arial" w:cs="Arial"/>
        </w:rPr>
        <w:t>Type II ECs, in contrast, account for 20%–30% of cases and are composed of high-grade, non-endometrioid, and estrogen-independent tumors (Talhouk et al., 2016). These include serous carcinoma, clear cell carcinoma, carcinosarcoma, undifferentiated carcinoma, and dedifferentiated carcinoma. They usually affect older women and often develop in an atrophic endometrium, without being preceded by a clearly defined hyperplastic phase. Serous endometrial intraepithelial carcinoma is recognized as a putative precursor lesion for serous carcinoma. Type II tumors display aggressive biological behavior, tend to present at advanced stages, and are associated with a higher likelihood of extrauterine spread and poor prognosis (Mahdy et al., 2025). Immunohistochemically, they are typically ER/PR negative, exhibit abnormal p53 accumulation (p53+), and have high Ki-67 proliferation indices (Olatunde et al., 2024). Type II tumors are frequently characterized by early TP53 mutations, which are strongly associated with genomic instability and aggressive progression (Urick et al., 2019).</w:t>
      </w:r>
    </w:p>
    <w:p w:rsidR="000A2991" w:rsidRPr="00585013" w:rsidRDefault="000A2991" w:rsidP="008F2CAE">
      <w:pPr>
        <w:jc w:val="both"/>
        <w:rPr>
          <w:rFonts w:ascii="Arial" w:hAnsi="Arial" w:cs="Arial"/>
          <w:sz w:val="24"/>
          <w:szCs w:val="24"/>
        </w:rPr>
      </w:pPr>
    </w:p>
    <w:p w:rsidR="008F2CAE" w:rsidRPr="00585013" w:rsidRDefault="008F2CAE" w:rsidP="008F2CAE">
      <w:pPr>
        <w:spacing w:line="480" w:lineRule="auto"/>
        <w:jc w:val="both"/>
        <w:rPr>
          <w:rFonts w:ascii="Arial" w:hAnsi="Arial" w:cs="Arial"/>
          <w:b/>
          <w:bCs/>
          <w:sz w:val="22"/>
          <w:szCs w:val="22"/>
        </w:rPr>
      </w:pPr>
      <w:r w:rsidRPr="000A2991">
        <w:rPr>
          <w:rFonts w:ascii="Arial" w:hAnsi="Arial" w:cs="Arial"/>
          <w:b/>
          <w:sz w:val="22"/>
          <w:szCs w:val="22"/>
        </w:rPr>
        <w:t>3.</w:t>
      </w:r>
      <w:r w:rsidRPr="000A2991">
        <w:rPr>
          <w:rFonts w:ascii="Arial" w:hAnsi="Arial" w:cs="Arial"/>
          <w:b/>
          <w:bCs/>
          <w:sz w:val="22"/>
          <w:szCs w:val="22"/>
        </w:rPr>
        <w:t xml:space="preserve"> Shortcomings</w:t>
      </w:r>
      <w:r w:rsidRPr="00585013">
        <w:rPr>
          <w:rFonts w:ascii="Arial" w:hAnsi="Arial" w:cs="Arial"/>
          <w:b/>
          <w:bCs/>
          <w:sz w:val="22"/>
          <w:szCs w:val="22"/>
        </w:rPr>
        <w:t xml:space="preserve"> of the Dualistic Model</w:t>
      </w:r>
    </w:p>
    <w:p w:rsidR="008F2CAE" w:rsidRDefault="008F2CAE" w:rsidP="008F2CAE">
      <w:pPr>
        <w:jc w:val="both"/>
        <w:rPr>
          <w:rFonts w:ascii="Arial" w:hAnsi="Arial" w:cs="Arial"/>
        </w:rPr>
      </w:pPr>
      <w:r w:rsidRPr="00585013">
        <w:rPr>
          <w:rFonts w:ascii="Arial" w:hAnsi="Arial" w:cs="Arial"/>
        </w:rPr>
        <w:t>Although the dualistic model of EC classification has been widely adopted, it has several limitations. One of the major limitation is the failure to capture the molecular complexity and heterogeneity observed within EC subtypes. For instance, Type I high-grade endometrioid carcinomas, often share morphologic and molecular characteristics with type II serous carcinoma, including TP53 mutations, leading to diagnostic ambiguity (Kumar et al., 2025).This overlap can complicate risk stratification, prognosis estimation, and clinical decision-making. Additionally, the traditional model overlooks distinct biological subsets that may have unique therapeutic vulnerabilities or prognostic profiles. With the advent of precision oncology, it became clear that a more nuanced classification system—one that incorporates genomic, transcriptomic, and epigenetic data—was necessary for a better guidance of disease management strategies and individualized patient care.</w:t>
      </w:r>
    </w:p>
    <w:p w:rsidR="0052520A" w:rsidRPr="00585013" w:rsidRDefault="0052520A" w:rsidP="008F2CAE">
      <w:pPr>
        <w:jc w:val="both"/>
        <w:rPr>
          <w:rFonts w:ascii="Arial" w:hAnsi="Arial" w:cs="Arial"/>
        </w:rPr>
      </w:pPr>
    </w:p>
    <w:p w:rsidR="008F2CAE" w:rsidRPr="00585013" w:rsidRDefault="008F2CAE" w:rsidP="008F2CAE">
      <w:pPr>
        <w:spacing w:line="480" w:lineRule="auto"/>
        <w:jc w:val="both"/>
        <w:rPr>
          <w:rFonts w:ascii="Arial" w:hAnsi="Arial" w:cs="Arial"/>
          <w:b/>
          <w:bCs/>
          <w:sz w:val="22"/>
          <w:szCs w:val="22"/>
        </w:rPr>
      </w:pPr>
      <w:r w:rsidRPr="00585013">
        <w:rPr>
          <w:rFonts w:ascii="Arial" w:hAnsi="Arial" w:cs="Arial"/>
          <w:b/>
          <w:bCs/>
          <w:sz w:val="22"/>
          <w:szCs w:val="22"/>
        </w:rPr>
        <w:t>4. TCGA Molecular Classification: A Paradigm Shift</w:t>
      </w:r>
    </w:p>
    <w:p w:rsidR="008F2CAE" w:rsidRPr="00585013" w:rsidRDefault="008F2CAE" w:rsidP="008F2CAE">
      <w:pPr>
        <w:jc w:val="both"/>
        <w:rPr>
          <w:rFonts w:ascii="Arial" w:hAnsi="Arial" w:cs="Arial"/>
        </w:rPr>
      </w:pPr>
      <w:r w:rsidRPr="00585013">
        <w:rPr>
          <w:rFonts w:ascii="Arial" w:hAnsi="Arial" w:cs="Arial"/>
        </w:rPr>
        <w:t>The Cancer Genome Atlas (TCGA) project marked a major breakthrough in the understanding of EC biology. By performing comprehensive genomic, transcriptomic, and epigenomic profiling on 373 EC tumors, TCGA investigators identified four molecularly distinct EC subgroups with prognostic and therapeutic significance(Kandoth et al., 2013): POLE ultramutated, microsatellite instability hypermutated, copy number low, and copy nu</w:t>
      </w:r>
      <w:r w:rsidR="00561962">
        <w:rPr>
          <w:rFonts w:ascii="Arial" w:hAnsi="Arial" w:cs="Arial"/>
        </w:rPr>
        <w:t>mber high (Jamieson et al., 2021</w:t>
      </w:r>
      <w:r w:rsidRPr="00585013">
        <w:rPr>
          <w:rFonts w:ascii="Arial" w:hAnsi="Arial" w:cs="Arial"/>
        </w:rPr>
        <w:t xml:space="preserve">). This molecular classification system provides superior prognostic accuracy compared with the traditional dualistic model and is increasingly being incorporated into clinical guidelines and risk stratification algorithms worldwide. Its </w:t>
      </w:r>
      <w:r w:rsidRPr="00585013">
        <w:rPr>
          <w:rFonts w:ascii="Arial" w:hAnsi="Arial" w:cs="Arial"/>
        </w:rPr>
        <w:lastRenderedPageBreak/>
        <w:t xml:space="preserve">integration into routine practice holds promise for enabling tailored treatment approaches, ranging from therapy de-escalation in low-risk groups to intensified multimodal treatment for high-risk patients. </w:t>
      </w:r>
    </w:p>
    <w:p w:rsidR="004609B1" w:rsidRDefault="004609B1" w:rsidP="008F2CAE">
      <w:pPr>
        <w:jc w:val="both"/>
        <w:rPr>
          <w:rFonts w:ascii="Arial" w:hAnsi="Arial" w:cs="Arial"/>
        </w:rPr>
      </w:pPr>
    </w:p>
    <w:p w:rsidR="004609B1" w:rsidRDefault="008F2CAE" w:rsidP="008F2CAE">
      <w:pPr>
        <w:jc w:val="both"/>
        <w:rPr>
          <w:rFonts w:ascii="Arial" w:hAnsi="Arial" w:cs="Arial"/>
        </w:rPr>
      </w:pPr>
      <w:r w:rsidRPr="00585013">
        <w:rPr>
          <w:rFonts w:ascii="Arial" w:hAnsi="Arial" w:cs="Arial"/>
        </w:rPr>
        <w:t>Since the original methodology proposed by TCGA involves costly and complex genomic and proteomic analysis, different groups have studied simpler diagnostic algorithms (Kim et al., 2024). Two research teams independently worked and developed ‘Proactive Molecular Risk Classifier for Endometrial Cancer (ProMisE)’ and the ‘TransPORTEC classifier’. Both ProMisE/TransPORTEC classifiers validated a pragmatic EC classification system that recapitulated the survival curves of TCGA and identified molecular subtypes through clinically applicable, comparably low-cost and easy-to-interpret assays. Moreover, the International Federation of Gynecology and Obstetrics (FIGO) 2023 endometrial cancer staging system has integrated this molecular classification(Zheng et al., 2023) using the accumulated data on the prognostic significance of integrated molecular classification with clinicopathological factors. Based on TCGA, FIGO staging system as well as ProMisE/TransPORTEC classifiers have assigned ECs into prognostically rel</w:t>
      </w:r>
      <w:r w:rsidR="004554C8">
        <w:rPr>
          <w:rFonts w:ascii="Arial" w:hAnsi="Arial" w:cs="Arial"/>
        </w:rPr>
        <w:t>evant groups: POLE mutated</w:t>
      </w:r>
      <w:r w:rsidRPr="00585013">
        <w:rPr>
          <w:rFonts w:ascii="Arial" w:hAnsi="Arial" w:cs="Arial"/>
        </w:rPr>
        <w:t xml:space="preserve"> (POLEmut), mismatch repair deficient (MMRd), p53</w:t>
      </w:r>
      <w:r w:rsidR="00493322" w:rsidRPr="000A2991">
        <w:rPr>
          <w:rFonts w:ascii="Arial" w:hAnsi="Arial" w:cs="Arial"/>
          <w:bCs/>
          <w:highlight w:val="yellow"/>
        </w:rPr>
        <w:t>abnormal</w:t>
      </w:r>
      <w:r w:rsidRPr="000A2991">
        <w:rPr>
          <w:rFonts w:ascii="Arial" w:hAnsi="Arial" w:cs="Arial"/>
        </w:rPr>
        <w:t xml:space="preserve"> (p53</w:t>
      </w:r>
      <w:r w:rsidR="00AF4DEA" w:rsidRPr="000A2991">
        <w:rPr>
          <w:rFonts w:ascii="Arial" w:hAnsi="Arial" w:cs="Arial"/>
          <w:bCs/>
          <w:highlight w:val="yellow"/>
        </w:rPr>
        <w:t xml:space="preserve"> abnormal</w:t>
      </w:r>
      <w:r w:rsidRPr="00585013">
        <w:rPr>
          <w:rFonts w:ascii="Arial" w:hAnsi="Arial" w:cs="Arial"/>
        </w:rPr>
        <w:t>), and no specific molecular profi</w:t>
      </w:r>
      <w:r w:rsidR="00BC25D7">
        <w:rPr>
          <w:rFonts w:ascii="Arial" w:hAnsi="Arial" w:cs="Arial"/>
        </w:rPr>
        <w:t>le (NSMP) (</w:t>
      </w:r>
      <w:r w:rsidR="004609B1" w:rsidRPr="00585013">
        <w:rPr>
          <w:rFonts w:ascii="Arial" w:hAnsi="Arial" w:cs="Arial"/>
        </w:rPr>
        <w:t>Kommoss et al., 2018</w:t>
      </w:r>
      <w:r w:rsidR="004609B1">
        <w:rPr>
          <w:rFonts w:ascii="Arial" w:hAnsi="Arial" w:cs="Arial"/>
        </w:rPr>
        <w:t xml:space="preserve">; </w:t>
      </w:r>
      <w:r w:rsidR="00BC25D7">
        <w:rPr>
          <w:rFonts w:ascii="Arial" w:hAnsi="Arial" w:cs="Arial"/>
        </w:rPr>
        <w:t>Jamieson et al., 2021</w:t>
      </w:r>
      <w:r w:rsidRPr="00585013">
        <w:rPr>
          <w:rFonts w:ascii="Arial" w:hAnsi="Arial" w:cs="Arial"/>
        </w:rPr>
        <w:t>).</w:t>
      </w:r>
    </w:p>
    <w:p w:rsidR="004817AA" w:rsidRDefault="004817AA" w:rsidP="008F2CAE">
      <w:pPr>
        <w:jc w:val="both"/>
        <w:rPr>
          <w:rFonts w:ascii="Arial" w:hAnsi="Arial" w:cs="Arial"/>
        </w:rPr>
      </w:pPr>
    </w:p>
    <w:p w:rsidR="002E3373" w:rsidRDefault="00792EA0" w:rsidP="002E3373">
      <w:pPr>
        <w:jc w:val="both"/>
        <w:rPr>
          <w:rFonts w:ascii="Arial" w:hAnsi="Arial" w:cs="Arial"/>
        </w:rPr>
      </w:pPr>
      <w:r w:rsidRPr="009D0B7F">
        <w:rPr>
          <w:highlight w:val="yellow"/>
        </w:rPr>
        <w:t>The updated FIGO staging framework primarily refines prognostic assessment and staging accuracy by acknowledging the biological heterogeneity of endometrial cancer. Although i</w:t>
      </w:r>
      <w:r w:rsidR="008F2CAE" w:rsidRPr="009D0B7F">
        <w:rPr>
          <w:rFonts w:ascii="Arial" w:hAnsi="Arial" w:cs="Arial"/>
          <w:highlight w:val="yellow"/>
        </w:rPr>
        <w:t xml:space="preserve">ntegration of molecular classification into 2023 FIGO staging system has enhanced prognostic </w:t>
      </w:r>
      <w:r w:rsidRPr="009D0B7F">
        <w:rPr>
          <w:rFonts w:ascii="Arial" w:hAnsi="Arial" w:cs="Arial"/>
          <w:highlight w:val="yellow"/>
        </w:rPr>
        <w:t xml:space="preserve">stratification, </w:t>
      </w:r>
      <w:r w:rsidR="002E3373" w:rsidRPr="009D0B7F">
        <w:rPr>
          <w:rFonts w:ascii="Arial" w:hAnsi="Arial" w:cs="Arial"/>
          <w:highlight w:val="yellow"/>
        </w:rPr>
        <w:t xml:space="preserve">treatment decisions are guided by </w:t>
      </w:r>
      <w:r w:rsidR="002E3373" w:rsidRPr="009D0B7F">
        <w:rPr>
          <w:highlight w:val="yellow"/>
        </w:rPr>
        <w:t xml:space="preserve">risk stratification models </w:t>
      </w:r>
      <w:r w:rsidR="0076602E" w:rsidRPr="009D0B7F">
        <w:rPr>
          <w:highlight w:val="yellow"/>
        </w:rPr>
        <w:t xml:space="preserve">proposed by ESGO/ESTRO/ESP </w:t>
      </w:r>
      <w:r w:rsidR="000A2991" w:rsidRPr="009D0B7F">
        <w:rPr>
          <w:highlight w:val="yellow"/>
        </w:rPr>
        <w:t>guidelines, which</w:t>
      </w:r>
      <w:r w:rsidR="002E3373" w:rsidRPr="009D0B7F">
        <w:rPr>
          <w:highlight w:val="yellow"/>
        </w:rPr>
        <w:t xml:space="preserve"> combine molecular subtypes with clinicopathological features such as stage, grade, lymphovascular space invasion, and histologic subtype to support personalized management for patients with endometrial cancer</w:t>
      </w:r>
      <w:r w:rsidR="0076602E" w:rsidRPr="009D0B7F">
        <w:rPr>
          <w:highlight w:val="yellow"/>
        </w:rPr>
        <w:t xml:space="preserve"> (Concin et al., 2025)</w:t>
      </w:r>
      <w:r w:rsidR="002E3373" w:rsidRPr="009D0B7F">
        <w:rPr>
          <w:highlight w:val="yellow"/>
        </w:rPr>
        <w:t>.</w:t>
      </w:r>
    </w:p>
    <w:p w:rsidR="002E3373" w:rsidRDefault="002E3373" w:rsidP="008F2CAE">
      <w:pPr>
        <w:jc w:val="both"/>
        <w:rPr>
          <w:rFonts w:ascii="Arial" w:hAnsi="Arial" w:cs="Arial"/>
        </w:rPr>
      </w:pPr>
    </w:p>
    <w:p w:rsidR="0052520A" w:rsidRPr="00585013" w:rsidRDefault="0052520A" w:rsidP="008F2CAE">
      <w:pPr>
        <w:jc w:val="both"/>
        <w:rPr>
          <w:rFonts w:ascii="Arial" w:hAnsi="Arial" w:cs="Arial"/>
        </w:rPr>
      </w:pPr>
    </w:p>
    <w:p w:rsidR="008F2CAE" w:rsidRDefault="008F2CAE" w:rsidP="008F2CAE">
      <w:pPr>
        <w:jc w:val="both"/>
        <w:rPr>
          <w:rFonts w:ascii="Arial" w:hAnsi="Arial" w:cs="Arial"/>
        </w:rPr>
      </w:pPr>
      <w:r w:rsidRPr="00585013">
        <w:rPr>
          <w:rFonts w:ascii="Arial" w:hAnsi="Arial" w:cs="Arial"/>
        </w:rPr>
        <w:t>Based on TCGA and other clinically applicable classifiers, four molecular subtypes of endomentrial cancer are:</w:t>
      </w:r>
    </w:p>
    <w:p w:rsidR="000A2991" w:rsidRPr="00585013" w:rsidRDefault="000A2991" w:rsidP="008F2CAE">
      <w:pPr>
        <w:jc w:val="both"/>
        <w:rPr>
          <w:rFonts w:ascii="Arial" w:hAnsi="Arial" w:cs="Arial"/>
        </w:rPr>
      </w:pPr>
    </w:p>
    <w:p w:rsidR="008F2CAE" w:rsidRPr="00585013" w:rsidRDefault="008F2CAE" w:rsidP="0052520A">
      <w:pPr>
        <w:numPr>
          <w:ilvl w:val="0"/>
          <w:numId w:val="31"/>
        </w:numPr>
        <w:tabs>
          <w:tab w:val="clear" w:pos="720"/>
          <w:tab w:val="num" w:pos="426"/>
        </w:tabs>
        <w:spacing w:after="160"/>
        <w:ind w:left="426" w:hanging="284"/>
        <w:jc w:val="both"/>
        <w:rPr>
          <w:rFonts w:ascii="Arial" w:hAnsi="Arial" w:cs="Arial"/>
        </w:rPr>
      </w:pPr>
      <w:r w:rsidRPr="00585013">
        <w:rPr>
          <w:rFonts w:ascii="Arial" w:hAnsi="Arial" w:cs="Arial"/>
        </w:rPr>
        <w:t>POLE Ultramutated</w:t>
      </w:r>
      <w:r w:rsidR="005D201F">
        <w:rPr>
          <w:rFonts w:ascii="Arial" w:hAnsi="Arial" w:cs="Arial"/>
        </w:rPr>
        <w:t>/ POLEmut</w:t>
      </w:r>
      <w:r w:rsidRPr="00585013">
        <w:rPr>
          <w:rFonts w:ascii="Arial" w:hAnsi="Arial" w:cs="Arial"/>
        </w:rPr>
        <w:t>: These tumors carry exonuclease domain mutations (EDMs) in the DNA polymerase epsilon (POLE) gene, resulting in exceptionally high mutational burdens (&gt;100 mutations per megabase). Despite their high-grade histologic appearance, POLEmut ECs are associated with an excellent prognosis and low recurrence rates, making them candidates for treatment de-escalation in some cases.</w:t>
      </w:r>
    </w:p>
    <w:p w:rsidR="008F2CAE" w:rsidRPr="00585013" w:rsidRDefault="008F2CAE" w:rsidP="0052520A">
      <w:pPr>
        <w:numPr>
          <w:ilvl w:val="0"/>
          <w:numId w:val="31"/>
        </w:numPr>
        <w:tabs>
          <w:tab w:val="clear" w:pos="720"/>
          <w:tab w:val="num" w:pos="426"/>
        </w:tabs>
        <w:spacing w:after="160"/>
        <w:ind w:left="426" w:hanging="284"/>
        <w:jc w:val="both"/>
        <w:rPr>
          <w:rFonts w:ascii="Arial" w:hAnsi="Arial" w:cs="Arial"/>
        </w:rPr>
      </w:pPr>
      <w:r w:rsidRPr="00585013">
        <w:rPr>
          <w:rFonts w:ascii="Arial" w:hAnsi="Arial" w:cs="Arial"/>
        </w:rPr>
        <w:t>Microsatellite Instability-High (MSI-H)/Mismatch repair–deficient (MMRd): These tumors are characterized by defects in the DNA mismatch repair (MMR) system, and exhibit a hypermutated phenotype. They often respond well to immune checkpoint inhibitors due to their high neoantigen load.</w:t>
      </w:r>
    </w:p>
    <w:p w:rsidR="008F2CAE" w:rsidRPr="00585013" w:rsidRDefault="008F2CAE" w:rsidP="0052520A">
      <w:pPr>
        <w:numPr>
          <w:ilvl w:val="0"/>
          <w:numId w:val="31"/>
        </w:numPr>
        <w:tabs>
          <w:tab w:val="clear" w:pos="720"/>
          <w:tab w:val="num" w:pos="426"/>
        </w:tabs>
        <w:spacing w:after="160"/>
        <w:ind w:left="426" w:hanging="284"/>
        <w:jc w:val="both"/>
        <w:rPr>
          <w:rFonts w:ascii="Arial" w:hAnsi="Arial" w:cs="Arial"/>
        </w:rPr>
      </w:pPr>
      <w:r w:rsidRPr="00585013">
        <w:rPr>
          <w:rFonts w:ascii="Arial" w:hAnsi="Arial" w:cs="Arial"/>
        </w:rPr>
        <w:t>Copy-Number Low/ No Specific Molecular Profile (NSMP): These tumors are microsatellite stable, lack POLE and TP53 mutations, and display low mutational and copy-number alterations. They generally correspond to low-grade endometrioid carcinomas with intermediate prognosis.</w:t>
      </w:r>
    </w:p>
    <w:p w:rsidR="001300AA" w:rsidRPr="001300AA" w:rsidRDefault="008F2CAE" w:rsidP="0052520A">
      <w:pPr>
        <w:numPr>
          <w:ilvl w:val="0"/>
          <w:numId w:val="31"/>
        </w:numPr>
        <w:tabs>
          <w:tab w:val="clear" w:pos="720"/>
          <w:tab w:val="num" w:pos="426"/>
        </w:tabs>
        <w:ind w:left="426" w:hanging="284"/>
        <w:jc w:val="both"/>
        <w:rPr>
          <w:rFonts w:ascii="Arial" w:hAnsi="Arial" w:cs="Arial"/>
        </w:rPr>
      </w:pPr>
      <w:r w:rsidRPr="00585013">
        <w:rPr>
          <w:rFonts w:ascii="Arial" w:hAnsi="Arial" w:cs="Arial"/>
        </w:rPr>
        <w:t>Copy-Number High/ p53-Abnormal (p53</w:t>
      </w:r>
      <w:r w:rsidR="00493322" w:rsidRPr="000A2991">
        <w:rPr>
          <w:rFonts w:ascii="Arial" w:hAnsi="Arial" w:cs="Arial"/>
          <w:bCs/>
          <w:highlight w:val="yellow"/>
        </w:rPr>
        <w:t>abnormal</w:t>
      </w:r>
      <w:r w:rsidRPr="000A2991">
        <w:rPr>
          <w:rFonts w:ascii="Arial" w:hAnsi="Arial" w:cs="Arial"/>
        </w:rPr>
        <w:t>)</w:t>
      </w:r>
      <w:r w:rsidRPr="00585013">
        <w:rPr>
          <w:rFonts w:ascii="Arial" w:hAnsi="Arial" w:cs="Arial"/>
        </w:rPr>
        <w:t xml:space="preserve">: This subgroup demonstrates extensive chromosomal instability and is characterized by ubiquitous TP53 mutations. It largely overlaps with serous carcinomas and carries the worst prognosis among the four </w:t>
      </w:r>
      <w:bookmarkStart w:id="0" w:name="_GoBack"/>
      <w:bookmarkEnd w:id="0"/>
      <w:r w:rsidRPr="00585013">
        <w:rPr>
          <w:rFonts w:ascii="Arial" w:hAnsi="Arial" w:cs="Arial"/>
        </w:rPr>
        <w:t>groups.</w:t>
      </w:r>
      <w:r w:rsidR="001D2281">
        <w:rPr>
          <w:rFonts w:ascii="Arial" w:hAnsi="Arial" w:cs="Arial"/>
        </w:rPr>
        <w:t xml:space="preserve"> (Figure 1).</w:t>
      </w:r>
    </w:p>
    <w:p w:rsidR="0052520A" w:rsidRDefault="0052520A" w:rsidP="001300AA">
      <w:pPr>
        <w:pStyle w:val="ListParagraph"/>
        <w:jc w:val="center"/>
        <w:rPr>
          <w:rFonts w:ascii="Arial" w:hAnsi="Arial" w:cs="Arial"/>
        </w:rPr>
      </w:pPr>
    </w:p>
    <w:p w:rsidR="0052520A" w:rsidRDefault="00B76686" w:rsidP="0052520A">
      <w:pPr>
        <w:pStyle w:val="ListParagraph"/>
        <w:ind w:hanging="578"/>
        <w:jc w:val="center"/>
        <w:rPr>
          <w:rFonts w:ascii="Arial" w:hAnsi="Arial" w:cs="Arial"/>
        </w:rPr>
      </w:pPr>
      <w:r w:rsidRPr="00B76686">
        <w:rPr>
          <w:rFonts w:ascii="Arial" w:hAnsi="Arial" w:cs="Arial"/>
          <w:noProof/>
        </w:rPr>
        <w:lastRenderedPageBreak/>
        <w:drawing>
          <wp:inline distT="0" distB="0" distL="0" distR="0">
            <wp:extent cx="5211680" cy="2272030"/>
            <wp:effectExtent l="0" t="0" r="8255" b="0"/>
            <wp:docPr id="3" name="Picture 3" descr="C:\Users\hasan.laliwala.GCRI-INDIA\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san.laliwala.GCRI-INDIA\Downloads\image.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3960" cy="2273024"/>
                    </a:xfrm>
                    <a:prstGeom prst="rect">
                      <a:avLst/>
                    </a:prstGeom>
                    <a:noFill/>
                    <a:ln>
                      <a:noFill/>
                    </a:ln>
                  </pic:spPr>
                </pic:pic>
              </a:graphicData>
            </a:graphic>
          </wp:inline>
        </w:drawing>
      </w:r>
    </w:p>
    <w:p w:rsidR="0052520A" w:rsidRDefault="0052520A" w:rsidP="001300AA">
      <w:pPr>
        <w:pStyle w:val="ListParagraph"/>
        <w:jc w:val="center"/>
        <w:rPr>
          <w:rFonts w:ascii="Arial" w:hAnsi="Arial" w:cs="Arial"/>
        </w:rPr>
      </w:pPr>
    </w:p>
    <w:p w:rsidR="001300AA" w:rsidRPr="001300AA" w:rsidRDefault="001300AA" w:rsidP="001300AA">
      <w:pPr>
        <w:pStyle w:val="ListParagraph"/>
        <w:jc w:val="center"/>
        <w:rPr>
          <w:rFonts w:ascii="Arial" w:hAnsi="Arial" w:cs="Arial"/>
        </w:rPr>
      </w:pPr>
      <w:r w:rsidRPr="001300AA">
        <w:rPr>
          <w:rFonts w:ascii="Arial" w:hAnsi="Arial" w:cs="Arial"/>
        </w:rPr>
        <w:t>Figure 1: Molecular Subtypes of Endometrial Cancer</w:t>
      </w:r>
    </w:p>
    <w:p w:rsidR="001300AA" w:rsidRDefault="001300AA" w:rsidP="001300AA">
      <w:pPr>
        <w:pStyle w:val="ListParagraph"/>
        <w:jc w:val="center"/>
        <w:rPr>
          <w:rStyle w:val="Hyperlink"/>
          <w:rFonts w:ascii="Arial" w:hAnsi="Arial" w:cs="Arial"/>
          <w:color w:val="000000" w:themeColor="text1"/>
        </w:rPr>
      </w:pPr>
      <w:r w:rsidRPr="001300AA">
        <w:rPr>
          <w:rFonts w:ascii="Arial" w:hAnsi="Arial" w:cs="Arial"/>
          <w:color w:val="000000" w:themeColor="text1"/>
        </w:rPr>
        <w:t xml:space="preserve">(Adapted from: </w:t>
      </w:r>
      <w:hyperlink r:id="rId15" w:history="1">
        <w:r w:rsidRPr="001300AA">
          <w:rPr>
            <w:rStyle w:val="Hyperlink"/>
            <w:rFonts w:ascii="Arial" w:hAnsi="Arial" w:cs="Arial"/>
            <w:color w:val="000000" w:themeColor="text1"/>
          </w:rPr>
          <w:t>https://www.mdpi.com/1422-0067/25/11/5893</w:t>
        </w:r>
      </w:hyperlink>
      <w:r w:rsidRPr="001300AA">
        <w:rPr>
          <w:rStyle w:val="Hyperlink"/>
          <w:rFonts w:ascii="Arial" w:hAnsi="Arial" w:cs="Arial"/>
          <w:color w:val="000000" w:themeColor="text1"/>
        </w:rPr>
        <w:t>)</w:t>
      </w:r>
    </w:p>
    <w:p w:rsidR="00A917A7" w:rsidRDefault="00A917A7" w:rsidP="001300AA">
      <w:pPr>
        <w:pStyle w:val="ListParagraph"/>
        <w:jc w:val="center"/>
        <w:rPr>
          <w:rStyle w:val="Hyperlink"/>
          <w:rFonts w:ascii="Arial" w:hAnsi="Arial" w:cs="Arial"/>
          <w:color w:val="000000" w:themeColor="text1"/>
        </w:rPr>
      </w:pPr>
    </w:p>
    <w:p w:rsidR="000A2991" w:rsidRPr="001300AA" w:rsidRDefault="000A2991" w:rsidP="001300AA">
      <w:pPr>
        <w:pStyle w:val="ListParagraph"/>
        <w:jc w:val="center"/>
        <w:rPr>
          <w:rStyle w:val="Hyperlink"/>
          <w:rFonts w:ascii="Arial" w:hAnsi="Arial" w:cs="Arial"/>
          <w:color w:val="000000" w:themeColor="text1"/>
        </w:rPr>
      </w:pPr>
    </w:p>
    <w:p w:rsidR="00F3713A" w:rsidRPr="00585013" w:rsidRDefault="00F3713A" w:rsidP="0052520A">
      <w:pPr>
        <w:pStyle w:val="ListParagraph"/>
        <w:numPr>
          <w:ilvl w:val="0"/>
          <w:numId w:val="31"/>
        </w:numPr>
        <w:tabs>
          <w:tab w:val="clear" w:pos="720"/>
        </w:tabs>
        <w:spacing w:line="480" w:lineRule="auto"/>
        <w:ind w:left="426" w:hanging="426"/>
        <w:jc w:val="both"/>
        <w:rPr>
          <w:rFonts w:ascii="Arial" w:hAnsi="Arial" w:cs="Arial"/>
          <w:b/>
          <w:bCs/>
          <w:sz w:val="22"/>
          <w:szCs w:val="22"/>
        </w:rPr>
      </w:pPr>
      <w:r w:rsidRPr="00585013">
        <w:rPr>
          <w:rFonts w:ascii="Arial" w:hAnsi="Arial" w:cs="Arial"/>
          <w:b/>
          <w:bCs/>
          <w:sz w:val="22"/>
          <w:szCs w:val="22"/>
        </w:rPr>
        <w:t>Molecular Characteristics of Various Endometrial Cancer Subtypes</w:t>
      </w:r>
    </w:p>
    <w:p w:rsidR="00F3713A" w:rsidRPr="00585013" w:rsidRDefault="00BC0D12" w:rsidP="00F3713A">
      <w:pPr>
        <w:spacing w:line="480" w:lineRule="auto"/>
        <w:jc w:val="both"/>
        <w:rPr>
          <w:rFonts w:ascii="Arial" w:hAnsi="Arial" w:cs="Arial"/>
          <w:b/>
          <w:bCs/>
          <w:sz w:val="22"/>
          <w:szCs w:val="22"/>
        </w:rPr>
      </w:pPr>
      <w:r w:rsidRPr="00585013">
        <w:rPr>
          <w:rFonts w:ascii="Arial" w:hAnsi="Arial" w:cs="Arial"/>
          <w:b/>
          <w:bCs/>
          <w:sz w:val="22"/>
          <w:szCs w:val="22"/>
        </w:rPr>
        <w:t xml:space="preserve">5.1. </w:t>
      </w:r>
      <w:r w:rsidR="00C97439">
        <w:rPr>
          <w:rFonts w:ascii="Arial" w:hAnsi="Arial" w:cs="Arial"/>
          <w:b/>
          <w:bCs/>
          <w:sz w:val="22"/>
          <w:szCs w:val="22"/>
        </w:rPr>
        <w:t>POLE Ultramutated/ POLEmut</w:t>
      </w:r>
    </w:p>
    <w:p w:rsidR="00F3713A" w:rsidRDefault="00F3713A" w:rsidP="0052520A">
      <w:pPr>
        <w:jc w:val="both"/>
        <w:rPr>
          <w:rFonts w:ascii="Arial" w:hAnsi="Arial" w:cs="Arial"/>
          <w:color w:val="000000" w:themeColor="text1"/>
        </w:rPr>
      </w:pPr>
      <w:r w:rsidRPr="00585013">
        <w:rPr>
          <w:rFonts w:ascii="Arial" w:hAnsi="Arial" w:cs="Arial"/>
        </w:rPr>
        <w:t xml:space="preserve">POLE-mutant EC represents the smallest but clinically most favorable group, comprising approximately 7–12% of EC cases (Campbell et al., 2017). These tumors arise from mutations in the exonuclease domain of the POLE gene (exons 9–14), with recurrent hotspot mutations such as P286R and V411L resulting in defective proofreading during DNA replication (Rayner et al., 2016; Tian et al., 2022). This defect leads to an ultramutated phenotype, with an extraordinarily high tumor mutational burden (TMB &gt; 100 mutations/Mb), which in turn generates numerous neoantigens. These neoantigens create an immunogenic tumor microenvironment, explaining the strong tumor-infiltrating lymphocyte (TIL) response often seen histologically. Clinically, POLE-mutant ECs are usually high-grade endometrioid carcinomas, often presenting at an early stage despite their aggressive histologic appearance. The paradox between their high-grade morphology and favorable prognosis has been one of the most intriguing aspects of this group. Treatment strategies increasingly focus on de-escalation: retrospective studies such as PORTEC-1 and -2 show </w:t>
      </w:r>
      <w:r w:rsidRPr="00585013">
        <w:rPr>
          <w:rFonts w:ascii="Arial" w:hAnsi="Arial" w:cs="Arial"/>
          <w:color w:val="000000" w:themeColor="text1"/>
        </w:rPr>
        <w:t xml:space="preserve">nearly 100% disease-specific survival at 10 years without aggressive adjuvant therapy </w:t>
      </w:r>
      <w:r w:rsidRPr="00585013">
        <w:rPr>
          <w:rFonts w:ascii="Arial" w:hAnsi="Arial" w:cs="Arial"/>
        </w:rPr>
        <w:t>(Van Gool, 2018)</w:t>
      </w:r>
      <w:r w:rsidRPr="00585013">
        <w:rPr>
          <w:rFonts w:ascii="Arial" w:hAnsi="Arial" w:cs="Arial"/>
          <w:color w:val="000000" w:themeColor="text1"/>
        </w:rPr>
        <w:t xml:space="preserve">. As a result, ESGO/ESTRO/ESP guidelines now recommend omission of adjuvant radiotherapy and chemotherapy for stage I–II disease with isolated POLE mutation, sparing patients from unnecessary toxicity. The prognosis of POLE-mutated EC is excellent across stages, with minimal risk of recurrence even in high-grade tumors, lymphovascular space invasion (LVSI), or deep myometrial invasion. </w:t>
      </w:r>
      <w:r w:rsidRPr="00585013">
        <w:rPr>
          <w:rFonts w:ascii="Arial" w:hAnsi="Arial" w:cs="Arial"/>
        </w:rPr>
        <w:t>Evidence from the PORTEC-3 molecular analysis and an individual patient data meta-analysis shows that patients with POLE-mutated endometrial cancer have a favorable prognosis and derive little or no benefit from adjuvant therapy, indicating that adjuvant treatment can be safely omitted to avoid overtreatment in this subgroup (León-Castillo et al., 2020; McAlpine et al.,2021)</w:t>
      </w:r>
      <w:r w:rsidRPr="00585013">
        <w:rPr>
          <w:rFonts w:ascii="Arial" w:hAnsi="Arial" w:cs="Arial"/>
          <w:color w:val="000000" w:themeColor="text1"/>
        </w:rPr>
        <w:t>. The key challenge remains correct identification of pathogenic POLE mutations and differentiation from variants of uncertain significance (VUS), which requires careful molecular and bioinformatic interpretation.</w:t>
      </w:r>
    </w:p>
    <w:p w:rsidR="0052520A" w:rsidRPr="00585013" w:rsidRDefault="0052520A" w:rsidP="0052520A">
      <w:pPr>
        <w:jc w:val="both"/>
        <w:rPr>
          <w:rFonts w:ascii="Arial" w:hAnsi="Arial" w:cs="Arial"/>
          <w:sz w:val="24"/>
          <w:szCs w:val="24"/>
        </w:rPr>
      </w:pPr>
    </w:p>
    <w:p w:rsidR="00F3713A" w:rsidRPr="00585013" w:rsidRDefault="00BC0D12" w:rsidP="00F3713A">
      <w:pPr>
        <w:spacing w:line="480" w:lineRule="auto"/>
        <w:jc w:val="both"/>
        <w:rPr>
          <w:rFonts w:ascii="Arial" w:hAnsi="Arial" w:cs="Arial"/>
          <w:b/>
          <w:bCs/>
          <w:sz w:val="22"/>
          <w:szCs w:val="22"/>
        </w:rPr>
      </w:pPr>
      <w:r w:rsidRPr="00585013">
        <w:rPr>
          <w:rFonts w:ascii="Arial" w:hAnsi="Arial" w:cs="Arial"/>
          <w:b/>
          <w:bCs/>
          <w:sz w:val="22"/>
          <w:szCs w:val="22"/>
        </w:rPr>
        <w:t xml:space="preserve">5.2. </w:t>
      </w:r>
      <w:r w:rsidR="00F3713A" w:rsidRPr="00585013">
        <w:rPr>
          <w:rFonts w:ascii="Arial" w:hAnsi="Arial" w:cs="Arial"/>
          <w:b/>
          <w:bCs/>
          <w:sz w:val="22"/>
          <w:szCs w:val="22"/>
        </w:rPr>
        <w:t>MSI-H/ MMR-Deficient</w:t>
      </w:r>
    </w:p>
    <w:p w:rsidR="00F3713A" w:rsidRDefault="00F3713A" w:rsidP="0052520A">
      <w:pPr>
        <w:jc w:val="both"/>
        <w:rPr>
          <w:rFonts w:ascii="Arial" w:hAnsi="Arial" w:cs="Arial"/>
        </w:rPr>
      </w:pPr>
      <w:r w:rsidRPr="00585013">
        <w:rPr>
          <w:rFonts w:ascii="Arial" w:hAnsi="Arial" w:cs="Arial"/>
        </w:rPr>
        <w:lastRenderedPageBreak/>
        <w:t xml:space="preserve">MMR-deficient tumors account for about 20–30% of ECs and are most often associated with endometrioid histology, intermediate grade, and peritumoral lymphocytic infiltrates (Bonneville et al., 2017; Hause et al., 2016). MMR deficiency arises from either germline mutations in mismatch repair genes (MLH1, MSH2, MSH6, PMS2), as seen in Lynch syndrome, or somatic hypermethylation of the MLH1 promoter. Loss of MMR function results in microsatellite instability (MSI), characterized by frameshift mutations throughout the genome. Diagnosis relies on </w:t>
      </w:r>
      <w:r w:rsidRPr="00286877">
        <w:rPr>
          <w:rFonts w:ascii="Arial" w:hAnsi="Arial" w:cs="Arial"/>
        </w:rPr>
        <w:t xml:space="preserve">immunohistochemistry (IHC) for MMR proteins or PCR-based MSI testing (Bethesda panel: BAT25, </w:t>
      </w:r>
      <w:r w:rsidR="00286877" w:rsidRPr="00286877">
        <w:rPr>
          <w:rFonts w:ascii="Arial" w:hAnsi="Arial" w:cs="Arial"/>
        </w:rPr>
        <w:t>BAT26, D5S346, D17S250, D2S123)</w:t>
      </w:r>
      <w:r w:rsidR="00286877" w:rsidRPr="00286877">
        <w:rPr>
          <w:rFonts w:ascii="Arial" w:hAnsi="Arial" w:cs="Arial"/>
          <w:highlight w:val="yellow"/>
        </w:rPr>
        <w:t>. H</w:t>
      </w:r>
      <w:r w:rsidR="00F30818" w:rsidRPr="00286877">
        <w:rPr>
          <w:rFonts w:ascii="Arial" w:hAnsi="Arial" w:cs="Arial"/>
          <w:highlight w:val="yellow"/>
        </w:rPr>
        <w:t>owever, alternative microsatellite marker panels and next</w:t>
      </w:r>
      <w:r w:rsidR="00F30818" w:rsidRPr="00286877">
        <w:rPr>
          <w:rFonts w:ascii="Arial" w:hAnsi="Arial" w:cs="Arial"/>
          <w:highlight w:val="yellow"/>
        </w:rPr>
        <w:noBreakHyphen/>
        <w:t>generation sequencing</w:t>
      </w:r>
      <w:r w:rsidR="00F30818" w:rsidRPr="00286877">
        <w:rPr>
          <w:rFonts w:ascii="Arial" w:hAnsi="Arial" w:cs="Arial"/>
          <w:highlight w:val="yellow"/>
        </w:rPr>
        <w:noBreakHyphen/>
        <w:t xml:space="preserve">based approaches are </w:t>
      </w:r>
      <w:r w:rsidR="00286877" w:rsidRPr="00286877">
        <w:rPr>
          <w:rStyle w:val="bzpyqfadein"/>
          <w:rFonts w:ascii="Arial" w:hAnsi="Arial" w:cs="Arial"/>
        </w:rPr>
        <w:t>increasingly implemented in clinical practice for MSI testing across diverse tumor types, including endometrial cancer, at multiple institutions.</w:t>
      </w:r>
      <w:r w:rsidRPr="00286877">
        <w:rPr>
          <w:rFonts w:ascii="Arial" w:hAnsi="Arial" w:cs="Arial"/>
        </w:rPr>
        <w:t>Endometrial cancer patients harboring MMR gene variants are typically diagnosed at a younger age than those in the general population</w:t>
      </w:r>
      <w:r w:rsidRPr="00585013">
        <w:rPr>
          <w:rFonts w:ascii="Arial" w:hAnsi="Arial" w:cs="Arial"/>
        </w:rPr>
        <w:t xml:space="preserve">. One meta-analysis estimated that approximately 3% of EC patients have Lynch syndrome, a prevalence similar to colorectal cancer, with about 10% of MMRd/MSI endometrial cancers attributable to germline mutations in MLH1, PMS2, MSH2, and MSH6 infiltrates (Conte et al., 2023). From a therapeutic standpoint, MMRd/MSI-H tumors have high mutational loads that generate numerous neoantigens, making them highly immunogenic and responsive to immune checkpoint inhibitors (ICIs). Both pembrolizumab and dostarlimab, which block the PD-1 receptor pathway, have shown remarkable and durable responses in recurrent or metastatic MSI-H/MMRd ECs, leading to tissue-agnostic FDA approvals for these agents. In the KEYNOTE-158 trial, pembrolizumab showed promising activity in patients with MSI-H endometrial cancer, producing an objective response rate (ORR) of 57%, with 16% of patients achieving a complete response, and the median duration of response had not yet been reached (Marabelle et al., 2020). Similarly, the GARNET trial demonstrated that dostarlimab was effective in previously treated dMMR endometrial cancer patients, achieving an ORR of 43.5% and providing durable disease control (Oaknin et al., 2022). Prognostically, MSI-H/MMRd ECs have an intermediate outcome—better than p53-abnormal tumors but not as favorable as POLE-mutant tumors and survival outcomes are further improved when immune checkpoint blockade is used in advanced or recurrent disease (Talhouk et al., 2017).  </w:t>
      </w:r>
    </w:p>
    <w:p w:rsidR="0052520A" w:rsidRDefault="0052520A" w:rsidP="0052520A">
      <w:pPr>
        <w:jc w:val="both"/>
        <w:rPr>
          <w:rFonts w:ascii="Arial" w:hAnsi="Arial" w:cs="Arial"/>
        </w:rPr>
      </w:pPr>
    </w:p>
    <w:p w:rsidR="00C97439" w:rsidRPr="00585013" w:rsidRDefault="00C97439" w:rsidP="0052520A">
      <w:pPr>
        <w:jc w:val="both"/>
        <w:rPr>
          <w:rFonts w:ascii="Arial" w:hAnsi="Arial" w:cs="Arial"/>
        </w:rPr>
      </w:pPr>
    </w:p>
    <w:p w:rsidR="00F3713A" w:rsidRPr="00585013" w:rsidRDefault="00BC0D12" w:rsidP="00F3713A">
      <w:pPr>
        <w:spacing w:after="120" w:line="480" w:lineRule="auto"/>
        <w:jc w:val="both"/>
        <w:rPr>
          <w:rFonts w:ascii="Arial" w:hAnsi="Arial" w:cs="Arial"/>
          <w:b/>
          <w:bCs/>
          <w:sz w:val="22"/>
          <w:szCs w:val="22"/>
        </w:rPr>
      </w:pPr>
      <w:r w:rsidRPr="00585013">
        <w:rPr>
          <w:rFonts w:ascii="Arial" w:hAnsi="Arial" w:cs="Arial"/>
          <w:b/>
          <w:bCs/>
          <w:sz w:val="22"/>
          <w:szCs w:val="22"/>
        </w:rPr>
        <w:t xml:space="preserve">5.3. </w:t>
      </w:r>
      <w:r w:rsidR="00F3713A" w:rsidRPr="00585013">
        <w:rPr>
          <w:rFonts w:ascii="Arial" w:hAnsi="Arial" w:cs="Arial"/>
          <w:b/>
          <w:bCs/>
          <w:sz w:val="22"/>
          <w:szCs w:val="22"/>
        </w:rPr>
        <w:t xml:space="preserve">Copy-Number Low/ </w:t>
      </w:r>
      <w:r w:rsidR="00C97439" w:rsidRPr="00585013">
        <w:rPr>
          <w:rFonts w:ascii="Arial" w:hAnsi="Arial" w:cs="Arial"/>
          <w:b/>
          <w:bCs/>
          <w:sz w:val="22"/>
          <w:szCs w:val="22"/>
        </w:rPr>
        <w:t xml:space="preserve">No Specific Molecular Profile </w:t>
      </w:r>
      <w:r w:rsidR="00F3713A" w:rsidRPr="00585013">
        <w:rPr>
          <w:rFonts w:ascii="Arial" w:hAnsi="Arial" w:cs="Arial"/>
          <w:b/>
          <w:bCs/>
          <w:sz w:val="22"/>
          <w:szCs w:val="22"/>
        </w:rPr>
        <w:t>(</w:t>
      </w:r>
      <w:r w:rsidR="00C97439" w:rsidRPr="00585013">
        <w:rPr>
          <w:rFonts w:ascii="Arial" w:hAnsi="Arial" w:cs="Arial"/>
          <w:b/>
          <w:bCs/>
          <w:sz w:val="22"/>
          <w:szCs w:val="22"/>
        </w:rPr>
        <w:t>NSMP</w:t>
      </w:r>
      <w:r w:rsidR="00F3713A" w:rsidRPr="00585013">
        <w:rPr>
          <w:rFonts w:ascii="Arial" w:hAnsi="Arial" w:cs="Arial"/>
          <w:b/>
          <w:bCs/>
          <w:sz w:val="22"/>
          <w:szCs w:val="22"/>
        </w:rPr>
        <w:t>) Tumors</w:t>
      </w:r>
    </w:p>
    <w:p w:rsidR="00C97439" w:rsidRDefault="00F3713A" w:rsidP="00C97439">
      <w:pPr>
        <w:jc w:val="both"/>
        <w:rPr>
          <w:rFonts w:ascii="Arial" w:hAnsi="Arial" w:cs="Arial"/>
        </w:rPr>
      </w:pPr>
      <w:r w:rsidRPr="00585013">
        <w:rPr>
          <w:rFonts w:ascii="Arial" w:hAnsi="Arial" w:cs="Arial"/>
        </w:rPr>
        <w:t>NSMP tumors represent the largest molecular subgroup of endometrial cancers, accounting for approximately 40–50% of cases (Talhouk et al., 2017). Histologically, they are typically low-grade endometrioid carcinomas and are characterized by ER/PR positivity, microsatellite stability, wild-type TP53, and absence of POLE mutations and hence falling in NSMP category. Despite their generally favorable prognosis, NSMP tumors are a heterogeneous group with variable clinical outcomes. These tumors are subdivided into low-risk and high-risk NSMP tumors.</w:t>
      </w:r>
    </w:p>
    <w:p w:rsidR="00C97439" w:rsidRPr="00585013" w:rsidRDefault="00C97439" w:rsidP="00C97439">
      <w:pPr>
        <w:jc w:val="both"/>
        <w:rPr>
          <w:rFonts w:ascii="Arial" w:hAnsi="Arial" w:cs="Arial"/>
        </w:rPr>
      </w:pPr>
    </w:p>
    <w:p w:rsidR="00F3713A" w:rsidRDefault="00F3713A" w:rsidP="00C97439">
      <w:pPr>
        <w:jc w:val="both"/>
        <w:rPr>
          <w:rFonts w:ascii="Arial" w:hAnsi="Arial" w:cs="Arial"/>
        </w:rPr>
      </w:pPr>
      <w:r w:rsidRPr="00585013">
        <w:rPr>
          <w:rFonts w:ascii="Arial" w:hAnsi="Arial" w:cs="Arial"/>
        </w:rPr>
        <w:t xml:space="preserve">Low-risk NSMP tumors typically present as low-grade endometrioid carcinomas with favorable histological features, including estrogen receptor (ER) positivity and minimal or absent LVSI. These tumors often harbor mutations in PTEN, PIK3CA, ARID1A, and CTNNB1. Notably, CTNNB1 mutations, particularly in exon 3, have been associated with a higher risk of recurrence even in early-stage, low-grade tumors. Studies have shown that patients with CTNNB1 mutations have reduced disease-free survival compared to those with wild-type CTNNB1, independent of other prognostic factors such as age </w:t>
      </w:r>
      <w:r w:rsidR="00561962">
        <w:rPr>
          <w:rFonts w:ascii="Arial" w:hAnsi="Arial" w:cs="Arial"/>
        </w:rPr>
        <w:t>and stage (Jamieson et al., 2021</w:t>
      </w:r>
      <w:r w:rsidRPr="00585013">
        <w:rPr>
          <w:rFonts w:ascii="Arial" w:hAnsi="Arial" w:cs="Arial"/>
        </w:rPr>
        <w:t xml:space="preserve">; Kurnit et al., 2017). On the other hand, high-risk NSMP tumors are characterized by CTNNB1 exon 3 mutations, significant LVSI, L1CAM overexpression, and occasionally p16 overexpression (Ravaggi et al., 2022). These tumors have a higher recurrence risk, approaching that of intermediate-risk groups, and may require adjuvant </w:t>
      </w:r>
      <w:r w:rsidRPr="00585013">
        <w:rPr>
          <w:rFonts w:ascii="Arial" w:hAnsi="Arial" w:cs="Arial"/>
        </w:rPr>
        <w:lastRenderedPageBreak/>
        <w:t>therapy even in early-stage disease (Marchetti et al., 2024; Vermij et al., 2023)</w:t>
      </w:r>
      <w:r w:rsidRPr="00585013">
        <w:rPr>
          <w:rFonts w:ascii="Arial" w:hAnsi="Arial" w:cs="Arial"/>
          <w:color w:val="000000" w:themeColor="text1"/>
        </w:rPr>
        <w:t>. The presence of CTNNB1 mutations in these tumors highlights the importance of molecular</w:t>
      </w:r>
      <w:r w:rsidRPr="00585013">
        <w:rPr>
          <w:rFonts w:ascii="Arial" w:hAnsi="Arial" w:cs="Arial"/>
        </w:rPr>
        <w:t xml:space="preserve"> profiling in guiding treatment decisions. </w:t>
      </w:r>
    </w:p>
    <w:p w:rsidR="00C97439" w:rsidRPr="00585013" w:rsidRDefault="00C97439" w:rsidP="007C5B49">
      <w:pPr>
        <w:jc w:val="both"/>
        <w:rPr>
          <w:rFonts w:ascii="Arial" w:hAnsi="Arial" w:cs="Arial"/>
        </w:rPr>
      </w:pPr>
    </w:p>
    <w:p w:rsidR="00F3713A" w:rsidRDefault="00F3713A" w:rsidP="007C5B49">
      <w:pPr>
        <w:jc w:val="both"/>
        <w:rPr>
          <w:rFonts w:ascii="Arial" w:hAnsi="Arial" w:cs="Arial"/>
        </w:rPr>
      </w:pPr>
      <w:r w:rsidRPr="00585013">
        <w:rPr>
          <w:rFonts w:ascii="Arial" w:hAnsi="Arial" w:cs="Arial"/>
        </w:rPr>
        <w:t>From a therapeutic standpoint, NSMP tumors pose a challenge due to the lack of actionable molecular targets. Their low mutational burden makes them less responsive to immunotherapy compared to POLE-mutated or MSI-H tumors. Current investigational approaches include the use of PI3K/AKT/mTOR inhibitors, given the frequent PI3K pathway alterations, and hormonal therapies that exploit ER/PR positivity. Current investigational strategies focus on targeting the frequently altered PI3K pathway with PI3K/AKT/mTOR inhibitors, and on taking advantage of estrogen and progesterone receptor positivity through the use of hormonal therapies (Karpel et al., 2023). Li et al. (2019) also explored novel prognostic models based on disulfidptosis-related lncRNA signatures, which may help identify therapeutic vulnerabilities in NSMP tumors. Prognostically, NSMP tumors generally better than p53-abnormal tumors but worse than POLE-mutated tumors. Moreover, the incorporation of molecular biomarkers such as CTNNB1 status, L1CAM expression, and hormone receptor levels are increasingly being recognized as essential for personalized treatment planning. The heterogeneity within NSMP underscores the need for continued research into its molecular drivers and the development of targeted therapies to improve outcomes.</w:t>
      </w:r>
    </w:p>
    <w:p w:rsidR="000A2991" w:rsidRDefault="000A2991" w:rsidP="007C5B49">
      <w:pPr>
        <w:jc w:val="both"/>
        <w:rPr>
          <w:rFonts w:ascii="Arial" w:hAnsi="Arial" w:cs="Arial"/>
        </w:rPr>
      </w:pPr>
    </w:p>
    <w:p w:rsidR="000A2991" w:rsidRPr="00585013" w:rsidRDefault="000A2991" w:rsidP="007C5B49">
      <w:pPr>
        <w:jc w:val="both"/>
        <w:rPr>
          <w:rFonts w:ascii="Arial" w:hAnsi="Arial" w:cs="Arial"/>
        </w:rPr>
      </w:pPr>
    </w:p>
    <w:p w:rsidR="00F3713A" w:rsidRPr="00585013" w:rsidRDefault="00BC0D12" w:rsidP="00F3713A">
      <w:pPr>
        <w:spacing w:line="480" w:lineRule="auto"/>
        <w:jc w:val="both"/>
        <w:rPr>
          <w:rFonts w:ascii="Arial" w:hAnsi="Arial" w:cs="Arial"/>
          <w:b/>
          <w:bCs/>
          <w:sz w:val="22"/>
          <w:szCs w:val="22"/>
        </w:rPr>
      </w:pPr>
      <w:r w:rsidRPr="00585013">
        <w:rPr>
          <w:rFonts w:ascii="Arial" w:hAnsi="Arial" w:cs="Arial"/>
          <w:b/>
          <w:bCs/>
          <w:sz w:val="22"/>
          <w:szCs w:val="22"/>
        </w:rPr>
        <w:t xml:space="preserve">5.4. </w:t>
      </w:r>
      <w:r w:rsidR="00F3713A" w:rsidRPr="00585013">
        <w:rPr>
          <w:rFonts w:ascii="Arial" w:hAnsi="Arial" w:cs="Arial"/>
          <w:b/>
          <w:bCs/>
          <w:sz w:val="22"/>
          <w:szCs w:val="22"/>
        </w:rPr>
        <w:t>Copy-Number High / TP53-Abnormal (p53</w:t>
      </w:r>
      <w:r w:rsidR="004219B0">
        <w:rPr>
          <w:rFonts w:ascii="Arial" w:hAnsi="Arial" w:cs="Arial"/>
          <w:b/>
          <w:bCs/>
          <w:sz w:val="22"/>
          <w:szCs w:val="22"/>
        </w:rPr>
        <w:t>a</w:t>
      </w:r>
      <w:r w:rsidR="004219B0" w:rsidRPr="00585013">
        <w:rPr>
          <w:rFonts w:ascii="Arial" w:hAnsi="Arial" w:cs="Arial"/>
          <w:b/>
          <w:bCs/>
          <w:sz w:val="22"/>
          <w:szCs w:val="22"/>
        </w:rPr>
        <w:t>bnormal</w:t>
      </w:r>
      <w:r w:rsidR="00F3713A" w:rsidRPr="00585013">
        <w:rPr>
          <w:rFonts w:ascii="Arial" w:hAnsi="Arial" w:cs="Arial"/>
          <w:b/>
          <w:bCs/>
          <w:sz w:val="22"/>
          <w:szCs w:val="22"/>
        </w:rPr>
        <w:t xml:space="preserve">) </w:t>
      </w:r>
    </w:p>
    <w:p w:rsidR="00F3713A" w:rsidRPr="00585013" w:rsidRDefault="00F3713A" w:rsidP="007C5B49">
      <w:pPr>
        <w:jc w:val="both"/>
        <w:rPr>
          <w:rFonts w:ascii="Arial" w:hAnsi="Arial" w:cs="Arial"/>
        </w:rPr>
      </w:pPr>
      <w:r w:rsidRPr="000A2991">
        <w:rPr>
          <w:rFonts w:ascii="Arial" w:hAnsi="Arial" w:cs="Arial"/>
          <w:color w:val="000000" w:themeColor="text1"/>
        </w:rPr>
        <w:t>TP53-abnormal (p53</w:t>
      </w:r>
      <w:r w:rsidR="004219B0" w:rsidRPr="000A2991">
        <w:rPr>
          <w:rFonts w:ascii="Arial" w:hAnsi="Arial" w:cs="Arial"/>
          <w:bCs/>
          <w:highlight w:val="yellow"/>
        </w:rPr>
        <w:t>abnormal</w:t>
      </w:r>
      <w:r w:rsidRPr="000A2991">
        <w:rPr>
          <w:rFonts w:ascii="Arial" w:hAnsi="Arial" w:cs="Arial"/>
          <w:color w:val="000000" w:themeColor="text1"/>
        </w:rPr>
        <w:t>) EC makes up about 20–25% of all ECs and largely corresponds to the copy-number high group in TCGA, including nearly all serous carcinomas and many high-grade endometrioid tumors (Tabata et al., 2023)</w:t>
      </w:r>
      <w:r w:rsidRPr="000A2991">
        <w:rPr>
          <w:rFonts w:ascii="Arial" w:hAnsi="Arial" w:cs="Arial"/>
        </w:rPr>
        <w:t>. These tumors are highly unstable genetically, with extensive chromosomal alterations and nearly universal TP53 mutations, which can be seen on immunohistochemistry as strong, diffuse nuclear staining, abnormal cytoplasmic staining, or no staining (“null pattern”). Clinically, p53</w:t>
      </w:r>
      <w:r w:rsidR="00493322" w:rsidRPr="000A2991">
        <w:rPr>
          <w:rFonts w:ascii="Arial" w:hAnsi="Arial" w:cs="Arial"/>
          <w:bCs/>
          <w:highlight w:val="yellow"/>
        </w:rPr>
        <w:t>abnormal</w:t>
      </w:r>
      <w:r w:rsidRPr="000A2991">
        <w:rPr>
          <w:rFonts w:ascii="Arial" w:hAnsi="Arial" w:cs="Arial"/>
        </w:rPr>
        <w:t xml:space="preserve"> EC is the most aggressive subtype, often presenting at advanced stage with deep myometrial invasion, </w:t>
      </w:r>
      <w:r w:rsidR="00CB312A" w:rsidRPr="000A2991">
        <w:rPr>
          <w:rFonts w:ascii="Arial" w:hAnsi="Arial" w:cs="Arial"/>
        </w:rPr>
        <w:t>ESGO</w:t>
      </w:r>
      <w:r w:rsidRPr="000A2991">
        <w:rPr>
          <w:rFonts w:ascii="Arial" w:hAnsi="Arial" w:cs="Arial"/>
        </w:rPr>
        <w:t>, and extrauterine spread, and five-year recurrence-free survival is poor, around 40–50% compared to &gt; 95% in POLE-mutant tumors (Stelloo et al., 2015). TP53-abnormal tumors frequently recur early and metastasize to the peritoneum and lymph nodes. Molecularly, they often have amplifications of oncogenes like ERBB2 (HER2), CCNE1, and MYC, and loss of tumor suppressors such as RB1 and PTEN, which provides opportunities for targeted therapy. For example, trastuzumab added to carboplatin/paclitaxel improves outcomes in HER2-positive serous EC (Fader et al., 2018)</w:t>
      </w:r>
      <w:r w:rsidRPr="000A2991">
        <w:rPr>
          <w:rFonts w:ascii="Arial" w:hAnsi="Arial" w:cs="Arial"/>
          <w:color w:val="000000" w:themeColor="text1"/>
        </w:rPr>
        <w:t>. In addition, many p53</w:t>
      </w:r>
      <w:r w:rsidR="00493322" w:rsidRPr="000A2991">
        <w:rPr>
          <w:rFonts w:ascii="Arial" w:hAnsi="Arial" w:cs="Arial"/>
          <w:bCs/>
          <w:highlight w:val="yellow"/>
        </w:rPr>
        <w:t>abnormal</w:t>
      </w:r>
      <w:r w:rsidRPr="000A2991">
        <w:rPr>
          <w:rFonts w:ascii="Arial" w:hAnsi="Arial" w:cs="Arial"/>
          <w:color w:val="000000" w:themeColor="text1"/>
        </w:rPr>
        <w:t xml:space="preserve"> ECs show homologous recombination deficiency (HRD), which makes them sensitive to PARP inhibitors such as olaparib. PARP inhibitors block alternative DNA repair pathways, causing synthetic lethality in HRD tumors and selectively killing cancer cells </w:t>
      </w:r>
      <w:r w:rsidRPr="000A2991">
        <w:rPr>
          <w:rFonts w:ascii="Arial" w:hAnsi="Arial" w:cs="Arial"/>
        </w:rPr>
        <w:t>(De Jonge et al., 2019). Clinical studies, including the DUO-E trial, have shown that combining PARP inhibitors with immunotherapy or chemotherapy can improve progression-free survival in HRD-positive EC, suggesting these agents could be particularly useful in p53</w:t>
      </w:r>
      <w:r w:rsidR="00493322" w:rsidRPr="000A2991">
        <w:rPr>
          <w:rFonts w:ascii="Arial" w:hAnsi="Arial" w:cs="Arial"/>
          <w:bCs/>
          <w:highlight w:val="yellow"/>
        </w:rPr>
        <w:t>abnormal</w:t>
      </w:r>
      <w:r w:rsidRPr="000A2991">
        <w:rPr>
          <w:rFonts w:ascii="Arial" w:hAnsi="Arial" w:cs="Arial"/>
        </w:rPr>
        <w:t xml:space="preserve"> tumors (Tuninetti et al., 2024; Westin et al., 2023). Overall, while p53</w:t>
      </w:r>
      <w:r w:rsidR="00493322" w:rsidRPr="000A2991">
        <w:rPr>
          <w:rFonts w:ascii="Arial" w:hAnsi="Arial" w:cs="Arial"/>
          <w:bCs/>
          <w:highlight w:val="yellow"/>
        </w:rPr>
        <w:t>abnormal</w:t>
      </w:r>
      <w:r w:rsidRPr="000A2991">
        <w:rPr>
          <w:rFonts w:ascii="Arial" w:hAnsi="Arial" w:cs="Arial"/>
        </w:rPr>
        <w:t xml:space="preserve"> ECs are aggressive with poor prognosis, their molecular vulnerabilities, such as HRD, provide a rationale for targeted treatments including PARP inhibitors, either alone or in combination with immunotherapy, offering hope for improved outcomes. As these tumors have a high risk of recurrence, systemic therapy is often recommended even in early-stage disease if adverse histologic features are present. Recently, there has been growing interest in adding novel targeted agents such as WEE1 inhibitors (e.g., adavosertib). These drugs work by blocking the WEE1 kinase, which normally controls the G2/M cell cycle checkpoint. In TP53-mutated tumors, which often have defective DNA repair mechanisms, inhibiting WEE1 forces </w:t>
      </w:r>
      <w:r w:rsidRPr="000A2991">
        <w:rPr>
          <w:rFonts w:ascii="Arial" w:hAnsi="Arial" w:cs="Arial"/>
        </w:rPr>
        <w:lastRenderedPageBreak/>
        <w:t>the cells into mitosis before they can repair DNA damage, leading to cell death. Clinical studies in pretreated patients with recurrent p53</w:t>
      </w:r>
      <w:r w:rsidR="00C33B18" w:rsidRPr="000A2991">
        <w:rPr>
          <w:rFonts w:ascii="Arial" w:hAnsi="Arial" w:cs="Arial"/>
          <w:bCs/>
          <w:highlight w:val="yellow"/>
        </w:rPr>
        <w:t>abnormal</w:t>
      </w:r>
      <w:r w:rsidRPr="000A2991">
        <w:rPr>
          <w:rFonts w:ascii="Arial" w:hAnsi="Arial" w:cs="Arial"/>
        </w:rPr>
        <w:t xml:space="preserve"> EC or uterine serous carcinoma have shown objective responses to WEE1 inhibitors and meaningful progression-free survival, highlighting the potential of WEE1 inhibitors in this aggressive subgroup (Liu et al., 2021). Still promising, further research is needed to optimize the dose and identify the patients that will</w:t>
      </w:r>
      <w:r w:rsidRPr="00585013">
        <w:rPr>
          <w:rFonts w:ascii="Arial" w:hAnsi="Arial" w:cs="Arial"/>
        </w:rPr>
        <w:t xml:space="preserve"> benefit most. </w:t>
      </w:r>
    </w:p>
    <w:p w:rsidR="007C5B49" w:rsidRDefault="007C5B49" w:rsidP="007C5B49">
      <w:pPr>
        <w:jc w:val="both"/>
        <w:rPr>
          <w:rFonts w:ascii="Arial" w:hAnsi="Arial" w:cs="Arial"/>
        </w:rPr>
      </w:pPr>
    </w:p>
    <w:p w:rsidR="000A2991" w:rsidRPr="00585013" w:rsidRDefault="000A2991" w:rsidP="007C5B49">
      <w:pPr>
        <w:jc w:val="both"/>
        <w:rPr>
          <w:rFonts w:ascii="Arial" w:hAnsi="Arial" w:cs="Arial"/>
        </w:rPr>
      </w:pPr>
    </w:p>
    <w:p w:rsidR="00F3713A" w:rsidRPr="00585013" w:rsidRDefault="00F3713A" w:rsidP="0052520A">
      <w:pPr>
        <w:pStyle w:val="ListParagraph"/>
        <w:numPr>
          <w:ilvl w:val="0"/>
          <w:numId w:val="31"/>
        </w:numPr>
        <w:tabs>
          <w:tab w:val="clear" w:pos="720"/>
        </w:tabs>
        <w:spacing w:line="480" w:lineRule="auto"/>
        <w:ind w:left="284" w:hanging="284"/>
        <w:jc w:val="both"/>
        <w:rPr>
          <w:rFonts w:ascii="Arial" w:hAnsi="Arial" w:cs="Arial"/>
          <w:b/>
          <w:bCs/>
          <w:sz w:val="22"/>
          <w:szCs w:val="22"/>
        </w:rPr>
      </w:pPr>
      <w:r w:rsidRPr="00585013">
        <w:rPr>
          <w:rFonts w:ascii="Arial" w:hAnsi="Arial" w:cs="Arial"/>
          <w:b/>
          <w:bCs/>
          <w:sz w:val="22"/>
          <w:szCs w:val="22"/>
        </w:rPr>
        <w:t>Multiple classifier tumors in EC</w:t>
      </w:r>
    </w:p>
    <w:p w:rsidR="00A81873" w:rsidRPr="000A2991" w:rsidRDefault="00F3713A" w:rsidP="007C5B49">
      <w:pPr>
        <w:jc w:val="both"/>
        <w:rPr>
          <w:rFonts w:ascii="Arial" w:hAnsi="Arial" w:cs="Arial"/>
        </w:rPr>
      </w:pPr>
      <w:r w:rsidRPr="00585013">
        <w:rPr>
          <w:rFonts w:ascii="Arial" w:hAnsi="Arial" w:cs="Arial"/>
        </w:rPr>
        <w:t>The molecular sub classification of EC has profoundly changed with the introduction of the four-</w:t>
      </w:r>
      <w:r w:rsidRPr="000A2991">
        <w:rPr>
          <w:rFonts w:ascii="Arial" w:hAnsi="Arial" w:cs="Arial"/>
        </w:rPr>
        <w:t>tiered system proposed by TCGA. This classification is not only of academic importance but also directly influences prognosis, therapeutic decisions, and risk stratification. However, about 3% to 11% of EC tumors show more than one key molecular change — for example, when POLE mutations or MMR deficiency occur together with TP53 mutations. These are called “multiple-classifier” tumors. These include combinations like POLEmut–p53</w:t>
      </w:r>
      <w:r w:rsidR="00AF4DEA" w:rsidRPr="000A2991">
        <w:rPr>
          <w:rFonts w:ascii="Arial" w:hAnsi="Arial" w:cs="Arial"/>
          <w:bCs/>
          <w:highlight w:val="yellow"/>
        </w:rPr>
        <w:t>abnormal</w:t>
      </w:r>
      <w:r w:rsidRPr="000A2991">
        <w:rPr>
          <w:rFonts w:ascii="Arial" w:hAnsi="Arial" w:cs="Arial"/>
        </w:rPr>
        <w:t>, MMRd–p53</w:t>
      </w:r>
      <w:r w:rsidR="00AF4DEA" w:rsidRPr="000A2991">
        <w:rPr>
          <w:rFonts w:ascii="Arial" w:hAnsi="Arial" w:cs="Arial"/>
          <w:bCs/>
          <w:highlight w:val="yellow"/>
        </w:rPr>
        <w:t>abnormal</w:t>
      </w:r>
      <w:r w:rsidRPr="000A2991">
        <w:rPr>
          <w:rFonts w:ascii="Arial" w:hAnsi="Arial" w:cs="Arial"/>
        </w:rPr>
        <w:t>, POLEmut–MMRd, and even rare triple-positive (POLEmut–MMRd–p53</w:t>
      </w:r>
      <w:r w:rsidR="00AF4DEA" w:rsidRPr="000A2991">
        <w:rPr>
          <w:rFonts w:ascii="Arial" w:hAnsi="Arial" w:cs="Arial"/>
          <w:bCs/>
          <w:highlight w:val="yellow"/>
        </w:rPr>
        <w:t>abnormal</w:t>
      </w:r>
      <w:r w:rsidRPr="000A2991">
        <w:rPr>
          <w:rFonts w:ascii="Arial" w:hAnsi="Arial" w:cs="Arial"/>
        </w:rPr>
        <w:t>) tumors. These overlapping profiles present a unique clinical challenge because they blur the expected prognostic and therapeutic implications traditionally associated with each single classifier. Thus, understanding the dominant biology among overlapping mutations is critical to guide patient management (León-Castillo et al., 2020).</w:t>
      </w:r>
    </w:p>
    <w:p w:rsidR="0052520A" w:rsidRPr="000A2991" w:rsidRDefault="0052520A" w:rsidP="007C5B49">
      <w:pPr>
        <w:jc w:val="both"/>
        <w:rPr>
          <w:rFonts w:ascii="Arial" w:hAnsi="Arial" w:cs="Arial"/>
        </w:rPr>
      </w:pPr>
    </w:p>
    <w:p w:rsidR="00F3713A" w:rsidRPr="000A2991" w:rsidRDefault="00F3713A" w:rsidP="007C5B49">
      <w:pPr>
        <w:jc w:val="both"/>
        <w:rPr>
          <w:rFonts w:ascii="Arial" w:hAnsi="Arial" w:cs="Arial"/>
        </w:rPr>
      </w:pPr>
      <w:r w:rsidRPr="000A2991">
        <w:rPr>
          <w:rFonts w:ascii="Arial" w:hAnsi="Arial" w:cs="Arial"/>
        </w:rPr>
        <w:t>One of the most well-studied overlapping subtypes is POLEmut–p53</w:t>
      </w:r>
      <w:r w:rsidR="00AF4DEA" w:rsidRPr="000A2991">
        <w:rPr>
          <w:rFonts w:ascii="Arial" w:hAnsi="Arial" w:cs="Arial"/>
          <w:bCs/>
          <w:highlight w:val="yellow"/>
        </w:rPr>
        <w:t xml:space="preserve"> abnormal</w:t>
      </w:r>
      <w:r w:rsidRPr="000A2991">
        <w:rPr>
          <w:rFonts w:ascii="Arial" w:hAnsi="Arial" w:cs="Arial"/>
        </w:rPr>
        <w:t>, which has been reported in about 0.5–4% of ECs across different studies (León-Castillo et al., 2020; De Vitis et al., 2024; Szatkowski et al., 2025). These tumors are usually high-grade, appear at early stages, and mostly show endometrioid histology. Even though they have TP53 mutations or abnormal p53 IHC staining, the highly mutated nature caused by changes in the POLE gene’s exonuclease domain seems to control how the tumor behaves. Clinically, they show excellent outcomes, very few recurrences, and good overall survival, much like pure POLEmut tumors (León-Castillo et al., 2020; De Vitis et al., 2024; Kommoss et al., 2018). Therefore, when both POLEmut and TP53 mutations are found together, the POLEmut feature is considered dominant, and the TP53 mutation does not change the generally positive prognosis of patients having POLEmut–p53</w:t>
      </w:r>
      <w:r w:rsidR="00AF4DEA" w:rsidRPr="000A2991">
        <w:rPr>
          <w:rFonts w:ascii="Arial" w:hAnsi="Arial" w:cs="Arial"/>
          <w:bCs/>
          <w:highlight w:val="yellow"/>
        </w:rPr>
        <w:t xml:space="preserve"> abnormal</w:t>
      </w:r>
      <w:r w:rsidRPr="000A2991">
        <w:rPr>
          <w:rFonts w:ascii="Arial" w:hAnsi="Arial" w:cs="Arial"/>
        </w:rPr>
        <w:t xml:space="preserve"> subtype.</w:t>
      </w:r>
    </w:p>
    <w:p w:rsidR="0052520A" w:rsidRPr="000A2991" w:rsidRDefault="0052520A" w:rsidP="007C5B49">
      <w:pPr>
        <w:jc w:val="both"/>
        <w:rPr>
          <w:rFonts w:ascii="Arial" w:hAnsi="Arial" w:cs="Arial"/>
        </w:rPr>
      </w:pPr>
    </w:p>
    <w:p w:rsidR="00F3713A" w:rsidRPr="000A2991" w:rsidRDefault="00F3713A" w:rsidP="007C5B49">
      <w:pPr>
        <w:jc w:val="both"/>
        <w:rPr>
          <w:rFonts w:ascii="Arial" w:hAnsi="Arial" w:cs="Arial"/>
        </w:rPr>
      </w:pPr>
      <w:r w:rsidRPr="000A2991">
        <w:rPr>
          <w:rFonts w:ascii="Arial" w:hAnsi="Arial" w:cs="Arial"/>
        </w:rPr>
        <w:t>The MMRd–p53</w:t>
      </w:r>
      <w:r w:rsidR="00AF4DEA" w:rsidRPr="000A2991">
        <w:rPr>
          <w:rFonts w:ascii="Arial" w:hAnsi="Arial" w:cs="Arial"/>
          <w:bCs/>
          <w:highlight w:val="yellow"/>
        </w:rPr>
        <w:t xml:space="preserve"> abnormal</w:t>
      </w:r>
      <w:r w:rsidRPr="000A2991">
        <w:rPr>
          <w:rFonts w:ascii="Arial" w:hAnsi="Arial" w:cs="Arial"/>
        </w:rPr>
        <w:t xml:space="preserve"> group shows a more mixed picture, making up about 3–7% of all ECs, and is the most common multiple-classifier subtype (León-Castillo et al., 2020; De Vitis et al., 2024; Szatkowski et al., 2025). These tumors usually have an endometrioid structure and can occur across different grades and stages. The TP53 mutations in these tumors are often subclonal, meaning they appear later during tumor growth rather than driving it from the start. In both their microscopic features and clinical behavior, they are more similar to MMRd tumors — showing moderate outcomes, partial response to immune checkpoint therapy, and higher numbers of tumor-infiltrating lymphocytes (TILs) — rather than the poor prognosis usually linked with p53</w:t>
      </w:r>
      <w:r w:rsidR="00AF4DEA" w:rsidRPr="000A2991">
        <w:rPr>
          <w:rFonts w:ascii="Arial" w:hAnsi="Arial" w:cs="Arial"/>
          <w:bCs/>
          <w:highlight w:val="yellow"/>
        </w:rPr>
        <w:t xml:space="preserve"> abnormal</w:t>
      </w:r>
      <w:r w:rsidRPr="000A2991">
        <w:rPr>
          <w:rFonts w:ascii="Arial" w:hAnsi="Arial" w:cs="Arial"/>
        </w:rPr>
        <w:t xml:space="preserve"> ECs (León-Castillo et al., 2020; De Vitis et al., 2024). Hence, MMRd is considered the dominant type in this group. The discovery of such tumors highlights the importance of understanding not only which mutations are present but also when they occur during tumor development while deciding molecular subtypes.</w:t>
      </w:r>
    </w:p>
    <w:p w:rsidR="0052520A" w:rsidRPr="000A2991" w:rsidRDefault="0052520A" w:rsidP="007C5B49">
      <w:pPr>
        <w:jc w:val="both"/>
        <w:rPr>
          <w:rFonts w:ascii="Arial" w:hAnsi="Arial" w:cs="Arial"/>
        </w:rPr>
      </w:pPr>
    </w:p>
    <w:p w:rsidR="00F3713A" w:rsidRPr="000A2991" w:rsidRDefault="00F3713A" w:rsidP="007C5B49">
      <w:pPr>
        <w:jc w:val="both"/>
        <w:rPr>
          <w:rFonts w:ascii="Arial" w:hAnsi="Arial" w:cs="Arial"/>
        </w:rPr>
      </w:pPr>
      <w:r w:rsidRPr="000A2991">
        <w:rPr>
          <w:rFonts w:ascii="Arial" w:hAnsi="Arial" w:cs="Arial"/>
        </w:rPr>
        <w:t>A much rarer but scientifically interesting group is the POLEmut–MMRd subtype, which makes up about 0.5–2.5% of ECs (León-Castillo et al., 2020; De Vitis et al., 2024; Szatkowski et al., 2025). Like the POLEmut–p53</w:t>
      </w:r>
      <w:r w:rsidR="00AF4DEA" w:rsidRPr="000A2991">
        <w:rPr>
          <w:rFonts w:ascii="Arial" w:hAnsi="Arial" w:cs="Arial"/>
          <w:bCs/>
          <w:highlight w:val="yellow"/>
        </w:rPr>
        <w:t xml:space="preserve"> abnormal</w:t>
      </w:r>
      <w:r w:rsidRPr="000A2991">
        <w:rPr>
          <w:rFonts w:ascii="Arial" w:hAnsi="Arial" w:cs="Arial"/>
        </w:rPr>
        <w:t xml:space="preserve"> tumors, these also tend to be high-grade but still have very good clinical outcomes. Their mutation patterns show signs of both MMR deficiency and POLE-driven ultramutation, including very high tumor mutational burden (TMB), strong immune activity, and many lymphocytes within the tumor. These </w:t>
      </w:r>
      <w:r w:rsidRPr="000A2991">
        <w:rPr>
          <w:rFonts w:ascii="Arial" w:hAnsi="Arial" w:cs="Arial"/>
        </w:rPr>
        <w:lastRenderedPageBreak/>
        <w:t>tumors may also respond well to immune checkpoint inhibitors because of their high number of neoantigens and immune-active environment (León-Castillo et al., 2020; De Vitis et al., 2024). As in other overlapping types, the POLE mutation is considered the most important factor in predicting patient outcomes in this subtype also.</w:t>
      </w:r>
    </w:p>
    <w:p w:rsidR="0052520A" w:rsidRPr="000A2991" w:rsidRDefault="0052520A" w:rsidP="007C5B49">
      <w:pPr>
        <w:jc w:val="both"/>
        <w:rPr>
          <w:rFonts w:ascii="Arial" w:hAnsi="Arial" w:cs="Arial"/>
        </w:rPr>
      </w:pPr>
    </w:p>
    <w:p w:rsidR="00F3713A" w:rsidRPr="000A2991" w:rsidRDefault="00F3713A" w:rsidP="007C5B49">
      <w:pPr>
        <w:jc w:val="both"/>
        <w:rPr>
          <w:rFonts w:ascii="Arial" w:hAnsi="Arial" w:cs="Arial"/>
        </w:rPr>
      </w:pPr>
      <w:r w:rsidRPr="000A2991">
        <w:rPr>
          <w:rFonts w:ascii="Arial" w:hAnsi="Arial" w:cs="Arial"/>
        </w:rPr>
        <w:t>The rarest and least understood group are the triple-positive tumors (POLEmut–MMRd–p53</w:t>
      </w:r>
      <w:r w:rsidR="00AF4DEA" w:rsidRPr="000A2991">
        <w:rPr>
          <w:rFonts w:ascii="Arial" w:hAnsi="Arial" w:cs="Arial"/>
          <w:bCs/>
          <w:highlight w:val="yellow"/>
        </w:rPr>
        <w:t xml:space="preserve"> abnormal</w:t>
      </w:r>
      <w:r w:rsidRPr="000A2991">
        <w:rPr>
          <w:rFonts w:ascii="Arial" w:hAnsi="Arial" w:cs="Arial"/>
        </w:rPr>
        <w:t>), which make up less than 1% of ECs in most studies (León-Castillo et al., 2020; De Vitis et al., 2024; Szatkowski et al., 2025). Although these cases are extremely uncommon, early findings suggest that they behave like POLEmut tumors when a clear POLE mutation is identified (León-Castillo et al., 2020). This supports a molecular hierarchy model in EC classification, where POLE mutations have the strongest influence, followed by MMR deficiency, and finally TP53 mutations (León-Castillo et al., 2020; De Vitis et al., 2024; Kommoss et al., 2018).</w:t>
      </w:r>
    </w:p>
    <w:p w:rsidR="0052520A" w:rsidRPr="000A2991" w:rsidRDefault="0052520A" w:rsidP="007C5B49">
      <w:pPr>
        <w:jc w:val="both"/>
        <w:rPr>
          <w:rFonts w:ascii="Arial" w:hAnsi="Arial" w:cs="Arial"/>
        </w:rPr>
      </w:pPr>
    </w:p>
    <w:p w:rsidR="00F3713A" w:rsidRPr="000A2991" w:rsidRDefault="00F3713A" w:rsidP="007C5B49">
      <w:pPr>
        <w:jc w:val="both"/>
        <w:rPr>
          <w:rFonts w:ascii="Arial" w:hAnsi="Arial" w:cs="Arial"/>
        </w:rPr>
      </w:pPr>
      <w:r w:rsidRPr="000A2991">
        <w:rPr>
          <w:rFonts w:ascii="Arial" w:hAnsi="Arial" w:cs="Arial"/>
        </w:rPr>
        <w:t>This molecular hierarchy has been widely used to avoid confusion caused by overlapping classifiers. This system is supported by the outcome data: POLEmut tumors, including overlapping ones, consistently show the best survival, followed by MMRd and NSMP tumors, while p53</w:t>
      </w:r>
      <w:r w:rsidR="00AF4DEA" w:rsidRPr="000A2991">
        <w:rPr>
          <w:rFonts w:ascii="Arial" w:hAnsi="Arial" w:cs="Arial"/>
          <w:bCs/>
          <w:highlight w:val="yellow"/>
        </w:rPr>
        <w:t xml:space="preserve"> abnormal</w:t>
      </w:r>
      <w:r w:rsidRPr="000A2991">
        <w:rPr>
          <w:rFonts w:ascii="Arial" w:hAnsi="Arial" w:cs="Arial"/>
        </w:rPr>
        <w:t xml:space="preserve"> tumors have the poorest outcomes. In this system a tumor that has both POLE and TP53 mutations is placed in the POLEmut group; similarly, an MMRd–p53</w:t>
      </w:r>
      <w:r w:rsidR="00AF4DEA" w:rsidRPr="000A2991">
        <w:rPr>
          <w:rFonts w:ascii="Arial" w:hAnsi="Arial" w:cs="Arial"/>
          <w:bCs/>
          <w:highlight w:val="yellow"/>
        </w:rPr>
        <w:t xml:space="preserve"> abnormal</w:t>
      </w:r>
      <w:r w:rsidRPr="000A2991">
        <w:rPr>
          <w:rFonts w:ascii="Arial" w:hAnsi="Arial" w:cs="Arial"/>
        </w:rPr>
        <w:t xml:space="preserve"> tumor is classified as MMRd. This approach has been officially included in the European Society of </w:t>
      </w:r>
      <w:r w:rsidR="004219B0" w:rsidRPr="000A2991">
        <w:rPr>
          <w:rFonts w:ascii="Arial" w:hAnsi="Arial" w:cs="Arial"/>
        </w:rPr>
        <w:t xml:space="preserve">gynecological </w:t>
      </w:r>
      <w:r w:rsidRPr="000A2991">
        <w:rPr>
          <w:rFonts w:ascii="Arial" w:hAnsi="Arial" w:cs="Arial"/>
        </w:rPr>
        <w:t>Oncology (ESGO)–European Society for Radiotherapy and Oncology (ESTRO)–European Society of Pathology (ESP) guidelines for risk classification in EC (Concin et al., 2021).</w:t>
      </w:r>
    </w:p>
    <w:p w:rsidR="0052520A" w:rsidRPr="000A2991" w:rsidRDefault="0052520A" w:rsidP="007C5B49">
      <w:pPr>
        <w:jc w:val="both"/>
        <w:rPr>
          <w:rFonts w:ascii="Arial" w:hAnsi="Arial" w:cs="Arial"/>
        </w:rPr>
      </w:pPr>
    </w:p>
    <w:p w:rsidR="00F3713A" w:rsidRPr="000A2991" w:rsidRDefault="00F3713A" w:rsidP="007C5B49">
      <w:pPr>
        <w:jc w:val="both"/>
        <w:rPr>
          <w:rFonts w:ascii="Arial" w:hAnsi="Arial" w:cs="Arial"/>
        </w:rPr>
      </w:pPr>
      <w:r w:rsidRPr="000A2991">
        <w:rPr>
          <w:rFonts w:ascii="Arial" w:hAnsi="Arial" w:cs="Arial"/>
        </w:rPr>
        <w:t>Subclonal or mixed p53 staining patterns add another layer of complexity. Subclonal staining, which shows a mix of normal and mutant p53 IHC patterns, is more often seen in POLEmut and MMRd tumors. This likely reflects tumor diversity or later development of TP53 mutations. In a study of 957 ECs, subclonal p53 expression was found in about 4% of cases, with the highest rate (14%) in POLEmut tumors (Huvila et al., 2023). However, these subclonal changes generally do not affect prognosis when they occur alongside dominant POLEmut or MMRd features. This shows that not all TP53 mutations cause harmful effects — especially when they appear later in tumor development or act as incidental changes.</w:t>
      </w:r>
    </w:p>
    <w:p w:rsidR="0052520A" w:rsidRPr="000A2991" w:rsidRDefault="0052520A" w:rsidP="007C5B49">
      <w:pPr>
        <w:jc w:val="both"/>
        <w:rPr>
          <w:rFonts w:ascii="Arial" w:hAnsi="Arial" w:cs="Arial"/>
        </w:rPr>
      </w:pPr>
    </w:p>
    <w:p w:rsidR="00F3713A" w:rsidRPr="000A2991" w:rsidRDefault="00F3713A" w:rsidP="007C5B49">
      <w:pPr>
        <w:jc w:val="both"/>
        <w:rPr>
          <w:rFonts w:ascii="Arial" w:hAnsi="Arial" w:cs="Arial"/>
        </w:rPr>
      </w:pPr>
      <w:r w:rsidRPr="000A2991">
        <w:rPr>
          <w:rFonts w:ascii="Arial" w:hAnsi="Arial" w:cs="Arial"/>
        </w:rPr>
        <w:t>Therefore, while the TCGA molecular subtypes have advanced the field of endometrial cancer classification, multiple-classifier tumors reveal the biological complexity that defies strict categorization. The proposed molecular hierarchy by multiple classifier tumors POLEmut&gt;MMRd&gt; p53</w:t>
      </w:r>
      <w:r w:rsidR="00AF4DEA" w:rsidRPr="000A2991">
        <w:rPr>
          <w:rFonts w:ascii="Arial" w:hAnsi="Arial" w:cs="Arial"/>
          <w:bCs/>
          <w:highlight w:val="yellow"/>
        </w:rPr>
        <w:t xml:space="preserve"> abnormal</w:t>
      </w:r>
      <w:r w:rsidRPr="000A2991">
        <w:rPr>
          <w:rFonts w:ascii="Arial" w:hAnsi="Arial" w:cs="Arial"/>
        </w:rPr>
        <w:t xml:space="preserve">—offers a pragmatic approach to risk stratification and treatment planning. </w:t>
      </w:r>
    </w:p>
    <w:p w:rsidR="007C5B49" w:rsidRDefault="007C5B49" w:rsidP="007C5B49">
      <w:pPr>
        <w:jc w:val="both"/>
        <w:rPr>
          <w:rFonts w:ascii="Arial" w:hAnsi="Arial" w:cs="Arial"/>
        </w:rPr>
      </w:pPr>
    </w:p>
    <w:p w:rsidR="000A2991" w:rsidRPr="000A2991" w:rsidRDefault="000A2991" w:rsidP="007C5B49">
      <w:pPr>
        <w:jc w:val="both"/>
        <w:rPr>
          <w:rFonts w:ascii="Arial" w:hAnsi="Arial" w:cs="Arial"/>
        </w:rPr>
      </w:pPr>
    </w:p>
    <w:p w:rsidR="00F3713A" w:rsidRPr="00585013" w:rsidRDefault="00F3713A" w:rsidP="0052520A">
      <w:pPr>
        <w:pStyle w:val="ListParagraph"/>
        <w:numPr>
          <w:ilvl w:val="0"/>
          <w:numId w:val="31"/>
        </w:numPr>
        <w:tabs>
          <w:tab w:val="clear" w:pos="720"/>
        </w:tabs>
        <w:spacing w:line="480" w:lineRule="auto"/>
        <w:ind w:left="284" w:hanging="284"/>
        <w:jc w:val="both"/>
        <w:rPr>
          <w:rFonts w:ascii="Arial" w:hAnsi="Arial" w:cs="Arial"/>
          <w:b/>
          <w:bCs/>
          <w:sz w:val="22"/>
          <w:szCs w:val="22"/>
        </w:rPr>
      </w:pPr>
      <w:r w:rsidRPr="00585013">
        <w:rPr>
          <w:rFonts w:ascii="Arial" w:hAnsi="Arial" w:cs="Arial"/>
          <w:b/>
          <w:bCs/>
          <w:sz w:val="22"/>
          <w:szCs w:val="22"/>
        </w:rPr>
        <w:t>Methods used for EC classification</w:t>
      </w:r>
    </w:p>
    <w:p w:rsidR="0052520A" w:rsidRPr="00585013" w:rsidRDefault="00F3713A" w:rsidP="0052520A">
      <w:pPr>
        <w:jc w:val="both"/>
        <w:rPr>
          <w:rFonts w:ascii="Arial" w:hAnsi="Arial" w:cs="Arial"/>
        </w:rPr>
      </w:pPr>
      <w:r w:rsidRPr="00585013">
        <w:rPr>
          <w:rFonts w:ascii="Arial" w:hAnsi="Arial" w:cs="Arial"/>
        </w:rPr>
        <w:t xml:space="preserve">TCGA has provided a highly detailed molecular classification of EC based on a broad range of genomic data, including whole-genome sequencing (WGS), whole-exome sequencing (WES), RNA sequencing (RNA-seq), and DNA methylation profiling. However, while TCGA has revolutionized our understanding of EC at the molecular level, it is not currently practical for routine clinical use due to the need for high-throughput sequencing technologies and complex bioinformatics that require significant resources and expertise (Paratore et al., 2025). This makes TCGA a powerful research tool but limits its application in day-to-day clinical practice, where time, cost, and accessibility are key considerations.On the other hand, the ProMisE and Trans PORTEC classifiers offer a streamlined, multi-step approach to the molecular classification of EC that is designed to be practical for clinical use. These systems combine a range of molecular testing platforms, including targeted sequencing, </w:t>
      </w:r>
      <w:r w:rsidRPr="00585013">
        <w:rPr>
          <w:rFonts w:ascii="Arial" w:hAnsi="Arial" w:cs="Arial"/>
        </w:rPr>
        <w:lastRenderedPageBreak/>
        <w:t>immunohistochemistry (IHC), and polymerase chain reaction (PCR) assays. ProMisE and TransPORTEC classifiers typically recommend POLE sequencing as the first step to identify POLE ultramutated tumors, which are known to have a high mutation burden and a generally better prognosis. However, if no POLE mutation is detected, the system proceeds with IHC for mismatch repair (MMR) proteins, and if expression is retained, p53 IHC is performed to further classify the tumor into different risk categories (Kim et al., 2024)</w:t>
      </w:r>
      <w:r w:rsidR="00B43179">
        <w:rPr>
          <w:rFonts w:ascii="Arial" w:hAnsi="Arial" w:cs="Arial"/>
        </w:rPr>
        <w:t xml:space="preserve"> (Figure</w:t>
      </w:r>
      <w:r w:rsidRPr="00585013">
        <w:rPr>
          <w:rFonts w:ascii="Arial" w:hAnsi="Arial" w:cs="Arial"/>
        </w:rPr>
        <w:t>2). These multistep approaches may be si</w:t>
      </w:r>
      <w:r w:rsidR="0052520A">
        <w:rPr>
          <w:rFonts w:ascii="Arial" w:hAnsi="Arial" w:cs="Arial"/>
        </w:rPr>
        <w:t xml:space="preserve">mpler than TCGA methods but has </w:t>
      </w:r>
      <w:r w:rsidR="0052520A" w:rsidRPr="00585013">
        <w:rPr>
          <w:rFonts w:ascii="Arial" w:hAnsi="Arial" w:cs="Arial"/>
        </w:rPr>
        <w:t>several limitations that need to be addressed before it is operationalized for everyday clinical practice (Kim et al., 2024).One of the main limitations is the reliance on POLE sequencing via PCR, which is primarily focused on known hotspot mutations. This approach can miss less common or novel POLE variants, especially as emerging research uncovers additional variants of uncertain pathogenicity (Paratore et al., 2025). Moreover, the targeted sequencing used in ProMisE and TransPORTEC classifiers is not universally accessible across all healthcare centers, especially in lower-resource settings, limiting the widespread application of these tests. Another challenge is the interpretation of IHC results. Particularly for MMR proteins and p53, subclonal or patchy staining patterns can occur, especially in cases where tissue fixation is delayed, which can lead to false-negative or inconclusive results. These issues can compromise the accuracy of the classifier and pose difficulties for pathologists (Kim et al., 2024).</w:t>
      </w:r>
    </w:p>
    <w:p w:rsidR="00B43179" w:rsidRDefault="00B43179" w:rsidP="007C5B49">
      <w:pPr>
        <w:jc w:val="both"/>
        <w:rPr>
          <w:rFonts w:ascii="Arial" w:hAnsi="Arial" w:cs="Arial"/>
        </w:rPr>
      </w:pPr>
    </w:p>
    <w:p w:rsidR="0052520A" w:rsidRPr="00585013" w:rsidRDefault="0052520A" w:rsidP="0052520A">
      <w:pPr>
        <w:jc w:val="both"/>
        <w:rPr>
          <w:rFonts w:ascii="Arial" w:hAnsi="Arial" w:cs="Arial"/>
        </w:rPr>
      </w:pPr>
      <w:r w:rsidRPr="00585013">
        <w:rPr>
          <w:rFonts w:ascii="Arial" w:hAnsi="Arial" w:cs="Arial"/>
        </w:rPr>
        <w:t xml:space="preserve">In light of these challenges, next-generation sequencing (NGS) technologies have emerged as a promising solution for improving molecular subtyping in endometrial cancer. NGS offers a more comprehensive, multifaceted approach by simultaneously analyzing a broader range of genetic markers, mutations, and alterations in a single test. This enables a much more precise and detailed molecular profile of the tumor compared to traditional methods like IHC and PCR. Several studies have demonstrated the potential of NGS to provide highly accurate insights into the genetic landscape of EC, including the detection of rare or novel mutations that may be missed by targeted sequencing (Paratore et al., 2025). Importantly, NGS has the potential to simplify the diagnostic process, offering a single platform that could replace the sequential testing required in systems like ProMisE and TransPORTEC. Moreover, the development of </w:t>
      </w:r>
      <w:r w:rsidRPr="00585013">
        <w:rPr>
          <w:rFonts w:ascii="Arial" w:hAnsi="Arial" w:cs="Arial"/>
          <w:bCs/>
        </w:rPr>
        <w:t>simplified NGS panels</w:t>
      </w:r>
      <w:r w:rsidRPr="00585013">
        <w:rPr>
          <w:rFonts w:ascii="Arial" w:hAnsi="Arial" w:cs="Arial"/>
        </w:rPr>
        <w:t xml:space="preserve"> that target the most clinically relevant genetic markers </w:t>
      </w:r>
      <w:r w:rsidRPr="00585013">
        <w:rPr>
          <w:rFonts w:ascii="Arial" w:hAnsi="Arial" w:cs="Arial"/>
          <w:bCs/>
        </w:rPr>
        <w:t>makes</w:t>
      </w:r>
      <w:r w:rsidRPr="00585013">
        <w:rPr>
          <w:rFonts w:ascii="Arial" w:hAnsi="Arial" w:cs="Arial"/>
        </w:rPr>
        <w:t xml:space="preserve"> this technology more accessible and cost-effective for routine clinical use. By reducing the need for multiple complex assays, these panels </w:t>
      </w:r>
      <w:r w:rsidRPr="00585013">
        <w:rPr>
          <w:rFonts w:ascii="Arial" w:hAnsi="Arial" w:cs="Arial"/>
          <w:bCs/>
        </w:rPr>
        <w:t>streamline molecular classification</w:t>
      </w:r>
      <w:r w:rsidRPr="00585013">
        <w:rPr>
          <w:rFonts w:ascii="Arial" w:hAnsi="Arial" w:cs="Arial"/>
        </w:rPr>
        <w:t>, making it faster, more efficient, and less resource-intensive (Kim et al., 2024).</w:t>
      </w:r>
    </w:p>
    <w:p w:rsidR="0052520A" w:rsidRDefault="0052520A" w:rsidP="007C5B49">
      <w:pPr>
        <w:jc w:val="both"/>
        <w:rPr>
          <w:rFonts w:ascii="Arial" w:hAnsi="Arial" w:cs="Arial"/>
        </w:rPr>
      </w:pPr>
    </w:p>
    <w:p w:rsidR="00374857" w:rsidRPr="00585013" w:rsidRDefault="00374857" w:rsidP="00374857">
      <w:pPr>
        <w:jc w:val="both"/>
        <w:rPr>
          <w:rFonts w:ascii="Arial" w:hAnsi="Arial" w:cs="Arial"/>
        </w:rPr>
      </w:pPr>
      <w:r w:rsidRPr="00585013">
        <w:rPr>
          <w:rFonts w:ascii="Arial" w:hAnsi="Arial" w:cs="Arial"/>
        </w:rPr>
        <w:t xml:space="preserve">Currently, the integration of </w:t>
      </w:r>
      <w:r w:rsidRPr="00585013">
        <w:rPr>
          <w:rFonts w:ascii="Arial" w:hAnsi="Arial" w:cs="Arial"/>
          <w:bCs/>
        </w:rPr>
        <w:t>NGS panels</w:t>
      </w:r>
      <w:r w:rsidRPr="00585013">
        <w:rPr>
          <w:rFonts w:ascii="Arial" w:hAnsi="Arial" w:cs="Arial"/>
        </w:rPr>
        <w:t xml:space="preserve"> into clinical workflows </w:t>
      </w:r>
      <w:r w:rsidRPr="00585013">
        <w:rPr>
          <w:rFonts w:ascii="Arial" w:hAnsi="Arial" w:cs="Arial"/>
          <w:bCs/>
        </w:rPr>
        <w:t>leads</w:t>
      </w:r>
      <w:r w:rsidRPr="00585013">
        <w:rPr>
          <w:rFonts w:ascii="Arial" w:hAnsi="Arial" w:cs="Arial"/>
        </w:rPr>
        <w:t xml:space="preserve"> to a significant shift in the classification and management of </w:t>
      </w:r>
      <w:r w:rsidRPr="00585013">
        <w:rPr>
          <w:rFonts w:ascii="Arial" w:hAnsi="Arial" w:cs="Arial"/>
          <w:bCs/>
        </w:rPr>
        <w:t>EC</w:t>
      </w:r>
      <w:r w:rsidRPr="00585013">
        <w:rPr>
          <w:rFonts w:ascii="Arial" w:hAnsi="Arial" w:cs="Arial"/>
        </w:rPr>
        <w:t>. By providing a comprehensive, yet clinically feasible, solution for molecular profiling, NGS could reduce diagnostic delays, improve treatment accuracy, and guide more personalized treatment strategies for EC patients. However, further research is needed to refine these panels and ensure that they are standardized and validated for use across different cancer centers, particularly in diverse healthcare settings with varying levels of resources. Thus, while ProMisE and TransPORTEC provide important clinical tools, the future of EC molecular classification lies in the continued development of NGS-based approaches that can bring the comprehensive insights of TCGA classification into everyday clinical practice (Paratore et al., 2025).</w:t>
      </w:r>
    </w:p>
    <w:p w:rsidR="00374857" w:rsidRDefault="00374857" w:rsidP="007C5B49">
      <w:pPr>
        <w:jc w:val="both"/>
        <w:rPr>
          <w:rFonts w:ascii="Arial" w:hAnsi="Arial" w:cs="Arial"/>
        </w:rPr>
      </w:pPr>
    </w:p>
    <w:p w:rsidR="0052520A" w:rsidRDefault="000A2991" w:rsidP="00C97439">
      <w:pPr>
        <w:jc w:val="center"/>
        <w:rPr>
          <w:rFonts w:ascii="Arial" w:hAnsi="Arial" w:cs="Arial"/>
        </w:rPr>
      </w:pPr>
      <w:r w:rsidRPr="000A2991">
        <w:rPr>
          <w:rFonts w:ascii="Arial" w:hAnsi="Arial" w:cs="Arial"/>
          <w:noProof/>
        </w:rPr>
        <w:lastRenderedPageBreak/>
        <w:drawing>
          <wp:inline distT="0" distB="0" distL="0" distR="0">
            <wp:extent cx="5211445" cy="3505200"/>
            <wp:effectExtent l="0" t="0" r="8255" b="0"/>
            <wp:docPr id="2" name="Picture 2" descr="C:\Users\hasan.laliwala.GCRI-INDIA\Downloads\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laliwala.GCRI-INDIA\Downloads\figure2.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3320" cy="3506461"/>
                    </a:xfrm>
                    <a:prstGeom prst="rect">
                      <a:avLst/>
                    </a:prstGeom>
                    <a:noFill/>
                    <a:ln>
                      <a:noFill/>
                    </a:ln>
                  </pic:spPr>
                </pic:pic>
              </a:graphicData>
            </a:graphic>
          </wp:inline>
        </w:drawing>
      </w:r>
    </w:p>
    <w:p w:rsidR="0052520A" w:rsidRDefault="0052520A" w:rsidP="00B43179">
      <w:pPr>
        <w:jc w:val="center"/>
        <w:rPr>
          <w:rFonts w:ascii="Arial" w:hAnsi="Arial" w:cs="Arial"/>
        </w:rPr>
      </w:pPr>
    </w:p>
    <w:p w:rsidR="00B43179" w:rsidRPr="00585013" w:rsidRDefault="00B43179" w:rsidP="00B43179">
      <w:pPr>
        <w:jc w:val="center"/>
        <w:rPr>
          <w:rFonts w:ascii="Arial" w:hAnsi="Arial" w:cs="Arial"/>
        </w:rPr>
      </w:pPr>
      <w:r w:rsidRPr="00585013">
        <w:rPr>
          <w:rFonts w:ascii="Arial" w:hAnsi="Arial" w:cs="Arial"/>
        </w:rPr>
        <w:t>Figure 2: Workflow for molecular classification of endometrial carcino</w:t>
      </w:r>
      <w:r w:rsidR="00C97439">
        <w:rPr>
          <w:rFonts w:ascii="Arial" w:hAnsi="Arial" w:cs="Arial"/>
        </w:rPr>
        <w:t xml:space="preserve">ma based on POLE sequencing, </w:t>
      </w:r>
      <w:r w:rsidRPr="00585013">
        <w:rPr>
          <w:rFonts w:ascii="Arial" w:hAnsi="Arial" w:cs="Arial"/>
        </w:rPr>
        <w:t>MMR and p53 immunohistochemistry.</w:t>
      </w:r>
    </w:p>
    <w:p w:rsidR="00B43179" w:rsidRPr="00585013" w:rsidRDefault="00B43179" w:rsidP="00B43179">
      <w:pPr>
        <w:jc w:val="center"/>
        <w:rPr>
          <w:rFonts w:ascii="Arial" w:hAnsi="Arial" w:cs="Arial"/>
        </w:rPr>
      </w:pPr>
      <w:r w:rsidRPr="00585013">
        <w:rPr>
          <w:rFonts w:ascii="Arial" w:hAnsi="Arial" w:cs="Arial"/>
        </w:rPr>
        <w:t xml:space="preserve">(Adapted from: </w:t>
      </w:r>
      <w:hyperlink r:id="rId17" w:history="1">
        <w:r w:rsidRPr="00585013">
          <w:rPr>
            <w:rFonts w:ascii="Arial" w:hAnsi="Arial" w:cs="Arial"/>
          </w:rPr>
          <w:t>https://www.diagnostichistopathology.co.uk/article/S1756-2317(21)00140-7/fulltext</w:t>
        </w:r>
      </w:hyperlink>
      <w:r w:rsidRPr="00585013">
        <w:rPr>
          <w:rFonts w:ascii="Arial" w:hAnsi="Arial" w:cs="Arial"/>
        </w:rPr>
        <w:t>)</w:t>
      </w:r>
    </w:p>
    <w:p w:rsidR="00F3713A" w:rsidRPr="00585013" w:rsidRDefault="00F3713A" w:rsidP="00F3713A">
      <w:pPr>
        <w:spacing w:line="480" w:lineRule="auto"/>
        <w:jc w:val="both"/>
        <w:rPr>
          <w:rFonts w:ascii="Arial" w:hAnsi="Arial" w:cs="Arial"/>
          <w:b/>
          <w:bCs/>
        </w:rPr>
      </w:pPr>
    </w:p>
    <w:p w:rsidR="00F3713A" w:rsidRPr="00585013" w:rsidRDefault="00F3713A" w:rsidP="0052520A">
      <w:pPr>
        <w:pStyle w:val="ListParagraph"/>
        <w:numPr>
          <w:ilvl w:val="0"/>
          <w:numId w:val="31"/>
        </w:numPr>
        <w:tabs>
          <w:tab w:val="clear" w:pos="720"/>
        </w:tabs>
        <w:spacing w:line="480" w:lineRule="auto"/>
        <w:ind w:left="284" w:hanging="284"/>
        <w:jc w:val="both"/>
        <w:rPr>
          <w:rFonts w:ascii="Arial" w:hAnsi="Arial" w:cs="Arial"/>
          <w:b/>
          <w:bCs/>
          <w:sz w:val="22"/>
          <w:szCs w:val="22"/>
        </w:rPr>
      </w:pPr>
      <w:r w:rsidRPr="00585013">
        <w:rPr>
          <w:rFonts w:ascii="Arial" w:hAnsi="Arial" w:cs="Arial"/>
          <w:b/>
          <w:bCs/>
          <w:sz w:val="22"/>
          <w:szCs w:val="22"/>
        </w:rPr>
        <w:t>Conclusion</w:t>
      </w:r>
    </w:p>
    <w:p w:rsidR="00F3713A" w:rsidRDefault="00F3713A" w:rsidP="007C5B49">
      <w:pPr>
        <w:jc w:val="both"/>
        <w:rPr>
          <w:rFonts w:ascii="Arial" w:hAnsi="Arial" w:cs="Arial"/>
        </w:rPr>
      </w:pPr>
      <w:r w:rsidRPr="00585013">
        <w:rPr>
          <w:rFonts w:ascii="Arial" w:hAnsi="Arial" w:cs="Arial"/>
        </w:rPr>
        <w:t xml:space="preserve">Molecular classification has redefined endometrial cancer management, providing a shift from the traditional dualistic model to a precision, biology-driven approach. </w:t>
      </w:r>
      <w:r w:rsidR="00B1405B">
        <w:rPr>
          <w:rFonts w:ascii="Arial" w:hAnsi="Arial" w:cs="Arial"/>
          <w:highlight w:val="yellow"/>
          <w:lang w:val="en-IN"/>
        </w:rPr>
        <w:t xml:space="preserve">TCGA </w:t>
      </w:r>
      <w:r w:rsidR="00AD02EA" w:rsidRPr="00E239C6">
        <w:rPr>
          <w:rFonts w:ascii="Arial" w:hAnsi="Arial" w:cs="Arial"/>
          <w:highlight w:val="yellow"/>
          <w:lang w:val="en-IN"/>
        </w:rPr>
        <w:t xml:space="preserve">based molecular subtypes—POLEmut, MSI-H/MMRd, NSMP, and p53 abnormal—enable </w:t>
      </w:r>
      <w:r w:rsidR="00AD02EA" w:rsidRPr="00E239C6">
        <w:rPr>
          <w:rFonts w:ascii="Arial" w:hAnsi="Arial" w:cs="Arial"/>
          <w:highlight w:val="yellow"/>
        </w:rPr>
        <w:t xml:space="preserve">more accurate tumor characterization, improving prognostic stratification and guiding individualized therapeutic strategies. This framework supports treatment de-escalation in low-risk tumors and the use of targeted therapies in aggressive or recurrent disease. However, the NSMP category remains biologically heterogeneous and continues to pose challenges for precise prognostication and treatment selection. The identification of multiple-classifier tumors and the application of molecular hierarchy (POLEmut&gt;MMRd&gt; p53-abnormal) further refine risk assessment and clinical decision-making. </w:t>
      </w:r>
      <w:r w:rsidR="000A2991">
        <w:rPr>
          <w:rFonts w:ascii="Arial" w:hAnsi="Arial" w:cs="Arial"/>
        </w:rPr>
        <w:t>In addition</w:t>
      </w:r>
      <w:r w:rsidRPr="00585013">
        <w:rPr>
          <w:rFonts w:ascii="Arial" w:hAnsi="Arial" w:cs="Arial"/>
        </w:rPr>
        <w:t>, next-generation sequencing offers a rapid, comprehensive, and clinically feasible method for comprehensive molecular profiling, allows precise prognostication and personalized therapy in endometrial cancer, transforming management and improving patient outcomes.</w:t>
      </w:r>
    </w:p>
    <w:p w:rsidR="0016242E" w:rsidRDefault="0016242E" w:rsidP="007C5B49">
      <w:pPr>
        <w:jc w:val="both"/>
        <w:rPr>
          <w:rFonts w:ascii="Arial" w:hAnsi="Arial" w:cs="Arial"/>
        </w:rPr>
      </w:pPr>
    </w:p>
    <w:p w:rsidR="00122249" w:rsidRDefault="00122249" w:rsidP="00122249">
      <w:pPr>
        <w:pStyle w:val="Body"/>
        <w:tabs>
          <w:tab w:val="left" w:pos="2061"/>
        </w:tabs>
        <w:spacing w:after="0"/>
        <w:rPr>
          <w:rFonts w:ascii="Arial" w:hAnsi="Arial" w:cs="Arial"/>
        </w:rPr>
      </w:pPr>
      <w:r>
        <w:rPr>
          <w:rFonts w:ascii="Arial" w:hAnsi="Arial" w:cs="Arial"/>
        </w:rPr>
        <w:tab/>
      </w:r>
    </w:p>
    <w:p w:rsidR="00122249" w:rsidRPr="00005ED1" w:rsidRDefault="00122249" w:rsidP="00122249">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122249" w:rsidRPr="00005ED1" w:rsidRDefault="00122249" w:rsidP="00122249">
      <w:pPr>
        <w:pStyle w:val="NoSpacing"/>
        <w:rPr>
          <w:rFonts w:ascii="Arial" w:hAnsi="Arial" w:cs="Arial"/>
          <w:highlight w:val="yellow"/>
        </w:rPr>
      </w:pPr>
    </w:p>
    <w:p w:rsidR="00122249" w:rsidRPr="00005ED1" w:rsidRDefault="00122249" w:rsidP="0012224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rsidR="000C69A6" w:rsidRPr="00585013" w:rsidRDefault="000C69A6" w:rsidP="00441B6F">
      <w:pPr>
        <w:pStyle w:val="ReferHead"/>
        <w:spacing w:after="0"/>
        <w:jc w:val="both"/>
        <w:rPr>
          <w:rFonts w:ascii="Arial" w:hAnsi="Arial" w:cs="Arial"/>
        </w:rPr>
      </w:pPr>
    </w:p>
    <w:p w:rsidR="00B01FCD" w:rsidRPr="00585013" w:rsidRDefault="00B01FCD" w:rsidP="00441B6F">
      <w:pPr>
        <w:pStyle w:val="ReferHead"/>
        <w:spacing w:after="0"/>
        <w:jc w:val="both"/>
        <w:rPr>
          <w:rFonts w:ascii="Arial" w:hAnsi="Arial" w:cs="Arial"/>
        </w:rPr>
      </w:pPr>
      <w:r w:rsidRPr="00585013">
        <w:rPr>
          <w:rFonts w:ascii="Arial" w:hAnsi="Arial" w:cs="Arial"/>
        </w:rPr>
        <w:t>References</w:t>
      </w:r>
    </w:p>
    <w:p w:rsidR="000C69A6" w:rsidRPr="00585013" w:rsidRDefault="000C69A6" w:rsidP="00441B6F">
      <w:pPr>
        <w:pStyle w:val="ReferHead"/>
        <w:spacing w:after="0"/>
        <w:jc w:val="both"/>
        <w:rPr>
          <w:rFonts w:ascii="Arial" w:hAnsi="Arial" w:cs="Arial"/>
        </w:rPr>
      </w:pPr>
    </w:p>
    <w:p w:rsidR="00AD02EA" w:rsidRDefault="00AD02EA" w:rsidP="00585013">
      <w:pPr>
        <w:pStyle w:val="ListParagraph"/>
        <w:numPr>
          <w:ilvl w:val="0"/>
          <w:numId w:val="32"/>
        </w:numPr>
        <w:spacing w:before="100" w:beforeAutospacing="1" w:after="100" w:afterAutospacing="1"/>
        <w:jc w:val="both"/>
        <w:rPr>
          <w:rFonts w:ascii="Arial" w:hAnsi="Arial" w:cs="Arial"/>
          <w:shd w:val="clear" w:color="auto" w:fill="FFFFFF"/>
        </w:rPr>
      </w:pPr>
      <w:r>
        <w:rPr>
          <w:rFonts w:ascii="Arial" w:hAnsi="Arial" w:cs="Arial"/>
          <w:color w:val="222222"/>
          <w:shd w:val="clear" w:color="auto" w:fill="FFFFFF"/>
        </w:rPr>
        <w:t xml:space="preserve">Concin N, Matias-Guiu X, Cibula D, Colombo N, Creutzberg CL, Ledermann J, </w:t>
      </w:r>
      <w:r w:rsidR="00FC2353">
        <w:rPr>
          <w:rFonts w:ascii="Arial" w:hAnsi="Arial" w:cs="Arial"/>
          <w:color w:val="222222"/>
          <w:shd w:val="clear" w:color="auto" w:fill="FFFFFF"/>
        </w:rPr>
        <w:t>et al</w:t>
      </w:r>
      <w:r>
        <w:rPr>
          <w:rFonts w:ascii="Arial" w:hAnsi="Arial" w:cs="Arial"/>
          <w:color w:val="222222"/>
          <w:shd w:val="clear" w:color="auto" w:fill="FFFFFF"/>
        </w:rPr>
        <w:t>. ESGO–ESTRO–ESP guidelines for the management of patients with endometrial carcinoma: update 2025.</w:t>
      </w:r>
      <w:r w:rsidR="00FC2353">
        <w:rPr>
          <w:rFonts w:ascii="Arial" w:hAnsi="Arial" w:cs="Arial"/>
          <w:color w:val="222222"/>
          <w:shd w:val="clear" w:color="auto" w:fill="FFFFFF"/>
        </w:rPr>
        <w:t xml:space="preserve"> The Lancet Oncology. 2025 </w:t>
      </w:r>
      <w:r>
        <w:rPr>
          <w:rFonts w:ascii="Arial" w:hAnsi="Arial" w:cs="Arial"/>
          <w:color w:val="222222"/>
          <w:shd w:val="clear" w:color="auto" w:fill="FFFFFF"/>
        </w:rPr>
        <w:t>;26(8):e423-35.</w:t>
      </w:r>
    </w:p>
    <w:p w:rsidR="000C69A6" w:rsidRPr="008F67CD" w:rsidRDefault="000C69A6" w:rsidP="00585013">
      <w:pPr>
        <w:pStyle w:val="ListParagraph"/>
        <w:numPr>
          <w:ilvl w:val="0"/>
          <w:numId w:val="32"/>
        </w:numPr>
        <w:spacing w:before="100" w:beforeAutospacing="1" w:after="100" w:afterAutospacing="1"/>
        <w:jc w:val="both"/>
        <w:rPr>
          <w:rFonts w:ascii="Arial" w:hAnsi="Arial" w:cs="Arial"/>
          <w:shd w:val="clear" w:color="auto" w:fill="FFFFFF"/>
        </w:rPr>
      </w:pPr>
      <w:r w:rsidRPr="008F67CD">
        <w:rPr>
          <w:rFonts w:ascii="Arial" w:hAnsi="Arial" w:cs="Arial"/>
          <w:shd w:val="clear" w:color="auto" w:fill="FFFFFF"/>
        </w:rPr>
        <w:t xml:space="preserve">Agarwal, Shruti; Melgandi, Wineeta; Sonkar, Deepak Raj; Ansari, FaizAkram; Arora, Savita; Rathi, Arun Kumar; </w:t>
      </w:r>
      <w:r w:rsidR="00FC2353">
        <w:rPr>
          <w:rFonts w:ascii="Arial" w:hAnsi="Arial" w:cs="Arial"/>
          <w:shd w:val="clear" w:color="auto" w:fill="FFFFFF"/>
        </w:rPr>
        <w:t>et al</w:t>
      </w:r>
      <w:r w:rsidRPr="008F67CD">
        <w:rPr>
          <w:rFonts w:ascii="Arial" w:hAnsi="Arial" w:cs="Arial"/>
          <w:shd w:val="clear" w:color="auto" w:fill="FFFFFF"/>
        </w:rPr>
        <w:t>. Epidemiological characteristics of endometrial cancer patients treated at a tertiary health center in National Capital Territory of India. Journal of C</w:t>
      </w:r>
      <w:r w:rsidR="00FC2353">
        <w:rPr>
          <w:rFonts w:ascii="Arial" w:hAnsi="Arial" w:cs="Arial"/>
          <w:shd w:val="clear" w:color="auto" w:fill="FFFFFF"/>
        </w:rPr>
        <w:t>ancer Research and Therapeutics. 2023; 19(2):</w:t>
      </w:r>
      <w:r w:rsidRPr="008F67CD">
        <w:rPr>
          <w:rFonts w:ascii="Arial" w:hAnsi="Arial" w:cs="Arial"/>
          <w:shd w:val="clear" w:color="auto" w:fill="FFFFFF"/>
        </w:rPr>
        <w:t>452-456, DOI: 10.4103/jcrt.jcrt_2029_21</w:t>
      </w:r>
    </w:p>
    <w:p w:rsidR="000C69A6" w:rsidRPr="008F67CD" w:rsidRDefault="000C69A6" w:rsidP="00585013">
      <w:pPr>
        <w:pStyle w:val="ListParagraph"/>
        <w:numPr>
          <w:ilvl w:val="0"/>
          <w:numId w:val="32"/>
        </w:numPr>
        <w:spacing w:after="160"/>
        <w:jc w:val="both"/>
        <w:rPr>
          <w:rFonts w:ascii="Arial" w:hAnsi="Arial" w:cs="Arial"/>
          <w:shd w:val="clear" w:color="auto" w:fill="FFFFFF"/>
        </w:rPr>
      </w:pPr>
      <w:r w:rsidRPr="008F67CD">
        <w:rPr>
          <w:rFonts w:ascii="Arial" w:hAnsi="Arial" w:cs="Arial"/>
          <w:shd w:val="clear" w:color="auto" w:fill="FFFFFF"/>
        </w:rPr>
        <w:t>Gupta PK, Singh S, Gupta R, Lal P, RastogiN.Fifteen Years Audit of Endometrial Cancer Referred for Adjuvant Treatment to a Tertiary Care Hospital in Northern IndiaJ Clin of Diagn Res.2023; 17(7):XC01-</w:t>
      </w:r>
    </w:p>
    <w:p w:rsidR="003B565A" w:rsidRPr="008F67CD" w:rsidRDefault="000C69A6" w:rsidP="003D118E">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Crosbie EJ, Kitson SJ, McAlpine JN, Mukhopadhyay A, Powell ME, Singh N. Endometrial cancer. Lancet. 2022;399(10333):1412–1428</w:t>
      </w:r>
    </w:p>
    <w:p w:rsidR="000C69A6" w:rsidRDefault="000C69A6" w:rsidP="003D118E">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Sharma M, Kaur E, Sandhu R, Kaur S. Human papillomavirus vaccine for cervical cancer prevention in India: new improvement and way forward. International Journal of Community Medicine and Public Health. 2024 Nov;11(11):4554.</w:t>
      </w:r>
    </w:p>
    <w:p w:rsidR="0073736D" w:rsidRPr="00EE36C0" w:rsidRDefault="0073736D" w:rsidP="003D118E">
      <w:pPr>
        <w:pStyle w:val="ListParagraph"/>
        <w:numPr>
          <w:ilvl w:val="0"/>
          <w:numId w:val="32"/>
        </w:numPr>
        <w:spacing w:before="100" w:beforeAutospacing="1" w:after="100" w:afterAutospacing="1"/>
        <w:jc w:val="both"/>
        <w:rPr>
          <w:rFonts w:ascii="Arial" w:hAnsi="Arial" w:cs="Arial"/>
          <w:lang w:eastAsia="en-IN"/>
        </w:rPr>
      </w:pPr>
      <w:r w:rsidRPr="00EE36C0">
        <w:rPr>
          <w:rFonts w:ascii="Arial" w:hAnsi="Arial" w:cs="Arial"/>
          <w:lang w:eastAsia="en-IN"/>
        </w:rPr>
        <w:t>Palermo P, Serva A, Capannolo G, D’Alfonso A, Necozione S, Guido M. Asymptomatic postmenopausal endometrial thickening: a comparison between transvaginal ultrasound and hysteroscopy in the diagnosis of intracavitary uterine pathologies. Ital J Gynaecol Obstet. 2023;35(1):71-80.</w:t>
      </w:r>
    </w:p>
    <w:p w:rsidR="00DD028D" w:rsidRPr="00EE36C0" w:rsidRDefault="00EE36C0" w:rsidP="00585013">
      <w:pPr>
        <w:pStyle w:val="ListParagraph"/>
        <w:numPr>
          <w:ilvl w:val="0"/>
          <w:numId w:val="32"/>
        </w:numPr>
        <w:spacing w:before="100" w:beforeAutospacing="1" w:after="100" w:afterAutospacing="1"/>
        <w:jc w:val="both"/>
        <w:rPr>
          <w:rFonts w:ascii="Arial" w:hAnsi="Arial" w:cs="Arial"/>
          <w:lang w:eastAsia="en-IN"/>
        </w:rPr>
      </w:pPr>
      <w:r w:rsidRPr="00EE36C0">
        <w:rPr>
          <w:rFonts w:ascii="Arial" w:hAnsi="Arial" w:cs="Arial"/>
          <w:color w:val="222222"/>
          <w:shd w:val="clear" w:color="auto" w:fill="FFFFFF"/>
        </w:rPr>
        <w:t>Pados G, Zouzoulas D, Tsolakidis D. Recent management of endometrial cancer: a narrative review of the literature. Frontiers in Medicine. 2024 Jan 3;10:1244634.</w:t>
      </w:r>
      <w:r w:rsidRPr="00EE36C0">
        <w:rPr>
          <w:rFonts w:ascii="Arial" w:hAnsi="Arial" w:cs="Arial"/>
        </w:rPr>
        <w:t>doi: 10.3389/fmed.2023.1244634</w:t>
      </w:r>
    </w:p>
    <w:p w:rsidR="000C69A6" w:rsidRPr="008F67CD" w:rsidRDefault="000C69A6" w:rsidP="00585013">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Goel P, Singh V, Sharma R, Chaudhary D, Chatterjee A, Dora T, et al. Early endometrial carcinoma: Experience and outcomes. J Can Res Ther 2023;19:S318-22.</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Urick ME, Bell DW. Clinical actionability of molecular targets in endometrial cancer. Nature Reviews Cancer. 2019 Sep;19(9):510-21.</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Felix AS, Weissfeld JL, Stone RA, Bowser R</w:t>
      </w:r>
      <w:r w:rsidR="00FC2353">
        <w:rPr>
          <w:rFonts w:ascii="Arial" w:hAnsi="Arial" w:cs="Arial"/>
          <w:lang w:eastAsia="en-IN"/>
        </w:rPr>
        <w:t>, Chivukula M, Edwards RP, et. a</w:t>
      </w:r>
      <w:r w:rsidRPr="008F67CD">
        <w:rPr>
          <w:rFonts w:ascii="Arial" w:hAnsi="Arial" w:cs="Arial"/>
          <w:lang w:eastAsia="en-IN"/>
        </w:rPr>
        <w:t>l. Factors associated with Type I and Type II endometrial cancer. Cancer Causes Control. 2010 Nov;21(11):1851-6. doi: 10.1007/s10552-010-9612-8. Epub 2010 Jul 14. PMID: 20628804; PMCID: PMC2962676.</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Soslow RA, Tornos C, Park KJ, Malpica A, Matias-Guiu X, Oliva E et. al. Endometrial Carcinoma Diagnosis: Use of FIGO Grading and Genomic Subcategories in Clinical Practice: Recommendations of the International Society of Gynecological Pathologists. Int J GynecolPathol. 2019 Jan;38Suppl 1(Iss 1 Suppl 1):S64-S74. doi: 10.1097/PGP.0000000000000518. PMID: 30550484; PMCID: PMC6295928.</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Swami RM, Lakhe R, Doshi P, Karandikar MN, Nimbargi R. Immunohistochemical study of ER, PR, p53 and Ki67 expression in patients with endometrial adenocarcinoma and atypical endometrial hyperplasia [Internet]. IP Arch CytolHistopathol Res. 2020 [cited 2025 Dec 21];5(4):274-279. Available from: </w:t>
      </w:r>
      <w:hyperlink r:id="rId18" w:history="1">
        <w:r w:rsidRPr="008F67CD">
          <w:rPr>
            <w:rStyle w:val="Hyperlink"/>
            <w:rFonts w:ascii="Arial" w:hAnsi="Arial" w:cs="Arial"/>
            <w:color w:val="auto"/>
            <w:u w:val="none"/>
            <w:lang w:eastAsia="en-IN"/>
          </w:rPr>
          <w:t>https://doi.org/10.18231/j.achr.2020.060</w:t>
        </w:r>
      </w:hyperlink>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Talhouk A, McAlpine JN. New classification of endometrial cancers: the development and potential applications of genomic-based classification in research and clinical care. GynecolOncol Res Pract. 2016 Dec 13;3:14. doi: 10.1186/s40661-016-0035-4. PMID: 27999680; PMCID: PMC5154099.</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Mahdy H, Vadakekut ES, Crotzer D. Endometrial Cancer. [Updated 2024 Apr 20]. In: StatPearls [Internet]. Treasure Island (FL): StatPearls Publishing; 2025 Jan-. Available from: </w:t>
      </w:r>
      <w:hyperlink r:id="rId19" w:history="1">
        <w:r w:rsidRPr="008F67CD">
          <w:rPr>
            <w:rStyle w:val="Hyperlink"/>
            <w:rFonts w:ascii="Arial" w:hAnsi="Arial" w:cs="Arial"/>
            <w:color w:val="auto"/>
            <w:u w:val="none"/>
            <w:lang w:eastAsia="en-IN"/>
          </w:rPr>
          <w:t>https://www.ncbi.nlm.nih.gov/books/NBK525981/</w:t>
        </w:r>
      </w:hyperlink>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lastRenderedPageBreak/>
        <w:t>Olatunde OA, Samaila MO, Imam MI, Uchime KE, Dauda SE. Histopathological patterns of endometrial carcinoma in a tertiary hospital in North-West Nigeria. ecancermedicalscience. 2024 Jan 5;18:1651.</w:t>
      </w:r>
    </w:p>
    <w:p w:rsidR="00094705" w:rsidRPr="008F67CD" w:rsidRDefault="000C69A6" w:rsidP="00CF064B">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Kumar H, Deshwal A, Datwani S, Li Z. Decoding high-grade endometrial cancer: A molecular-histologic integration using the cancer genome atlas framework. Journal of Clinical and Translational Pathology. 2025 Sep 30;5(3):104-13.</w:t>
      </w:r>
    </w:p>
    <w:p w:rsidR="000C69A6" w:rsidRPr="008F67CD" w:rsidRDefault="000C69A6" w:rsidP="00CF064B">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Cancer Genome Atlas Research Network; Kandoth C, Schultz N, Cherniack AD, Akbani R, Liu Y, Shen H, Robertson AG, Pashtan I, Shen R, Benz CC, Yau C, Laird PW, Ding L, Zhang W, Mills GB, Kucherlapati R, Mardis ER, Levine DA. Integrated genomic characterization of endometrial carcinoma. Nature. 2013 May 2;497(7447):67-73. doi: 10.1038/nature12113. Erratum in: Nature. 2013 Aug 8;500(7461):242. PMID: 23636398; PMCID: PMC3704730.</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Jamieson A, Bosse T, McAlpine JN. The emerging role of molecular pathology in directing the systemic treatment of endometrial cancer. Therapeutic advances in medical oncology. 2021 Aug;13:17588359211035959.</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Kim SR, Oldfield L, Kim RH, Espin-Garcia O, Han K, Vicus D, et. al Molecular Classification of Endometrial Cancers Using an Integrative DNA Sequencing Panel. J SurgOncol. 2025 Mar;131(4):734-741. doi: 10.1002/jso.27973. Epub 2024 Nov 5. PMID: 39501493; PMCID: PMC12065444.</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Zheng W. Molecular Classification of Endometrial Cancer and the 2023 FIGO Staging: Exploring the Challenges and Opportunities for Pathologists. Cancers (Basel). 2023 Aug 15;15(16):4101. doi: 10.3390/cancers15164101. PMID: 37627129; PMCID: PMC10452831.</w:t>
      </w:r>
    </w:p>
    <w:p w:rsidR="000C69A6" w:rsidRPr="008F67CD" w:rsidRDefault="000C69A6" w:rsidP="00255F60">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Campbell BB, Light N, Fabrizio D,</w:t>
      </w:r>
      <w:r w:rsidRPr="008F67CD">
        <w:rPr>
          <w:rFonts w:ascii="Arial" w:hAnsi="Arial" w:cs="Arial"/>
          <w:shd w:val="clear" w:color="auto" w:fill="FFFFFF"/>
        </w:rPr>
        <w:t xml:space="preserve">  Zatzman M, Fuligni F, de Borja R</w:t>
      </w:r>
      <w:r w:rsidRPr="008F67CD">
        <w:rPr>
          <w:rFonts w:ascii="Arial" w:hAnsi="Arial" w:cs="Arial"/>
          <w:lang w:eastAsia="en-IN"/>
        </w:rPr>
        <w:t>, et al. Comprehensive analysis of hypermutation in human cancer. Cell. 2017; 171(5):1042–1056.</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Rayner E, Van Gool IC, Palles C, Kearsey SE, Bosse T, Tomlinson I et. al. A panoply of errors: polymerase proofreading domain mutations in cancer. Nature Reviews Cancer. 2016 Feb;16(2):71-81.</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Tian W, Ji Z, Wang J, Meng J, Bi R, Ren Y, et. al. Characterization of hotspot exonuclease domain mutations in the DNA polymerase ϵ gene in endometrial cancer. Frontiers in Oncology. 2022 Oct 12;12:1018034.</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vanGool IC. </w:t>
      </w:r>
      <w:r w:rsidRPr="008F67CD">
        <w:rPr>
          <w:rFonts w:ascii="Arial" w:hAnsi="Arial" w:cs="Arial"/>
          <w:iCs/>
          <w:lang w:eastAsia="en-IN"/>
        </w:rPr>
        <w:t>Somatic POLE exonuclease domain mutations in endometrial cancer: Insights into the biology of POLE-mutant tumors</w:t>
      </w:r>
      <w:r w:rsidR="00614460" w:rsidRPr="00614460">
        <w:rPr>
          <w:rFonts w:ascii="Arial" w:hAnsi="Arial" w:cs="Arial"/>
          <w:bCs/>
          <w:shd w:val="clear" w:color="auto" w:fill="FFFFFF"/>
        </w:rPr>
        <w:t>(2018)</w:t>
      </w:r>
      <w:r w:rsidRPr="00614460">
        <w:rPr>
          <w:rFonts w:ascii="Arial" w:hAnsi="Arial" w:cs="Arial"/>
          <w:lang w:eastAsia="en-IN"/>
        </w:rPr>
        <w:t> (</w:t>
      </w:r>
      <w:r w:rsidRPr="008F67CD">
        <w:rPr>
          <w:rFonts w:ascii="Arial" w:hAnsi="Arial" w:cs="Arial"/>
          <w:lang w:eastAsia="en-IN"/>
        </w:rPr>
        <w:t>Doctoral dissertation, Leiden University).</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León-Castillo A, De Boer SM, Powell ME, Mileshkin LR, Mackay HJ, Leary A, et. al. Molecular classification of the PORTEC-3 trial for high-risk endometrial cancer: impact on prognosis and benefit from adjuvant therapy. Journal of Clinical Oncology. 2020 Oct 10;38(29):3388-97.</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McAlpine JN, Chiu DS, Nout RA, Church DN, Schmidt P, Lam S, Leung S, et. al. Evaluation of treatment effects in patients with endometrial cancer and POLE mutations: an individual patient data meta</w:t>
      </w:r>
      <w:r w:rsidRPr="008F67CD">
        <w:rPr>
          <w:rFonts w:ascii="Cambria Math" w:hAnsi="Cambria Math" w:cs="Cambria Math"/>
          <w:lang w:eastAsia="en-IN"/>
        </w:rPr>
        <w:t>‐</w:t>
      </w:r>
      <w:r w:rsidRPr="008F67CD">
        <w:rPr>
          <w:rFonts w:ascii="Arial" w:hAnsi="Arial" w:cs="Arial"/>
          <w:lang w:eastAsia="en-IN"/>
        </w:rPr>
        <w:t>analysis. Cancer. 2021 Jul 15;127(14):2409-22.</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Bonneville R, Krook MA, Kautto EA, </w:t>
      </w:r>
      <w:r w:rsidRPr="008F67CD">
        <w:rPr>
          <w:rFonts w:ascii="Arial" w:hAnsi="Arial" w:cs="Arial"/>
          <w:shd w:val="clear" w:color="auto" w:fill="FFFFFF"/>
        </w:rPr>
        <w:t xml:space="preserve">Miya J, Wing MR, Chen HZ, </w:t>
      </w:r>
      <w:r w:rsidRPr="008F67CD">
        <w:rPr>
          <w:rFonts w:ascii="Arial" w:hAnsi="Arial" w:cs="Arial"/>
          <w:lang w:eastAsia="en-IN"/>
        </w:rPr>
        <w:t>et al. Landscape of microsatellite instability across 39 cancer types. JCO PrecisOncol. 2017; 1:1–15.</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Hause RJ, Pritchard CC, Shendure J, Salipante SJ. Classification and characterization of microsatellite instability across cancer types. Nat Med. 2016;22(11):1342–1350.</w:t>
      </w:r>
    </w:p>
    <w:p w:rsidR="000C69A6" w:rsidRPr="008F67CD" w:rsidRDefault="000C69A6" w:rsidP="00585013">
      <w:pPr>
        <w:pStyle w:val="ListParagraph"/>
        <w:numPr>
          <w:ilvl w:val="0"/>
          <w:numId w:val="32"/>
        </w:numPr>
        <w:jc w:val="both"/>
        <w:rPr>
          <w:rFonts w:ascii="Arial" w:hAnsi="Arial" w:cs="Arial"/>
        </w:rPr>
      </w:pPr>
      <w:r w:rsidRPr="008F67CD">
        <w:rPr>
          <w:rFonts w:ascii="Arial" w:hAnsi="Arial" w:cs="Arial"/>
        </w:rPr>
        <w:t>Conte C, Pelligra S, Sarpietro G, Montana GD, Della Corte L, Bifulco G, et. al. Hereditary Women's Cancer: Management and Risk-Reducing Surgery. Medicina (Kaunas). 2023 Feb 6;59(2):300. doi: 10.3390/medicina59020300. PMID: 36837501; PMCID: PMC9967188.</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Marabelle A, Le DT, Ascierto PA, Di Giacomo AM, De Jesus-Acosta A, Delord JP et. al. Efficacy of pembrolizumab in patients with noncolorectal high microsatellite </w:t>
      </w:r>
      <w:r w:rsidRPr="008F67CD">
        <w:rPr>
          <w:rFonts w:ascii="Arial" w:hAnsi="Arial" w:cs="Arial"/>
          <w:lang w:eastAsia="en-IN"/>
        </w:rPr>
        <w:lastRenderedPageBreak/>
        <w:t>instability/mismatch repair–deficient cancer: results from the phase II KEYNOTE-158 study. Journal of Clinical Oncology. 2020 Jan 1;38(1):1-0.</w:t>
      </w:r>
    </w:p>
    <w:p w:rsidR="004219B0" w:rsidRPr="00374857" w:rsidRDefault="004219B0" w:rsidP="00585013">
      <w:pPr>
        <w:numPr>
          <w:ilvl w:val="0"/>
          <w:numId w:val="32"/>
        </w:numPr>
        <w:spacing w:before="100" w:beforeAutospacing="1" w:after="100" w:afterAutospacing="1"/>
        <w:jc w:val="both"/>
        <w:rPr>
          <w:rFonts w:ascii="Arial" w:hAnsi="Arial" w:cs="Arial"/>
          <w:lang w:eastAsia="en-IN"/>
        </w:rPr>
      </w:pPr>
      <w:r w:rsidRPr="00374857">
        <w:rPr>
          <w:rFonts w:ascii="Arial" w:hAnsi="Arial" w:cs="Arial"/>
          <w:color w:val="222222"/>
          <w:shd w:val="clear" w:color="auto" w:fill="FFFFFF"/>
        </w:rPr>
        <w:t>Oaknin A, Gilbert L, Tinker AV, Brown J, Mathews C, Press J, Sabatier R, O’Malley DM, Samouelian V, Boni V, Duska L. Safety and antitumor activity of dostarlimab in patients with advanced or recurrent DNA mismatch repair deficient/microsatellite instability-high (dMMR/MSI-H) or proficient/stable (MMRp/MSS) endometrial cancer: interim results from GARNET—a phase I, single-arm study. Journal for immunotherapy of cancer. 2022 Jan 21;10(1):e003777.</w:t>
      </w:r>
      <w:r w:rsidRPr="00374857">
        <w:rPr>
          <w:rFonts w:ascii="Arial" w:hAnsi="Arial" w:cs="Arial"/>
          <w:color w:val="212121"/>
          <w:shd w:val="clear" w:color="auto" w:fill="FFFFFF"/>
        </w:rPr>
        <w:t>doi: 10.1136/jitc-2021-003777. PMID: 35064011; PMCID: PMC8785197.</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374857">
        <w:rPr>
          <w:rFonts w:ascii="Arial" w:hAnsi="Arial" w:cs="Arial"/>
          <w:lang w:eastAsia="en-IN"/>
        </w:rPr>
        <w:t>Talhouk A, McConechy MK, Leung S, Yang W, Lum A, Senz J, et. al Confirmation of ProMisE: a simple, genomics</w:t>
      </w:r>
      <w:r w:rsidRPr="00374857">
        <w:rPr>
          <w:rFonts w:ascii="Cambria Math" w:hAnsi="Cambria Math" w:cs="Cambria Math"/>
          <w:lang w:eastAsia="en-IN"/>
        </w:rPr>
        <w:t>‐</w:t>
      </w:r>
      <w:r w:rsidRPr="00374857">
        <w:rPr>
          <w:rFonts w:ascii="Arial" w:hAnsi="Arial" w:cs="Arial"/>
          <w:lang w:eastAsia="en-IN"/>
        </w:rPr>
        <w:t>based clinical classifier for endometrial cancer. cancer. 2017 Mar 1;123(</w:t>
      </w:r>
      <w:r w:rsidRPr="008F67CD">
        <w:rPr>
          <w:rFonts w:ascii="Arial" w:hAnsi="Arial" w:cs="Arial"/>
          <w:lang w:eastAsia="en-IN"/>
        </w:rPr>
        <w:t xml:space="preserve">5):802-13. </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Kurnit KC, Kim GN, Fellman BM, Urbauer DL, Mills GB, Zhang W, et. al CTNNB1 (beta-catenin) mutation identifies low grade, early stage endometrial cancer patients at increased risk of recurrence. Modern Pathology. 2017 Jul 1;30(7):1032-41.</w:t>
      </w:r>
    </w:p>
    <w:p w:rsidR="00094705" w:rsidRPr="008F67CD" w:rsidRDefault="000C69A6" w:rsidP="00371A91">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Ravaggi A, Capoferri D, Ardighieri L, Ghini I, Ferrari F, Romani C, et. al. Integrated Biomarker Analysis Reveals L1CAM as a Potential Stratification Marker for No Specific Molecular Profile High-Risk Endometrial Carcinoma. Cancers (Basel). 2022 Nov 3;14(21):5429. doi: 10.3390/cancers14215429. PMID: 36358847; PMCID: PMC9658459.</w:t>
      </w:r>
    </w:p>
    <w:p w:rsidR="000C69A6" w:rsidRPr="008F67CD" w:rsidRDefault="000C69A6" w:rsidP="00371A91">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Marchetti M, Spagnol G, Vezzaro T, Bigardi S, De Tommasi O, Facchetti E, et. al. Low-risk and high-risk nsmps: a prognostic subclassification of no specific molecular profile subtype of endometrial carcinomas. Cancers. 2024 Sep 21;16(18):3221.</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Vermij L, Jobsen JJ, León-Castillo A, Brinkhuis M, Roothaan S, Powell ME et. al. Prognostic refinement of NSMP high-risk endometrial cancers using oestrogen receptor immunohistochemistry. British journal of cancer. 2023 Mar 30;128(7):1360-8. </w:t>
      </w:r>
    </w:p>
    <w:p w:rsidR="000C69A6" w:rsidRPr="008F67CD" w:rsidRDefault="000C69A6" w:rsidP="00585013">
      <w:pPr>
        <w:pStyle w:val="ListParagraph"/>
        <w:numPr>
          <w:ilvl w:val="0"/>
          <w:numId w:val="32"/>
        </w:numPr>
        <w:spacing w:after="160"/>
        <w:jc w:val="both"/>
        <w:rPr>
          <w:rFonts w:ascii="Arial" w:hAnsi="Arial" w:cs="Arial"/>
          <w:shd w:val="clear" w:color="auto" w:fill="FFFFFF"/>
        </w:rPr>
      </w:pPr>
      <w:r w:rsidRPr="008F67CD">
        <w:rPr>
          <w:rFonts w:ascii="Arial" w:hAnsi="Arial" w:cs="Arial"/>
          <w:shd w:val="clear" w:color="auto" w:fill="FFFFFF"/>
        </w:rPr>
        <w:t>Karpel H, Slomovitz B, Coleman RL, Pothuri B. Biomarker-driven therapy in endometrial cancer. International Journal of Gynecological Cancer. 2023 Mar 1;33(3):343-50.</w:t>
      </w:r>
    </w:p>
    <w:p w:rsidR="00094705" w:rsidRPr="008F67CD" w:rsidRDefault="000C69A6" w:rsidP="00003E04">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Li B, Li X, Ma M, Wang Q, Shi J, Wu C. Analysis of long non-coding RNAs associated with disulfidptosis for prognostic signature and immunotherapy response in uterine corpus endometrial carcinoma. Scientific Reports. 2023 Dec 14;13(1):22220.</w:t>
      </w:r>
    </w:p>
    <w:p w:rsidR="000C69A6" w:rsidRPr="008F67CD" w:rsidRDefault="000C69A6" w:rsidP="00003E04">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Tabata J, Takenaka M, Okamoto A. Molecular typing guiding treatment and prognosis of endometrial cancer. Gynecology and Obstetrics Clinical Medicine. 2023 Mar 1;3(1):7-17.</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Stelloo E, Bosse T, Nout RA, MacKay HJ, Church DN, Nijman HW et. al. Refining prognosis and identifying targetable pathways for high-risk endometrial cancer; a TransPORTEC initiative. Modern pathology. 2015 Jun;28(6):836-44.</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Fader AN, Roque DM, Siegel E, Buza N, Hui P, Abdelghany O, et. al. Randomized phase II trial of carboplatin-paclitaxel versus carboplatin-paclitaxel-trastuzumab in uterine serous carcinomas that overexpress human epidermal growth factor receptor 2/neu. Journal of Clinical Oncology. 2018 Jul 10;36(20):2044-51. </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De Jonge MM, Auguste A, van Wijk LM, Schouten PC, Meijers M, TerHaar NT,  et. al. Frequent homologous recombination deficiency in high-grade endometrial carcinomas. Clinical Cancer Research. 2019 Feb 1;25(3):1087-97. </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Tuninetti V, Farolfi A, Rognone C, Montanari D, De Giorgi U, Valabrega G. Treatment strategies for advanced endometrial cancer according to molecular classification. International Journal of Molecular Sciences. 2024 Oct 24;25(21):11448.</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Westin S.N., Moore K., Chon H.S., Lee J.-Y., Pepin J.T., Sundborg M., et al. Durvalumab Plus Carboplatin/Paclitaxel Followed by Maintenance Durvalumab with or without Olaparib as First-Line Treatment for Advanced Endometrial Cancer: The Phase III DUO-E Trial. J. Clin. Oncol. 2023;42:283–299. doi: 10.1200/JCO.23.02132</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Liu JF, Xiong N, Campos SM, Wright AA, Krasner C, Schumer S, Horowitz N, Veneris J, Tayob N, Morrissey S, West G. Phase II study of the WEE1 inhibitor adavosertib in </w:t>
      </w:r>
      <w:r w:rsidRPr="008F67CD">
        <w:rPr>
          <w:rFonts w:ascii="Arial" w:hAnsi="Arial" w:cs="Arial"/>
          <w:lang w:eastAsia="en-IN"/>
        </w:rPr>
        <w:lastRenderedPageBreak/>
        <w:t>recurrent uterine serous carcinoma. Journal of Clinical Oncology. 2021 May 10;39(14):1531-9.</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De Vitis LA, Schivardi G, Caruso G, Fumagalli C, Vacirca D, resaTeAchilarre M, et al.  Clinicopathological characteristics of multiple-classifier endometrial cancers: a cohort study and systematic review. International Journal of Gynecological Cancer. 2024 Feb 1;34(2):229-38.</w:t>
      </w:r>
    </w:p>
    <w:p w:rsidR="00094705" w:rsidRPr="008F67CD" w:rsidRDefault="000C69A6" w:rsidP="008D6B63">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shd w:val="clear" w:color="auto" w:fill="FFFFFF"/>
        </w:rPr>
        <w:t>Szatkowski W, Nowak-Jastrząb M, Kluz T, Kmieć A, Cieślak-Steć M, Śliwińska M, et. alClinicopathological features and risk stratification of multiple-classifier endometrial cancers: a multicenter study from Poland. Cancers. 2025 Jul 28;17(15):2483.</w:t>
      </w:r>
    </w:p>
    <w:p w:rsidR="000C69A6" w:rsidRPr="008F67CD" w:rsidRDefault="000C69A6" w:rsidP="008D6B63">
      <w:pPr>
        <w:pStyle w:val="ListParagraph"/>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Kommoss S, McConechy MK, Kommoss F, Leung S, Bunz A, Magrill J, et. al Final validation of the ProMisE molecular classifier for endometrial carcinoma in a large population-based case series. Annals of Oncology. 2018 May 1;29(5):1180-8.</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Concin N, Matias-Guiu X, Vergote I,</w:t>
      </w:r>
      <w:r w:rsidRPr="008F67CD">
        <w:rPr>
          <w:rFonts w:ascii="Arial" w:hAnsi="Arial" w:cs="Arial"/>
          <w:shd w:val="clear" w:color="auto" w:fill="FFFFFF"/>
        </w:rPr>
        <w:t xml:space="preserve">  Cibula D, Mirza MR, Marnitz S,</w:t>
      </w:r>
      <w:r w:rsidRPr="008F67CD">
        <w:rPr>
          <w:rFonts w:ascii="Arial" w:hAnsi="Arial" w:cs="Arial"/>
          <w:lang w:eastAsia="en-IN"/>
        </w:rPr>
        <w:t xml:space="preserve"> et al. ESGO/ESTRO/ESP guidelines for the management of patients with endometrial carcinoma. Int J Gynecol Cancer. 2021;31(1):12–39.</w:t>
      </w:r>
    </w:p>
    <w:p w:rsidR="000C69A6" w:rsidRPr="008F67CD" w:rsidRDefault="000C69A6" w:rsidP="00585013">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Huvila J, Thompson EF, VandenBroek J, Lum A, Senz J, Leung S, et. al. Subclonal p53 immunostaining in the diagnosis of endometrial carcinoma molecular subtype. Histopathology. 2023 Dec;83(6):880-90.</w:t>
      </w:r>
    </w:p>
    <w:p w:rsidR="00561962" w:rsidRPr="008F67CD" w:rsidRDefault="000C69A6" w:rsidP="008F67CD">
      <w:pPr>
        <w:numPr>
          <w:ilvl w:val="0"/>
          <w:numId w:val="32"/>
        </w:numPr>
        <w:spacing w:before="100" w:beforeAutospacing="1" w:after="100" w:afterAutospacing="1"/>
        <w:jc w:val="both"/>
        <w:rPr>
          <w:rFonts w:ascii="Arial" w:hAnsi="Arial" w:cs="Arial"/>
          <w:lang w:eastAsia="en-IN"/>
        </w:rPr>
      </w:pPr>
      <w:r w:rsidRPr="008F67CD">
        <w:rPr>
          <w:rFonts w:ascii="Arial" w:hAnsi="Arial" w:cs="Arial"/>
          <w:lang w:eastAsia="en-IN"/>
        </w:rPr>
        <w:t xml:space="preserve">Paratore S, Russo A, Blanco G, Lanzafame K, Giurato E, Bartoloni G et. al Clinical Application of Next-Generation Sequencing for Molecular Classification in the Management of Endometrial Cancer: An Observational Cohort Study. Cancers. 2025 May 28;17(11):1806. </w:t>
      </w:r>
    </w:p>
    <w:sectPr w:rsidR="00561962" w:rsidRPr="008F67CD" w:rsidSect="00BC0A63">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060" w:rsidRDefault="00200060" w:rsidP="00C37E61">
      <w:r>
        <w:separator/>
      </w:r>
    </w:p>
  </w:endnote>
  <w:endnote w:type="continuationSeparator" w:id="1">
    <w:p w:rsidR="00200060" w:rsidRDefault="00200060"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Cambria Math"/>
    <w:panose1 w:val="020005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FF6" w:rsidRDefault="00361F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FF6" w:rsidRDefault="00361F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060" w:rsidRDefault="00200060" w:rsidP="00C37E61">
      <w:r>
        <w:separator/>
      </w:r>
    </w:p>
  </w:footnote>
  <w:footnote w:type="continuationSeparator" w:id="1">
    <w:p w:rsidR="00200060" w:rsidRDefault="00200060"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FF6" w:rsidRDefault="00DC72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20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FF6" w:rsidRDefault="00DC72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20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DC72B2" w:rsidP="00296529">
    <w:pPr>
      <w:ind w:left="2160"/>
      <w:jc w:val="center"/>
      <w:rPr>
        <w:rFonts w:ascii="Times New Roman" w:eastAsia="Calibri" w:hAnsi="Times New Roman"/>
        <w:i/>
        <w:sz w:val="18"/>
        <w:szCs w:val="22"/>
      </w:rPr>
    </w:pPr>
    <w:r w:rsidRPr="00DC72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20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33331"/>
    <w:multiLevelType w:val="hybridMultilevel"/>
    <w:tmpl w:val="702A955C"/>
    <w:lvl w:ilvl="0" w:tplc="5E2AFC98">
      <w:start w:val="1"/>
      <w:numFmt w:val="decimal"/>
      <w:lvlText w:val="%1."/>
      <w:lvlJc w:val="left"/>
      <w:pPr>
        <w:ind w:left="36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EF5ED4"/>
    <w:multiLevelType w:val="multilevel"/>
    <w:tmpl w:val="5B9A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9"/>
  </w:num>
  <w:num w:numId="29">
    <w:abstractNumId w:val="25"/>
  </w:num>
  <w:num w:numId="30">
    <w:abstractNumId w:val="11"/>
  </w:num>
  <w:num w:numId="31">
    <w:abstractNumId w:val="28"/>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462"/>
    <w:rsid w:val="00000F8F"/>
    <w:rsid w:val="0000207E"/>
    <w:rsid w:val="000142B9"/>
    <w:rsid w:val="00030174"/>
    <w:rsid w:val="000317B2"/>
    <w:rsid w:val="00036450"/>
    <w:rsid w:val="0004579C"/>
    <w:rsid w:val="000521D1"/>
    <w:rsid w:val="000658CA"/>
    <w:rsid w:val="00090105"/>
    <w:rsid w:val="00091356"/>
    <w:rsid w:val="0009212D"/>
    <w:rsid w:val="00094705"/>
    <w:rsid w:val="000A2991"/>
    <w:rsid w:val="000A47FA"/>
    <w:rsid w:val="000A65D3"/>
    <w:rsid w:val="000B1E33"/>
    <w:rsid w:val="000B4238"/>
    <w:rsid w:val="000C29D7"/>
    <w:rsid w:val="000C69A6"/>
    <w:rsid w:val="000C7042"/>
    <w:rsid w:val="000D689F"/>
    <w:rsid w:val="000E4D0D"/>
    <w:rsid w:val="000E7B7B"/>
    <w:rsid w:val="000E7D62"/>
    <w:rsid w:val="00103357"/>
    <w:rsid w:val="001063A9"/>
    <w:rsid w:val="0011623F"/>
    <w:rsid w:val="00122249"/>
    <w:rsid w:val="00123C9F"/>
    <w:rsid w:val="00126190"/>
    <w:rsid w:val="001300AA"/>
    <w:rsid w:val="00130F17"/>
    <w:rsid w:val="001320BF"/>
    <w:rsid w:val="00136320"/>
    <w:rsid w:val="0016242E"/>
    <w:rsid w:val="00163BC4"/>
    <w:rsid w:val="0016424F"/>
    <w:rsid w:val="001700D7"/>
    <w:rsid w:val="00191062"/>
    <w:rsid w:val="00192B72"/>
    <w:rsid w:val="001A29D8"/>
    <w:rsid w:val="001A4A46"/>
    <w:rsid w:val="001A5CAA"/>
    <w:rsid w:val="001B0427"/>
    <w:rsid w:val="001B5BEA"/>
    <w:rsid w:val="001D2281"/>
    <w:rsid w:val="001D3A51"/>
    <w:rsid w:val="001D70AE"/>
    <w:rsid w:val="001E10D2"/>
    <w:rsid w:val="001E25B4"/>
    <w:rsid w:val="001E44FE"/>
    <w:rsid w:val="00200060"/>
    <w:rsid w:val="00200595"/>
    <w:rsid w:val="002014EF"/>
    <w:rsid w:val="00204835"/>
    <w:rsid w:val="00231920"/>
    <w:rsid w:val="0023195C"/>
    <w:rsid w:val="0024282C"/>
    <w:rsid w:val="002460DC"/>
    <w:rsid w:val="00250985"/>
    <w:rsid w:val="00252A92"/>
    <w:rsid w:val="002556F6"/>
    <w:rsid w:val="00283105"/>
    <w:rsid w:val="00284C4C"/>
    <w:rsid w:val="00286877"/>
    <w:rsid w:val="00287E68"/>
    <w:rsid w:val="00296529"/>
    <w:rsid w:val="002A6BD1"/>
    <w:rsid w:val="002A7B48"/>
    <w:rsid w:val="002B27FB"/>
    <w:rsid w:val="002B685A"/>
    <w:rsid w:val="002C57D2"/>
    <w:rsid w:val="002E0D56"/>
    <w:rsid w:val="002E3373"/>
    <w:rsid w:val="002E378C"/>
    <w:rsid w:val="00315186"/>
    <w:rsid w:val="00315B72"/>
    <w:rsid w:val="0033343E"/>
    <w:rsid w:val="003512C2"/>
    <w:rsid w:val="00361FF6"/>
    <w:rsid w:val="0036626C"/>
    <w:rsid w:val="00371FB6"/>
    <w:rsid w:val="00374857"/>
    <w:rsid w:val="003763C1"/>
    <w:rsid w:val="00376BBE"/>
    <w:rsid w:val="0039224F"/>
    <w:rsid w:val="003A148E"/>
    <w:rsid w:val="003A43A4"/>
    <w:rsid w:val="003A7E18"/>
    <w:rsid w:val="003B565A"/>
    <w:rsid w:val="003C2D27"/>
    <w:rsid w:val="003C4C86"/>
    <w:rsid w:val="003C6258"/>
    <w:rsid w:val="003D027B"/>
    <w:rsid w:val="003D41B8"/>
    <w:rsid w:val="003D7E2F"/>
    <w:rsid w:val="003E2904"/>
    <w:rsid w:val="003F01EA"/>
    <w:rsid w:val="00401927"/>
    <w:rsid w:val="0041027F"/>
    <w:rsid w:val="00412475"/>
    <w:rsid w:val="004219B0"/>
    <w:rsid w:val="00423789"/>
    <w:rsid w:val="00440F43"/>
    <w:rsid w:val="00441B6F"/>
    <w:rsid w:val="00446221"/>
    <w:rsid w:val="00450E62"/>
    <w:rsid w:val="004539DB"/>
    <w:rsid w:val="004554C8"/>
    <w:rsid w:val="00456CAB"/>
    <w:rsid w:val="004609B1"/>
    <w:rsid w:val="00471A80"/>
    <w:rsid w:val="004817AA"/>
    <w:rsid w:val="00492FA2"/>
    <w:rsid w:val="00493322"/>
    <w:rsid w:val="00493806"/>
    <w:rsid w:val="004C162E"/>
    <w:rsid w:val="004D305E"/>
    <w:rsid w:val="004D4277"/>
    <w:rsid w:val="00502516"/>
    <w:rsid w:val="00505F06"/>
    <w:rsid w:val="00506828"/>
    <w:rsid w:val="0052520A"/>
    <w:rsid w:val="005302A2"/>
    <w:rsid w:val="0053056E"/>
    <w:rsid w:val="00543E4F"/>
    <w:rsid w:val="00554FDA"/>
    <w:rsid w:val="00561962"/>
    <w:rsid w:val="00585013"/>
    <w:rsid w:val="005B375C"/>
    <w:rsid w:val="005C784C"/>
    <w:rsid w:val="005D17F6"/>
    <w:rsid w:val="005D201F"/>
    <w:rsid w:val="005E5062"/>
    <w:rsid w:val="005E5539"/>
    <w:rsid w:val="00602BF5"/>
    <w:rsid w:val="0060586A"/>
    <w:rsid w:val="00614460"/>
    <w:rsid w:val="006177B3"/>
    <w:rsid w:val="00617FDD"/>
    <w:rsid w:val="00620CA1"/>
    <w:rsid w:val="00621A0A"/>
    <w:rsid w:val="0063131A"/>
    <w:rsid w:val="00633614"/>
    <w:rsid w:val="00633F68"/>
    <w:rsid w:val="00636EB2"/>
    <w:rsid w:val="006375B8"/>
    <w:rsid w:val="00650AB4"/>
    <w:rsid w:val="0066510A"/>
    <w:rsid w:val="0066730A"/>
    <w:rsid w:val="00673F9F"/>
    <w:rsid w:val="00686953"/>
    <w:rsid w:val="00687DEA"/>
    <w:rsid w:val="00687E67"/>
    <w:rsid w:val="00693365"/>
    <w:rsid w:val="006967F7"/>
    <w:rsid w:val="006A250C"/>
    <w:rsid w:val="006A2994"/>
    <w:rsid w:val="006B21D3"/>
    <w:rsid w:val="006B57D0"/>
    <w:rsid w:val="006D30FF"/>
    <w:rsid w:val="006D6940"/>
    <w:rsid w:val="006F11EC"/>
    <w:rsid w:val="0070082C"/>
    <w:rsid w:val="00713AD7"/>
    <w:rsid w:val="00714DB5"/>
    <w:rsid w:val="00722FE7"/>
    <w:rsid w:val="0072300F"/>
    <w:rsid w:val="007369E6"/>
    <w:rsid w:val="0073736D"/>
    <w:rsid w:val="00746E59"/>
    <w:rsid w:val="00750406"/>
    <w:rsid w:val="00754C9A"/>
    <w:rsid w:val="0075599A"/>
    <w:rsid w:val="00761D52"/>
    <w:rsid w:val="0076602E"/>
    <w:rsid w:val="0077749E"/>
    <w:rsid w:val="00790ADA"/>
    <w:rsid w:val="00792EA0"/>
    <w:rsid w:val="007A4C18"/>
    <w:rsid w:val="007B3F45"/>
    <w:rsid w:val="007C5B49"/>
    <w:rsid w:val="007C5CBD"/>
    <w:rsid w:val="007C5D08"/>
    <w:rsid w:val="007D0A97"/>
    <w:rsid w:val="007D0D36"/>
    <w:rsid w:val="007D2288"/>
    <w:rsid w:val="007E088F"/>
    <w:rsid w:val="007E1A27"/>
    <w:rsid w:val="007E3EBF"/>
    <w:rsid w:val="007F7B32"/>
    <w:rsid w:val="00804BC2"/>
    <w:rsid w:val="0081431A"/>
    <w:rsid w:val="0083216F"/>
    <w:rsid w:val="00840220"/>
    <w:rsid w:val="0085009C"/>
    <w:rsid w:val="00860000"/>
    <w:rsid w:val="00863BD3"/>
    <w:rsid w:val="008641ED"/>
    <w:rsid w:val="00864CE9"/>
    <w:rsid w:val="00866D66"/>
    <w:rsid w:val="008671C6"/>
    <w:rsid w:val="00875803"/>
    <w:rsid w:val="0089177B"/>
    <w:rsid w:val="00895862"/>
    <w:rsid w:val="008A368D"/>
    <w:rsid w:val="008B459E"/>
    <w:rsid w:val="008E0C1C"/>
    <w:rsid w:val="008E13AE"/>
    <w:rsid w:val="008E1506"/>
    <w:rsid w:val="008E710C"/>
    <w:rsid w:val="008F2CAE"/>
    <w:rsid w:val="008F67CD"/>
    <w:rsid w:val="008F69D6"/>
    <w:rsid w:val="00902823"/>
    <w:rsid w:val="00914BA9"/>
    <w:rsid w:val="00915CA6"/>
    <w:rsid w:val="009213F9"/>
    <w:rsid w:val="00922235"/>
    <w:rsid w:val="00927834"/>
    <w:rsid w:val="009500A6"/>
    <w:rsid w:val="00957C18"/>
    <w:rsid w:val="009639D5"/>
    <w:rsid w:val="009659BA"/>
    <w:rsid w:val="00966851"/>
    <w:rsid w:val="00983040"/>
    <w:rsid w:val="009B3FB9"/>
    <w:rsid w:val="009B7BFB"/>
    <w:rsid w:val="009C2465"/>
    <w:rsid w:val="009D0B7F"/>
    <w:rsid w:val="009D2AF2"/>
    <w:rsid w:val="009D35A0"/>
    <w:rsid w:val="009D7EB7"/>
    <w:rsid w:val="009E048A"/>
    <w:rsid w:val="009E08E9"/>
    <w:rsid w:val="009E3DB9"/>
    <w:rsid w:val="009E6E35"/>
    <w:rsid w:val="009F0EDA"/>
    <w:rsid w:val="00A03B96"/>
    <w:rsid w:val="00A05B19"/>
    <w:rsid w:val="00A1134E"/>
    <w:rsid w:val="00A24E7E"/>
    <w:rsid w:val="00A258C3"/>
    <w:rsid w:val="00A347C0"/>
    <w:rsid w:val="00A3791C"/>
    <w:rsid w:val="00A51431"/>
    <w:rsid w:val="00A539AD"/>
    <w:rsid w:val="00A64CB7"/>
    <w:rsid w:val="00A81873"/>
    <w:rsid w:val="00A917A7"/>
    <w:rsid w:val="00A924B6"/>
    <w:rsid w:val="00A94063"/>
    <w:rsid w:val="00AA6219"/>
    <w:rsid w:val="00AA74E0"/>
    <w:rsid w:val="00AB703F"/>
    <w:rsid w:val="00AC6BB8"/>
    <w:rsid w:val="00AD02EA"/>
    <w:rsid w:val="00AD7021"/>
    <w:rsid w:val="00AE008F"/>
    <w:rsid w:val="00AF4DEA"/>
    <w:rsid w:val="00B01FCD"/>
    <w:rsid w:val="00B1405B"/>
    <w:rsid w:val="00B1776C"/>
    <w:rsid w:val="00B21086"/>
    <w:rsid w:val="00B23484"/>
    <w:rsid w:val="00B41C56"/>
    <w:rsid w:val="00B427C4"/>
    <w:rsid w:val="00B42A75"/>
    <w:rsid w:val="00B42B4E"/>
    <w:rsid w:val="00B43179"/>
    <w:rsid w:val="00B44713"/>
    <w:rsid w:val="00B52583"/>
    <w:rsid w:val="00B52896"/>
    <w:rsid w:val="00B53CB2"/>
    <w:rsid w:val="00B55CC6"/>
    <w:rsid w:val="00B76686"/>
    <w:rsid w:val="00B95236"/>
    <w:rsid w:val="00B96BD9"/>
    <w:rsid w:val="00BA0326"/>
    <w:rsid w:val="00BA1B01"/>
    <w:rsid w:val="00BA2641"/>
    <w:rsid w:val="00BB37AA"/>
    <w:rsid w:val="00BC0A63"/>
    <w:rsid w:val="00BC0D12"/>
    <w:rsid w:val="00BC25D7"/>
    <w:rsid w:val="00BC53A0"/>
    <w:rsid w:val="00BE62AD"/>
    <w:rsid w:val="00BF121F"/>
    <w:rsid w:val="00BF1F80"/>
    <w:rsid w:val="00C051E1"/>
    <w:rsid w:val="00C166EF"/>
    <w:rsid w:val="00C17EB0"/>
    <w:rsid w:val="00C27F5F"/>
    <w:rsid w:val="00C30A0F"/>
    <w:rsid w:val="00C33B18"/>
    <w:rsid w:val="00C35EAA"/>
    <w:rsid w:val="00C37E61"/>
    <w:rsid w:val="00C531FD"/>
    <w:rsid w:val="00C70F1B"/>
    <w:rsid w:val="00C71A47"/>
    <w:rsid w:val="00C7464C"/>
    <w:rsid w:val="00C85588"/>
    <w:rsid w:val="00C97439"/>
    <w:rsid w:val="00CB312A"/>
    <w:rsid w:val="00CD6755"/>
    <w:rsid w:val="00CD6856"/>
    <w:rsid w:val="00CE0089"/>
    <w:rsid w:val="00CE793C"/>
    <w:rsid w:val="00CF193C"/>
    <w:rsid w:val="00D03786"/>
    <w:rsid w:val="00D173F1"/>
    <w:rsid w:val="00D74CB0"/>
    <w:rsid w:val="00D8295D"/>
    <w:rsid w:val="00DA0BD0"/>
    <w:rsid w:val="00DC219F"/>
    <w:rsid w:val="00DC2A65"/>
    <w:rsid w:val="00DC72B2"/>
    <w:rsid w:val="00DD028D"/>
    <w:rsid w:val="00DE15F0"/>
    <w:rsid w:val="00DE5663"/>
    <w:rsid w:val="00DE78AA"/>
    <w:rsid w:val="00E053D0"/>
    <w:rsid w:val="00E15994"/>
    <w:rsid w:val="00E21381"/>
    <w:rsid w:val="00E239C6"/>
    <w:rsid w:val="00E30998"/>
    <w:rsid w:val="00E3114E"/>
    <w:rsid w:val="00E31A70"/>
    <w:rsid w:val="00E35B02"/>
    <w:rsid w:val="00E66496"/>
    <w:rsid w:val="00E66B35"/>
    <w:rsid w:val="00E66E10"/>
    <w:rsid w:val="00E737FD"/>
    <w:rsid w:val="00E769F6"/>
    <w:rsid w:val="00E8407C"/>
    <w:rsid w:val="00E84F3C"/>
    <w:rsid w:val="00EA012C"/>
    <w:rsid w:val="00EA067F"/>
    <w:rsid w:val="00EC3240"/>
    <w:rsid w:val="00EC6A55"/>
    <w:rsid w:val="00ED0288"/>
    <w:rsid w:val="00EE36C0"/>
    <w:rsid w:val="00EE52CB"/>
    <w:rsid w:val="00EF11A5"/>
    <w:rsid w:val="00EF20EC"/>
    <w:rsid w:val="00EF34F4"/>
    <w:rsid w:val="00EF581D"/>
    <w:rsid w:val="00EF7FD8"/>
    <w:rsid w:val="00F06F59"/>
    <w:rsid w:val="00F17988"/>
    <w:rsid w:val="00F30818"/>
    <w:rsid w:val="00F3713A"/>
    <w:rsid w:val="00F469F0"/>
    <w:rsid w:val="00F512E5"/>
    <w:rsid w:val="00F53273"/>
    <w:rsid w:val="00F740DB"/>
    <w:rsid w:val="00F755E4"/>
    <w:rsid w:val="00F77D02"/>
    <w:rsid w:val="00F85D28"/>
    <w:rsid w:val="00FA028E"/>
    <w:rsid w:val="00FB3A86"/>
    <w:rsid w:val="00FC2353"/>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E37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53CB2"/>
    <w:rPr>
      <w:b/>
      <w:bCs/>
    </w:rPr>
  </w:style>
  <w:style w:type="paragraph" w:styleId="ListParagraph">
    <w:name w:val="List Paragraph"/>
    <w:basedOn w:val="Normal"/>
    <w:uiPriority w:val="34"/>
    <w:qFormat/>
    <w:rsid w:val="00BC0D12"/>
    <w:pPr>
      <w:ind w:left="720"/>
      <w:contextualSpacing/>
    </w:pPr>
  </w:style>
  <w:style w:type="character" w:customStyle="1" w:styleId="UnresolvedMention2">
    <w:name w:val="Unresolved Mention2"/>
    <w:basedOn w:val="DefaultParagraphFont"/>
    <w:uiPriority w:val="99"/>
    <w:semiHidden/>
    <w:unhideWhenUsed/>
    <w:rsid w:val="00252A92"/>
    <w:rPr>
      <w:color w:val="605E5C"/>
      <w:shd w:val="clear" w:color="auto" w:fill="E1DFDD"/>
    </w:rPr>
  </w:style>
  <w:style w:type="paragraph" w:styleId="NoSpacing">
    <w:name w:val="No Spacing"/>
    <w:uiPriority w:val="1"/>
    <w:qFormat/>
    <w:rsid w:val="00122249"/>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2E378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378C"/>
    <w:pPr>
      <w:spacing w:before="100" w:beforeAutospacing="1" w:after="100" w:afterAutospacing="1"/>
    </w:pPr>
    <w:rPr>
      <w:rFonts w:ascii="Times New Roman" w:hAnsi="Times New Roman"/>
      <w:sz w:val="24"/>
      <w:szCs w:val="24"/>
      <w:lang w:val="en-IN" w:eastAsia="en-IN"/>
    </w:rPr>
  </w:style>
  <w:style w:type="character" w:customStyle="1" w:styleId="whitespace-normal">
    <w:name w:val="whitespace-normal"/>
    <w:basedOn w:val="DefaultParagraphFont"/>
    <w:rsid w:val="007A4C18"/>
  </w:style>
  <w:style w:type="character" w:customStyle="1" w:styleId="bzpyqfadein">
    <w:name w:val="bz_pyq_fadein"/>
    <w:basedOn w:val="DefaultParagraphFont"/>
    <w:rsid w:val="007C5D08"/>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88423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231/j.achr.2020.06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iagnostichistopathology.co.uk/article/S1756-2317(21)00140-7/fulltext"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dpi.com/1422-0067/25/11/5893" TargetMode="External"/><Relationship Id="rId10" Type="http://schemas.openxmlformats.org/officeDocument/2006/relationships/footer" Target="footer1.xml"/><Relationship Id="rId19" Type="http://schemas.openxmlformats.org/officeDocument/2006/relationships/hyperlink" Target="https://www.ncbi.nlm.nih.gov/books/NBK5259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A415-68F8-414E-8E81-CD86F604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TotalTime>
  <Pages>1</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50308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kruti.rajvik</cp:lastModifiedBy>
  <cp:revision>33</cp:revision>
  <cp:lastPrinted>2026-03-11T07:30:00Z</cp:lastPrinted>
  <dcterms:created xsi:type="dcterms:W3CDTF">2026-03-12T04:31:00Z</dcterms:created>
  <dcterms:modified xsi:type="dcterms:W3CDTF">2026-03-12T11:45:00Z</dcterms:modified>
</cp:coreProperties>
</file>