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5F8A" w14:textId="3C1B2091" w:rsidR="0009024D" w:rsidRPr="007D6921" w:rsidRDefault="0009024D" w:rsidP="007D6921">
      <w:pPr>
        <w:pStyle w:val="NoSpacing"/>
        <w:jc w:val="center"/>
        <w:rPr>
          <w:rFonts w:cstheme="minorHAnsi"/>
          <w:b/>
          <w:bCs/>
          <w:sz w:val="24"/>
          <w:szCs w:val="24"/>
        </w:rPr>
      </w:pPr>
      <w:r w:rsidRPr="007D6921">
        <w:rPr>
          <w:rFonts w:cstheme="minorHAnsi"/>
          <w:b/>
          <w:bCs/>
          <w:sz w:val="24"/>
          <w:szCs w:val="24"/>
        </w:rPr>
        <w:t>CULTURAL HERITAGE LITERACY AMONG TERTIARY SOCIAL</w:t>
      </w:r>
      <w:r w:rsidR="0008674E" w:rsidRPr="007D6921">
        <w:rPr>
          <w:rFonts w:cstheme="minorHAnsi"/>
          <w:b/>
          <w:bCs/>
          <w:sz w:val="24"/>
          <w:szCs w:val="24"/>
        </w:rPr>
        <w:t xml:space="preserve"> </w:t>
      </w:r>
      <w:r w:rsidRPr="007D6921">
        <w:rPr>
          <w:rFonts w:cstheme="minorHAnsi"/>
          <w:b/>
          <w:bCs/>
          <w:sz w:val="24"/>
          <w:szCs w:val="24"/>
        </w:rPr>
        <w:t>STUDIES MAJORS</w:t>
      </w:r>
    </w:p>
    <w:p w14:paraId="2F1EDD97" w14:textId="24C84C8C" w:rsidR="00F83BE3" w:rsidRPr="007D6921" w:rsidRDefault="0009024D" w:rsidP="007D6921">
      <w:pPr>
        <w:pStyle w:val="NoSpacing"/>
        <w:jc w:val="center"/>
        <w:rPr>
          <w:rFonts w:cstheme="minorHAnsi"/>
          <w:b/>
          <w:bCs/>
          <w:sz w:val="16"/>
          <w:szCs w:val="16"/>
        </w:rPr>
      </w:pPr>
      <w:r w:rsidRPr="007D6921">
        <w:rPr>
          <w:rFonts w:cstheme="minorHAnsi"/>
          <w:b/>
          <w:bCs/>
          <w:sz w:val="24"/>
          <w:szCs w:val="24"/>
        </w:rPr>
        <w:t>IN NORTHERN PHILIPPINES</w:t>
      </w:r>
    </w:p>
    <w:p w14:paraId="0FE26A6D" w14:textId="77777777" w:rsidR="0008674E" w:rsidRPr="0008674E" w:rsidRDefault="0008674E" w:rsidP="0008674E">
      <w:pPr>
        <w:pStyle w:val="NoSpacing"/>
        <w:jc w:val="right"/>
        <w:rPr>
          <w:rFonts w:cstheme="minorHAnsi"/>
          <w:sz w:val="24"/>
          <w:szCs w:val="24"/>
        </w:rPr>
      </w:pPr>
    </w:p>
    <w:p w14:paraId="177AE96B" w14:textId="77777777" w:rsidR="00F83BE3" w:rsidRPr="0009024D" w:rsidRDefault="00E00395" w:rsidP="000448D6">
      <w:pPr>
        <w:pStyle w:val="Heading2"/>
        <w:spacing w:before="100" w:after="100"/>
        <w:jc w:val="center"/>
        <w:rPr>
          <w:rFonts w:asciiTheme="minorHAnsi" w:hAnsiTheme="minorHAnsi" w:cstheme="minorHAnsi" w:hint="default"/>
          <w:sz w:val="22"/>
          <w:szCs w:val="22"/>
        </w:rPr>
      </w:pPr>
      <w:r w:rsidRPr="0009024D">
        <w:rPr>
          <w:rFonts w:asciiTheme="minorHAnsi" w:hAnsiTheme="minorHAnsi" w:cstheme="minorHAnsi" w:hint="default"/>
          <w:sz w:val="22"/>
          <w:szCs w:val="22"/>
        </w:rPr>
        <w:t>Abstract</w:t>
      </w:r>
    </w:p>
    <w:p w14:paraId="6D219E34" w14:textId="37BB3D20" w:rsidR="002814CF" w:rsidRDefault="00E00395" w:rsidP="002814CF">
      <w:pPr>
        <w:pStyle w:val="NormalWeb"/>
        <w:ind w:firstLine="420"/>
        <w:jc w:val="both"/>
        <w:rPr>
          <w:rFonts w:asciiTheme="minorHAnsi" w:hAnsiTheme="minorHAnsi" w:cstheme="minorHAnsi"/>
          <w:b/>
          <w:bCs/>
          <w:sz w:val="22"/>
          <w:szCs w:val="22"/>
        </w:rPr>
      </w:pPr>
      <w:r w:rsidRPr="0009024D">
        <w:rPr>
          <w:rFonts w:asciiTheme="minorHAnsi" w:hAnsiTheme="minorHAnsi" w:cstheme="minorHAnsi"/>
          <w:sz w:val="22"/>
          <w:szCs w:val="22"/>
        </w:rPr>
        <w:t xml:space="preserve">In culturally diverse societies like the Philippines, cultural heritage literacy is an essential part of social studies education. </w:t>
      </w:r>
      <w:r w:rsidR="0009024D">
        <w:rPr>
          <w:rFonts w:asciiTheme="minorHAnsi" w:hAnsiTheme="minorHAnsi" w:cstheme="minorHAnsi"/>
          <w:sz w:val="22"/>
          <w:szCs w:val="22"/>
        </w:rPr>
        <w:t>This study explored the</w:t>
      </w:r>
      <w:r w:rsidRPr="0009024D">
        <w:rPr>
          <w:rFonts w:asciiTheme="minorHAnsi" w:hAnsiTheme="minorHAnsi" w:cstheme="minorHAnsi"/>
          <w:sz w:val="22"/>
          <w:szCs w:val="22"/>
        </w:rPr>
        <w:t xml:space="preserve"> knowledge, abilities, attitudes, and behaviors about physical and intangible cultural heritage and in</w:t>
      </w:r>
      <w:r w:rsidRPr="0009024D">
        <w:rPr>
          <w:rFonts w:asciiTheme="minorHAnsi" w:hAnsiTheme="minorHAnsi" w:cstheme="minorHAnsi"/>
          <w:sz w:val="22"/>
          <w:szCs w:val="22"/>
        </w:rPr>
        <w:t>vestigated variations when categorized based on specific academic and demographic factors</w:t>
      </w:r>
      <w:r w:rsidR="002814CF">
        <w:rPr>
          <w:rFonts w:asciiTheme="minorHAnsi" w:hAnsiTheme="minorHAnsi" w:cstheme="minorHAnsi"/>
          <w:sz w:val="22"/>
          <w:szCs w:val="22"/>
        </w:rPr>
        <w:t xml:space="preserve"> of the Bachelor of Secondary Education major in Social Studies </w:t>
      </w:r>
      <w:r w:rsidR="002814CF" w:rsidRPr="0009024D">
        <w:rPr>
          <w:rFonts w:asciiTheme="minorHAnsi" w:hAnsiTheme="minorHAnsi" w:cstheme="minorHAnsi"/>
          <w:sz w:val="22"/>
          <w:szCs w:val="22"/>
        </w:rPr>
        <w:t>students</w:t>
      </w:r>
      <w:r w:rsidRPr="0009024D">
        <w:rPr>
          <w:rFonts w:asciiTheme="minorHAnsi" w:hAnsiTheme="minorHAnsi" w:cstheme="minorHAnsi"/>
          <w:sz w:val="22"/>
          <w:szCs w:val="22"/>
        </w:rPr>
        <w:t xml:space="preserve">. A researcher-developed questionnaire based on UNESCO's cultural heritage framework </w:t>
      </w:r>
      <w:r w:rsidR="0009024D">
        <w:rPr>
          <w:rFonts w:asciiTheme="minorHAnsi" w:hAnsiTheme="minorHAnsi" w:cstheme="minorHAnsi"/>
          <w:sz w:val="22"/>
          <w:szCs w:val="22"/>
        </w:rPr>
        <w:t xml:space="preserve">was used </w:t>
      </w:r>
      <w:r w:rsidR="005E1308">
        <w:rPr>
          <w:rFonts w:asciiTheme="minorHAnsi" w:hAnsiTheme="minorHAnsi" w:cstheme="minorHAnsi"/>
          <w:sz w:val="22"/>
          <w:szCs w:val="22"/>
        </w:rPr>
        <w:t>following the</w:t>
      </w:r>
      <w:r w:rsidRPr="0009024D">
        <w:rPr>
          <w:rFonts w:asciiTheme="minorHAnsi" w:hAnsiTheme="minorHAnsi" w:cstheme="minorHAnsi"/>
          <w:sz w:val="22"/>
          <w:szCs w:val="22"/>
        </w:rPr>
        <w:t xml:space="preserve"> descriptive</w:t>
      </w:r>
      <w:r w:rsidR="002814CF">
        <w:rPr>
          <w:rFonts w:asciiTheme="minorHAnsi" w:hAnsiTheme="minorHAnsi" w:cstheme="minorHAnsi"/>
          <w:sz w:val="22"/>
          <w:szCs w:val="22"/>
        </w:rPr>
        <w:t>-comparative</w:t>
      </w:r>
      <w:r w:rsidRPr="0009024D">
        <w:rPr>
          <w:rFonts w:asciiTheme="minorHAnsi" w:hAnsiTheme="minorHAnsi" w:cstheme="minorHAnsi"/>
          <w:sz w:val="22"/>
          <w:szCs w:val="22"/>
        </w:rPr>
        <w:t xml:space="preserve"> research design.</w:t>
      </w:r>
      <w:r w:rsidR="0009024D">
        <w:rPr>
          <w:rFonts w:asciiTheme="minorHAnsi" w:hAnsiTheme="minorHAnsi" w:cstheme="minorHAnsi"/>
          <w:sz w:val="22"/>
          <w:szCs w:val="22"/>
        </w:rPr>
        <w:t xml:space="preserve"> </w:t>
      </w:r>
      <w:r w:rsidR="0009024D">
        <w:rPr>
          <w:rStyle w:val="Strong"/>
          <w:rFonts w:asciiTheme="minorHAnsi" w:hAnsiTheme="minorHAnsi" w:cstheme="minorHAnsi"/>
          <w:b w:val="0"/>
          <w:bCs w:val="0"/>
          <w:sz w:val="22"/>
          <w:szCs w:val="22"/>
        </w:rPr>
        <w:t>R</w:t>
      </w:r>
      <w:r w:rsidRPr="0009024D">
        <w:rPr>
          <w:rStyle w:val="Strong"/>
          <w:rFonts w:asciiTheme="minorHAnsi" w:hAnsiTheme="minorHAnsi" w:cstheme="minorHAnsi"/>
          <w:b w:val="0"/>
          <w:bCs w:val="0"/>
          <w:sz w:val="22"/>
          <w:szCs w:val="22"/>
        </w:rPr>
        <w:t xml:space="preserve">esults showed that </w:t>
      </w:r>
      <w:r w:rsidR="0009024D">
        <w:rPr>
          <w:rStyle w:val="Strong"/>
          <w:rFonts w:asciiTheme="minorHAnsi" w:hAnsiTheme="minorHAnsi" w:cstheme="minorHAnsi"/>
          <w:b w:val="0"/>
          <w:bCs w:val="0"/>
          <w:sz w:val="22"/>
          <w:szCs w:val="22"/>
        </w:rPr>
        <w:t xml:space="preserve">the </w:t>
      </w:r>
      <w:r w:rsidRPr="0009024D">
        <w:rPr>
          <w:rStyle w:val="Strong"/>
          <w:rFonts w:asciiTheme="minorHAnsi" w:hAnsiTheme="minorHAnsi" w:cstheme="minorHAnsi"/>
          <w:b w:val="0"/>
          <w:bCs w:val="0"/>
          <w:sz w:val="22"/>
          <w:szCs w:val="22"/>
        </w:rPr>
        <w:t>respondents' cultural heritage literacy was generally</w:t>
      </w:r>
      <w:r w:rsidR="00A25B27">
        <w:rPr>
          <w:rStyle w:val="Strong"/>
          <w:rFonts w:asciiTheme="minorHAnsi" w:hAnsiTheme="minorHAnsi" w:cstheme="minorHAnsi"/>
          <w:b w:val="0"/>
          <w:bCs w:val="0"/>
          <w:sz w:val="22"/>
          <w:szCs w:val="22"/>
        </w:rPr>
        <w:t xml:space="preserve"> low to</w:t>
      </w:r>
      <w:r w:rsidRPr="0009024D">
        <w:rPr>
          <w:rStyle w:val="Strong"/>
          <w:rFonts w:asciiTheme="minorHAnsi" w:hAnsiTheme="minorHAnsi" w:cstheme="minorHAnsi"/>
          <w:b w:val="0"/>
          <w:bCs w:val="0"/>
          <w:sz w:val="22"/>
          <w:szCs w:val="22"/>
        </w:rPr>
        <w:t xml:space="preserve"> moderate, with a greater emphasis on values and appreciation </w:t>
      </w:r>
      <w:r w:rsidR="005E1308">
        <w:rPr>
          <w:rStyle w:val="Strong"/>
          <w:rFonts w:asciiTheme="minorHAnsi" w:hAnsiTheme="minorHAnsi" w:cstheme="minorHAnsi"/>
          <w:b w:val="0"/>
          <w:bCs w:val="0"/>
          <w:sz w:val="22"/>
          <w:szCs w:val="22"/>
        </w:rPr>
        <w:t>rather than</w:t>
      </w:r>
      <w:r w:rsidRPr="0009024D">
        <w:rPr>
          <w:rStyle w:val="Strong"/>
          <w:rFonts w:asciiTheme="minorHAnsi" w:hAnsiTheme="minorHAnsi" w:cstheme="minorHAnsi"/>
          <w:b w:val="0"/>
          <w:bCs w:val="0"/>
          <w:sz w:val="22"/>
          <w:szCs w:val="22"/>
        </w:rPr>
        <w:t xml:space="preserve"> critical skills and active heritage activities. </w:t>
      </w:r>
      <w:r w:rsidR="002814CF" w:rsidRPr="002814CF">
        <w:rPr>
          <w:rFonts w:asciiTheme="minorHAnsi" w:hAnsiTheme="minorHAnsi" w:cstheme="minorHAnsi"/>
          <w:sz w:val="22"/>
          <w:szCs w:val="22"/>
        </w:rPr>
        <w:t>When categorized according to year level and exposure to heritage-related courses and activities, significant differences were observed, particularly among students with greater academic progression and prior heritage exposure. These findings suggest that curricular experiences and academic level contribute to variations in students’ heritage knowledge. The study underscores the need to strengthen heritage-based pedagogical integration in Social Studies teacher education programs to enhance students’ conceptual understanding of cultural heritage within localized institutional contexts.</w:t>
      </w:r>
      <w:r w:rsidR="002814CF" w:rsidRPr="002814CF">
        <w:rPr>
          <w:rFonts w:asciiTheme="minorHAnsi" w:hAnsiTheme="minorHAnsi" w:cstheme="minorHAnsi"/>
          <w:b/>
          <w:bCs/>
          <w:sz w:val="22"/>
          <w:szCs w:val="22"/>
        </w:rPr>
        <w:t xml:space="preserve"> </w:t>
      </w:r>
    </w:p>
    <w:p w14:paraId="7D4B8040" w14:textId="6651D9E9" w:rsidR="00F83BE3" w:rsidRDefault="00E00395" w:rsidP="002814CF">
      <w:pPr>
        <w:pStyle w:val="NormalWeb"/>
        <w:jc w:val="both"/>
      </w:pPr>
      <w:r w:rsidRPr="0009024D">
        <w:rPr>
          <w:rStyle w:val="Strong"/>
          <w:rFonts w:cstheme="minorHAnsi"/>
        </w:rPr>
        <w:t>Keywords:</w:t>
      </w:r>
      <w:r w:rsidRPr="0009024D">
        <w:t xml:space="preserve"> cultural heritage literacy, Social Studies education, tertiary education, Northern Philippines, heritage education</w:t>
      </w:r>
    </w:p>
    <w:p w14:paraId="197D18E8" w14:textId="7E006F18" w:rsidR="00B27274" w:rsidRPr="0009024D" w:rsidRDefault="00B27274" w:rsidP="00B27274">
      <w:pPr>
        <w:pStyle w:val="NoSpacing"/>
      </w:pPr>
      <w:r>
        <w:t>-------------------------------------------------------------------------------------------------------------------------------------</w:t>
      </w:r>
    </w:p>
    <w:p w14:paraId="02F341EA" w14:textId="77777777" w:rsidR="00F83BE3" w:rsidRPr="0009024D" w:rsidRDefault="00E00395" w:rsidP="0009024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Introduction</w:t>
      </w:r>
    </w:p>
    <w:p w14:paraId="3980F875" w14:textId="257FBA86" w:rsidR="00F83BE3"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In a time of fast globalization, technological advancement, and cultural homogenization, the transmission and</w:t>
      </w:r>
      <w:r w:rsidRPr="0009024D">
        <w:rPr>
          <w:rFonts w:eastAsia="SimSun" w:cstheme="minorHAnsi"/>
          <w:sz w:val="22"/>
          <w:szCs w:val="22"/>
          <w:lang w:bidi="ar"/>
        </w:rPr>
        <w:t xml:space="preserve"> preservation of cultural legacy continue to be major challenges</w:t>
      </w:r>
      <w:r w:rsidR="004B43F1" w:rsidRPr="0009024D">
        <w:rPr>
          <w:rFonts w:eastAsia="SimSun" w:cstheme="minorHAnsi"/>
          <w:sz w:val="22"/>
          <w:szCs w:val="22"/>
          <w:lang w:bidi="ar"/>
        </w:rPr>
        <w:t xml:space="preserve"> (Graham et al., 2000; Ashworth et al., 2007)</w:t>
      </w:r>
      <w:r w:rsidRPr="0009024D">
        <w:rPr>
          <w:rFonts w:eastAsia="SimSun" w:cstheme="minorHAnsi"/>
          <w:sz w:val="22"/>
          <w:szCs w:val="22"/>
          <w:lang w:bidi="ar"/>
        </w:rPr>
        <w:t>. A people's collective memories, identity, values, and past experiences are embodied in their tangible and intangible cultural legacy. Particularl</w:t>
      </w:r>
      <w:r w:rsidRPr="0009024D">
        <w:rPr>
          <w:rFonts w:eastAsia="SimSun" w:cstheme="minorHAnsi"/>
          <w:sz w:val="22"/>
          <w:szCs w:val="22"/>
          <w:lang w:bidi="ar"/>
        </w:rPr>
        <w:t>y in areas like the Northern Philippines where several ethnolinguistic groups coexist, cultural heritage is essential to maintaining national identity while affirming local and indigenous customs.</w:t>
      </w:r>
    </w:p>
    <w:p w14:paraId="1A6DAE0E" w14:textId="7D559CE5" w:rsidR="00C73722" w:rsidRPr="0009024D" w:rsidRDefault="00C73722" w:rsidP="004D3A8F">
      <w:pPr>
        <w:ind w:firstLine="420"/>
        <w:jc w:val="both"/>
        <w:rPr>
          <w:rFonts w:eastAsia="SimSun" w:cstheme="minorHAnsi"/>
          <w:sz w:val="22"/>
          <w:szCs w:val="22"/>
          <w:lang w:bidi="ar"/>
        </w:rPr>
      </w:pPr>
      <w:r w:rsidRPr="00C73722">
        <w:rPr>
          <w:rFonts w:eastAsia="SimSun" w:cstheme="minorHAnsi"/>
          <w:sz w:val="22"/>
          <w:szCs w:val="22"/>
          <w:lang w:bidi="ar"/>
        </w:rPr>
        <w:t>Contemporary studies emphasize that heritage education should not merely transmit historical facts but foster informed cultural understanding within formal education systems (</w:t>
      </w:r>
      <w:proofErr w:type="spellStart"/>
      <w:r w:rsidRPr="00C73722">
        <w:rPr>
          <w:rFonts w:eastAsia="SimSun" w:cstheme="minorHAnsi"/>
          <w:sz w:val="22"/>
          <w:szCs w:val="22"/>
          <w:lang w:bidi="ar"/>
        </w:rPr>
        <w:t>Orphanidou</w:t>
      </w:r>
      <w:proofErr w:type="spellEnd"/>
      <w:r w:rsidRPr="00C73722">
        <w:rPr>
          <w:rFonts w:eastAsia="SimSun" w:cstheme="minorHAnsi"/>
          <w:sz w:val="22"/>
          <w:szCs w:val="22"/>
          <w:lang w:bidi="ar"/>
        </w:rPr>
        <w:t xml:space="preserve"> et al., 2024; Valencia Arnica et al., 2023). Integrating cultural heritage into curricula has been linked to sustainable education frameworks and education for sustainable development, highlighting the need to prepare learners who are culturally aware and socially responsible (Leijonhufvud, 2025). Moreover, interdisciplinary and policy-oriented perspectives argue that heritage education must be purpose-driven and systematically embedded in teacher preparation programs to achieve meaningful impact (Immonen, 2024; Li, 2025).</w:t>
      </w:r>
    </w:p>
    <w:p w14:paraId="2DFB16C3" w14:textId="1288AA70" w:rsidR="00F83BE3" w:rsidRPr="0009024D"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The main means of fostering cultural heritage awareness and responsibility is education. Social Studies is speci</w:t>
      </w:r>
      <w:r w:rsidRPr="0009024D">
        <w:rPr>
          <w:rFonts w:eastAsia="SimSun" w:cstheme="minorHAnsi"/>
          <w:sz w:val="22"/>
          <w:szCs w:val="22"/>
          <w:lang w:bidi="ar"/>
        </w:rPr>
        <w:t>fically required to foster historical awareness, cultural identity, civic competency, and social responsibility in the Philippine school system</w:t>
      </w:r>
      <w:r w:rsidR="004B43F1" w:rsidRPr="0009024D">
        <w:rPr>
          <w:rFonts w:eastAsia="SimSun" w:cstheme="minorHAnsi"/>
          <w:sz w:val="22"/>
          <w:szCs w:val="22"/>
          <w:lang w:bidi="ar"/>
        </w:rPr>
        <w:t xml:space="preserve"> (DepEd, 2016)</w:t>
      </w:r>
      <w:r w:rsidRPr="0009024D">
        <w:rPr>
          <w:rFonts w:eastAsia="SimSun" w:cstheme="minorHAnsi"/>
          <w:sz w:val="22"/>
          <w:szCs w:val="22"/>
          <w:lang w:bidi="ar"/>
        </w:rPr>
        <w:t>. Social Studies majors in higher educatio</w:t>
      </w:r>
      <w:r w:rsidR="004B43F1" w:rsidRPr="0009024D">
        <w:rPr>
          <w:rFonts w:eastAsia="SimSun" w:cstheme="minorHAnsi"/>
          <w:sz w:val="22"/>
          <w:szCs w:val="22"/>
          <w:lang w:bidi="ar"/>
        </w:rPr>
        <w:t xml:space="preserve">n </w:t>
      </w:r>
      <w:r w:rsidRPr="0009024D">
        <w:rPr>
          <w:rFonts w:eastAsia="SimSun" w:cstheme="minorHAnsi"/>
          <w:sz w:val="22"/>
          <w:szCs w:val="22"/>
          <w:lang w:bidi="ar"/>
        </w:rPr>
        <w:t>many of whom will go on to become teachers</w:t>
      </w:r>
      <w:r w:rsidR="004B43F1" w:rsidRPr="0009024D">
        <w:rPr>
          <w:rFonts w:eastAsia="SimSun" w:cstheme="minorHAnsi"/>
          <w:sz w:val="22"/>
          <w:szCs w:val="22"/>
          <w:lang w:bidi="ar"/>
        </w:rPr>
        <w:t xml:space="preserve"> </w:t>
      </w:r>
      <w:r w:rsidRPr="0009024D">
        <w:rPr>
          <w:rFonts w:eastAsia="SimSun" w:cstheme="minorHAnsi"/>
          <w:sz w:val="22"/>
          <w:szCs w:val="22"/>
          <w:lang w:bidi="ar"/>
        </w:rPr>
        <w:t>are expected</w:t>
      </w:r>
      <w:r w:rsidRPr="0009024D">
        <w:rPr>
          <w:rFonts w:eastAsia="SimSun" w:cstheme="minorHAnsi"/>
          <w:sz w:val="22"/>
          <w:szCs w:val="22"/>
          <w:lang w:bidi="ar"/>
        </w:rPr>
        <w:t xml:space="preserve"> to have not only </w:t>
      </w:r>
      <w:r w:rsidRPr="0009024D">
        <w:rPr>
          <w:rFonts w:eastAsia="SimSun" w:cstheme="minorHAnsi"/>
          <w:sz w:val="22"/>
          <w:szCs w:val="22"/>
          <w:lang w:bidi="ar"/>
        </w:rPr>
        <w:lastRenderedPageBreak/>
        <w:t>subject-matter expertise but also cultural sensitivity, appreciation, and the pedagogical skills necessary to impart cultural values to students</w:t>
      </w:r>
      <w:r w:rsidR="004B43F1" w:rsidRPr="0009024D">
        <w:rPr>
          <w:rFonts w:eastAsia="SimSun" w:cstheme="minorHAnsi"/>
          <w:sz w:val="22"/>
          <w:szCs w:val="22"/>
          <w:lang w:bidi="ar"/>
        </w:rPr>
        <w:t xml:space="preserve"> (Banks, 2016)</w:t>
      </w:r>
      <w:r w:rsidRPr="0009024D">
        <w:rPr>
          <w:rFonts w:eastAsia="SimSun" w:cstheme="minorHAnsi"/>
          <w:sz w:val="22"/>
          <w:szCs w:val="22"/>
          <w:lang w:bidi="ar"/>
        </w:rPr>
        <w:t>.</w:t>
      </w:r>
      <w:r w:rsidR="00C73722">
        <w:rPr>
          <w:rFonts w:eastAsia="SimSun" w:cstheme="minorHAnsi"/>
          <w:sz w:val="22"/>
          <w:szCs w:val="22"/>
          <w:lang w:bidi="ar"/>
        </w:rPr>
        <w:t xml:space="preserve"> </w:t>
      </w:r>
      <w:r w:rsidR="00C73722" w:rsidRPr="00C73722">
        <w:rPr>
          <w:rFonts w:eastAsia="SimSun" w:cstheme="minorHAnsi"/>
          <w:sz w:val="22"/>
          <w:szCs w:val="22"/>
          <w:lang w:bidi="ar"/>
        </w:rPr>
        <w:t>Empirical research further suggests that incorporating living heritage into history and social science instruction enhances inclusivity, cultural understanding, and learner engagement (</w:t>
      </w:r>
      <w:proofErr w:type="spellStart"/>
      <w:r w:rsidR="00C73722" w:rsidRPr="00C73722">
        <w:rPr>
          <w:rFonts w:eastAsia="SimSun" w:cstheme="minorHAnsi"/>
          <w:sz w:val="22"/>
          <w:szCs w:val="22"/>
          <w:lang w:bidi="ar"/>
        </w:rPr>
        <w:t>Armiyati</w:t>
      </w:r>
      <w:proofErr w:type="spellEnd"/>
      <w:r w:rsidR="00C73722" w:rsidRPr="00C73722">
        <w:rPr>
          <w:rFonts w:eastAsia="SimSun" w:cstheme="minorHAnsi"/>
          <w:sz w:val="22"/>
          <w:szCs w:val="22"/>
          <w:lang w:bidi="ar"/>
        </w:rPr>
        <w:t xml:space="preserve"> et al., 2025). Similarly, studies on teacher education programs highlight the importance of structured heritage-based pedagogical models in preparing pre-service teachers (Valencia Arnica et al., 2023).</w:t>
      </w:r>
    </w:p>
    <w:p w14:paraId="61FCFAE4" w14:textId="58CBCFCB" w:rsidR="00F83BE3" w:rsidRPr="0009024D"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Concerns about how well higher education institutions foster cultural heritage literacy in their students continue despite this obligation. Beyond factual knowledge of customs, locations, and h</w:t>
      </w:r>
      <w:r w:rsidRPr="0009024D">
        <w:rPr>
          <w:rFonts w:eastAsia="SimSun" w:cstheme="minorHAnsi"/>
          <w:sz w:val="22"/>
          <w:szCs w:val="22"/>
          <w:lang w:bidi="ar"/>
        </w:rPr>
        <w:t>istorical accounts, cultural heritage literacy includes critical engagement and interpretive abilities, values of respect and accountability, and activities that promote continuity and preservation</w:t>
      </w:r>
      <w:r w:rsidR="004B43F1" w:rsidRPr="0009024D">
        <w:rPr>
          <w:rFonts w:eastAsia="SimSun" w:cstheme="minorHAnsi"/>
          <w:sz w:val="22"/>
          <w:szCs w:val="22"/>
          <w:lang w:bidi="ar"/>
        </w:rPr>
        <w:t xml:space="preserve"> (Graham et al., 2000; Kurin, 2004).</w:t>
      </w:r>
      <w:r w:rsidRPr="0009024D">
        <w:rPr>
          <w:rFonts w:eastAsia="SimSun" w:cstheme="minorHAnsi"/>
          <w:sz w:val="22"/>
          <w:szCs w:val="22"/>
          <w:lang w:bidi="ar"/>
        </w:rPr>
        <w:t xml:space="preserve"> There are still few em</w:t>
      </w:r>
      <w:r w:rsidRPr="0009024D">
        <w:rPr>
          <w:rFonts w:eastAsia="SimSun" w:cstheme="minorHAnsi"/>
          <w:sz w:val="22"/>
          <w:szCs w:val="22"/>
          <w:lang w:bidi="ar"/>
        </w:rPr>
        <w:t>pirical research on this multifaceted literacy among university students, especially in northern Philippines.</w:t>
      </w:r>
      <w:r w:rsidR="00C73722">
        <w:rPr>
          <w:rFonts w:eastAsia="SimSun" w:cstheme="minorHAnsi"/>
          <w:sz w:val="22"/>
          <w:szCs w:val="22"/>
          <w:lang w:bidi="ar"/>
        </w:rPr>
        <w:t xml:space="preserve"> Furthermore,</w:t>
      </w:r>
      <w:r w:rsidR="00C73722" w:rsidRPr="00C73722">
        <w:rPr>
          <w:rFonts w:eastAsia="SimSun" w:cstheme="minorHAnsi"/>
          <w:sz w:val="22"/>
          <w:szCs w:val="22"/>
          <w:lang w:bidi="ar"/>
        </w:rPr>
        <w:t xml:space="preserve"> international scholarship continues to examine heritage integration and sustainability in education (</w:t>
      </w:r>
      <w:proofErr w:type="spellStart"/>
      <w:r w:rsidR="00C73722" w:rsidRPr="00C73722">
        <w:rPr>
          <w:rFonts w:eastAsia="SimSun" w:cstheme="minorHAnsi"/>
          <w:sz w:val="22"/>
          <w:szCs w:val="22"/>
          <w:lang w:bidi="ar"/>
        </w:rPr>
        <w:t>Orphanidou</w:t>
      </w:r>
      <w:proofErr w:type="spellEnd"/>
      <w:r w:rsidR="00C73722" w:rsidRPr="00C73722">
        <w:rPr>
          <w:rFonts w:eastAsia="SimSun" w:cstheme="minorHAnsi"/>
          <w:sz w:val="22"/>
          <w:szCs w:val="22"/>
          <w:lang w:bidi="ar"/>
        </w:rPr>
        <w:t xml:space="preserve"> et al., 2024; Leijonhufvud, 2025), localized evidence from regional state universities in the Philippines is still scarce.</w:t>
      </w:r>
    </w:p>
    <w:p w14:paraId="5BBD0A5E" w14:textId="5003DE2C" w:rsidR="005E1308"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 xml:space="preserve">In order to close this gap, this study looked at the cultural heritage literacy of University of Northern Philippines tertiary Social Studies majors. The </w:t>
      </w:r>
      <w:r w:rsidRPr="0009024D">
        <w:rPr>
          <w:rFonts w:eastAsia="SimSun" w:cstheme="minorHAnsi"/>
          <w:sz w:val="22"/>
          <w:szCs w:val="22"/>
          <w:lang w:bidi="ar"/>
        </w:rPr>
        <w:t>study intends to provide evidence-based insights that can guide curriculum creation, instructional tactics, and institutional policies in higher education by evaluating their levels of cultural heritage-related knowledge, skills, values, and behaviors.</w:t>
      </w:r>
    </w:p>
    <w:p w14:paraId="5E0D8895" w14:textId="1DEF900A" w:rsidR="00F83BE3" w:rsidRDefault="005E1308" w:rsidP="005E1308">
      <w:pPr>
        <w:ind w:firstLine="420"/>
        <w:jc w:val="both"/>
        <w:rPr>
          <w:rFonts w:cstheme="minorHAnsi"/>
          <w:sz w:val="22"/>
          <w:szCs w:val="22"/>
        </w:rPr>
      </w:pPr>
      <w:r>
        <w:rPr>
          <w:rFonts w:eastAsia="SimSun" w:cstheme="minorHAnsi"/>
          <w:sz w:val="22"/>
          <w:szCs w:val="22"/>
          <w:lang w:bidi="ar"/>
        </w:rPr>
        <w:t xml:space="preserve">With this goal, the study sought to </w:t>
      </w:r>
      <w:r w:rsidRPr="0009024D">
        <w:rPr>
          <w:rFonts w:cstheme="minorHAnsi"/>
          <w:sz w:val="22"/>
          <w:szCs w:val="22"/>
        </w:rPr>
        <w:t>determine the level of cultural heritage literacy of tertiary Social Studies majors in terms of knowledge, skills, values, and practice</w:t>
      </w:r>
      <w:r>
        <w:rPr>
          <w:rFonts w:cstheme="minorHAnsi"/>
          <w:sz w:val="22"/>
          <w:szCs w:val="22"/>
        </w:rPr>
        <w:t xml:space="preserve">s; </w:t>
      </w:r>
      <w:r w:rsidRPr="0009024D">
        <w:rPr>
          <w:rFonts w:cstheme="minorHAnsi"/>
          <w:sz w:val="22"/>
          <w:szCs w:val="22"/>
        </w:rPr>
        <w:t xml:space="preserve">identify </w:t>
      </w:r>
      <w:r w:rsidR="006A7ABB">
        <w:rPr>
          <w:rFonts w:cstheme="minorHAnsi"/>
          <w:sz w:val="22"/>
          <w:szCs w:val="22"/>
        </w:rPr>
        <w:t>the challenges they encounter in learning heritage literacy</w:t>
      </w:r>
      <w:r w:rsidRPr="0009024D">
        <w:rPr>
          <w:rFonts w:cstheme="minorHAnsi"/>
          <w:sz w:val="22"/>
          <w:szCs w:val="22"/>
        </w:rPr>
        <w:t>; and</w:t>
      </w:r>
      <w:r>
        <w:rPr>
          <w:rFonts w:cstheme="minorHAnsi"/>
          <w:sz w:val="22"/>
          <w:szCs w:val="22"/>
        </w:rPr>
        <w:t xml:space="preserve"> </w:t>
      </w:r>
      <w:r w:rsidRPr="0009024D">
        <w:rPr>
          <w:rFonts w:cstheme="minorHAnsi"/>
          <w:sz w:val="22"/>
          <w:szCs w:val="22"/>
        </w:rPr>
        <w:t>propos</w:t>
      </w:r>
      <w:r w:rsidR="006A7ABB">
        <w:rPr>
          <w:rFonts w:cstheme="minorHAnsi"/>
          <w:sz w:val="22"/>
          <w:szCs w:val="22"/>
        </w:rPr>
        <w:t xml:space="preserve">al </w:t>
      </w:r>
      <w:r w:rsidRPr="0009024D">
        <w:rPr>
          <w:rFonts w:cstheme="minorHAnsi"/>
          <w:sz w:val="22"/>
          <w:szCs w:val="22"/>
        </w:rPr>
        <w:t>for strengthening cultural heritage education in teacher education programs.</w:t>
      </w:r>
      <w:r w:rsidR="00C73722">
        <w:rPr>
          <w:rFonts w:cstheme="minorHAnsi"/>
          <w:sz w:val="22"/>
          <w:szCs w:val="22"/>
        </w:rPr>
        <w:t xml:space="preserve"> </w:t>
      </w:r>
    </w:p>
    <w:p w14:paraId="777F8D57" w14:textId="77777777" w:rsidR="005E1308" w:rsidRPr="0009024D" w:rsidRDefault="005E1308" w:rsidP="005E1308">
      <w:pPr>
        <w:ind w:firstLine="420"/>
        <w:jc w:val="both"/>
        <w:rPr>
          <w:rFonts w:cstheme="minorHAnsi"/>
          <w:sz w:val="22"/>
          <w:szCs w:val="22"/>
        </w:rPr>
      </w:pPr>
    </w:p>
    <w:p w14:paraId="497569BE" w14:textId="77777777" w:rsidR="00F83BE3" w:rsidRPr="0009024D" w:rsidRDefault="00E00395" w:rsidP="0009024D">
      <w:pPr>
        <w:jc w:val="both"/>
        <w:rPr>
          <w:rFonts w:cstheme="minorHAnsi"/>
          <w:b/>
          <w:bCs/>
          <w:sz w:val="22"/>
          <w:szCs w:val="22"/>
        </w:rPr>
      </w:pPr>
      <w:r w:rsidRPr="0009024D">
        <w:rPr>
          <w:rFonts w:cstheme="minorHAnsi"/>
          <w:b/>
          <w:bCs/>
          <w:sz w:val="22"/>
          <w:szCs w:val="22"/>
        </w:rPr>
        <w:t>Methodology</w:t>
      </w:r>
    </w:p>
    <w:p w14:paraId="4C050387" w14:textId="3A32ECBC" w:rsidR="005E1308" w:rsidRDefault="00E00395"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Research Design</w:t>
      </w:r>
      <w:r w:rsidR="005E1308">
        <w:rPr>
          <w:rFonts w:asciiTheme="minorHAnsi" w:hAnsiTheme="minorHAnsi" w:cstheme="minorHAnsi" w:hint="default"/>
          <w:sz w:val="22"/>
          <w:szCs w:val="22"/>
        </w:rPr>
        <w:t xml:space="preserve">. </w:t>
      </w:r>
      <w:r w:rsidR="005E1308">
        <w:rPr>
          <w:rFonts w:asciiTheme="minorHAnsi" w:hAnsiTheme="minorHAnsi" w:cstheme="minorHAnsi" w:hint="default"/>
          <w:b w:val="0"/>
          <w:bCs w:val="0"/>
          <w:sz w:val="22"/>
          <w:szCs w:val="22"/>
          <w:lang w:bidi="ar"/>
        </w:rPr>
        <w:t>D</w:t>
      </w:r>
      <w:r w:rsidRPr="005E1308">
        <w:rPr>
          <w:rFonts w:asciiTheme="minorHAnsi" w:hAnsiTheme="minorHAnsi" w:cstheme="minorHAnsi" w:hint="default"/>
          <w:b w:val="0"/>
          <w:bCs w:val="0"/>
          <w:sz w:val="22"/>
          <w:szCs w:val="22"/>
          <w:lang w:bidi="ar"/>
        </w:rPr>
        <w:t>escriptive</w:t>
      </w:r>
      <w:r w:rsidR="002814CF">
        <w:rPr>
          <w:rFonts w:asciiTheme="minorHAnsi" w:hAnsiTheme="minorHAnsi" w:cstheme="minorHAnsi" w:hint="default"/>
          <w:b w:val="0"/>
          <w:bCs w:val="0"/>
          <w:sz w:val="22"/>
          <w:szCs w:val="22"/>
          <w:lang w:bidi="ar"/>
        </w:rPr>
        <w:t>-comparative</w:t>
      </w:r>
      <w:r w:rsidRPr="005E1308">
        <w:rPr>
          <w:rFonts w:asciiTheme="minorHAnsi" w:hAnsiTheme="minorHAnsi" w:cstheme="minorHAnsi" w:hint="default"/>
          <w:b w:val="0"/>
          <w:bCs w:val="0"/>
          <w:sz w:val="22"/>
          <w:szCs w:val="22"/>
          <w:lang w:bidi="ar"/>
        </w:rPr>
        <w:t xml:space="preserve"> research design was used in the study</w:t>
      </w:r>
      <w:r w:rsidR="005E1308">
        <w:rPr>
          <w:rFonts w:asciiTheme="minorHAnsi" w:hAnsiTheme="minorHAnsi" w:cstheme="minorHAnsi" w:hint="default"/>
          <w:b w:val="0"/>
          <w:bCs w:val="0"/>
          <w:sz w:val="22"/>
          <w:szCs w:val="22"/>
          <w:lang w:bidi="ar"/>
        </w:rPr>
        <w:t xml:space="preserve"> as</w:t>
      </w:r>
      <w:r w:rsidRPr="005E1308">
        <w:rPr>
          <w:rFonts w:asciiTheme="minorHAnsi" w:hAnsiTheme="minorHAnsi" w:cstheme="minorHAnsi" w:hint="default"/>
          <w:b w:val="0"/>
          <w:bCs w:val="0"/>
          <w:sz w:val="22"/>
          <w:szCs w:val="22"/>
          <w:lang w:bidi="ar"/>
        </w:rPr>
        <w:t xml:space="preserve"> it </w:t>
      </w:r>
      <w:r w:rsidR="005E1308">
        <w:rPr>
          <w:rFonts w:asciiTheme="minorHAnsi" w:hAnsiTheme="minorHAnsi" w:cstheme="minorHAnsi" w:hint="default"/>
          <w:b w:val="0"/>
          <w:bCs w:val="0"/>
          <w:sz w:val="22"/>
          <w:szCs w:val="22"/>
          <w:lang w:bidi="ar"/>
        </w:rPr>
        <w:t xml:space="preserve">intended the </w:t>
      </w:r>
      <w:r w:rsidRPr="005E1308">
        <w:rPr>
          <w:rFonts w:asciiTheme="minorHAnsi" w:hAnsiTheme="minorHAnsi" w:cstheme="minorHAnsi" w:hint="default"/>
          <w:b w:val="0"/>
          <w:bCs w:val="0"/>
          <w:sz w:val="22"/>
          <w:szCs w:val="22"/>
          <w:lang w:bidi="ar"/>
        </w:rPr>
        <w:t>possib</w:t>
      </w:r>
      <w:r w:rsidR="005E1308">
        <w:rPr>
          <w:rFonts w:asciiTheme="minorHAnsi" w:hAnsiTheme="minorHAnsi" w:cstheme="minorHAnsi" w:hint="default"/>
          <w:b w:val="0"/>
          <w:bCs w:val="0"/>
          <w:sz w:val="22"/>
          <w:szCs w:val="22"/>
          <w:lang w:bidi="ar"/>
        </w:rPr>
        <w:t>ility</w:t>
      </w:r>
      <w:r w:rsidRPr="005E1308">
        <w:rPr>
          <w:rFonts w:asciiTheme="minorHAnsi" w:hAnsiTheme="minorHAnsi" w:cstheme="minorHAnsi" w:hint="default"/>
          <w:b w:val="0"/>
          <w:bCs w:val="0"/>
          <w:sz w:val="22"/>
          <w:szCs w:val="22"/>
          <w:lang w:bidi="ar"/>
        </w:rPr>
        <w:t xml:space="preserve"> to test and describe</w:t>
      </w:r>
      <w:r w:rsidR="002814CF">
        <w:rPr>
          <w:rFonts w:asciiTheme="minorHAnsi" w:hAnsiTheme="minorHAnsi" w:cstheme="minorHAnsi" w:hint="default"/>
          <w:b w:val="0"/>
          <w:bCs w:val="0"/>
          <w:sz w:val="22"/>
          <w:szCs w:val="22"/>
          <w:lang w:bidi="ar"/>
        </w:rPr>
        <w:t xml:space="preserve"> and compare</w:t>
      </w:r>
      <w:r w:rsidRPr="005E1308">
        <w:rPr>
          <w:rFonts w:asciiTheme="minorHAnsi" w:hAnsiTheme="minorHAnsi" w:cstheme="minorHAnsi" w:hint="default"/>
          <w:b w:val="0"/>
          <w:bCs w:val="0"/>
          <w:sz w:val="22"/>
          <w:szCs w:val="22"/>
          <w:lang w:bidi="ar"/>
        </w:rPr>
        <w:t xml:space="preserve"> </w:t>
      </w:r>
      <w:r w:rsidR="005E1308">
        <w:rPr>
          <w:rFonts w:asciiTheme="minorHAnsi" w:hAnsiTheme="minorHAnsi" w:cstheme="minorHAnsi" w:hint="default"/>
          <w:b w:val="0"/>
          <w:bCs w:val="0"/>
          <w:sz w:val="22"/>
          <w:szCs w:val="22"/>
          <w:lang w:bidi="ar"/>
        </w:rPr>
        <w:t xml:space="preserve">the </w:t>
      </w:r>
      <w:r w:rsidRPr="005E1308">
        <w:rPr>
          <w:rFonts w:asciiTheme="minorHAnsi" w:hAnsiTheme="minorHAnsi" w:cstheme="minorHAnsi" w:hint="default"/>
          <w:b w:val="0"/>
          <w:bCs w:val="0"/>
          <w:sz w:val="22"/>
          <w:szCs w:val="22"/>
          <w:lang w:bidi="ar"/>
        </w:rPr>
        <w:t>respondents' level</w:t>
      </w:r>
      <w:r w:rsidRPr="005E1308">
        <w:rPr>
          <w:rFonts w:asciiTheme="minorHAnsi" w:hAnsiTheme="minorHAnsi" w:cstheme="minorHAnsi" w:hint="default"/>
          <w:b w:val="0"/>
          <w:bCs w:val="0"/>
          <w:sz w:val="22"/>
          <w:szCs w:val="22"/>
          <w:lang w:bidi="ar"/>
        </w:rPr>
        <w:t>s of cultural heritage literacy in a methodical manner.</w:t>
      </w:r>
    </w:p>
    <w:p w14:paraId="7130086E" w14:textId="6D8C79D7" w:rsidR="00F83BE3" w:rsidRPr="0009024D" w:rsidRDefault="00E00395"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Respondents of the Study</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 xml:space="preserve">Tertiary Social Studies majors at the University of Northern Philippines' College of Teacher Education </w:t>
      </w:r>
      <w:r w:rsidR="005E1308">
        <w:rPr>
          <w:rFonts w:asciiTheme="minorHAnsi" w:hAnsiTheme="minorHAnsi" w:cstheme="minorHAnsi" w:hint="default"/>
          <w:b w:val="0"/>
          <w:bCs w:val="0"/>
          <w:sz w:val="22"/>
          <w:szCs w:val="22"/>
          <w:lang w:bidi="ar"/>
        </w:rPr>
        <w:t xml:space="preserve">were </w:t>
      </w:r>
      <w:r w:rsidRPr="005E1308">
        <w:rPr>
          <w:rFonts w:asciiTheme="minorHAnsi" w:hAnsiTheme="minorHAnsi" w:cstheme="minorHAnsi" w:hint="default"/>
          <w:b w:val="0"/>
          <w:bCs w:val="0"/>
          <w:sz w:val="22"/>
          <w:szCs w:val="22"/>
          <w:lang w:bidi="ar"/>
        </w:rPr>
        <w:t>the respondents</w:t>
      </w:r>
      <w:r w:rsidR="005E1308">
        <w:rPr>
          <w:rFonts w:asciiTheme="minorHAnsi" w:hAnsiTheme="minorHAnsi" w:cstheme="minorHAnsi" w:hint="default"/>
          <w:b w:val="0"/>
          <w:bCs w:val="0"/>
          <w:sz w:val="22"/>
          <w:szCs w:val="22"/>
          <w:lang w:bidi="ar"/>
        </w:rPr>
        <w:t xml:space="preserve"> of this study</w:t>
      </w:r>
      <w:r w:rsidRPr="005E1308">
        <w:rPr>
          <w:rFonts w:asciiTheme="minorHAnsi" w:hAnsiTheme="minorHAnsi" w:cstheme="minorHAnsi" w:hint="default"/>
          <w:b w:val="0"/>
          <w:bCs w:val="0"/>
          <w:sz w:val="22"/>
          <w:szCs w:val="22"/>
          <w:lang w:bidi="ar"/>
        </w:rPr>
        <w:t>. Stratified random sampling was used</w:t>
      </w:r>
      <w:r w:rsidRPr="005E1308">
        <w:rPr>
          <w:rFonts w:asciiTheme="minorHAnsi" w:hAnsiTheme="minorHAnsi" w:cstheme="minorHAnsi" w:hint="default"/>
          <w:b w:val="0"/>
          <w:bCs w:val="0"/>
          <w:sz w:val="22"/>
          <w:szCs w:val="22"/>
          <w:lang w:bidi="ar"/>
        </w:rPr>
        <w:t xml:space="preserve"> to choose participants in order to guarantee participation from all year levels. Respondents have to be formally enrolled as Social Studies majors at the time of data collection in order to meet the inclusion criteria.</w:t>
      </w:r>
    </w:p>
    <w:p w14:paraId="7DB1DD0B" w14:textId="77777777" w:rsidR="00A048C1" w:rsidRDefault="00E00395" w:rsidP="005E1308">
      <w:pPr>
        <w:pStyle w:val="Heading3"/>
        <w:ind w:firstLine="420"/>
        <w:jc w:val="both"/>
        <w:rPr>
          <w:rFonts w:asciiTheme="minorHAnsi" w:hAnsiTheme="minorHAnsi" w:cstheme="minorHAnsi" w:hint="default"/>
          <w:b w:val="0"/>
          <w:bCs w:val="0"/>
          <w:sz w:val="22"/>
          <w:szCs w:val="22"/>
          <w:lang w:bidi="ar"/>
        </w:rPr>
      </w:pPr>
      <w:r w:rsidRPr="0009024D">
        <w:rPr>
          <w:rFonts w:asciiTheme="minorHAnsi" w:hAnsiTheme="minorHAnsi" w:cstheme="minorHAnsi" w:hint="default"/>
          <w:sz w:val="22"/>
          <w:szCs w:val="22"/>
        </w:rPr>
        <w:t>Research Instrument</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A Cultural Heri</w:t>
      </w:r>
      <w:r w:rsidRPr="005E1308">
        <w:rPr>
          <w:rFonts w:asciiTheme="minorHAnsi" w:hAnsiTheme="minorHAnsi" w:cstheme="minorHAnsi" w:hint="default"/>
          <w:b w:val="0"/>
          <w:bCs w:val="0"/>
          <w:sz w:val="22"/>
          <w:szCs w:val="22"/>
          <w:lang w:bidi="ar"/>
        </w:rPr>
        <w:t>tage Literacy Questionnaire centered on the knowledge component of cultural heritage literacy was used to gather data.</w:t>
      </w:r>
      <w:r w:rsidR="005E1308">
        <w:rPr>
          <w:rFonts w:asciiTheme="minorHAnsi" w:hAnsiTheme="minorHAnsi" w:cstheme="minorHAnsi" w:hint="default"/>
          <w:b w:val="0"/>
          <w:bCs w:val="0"/>
          <w:sz w:val="22"/>
          <w:szCs w:val="22"/>
          <w:lang w:bidi="ar"/>
        </w:rPr>
        <w:t xml:space="preserve"> </w:t>
      </w:r>
      <w:r w:rsidRPr="005E1308">
        <w:rPr>
          <w:rFonts w:asciiTheme="minorHAnsi" w:hAnsiTheme="minorHAnsi" w:cstheme="minorHAnsi" w:hint="default"/>
          <w:b w:val="0"/>
          <w:bCs w:val="0"/>
          <w:sz w:val="22"/>
          <w:szCs w:val="22"/>
          <w:lang w:bidi="ar"/>
        </w:rPr>
        <w:t xml:space="preserve">Twenty indicators make up the questionnaire, which is divided into four domains: (A) Intangible Heritage (Living Traditions and Culinary </w:t>
      </w:r>
      <w:r w:rsidRPr="005E1308">
        <w:rPr>
          <w:rFonts w:asciiTheme="minorHAnsi" w:hAnsiTheme="minorHAnsi" w:cstheme="minorHAnsi" w:hint="default"/>
          <w:b w:val="0"/>
          <w:bCs w:val="0"/>
          <w:sz w:val="22"/>
          <w:szCs w:val="22"/>
          <w:lang w:bidi="ar"/>
        </w:rPr>
        <w:t>Arts); (B) Tangible Heritage (Built Environment); (C) Heritage Laws, Ethics, and Conservation; and (D) Heritage Pedagogy and Localized Instruction. A 4-point Likert scale is used to score each indicator: 4 represents high knowledge, 3 represents moderate k</w:t>
      </w:r>
      <w:r w:rsidRPr="005E1308">
        <w:rPr>
          <w:rFonts w:asciiTheme="minorHAnsi" w:hAnsiTheme="minorHAnsi" w:cstheme="minorHAnsi" w:hint="default"/>
          <w:b w:val="0"/>
          <w:bCs w:val="0"/>
          <w:sz w:val="22"/>
          <w:szCs w:val="22"/>
          <w:lang w:bidi="ar"/>
        </w:rPr>
        <w:t>nowledge, 2 represents low knowledge, and 1 represents very low knowledge.</w:t>
      </w:r>
      <w:r w:rsidR="00E202C5" w:rsidRPr="005E1308">
        <w:rPr>
          <w:rFonts w:asciiTheme="minorHAnsi" w:hAnsiTheme="minorHAnsi" w:cstheme="minorHAnsi" w:hint="default"/>
          <w:b w:val="0"/>
          <w:bCs w:val="0"/>
          <w:sz w:val="22"/>
          <w:szCs w:val="22"/>
          <w:lang w:bidi="ar"/>
        </w:rPr>
        <w:t xml:space="preserve"> </w:t>
      </w:r>
    </w:p>
    <w:p w14:paraId="7CC3CCC3" w14:textId="77777777" w:rsidR="00A048C1" w:rsidRDefault="00A048C1" w:rsidP="005E1308">
      <w:pPr>
        <w:pStyle w:val="Heading3"/>
        <w:ind w:firstLine="420"/>
        <w:jc w:val="both"/>
        <w:rPr>
          <w:rFonts w:asciiTheme="minorHAnsi" w:hAnsiTheme="minorHAnsi" w:cstheme="minorHAnsi" w:hint="default"/>
          <w:b w:val="0"/>
          <w:bCs w:val="0"/>
          <w:sz w:val="22"/>
          <w:szCs w:val="22"/>
          <w:lang w:val="en-IN" w:bidi="ar"/>
        </w:rPr>
      </w:pPr>
    </w:p>
    <w:p w14:paraId="32332E7F" w14:textId="7E9342FB" w:rsidR="00F83BE3" w:rsidRPr="005E1308" w:rsidRDefault="00A048C1" w:rsidP="005E1308">
      <w:pPr>
        <w:pStyle w:val="Heading3"/>
        <w:ind w:firstLine="420"/>
        <w:jc w:val="both"/>
        <w:rPr>
          <w:rFonts w:asciiTheme="minorHAnsi" w:hAnsiTheme="minorHAnsi" w:cstheme="minorHAnsi" w:hint="default"/>
          <w:b w:val="0"/>
          <w:bCs w:val="0"/>
          <w:sz w:val="22"/>
          <w:szCs w:val="22"/>
        </w:rPr>
      </w:pPr>
      <w:r>
        <w:rPr>
          <w:rFonts w:asciiTheme="minorHAnsi" w:hAnsiTheme="minorHAnsi" w:cstheme="minorHAnsi" w:hint="default"/>
          <w:b w:val="0"/>
          <w:bCs w:val="0"/>
          <w:sz w:val="22"/>
          <w:szCs w:val="22"/>
          <w:lang w:val="en-IN" w:bidi="ar"/>
        </w:rPr>
        <w:t>T</w:t>
      </w:r>
      <w:r w:rsidR="00E202C5" w:rsidRPr="005E1308">
        <w:rPr>
          <w:rFonts w:asciiTheme="minorHAnsi" w:hAnsiTheme="minorHAnsi" w:cstheme="minorHAnsi" w:hint="default"/>
          <w:b w:val="0"/>
          <w:bCs w:val="0"/>
          <w:sz w:val="22"/>
          <w:szCs w:val="22"/>
          <w:lang w:val="en-IN" w:bidi="ar"/>
        </w:rPr>
        <w:t xml:space="preserve">able </w:t>
      </w:r>
      <w:r>
        <w:rPr>
          <w:rFonts w:asciiTheme="minorHAnsi" w:hAnsiTheme="minorHAnsi" w:cstheme="minorHAnsi" w:hint="default"/>
          <w:b w:val="0"/>
          <w:bCs w:val="0"/>
          <w:sz w:val="22"/>
          <w:szCs w:val="22"/>
          <w:lang w:val="en-IN" w:bidi="ar"/>
        </w:rPr>
        <w:t xml:space="preserve">1: </w:t>
      </w:r>
      <w:r w:rsidRPr="005E1308">
        <w:rPr>
          <w:rFonts w:asciiTheme="minorHAnsi" w:hAnsiTheme="minorHAnsi" w:cstheme="minorHAnsi" w:hint="default"/>
          <w:b w:val="0"/>
          <w:bCs w:val="0"/>
          <w:sz w:val="22"/>
          <w:szCs w:val="22"/>
          <w:lang w:val="en-IN" w:bidi="ar"/>
        </w:rPr>
        <w:t>The computed means were interpreted using the range interval of point scores</w:t>
      </w:r>
    </w:p>
    <w:tbl>
      <w:tblPr>
        <w:tblW w:w="7920" w:type="dxa"/>
        <w:jc w:val="center"/>
        <w:tblLook w:val="04A0" w:firstRow="1" w:lastRow="0" w:firstColumn="1" w:lastColumn="0" w:noHBand="0" w:noVBand="1"/>
      </w:tblPr>
      <w:tblGrid>
        <w:gridCol w:w="3960"/>
        <w:gridCol w:w="3960"/>
      </w:tblGrid>
      <w:tr w:rsidR="00E202C5" w:rsidRPr="0009024D" w14:paraId="02C81E09" w14:textId="77777777" w:rsidTr="005E1308">
        <w:trPr>
          <w:trHeight w:val="405"/>
          <w:jc w:val="center"/>
        </w:trPr>
        <w:tc>
          <w:tcPr>
            <w:tcW w:w="3960" w:type="dxa"/>
            <w:tcBorders>
              <w:top w:val="single" w:sz="8" w:space="0" w:color="auto"/>
              <w:left w:val="single" w:sz="8" w:space="0" w:color="auto"/>
              <w:bottom w:val="single" w:sz="8" w:space="0" w:color="auto"/>
              <w:right w:val="single" w:sz="8" w:space="0" w:color="auto"/>
            </w:tcBorders>
            <w:hideMark/>
          </w:tcPr>
          <w:p w14:paraId="6D012B32" w14:textId="76A5FF69" w:rsidR="00E202C5" w:rsidRPr="0009024D" w:rsidRDefault="00E202C5" w:rsidP="005E1308">
            <w:pPr>
              <w:pStyle w:val="NoSpacing"/>
              <w:jc w:val="center"/>
            </w:pPr>
            <w:r w:rsidRPr="0009024D">
              <w:lastRenderedPageBreak/>
              <w:t>RANGE OF MEANS</w:t>
            </w:r>
          </w:p>
        </w:tc>
        <w:tc>
          <w:tcPr>
            <w:tcW w:w="3960" w:type="dxa"/>
            <w:tcBorders>
              <w:top w:val="single" w:sz="8" w:space="0" w:color="auto"/>
              <w:left w:val="nil"/>
              <w:bottom w:val="single" w:sz="8" w:space="0" w:color="auto"/>
              <w:right w:val="single" w:sz="8" w:space="0" w:color="auto"/>
            </w:tcBorders>
            <w:hideMark/>
          </w:tcPr>
          <w:p w14:paraId="60E315CC" w14:textId="77777777" w:rsidR="00E202C5" w:rsidRPr="0009024D" w:rsidRDefault="00E202C5" w:rsidP="005E1308">
            <w:pPr>
              <w:pStyle w:val="NoSpacing"/>
              <w:jc w:val="center"/>
            </w:pPr>
            <w:r w:rsidRPr="0009024D">
              <w:t>Descriptive Interpretation</w:t>
            </w:r>
          </w:p>
        </w:tc>
      </w:tr>
      <w:tr w:rsidR="00E202C5" w:rsidRPr="0009024D" w14:paraId="2E73D995"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5234FA76" w14:textId="37FCDAF6" w:rsidR="002814CF" w:rsidRPr="0009024D" w:rsidRDefault="00E202C5" w:rsidP="002814CF">
            <w:pPr>
              <w:pStyle w:val="NoSpacing"/>
              <w:jc w:val="center"/>
            </w:pPr>
            <w:r w:rsidRPr="0009024D">
              <w:t>4</w:t>
            </w:r>
            <w:r w:rsidR="005E1308">
              <w:t>.00</w:t>
            </w:r>
          </w:p>
        </w:tc>
        <w:tc>
          <w:tcPr>
            <w:tcW w:w="3960" w:type="dxa"/>
            <w:tcBorders>
              <w:top w:val="single" w:sz="8" w:space="0" w:color="auto"/>
              <w:left w:val="nil"/>
              <w:bottom w:val="single" w:sz="8" w:space="0" w:color="auto"/>
              <w:right w:val="single" w:sz="8" w:space="0" w:color="auto"/>
            </w:tcBorders>
            <w:hideMark/>
          </w:tcPr>
          <w:p w14:paraId="55796DBD" w14:textId="77777777" w:rsidR="00E202C5" w:rsidRPr="0009024D" w:rsidRDefault="00E202C5" w:rsidP="005E1308">
            <w:pPr>
              <w:pStyle w:val="NoSpacing"/>
              <w:jc w:val="center"/>
            </w:pPr>
            <w:r w:rsidRPr="0009024D">
              <w:t>High Knowledge</w:t>
            </w:r>
          </w:p>
        </w:tc>
      </w:tr>
      <w:tr w:rsidR="00E202C5" w:rsidRPr="0009024D" w14:paraId="6D200D70"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D6EEE84" w14:textId="77777777" w:rsidR="00E202C5" w:rsidRPr="0009024D" w:rsidRDefault="00E202C5" w:rsidP="005E1308">
            <w:pPr>
              <w:pStyle w:val="NoSpacing"/>
              <w:jc w:val="center"/>
            </w:pPr>
            <w:r w:rsidRPr="0009024D">
              <w:t>3.00-3.99</w:t>
            </w:r>
          </w:p>
        </w:tc>
        <w:tc>
          <w:tcPr>
            <w:tcW w:w="3960" w:type="dxa"/>
            <w:tcBorders>
              <w:top w:val="single" w:sz="8" w:space="0" w:color="auto"/>
              <w:left w:val="nil"/>
              <w:bottom w:val="single" w:sz="8" w:space="0" w:color="auto"/>
              <w:right w:val="single" w:sz="8" w:space="0" w:color="auto"/>
            </w:tcBorders>
            <w:hideMark/>
          </w:tcPr>
          <w:p w14:paraId="13C0F913" w14:textId="77777777" w:rsidR="00E202C5" w:rsidRPr="0009024D" w:rsidRDefault="00E202C5" w:rsidP="005E1308">
            <w:pPr>
              <w:pStyle w:val="NoSpacing"/>
              <w:jc w:val="center"/>
            </w:pPr>
            <w:r w:rsidRPr="0009024D">
              <w:t>Moderate Knowledge</w:t>
            </w:r>
          </w:p>
        </w:tc>
      </w:tr>
      <w:tr w:rsidR="00E202C5" w:rsidRPr="0009024D" w14:paraId="3AD55B04"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01B08318" w14:textId="77777777" w:rsidR="00E202C5" w:rsidRPr="0009024D" w:rsidRDefault="00E202C5" w:rsidP="005E1308">
            <w:pPr>
              <w:pStyle w:val="NoSpacing"/>
              <w:jc w:val="center"/>
            </w:pPr>
            <w:r w:rsidRPr="0009024D">
              <w:t>2.00-2.99</w:t>
            </w:r>
          </w:p>
        </w:tc>
        <w:tc>
          <w:tcPr>
            <w:tcW w:w="3960" w:type="dxa"/>
            <w:tcBorders>
              <w:top w:val="single" w:sz="8" w:space="0" w:color="auto"/>
              <w:left w:val="nil"/>
              <w:bottom w:val="single" w:sz="8" w:space="0" w:color="auto"/>
              <w:right w:val="single" w:sz="8" w:space="0" w:color="auto"/>
            </w:tcBorders>
            <w:hideMark/>
          </w:tcPr>
          <w:p w14:paraId="6BA1D781" w14:textId="77777777" w:rsidR="00E202C5" w:rsidRPr="0009024D" w:rsidRDefault="00E202C5" w:rsidP="005E1308">
            <w:pPr>
              <w:pStyle w:val="NoSpacing"/>
              <w:jc w:val="center"/>
            </w:pPr>
            <w:r w:rsidRPr="0009024D">
              <w:t>Low Knowledge</w:t>
            </w:r>
          </w:p>
        </w:tc>
      </w:tr>
      <w:tr w:rsidR="00E202C5" w:rsidRPr="0009024D" w14:paraId="73DC1147"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6116945" w14:textId="77777777" w:rsidR="00E202C5" w:rsidRPr="0009024D" w:rsidRDefault="00E202C5" w:rsidP="005E1308">
            <w:pPr>
              <w:pStyle w:val="NoSpacing"/>
              <w:jc w:val="center"/>
            </w:pPr>
            <w:r w:rsidRPr="0009024D">
              <w:t>1.00-1.99</w:t>
            </w:r>
          </w:p>
        </w:tc>
        <w:tc>
          <w:tcPr>
            <w:tcW w:w="3960" w:type="dxa"/>
            <w:tcBorders>
              <w:top w:val="single" w:sz="8" w:space="0" w:color="auto"/>
              <w:left w:val="nil"/>
              <w:bottom w:val="single" w:sz="8" w:space="0" w:color="auto"/>
              <w:right w:val="single" w:sz="8" w:space="0" w:color="auto"/>
            </w:tcBorders>
            <w:hideMark/>
          </w:tcPr>
          <w:p w14:paraId="0500341E" w14:textId="77777777" w:rsidR="00E202C5" w:rsidRPr="0009024D" w:rsidRDefault="00E202C5" w:rsidP="005E1308">
            <w:pPr>
              <w:pStyle w:val="NoSpacing"/>
              <w:jc w:val="center"/>
            </w:pPr>
            <w:r w:rsidRPr="0009024D">
              <w:t>Very Low Knowledge</w:t>
            </w:r>
          </w:p>
        </w:tc>
      </w:tr>
    </w:tbl>
    <w:p w14:paraId="4A654531" w14:textId="77777777" w:rsidR="005E1308" w:rsidRDefault="00E00395"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b w:val="0"/>
          <w:bCs w:val="0"/>
          <w:sz w:val="22"/>
          <w:szCs w:val="22"/>
        </w:rPr>
        <w:t xml:space="preserve">Expert review by </w:t>
      </w:r>
      <w:r w:rsidR="005E1308">
        <w:rPr>
          <w:rFonts w:asciiTheme="minorHAnsi" w:hAnsiTheme="minorHAnsi" w:cstheme="minorHAnsi" w:hint="default"/>
          <w:b w:val="0"/>
          <w:bCs w:val="0"/>
          <w:sz w:val="22"/>
          <w:szCs w:val="22"/>
        </w:rPr>
        <w:t>a select panel of validators</w:t>
      </w:r>
      <w:r w:rsidRPr="0009024D">
        <w:rPr>
          <w:rFonts w:asciiTheme="minorHAnsi" w:hAnsiTheme="minorHAnsi" w:cstheme="minorHAnsi" w:hint="default"/>
          <w:b w:val="0"/>
          <w:bCs w:val="0"/>
          <w:sz w:val="22"/>
          <w:szCs w:val="22"/>
        </w:rPr>
        <w:t xml:space="preserve"> in cultural heritage studies and social studies education established content validity. Clarity, applicability, and compliance with the National Cultural Heritage Act (RA 10066) and UNESCO heritage frameworks were taken into consideration when making revi</w:t>
      </w:r>
      <w:r w:rsidRPr="0009024D">
        <w:rPr>
          <w:rFonts w:asciiTheme="minorHAnsi" w:hAnsiTheme="minorHAnsi" w:cstheme="minorHAnsi" w:hint="default"/>
          <w:b w:val="0"/>
          <w:bCs w:val="0"/>
          <w:sz w:val="22"/>
          <w:szCs w:val="22"/>
        </w:rPr>
        <w:t>sions. An acceptable Cronbach's alpha coefficient from a pilot test demonstrated the instrument's adequate internal consistency.</w:t>
      </w:r>
    </w:p>
    <w:p w14:paraId="68FF4E1E" w14:textId="2B705363" w:rsidR="00F83BE3" w:rsidRPr="005E1308" w:rsidRDefault="00E00395"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sz w:val="22"/>
          <w:szCs w:val="22"/>
        </w:rPr>
        <w:t>Data Gathering Procedure</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Institutional authorities granted permission to carry out the study. Depending on institutional desir</w:t>
      </w:r>
      <w:r w:rsidRPr="0009024D">
        <w:rPr>
          <w:rFonts w:asciiTheme="minorHAnsi" w:hAnsiTheme="minorHAnsi" w:cstheme="minorHAnsi" w:hint="default"/>
          <w:b w:val="0"/>
          <w:bCs w:val="0"/>
          <w:sz w:val="22"/>
          <w:szCs w:val="22"/>
        </w:rPr>
        <w:t>e, the questionnaire was distributed either online or in paper. The study's goal was explained to the participants, and they were given the assurance that their participation would be voluntary and confidential.</w:t>
      </w:r>
      <w:r w:rsidR="005E1308">
        <w:rPr>
          <w:rFonts w:asciiTheme="minorHAnsi" w:hAnsiTheme="minorHAnsi" w:cstheme="minorHAnsi" w:hint="default"/>
          <w:b w:val="0"/>
          <w:bCs w:val="0"/>
          <w:sz w:val="22"/>
          <w:szCs w:val="22"/>
        </w:rPr>
        <w:t xml:space="preserve"> Hence, adherence to the Data Privacy Act was upheld for anonymity, data protection and overall research ethics.</w:t>
      </w:r>
    </w:p>
    <w:p w14:paraId="5E8E0CA9" w14:textId="585E11DC" w:rsidR="00F83BE3" w:rsidRPr="005E1308" w:rsidRDefault="006A7ABB" w:rsidP="005E1308">
      <w:pPr>
        <w:pStyle w:val="Heading3"/>
        <w:ind w:firstLine="420"/>
        <w:jc w:val="both"/>
        <w:rPr>
          <w:rFonts w:asciiTheme="minorHAnsi" w:hAnsiTheme="minorHAnsi" w:cstheme="minorHAnsi" w:hint="default"/>
          <w:sz w:val="22"/>
          <w:szCs w:val="22"/>
        </w:rPr>
      </w:pPr>
      <w:r>
        <w:rPr>
          <w:rFonts w:asciiTheme="minorHAnsi" w:hAnsiTheme="minorHAnsi" w:cstheme="minorHAnsi" w:hint="default"/>
          <w:sz w:val="22"/>
          <w:szCs w:val="22"/>
        </w:rPr>
        <w:t>Statistical Treatment</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 xml:space="preserve">The degree of cultural heritage literacy was assessed using descriptive statistics </w:t>
      </w:r>
      <w:r>
        <w:rPr>
          <w:rFonts w:asciiTheme="minorHAnsi" w:hAnsiTheme="minorHAnsi" w:cstheme="minorHAnsi" w:hint="default"/>
          <w:b w:val="0"/>
          <w:bCs w:val="0"/>
          <w:sz w:val="22"/>
          <w:szCs w:val="22"/>
        </w:rPr>
        <w:t>such as</w:t>
      </w:r>
      <w:r w:rsidRPr="0009024D">
        <w:rPr>
          <w:rFonts w:asciiTheme="minorHAnsi" w:hAnsiTheme="minorHAnsi" w:cstheme="minorHAnsi" w:hint="default"/>
          <w:b w:val="0"/>
          <w:bCs w:val="0"/>
          <w:sz w:val="22"/>
          <w:szCs w:val="22"/>
        </w:rPr>
        <w:t xml:space="preserve"> mean</w:t>
      </w:r>
      <w:r>
        <w:rPr>
          <w:rFonts w:asciiTheme="minorHAnsi" w:hAnsiTheme="minorHAnsi" w:cstheme="minorHAnsi" w:hint="default"/>
          <w:b w:val="0"/>
          <w:bCs w:val="0"/>
          <w:sz w:val="22"/>
          <w:szCs w:val="22"/>
        </w:rPr>
        <w:t>.</w:t>
      </w:r>
    </w:p>
    <w:p w14:paraId="4410DFFE" w14:textId="46F5FEEC" w:rsidR="00211C6C" w:rsidRPr="0009024D" w:rsidRDefault="00E00395" w:rsidP="006A7ABB">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Results</w:t>
      </w:r>
      <w:r w:rsidR="004D3A8F">
        <w:rPr>
          <w:rFonts w:asciiTheme="minorHAnsi" w:hAnsiTheme="minorHAnsi" w:cstheme="minorHAnsi" w:hint="default"/>
          <w:sz w:val="22"/>
          <w:szCs w:val="22"/>
        </w:rPr>
        <w:t xml:space="preserve"> and Discussion</w:t>
      </w:r>
    </w:p>
    <w:p w14:paraId="7EDF299A" w14:textId="7AF0F142" w:rsidR="00DC3133" w:rsidRPr="0009024D" w:rsidRDefault="00DC3133" w:rsidP="0009024D">
      <w:pPr>
        <w:jc w:val="center"/>
        <w:rPr>
          <w:rFonts w:cstheme="minorHAnsi"/>
          <w:b/>
          <w:bCs/>
          <w:sz w:val="22"/>
          <w:szCs w:val="22"/>
        </w:rPr>
      </w:pPr>
      <w:r w:rsidRPr="0009024D">
        <w:rPr>
          <w:rFonts w:cstheme="minorHAnsi"/>
          <w:sz w:val="22"/>
          <w:szCs w:val="22"/>
        </w:rPr>
        <w:tab/>
      </w:r>
      <w:r w:rsidRPr="0009024D">
        <w:rPr>
          <w:rFonts w:cstheme="minorHAnsi"/>
          <w:b/>
          <w:bCs/>
          <w:sz w:val="22"/>
          <w:szCs w:val="22"/>
        </w:rPr>
        <w:t xml:space="preserve">Cultural Heritage Literacy among Social Studies </w:t>
      </w:r>
      <w:r w:rsidR="004D3A8F">
        <w:rPr>
          <w:rFonts w:cstheme="minorHAnsi"/>
          <w:b/>
          <w:bCs/>
          <w:sz w:val="22"/>
          <w:szCs w:val="22"/>
        </w:rPr>
        <w:t>M</w:t>
      </w:r>
      <w:r w:rsidRPr="0009024D">
        <w:rPr>
          <w:rFonts w:cstheme="minorHAnsi"/>
          <w:b/>
          <w:bCs/>
          <w:sz w:val="22"/>
          <w:szCs w:val="22"/>
        </w:rPr>
        <w:t xml:space="preserve">ajors </w:t>
      </w:r>
    </w:p>
    <w:p w14:paraId="524BFC25" w14:textId="77777777" w:rsidR="00DC3133" w:rsidRPr="0009024D" w:rsidRDefault="00DC3133" w:rsidP="0009024D">
      <w:pPr>
        <w:jc w:val="center"/>
        <w:rPr>
          <w:rFonts w:cstheme="minorHAnsi"/>
          <w:b/>
          <w:bCs/>
          <w:sz w:val="22"/>
          <w:szCs w:val="22"/>
        </w:rPr>
      </w:pPr>
    </w:p>
    <w:p w14:paraId="7F12D698" w14:textId="44ADC2D1" w:rsidR="006A7ABB" w:rsidRDefault="004D3A8F" w:rsidP="0009024D">
      <w:pPr>
        <w:ind w:firstLine="420"/>
        <w:jc w:val="both"/>
        <w:rPr>
          <w:rFonts w:cstheme="minorHAnsi"/>
          <w:sz w:val="22"/>
          <w:szCs w:val="22"/>
        </w:rPr>
      </w:pPr>
      <w:r w:rsidRPr="004D3A8F">
        <w:rPr>
          <w:rFonts w:cstheme="minorHAnsi"/>
          <w:sz w:val="22"/>
          <w:szCs w:val="22"/>
        </w:rPr>
        <w:t xml:space="preserve">This </w:t>
      </w:r>
      <w:r>
        <w:rPr>
          <w:rFonts w:cstheme="minorHAnsi"/>
          <w:sz w:val="22"/>
          <w:szCs w:val="22"/>
        </w:rPr>
        <w:t xml:space="preserve">part </w:t>
      </w:r>
      <w:r w:rsidRPr="004D3A8F">
        <w:rPr>
          <w:rFonts w:cstheme="minorHAnsi"/>
          <w:sz w:val="22"/>
          <w:szCs w:val="22"/>
        </w:rPr>
        <w:t>presents the analysis and interpretation of data gathered to assess the levels of Cultural Heritage Literacy among Social Studies Majors, focusing on their understanding of both tangible and intangible assets.</w:t>
      </w:r>
    </w:p>
    <w:p w14:paraId="20D3B677" w14:textId="77777777" w:rsidR="004D3A8F" w:rsidRPr="0009024D" w:rsidRDefault="004D3A8F" w:rsidP="0009024D">
      <w:pPr>
        <w:ind w:firstLine="420"/>
        <w:jc w:val="both"/>
        <w:rPr>
          <w:rFonts w:cstheme="minorHAnsi"/>
          <w:sz w:val="22"/>
          <w:szCs w:val="22"/>
        </w:rPr>
      </w:pPr>
    </w:p>
    <w:p w14:paraId="619A4256" w14:textId="0E56124C" w:rsidR="00A25597" w:rsidRPr="0009024D" w:rsidRDefault="00AF149C" w:rsidP="0009024D">
      <w:pPr>
        <w:pStyle w:val="NoSpacing"/>
        <w:rPr>
          <w:rFonts w:cstheme="minorHAnsi"/>
          <w:b/>
          <w:bCs/>
        </w:rPr>
      </w:pPr>
      <w:r>
        <w:rPr>
          <w:rFonts w:cstheme="minorHAnsi"/>
          <w:b/>
          <w:bCs/>
        </w:rPr>
        <w:t xml:space="preserve">Table 2: </w:t>
      </w:r>
      <w:r w:rsidR="00A25597" w:rsidRPr="0009024D">
        <w:rPr>
          <w:rFonts w:cstheme="minorHAnsi"/>
          <w:b/>
          <w:bCs/>
        </w:rPr>
        <w:t>Tangible Heritage (The Built Environment)</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0632C156" w14:textId="77777777" w:rsidTr="000448D6">
        <w:trPr>
          <w:jc w:val="center"/>
        </w:trPr>
        <w:tc>
          <w:tcPr>
            <w:tcW w:w="5760" w:type="dxa"/>
            <w:tcBorders>
              <w:top w:val="single" w:sz="4" w:space="0" w:color="auto"/>
              <w:bottom w:val="single" w:sz="4" w:space="0" w:color="auto"/>
            </w:tcBorders>
            <w:vAlign w:val="center"/>
          </w:tcPr>
          <w:p w14:paraId="75EFD400" w14:textId="1401919A" w:rsidR="00A25597" w:rsidRPr="006A7ABB" w:rsidRDefault="000448D6" w:rsidP="0009024D">
            <w:pPr>
              <w:pStyle w:val="NoSpacing"/>
              <w:jc w:val="center"/>
              <w:rPr>
                <w:rFonts w:cstheme="minorHAnsi"/>
                <w:sz w:val="20"/>
                <w:szCs w:val="20"/>
              </w:rPr>
            </w:pPr>
            <w:r>
              <w:rPr>
                <w:rFonts w:cstheme="minorHAnsi"/>
                <w:sz w:val="20"/>
                <w:szCs w:val="20"/>
              </w:rPr>
              <w:t>Statement</w:t>
            </w:r>
          </w:p>
        </w:tc>
        <w:tc>
          <w:tcPr>
            <w:tcW w:w="1080" w:type="dxa"/>
            <w:tcBorders>
              <w:top w:val="single" w:sz="4" w:space="0" w:color="auto"/>
              <w:bottom w:val="single" w:sz="4" w:space="0" w:color="auto"/>
            </w:tcBorders>
          </w:tcPr>
          <w:p w14:paraId="0CA50062" w14:textId="3101BC50" w:rsidR="00A25597" w:rsidRPr="006A7ABB" w:rsidRDefault="00A25597" w:rsidP="0009024D">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10C7729" w14:textId="4C04FFD1" w:rsidR="00A25597" w:rsidRPr="006A7ABB" w:rsidRDefault="00A25597" w:rsidP="0009024D">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0AF4A4DB" w14:textId="77777777" w:rsidTr="000448D6">
        <w:trPr>
          <w:jc w:val="center"/>
        </w:trPr>
        <w:tc>
          <w:tcPr>
            <w:tcW w:w="5760" w:type="dxa"/>
            <w:tcBorders>
              <w:top w:val="single" w:sz="4" w:space="0" w:color="auto"/>
            </w:tcBorders>
            <w:vAlign w:val="center"/>
          </w:tcPr>
          <w:p w14:paraId="642FB4EA"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153C6973" w14:textId="77777777" w:rsidR="00A25597" w:rsidRPr="006A7ABB" w:rsidRDefault="00A25597" w:rsidP="0009024D">
            <w:pPr>
              <w:pStyle w:val="NoSpacing"/>
              <w:jc w:val="center"/>
              <w:rPr>
                <w:rFonts w:cstheme="minorHAnsi"/>
                <w:sz w:val="20"/>
                <w:szCs w:val="20"/>
              </w:rPr>
            </w:pPr>
          </w:p>
        </w:tc>
        <w:tc>
          <w:tcPr>
            <w:tcW w:w="1440" w:type="dxa"/>
            <w:tcBorders>
              <w:top w:val="single" w:sz="4" w:space="0" w:color="auto"/>
            </w:tcBorders>
          </w:tcPr>
          <w:p w14:paraId="49A61E98" w14:textId="77777777" w:rsidR="00A25597" w:rsidRPr="006A7ABB" w:rsidRDefault="00A25597" w:rsidP="0009024D">
            <w:pPr>
              <w:pStyle w:val="NoSpacing"/>
              <w:jc w:val="center"/>
              <w:rPr>
                <w:rFonts w:cstheme="minorHAnsi"/>
                <w:sz w:val="20"/>
                <w:szCs w:val="20"/>
              </w:rPr>
            </w:pPr>
          </w:p>
        </w:tc>
      </w:tr>
      <w:tr w:rsidR="00A25597" w:rsidRPr="006A7ABB" w14:paraId="1D49C9C4" w14:textId="77777777" w:rsidTr="000448D6">
        <w:trPr>
          <w:jc w:val="center"/>
        </w:trPr>
        <w:tc>
          <w:tcPr>
            <w:tcW w:w="5760" w:type="dxa"/>
          </w:tcPr>
          <w:p w14:paraId="666517AF" w14:textId="77777777" w:rsidR="00A25597" w:rsidRPr="006A7ABB" w:rsidRDefault="00A25597" w:rsidP="0009024D">
            <w:pPr>
              <w:pStyle w:val="NoSpacing"/>
              <w:rPr>
                <w:rFonts w:cstheme="minorHAnsi"/>
                <w:sz w:val="20"/>
                <w:szCs w:val="20"/>
              </w:rPr>
            </w:pPr>
            <w:r w:rsidRPr="006A7ABB">
              <w:rPr>
                <w:rFonts w:cstheme="minorHAnsi"/>
                <w:sz w:val="20"/>
                <w:szCs w:val="20"/>
              </w:rPr>
              <w:t>1. The specific UNESCO criteria that define Vigan as a "well-preserved example of a Spanish colonial town in Asia".</w:t>
            </w:r>
          </w:p>
        </w:tc>
        <w:tc>
          <w:tcPr>
            <w:tcW w:w="1080" w:type="dxa"/>
            <w:vAlign w:val="center"/>
          </w:tcPr>
          <w:p w14:paraId="4F4A8245" w14:textId="3ACBA07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3.03</w:t>
            </w:r>
          </w:p>
        </w:tc>
        <w:tc>
          <w:tcPr>
            <w:tcW w:w="1440" w:type="dxa"/>
            <w:vAlign w:val="center"/>
          </w:tcPr>
          <w:p w14:paraId="787467E8" w14:textId="32DC6AD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18FC349A" w14:textId="77777777" w:rsidTr="000448D6">
        <w:trPr>
          <w:jc w:val="center"/>
        </w:trPr>
        <w:tc>
          <w:tcPr>
            <w:tcW w:w="5760" w:type="dxa"/>
          </w:tcPr>
          <w:p w14:paraId="32CE1B47"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architectural features of "Bahay </w:t>
            </w:r>
            <w:proofErr w:type="spellStart"/>
            <w:r w:rsidRPr="006A7ABB">
              <w:rPr>
                <w:rFonts w:cstheme="minorHAnsi"/>
                <w:sz w:val="20"/>
                <w:szCs w:val="20"/>
              </w:rPr>
              <w:t>na</w:t>
            </w:r>
            <w:proofErr w:type="spellEnd"/>
            <w:r w:rsidRPr="006A7ABB">
              <w:rPr>
                <w:rFonts w:cstheme="minorHAnsi"/>
                <w:sz w:val="20"/>
                <w:szCs w:val="20"/>
              </w:rPr>
              <w:t xml:space="preserve"> </w:t>
            </w:r>
            <w:proofErr w:type="spellStart"/>
            <w:r w:rsidRPr="006A7ABB">
              <w:rPr>
                <w:rFonts w:cstheme="minorHAnsi"/>
                <w:sz w:val="20"/>
                <w:szCs w:val="20"/>
              </w:rPr>
              <w:t>Bato</w:t>
            </w:r>
            <w:proofErr w:type="spellEnd"/>
            <w:r w:rsidRPr="006A7ABB">
              <w:rPr>
                <w:rFonts w:cstheme="minorHAnsi"/>
                <w:sz w:val="20"/>
                <w:szCs w:val="20"/>
              </w:rPr>
              <w:t xml:space="preserve">" in the Mestizo District (e.g., </w:t>
            </w:r>
            <w:proofErr w:type="spellStart"/>
            <w:r w:rsidRPr="006A7ABB">
              <w:rPr>
                <w:rFonts w:cstheme="minorHAnsi"/>
                <w:i/>
                <w:iCs/>
                <w:sz w:val="20"/>
                <w:szCs w:val="20"/>
              </w:rPr>
              <w:t>volada</w:t>
            </w:r>
            <w:proofErr w:type="spellEnd"/>
            <w:r w:rsidRPr="006A7ABB">
              <w:rPr>
                <w:rFonts w:cstheme="minorHAnsi"/>
                <w:sz w:val="20"/>
                <w:szCs w:val="20"/>
              </w:rPr>
              <w:t xml:space="preserve">, </w:t>
            </w:r>
            <w:proofErr w:type="spellStart"/>
            <w:r w:rsidRPr="006A7ABB">
              <w:rPr>
                <w:rFonts w:cstheme="minorHAnsi"/>
                <w:i/>
                <w:iCs/>
                <w:sz w:val="20"/>
                <w:szCs w:val="20"/>
              </w:rPr>
              <w:t>ventanillas</w:t>
            </w:r>
            <w:proofErr w:type="spellEnd"/>
            <w:r w:rsidRPr="006A7ABB">
              <w:rPr>
                <w:rFonts w:cstheme="minorHAnsi"/>
                <w:sz w:val="20"/>
                <w:szCs w:val="20"/>
              </w:rPr>
              <w:t xml:space="preserve">, and </w:t>
            </w:r>
            <w:proofErr w:type="spellStart"/>
            <w:r w:rsidRPr="006A7ABB">
              <w:rPr>
                <w:rFonts w:cstheme="minorHAnsi"/>
                <w:i/>
                <w:iCs/>
                <w:sz w:val="20"/>
                <w:szCs w:val="20"/>
              </w:rPr>
              <w:t>capiz</w:t>
            </w:r>
            <w:proofErr w:type="spellEnd"/>
            <w:r w:rsidRPr="006A7ABB">
              <w:rPr>
                <w:rFonts w:cstheme="minorHAnsi"/>
                <w:sz w:val="20"/>
                <w:szCs w:val="20"/>
              </w:rPr>
              <w:t xml:space="preserve"> windows).</w:t>
            </w:r>
          </w:p>
        </w:tc>
        <w:tc>
          <w:tcPr>
            <w:tcW w:w="1080" w:type="dxa"/>
            <w:vAlign w:val="center"/>
          </w:tcPr>
          <w:p w14:paraId="27F939AD" w14:textId="30D72A7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1F26753F" w14:textId="4CFB162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r w:rsidR="00A25597" w:rsidRPr="006A7ABB" w14:paraId="761288BA" w14:textId="77777777" w:rsidTr="000448D6">
        <w:trPr>
          <w:jc w:val="center"/>
        </w:trPr>
        <w:tc>
          <w:tcPr>
            <w:tcW w:w="5760" w:type="dxa"/>
          </w:tcPr>
          <w:p w14:paraId="1E7ABFA7" w14:textId="77777777" w:rsidR="00A25597" w:rsidRPr="006A7ABB" w:rsidRDefault="00A25597" w:rsidP="0009024D">
            <w:pPr>
              <w:pStyle w:val="NoSpacing"/>
              <w:rPr>
                <w:rFonts w:cstheme="minorHAnsi"/>
                <w:sz w:val="20"/>
                <w:szCs w:val="20"/>
              </w:rPr>
            </w:pPr>
            <w:r w:rsidRPr="006A7ABB">
              <w:rPr>
                <w:rFonts w:cstheme="minorHAnsi"/>
                <w:sz w:val="20"/>
                <w:szCs w:val="20"/>
              </w:rPr>
              <w:t>3. The historical and religious significance of St. Paul’s Cathedral and the Bantay Bell Tower.</w:t>
            </w:r>
          </w:p>
        </w:tc>
        <w:tc>
          <w:tcPr>
            <w:tcW w:w="1080" w:type="dxa"/>
            <w:vAlign w:val="center"/>
          </w:tcPr>
          <w:p w14:paraId="66173CFC" w14:textId="4984735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3.25</w:t>
            </w:r>
          </w:p>
        </w:tc>
        <w:tc>
          <w:tcPr>
            <w:tcW w:w="1440" w:type="dxa"/>
            <w:vAlign w:val="center"/>
          </w:tcPr>
          <w:p w14:paraId="248B8F27" w14:textId="578D35B9"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08A2D8DE" w14:textId="77777777" w:rsidTr="000448D6">
        <w:trPr>
          <w:jc w:val="center"/>
        </w:trPr>
        <w:tc>
          <w:tcPr>
            <w:tcW w:w="5760" w:type="dxa"/>
          </w:tcPr>
          <w:p w14:paraId="40142F7F" w14:textId="77777777" w:rsidR="00A25597" w:rsidRPr="006A7ABB" w:rsidRDefault="00A25597" w:rsidP="0009024D">
            <w:pPr>
              <w:pStyle w:val="NoSpacing"/>
              <w:rPr>
                <w:rFonts w:cstheme="minorHAnsi"/>
                <w:sz w:val="20"/>
                <w:szCs w:val="20"/>
              </w:rPr>
            </w:pPr>
            <w:r w:rsidRPr="006A7ABB">
              <w:rPr>
                <w:rFonts w:cstheme="minorHAnsi"/>
                <w:sz w:val="20"/>
                <w:szCs w:val="20"/>
              </w:rPr>
              <w:t>4. The historical evolution of the "Mestizo District" (Calle Crisologo) as a center for trade during the Spanish period.</w:t>
            </w:r>
          </w:p>
        </w:tc>
        <w:tc>
          <w:tcPr>
            <w:tcW w:w="1080" w:type="dxa"/>
            <w:vAlign w:val="center"/>
          </w:tcPr>
          <w:p w14:paraId="616EF294" w14:textId="7949AA3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3.13</w:t>
            </w:r>
          </w:p>
        </w:tc>
        <w:tc>
          <w:tcPr>
            <w:tcW w:w="1440" w:type="dxa"/>
            <w:vAlign w:val="center"/>
          </w:tcPr>
          <w:p w14:paraId="785CF0A1" w14:textId="5F52E175"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30A09FF" w14:textId="77777777" w:rsidTr="000448D6">
        <w:trPr>
          <w:jc w:val="center"/>
        </w:trPr>
        <w:tc>
          <w:tcPr>
            <w:tcW w:w="5760" w:type="dxa"/>
          </w:tcPr>
          <w:p w14:paraId="6A666555" w14:textId="77777777" w:rsidR="00A25597" w:rsidRPr="006A7ABB" w:rsidRDefault="00A25597" w:rsidP="0009024D">
            <w:pPr>
              <w:pStyle w:val="NoSpacing"/>
              <w:rPr>
                <w:rFonts w:cstheme="minorHAnsi"/>
                <w:sz w:val="20"/>
                <w:szCs w:val="20"/>
              </w:rPr>
            </w:pPr>
            <w:r w:rsidRPr="006A7ABB">
              <w:rPr>
                <w:rFonts w:cstheme="minorHAnsi"/>
                <w:sz w:val="20"/>
                <w:szCs w:val="20"/>
              </w:rPr>
              <w:t>5. The distinction between Vigan’s core zone (protected area) and the buffer zone as defined by heritage guidelines.</w:t>
            </w:r>
          </w:p>
        </w:tc>
        <w:tc>
          <w:tcPr>
            <w:tcW w:w="1080" w:type="dxa"/>
            <w:vAlign w:val="center"/>
          </w:tcPr>
          <w:p w14:paraId="754A5FEB" w14:textId="1A14097A"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2.85</w:t>
            </w:r>
          </w:p>
        </w:tc>
        <w:tc>
          <w:tcPr>
            <w:tcW w:w="1440" w:type="dxa"/>
            <w:vAlign w:val="center"/>
          </w:tcPr>
          <w:p w14:paraId="414EA5BE" w14:textId="09A02AE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4814F361" w14:textId="380429D5" w:rsidR="00DC3133" w:rsidRDefault="00DC3133" w:rsidP="0009024D">
      <w:pPr>
        <w:ind w:firstLine="420"/>
        <w:jc w:val="both"/>
        <w:rPr>
          <w:rFonts w:cstheme="minorHAnsi"/>
          <w:sz w:val="22"/>
          <w:szCs w:val="22"/>
        </w:rPr>
      </w:pPr>
      <w:r w:rsidRPr="0009024D">
        <w:rPr>
          <w:rFonts w:cstheme="minorHAnsi"/>
          <w:sz w:val="22"/>
          <w:szCs w:val="22"/>
        </w:rPr>
        <w:t xml:space="preserve"> </w:t>
      </w:r>
    </w:p>
    <w:p w14:paraId="280EBAAA" w14:textId="641C4396" w:rsidR="000448D6" w:rsidRDefault="000448D6" w:rsidP="0009024D">
      <w:pPr>
        <w:ind w:firstLine="420"/>
        <w:jc w:val="both"/>
        <w:rPr>
          <w:rFonts w:cstheme="minorHAnsi"/>
          <w:sz w:val="22"/>
          <w:szCs w:val="22"/>
        </w:rPr>
      </w:pPr>
      <w:r w:rsidRPr="000448D6">
        <w:rPr>
          <w:rFonts w:cstheme="minorHAnsi"/>
          <w:sz w:val="22"/>
          <w:szCs w:val="22"/>
        </w:rPr>
        <w:t xml:space="preserve">The findings on the </w:t>
      </w:r>
      <w:r>
        <w:rPr>
          <w:rFonts w:cstheme="minorHAnsi"/>
          <w:sz w:val="22"/>
          <w:szCs w:val="22"/>
        </w:rPr>
        <w:t xml:space="preserve">students’ </w:t>
      </w:r>
      <w:r w:rsidRPr="000448D6">
        <w:rPr>
          <w:rFonts w:cstheme="minorHAnsi"/>
          <w:sz w:val="22"/>
          <w:szCs w:val="22"/>
        </w:rPr>
        <w:t xml:space="preserve">awareness of Vigan’s tangible heritage indicate a selective perception of the </w:t>
      </w:r>
      <w:proofErr w:type="gramStart"/>
      <w:r w:rsidRPr="000448D6">
        <w:rPr>
          <w:rFonts w:cstheme="minorHAnsi"/>
          <w:sz w:val="22"/>
          <w:szCs w:val="22"/>
        </w:rPr>
        <w:t>city’s built</w:t>
      </w:r>
      <w:proofErr w:type="gramEnd"/>
      <w:r w:rsidRPr="000448D6">
        <w:rPr>
          <w:rFonts w:cstheme="minorHAnsi"/>
          <w:sz w:val="22"/>
          <w:szCs w:val="22"/>
        </w:rPr>
        <w:t xml:space="preserve"> heritage. On one hand, the participants demonstrate a Moderate </w:t>
      </w:r>
      <w:r w:rsidRPr="000448D6">
        <w:rPr>
          <w:rFonts w:cstheme="minorHAnsi"/>
          <w:sz w:val="22"/>
          <w:szCs w:val="22"/>
        </w:rPr>
        <w:lastRenderedPageBreak/>
        <w:t xml:space="preserve">Knowledge of the religious and historical structures of Vigan, including St. Paul’s Cathedral and Bantay Bell Tower (M=3.25), while on the other hand, their understanding of the particular architectural details and zoning laws is less accurate. More specifically, the lowest mean scores were obtained for the technical details of the Bahay </w:t>
      </w:r>
      <w:proofErr w:type="spellStart"/>
      <w:r w:rsidRPr="000448D6">
        <w:rPr>
          <w:rFonts w:cstheme="minorHAnsi"/>
          <w:sz w:val="22"/>
          <w:szCs w:val="22"/>
        </w:rPr>
        <w:t>na</w:t>
      </w:r>
      <w:proofErr w:type="spellEnd"/>
      <w:r w:rsidRPr="000448D6">
        <w:rPr>
          <w:rFonts w:cstheme="minorHAnsi"/>
          <w:sz w:val="22"/>
          <w:szCs w:val="22"/>
        </w:rPr>
        <w:t xml:space="preserve"> </w:t>
      </w:r>
      <w:proofErr w:type="spellStart"/>
      <w:r w:rsidRPr="000448D6">
        <w:rPr>
          <w:rFonts w:cstheme="minorHAnsi"/>
          <w:sz w:val="22"/>
          <w:szCs w:val="22"/>
        </w:rPr>
        <w:t>Bato</w:t>
      </w:r>
      <w:proofErr w:type="spellEnd"/>
      <w:r w:rsidRPr="000448D6">
        <w:rPr>
          <w:rFonts w:cstheme="minorHAnsi"/>
          <w:sz w:val="22"/>
          <w:szCs w:val="22"/>
        </w:rPr>
        <w:t xml:space="preserve"> (M=2.73) and the differences between the heritage core and buffer zones (M=2.85). This discrepancy indicates that while the “iconic” appearance of Vigan is well-known, the technical and legal frameworks that define Vigan’s UNESCO World Heritage Site status are less well-known. As Akagawa (2016) argues, heritage literacy tends to favor aesthetic perception over the technical and legal frameworks that ensure the long-term conservation of heritage sites.</w:t>
      </w:r>
    </w:p>
    <w:p w14:paraId="2B99FC9A" w14:textId="77777777" w:rsidR="000448D6" w:rsidRDefault="000448D6" w:rsidP="0009024D">
      <w:pPr>
        <w:ind w:firstLine="420"/>
        <w:jc w:val="both"/>
        <w:rPr>
          <w:rFonts w:cstheme="minorHAnsi"/>
          <w:sz w:val="22"/>
          <w:szCs w:val="22"/>
        </w:rPr>
      </w:pPr>
    </w:p>
    <w:p w14:paraId="2AB2862E" w14:textId="15D798BD" w:rsidR="000448D6" w:rsidRDefault="000448D6" w:rsidP="0009024D">
      <w:pPr>
        <w:ind w:firstLine="420"/>
        <w:jc w:val="both"/>
        <w:rPr>
          <w:rFonts w:cstheme="minorHAnsi"/>
          <w:sz w:val="22"/>
          <w:szCs w:val="22"/>
        </w:rPr>
      </w:pPr>
      <w:r w:rsidRPr="000448D6">
        <w:rPr>
          <w:rFonts w:cstheme="minorHAnsi"/>
          <w:sz w:val="22"/>
          <w:szCs w:val="22"/>
        </w:rPr>
        <w:t xml:space="preserve">This knowledge gap illustrates a surface-level engagement with the built environment. The respondents are cognizant of Vigan’s general significance as a well-preserved Spanish colonial walled city (M = 3.03) and its significance as a trading post (M = 3.13), but they are not familiar with the specific details of its unique Asian-European architectural blend, </w:t>
      </w:r>
      <w:proofErr w:type="spellStart"/>
      <w:r w:rsidRPr="000448D6">
        <w:rPr>
          <w:rFonts w:cstheme="minorHAnsi"/>
          <w:sz w:val="22"/>
          <w:szCs w:val="22"/>
        </w:rPr>
        <w:t>ventanillas</w:t>
      </w:r>
      <w:proofErr w:type="spellEnd"/>
      <w:r w:rsidRPr="000448D6">
        <w:rPr>
          <w:rFonts w:cstheme="minorHAnsi"/>
          <w:sz w:val="22"/>
          <w:szCs w:val="22"/>
        </w:rPr>
        <w:t xml:space="preserve"> or </w:t>
      </w:r>
      <w:proofErr w:type="spellStart"/>
      <w:r w:rsidRPr="000448D6">
        <w:rPr>
          <w:rFonts w:cstheme="minorHAnsi"/>
          <w:sz w:val="22"/>
          <w:szCs w:val="22"/>
        </w:rPr>
        <w:t>capiz</w:t>
      </w:r>
      <w:proofErr w:type="spellEnd"/>
      <w:r w:rsidRPr="000448D6">
        <w:rPr>
          <w:rFonts w:cstheme="minorHAnsi"/>
          <w:sz w:val="22"/>
          <w:szCs w:val="22"/>
        </w:rPr>
        <w:t xml:space="preserve"> windows, for example. UNESCO (2021) states that the integrity of Vigan is found in its architectural blend, but it appears that the community’s involvement in heritage ownership is superficial at best. Heritage conservation involves more than mere familiarity with the site’s existence; it also requires familiarity with the tangible</w:t>
      </w:r>
      <w:r>
        <w:rPr>
          <w:rFonts w:cstheme="minorHAnsi"/>
          <w:sz w:val="22"/>
          <w:szCs w:val="22"/>
        </w:rPr>
        <w:t xml:space="preserve"> </w:t>
      </w:r>
      <w:r w:rsidRPr="000448D6">
        <w:rPr>
          <w:rFonts w:cstheme="minorHAnsi"/>
          <w:sz w:val="22"/>
          <w:szCs w:val="22"/>
        </w:rPr>
        <w:t>aspects of the site that underpin its international significance (</w:t>
      </w:r>
      <w:proofErr w:type="spellStart"/>
      <w:r w:rsidRPr="000448D6">
        <w:rPr>
          <w:rFonts w:cstheme="minorHAnsi"/>
          <w:sz w:val="22"/>
          <w:szCs w:val="22"/>
        </w:rPr>
        <w:t>Zerrudo</w:t>
      </w:r>
      <w:proofErr w:type="spellEnd"/>
      <w:r w:rsidRPr="000448D6">
        <w:rPr>
          <w:rFonts w:cstheme="minorHAnsi"/>
          <w:sz w:val="22"/>
          <w:szCs w:val="22"/>
        </w:rPr>
        <w:t>, 2010).</w:t>
      </w:r>
    </w:p>
    <w:p w14:paraId="552FF66A" w14:textId="77777777" w:rsidR="000448D6" w:rsidRPr="0009024D" w:rsidRDefault="000448D6" w:rsidP="0009024D">
      <w:pPr>
        <w:ind w:firstLine="420"/>
        <w:jc w:val="both"/>
        <w:rPr>
          <w:rFonts w:cstheme="minorHAnsi"/>
          <w:sz w:val="22"/>
          <w:szCs w:val="22"/>
        </w:rPr>
      </w:pPr>
    </w:p>
    <w:p w14:paraId="3AC74B95" w14:textId="552C6C51" w:rsidR="00A25597" w:rsidRPr="0009024D" w:rsidRDefault="00AF149C" w:rsidP="0009024D">
      <w:pPr>
        <w:pStyle w:val="NoSpacing"/>
        <w:rPr>
          <w:rFonts w:cstheme="minorHAnsi"/>
          <w:b/>
          <w:bCs/>
        </w:rPr>
      </w:pPr>
      <w:r>
        <w:rPr>
          <w:rFonts w:cstheme="minorHAnsi"/>
          <w:b/>
          <w:bCs/>
        </w:rPr>
        <w:t xml:space="preserve">Table 3: </w:t>
      </w:r>
      <w:r w:rsidR="00A25597" w:rsidRPr="0009024D">
        <w:rPr>
          <w:rFonts w:cstheme="minorHAnsi"/>
          <w:b/>
          <w:bCs/>
        </w:rPr>
        <w:t>Intangible Heritage (Living Traditions &amp; Culinary Arts)</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1B4C6630" w14:textId="77777777" w:rsidTr="000448D6">
        <w:trPr>
          <w:tblHeader/>
          <w:jc w:val="center"/>
        </w:trPr>
        <w:tc>
          <w:tcPr>
            <w:tcW w:w="5760" w:type="dxa"/>
            <w:tcBorders>
              <w:top w:val="single" w:sz="4" w:space="0" w:color="auto"/>
              <w:bottom w:val="single" w:sz="4" w:space="0" w:color="auto"/>
            </w:tcBorders>
            <w:vAlign w:val="center"/>
          </w:tcPr>
          <w:p w14:paraId="0AAB706B" w14:textId="2FFF24C8" w:rsidR="00A25597" w:rsidRPr="006A7ABB" w:rsidRDefault="00A25597" w:rsidP="0009024D">
            <w:pPr>
              <w:pStyle w:val="NoSpacing"/>
              <w:jc w:val="center"/>
              <w:rPr>
                <w:rFonts w:cstheme="minorHAnsi"/>
                <w:sz w:val="20"/>
                <w:szCs w:val="20"/>
              </w:rPr>
            </w:pPr>
          </w:p>
        </w:tc>
        <w:tc>
          <w:tcPr>
            <w:tcW w:w="1080" w:type="dxa"/>
            <w:tcBorders>
              <w:top w:val="single" w:sz="4" w:space="0" w:color="auto"/>
              <w:bottom w:val="single" w:sz="4" w:space="0" w:color="auto"/>
            </w:tcBorders>
          </w:tcPr>
          <w:p w14:paraId="6E0471D0" w14:textId="1D961375"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B8F3A90" w14:textId="54B46BF3"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2E437A46" w14:textId="77777777" w:rsidTr="000448D6">
        <w:trPr>
          <w:tblHeader/>
          <w:jc w:val="center"/>
        </w:trPr>
        <w:tc>
          <w:tcPr>
            <w:tcW w:w="5760" w:type="dxa"/>
            <w:tcBorders>
              <w:top w:val="single" w:sz="4" w:space="0" w:color="auto"/>
            </w:tcBorders>
            <w:vAlign w:val="center"/>
          </w:tcPr>
          <w:p w14:paraId="5CF90F3C"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9CA5BC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43306345" w14:textId="77777777" w:rsidR="00A25597" w:rsidRPr="006A7ABB" w:rsidRDefault="00A25597" w:rsidP="006A7ABB">
            <w:pPr>
              <w:pStyle w:val="NoSpacing"/>
              <w:jc w:val="center"/>
              <w:rPr>
                <w:rFonts w:cstheme="minorHAnsi"/>
                <w:sz w:val="20"/>
                <w:szCs w:val="20"/>
              </w:rPr>
            </w:pPr>
          </w:p>
        </w:tc>
      </w:tr>
      <w:tr w:rsidR="00A25597" w:rsidRPr="006A7ABB" w14:paraId="4F62324D" w14:textId="77777777" w:rsidTr="000448D6">
        <w:trPr>
          <w:jc w:val="center"/>
        </w:trPr>
        <w:tc>
          <w:tcPr>
            <w:tcW w:w="5760" w:type="dxa"/>
          </w:tcPr>
          <w:p w14:paraId="6DB69B7B"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1. The traditional process and cultural symbolism  </w:t>
            </w:r>
          </w:p>
          <w:p w14:paraId="1177A58A"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of </w:t>
            </w:r>
            <w:proofErr w:type="spellStart"/>
            <w:r w:rsidRPr="006A7ABB">
              <w:rPr>
                <w:rFonts w:cstheme="minorHAnsi"/>
                <w:i/>
                <w:iCs/>
                <w:sz w:val="20"/>
                <w:szCs w:val="20"/>
              </w:rPr>
              <w:t>Burnay</w:t>
            </w:r>
            <w:proofErr w:type="spellEnd"/>
            <w:r w:rsidRPr="006A7ABB">
              <w:rPr>
                <w:rFonts w:cstheme="minorHAnsi"/>
                <w:sz w:val="20"/>
                <w:szCs w:val="20"/>
              </w:rPr>
              <w:t xml:space="preserve"> (pottery) making in the </w:t>
            </w:r>
            <w:proofErr w:type="spellStart"/>
            <w:r w:rsidRPr="006A7ABB">
              <w:rPr>
                <w:rFonts w:cstheme="minorHAnsi"/>
                <w:i/>
                <w:iCs/>
                <w:sz w:val="20"/>
                <w:szCs w:val="20"/>
              </w:rPr>
              <w:t>Pagburnayan</w:t>
            </w:r>
            <w:proofErr w:type="spellEnd"/>
            <w:r w:rsidRPr="006A7ABB">
              <w:rPr>
                <w:rFonts w:cstheme="minorHAnsi"/>
                <w:sz w:val="20"/>
                <w:szCs w:val="20"/>
              </w:rPr>
              <w:t>.</w:t>
            </w:r>
          </w:p>
        </w:tc>
        <w:tc>
          <w:tcPr>
            <w:tcW w:w="1080" w:type="dxa"/>
            <w:vAlign w:val="center"/>
          </w:tcPr>
          <w:p w14:paraId="36164952" w14:textId="597E9AC8"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3.33</w:t>
            </w:r>
          </w:p>
        </w:tc>
        <w:tc>
          <w:tcPr>
            <w:tcW w:w="1440" w:type="dxa"/>
            <w:vAlign w:val="center"/>
          </w:tcPr>
          <w:p w14:paraId="10078C62" w14:textId="6904C94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4FF6240F" w14:textId="77777777" w:rsidTr="000448D6">
        <w:trPr>
          <w:jc w:val="center"/>
        </w:trPr>
        <w:tc>
          <w:tcPr>
            <w:tcW w:w="5760" w:type="dxa"/>
          </w:tcPr>
          <w:p w14:paraId="05309708"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history and intricate techniques of </w:t>
            </w:r>
            <w:r w:rsidRPr="006A7ABB">
              <w:rPr>
                <w:rFonts w:cstheme="minorHAnsi"/>
                <w:i/>
                <w:iCs/>
                <w:sz w:val="20"/>
                <w:szCs w:val="20"/>
              </w:rPr>
              <w:t xml:space="preserve">Abel </w:t>
            </w:r>
            <w:proofErr w:type="spellStart"/>
            <w:r w:rsidRPr="006A7ABB">
              <w:rPr>
                <w:rFonts w:cstheme="minorHAnsi"/>
                <w:i/>
                <w:iCs/>
                <w:sz w:val="20"/>
                <w:szCs w:val="20"/>
              </w:rPr>
              <w:t>Iloco</w:t>
            </w:r>
            <w:proofErr w:type="spellEnd"/>
            <w:r w:rsidRPr="006A7ABB">
              <w:rPr>
                <w:rFonts w:cstheme="minorHAnsi"/>
                <w:sz w:val="20"/>
                <w:szCs w:val="20"/>
              </w:rPr>
              <w:t xml:space="preserve"> (weaving) and its role in the local economy.</w:t>
            </w:r>
          </w:p>
        </w:tc>
        <w:tc>
          <w:tcPr>
            <w:tcW w:w="1080" w:type="dxa"/>
            <w:vAlign w:val="center"/>
          </w:tcPr>
          <w:p w14:paraId="341EC654" w14:textId="77AB058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1BAB55BE" w14:textId="7700109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6A3D946F" w14:textId="77777777" w:rsidTr="000448D6">
        <w:trPr>
          <w:jc w:val="center"/>
        </w:trPr>
        <w:tc>
          <w:tcPr>
            <w:tcW w:w="5760" w:type="dxa"/>
          </w:tcPr>
          <w:p w14:paraId="30D2348F"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3. The cultural origins and traditional ingredients of Vigan’s culinary heritage (e.g., </w:t>
            </w:r>
            <w:r w:rsidRPr="006A7ABB">
              <w:rPr>
                <w:rFonts w:cstheme="minorHAnsi"/>
                <w:i/>
                <w:iCs/>
                <w:sz w:val="20"/>
                <w:szCs w:val="20"/>
              </w:rPr>
              <w:t>empanada</w:t>
            </w:r>
            <w:r w:rsidRPr="006A7ABB">
              <w:rPr>
                <w:rFonts w:cstheme="minorHAnsi"/>
                <w:sz w:val="20"/>
                <w:szCs w:val="20"/>
              </w:rPr>
              <w:t xml:space="preserve">, </w:t>
            </w:r>
            <w:proofErr w:type="spellStart"/>
            <w:r w:rsidRPr="006A7ABB">
              <w:rPr>
                <w:rFonts w:cstheme="minorHAnsi"/>
                <w:i/>
                <w:iCs/>
                <w:sz w:val="20"/>
                <w:szCs w:val="20"/>
              </w:rPr>
              <w:t>longganisa</w:t>
            </w:r>
            <w:proofErr w:type="spellEnd"/>
            <w:r w:rsidRPr="006A7ABB">
              <w:rPr>
                <w:rFonts w:cstheme="minorHAnsi"/>
                <w:sz w:val="20"/>
                <w:szCs w:val="20"/>
              </w:rPr>
              <w:t xml:space="preserve">, </w:t>
            </w:r>
            <w:proofErr w:type="spellStart"/>
            <w:r w:rsidRPr="006A7ABB">
              <w:rPr>
                <w:rFonts w:cstheme="minorHAnsi"/>
                <w:i/>
                <w:iCs/>
                <w:sz w:val="20"/>
                <w:szCs w:val="20"/>
              </w:rPr>
              <w:t>bagnet</w:t>
            </w:r>
            <w:proofErr w:type="spellEnd"/>
            <w:r w:rsidRPr="006A7ABB">
              <w:rPr>
                <w:rFonts w:cstheme="minorHAnsi"/>
                <w:sz w:val="20"/>
                <w:szCs w:val="20"/>
              </w:rPr>
              <w:t>).</w:t>
            </w:r>
          </w:p>
        </w:tc>
        <w:tc>
          <w:tcPr>
            <w:tcW w:w="1080" w:type="dxa"/>
            <w:vAlign w:val="center"/>
          </w:tcPr>
          <w:p w14:paraId="0B371503" w14:textId="5889572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3.23</w:t>
            </w:r>
          </w:p>
        </w:tc>
        <w:tc>
          <w:tcPr>
            <w:tcW w:w="1440" w:type="dxa"/>
            <w:vAlign w:val="center"/>
          </w:tcPr>
          <w:p w14:paraId="5B2DDD5E" w14:textId="27E08AF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DCB4CD3" w14:textId="77777777" w:rsidTr="000448D6">
        <w:trPr>
          <w:jc w:val="center"/>
        </w:trPr>
        <w:tc>
          <w:tcPr>
            <w:tcW w:w="5760" w:type="dxa"/>
          </w:tcPr>
          <w:p w14:paraId="57746374"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4. The significance of local festivals such as the </w:t>
            </w:r>
            <w:r w:rsidRPr="006A7ABB">
              <w:rPr>
                <w:rFonts w:cstheme="minorHAnsi"/>
                <w:i/>
                <w:iCs/>
                <w:sz w:val="20"/>
                <w:szCs w:val="20"/>
              </w:rPr>
              <w:t>Viva Vigan</w:t>
            </w:r>
            <w:r w:rsidRPr="006A7ABB">
              <w:rPr>
                <w:rFonts w:cstheme="minorHAnsi"/>
                <w:sz w:val="20"/>
                <w:szCs w:val="20"/>
              </w:rPr>
              <w:t xml:space="preserve"> </w:t>
            </w:r>
            <w:proofErr w:type="spellStart"/>
            <w:r w:rsidRPr="006A7ABB">
              <w:rPr>
                <w:rFonts w:cstheme="minorHAnsi"/>
                <w:sz w:val="20"/>
                <w:szCs w:val="20"/>
              </w:rPr>
              <w:t>Binatbatan</w:t>
            </w:r>
            <w:proofErr w:type="spellEnd"/>
            <w:r w:rsidRPr="006A7ABB">
              <w:rPr>
                <w:rFonts w:cstheme="minorHAnsi"/>
                <w:sz w:val="20"/>
                <w:szCs w:val="20"/>
              </w:rPr>
              <w:t xml:space="preserve"> Festival of the Arts.</w:t>
            </w:r>
          </w:p>
        </w:tc>
        <w:tc>
          <w:tcPr>
            <w:tcW w:w="1080" w:type="dxa"/>
            <w:vAlign w:val="center"/>
          </w:tcPr>
          <w:p w14:paraId="27184005" w14:textId="6C3F265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685CC25A" w14:textId="4DAF2CA0"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382F440F" w14:textId="77777777" w:rsidTr="000448D6">
        <w:trPr>
          <w:jc w:val="center"/>
        </w:trPr>
        <w:tc>
          <w:tcPr>
            <w:tcW w:w="5760" w:type="dxa"/>
          </w:tcPr>
          <w:p w14:paraId="6B4EF518" w14:textId="77777777" w:rsidR="00A25597" w:rsidRPr="006A7ABB" w:rsidRDefault="00A25597" w:rsidP="0009024D">
            <w:pPr>
              <w:pStyle w:val="NoSpacing"/>
              <w:rPr>
                <w:rFonts w:cstheme="minorHAnsi"/>
                <w:sz w:val="20"/>
                <w:szCs w:val="20"/>
              </w:rPr>
            </w:pPr>
            <w:r w:rsidRPr="006A7ABB">
              <w:rPr>
                <w:rFonts w:cstheme="minorHAnsi"/>
                <w:sz w:val="20"/>
                <w:szCs w:val="20"/>
              </w:rPr>
              <w:t>5. The oral traditions, Ilokano folklore, and linguistic nuances unique to the people of Vigan (</w:t>
            </w:r>
            <w:proofErr w:type="spellStart"/>
            <w:r w:rsidRPr="006A7ABB">
              <w:rPr>
                <w:rFonts w:cstheme="minorHAnsi"/>
                <w:sz w:val="20"/>
                <w:szCs w:val="20"/>
              </w:rPr>
              <w:t>Bigueños</w:t>
            </w:r>
            <w:proofErr w:type="spellEnd"/>
            <w:r w:rsidRPr="006A7ABB">
              <w:rPr>
                <w:rFonts w:cstheme="minorHAnsi"/>
                <w:sz w:val="20"/>
                <w:szCs w:val="20"/>
              </w:rPr>
              <w:t>).</w:t>
            </w:r>
          </w:p>
        </w:tc>
        <w:tc>
          <w:tcPr>
            <w:tcW w:w="1080" w:type="dxa"/>
            <w:vAlign w:val="center"/>
          </w:tcPr>
          <w:p w14:paraId="4F1D8DA2" w14:textId="544FDF8C"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3BCF59B1" w14:textId="173FED81"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0852BF35" w14:textId="77777777" w:rsidR="00A25597" w:rsidRDefault="00A25597" w:rsidP="0009024D">
      <w:pPr>
        <w:pStyle w:val="NoSpacing"/>
        <w:rPr>
          <w:rFonts w:cstheme="minorHAnsi"/>
        </w:rPr>
      </w:pPr>
    </w:p>
    <w:p w14:paraId="4C63B378" w14:textId="3D1933CE" w:rsidR="000448D6" w:rsidRDefault="000448D6" w:rsidP="000448D6">
      <w:pPr>
        <w:pStyle w:val="NoSpacing"/>
        <w:ind w:firstLine="420"/>
        <w:jc w:val="both"/>
        <w:rPr>
          <w:rFonts w:cstheme="minorHAnsi"/>
        </w:rPr>
      </w:pPr>
      <w:r w:rsidRPr="000448D6">
        <w:rPr>
          <w:rFonts w:cstheme="minorHAnsi"/>
        </w:rPr>
        <w:t xml:space="preserve">The data for Intangible Heritage shows a steady level of Moderate Knowledge for most of the traditional crafts and foodways, although a substantial gap is observed in the category of Oral Traditions. The highest level of familiarity was observed for </w:t>
      </w:r>
      <w:proofErr w:type="spellStart"/>
      <w:r w:rsidRPr="000448D6">
        <w:rPr>
          <w:rFonts w:cstheme="minorHAnsi"/>
        </w:rPr>
        <w:t>Burnay</w:t>
      </w:r>
      <w:proofErr w:type="spellEnd"/>
      <w:r w:rsidRPr="000448D6">
        <w:rPr>
          <w:rFonts w:cstheme="minorHAnsi"/>
        </w:rPr>
        <w:t xml:space="preserve"> pottery making (M=3.33) and the Viva Vigan </w:t>
      </w:r>
      <w:proofErr w:type="spellStart"/>
      <w:r w:rsidRPr="000448D6">
        <w:rPr>
          <w:rFonts w:cstheme="minorHAnsi"/>
        </w:rPr>
        <w:t>Binatbatan</w:t>
      </w:r>
      <w:proofErr w:type="spellEnd"/>
      <w:r w:rsidRPr="000448D6">
        <w:rPr>
          <w:rFonts w:cstheme="minorHAnsi"/>
        </w:rPr>
        <w:t xml:space="preserve"> Festival (M=3.28), reflecting that these very visible and tangible traditions are well-absorbed into the community consciousness. Likewise, the methods of Abel </w:t>
      </w:r>
      <w:proofErr w:type="spellStart"/>
      <w:r w:rsidRPr="000448D6">
        <w:rPr>
          <w:rFonts w:cstheme="minorHAnsi"/>
        </w:rPr>
        <w:t>Iloco</w:t>
      </w:r>
      <w:proofErr w:type="spellEnd"/>
      <w:r w:rsidRPr="000448D6">
        <w:rPr>
          <w:rFonts w:cstheme="minorHAnsi"/>
        </w:rPr>
        <w:t xml:space="preserve"> weaving (M=3.28) and the history of Vigan’s food heritage, such as the empanada and </w:t>
      </w:r>
      <w:proofErr w:type="spellStart"/>
      <w:r w:rsidRPr="000448D6">
        <w:rPr>
          <w:rFonts w:cstheme="minorHAnsi"/>
        </w:rPr>
        <w:t>longganisa</w:t>
      </w:r>
      <w:proofErr w:type="spellEnd"/>
      <w:r w:rsidRPr="000448D6">
        <w:rPr>
          <w:rFonts w:cstheme="minorHAnsi"/>
        </w:rPr>
        <w:t xml:space="preserve"> (M=3.23), are also well-known. This reflects the findings of George (2010), who observes that living heritage, especially those traditions associated with tourism and local economic enterprise, retain a higher level of visibility within the community because they function as both cultural signifiers and economic engines.</w:t>
      </w:r>
    </w:p>
    <w:p w14:paraId="1697EF3B" w14:textId="70F97932" w:rsidR="004D3A8F" w:rsidRDefault="004D3A8F" w:rsidP="000448D6">
      <w:pPr>
        <w:pStyle w:val="NoSpacing"/>
        <w:ind w:firstLine="420"/>
        <w:jc w:val="both"/>
        <w:rPr>
          <w:rFonts w:cstheme="minorHAnsi"/>
        </w:rPr>
      </w:pPr>
      <w:r w:rsidRPr="004D3A8F">
        <w:rPr>
          <w:rFonts w:cstheme="minorHAnsi"/>
        </w:rPr>
        <w:t xml:space="preserve">By contrast, the group of oral traditions, folklore, and language subtleties was given the lowest score (M=2.73), which falls into the Low Knowledge category. This indicates a knowledge decoupling where the material expressions of culture (food and crafts) are maintained, but the linguistic and storytelling roots are in disarray. As UNESCO (2003) states, intangible heritage is, in essence, inextricably tied to language and oral tradition; thus, the loss of folklore awareness threatens the </w:t>
      </w:r>
      <w:r w:rsidRPr="004D3A8F">
        <w:rPr>
          <w:rFonts w:cstheme="minorHAnsi"/>
        </w:rPr>
        <w:lastRenderedPageBreak/>
        <w:t xml:space="preserve">comprehensive identity of the </w:t>
      </w:r>
      <w:proofErr w:type="spellStart"/>
      <w:r w:rsidRPr="004D3A8F">
        <w:rPr>
          <w:rFonts w:cstheme="minorHAnsi"/>
        </w:rPr>
        <w:t>Bigueño</w:t>
      </w:r>
      <w:proofErr w:type="spellEnd"/>
      <w:r w:rsidRPr="004D3A8F">
        <w:rPr>
          <w:rFonts w:cstheme="minorHAnsi"/>
        </w:rPr>
        <w:t xml:space="preserve"> people. According to Lico (2008), when the soul of a place, its stories and language, is eclipsed by its spectacle, its festivals and products, the cultural integrity of the site becomes disjointed, risking a superficial appreciation of heritage that favors consumption over continuity.</w:t>
      </w:r>
    </w:p>
    <w:p w14:paraId="238A24F0" w14:textId="77777777" w:rsidR="004D3A8F" w:rsidRDefault="004D3A8F" w:rsidP="0009024D">
      <w:pPr>
        <w:pStyle w:val="NoSpacing"/>
        <w:rPr>
          <w:rFonts w:cstheme="minorHAnsi"/>
          <w:b/>
          <w:bCs/>
        </w:rPr>
      </w:pPr>
    </w:p>
    <w:p w14:paraId="697DF9DE" w14:textId="585DE9F8" w:rsidR="00A25597" w:rsidRPr="0009024D" w:rsidRDefault="00AF149C" w:rsidP="0009024D">
      <w:pPr>
        <w:pStyle w:val="NoSpacing"/>
        <w:rPr>
          <w:rFonts w:cstheme="minorHAnsi"/>
          <w:b/>
          <w:bCs/>
        </w:rPr>
      </w:pPr>
      <w:r>
        <w:rPr>
          <w:rFonts w:cstheme="minorHAnsi"/>
          <w:b/>
          <w:bCs/>
        </w:rPr>
        <w:t xml:space="preserve">Table 4: </w:t>
      </w:r>
      <w:r w:rsidR="00A25597" w:rsidRPr="0009024D">
        <w:rPr>
          <w:rFonts w:cstheme="minorHAnsi"/>
          <w:b/>
          <w:bCs/>
        </w:rPr>
        <w:t>Heritage Laws, Ethics, and Conservation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63D846D2" w14:textId="77777777" w:rsidTr="000448D6">
        <w:trPr>
          <w:tblHeader/>
          <w:jc w:val="center"/>
        </w:trPr>
        <w:tc>
          <w:tcPr>
            <w:tcW w:w="5760" w:type="dxa"/>
            <w:tcBorders>
              <w:top w:val="single" w:sz="4" w:space="0" w:color="auto"/>
              <w:bottom w:val="single" w:sz="4" w:space="0" w:color="auto"/>
            </w:tcBorders>
            <w:vAlign w:val="center"/>
          </w:tcPr>
          <w:p w14:paraId="20E79A88"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702027EC" w14:textId="3EF100C1"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CA884BE" w14:textId="7CB4ADD0"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4CB61FF2" w14:textId="77777777" w:rsidTr="000448D6">
        <w:trPr>
          <w:tblHeader/>
          <w:jc w:val="center"/>
        </w:trPr>
        <w:tc>
          <w:tcPr>
            <w:tcW w:w="5760" w:type="dxa"/>
            <w:tcBorders>
              <w:top w:val="single" w:sz="4" w:space="0" w:color="auto"/>
            </w:tcBorders>
            <w:vAlign w:val="center"/>
          </w:tcPr>
          <w:p w14:paraId="7B21DE3F"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D580FA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165E0BD5" w14:textId="77777777" w:rsidR="00A25597" w:rsidRPr="006A7ABB" w:rsidRDefault="00A25597" w:rsidP="006A7ABB">
            <w:pPr>
              <w:pStyle w:val="NoSpacing"/>
              <w:jc w:val="center"/>
              <w:rPr>
                <w:rFonts w:cstheme="minorHAnsi"/>
                <w:sz w:val="20"/>
                <w:szCs w:val="20"/>
              </w:rPr>
            </w:pPr>
          </w:p>
        </w:tc>
      </w:tr>
      <w:tr w:rsidR="00A25597" w:rsidRPr="006A7ABB" w14:paraId="7FED2918" w14:textId="77777777" w:rsidTr="000448D6">
        <w:trPr>
          <w:jc w:val="center"/>
        </w:trPr>
        <w:tc>
          <w:tcPr>
            <w:tcW w:w="5760" w:type="dxa"/>
          </w:tcPr>
          <w:p w14:paraId="01F45990" w14:textId="77777777" w:rsidR="00A25597" w:rsidRPr="006A7ABB" w:rsidRDefault="00A25597" w:rsidP="0009024D">
            <w:pPr>
              <w:pStyle w:val="NoSpacing"/>
              <w:rPr>
                <w:rFonts w:cstheme="minorHAnsi"/>
                <w:sz w:val="20"/>
                <w:szCs w:val="20"/>
              </w:rPr>
            </w:pPr>
            <w:r w:rsidRPr="006A7ABB">
              <w:rPr>
                <w:rFonts w:cstheme="minorHAnsi"/>
                <w:sz w:val="20"/>
                <w:szCs w:val="20"/>
              </w:rPr>
              <w:t>1. The provisions of the Vigan Conservation Guidelines that regulate the renovation of ancestral houses.</w:t>
            </w:r>
          </w:p>
        </w:tc>
        <w:tc>
          <w:tcPr>
            <w:tcW w:w="1080" w:type="dxa"/>
            <w:vAlign w:val="center"/>
          </w:tcPr>
          <w:p w14:paraId="161CAA34" w14:textId="0BF3B3B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3.28</w:t>
            </w:r>
          </w:p>
        </w:tc>
        <w:tc>
          <w:tcPr>
            <w:tcW w:w="1440" w:type="dxa"/>
            <w:vAlign w:val="center"/>
          </w:tcPr>
          <w:p w14:paraId="64BA4BE8" w14:textId="1F4189D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357227B9" w14:textId="77777777" w:rsidTr="000448D6">
        <w:trPr>
          <w:jc w:val="center"/>
        </w:trPr>
        <w:tc>
          <w:tcPr>
            <w:tcW w:w="5760" w:type="dxa"/>
          </w:tcPr>
          <w:p w14:paraId="484E6A84" w14:textId="77777777" w:rsidR="00A25597" w:rsidRPr="006A7ABB" w:rsidRDefault="00A25597" w:rsidP="0009024D">
            <w:pPr>
              <w:pStyle w:val="NoSpacing"/>
              <w:rPr>
                <w:rFonts w:cstheme="minorHAnsi"/>
                <w:sz w:val="20"/>
                <w:szCs w:val="20"/>
              </w:rPr>
            </w:pPr>
            <w:r w:rsidRPr="006A7ABB">
              <w:rPr>
                <w:rFonts w:cstheme="minorHAnsi"/>
                <w:sz w:val="20"/>
                <w:szCs w:val="20"/>
              </w:rPr>
              <w:t>2. The role of the Vigan Heritage Conservation Council in maintaining the city's World Heritage status.</w:t>
            </w:r>
          </w:p>
        </w:tc>
        <w:tc>
          <w:tcPr>
            <w:tcW w:w="1080" w:type="dxa"/>
            <w:vAlign w:val="center"/>
          </w:tcPr>
          <w:p w14:paraId="035919E8" w14:textId="3052F5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3.15</w:t>
            </w:r>
          </w:p>
        </w:tc>
        <w:tc>
          <w:tcPr>
            <w:tcW w:w="1440" w:type="dxa"/>
            <w:vAlign w:val="center"/>
          </w:tcPr>
          <w:p w14:paraId="0C43857E" w14:textId="79ACD475"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387157F" w14:textId="77777777" w:rsidTr="000448D6">
        <w:trPr>
          <w:jc w:val="center"/>
        </w:trPr>
        <w:tc>
          <w:tcPr>
            <w:tcW w:w="5760" w:type="dxa"/>
          </w:tcPr>
          <w:p w14:paraId="776AAC49" w14:textId="77777777" w:rsidR="00A25597" w:rsidRPr="006A7ABB" w:rsidRDefault="00A25597" w:rsidP="0009024D">
            <w:pPr>
              <w:pStyle w:val="NoSpacing"/>
              <w:rPr>
                <w:rFonts w:cstheme="minorHAnsi"/>
                <w:sz w:val="20"/>
                <w:szCs w:val="20"/>
              </w:rPr>
            </w:pPr>
            <w:r w:rsidRPr="006A7ABB">
              <w:rPr>
                <w:rFonts w:cstheme="minorHAnsi"/>
                <w:sz w:val="20"/>
                <w:szCs w:val="20"/>
              </w:rPr>
              <w:t>3. The impact of Republic Act 10066 (National Cultural Heritage Act) on the protection of Vigan’s landmarks.</w:t>
            </w:r>
          </w:p>
        </w:tc>
        <w:tc>
          <w:tcPr>
            <w:tcW w:w="1080" w:type="dxa"/>
            <w:vAlign w:val="center"/>
          </w:tcPr>
          <w:p w14:paraId="526062AE" w14:textId="765F954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2.90</w:t>
            </w:r>
          </w:p>
        </w:tc>
        <w:tc>
          <w:tcPr>
            <w:tcW w:w="1440" w:type="dxa"/>
            <w:vAlign w:val="center"/>
          </w:tcPr>
          <w:p w14:paraId="56B69848" w14:textId="4BEEEEA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1936B35F" w14:textId="77777777" w:rsidTr="000448D6">
        <w:trPr>
          <w:jc w:val="center"/>
        </w:trPr>
        <w:tc>
          <w:tcPr>
            <w:tcW w:w="5760" w:type="dxa"/>
          </w:tcPr>
          <w:p w14:paraId="70504A2D" w14:textId="77777777" w:rsidR="00A25597" w:rsidRPr="006A7ABB" w:rsidRDefault="00A25597" w:rsidP="0009024D">
            <w:pPr>
              <w:pStyle w:val="NoSpacing"/>
              <w:rPr>
                <w:rFonts w:cstheme="minorHAnsi"/>
                <w:sz w:val="20"/>
                <w:szCs w:val="20"/>
              </w:rPr>
            </w:pPr>
            <w:r w:rsidRPr="006A7ABB">
              <w:rPr>
                <w:rFonts w:cstheme="minorHAnsi"/>
                <w:sz w:val="20"/>
                <w:szCs w:val="20"/>
              </w:rPr>
              <w:t>4. The ethical balance between promoting heritage tourism and preserving the privacy of residents in ancestral homes.</w:t>
            </w:r>
          </w:p>
        </w:tc>
        <w:tc>
          <w:tcPr>
            <w:tcW w:w="1080" w:type="dxa"/>
            <w:vAlign w:val="center"/>
          </w:tcPr>
          <w:p w14:paraId="533AA485" w14:textId="2846747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2.85</w:t>
            </w:r>
          </w:p>
        </w:tc>
        <w:tc>
          <w:tcPr>
            <w:tcW w:w="1440" w:type="dxa"/>
            <w:vAlign w:val="center"/>
          </w:tcPr>
          <w:p w14:paraId="0BC66C0B" w14:textId="31EF572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626E68FE" w14:textId="77777777" w:rsidTr="000448D6">
        <w:trPr>
          <w:jc w:val="center"/>
        </w:trPr>
        <w:tc>
          <w:tcPr>
            <w:tcW w:w="5760" w:type="dxa"/>
          </w:tcPr>
          <w:p w14:paraId="628BFD94" w14:textId="77777777" w:rsidR="00A25597" w:rsidRPr="006A7ABB" w:rsidRDefault="00A25597" w:rsidP="0009024D">
            <w:pPr>
              <w:pStyle w:val="NoSpacing"/>
              <w:rPr>
                <w:rFonts w:cstheme="minorHAnsi"/>
                <w:sz w:val="20"/>
                <w:szCs w:val="20"/>
              </w:rPr>
            </w:pPr>
            <w:r w:rsidRPr="006A7ABB">
              <w:rPr>
                <w:rFonts w:cstheme="minorHAnsi"/>
                <w:sz w:val="20"/>
                <w:szCs w:val="20"/>
              </w:rPr>
              <w:t>5. The major threats to Vigan's heritage, including climate change, urban traffic, and modern commercialization.</w:t>
            </w:r>
          </w:p>
        </w:tc>
        <w:tc>
          <w:tcPr>
            <w:tcW w:w="1080" w:type="dxa"/>
            <w:vAlign w:val="center"/>
          </w:tcPr>
          <w:p w14:paraId="2F8C0E34" w14:textId="45EFE736"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2.73</w:t>
            </w:r>
          </w:p>
        </w:tc>
        <w:tc>
          <w:tcPr>
            <w:tcW w:w="1440" w:type="dxa"/>
            <w:vAlign w:val="center"/>
          </w:tcPr>
          <w:p w14:paraId="2B09A8E6" w14:textId="1F85CD40"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bl>
    <w:p w14:paraId="40BEC48C" w14:textId="77777777" w:rsidR="00A25597" w:rsidRDefault="00A25597" w:rsidP="004D3A8F">
      <w:pPr>
        <w:pStyle w:val="NoSpacing"/>
        <w:rPr>
          <w:rFonts w:cstheme="minorHAnsi"/>
        </w:rPr>
      </w:pPr>
    </w:p>
    <w:p w14:paraId="4D6125FC" w14:textId="7FCDF412" w:rsidR="004D3A8F" w:rsidRDefault="004D3A8F" w:rsidP="004D3A8F">
      <w:pPr>
        <w:pStyle w:val="NoSpacing"/>
        <w:ind w:firstLine="420"/>
        <w:jc w:val="both"/>
        <w:rPr>
          <w:rFonts w:cstheme="minorHAnsi"/>
        </w:rPr>
      </w:pPr>
      <w:r w:rsidRPr="004D3A8F">
        <w:rPr>
          <w:rFonts w:cstheme="minorHAnsi"/>
        </w:rPr>
        <w:t>The results for Heritage Laws, Ethics, and Conservation show a substantial gap between the respondents' knowledge of local administrative procedures and their knowledge of wider legal and ethical principles. The respondents showed Moderate Knowledge of the Vigan Conservation Guidelines (M=3.28) and the Vigan Heritage Conservation Council (M=3.15), which indicates that local administration and overt conservation rules are fairly well disseminated. This is probably due to the city's strict Homeowner's Preservation Manual, which gives detailed advice on the adaptive reuse of ancestral houses (UNESCO, 2010). But this knowledge seems to be limited to the immediate procedural detail rather than the underlying principles that govern these.</w:t>
      </w:r>
    </w:p>
    <w:p w14:paraId="373B3C19" w14:textId="57CBB8A5" w:rsidR="004D3A8F" w:rsidRDefault="004D3A8F" w:rsidP="004D3A8F">
      <w:pPr>
        <w:pStyle w:val="NoSpacing"/>
        <w:ind w:firstLine="420"/>
        <w:jc w:val="both"/>
        <w:rPr>
          <w:rFonts w:cstheme="minorHAnsi"/>
        </w:rPr>
      </w:pPr>
      <w:r w:rsidRPr="004D3A8F">
        <w:rPr>
          <w:rFonts w:cstheme="minorHAnsi"/>
        </w:rPr>
        <w:t>By contrast, the data indicate a Low Knowledge level concerning the National Cultural Heritage Act or RA 10066 (M = 2.90), ethics of heritage tourism vs. resident privacy (M = 2.85), and contemporary threats like climate change and commercialization (M = 2.73). This is alarming for Social Studies majors, as RA 10066 is the main legislation used to safeguard the country's artistic and historic wealth (Republic of the Philippines, 2009). The poor awareness level about ethical issues and environmental concerns indicates a static approach to conservation</w:t>
      </w:r>
      <w:r>
        <w:rPr>
          <w:rFonts w:cstheme="minorHAnsi"/>
        </w:rPr>
        <w:t xml:space="preserve">, </w:t>
      </w:r>
      <w:r w:rsidRPr="004D3A8F">
        <w:rPr>
          <w:rFonts w:cstheme="minorHAnsi"/>
        </w:rPr>
        <w:t xml:space="preserve">one that focuses on following the rules rather than grasping the dynamic forces of the 21st century. As </w:t>
      </w:r>
      <w:proofErr w:type="spellStart"/>
      <w:r w:rsidRPr="004D3A8F">
        <w:rPr>
          <w:rFonts w:cstheme="minorHAnsi"/>
        </w:rPr>
        <w:t>Zerrudo</w:t>
      </w:r>
      <w:proofErr w:type="spellEnd"/>
      <w:r w:rsidRPr="004D3A8F">
        <w:rPr>
          <w:rFonts w:cstheme="minorHAnsi"/>
        </w:rPr>
        <w:t xml:space="preserve"> (2010) strongly argues, heritage literacy must move from custodianship (merely following the rules) to stewardship (a moral commitment to safeguarding), a process which appears not yet fully implemented among the student</w:t>
      </w:r>
      <w:r>
        <w:rPr>
          <w:rFonts w:cstheme="minorHAnsi"/>
        </w:rPr>
        <w:t>s</w:t>
      </w:r>
      <w:r w:rsidRPr="004D3A8F">
        <w:rPr>
          <w:rFonts w:cstheme="minorHAnsi"/>
        </w:rPr>
        <w:t>.</w:t>
      </w:r>
    </w:p>
    <w:p w14:paraId="64320B7E" w14:textId="77777777" w:rsidR="004D3A8F" w:rsidRPr="0009024D" w:rsidRDefault="004D3A8F" w:rsidP="004D3A8F">
      <w:pPr>
        <w:pStyle w:val="NoSpacing"/>
        <w:jc w:val="both"/>
        <w:rPr>
          <w:rFonts w:cstheme="minorHAnsi"/>
        </w:rPr>
      </w:pPr>
    </w:p>
    <w:p w14:paraId="7186F464" w14:textId="4E4B2236" w:rsidR="00A25597" w:rsidRPr="0009024D" w:rsidRDefault="00AF149C" w:rsidP="0009024D">
      <w:pPr>
        <w:pStyle w:val="NoSpacing"/>
        <w:rPr>
          <w:rFonts w:cstheme="minorHAnsi"/>
          <w:b/>
          <w:bCs/>
        </w:rPr>
      </w:pPr>
      <w:r>
        <w:rPr>
          <w:rFonts w:cstheme="minorHAnsi"/>
          <w:b/>
          <w:bCs/>
        </w:rPr>
        <w:t xml:space="preserve">Table 5: </w:t>
      </w:r>
      <w:bookmarkStart w:id="0" w:name="_GoBack"/>
      <w:bookmarkEnd w:id="0"/>
      <w:r w:rsidR="00A25597" w:rsidRPr="0009024D">
        <w:rPr>
          <w:rFonts w:cstheme="minorHAnsi"/>
          <w:b/>
          <w:bCs/>
        </w:rPr>
        <w:t>Heritage Pedagogy and Localized Instruction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5DBCBF3C" w14:textId="77777777" w:rsidTr="000448D6">
        <w:trPr>
          <w:tblHeader/>
          <w:jc w:val="center"/>
        </w:trPr>
        <w:tc>
          <w:tcPr>
            <w:tcW w:w="5760" w:type="dxa"/>
            <w:tcBorders>
              <w:top w:val="single" w:sz="4" w:space="0" w:color="auto"/>
              <w:bottom w:val="single" w:sz="4" w:space="0" w:color="auto"/>
            </w:tcBorders>
            <w:vAlign w:val="center"/>
          </w:tcPr>
          <w:p w14:paraId="615A8FBF"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6A49701F" w14:textId="6181A054"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E5F3805" w14:textId="0C7C6C95"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5559D0F2" w14:textId="77777777" w:rsidTr="000448D6">
        <w:trPr>
          <w:tblHeader/>
          <w:jc w:val="center"/>
        </w:trPr>
        <w:tc>
          <w:tcPr>
            <w:tcW w:w="5760" w:type="dxa"/>
            <w:tcBorders>
              <w:top w:val="single" w:sz="4" w:space="0" w:color="auto"/>
            </w:tcBorders>
            <w:vAlign w:val="center"/>
          </w:tcPr>
          <w:p w14:paraId="2D0155D6"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2746C1F1"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608B142A" w14:textId="77777777" w:rsidR="00A25597" w:rsidRPr="006A7ABB" w:rsidRDefault="00A25597" w:rsidP="006A7ABB">
            <w:pPr>
              <w:pStyle w:val="NoSpacing"/>
              <w:jc w:val="center"/>
              <w:rPr>
                <w:rFonts w:cstheme="minorHAnsi"/>
                <w:sz w:val="20"/>
                <w:szCs w:val="20"/>
              </w:rPr>
            </w:pPr>
          </w:p>
        </w:tc>
      </w:tr>
      <w:tr w:rsidR="00A25597" w:rsidRPr="006A7ABB" w14:paraId="6D2D5405" w14:textId="77777777" w:rsidTr="000448D6">
        <w:trPr>
          <w:jc w:val="center"/>
        </w:trPr>
        <w:tc>
          <w:tcPr>
            <w:tcW w:w="5760" w:type="dxa"/>
          </w:tcPr>
          <w:p w14:paraId="71B1AA3B"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1. Methods for integrating Vigan’s local history into the K-12 </w:t>
            </w:r>
            <w:proofErr w:type="spellStart"/>
            <w:r w:rsidRPr="006A7ABB">
              <w:rPr>
                <w:rFonts w:cstheme="minorHAnsi"/>
                <w:sz w:val="20"/>
                <w:szCs w:val="20"/>
              </w:rPr>
              <w:t>Araling</w:t>
            </w:r>
            <w:proofErr w:type="spellEnd"/>
            <w:r w:rsidRPr="006A7ABB">
              <w:rPr>
                <w:rFonts w:cstheme="minorHAnsi"/>
                <w:sz w:val="20"/>
                <w:szCs w:val="20"/>
              </w:rPr>
              <w:t xml:space="preserve"> </w:t>
            </w:r>
            <w:proofErr w:type="spellStart"/>
            <w:r w:rsidRPr="006A7ABB">
              <w:rPr>
                <w:rFonts w:cstheme="minorHAnsi"/>
                <w:sz w:val="20"/>
                <w:szCs w:val="20"/>
              </w:rPr>
              <w:t>Panlipunan</w:t>
            </w:r>
            <w:proofErr w:type="spellEnd"/>
            <w:r w:rsidRPr="006A7ABB">
              <w:rPr>
                <w:rFonts w:cstheme="minorHAnsi"/>
                <w:sz w:val="20"/>
                <w:szCs w:val="20"/>
              </w:rPr>
              <w:t xml:space="preserve"> (Social Studies) curriculum.</w:t>
            </w:r>
          </w:p>
        </w:tc>
        <w:tc>
          <w:tcPr>
            <w:tcW w:w="1080" w:type="dxa"/>
            <w:vAlign w:val="center"/>
          </w:tcPr>
          <w:p w14:paraId="47DC7CDD" w14:textId="42DABB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3.40</w:t>
            </w:r>
          </w:p>
        </w:tc>
        <w:tc>
          <w:tcPr>
            <w:tcW w:w="1440" w:type="dxa"/>
            <w:vAlign w:val="center"/>
          </w:tcPr>
          <w:p w14:paraId="70AF059F" w14:textId="5C537E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709ED339" w14:textId="77777777" w:rsidTr="000448D6">
        <w:trPr>
          <w:jc w:val="center"/>
        </w:trPr>
        <w:tc>
          <w:tcPr>
            <w:tcW w:w="5760" w:type="dxa"/>
          </w:tcPr>
          <w:p w14:paraId="7EFD33FB" w14:textId="77777777" w:rsidR="00A25597" w:rsidRPr="006A7ABB" w:rsidRDefault="00A25597" w:rsidP="0009024D">
            <w:pPr>
              <w:pStyle w:val="NoSpacing"/>
              <w:rPr>
                <w:rFonts w:cstheme="minorHAnsi"/>
                <w:sz w:val="20"/>
                <w:szCs w:val="20"/>
              </w:rPr>
            </w:pPr>
            <w:r w:rsidRPr="006A7ABB">
              <w:rPr>
                <w:rFonts w:cstheme="minorHAnsi"/>
                <w:sz w:val="20"/>
                <w:szCs w:val="20"/>
              </w:rPr>
              <w:t>2. Utilizing Calle Crisologo and local museums as "Primary Sources" for historical inquiry.</w:t>
            </w:r>
          </w:p>
        </w:tc>
        <w:tc>
          <w:tcPr>
            <w:tcW w:w="1080" w:type="dxa"/>
            <w:vAlign w:val="center"/>
          </w:tcPr>
          <w:p w14:paraId="52C0213D" w14:textId="0A34ADB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3.25</w:t>
            </w:r>
          </w:p>
        </w:tc>
        <w:tc>
          <w:tcPr>
            <w:tcW w:w="1440" w:type="dxa"/>
            <w:vAlign w:val="center"/>
          </w:tcPr>
          <w:p w14:paraId="2FC80125" w14:textId="21F9B34E"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4BD43A2E" w14:textId="77777777" w:rsidTr="000448D6">
        <w:trPr>
          <w:jc w:val="center"/>
        </w:trPr>
        <w:tc>
          <w:tcPr>
            <w:tcW w:w="5760" w:type="dxa"/>
          </w:tcPr>
          <w:p w14:paraId="181A35F5" w14:textId="77777777" w:rsidR="00A25597" w:rsidRPr="006A7ABB" w:rsidRDefault="00A25597" w:rsidP="0009024D">
            <w:pPr>
              <w:pStyle w:val="NoSpacing"/>
              <w:rPr>
                <w:rFonts w:cstheme="minorHAnsi"/>
                <w:sz w:val="20"/>
                <w:szCs w:val="20"/>
              </w:rPr>
            </w:pPr>
            <w:r w:rsidRPr="006A7ABB">
              <w:rPr>
                <w:rFonts w:cstheme="minorHAnsi"/>
                <w:sz w:val="20"/>
                <w:szCs w:val="20"/>
              </w:rPr>
              <w:t>3. Designing Place-Based Learning activities (e.g., heritage walks) that connect classroom lessons to actual Vigan sites.</w:t>
            </w:r>
          </w:p>
        </w:tc>
        <w:tc>
          <w:tcPr>
            <w:tcW w:w="1080" w:type="dxa"/>
            <w:vAlign w:val="center"/>
          </w:tcPr>
          <w:p w14:paraId="4094C268" w14:textId="03607F0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3.23</w:t>
            </w:r>
          </w:p>
        </w:tc>
        <w:tc>
          <w:tcPr>
            <w:tcW w:w="1440" w:type="dxa"/>
            <w:vAlign w:val="center"/>
          </w:tcPr>
          <w:p w14:paraId="25F2F7C9" w14:textId="27F69C51"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7F5457A" w14:textId="77777777" w:rsidTr="000448D6">
        <w:trPr>
          <w:jc w:val="center"/>
        </w:trPr>
        <w:tc>
          <w:tcPr>
            <w:tcW w:w="5760" w:type="dxa"/>
          </w:tcPr>
          <w:p w14:paraId="27C8C2FD"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4. Developing instructional materials (e.g., localized modules) </w:t>
            </w:r>
            <w:r w:rsidRPr="006A7ABB">
              <w:rPr>
                <w:rFonts w:cstheme="minorHAnsi"/>
                <w:sz w:val="20"/>
                <w:szCs w:val="20"/>
              </w:rPr>
              <w:lastRenderedPageBreak/>
              <w:t>centered on Vigan’s UNESCO status.</w:t>
            </w:r>
          </w:p>
        </w:tc>
        <w:tc>
          <w:tcPr>
            <w:tcW w:w="1080" w:type="dxa"/>
            <w:vAlign w:val="center"/>
          </w:tcPr>
          <w:p w14:paraId="5BED3A4D" w14:textId="3AD7A8A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lastRenderedPageBreak/>
              <w:t>3.15</w:t>
            </w:r>
          </w:p>
        </w:tc>
        <w:tc>
          <w:tcPr>
            <w:tcW w:w="1440" w:type="dxa"/>
            <w:vAlign w:val="center"/>
          </w:tcPr>
          <w:p w14:paraId="36E2865F" w14:textId="7E6E686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 xml:space="preserve">Moderate </w:t>
            </w:r>
            <w:r w:rsidRPr="006A7ABB">
              <w:rPr>
                <w:rFonts w:eastAsia="Times New Roman" w:cstheme="minorHAnsi"/>
                <w:color w:val="000000"/>
                <w:sz w:val="20"/>
                <w:szCs w:val="20"/>
              </w:rPr>
              <w:lastRenderedPageBreak/>
              <w:t>Knowledge</w:t>
            </w:r>
          </w:p>
        </w:tc>
      </w:tr>
      <w:tr w:rsidR="00A25597" w:rsidRPr="006A7ABB" w14:paraId="2154E04E" w14:textId="77777777" w:rsidTr="000448D6">
        <w:trPr>
          <w:jc w:val="center"/>
        </w:trPr>
        <w:tc>
          <w:tcPr>
            <w:tcW w:w="5760" w:type="dxa"/>
          </w:tcPr>
          <w:p w14:paraId="67771A0E" w14:textId="77777777" w:rsidR="00A25597" w:rsidRPr="006A7ABB" w:rsidRDefault="00A25597" w:rsidP="0009024D">
            <w:pPr>
              <w:pStyle w:val="NoSpacing"/>
              <w:rPr>
                <w:rFonts w:cstheme="minorHAnsi"/>
                <w:sz w:val="20"/>
                <w:szCs w:val="20"/>
              </w:rPr>
            </w:pPr>
            <w:r w:rsidRPr="006A7ABB">
              <w:rPr>
                <w:rFonts w:cstheme="minorHAnsi"/>
                <w:sz w:val="20"/>
                <w:szCs w:val="20"/>
              </w:rPr>
              <w:lastRenderedPageBreak/>
              <w:t>5. Strategies for fostering "Cultural Stewardship" among students to ensure the future preservation of Vigan.</w:t>
            </w:r>
          </w:p>
        </w:tc>
        <w:tc>
          <w:tcPr>
            <w:tcW w:w="1080" w:type="dxa"/>
            <w:vAlign w:val="center"/>
          </w:tcPr>
          <w:p w14:paraId="5F2F88E4" w14:textId="6CA8582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3.13</w:t>
            </w:r>
          </w:p>
        </w:tc>
        <w:tc>
          <w:tcPr>
            <w:tcW w:w="1440" w:type="dxa"/>
            <w:vAlign w:val="center"/>
          </w:tcPr>
          <w:p w14:paraId="3DA36BB2" w14:textId="114A28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bl>
    <w:p w14:paraId="598C1E86" w14:textId="45A16FA4" w:rsidR="00DC3133" w:rsidRDefault="00DC3133" w:rsidP="0009024D">
      <w:pPr>
        <w:rPr>
          <w:rFonts w:cstheme="minorHAnsi"/>
          <w:sz w:val="22"/>
          <w:szCs w:val="22"/>
        </w:rPr>
      </w:pPr>
    </w:p>
    <w:p w14:paraId="2D095F1F" w14:textId="706A5436" w:rsidR="004D3A8F" w:rsidRDefault="004D3A8F" w:rsidP="004D3A8F">
      <w:pPr>
        <w:ind w:firstLine="420"/>
        <w:jc w:val="both"/>
        <w:rPr>
          <w:rFonts w:cstheme="minorHAnsi"/>
          <w:sz w:val="22"/>
          <w:szCs w:val="22"/>
        </w:rPr>
      </w:pPr>
      <w:r w:rsidRPr="004D3A8F">
        <w:rPr>
          <w:rFonts w:cstheme="minorHAnsi"/>
          <w:sz w:val="22"/>
          <w:szCs w:val="22"/>
        </w:rPr>
        <w:t xml:space="preserve">The findings for Heritage Pedagogy and Localized Instruction showed a consistent level of Moderate Knowledge on all indicators, which suggests that Social Studies majors are generally confident in their capacity to apply heritage to the classroom. The highest mean score was obtained on the methods of incorporating local history into the </w:t>
      </w:r>
      <w:proofErr w:type="spellStart"/>
      <w:r w:rsidRPr="004D3A8F">
        <w:rPr>
          <w:rFonts w:cstheme="minorHAnsi"/>
          <w:sz w:val="22"/>
          <w:szCs w:val="22"/>
        </w:rPr>
        <w:t>Araling</w:t>
      </w:r>
      <w:proofErr w:type="spellEnd"/>
      <w:r w:rsidRPr="004D3A8F">
        <w:rPr>
          <w:rFonts w:cstheme="minorHAnsi"/>
          <w:sz w:val="22"/>
          <w:szCs w:val="22"/>
        </w:rPr>
        <w:t xml:space="preserve"> </w:t>
      </w:r>
      <w:proofErr w:type="spellStart"/>
      <w:r w:rsidRPr="004D3A8F">
        <w:rPr>
          <w:rFonts w:cstheme="minorHAnsi"/>
          <w:sz w:val="22"/>
          <w:szCs w:val="22"/>
        </w:rPr>
        <w:t>Panlipunan</w:t>
      </w:r>
      <w:proofErr w:type="spellEnd"/>
      <w:r w:rsidRPr="004D3A8F">
        <w:rPr>
          <w:rFonts w:cstheme="minorHAnsi"/>
          <w:sz w:val="22"/>
          <w:szCs w:val="22"/>
        </w:rPr>
        <w:t xml:space="preserve"> curriculum (M = 3.40), followed closely by the use of Calle Crisologo and museums as primary sources (M = 3.25). This suggests that preservice teachers are slowly embracing the idea of community as a classroom and shifting away from the traditional textbook-based approach to learning. As discussed by Dizon et al. (2021), the localization and indigenization of the curriculum are not simply bureaucratic requirements but are, in fact, critical pedagogical transformations that allow history to become more lived</w:t>
      </w:r>
      <w:r>
        <w:rPr>
          <w:rFonts w:cstheme="minorHAnsi"/>
          <w:sz w:val="22"/>
          <w:szCs w:val="22"/>
        </w:rPr>
        <w:t xml:space="preserve"> </w:t>
      </w:r>
      <w:r w:rsidRPr="004D3A8F">
        <w:rPr>
          <w:rFonts w:cstheme="minorHAnsi"/>
          <w:sz w:val="22"/>
          <w:szCs w:val="22"/>
        </w:rPr>
        <w:t>and relevant for students, especially in a heritage site such as Vigan.</w:t>
      </w:r>
    </w:p>
    <w:p w14:paraId="017DA786" w14:textId="44982800" w:rsidR="004D3A8F" w:rsidRDefault="004D3A8F" w:rsidP="004D3A8F">
      <w:pPr>
        <w:ind w:firstLine="420"/>
        <w:jc w:val="both"/>
        <w:rPr>
          <w:rFonts w:cstheme="minorHAnsi"/>
          <w:sz w:val="22"/>
          <w:szCs w:val="22"/>
        </w:rPr>
      </w:pPr>
      <w:r w:rsidRPr="004D3A8F">
        <w:rPr>
          <w:rFonts w:cstheme="minorHAnsi"/>
          <w:sz w:val="22"/>
          <w:szCs w:val="22"/>
        </w:rPr>
        <w:t xml:space="preserve">Nonetheless, this confidence is tempered by a slightly lower mean score in developing localized instructional materials (M=3.15) and in promoting </w:t>
      </w:r>
      <w:r>
        <w:rPr>
          <w:rFonts w:cstheme="minorHAnsi"/>
          <w:sz w:val="22"/>
          <w:szCs w:val="22"/>
        </w:rPr>
        <w:t>c</w:t>
      </w:r>
      <w:r w:rsidRPr="004D3A8F">
        <w:rPr>
          <w:rFonts w:cstheme="minorHAnsi"/>
          <w:sz w:val="22"/>
          <w:szCs w:val="22"/>
        </w:rPr>
        <w:t xml:space="preserve">ultural </w:t>
      </w:r>
      <w:r>
        <w:rPr>
          <w:rFonts w:cstheme="minorHAnsi"/>
          <w:sz w:val="22"/>
          <w:szCs w:val="22"/>
        </w:rPr>
        <w:t>s</w:t>
      </w:r>
      <w:r w:rsidRPr="004D3A8F">
        <w:rPr>
          <w:rFonts w:cstheme="minorHAnsi"/>
          <w:sz w:val="22"/>
          <w:szCs w:val="22"/>
        </w:rPr>
        <w:t xml:space="preserve">tewardship (M=3.13), indicating a need for more applied training in resource development and affective learning approaches. Although the mean score for understanding the theory of place-based learning (M=3.23) is satisfactory, the actual development of modules connecting UNESCO designation to civic responsibility requires a more advanced level of creative and critical integration. As </w:t>
      </w:r>
      <w:proofErr w:type="spellStart"/>
      <w:r w:rsidRPr="004D3A8F">
        <w:rPr>
          <w:rFonts w:cstheme="minorHAnsi"/>
          <w:sz w:val="22"/>
          <w:szCs w:val="22"/>
        </w:rPr>
        <w:t>Tabbada</w:t>
      </w:r>
      <w:proofErr w:type="spellEnd"/>
      <w:r w:rsidRPr="004D3A8F">
        <w:rPr>
          <w:rFonts w:cstheme="minorHAnsi"/>
          <w:sz w:val="22"/>
          <w:szCs w:val="22"/>
        </w:rPr>
        <w:t xml:space="preserve"> (2018) argues, a more effective approach to heritage education must transcend the field trip approach and instead employ localized materials to cultivate historical thinking skills. For Social Studies majors, proficiency in these skills is critical; without the capacity to translate heritage sites into organized inquiry-based modules, the potential of Vigan’s built environment to function as a laboratory for democratic and cultural literacy is left unexploited (Lobo, 2023).</w:t>
      </w:r>
    </w:p>
    <w:p w14:paraId="307AD0FF" w14:textId="6707D4B8" w:rsidR="00D66FBD" w:rsidRDefault="00D66FBD" w:rsidP="004D3A8F">
      <w:pPr>
        <w:ind w:firstLine="420"/>
        <w:jc w:val="both"/>
        <w:rPr>
          <w:rFonts w:cstheme="minorHAnsi"/>
          <w:sz w:val="22"/>
          <w:szCs w:val="22"/>
        </w:rPr>
      </w:pPr>
      <w:r w:rsidRPr="00D66FBD">
        <w:rPr>
          <w:rFonts w:cstheme="minorHAnsi"/>
          <w:sz w:val="22"/>
          <w:szCs w:val="22"/>
        </w:rPr>
        <w:t>In general, the evaluation of Cultural Heritage Literacy among Social Studies majors shows a Localized Competence profile, in which students have a strong moderate level of competence in pedagogical integration (M = 3.22) and visible cultural signs (M = 3.29), but are still remarkably deficient in the area of technical conservation and legal systems (M = 2.98). On one hand, these future educators are well-equipped to employ Vigan's cultural icons and culinary practices as teaching aids in the classroom, but on the other hand, their very low level of proficiency in heritage laws (RA 10066), zoning laws, and the conservation of oral folklore points to a disconnect between appreciation and technical management. This discrepancy suggests that while the curriculum is very effective in promoting the spectacle of heritage for tourism and educational purposes, it is ineffective in preparing pre-service teachers to have the technical and ethical sophistication to promote the conservation of heritage against the challenges of modern commercial and environmental pressures</w:t>
      </w:r>
    </w:p>
    <w:p w14:paraId="548178F9" w14:textId="77777777" w:rsidR="00D66FBD" w:rsidRPr="0009024D" w:rsidRDefault="00D66FBD" w:rsidP="004D3A8F">
      <w:pPr>
        <w:ind w:firstLine="420"/>
        <w:jc w:val="both"/>
        <w:rPr>
          <w:rFonts w:cstheme="minorHAnsi"/>
          <w:sz w:val="22"/>
          <w:szCs w:val="22"/>
        </w:rPr>
      </w:pPr>
    </w:p>
    <w:p w14:paraId="677FB67E" w14:textId="10D9C641" w:rsidR="006A7ABB" w:rsidRDefault="006A7ABB" w:rsidP="00D66FBD">
      <w:pPr>
        <w:pStyle w:val="NoSpacing"/>
        <w:spacing w:line="360" w:lineRule="auto"/>
        <w:jc w:val="center"/>
        <w:rPr>
          <w:b/>
          <w:bCs/>
        </w:rPr>
      </w:pPr>
      <w:r>
        <w:rPr>
          <w:b/>
          <w:bCs/>
        </w:rPr>
        <w:t>C</w:t>
      </w:r>
      <w:r w:rsidRPr="006A7ABB">
        <w:rPr>
          <w:b/>
          <w:bCs/>
        </w:rPr>
        <w:t xml:space="preserve">hallenges </w:t>
      </w:r>
      <w:r>
        <w:rPr>
          <w:b/>
          <w:bCs/>
        </w:rPr>
        <w:t>E</w:t>
      </w:r>
      <w:r w:rsidRPr="006A7ABB">
        <w:rPr>
          <w:b/>
          <w:bCs/>
        </w:rPr>
        <w:t>ncounter</w:t>
      </w:r>
      <w:r>
        <w:rPr>
          <w:b/>
          <w:bCs/>
        </w:rPr>
        <w:t>ed</w:t>
      </w:r>
      <w:r w:rsidRPr="006A7ABB">
        <w:rPr>
          <w:b/>
          <w:bCs/>
        </w:rPr>
        <w:t xml:space="preserve"> in </w:t>
      </w:r>
      <w:r>
        <w:rPr>
          <w:b/>
          <w:bCs/>
        </w:rPr>
        <w:t>L</w:t>
      </w:r>
      <w:r w:rsidRPr="006A7ABB">
        <w:rPr>
          <w:b/>
          <w:bCs/>
        </w:rPr>
        <w:t xml:space="preserve">earning </w:t>
      </w:r>
      <w:r>
        <w:rPr>
          <w:b/>
          <w:bCs/>
        </w:rPr>
        <w:t>H</w:t>
      </w:r>
      <w:r w:rsidRPr="006A7ABB">
        <w:rPr>
          <w:b/>
          <w:bCs/>
        </w:rPr>
        <w:t xml:space="preserve">eritage </w:t>
      </w:r>
      <w:r>
        <w:rPr>
          <w:b/>
          <w:bCs/>
        </w:rPr>
        <w:t>L</w:t>
      </w:r>
      <w:r w:rsidRPr="006A7ABB">
        <w:rPr>
          <w:b/>
          <w:bCs/>
        </w:rPr>
        <w:t>iteracy</w:t>
      </w:r>
    </w:p>
    <w:p w14:paraId="3D2ECB77" w14:textId="10BBD610" w:rsidR="006A7ABB" w:rsidRDefault="00D66FBD" w:rsidP="00D66FBD">
      <w:pPr>
        <w:pStyle w:val="NoSpacing"/>
        <w:ind w:firstLine="420"/>
        <w:jc w:val="both"/>
      </w:pPr>
      <w:r w:rsidRPr="00D66FBD">
        <w:t>The development of heritage literacy skills among Social Studies majors is a complicated process that is impeded by a number of systemic and pedagogical barriers. The biggest problem is instead the absence of specialized training and teaching materials that are specifically tailored for heritage education. Although the Department of Education advocates for localization, pre-service teachers instead discover that current textbooks are shallow in terms of heritage laws, such as RA 10066, or the technical details of architectural preservation (Lobo, 2023).</w:t>
      </w:r>
    </w:p>
    <w:p w14:paraId="77FD849B" w14:textId="17708A4F" w:rsidR="00D66FBD" w:rsidRDefault="00D66FBD" w:rsidP="00D66FBD">
      <w:pPr>
        <w:pStyle w:val="NoSpacing"/>
        <w:ind w:firstLine="420"/>
        <w:jc w:val="both"/>
      </w:pPr>
      <w:r>
        <w:lastRenderedPageBreak/>
        <w:t>Secondly, there is a problem of difficulty in accessing the primary sources of heritage and technical experts. Even though Calle Crisologo is an open-air museum, Social Studies majors do not have the chance to engage with conservationists, urban planners, or traditional artisans (</w:t>
      </w:r>
      <w:proofErr w:type="spellStart"/>
      <w:r>
        <w:t>Zerrudo</w:t>
      </w:r>
      <w:proofErr w:type="spellEnd"/>
      <w:r>
        <w:t>, 2010). This is a problem of the spectator effect, where students treat heritage as a static tourist site rather than a dynamic system that needs to be managed and considered from an ethical standpoint.</w:t>
      </w:r>
    </w:p>
    <w:p w14:paraId="6FC84636" w14:textId="77777777" w:rsidR="00D66FBD" w:rsidRDefault="00D66FBD" w:rsidP="00D66FBD">
      <w:pPr>
        <w:pStyle w:val="NoSpacing"/>
        <w:ind w:firstLine="420"/>
        <w:jc w:val="both"/>
      </w:pPr>
      <w:r>
        <w:t>The third major problem is the complexity of heritage legislation and ethics. Even though students have a good understanding of the legislation, they find the terminology of UNESCO guidelines and national preservation laws intimidating. Akagawa (2016) states that when heritage education is only aesthetic, students are left unprepared for the ethical implications of modern commercialization and the displacement of local residents in heritage sites.</w:t>
      </w:r>
    </w:p>
    <w:p w14:paraId="27D6635E" w14:textId="77777777" w:rsidR="00D66FBD" w:rsidRDefault="00D66FBD" w:rsidP="00D66FBD">
      <w:pPr>
        <w:pStyle w:val="NoSpacing"/>
        <w:ind w:firstLine="420"/>
        <w:jc w:val="both"/>
      </w:pPr>
      <w:r>
        <w:t>Moreover, the issues of environmental and commercial threats to heritage also pose a conceptual problem. Students find it difficult to balance the need for economic development with the inflexible demands of heritage conservation. The Disneyfication of heritage, in which heritage is adapted to appeal to tourist preferences, tends to obscure the true cultural value of the heritage site, making it hard for students to distinguish between true heritage and commercial display (George, 2010).</w:t>
      </w:r>
    </w:p>
    <w:p w14:paraId="0C0B0E64" w14:textId="4F282E86" w:rsidR="006A7ABB" w:rsidRPr="00D66FBD" w:rsidRDefault="00D66FBD" w:rsidP="00D66FBD">
      <w:pPr>
        <w:pStyle w:val="NoSpacing"/>
        <w:ind w:firstLine="420"/>
        <w:jc w:val="both"/>
      </w:pPr>
      <w:r>
        <w:t>Finally, the constraints of the traditional classroom environment hinder the development of place-based skills. Heritage literacy demands experiential education, but practical issues such as budget limitations for field studies and the inflexible nature of the school day tend to impede students' participation in the heritage walks and community mapping exercises necessary for true heritage literacy (</w:t>
      </w:r>
      <w:proofErr w:type="spellStart"/>
      <w:r>
        <w:t>Tabbada</w:t>
      </w:r>
      <w:proofErr w:type="spellEnd"/>
      <w:r>
        <w:t>, 2018). This maintains heritage literacy on a theoretical plane, obstructing the application of heritage literacy from students to cultural practitioners.</w:t>
      </w:r>
    </w:p>
    <w:p w14:paraId="00A89CB4" w14:textId="77777777" w:rsidR="00D66FBD" w:rsidRDefault="00E00395" w:rsidP="00D66F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Conclusion</w:t>
      </w:r>
      <w:r w:rsidR="00D66FBD">
        <w:rPr>
          <w:rFonts w:asciiTheme="minorHAnsi" w:hAnsiTheme="minorHAnsi" w:cstheme="minorHAnsi" w:hint="default"/>
          <w:sz w:val="22"/>
          <w:szCs w:val="22"/>
        </w:rPr>
        <w:t>s</w:t>
      </w:r>
    </w:p>
    <w:p w14:paraId="53D916EE" w14:textId="184351B3" w:rsidR="00FE2CBD" w:rsidRDefault="00D66FBD" w:rsidP="00D66FBD">
      <w:pPr>
        <w:pStyle w:val="Heading2"/>
        <w:ind w:firstLine="420"/>
        <w:jc w:val="both"/>
        <w:rPr>
          <w:rFonts w:asciiTheme="minorHAnsi" w:hAnsiTheme="minorHAnsi" w:cstheme="minorHAnsi" w:hint="default"/>
          <w:b w:val="0"/>
          <w:bCs w:val="0"/>
          <w:sz w:val="22"/>
          <w:szCs w:val="22"/>
        </w:rPr>
      </w:pPr>
      <w:r>
        <w:rPr>
          <w:rFonts w:asciiTheme="minorHAnsi" w:hAnsiTheme="minorHAnsi" w:cstheme="minorHAnsi" w:hint="default"/>
          <w:b w:val="0"/>
          <w:bCs w:val="0"/>
          <w:sz w:val="22"/>
          <w:szCs w:val="22"/>
        </w:rPr>
        <w:t>S</w:t>
      </w:r>
      <w:r w:rsidRPr="00D66FBD">
        <w:rPr>
          <w:rFonts w:asciiTheme="minorHAnsi" w:hAnsiTheme="minorHAnsi" w:cstheme="minorHAnsi"/>
          <w:b w:val="0"/>
          <w:bCs w:val="0"/>
          <w:sz w:val="22"/>
          <w:szCs w:val="22"/>
        </w:rPr>
        <w:t xml:space="preserve">ocial Studies </w:t>
      </w:r>
      <w:r>
        <w:rPr>
          <w:rFonts w:asciiTheme="minorHAnsi" w:hAnsiTheme="minorHAnsi" w:cstheme="minorHAnsi" w:hint="default"/>
          <w:b w:val="0"/>
          <w:bCs w:val="0"/>
          <w:sz w:val="22"/>
          <w:szCs w:val="22"/>
        </w:rPr>
        <w:t>majors</w:t>
      </w:r>
      <w:r w:rsidRPr="00D66FBD">
        <w:rPr>
          <w:rFonts w:asciiTheme="minorHAnsi" w:hAnsiTheme="minorHAnsi" w:cstheme="minorHAnsi"/>
          <w:b w:val="0"/>
          <w:bCs w:val="0"/>
          <w:sz w:val="22"/>
          <w:szCs w:val="22"/>
        </w:rPr>
        <w:t xml:space="preserve"> have a </w:t>
      </w:r>
      <w:r w:rsidR="00FE2CBD">
        <w:rPr>
          <w:rFonts w:asciiTheme="minorHAnsi" w:hAnsiTheme="minorHAnsi" w:cstheme="minorHAnsi" w:hint="default"/>
          <w:b w:val="0"/>
          <w:bCs w:val="0"/>
          <w:sz w:val="22"/>
          <w:szCs w:val="22"/>
        </w:rPr>
        <w:t>moderate</w:t>
      </w:r>
      <w:r w:rsidRPr="00D66FBD">
        <w:rPr>
          <w:rFonts w:asciiTheme="minorHAnsi" w:hAnsiTheme="minorHAnsi" w:cstheme="minorHAnsi"/>
          <w:b w:val="0"/>
          <w:bCs w:val="0"/>
          <w:sz w:val="22"/>
          <w:szCs w:val="22"/>
        </w:rPr>
        <w:t xml:space="preserve">-level heritage literacy, which is marked by a high level of pedagogical integration skills and the ability to identify visible cultural icons, but a serious weakness in the technical, legal, and oral aspects of conservation. Although these </w:t>
      </w:r>
      <w:r w:rsidR="00FE2CBD">
        <w:rPr>
          <w:rFonts w:asciiTheme="minorHAnsi" w:hAnsiTheme="minorHAnsi" w:cstheme="minorHAnsi" w:hint="default"/>
          <w:b w:val="0"/>
          <w:bCs w:val="0"/>
          <w:sz w:val="22"/>
          <w:szCs w:val="22"/>
        </w:rPr>
        <w:t>students</w:t>
      </w:r>
      <w:r w:rsidRPr="00D66FBD">
        <w:rPr>
          <w:rFonts w:asciiTheme="minorHAnsi" w:hAnsiTheme="minorHAnsi" w:cstheme="minorHAnsi"/>
          <w:b w:val="0"/>
          <w:bCs w:val="0"/>
          <w:sz w:val="22"/>
          <w:szCs w:val="22"/>
        </w:rPr>
        <w:t xml:space="preserve"> are well-prepared to integrate Vigan's spectacle, such as its iconic sites and cuisine, into their teaching, their lack of awareness about heritage laws, zoning, and endangered folklore indicates a serious gap between appreciation and management.</w:t>
      </w:r>
      <w:r w:rsidR="0016369B">
        <w:rPr>
          <w:rFonts w:asciiTheme="minorHAnsi" w:eastAsiaTheme="minorEastAsia" w:hAnsiTheme="minorHAnsi" w:cstheme="minorBidi" w:hint="default"/>
          <w:b w:val="0"/>
          <w:bCs w:val="0"/>
          <w:sz w:val="20"/>
          <w:szCs w:val="20"/>
        </w:rPr>
        <w:t xml:space="preserve"> </w:t>
      </w:r>
      <w:r w:rsidR="0016369B" w:rsidRPr="0016369B">
        <w:rPr>
          <w:rFonts w:asciiTheme="minorHAnsi" w:hAnsiTheme="minorHAnsi" w:cstheme="minorHAnsi"/>
          <w:b w:val="0"/>
          <w:bCs w:val="0"/>
          <w:sz w:val="22"/>
          <w:szCs w:val="22"/>
        </w:rPr>
        <w:t>This distinction between aesthetic appreciation and technical knowledge emerges as a critical pedagogical gap. While students can effectively present heritage as a cultural symbol or tourism asset, their limited understanding of its regulatory frameworks and lived conservation realities constrains their capacity to teach heritage as a dynamic, legally protected, and community-sustained practice. The imbalance suggests that heritage education within teacher preparation programs may emphasize recognition and appreciation more than critical engagement and informed stewardship.</w:t>
      </w:r>
      <w:r w:rsidRPr="00D66FBD">
        <w:rPr>
          <w:rFonts w:asciiTheme="minorHAnsi" w:hAnsiTheme="minorHAnsi" w:cstheme="minorHAnsi"/>
          <w:b w:val="0"/>
          <w:bCs w:val="0"/>
          <w:sz w:val="22"/>
          <w:szCs w:val="22"/>
        </w:rPr>
        <w:t xml:space="preserve"> Thus, unless a paradigm shift is made to close the gap between the built environment and the legal and lived reality of heritage conservation, there is a danger that Vigan's heritage will be presented in the classroom as a fixed tourist destination rather than a living cultural identity that needs to be actively and knowledgeably conserved. </w:t>
      </w:r>
    </w:p>
    <w:p w14:paraId="0765F240" w14:textId="77777777" w:rsidR="0016369B" w:rsidRPr="0016369B" w:rsidRDefault="0016369B" w:rsidP="0016369B"/>
    <w:p w14:paraId="78B0CD6E" w14:textId="4A51909C" w:rsidR="00F83BE3" w:rsidRPr="0009024D" w:rsidRDefault="00E00395"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Recommendations</w:t>
      </w:r>
    </w:p>
    <w:p w14:paraId="255F5AE2" w14:textId="0489A03D" w:rsidR="00FE2CBD" w:rsidRDefault="00FE2CBD" w:rsidP="00FE2CBD">
      <w:pPr>
        <w:pStyle w:val="Heading2"/>
        <w:ind w:firstLine="420"/>
        <w:jc w:val="both"/>
        <w:rPr>
          <w:rFonts w:asciiTheme="minorHAnsi" w:eastAsiaTheme="minorEastAsia" w:hAnsiTheme="minorHAnsi" w:cstheme="minorHAnsi" w:hint="default"/>
          <w:b w:val="0"/>
          <w:bCs w:val="0"/>
          <w:sz w:val="22"/>
          <w:szCs w:val="22"/>
        </w:rPr>
      </w:pPr>
      <w:r w:rsidRPr="00FE2CBD">
        <w:rPr>
          <w:rFonts w:asciiTheme="minorHAnsi" w:eastAsiaTheme="minorEastAsia" w:hAnsiTheme="minorHAnsi" w:cstheme="minorHAnsi"/>
          <w:b w:val="0"/>
          <w:bCs w:val="0"/>
          <w:sz w:val="22"/>
          <w:szCs w:val="22"/>
        </w:rPr>
        <w:t xml:space="preserve">In order to fill the identified gaps in heritage literacy, it is suggested that the Higher Education Institution incorporate a specialized Heritage Conservation and Law module into the Social Studies curriculum, going beyond the history to incorporate technical studies of RA 10066 and local zoning </w:t>
      </w:r>
      <w:r w:rsidRPr="00FE2CBD">
        <w:rPr>
          <w:rFonts w:asciiTheme="minorHAnsi" w:eastAsiaTheme="minorEastAsia" w:hAnsiTheme="minorHAnsi" w:cstheme="minorHAnsi"/>
          <w:b w:val="0"/>
          <w:bCs w:val="0"/>
          <w:sz w:val="22"/>
          <w:szCs w:val="22"/>
        </w:rPr>
        <w:lastRenderedPageBreak/>
        <w:t xml:space="preserve">laws. The academic programs must shift from classroom-bound lectures to </w:t>
      </w:r>
      <w:r>
        <w:rPr>
          <w:rFonts w:asciiTheme="minorHAnsi" w:eastAsiaTheme="minorEastAsia" w:hAnsiTheme="minorHAnsi" w:cstheme="minorHAnsi" w:hint="default"/>
          <w:b w:val="0"/>
          <w:bCs w:val="0"/>
          <w:sz w:val="22"/>
          <w:szCs w:val="22"/>
        </w:rPr>
        <w:t xml:space="preserve">integrating </w:t>
      </w:r>
      <w:r w:rsidRPr="00FE2CBD">
        <w:rPr>
          <w:rFonts w:asciiTheme="minorHAnsi" w:eastAsiaTheme="minorEastAsia" w:hAnsiTheme="minorHAnsi" w:cstheme="minorHAnsi"/>
          <w:b w:val="0"/>
          <w:bCs w:val="0"/>
          <w:sz w:val="22"/>
          <w:szCs w:val="22"/>
        </w:rPr>
        <w:t>applied stewardship approaches, such as community-based cultural mapping and oral history documentation projects, to revitalize the waning knowledge of folklore and intangible heritage. Moreover, the formation of institutional partnerships with the Vigan Heritage Conservation Council and local artisans would give pre-service teachers direct exposure to technical knowledge, ensuring that they can create localized teaching materials that are both historically and legally correct. By shifting the pedagogical gaze from the tourist spectacle to the complexities of preservation ethics and environmental issues, the institution can turn future teachers from passive storytellers of the past into active stewards of Vigan</w:t>
      </w:r>
      <w:r>
        <w:rPr>
          <w:rFonts w:asciiTheme="minorHAnsi" w:eastAsiaTheme="minorEastAsia" w:hAnsiTheme="minorHAnsi" w:cstheme="minorHAnsi" w:hint="default"/>
          <w:b w:val="0"/>
          <w:bCs w:val="0"/>
          <w:sz w:val="22"/>
          <w:szCs w:val="22"/>
          <w:lang w:val="en-PH"/>
        </w:rPr>
        <w:t>’</w:t>
      </w:r>
      <w:r w:rsidRPr="00FE2CBD">
        <w:rPr>
          <w:rFonts w:asciiTheme="minorHAnsi" w:eastAsiaTheme="minorEastAsia" w:hAnsiTheme="minorHAnsi" w:cstheme="minorHAnsi"/>
          <w:b w:val="0"/>
          <w:bCs w:val="0"/>
          <w:sz w:val="22"/>
          <w:szCs w:val="22"/>
        </w:rPr>
        <w:t xml:space="preserve">s living cultural heritage. </w:t>
      </w:r>
    </w:p>
    <w:p w14:paraId="2ED4EFFF" w14:textId="3A07C714" w:rsidR="004F5F77" w:rsidRDefault="004F5F77" w:rsidP="004F5F77"/>
    <w:p w14:paraId="10BE751B" w14:textId="77777777" w:rsidR="004F5F77" w:rsidRPr="00005ED1" w:rsidRDefault="004F5F77" w:rsidP="004F5F7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59F4022" w14:textId="77777777" w:rsidR="004F5F77" w:rsidRPr="00005ED1" w:rsidRDefault="004F5F77" w:rsidP="004F5F77">
      <w:pPr>
        <w:pStyle w:val="NoSpacing"/>
        <w:rPr>
          <w:rFonts w:ascii="Arial" w:hAnsi="Arial" w:cs="Arial"/>
          <w:highlight w:val="yellow"/>
        </w:rPr>
      </w:pPr>
    </w:p>
    <w:p w14:paraId="796C4272" w14:textId="77777777" w:rsidR="004F5F77" w:rsidRPr="00005ED1" w:rsidRDefault="004F5F77" w:rsidP="004F5F7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93E1769" w14:textId="77777777" w:rsidR="004F5F77" w:rsidRDefault="004F5F77" w:rsidP="004F5F77">
      <w:pPr>
        <w:pStyle w:val="NoSpacing"/>
        <w:rPr>
          <w:rFonts w:ascii="Arial" w:hAnsi="Arial" w:cs="Arial"/>
        </w:rPr>
      </w:pPr>
    </w:p>
    <w:p w14:paraId="6E14E4B1" w14:textId="77777777" w:rsidR="004F5F77" w:rsidRDefault="004F5F77" w:rsidP="004F5F77">
      <w:pPr>
        <w:pStyle w:val="NoSpacing"/>
        <w:rPr>
          <w:rFonts w:ascii="Arial" w:hAnsi="Arial" w:cs="Arial"/>
        </w:rPr>
      </w:pPr>
    </w:p>
    <w:p w14:paraId="32965A6E" w14:textId="77777777" w:rsidR="004F5F77" w:rsidRPr="00005ED1" w:rsidRDefault="004F5F77" w:rsidP="004F5F77">
      <w:pPr>
        <w:pStyle w:val="NoSpacing"/>
        <w:rPr>
          <w:rFonts w:ascii="Arial" w:hAnsi="Arial" w:cs="Arial"/>
        </w:rPr>
      </w:pPr>
    </w:p>
    <w:p w14:paraId="576D2201" w14:textId="77777777" w:rsidR="004F5F77" w:rsidRPr="004F5F77" w:rsidRDefault="004F5F77" w:rsidP="004F5F77"/>
    <w:p w14:paraId="5152AB7F" w14:textId="3C445AE2" w:rsidR="00F83BE3" w:rsidRPr="0009024D" w:rsidRDefault="00E00395"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References</w:t>
      </w:r>
    </w:p>
    <w:p w14:paraId="541E4F3D" w14:textId="77777777"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Akagawa, N. (2016). Heritage Conservation and Japan's Cultural Diplomacy: Heritage, National Identity and National Interest. Routledge.</w:t>
      </w:r>
    </w:p>
    <w:p w14:paraId="5CE2706C" w14:textId="42DFC04E" w:rsidR="00C73722" w:rsidRPr="00C73722" w:rsidRDefault="00C73722" w:rsidP="004F5F77">
      <w:pPr>
        <w:pStyle w:val="NormalWeb"/>
        <w:numPr>
          <w:ilvl w:val="0"/>
          <w:numId w:val="2"/>
        </w:numPr>
        <w:jc w:val="both"/>
        <w:rPr>
          <w:rFonts w:asciiTheme="minorHAnsi" w:hAnsiTheme="minorHAnsi" w:cstheme="minorHAnsi"/>
          <w:sz w:val="22"/>
          <w:szCs w:val="22"/>
        </w:rPr>
      </w:pPr>
      <w:proofErr w:type="spellStart"/>
      <w:r w:rsidRPr="00C73722">
        <w:rPr>
          <w:rFonts w:asciiTheme="minorHAnsi" w:hAnsiTheme="minorHAnsi" w:cstheme="minorHAnsi"/>
          <w:sz w:val="22"/>
          <w:szCs w:val="22"/>
        </w:rPr>
        <w:t>Armiyati</w:t>
      </w:r>
      <w:proofErr w:type="spellEnd"/>
      <w:r w:rsidRPr="00C73722">
        <w:rPr>
          <w:rFonts w:asciiTheme="minorHAnsi" w:hAnsiTheme="minorHAnsi" w:cstheme="minorHAnsi"/>
          <w:sz w:val="22"/>
          <w:szCs w:val="22"/>
        </w:rPr>
        <w:t xml:space="preserve">, L., </w:t>
      </w:r>
      <w:proofErr w:type="spellStart"/>
      <w:r w:rsidRPr="00C73722">
        <w:rPr>
          <w:rFonts w:asciiTheme="minorHAnsi" w:hAnsiTheme="minorHAnsi" w:cstheme="minorHAnsi"/>
          <w:sz w:val="22"/>
          <w:szCs w:val="22"/>
        </w:rPr>
        <w:t>Fachrurozi</w:t>
      </w:r>
      <w:proofErr w:type="spellEnd"/>
      <w:r w:rsidRPr="00C73722">
        <w:rPr>
          <w:rFonts w:asciiTheme="minorHAnsi" w:hAnsiTheme="minorHAnsi" w:cstheme="minorHAnsi"/>
          <w:sz w:val="22"/>
          <w:szCs w:val="22"/>
        </w:rPr>
        <w:t xml:space="preserve">, M. H., </w:t>
      </w:r>
      <w:proofErr w:type="spellStart"/>
      <w:r w:rsidRPr="00C73722">
        <w:rPr>
          <w:rFonts w:asciiTheme="minorHAnsi" w:hAnsiTheme="minorHAnsi" w:cstheme="minorHAnsi"/>
          <w:sz w:val="22"/>
          <w:szCs w:val="22"/>
        </w:rPr>
        <w:t>Astriani</w:t>
      </w:r>
      <w:proofErr w:type="spellEnd"/>
      <w:r w:rsidRPr="00C73722">
        <w:rPr>
          <w:rFonts w:asciiTheme="minorHAnsi" w:hAnsiTheme="minorHAnsi" w:cstheme="minorHAnsi"/>
          <w:sz w:val="22"/>
          <w:szCs w:val="22"/>
        </w:rPr>
        <w:t xml:space="preserve">, A. S., &amp; Zulfikar, F. (2025). </w:t>
      </w:r>
      <w:r w:rsidRPr="00C73722">
        <w:rPr>
          <w:rFonts w:asciiTheme="minorHAnsi" w:hAnsiTheme="minorHAnsi" w:cstheme="minorHAnsi"/>
          <w:i/>
          <w:iCs/>
          <w:sz w:val="22"/>
          <w:szCs w:val="22"/>
        </w:rPr>
        <w:t>Promoting inclusive education by incorporating living heritage into history learning: Teachers’ perspective and practice</w:t>
      </w:r>
      <w:r w:rsidRPr="00C73722">
        <w:rPr>
          <w:rFonts w:asciiTheme="minorHAnsi" w:hAnsiTheme="minorHAnsi" w:cstheme="minorHAnsi"/>
          <w:sz w:val="22"/>
          <w:szCs w:val="22"/>
        </w:rPr>
        <w:t>. Education PİJ, 17, Article e2025364. https://doi.org/10.22521/edupij.2025.17.364</w:t>
      </w:r>
    </w:p>
    <w:p w14:paraId="6D1A6783" w14:textId="74F41D8B"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Ashworth, G. J., Graham, B., &amp; Tunbridge, J. E. (2007). </w:t>
      </w:r>
      <w:proofErr w:type="spellStart"/>
      <w:r w:rsidRPr="0009024D">
        <w:rPr>
          <w:rStyle w:val="Emphasis"/>
          <w:rFonts w:asciiTheme="minorHAnsi" w:hAnsiTheme="minorHAnsi" w:cstheme="minorHAnsi"/>
          <w:sz w:val="22"/>
          <w:szCs w:val="22"/>
        </w:rPr>
        <w:t>Pluralising</w:t>
      </w:r>
      <w:proofErr w:type="spellEnd"/>
      <w:r w:rsidRPr="0009024D">
        <w:rPr>
          <w:rStyle w:val="Emphasis"/>
          <w:rFonts w:asciiTheme="minorHAnsi" w:hAnsiTheme="minorHAnsi" w:cstheme="minorHAnsi"/>
          <w:sz w:val="22"/>
          <w:szCs w:val="22"/>
        </w:rPr>
        <w:t xml:space="preserve"> pasts: Heritage, </w:t>
      </w:r>
      <w:r w:rsidRPr="0009024D">
        <w:rPr>
          <w:rStyle w:val="Emphasis"/>
          <w:rFonts w:asciiTheme="minorHAnsi" w:hAnsiTheme="minorHAnsi" w:cstheme="minorHAnsi"/>
          <w:sz w:val="22"/>
          <w:szCs w:val="22"/>
        </w:rPr>
        <w:tab/>
        <w:t>identity and place in multicultural societies</w:t>
      </w:r>
      <w:r w:rsidRPr="0009024D">
        <w:rPr>
          <w:rFonts w:asciiTheme="minorHAnsi" w:hAnsiTheme="minorHAnsi" w:cstheme="minorHAnsi"/>
          <w:sz w:val="22"/>
          <w:szCs w:val="22"/>
        </w:rPr>
        <w:t>. Pluto Press.</w:t>
      </w:r>
    </w:p>
    <w:p w14:paraId="754BA0AA"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Banks, J. A. (2016). </w:t>
      </w:r>
      <w:r w:rsidRPr="0009024D">
        <w:rPr>
          <w:rStyle w:val="Emphasis"/>
          <w:rFonts w:asciiTheme="minorHAnsi" w:hAnsiTheme="minorHAnsi" w:cstheme="minorHAnsi"/>
          <w:sz w:val="22"/>
          <w:szCs w:val="22"/>
        </w:rPr>
        <w:t xml:space="preserve">Cultural diversity and education: Foundations, curriculum, and </w:t>
      </w:r>
      <w:r w:rsidRPr="0009024D">
        <w:rPr>
          <w:rStyle w:val="Emphasis"/>
          <w:rFonts w:asciiTheme="minorHAnsi" w:hAnsiTheme="minorHAnsi" w:cstheme="minorHAnsi"/>
          <w:sz w:val="22"/>
          <w:szCs w:val="22"/>
        </w:rPr>
        <w:tab/>
      </w:r>
      <w:r w:rsidRPr="0009024D">
        <w:rPr>
          <w:rStyle w:val="Emphasis"/>
          <w:rFonts w:asciiTheme="minorHAnsi" w:hAnsiTheme="minorHAnsi" w:cstheme="minorHAnsi"/>
          <w:sz w:val="22"/>
          <w:szCs w:val="22"/>
        </w:rPr>
        <w:t>teaching</w:t>
      </w:r>
      <w:r w:rsidRPr="0009024D">
        <w:rPr>
          <w:rFonts w:asciiTheme="minorHAnsi" w:hAnsiTheme="minorHAnsi" w:cstheme="minorHAnsi"/>
          <w:sz w:val="22"/>
          <w:szCs w:val="22"/>
        </w:rPr>
        <w:t xml:space="preserve"> (6th ed.). Routledge.</w:t>
      </w:r>
    </w:p>
    <w:p w14:paraId="19CAC59E" w14:textId="05CCACE4"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Chaparro-Sainz, Á., Felices-De la Fuente, M. M., Rodríguez-Medina, J., &amp; Gómez-Carrasco, C. J. (2022). </w:t>
      </w:r>
      <w:r w:rsidRPr="00351635">
        <w:rPr>
          <w:rFonts w:asciiTheme="minorHAnsi" w:hAnsiTheme="minorHAnsi" w:cstheme="minorHAnsi"/>
          <w:i/>
          <w:iCs/>
          <w:sz w:val="22"/>
          <w:szCs w:val="22"/>
        </w:rPr>
        <w:t>Heritage resources and teaching approaches: A study with trainee secondary education history teachers</w:t>
      </w:r>
      <w:r w:rsidRPr="00351635">
        <w:rPr>
          <w:rFonts w:asciiTheme="minorHAnsi" w:hAnsiTheme="minorHAnsi" w:cstheme="minorHAnsi"/>
          <w:sz w:val="22"/>
          <w:szCs w:val="22"/>
        </w:rPr>
        <w:t xml:space="preserve">. Frontiers in Education, 7, 814197. </w:t>
      </w:r>
      <w:hyperlink r:id="rId7" w:tgtFrame="_new" w:history="1">
        <w:r w:rsidRPr="00351635">
          <w:rPr>
            <w:rStyle w:val="Hyperlink"/>
            <w:rFonts w:asciiTheme="minorHAnsi" w:hAnsiTheme="minorHAnsi" w:cstheme="minorHAnsi"/>
            <w:sz w:val="22"/>
            <w:szCs w:val="22"/>
          </w:rPr>
          <w:t>https://doi.org/10.3389/feduc.2022.814197</w:t>
        </w:r>
      </w:hyperlink>
    </w:p>
    <w:p w14:paraId="58892606" w14:textId="77777777"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DepEd. (2016). </w:t>
      </w:r>
      <w:r w:rsidRPr="0009024D">
        <w:rPr>
          <w:rStyle w:val="Emphasis"/>
          <w:rFonts w:asciiTheme="minorHAnsi" w:hAnsiTheme="minorHAnsi" w:cstheme="minorHAnsi"/>
          <w:sz w:val="22"/>
          <w:szCs w:val="22"/>
        </w:rPr>
        <w:t xml:space="preserve">K to 12 curriculum </w:t>
      </w:r>
      <w:proofErr w:type="gramStart"/>
      <w:r w:rsidRPr="0009024D">
        <w:rPr>
          <w:rStyle w:val="Emphasis"/>
          <w:rFonts w:asciiTheme="minorHAnsi" w:hAnsiTheme="minorHAnsi" w:cstheme="minorHAnsi"/>
          <w:sz w:val="22"/>
          <w:szCs w:val="22"/>
        </w:rPr>
        <w:t>guide</w:t>
      </w:r>
      <w:proofErr w:type="gram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Araling</w:t>
      </w:r>
      <w:proofErr w:type="spell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Panlipunan</w:t>
      </w:r>
      <w:proofErr w:type="spellEnd"/>
      <w:r w:rsidRPr="0009024D">
        <w:rPr>
          <w:rFonts w:asciiTheme="minorHAnsi" w:hAnsiTheme="minorHAnsi" w:cstheme="minorHAnsi"/>
          <w:sz w:val="22"/>
          <w:szCs w:val="22"/>
        </w:rPr>
        <w:t xml:space="preserve">. Department of </w:t>
      </w:r>
      <w:r w:rsidRPr="0009024D">
        <w:rPr>
          <w:rFonts w:asciiTheme="minorHAnsi" w:hAnsiTheme="minorHAnsi" w:cstheme="minorHAnsi"/>
          <w:sz w:val="22"/>
          <w:szCs w:val="22"/>
        </w:rPr>
        <w:tab/>
        <w:t>Education, Philippines.</w:t>
      </w:r>
    </w:p>
    <w:p w14:paraId="63A1016A" w14:textId="77777777" w:rsidR="00D66FBD" w:rsidRDefault="00D66FBD" w:rsidP="004F5F77">
      <w:pPr>
        <w:pStyle w:val="NormalWeb"/>
        <w:numPr>
          <w:ilvl w:val="0"/>
          <w:numId w:val="2"/>
        </w:numPr>
        <w:jc w:val="both"/>
        <w:rPr>
          <w:rFonts w:asciiTheme="minorHAnsi" w:hAnsiTheme="minorHAnsi" w:cstheme="minorHAnsi"/>
          <w:sz w:val="22"/>
          <w:szCs w:val="22"/>
        </w:rPr>
      </w:pPr>
      <w:r w:rsidRPr="00D66FBD">
        <w:rPr>
          <w:rFonts w:asciiTheme="minorHAnsi" w:hAnsiTheme="minorHAnsi" w:cstheme="minorHAnsi"/>
          <w:sz w:val="22"/>
          <w:szCs w:val="22"/>
        </w:rPr>
        <w:t xml:space="preserve">Dizon, D., et al. (2021). Localization and Indigenization: Strengthening the </w:t>
      </w:r>
      <w:proofErr w:type="spellStart"/>
      <w:r w:rsidRPr="00D66FBD">
        <w:rPr>
          <w:rFonts w:asciiTheme="minorHAnsi" w:hAnsiTheme="minorHAnsi" w:cstheme="minorHAnsi"/>
          <w:sz w:val="22"/>
          <w:szCs w:val="22"/>
        </w:rPr>
        <w:t>Araling</w:t>
      </w:r>
      <w:proofErr w:type="spellEnd"/>
      <w:r w:rsidRPr="00D66FBD">
        <w:rPr>
          <w:rFonts w:asciiTheme="minorHAnsi" w:hAnsiTheme="minorHAnsi" w:cstheme="minorHAnsi"/>
          <w:sz w:val="22"/>
          <w:szCs w:val="22"/>
        </w:rPr>
        <w:t xml:space="preserve"> </w:t>
      </w:r>
      <w:proofErr w:type="spellStart"/>
      <w:r w:rsidRPr="00D66FBD">
        <w:rPr>
          <w:rFonts w:asciiTheme="minorHAnsi" w:hAnsiTheme="minorHAnsi" w:cstheme="minorHAnsi"/>
          <w:sz w:val="22"/>
          <w:szCs w:val="22"/>
        </w:rPr>
        <w:t>Panlipunan</w:t>
      </w:r>
      <w:proofErr w:type="spellEnd"/>
      <w:r w:rsidRPr="00D66FBD">
        <w:rPr>
          <w:rFonts w:asciiTheme="minorHAnsi" w:hAnsiTheme="minorHAnsi" w:cstheme="minorHAnsi"/>
          <w:sz w:val="22"/>
          <w:szCs w:val="22"/>
        </w:rPr>
        <w:t xml:space="preserve"> Curriculum in the Philippines. Journal of Social Science Education.</w:t>
      </w:r>
    </w:p>
    <w:p w14:paraId="440D241D" w14:textId="7B4E07EE" w:rsidR="00351635" w:rsidRPr="00351635" w:rsidRDefault="00351635" w:rsidP="004F5F77">
      <w:pPr>
        <w:pStyle w:val="NormalWeb"/>
        <w:numPr>
          <w:ilvl w:val="0"/>
          <w:numId w:val="2"/>
        </w:numPr>
        <w:jc w:val="both"/>
        <w:rPr>
          <w:rFonts w:asciiTheme="minorHAnsi" w:hAnsiTheme="minorHAnsi" w:cstheme="minorHAnsi"/>
          <w:sz w:val="22"/>
          <w:szCs w:val="22"/>
        </w:rPr>
      </w:pPr>
      <w:proofErr w:type="spellStart"/>
      <w:r w:rsidRPr="00351635">
        <w:rPr>
          <w:rFonts w:asciiTheme="minorHAnsi" w:hAnsiTheme="minorHAnsi" w:cstheme="minorHAnsi"/>
          <w:sz w:val="22"/>
          <w:szCs w:val="22"/>
        </w:rPr>
        <w:t>Gadaza</w:t>
      </w:r>
      <w:proofErr w:type="spellEnd"/>
      <w:r w:rsidRPr="00351635">
        <w:rPr>
          <w:rFonts w:asciiTheme="minorHAnsi" w:hAnsiTheme="minorHAnsi" w:cstheme="minorHAnsi"/>
          <w:sz w:val="22"/>
          <w:szCs w:val="22"/>
        </w:rPr>
        <w:t xml:space="preserve">, A., Manera, A., Santos, S., Alih, C., &amp; Caban, R. (2025). </w:t>
      </w:r>
      <w:r w:rsidRPr="00351635">
        <w:rPr>
          <w:rFonts w:asciiTheme="minorHAnsi" w:hAnsiTheme="minorHAnsi" w:cstheme="minorHAnsi"/>
          <w:i/>
          <w:iCs/>
          <w:sz w:val="22"/>
          <w:szCs w:val="22"/>
        </w:rPr>
        <w:t>Reviving the past, teaching the future: The role of Philippine cultural heritage in curriculum development of teacher education programs</w:t>
      </w:r>
      <w:r w:rsidRPr="00351635">
        <w:rPr>
          <w:rFonts w:asciiTheme="minorHAnsi" w:hAnsiTheme="minorHAnsi" w:cstheme="minorHAnsi"/>
          <w:sz w:val="22"/>
          <w:szCs w:val="22"/>
        </w:rPr>
        <w:t>. International Journal on Culture, History, and Religion, 7(SI2). https://doi.org/10.63931/ijchr.v7iSI2.169</w:t>
      </w:r>
    </w:p>
    <w:p w14:paraId="60B94BB9" w14:textId="6E984BCE"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George, E. W. (2010). Intangible Cultural Heritage and Local Communities: Cases from Canada. In: International Journal of Heritage Studies.</w:t>
      </w:r>
    </w:p>
    <w:p w14:paraId="475FA79D" w14:textId="08B69D32"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Graham, B., Ashworth, G. J., &amp; Tunbridge, J. E. (2000). </w:t>
      </w:r>
      <w:r w:rsidRPr="0009024D">
        <w:rPr>
          <w:rStyle w:val="Emphasis"/>
          <w:rFonts w:asciiTheme="minorHAnsi" w:hAnsiTheme="minorHAnsi" w:cstheme="minorHAnsi"/>
          <w:sz w:val="22"/>
          <w:szCs w:val="22"/>
        </w:rPr>
        <w:t xml:space="preserve">A geography of heritage: </w:t>
      </w:r>
      <w:r w:rsidRPr="0009024D">
        <w:rPr>
          <w:rStyle w:val="Emphasis"/>
          <w:rFonts w:asciiTheme="minorHAnsi" w:hAnsiTheme="minorHAnsi" w:cstheme="minorHAnsi"/>
          <w:sz w:val="22"/>
          <w:szCs w:val="22"/>
        </w:rPr>
        <w:tab/>
        <w:t>Power, culture and economy</w:t>
      </w:r>
      <w:r w:rsidRPr="0009024D">
        <w:rPr>
          <w:rFonts w:asciiTheme="minorHAnsi" w:hAnsiTheme="minorHAnsi" w:cstheme="minorHAnsi"/>
          <w:sz w:val="22"/>
          <w:szCs w:val="22"/>
        </w:rPr>
        <w:t>. Arnold.</w:t>
      </w:r>
    </w:p>
    <w:p w14:paraId="41010D57" w14:textId="77777777"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lastRenderedPageBreak/>
        <w:t xml:space="preserve">Hein, G. E. (1998). </w:t>
      </w:r>
      <w:r w:rsidRPr="0009024D">
        <w:rPr>
          <w:rStyle w:val="Emphasis"/>
          <w:rFonts w:asciiTheme="minorHAnsi" w:hAnsiTheme="minorHAnsi" w:cstheme="minorHAnsi"/>
          <w:sz w:val="22"/>
          <w:szCs w:val="22"/>
        </w:rPr>
        <w:t>Learning in the museum</w:t>
      </w:r>
      <w:r w:rsidRPr="0009024D">
        <w:rPr>
          <w:rFonts w:asciiTheme="minorHAnsi" w:hAnsiTheme="minorHAnsi" w:cstheme="minorHAnsi"/>
          <w:sz w:val="22"/>
          <w:szCs w:val="22"/>
        </w:rPr>
        <w:t>. Routledge.</w:t>
      </w:r>
    </w:p>
    <w:p w14:paraId="7C813B44"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Hooper-Greenhill, E. (2007). </w:t>
      </w:r>
      <w:r w:rsidRPr="0009024D">
        <w:rPr>
          <w:rStyle w:val="Emphasis"/>
          <w:rFonts w:asciiTheme="minorHAnsi" w:hAnsiTheme="minorHAnsi" w:cstheme="minorHAnsi"/>
          <w:sz w:val="22"/>
          <w:szCs w:val="22"/>
        </w:rPr>
        <w:t xml:space="preserve">Museums and education: Purpose, pedagogy, </w:t>
      </w:r>
      <w:r w:rsidRPr="0009024D">
        <w:rPr>
          <w:rStyle w:val="Emphasis"/>
          <w:rFonts w:asciiTheme="minorHAnsi" w:hAnsiTheme="minorHAnsi" w:cstheme="minorHAnsi"/>
          <w:sz w:val="22"/>
          <w:szCs w:val="22"/>
        </w:rPr>
        <w:tab/>
        <w:t>performance</w:t>
      </w:r>
      <w:r w:rsidRPr="0009024D">
        <w:rPr>
          <w:rFonts w:asciiTheme="minorHAnsi" w:hAnsiTheme="minorHAnsi" w:cstheme="minorHAnsi"/>
          <w:sz w:val="22"/>
          <w:szCs w:val="22"/>
        </w:rPr>
        <w:t>. Routledge.</w:t>
      </w:r>
    </w:p>
    <w:p w14:paraId="62C1A898" w14:textId="2E2000F1"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Immonen, V. (2024). </w:t>
      </w:r>
      <w:r w:rsidRPr="00351635">
        <w:rPr>
          <w:rFonts w:asciiTheme="minorHAnsi" w:hAnsiTheme="minorHAnsi" w:cstheme="minorHAnsi"/>
          <w:i/>
          <w:iCs/>
          <w:sz w:val="22"/>
          <w:szCs w:val="22"/>
        </w:rPr>
        <w:t>The politics of heritage education: An analysis of national educational policies</w:t>
      </w:r>
      <w:r w:rsidRPr="00351635">
        <w:rPr>
          <w:rFonts w:asciiTheme="minorHAnsi" w:hAnsiTheme="minorHAnsi" w:cstheme="minorHAnsi"/>
          <w:sz w:val="22"/>
          <w:szCs w:val="22"/>
        </w:rPr>
        <w:t xml:space="preserve">. International Journal of Heritage Studies. </w:t>
      </w:r>
      <w:hyperlink r:id="rId8" w:tgtFrame="_new" w:history="1">
        <w:r w:rsidRPr="00351635">
          <w:rPr>
            <w:rStyle w:val="Hyperlink"/>
            <w:rFonts w:asciiTheme="minorHAnsi" w:hAnsiTheme="minorHAnsi" w:cstheme="minorHAnsi"/>
            <w:sz w:val="22"/>
            <w:szCs w:val="22"/>
          </w:rPr>
          <w:t>https://doi.org/10.1080/01596306.2024.2412603</w:t>
        </w:r>
      </w:hyperlink>
    </w:p>
    <w:p w14:paraId="559195E6"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Kurin, R. (2004). Safeguarding intangible cultural heritage in the 2003 UNESCO </w:t>
      </w:r>
      <w:r w:rsidRPr="0009024D">
        <w:rPr>
          <w:rFonts w:asciiTheme="minorHAnsi" w:hAnsiTheme="minorHAnsi" w:cstheme="minorHAnsi"/>
          <w:sz w:val="22"/>
          <w:szCs w:val="22"/>
        </w:rPr>
        <w:tab/>
        <w:t xml:space="preserve">Convention: A critical appraisal. </w:t>
      </w:r>
      <w:r w:rsidRPr="0009024D">
        <w:rPr>
          <w:rStyle w:val="Emphasis"/>
          <w:rFonts w:asciiTheme="minorHAnsi" w:hAnsiTheme="minorHAnsi" w:cstheme="minorHAnsi"/>
          <w:sz w:val="22"/>
          <w:szCs w:val="22"/>
        </w:rPr>
        <w:t>Museum International</w:t>
      </w:r>
      <w:r w:rsidRPr="0009024D">
        <w:rPr>
          <w:rFonts w:asciiTheme="minorHAnsi" w:hAnsiTheme="minorHAnsi" w:cstheme="minorHAnsi"/>
          <w:sz w:val="22"/>
          <w:szCs w:val="22"/>
        </w:rPr>
        <w:t>, 56(1–2), 66–77.</w:t>
      </w:r>
    </w:p>
    <w:p w14:paraId="3516DF49" w14:textId="3452BDCD"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Leijonhufvud, G. (2025). </w:t>
      </w:r>
      <w:r w:rsidRPr="00351635">
        <w:rPr>
          <w:rFonts w:asciiTheme="minorHAnsi" w:hAnsiTheme="minorHAnsi" w:cstheme="minorHAnsi"/>
          <w:i/>
          <w:iCs/>
          <w:sz w:val="22"/>
          <w:szCs w:val="22"/>
        </w:rPr>
        <w:t>Sustainable education for sustainable heritage</w:t>
      </w:r>
      <w:r w:rsidRPr="00351635">
        <w:rPr>
          <w:rFonts w:asciiTheme="minorHAnsi" w:hAnsiTheme="minorHAnsi" w:cstheme="minorHAnsi"/>
          <w:sz w:val="22"/>
          <w:szCs w:val="22"/>
        </w:rPr>
        <w:t xml:space="preserve">. Journal of Education &amp; Environment. </w:t>
      </w:r>
      <w:hyperlink r:id="rId9" w:tgtFrame="_new" w:history="1">
        <w:r w:rsidRPr="00351635">
          <w:rPr>
            <w:rStyle w:val="Hyperlink"/>
            <w:rFonts w:asciiTheme="minorHAnsi" w:hAnsiTheme="minorHAnsi" w:cstheme="minorHAnsi"/>
            <w:sz w:val="22"/>
            <w:szCs w:val="22"/>
          </w:rPr>
          <w:t>https://doi.org/10.1080/01971360.2024.2415792</w:t>
        </w:r>
      </w:hyperlink>
    </w:p>
    <w:p w14:paraId="7861382E" w14:textId="4B3C5E74"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Li, Q. (2025). </w:t>
      </w:r>
      <w:r w:rsidRPr="00351635">
        <w:rPr>
          <w:rFonts w:asciiTheme="minorHAnsi" w:hAnsiTheme="minorHAnsi" w:cstheme="minorHAnsi"/>
          <w:i/>
          <w:iCs/>
          <w:sz w:val="22"/>
          <w:szCs w:val="22"/>
        </w:rPr>
        <w:t>Beyond the buzzword: Interdisciplinary education in cultural heritage needs a purpose</w:t>
      </w:r>
      <w:r w:rsidRPr="00351635">
        <w:rPr>
          <w:rFonts w:asciiTheme="minorHAnsi" w:hAnsiTheme="minorHAnsi" w:cstheme="minorHAnsi"/>
          <w:sz w:val="22"/>
          <w:szCs w:val="22"/>
        </w:rPr>
        <w:t>. Journal of Education, Humanities, and Social Research, 2(3), 115–121. https://doi.org/10.71222/gg4gyh31</w:t>
      </w:r>
    </w:p>
    <w:p w14:paraId="6D41FF49" w14:textId="77777777"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 xml:space="preserve">Lico, G. (2008). </w:t>
      </w:r>
      <w:proofErr w:type="spellStart"/>
      <w:r w:rsidRPr="000448D6">
        <w:rPr>
          <w:rFonts w:asciiTheme="minorHAnsi" w:hAnsiTheme="minorHAnsi" w:cstheme="minorHAnsi"/>
          <w:sz w:val="22"/>
          <w:szCs w:val="22"/>
        </w:rPr>
        <w:t>Arkitektura</w:t>
      </w:r>
      <w:proofErr w:type="spellEnd"/>
      <w:r w:rsidRPr="000448D6">
        <w:rPr>
          <w:rFonts w:asciiTheme="minorHAnsi" w:hAnsiTheme="minorHAnsi" w:cstheme="minorHAnsi"/>
          <w:sz w:val="22"/>
          <w:szCs w:val="22"/>
        </w:rPr>
        <w:t>: An Introduction to Philippine Architecture. University of the Philippines Press.</w:t>
      </w:r>
    </w:p>
    <w:p w14:paraId="7E45DD30" w14:textId="78A41B68" w:rsidR="00351635" w:rsidRPr="00351635" w:rsidRDefault="00351635" w:rsidP="004F5F77">
      <w:pPr>
        <w:pStyle w:val="NormalWeb"/>
        <w:numPr>
          <w:ilvl w:val="0"/>
          <w:numId w:val="2"/>
        </w:numPr>
        <w:jc w:val="both"/>
        <w:rPr>
          <w:rFonts w:asciiTheme="minorHAnsi" w:hAnsiTheme="minorHAnsi" w:cstheme="minorHAnsi"/>
          <w:sz w:val="22"/>
          <w:szCs w:val="22"/>
        </w:rPr>
      </w:pPr>
      <w:proofErr w:type="spellStart"/>
      <w:r w:rsidRPr="00351635">
        <w:rPr>
          <w:rFonts w:asciiTheme="minorHAnsi" w:hAnsiTheme="minorHAnsi" w:cstheme="minorHAnsi"/>
          <w:sz w:val="22"/>
          <w:szCs w:val="22"/>
        </w:rPr>
        <w:t>Orphanidou</w:t>
      </w:r>
      <w:proofErr w:type="spellEnd"/>
      <w:r w:rsidRPr="00351635">
        <w:rPr>
          <w:rFonts w:asciiTheme="minorHAnsi" w:hAnsiTheme="minorHAnsi" w:cstheme="minorHAnsi"/>
          <w:sz w:val="22"/>
          <w:szCs w:val="22"/>
        </w:rPr>
        <w:t xml:space="preserve">, Y., Efthymiou, L., &amp; Panayiotou, G. (2024). </w:t>
      </w:r>
      <w:r w:rsidRPr="00351635">
        <w:rPr>
          <w:rFonts w:asciiTheme="minorHAnsi" w:hAnsiTheme="minorHAnsi" w:cstheme="minorHAnsi"/>
          <w:i/>
          <w:iCs/>
          <w:sz w:val="22"/>
          <w:szCs w:val="22"/>
        </w:rPr>
        <w:t xml:space="preserve">Cultural heritage for sustainable education amidst </w:t>
      </w:r>
      <w:proofErr w:type="spellStart"/>
      <w:r w:rsidRPr="00351635">
        <w:rPr>
          <w:rFonts w:asciiTheme="minorHAnsi" w:hAnsiTheme="minorHAnsi" w:cstheme="minorHAnsi"/>
          <w:i/>
          <w:iCs/>
          <w:sz w:val="22"/>
          <w:szCs w:val="22"/>
        </w:rPr>
        <w:t>digitalisation</w:t>
      </w:r>
      <w:proofErr w:type="spellEnd"/>
      <w:r w:rsidRPr="00351635">
        <w:rPr>
          <w:rFonts w:asciiTheme="minorHAnsi" w:hAnsiTheme="minorHAnsi" w:cstheme="minorHAnsi"/>
          <w:sz w:val="22"/>
          <w:szCs w:val="22"/>
        </w:rPr>
        <w:t>. Sustainability, 16(4), 1540. https://doi.org/10.3390/su16041540</w:t>
      </w:r>
    </w:p>
    <w:p w14:paraId="55881195" w14:textId="77777777" w:rsidR="004D3A8F" w:rsidRDefault="004D3A8F" w:rsidP="004F5F77">
      <w:pPr>
        <w:pStyle w:val="NormalWeb"/>
        <w:numPr>
          <w:ilvl w:val="0"/>
          <w:numId w:val="2"/>
        </w:numPr>
        <w:jc w:val="both"/>
        <w:rPr>
          <w:rFonts w:asciiTheme="minorHAnsi" w:hAnsiTheme="minorHAnsi" w:cstheme="minorHAnsi"/>
          <w:sz w:val="22"/>
          <w:szCs w:val="22"/>
        </w:rPr>
      </w:pPr>
      <w:r w:rsidRPr="004D3A8F">
        <w:rPr>
          <w:rFonts w:asciiTheme="minorHAnsi" w:hAnsiTheme="minorHAnsi" w:cstheme="minorHAnsi"/>
          <w:sz w:val="22"/>
          <w:szCs w:val="22"/>
        </w:rPr>
        <w:t>Republic of the Philippines. (2009). Republic Act No. 10066: National Cultural Heritage Act of 2009. Official Gazette of the Republic of the Philippines.</w:t>
      </w:r>
    </w:p>
    <w:p w14:paraId="02020826" w14:textId="77777777" w:rsidR="00D66FBD" w:rsidRDefault="00D66FBD" w:rsidP="004F5F77">
      <w:pPr>
        <w:pStyle w:val="NormalWeb"/>
        <w:numPr>
          <w:ilvl w:val="0"/>
          <w:numId w:val="2"/>
        </w:numPr>
        <w:jc w:val="both"/>
        <w:rPr>
          <w:rFonts w:asciiTheme="minorHAnsi" w:hAnsiTheme="minorHAnsi" w:cstheme="minorHAnsi"/>
          <w:sz w:val="22"/>
          <w:szCs w:val="22"/>
        </w:rPr>
      </w:pPr>
      <w:proofErr w:type="spellStart"/>
      <w:r w:rsidRPr="00D66FBD">
        <w:rPr>
          <w:rFonts w:asciiTheme="minorHAnsi" w:hAnsiTheme="minorHAnsi" w:cstheme="minorHAnsi"/>
          <w:sz w:val="22"/>
          <w:szCs w:val="22"/>
        </w:rPr>
        <w:t>Tabbada</w:t>
      </w:r>
      <w:proofErr w:type="spellEnd"/>
      <w:r w:rsidRPr="00D66FBD">
        <w:rPr>
          <w:rFonts w:asciiTheme="minorHAnsi" w:hAnsiTheme="minorHAnsi" w:cstheme="minorHAnsi"/>
          <w:sz w:val="22"/>
          <w:szCs w:val="22"/>
        </w:rPr>
        <w:t>, E. V. (2018). Heritage Education: A Manual for Teachers and Community Leaders. National Commission for Culture and the Arts (NCCA).</w:t>
      </w:r>
    </w:p>
    <w:p w14:paraId="11563043" w14:textId="60E310A2"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UNESCO. (2021). Historic City of Vigan: World Heritage List. UNESCO World Heritage Centre. https://whc.unesco.org/en/list/502</w:t>
      </w:r>
    </w:p>
    <w:p w14:paraId="00480EB8" w14:textId="77777777" w:rsidR="004D3A8F" w:rsidRDefault="004D3A8F" w:rsidP="004F5F77">
      <w:pPr>
        <w:pStyle w:val="NormalWeb"/>
        <w:numPr>
          <w:ilvl w:val="0"/>
          <w:numId w:val="2"/>
        </w:numPr>
        <w:jc w:val="both"/>
        <w:rPr>
          <w:rFonts w:asciiTheme="minorHAnsi" w:hAnsiTheme="minorHAnsi" w:cstheme="minorHAnsi"/>
          <w:sz w:val="22"/>
          <w:szCs w:val="22"/>
        </w:rPr>
      </w:pPr>
      <w:r w:rsidRPr="004D3A8F">
        <w:rPr>
          <w:rFonts w:asciiTheme="minorHAnsi" w:hAnsiTheme="minorHAnsi" w:cstheme="minorHAnsi"/>
          <w:sz w:val="22"/>
          <w:szCs w:val="22"/>
        </w:rPr>
        <w:t>UNESCO. (2010). World Heritage City of Vigan, Philippines: Heritage Homeowner's Preservation Manual. UNESCO Bangkok.</w:t>
      </w:r>
    </w:p>
    <w:p w14:paraId="7AAB4464" w14:textId="570DBA2D"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 xml:space="preserve">UNESCO. (2003). Convention for the Safeguarding of the Intangible Cultural Heritage. UNESCO Digital Library. </w:t>
      </w:r>
      <w:hyperlink r:id="rId10" w:history="1">
        <w:r w:rsidR="00351635" w:rsidRPr="00D168DA">
          <w:rPr>
            <w:rStyle w:val="Hyperlink"/>
            <w:rFonts w:asciiTheme="minorHAnsi" w:hAnsiTheme="minorHAnsi" w:cstheme="minorHAnsi"/>
            <w:sz w:val="22"/>
            <w:szCs w:val="22"/>
          </w:rPr>
          <w:t>https://ich.unesco.org/en/convention</w:t>
        </w:r>
      </w:hyperlink>
    </w:p>
    <w:p w14:paraId="56BF7776" w14:textId="32598497"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Valencia Arnica, Y. K., Ccasani Rodriguez, J. L., </w:t>
      </w:r>
      <w:proofErr w:type="spellStart"/>
      <w:r w:rsidRPr="00351635">
        <w:rPr>
          <w:rFonts w:asciiTheme="minorHAnsi" w:hAnsiTheme="minorHAnsi" w:cstheme="minorHAnsi"/>
          <w:sz w:val="22"/>
          <w:szCs w:val="22"/>
        </w:rPr>
        <w:t>Rucano</w:t>
      </w:r>
      <w:proofErr w:type="spellEnd"/>
      <w:r w:rsidRPr="00351635">
        <w:rPr>
          <w:rFonts w:asciiTheme="minorHAnsi" w:hAnsiTheme="minorHAnsi" w:cstheme="minorHAnsi"/>
          <w:sz w:val="22"/>
          <w:szCs w:val="22"/>
        </w:rPr>
        <w:t xml:space="preserve"> </w:t>
      </w:r>
      <w:proofErr w:type="spellStart"/>
      <w:r w:rsidRPr="00351635">
        <w:rPr>
          <w:rFonts w:asciiTheme="minorHAnsi" w:hAnsiTheme="minorHAnsi" w:cstheme="minorHAnsi"/>
          <w:sz w:val="22"/>
          <w:szCs w:val="22"/>
        </w:rPr>
        <w:t>Paucar</w:t>
      </w:r>
      <w:proofErr w:type="spellEnd"/>
      <w:r w:rsidRPr="00351635">
        <w:rPr>
          <w:rFonts w:asciiTheme="minorHAnsi" w:hAnsiTheme="minorHAnsi" w:cstheme="minorHAnsi"/>
          <w:sz w:val="22"/>
          <w:szCs w:val="22"/>
        </w:rPr>
        <w:t xml:space="preserve">, F. H., &amp; Talavera-Mendoza, F. (2023). </w:t>
      </w:r>
      <w:r w:rsidRPr="00351635">
        <w:rPr>
          <w:rFonts w:asciiTheme="minorHAnsi" w:hAnsiTheme="minorHAnsi" w:cstheme="minorHAnsi"/>
          <w:i/>
          <w:iCs/>
          <w:sz w:val="22"/>
          <w:szCs w:val="22"/>
        </w:rPr>
        <w:t>The status of didactic models for heritage education: A systematic review</w:t>
      </w:r>
      <w:r w:rsidRPr="00351635">
        <w:rPr>
          <w:rFonts w:asciiTheme="minorHAnsi" w:hAnsiTheme="minorHAnsi" w:cstheme="minorHAnsi"/>
          <w:sz w:val="22"/>
          <w:szCs w:val="22"/>
        </w:rPr>
        <w:t xml:space="preserve">. Heritage, 6(12), 400. </w:t>
      </w:r>
      <w:hyperlink r:id="rId11" w:tgtFrame="_new" w:history="1">
        <w:r w:rsidRPr="00351635">
          <w:rPr>
            <w:rStyle w:val="Hyperlink"/>
            <w:rFonts w:asciiTheme="minorHAnsi" w:hAnsiTheme="minorHAnsi" w:cstheme="minorHAnsi"/>
            <w:sz w:val="22"/>
            <w:szCs w:val="22"/>
          </w:rPr>
          <w:t>https://doi.org/10.3390/heritage6120400</w:t>
        </w:r>
      </w:hyperlink>
    </w:p>
    <w:p w14:paraId="0B22C6B2" w14:textId="454ECA14" w:rsidR="000448D6" w:rsidRPr="0009024D" w:rsidRDefault="000448D6" w:rsidP="004F5F77">
      <w:pPr>
        <w:pStyle w:val="NormalWeb"/>
        <w:numPr>
          <w:ilvl w:val="0"/>
          <w:numId w:val="2"/>
        </w:numPr>
        <w:jc w:val="both"/>
        <w:rPr>
          <w:rFonts w:asciiTheme="minorHAnsi" w:hAnsiTheme="minorHAnsi" w:cstheme="minorHAnsi"/>
          <w:sz w:val="22"/>
          <w:szCs w:val="22"/>
        </w:rPr>
      </w:pPr>
      <w:proofErr w:type="spellStart"/>
      <w:r w:rsidRPr="000448D6">
        <w:rPr>
          <w:rFonts w:asciiTheme="minorHAnsi" w:hAnsiTheme="minorHAnsi" w:cstheme="minorHAnsi"/>
          <w:sz w:val="22"/>
          <w:szCs w:val="22"/>
        </w:rPr>
        <w:t>Zerrudo</w:t>
      </w:r>
      <w:proofErr w:type="spellEnd"/>
      <w:r w:rsidRPr="000448D6">
        <w:rPr>
          <w:rFonts w:asciiTheme="minorHAnsi" w:hAnsiTheme="minorHAnsi" w:cstheme="minorHAnsi"/>
          <w:sz w:val="22"/>
          <w:szCs w:val="22"/>
        </w:rPr>
        <w:t>, E. B. (2010). The Cultural Mapping Project of the City of Vigan: A Tool for Heritage Conservation and Sustainable Development. University of Santo Tomas Publishing House.</w:t>
      </w:r>
    </w:p>
    <w:p w14:paraId="3E1C632B" w14:textId="77777777" w:rsidR="00F83BE3" w:rsidRPr="0009024D" w:rsidRDefault="00F83BE3" w:rsidP="0009024D">
      <w:pPr>
        <w:jc w:val="both"/>
        <w:rPr>
          <w:rFonts w:cstheme="minorHAnsi"/>
          <w:sz w:val="22"/>
          <w:szCs w:val="22"/>
        </w:rPr>
      </w:pPr>
    </w:p>
    <w:sectPr w:rsidR="00F83BE3" w:rsidRPr="0009024D" w:rsidSect="000448D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E1FC0" w14:textId="77777777" w:rsidR="00E00395" w:rsidRDefault="00E00395" w:rsidP="007D6921">
      <w:r>
        <w:separator/>
      </w:r>
    </w:p>
  </w:endnote>
  <w:endnote w:type="continuationSeparator" w:id="0">
    <w:p w14:paraId="10827CE6" w14:textId="77777777" w:rsidR="00E00395" w:rsidRDefault="00E00395" w:rsidP="007D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DE76" w14:textId="77777777" w:rsidR="007D6921" w:rsidRDefault="007D6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A76D" w14:textId="77777777" w:rsidR="007D6921" w:rsidRDefault="007D6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A13" w14:textId="77777777" w:rsidR="007D6921" w:rsidRDefault="007D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D6705" w14:textId="77777777" w:rsidR="00E00395" w:rsidRDefault="00E00395" w:rsidP="007D6921">
      <w:r>
        <w:separator/>
      </w:r>
    </w:p>
  </w:footnote>
  <w:footnote w:type="continuationSeparator" w:id="0">
    <w:p w14:paraId="5512E7BA" w14:textId="77777777" w:rsidR="00E00395" w:rsidRDefault="00E00395" w:rsidP="007D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6881" w14:textId="5D08BE4B" w:rsidR="007D6921" w:rsidRDefault="00E00395">
    <w:pPr>
      <w:pStyle w:val="Header"/>
    </w:pPr>
    <w:r>
      <w:rPr>
        <w:noProof/>
      </w:rPr>
      <w:pict w14:anchorId="59E9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1" o:spid="_x0000_s2050"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F107" w14:textId="0873C2DC" w:rsidR="007D6921" w:rsidRDefault="00E00395">
    <w:pPr>
      <w:pStyle w:val="Header"/>
    </w:pPr>
    <w:r>
      <w:rPr>
        <w:noProof/>
      </w:rPr>
      <w:pict w14:anchorId="2340C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2" o:spid="_x0000_s2051"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8D23" w14:textId="1136D2C3" w:rsidR="007D6921" w:rsidRDefault="00E00395">
    <w:pPr>
      <w:pStyle w:val="Header"/>
    </w:pPr>
    <w:r>
      <w:rPr>
        <w:noProof/>
      </w:rPr>
      <w:pict w14:anchorId="4B0B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0" o:spid="_x0000_s2049"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33A1"/>
    <w:multiLevelType w:val="singleLevel"/>
    <w:tmpl w:val="13C933A1"/>
    <w:lvl w:ilvl="0">
      <w:start w:val="1"/>
      <w:numFmt w:val="decimal"/>
      <w:suff w:val="space"/>
      <w:lvlText w:val="%1."/>
      <w:lvlJc w:val="left"/>
    </w:lvl>
  </w:abstractNum>
  <w:abstractNum w:abstractNumId="1" w15:restartNumberingAfterBreak="0">
    <w:nsid w:val="1A2D5B28"/>
    <w:multiLevelType w:val="hybridMultilevel"/>
    <w:tmpl w:val="ACD86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1A1EF0"/>
    <w:rsid w:val="00037F4B"/>
    <w:rsid w:val="000448D6"/>
    <w:rsid w:val="0008674E"/>
    <w:rsid w:val="0009024D"/>
    <w:rsid w:val="000D3E2E"/>
    <w:rsid w:val="000E1766"/>
    <w:rsid w:val="00141C10"/>
    <w:rsid w:val="0016369B"/>
    <w:rsid w:val="00211C6C"/>
    <w:rsid w:val="002814CF"/>
    <w:rsid w:val="00332DD8"/>
    <w:rsid w:val="00351635"/>
    <w:rsid w:val="003C6FD3"/>
    <w:rsid w:val="004B43F1"/>
    <w:rsid w:val="004D3A8F"/>
    <w:rsid w:val="004F5F77"/>
    <w:rsid w:val="005E1308"/>
    <w:rsid w:val="00603690"/>
    <w:rsid w:val="00647601"/>
    <w:rsid w:val="006A7ABB"/>
    <w:rsid w:val="007D5333"/>
    <w:rsid w:val="007D6921"/>
    <w:rsid w:val="00903EAC"/>
    <w:rsid w:val="009835BF"/>
    <w:rsid w:val="00A048C1"/>
    <w:rsid w:val="00A25597"/>
    <w:rsid w:val="00A25B27"/>
    <w:rsid w:val="00AA71FA"/>
    <w:rsid w:val="00AE1DA1"/>
    <w:rsid w:val="00AF149C"/>
    <w:rsid w:val="00B27274"/>
    <w:rsid w:val="00B83717"/>
    <w:rsid w:val="00C12F69"/>
    <w:rsid w:val="00C73722"/>
    <w:rsid w:val="00CC25F9"/>
    <w:rsid w:val="00D26480"/>
    <w:rsid w:val="00D66FBD"/>
    <w:rsid w:val="00DC3133"/>
    <w:rsid w:val="00E00395"/>
    <w:rsid w:val="00E202C5"/>
    <w:rsid w:val="00ED7017"/>
    <w:rsid w:val="00F70F94"/>
    <w:rsid w:val="00F83BE3"/>
    <w:rsid w:val="00FE2CBD"/>
    <w:rsid w:val="17E84F76"/>
    <w:rsid w:val="381A1EF0"/>
    <w:rsid w:val="499B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3E960C"/>
  <w15:docId w15:val="{F65C79E8-BB7A-437A-95ED-EC1FF3A6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NoSpacing">
    <w:name w:val="No Spacing"/>
    <w:uiPriority w:val="1"/>
    <w:qFormat/>
    <w:rsid w:val="00A25597"/>
    <w:rPr>
      <w:rFonts w:asciiTheme="minorHAnsi" w:eastAsiaTheme="minorHAnsi" w:hAnsiTheme="minorHAnsi" w:cstheme="minorBidi"/>
      <w:sz w:val="22"/>
      <w:szCs w:val="22"/>
      <w:lang w:eastAsia="en-US"/>
    </w:rPr>
  </w:style>
  <w:style w:type="table" w:styleId="TableGrid">
    <w:name w:val="Table Grid"/>
    <w:basedOn w:val="TableNormal"/>
    <w:uiPriority w:val="39"/>
    <w:rsid w:val="00A25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48D6"/>
    <w:rPr>
      <w:color w:val="0563C1" w:themeColor="hyperlink"/>
      <w:u w:val="single"/>
    </w:rPr>
  </w:style>
  <w:style w:type="character" w:styleId="UnresolvedMention">
    <w:name w:val="Unresolved Mention"/>
    <w:basedOn w:val="DefaultParagraphFont"/>
    <w:uiPriority w:val="99"/>
    <w:semiHidden/>
    <w:unhideWhenUsed/>
    <w:rsid w:val="000448D6"/>
    <w:rPr>
      <w:color w:val="605E5C"/>
      <w:shd w:val="clear" w:color="auto" w:fill="E1DFDD"/>
    </w:rPr>
  </w:style>
  <w:style w:type="paragraph" w:styleId="Header">
    <w:name w:val="header"/>
    <w:basedOn w:val="Normal"/>
    <w:link w:val="HeaderChar"/>
    <w:rsid w:val="007D6921"/>
    <w:pPr>
      <w:tabs>
        <w:tab w:val="center" w:pos="4680"/>
        <w:tab w:val="right" w:pos="9360"/>
      </w:tabs>
    </w:pPr>
  </w:style>
  <w:style w:type="character" w:customStyle="1" w:styleId="HeaderChar">
    <w:name w:val="Header Char"/>
    <w:basedOn w:val="DefaultParagraphFont"/>
    <w:link w:val="Header"/>
    <w:rsid w:val="007D6921"/>
    <w:rPr>
      <w:rFonts w:asciiTheme="minorHAnsi" w:eastAsiaTheme="minorEastAsia" w:hAnsiTheme="minorHAnsi" w:cstheme="minorBidi"/>
      <w:lang w:val="en-US" w:eastAsia="zh-CN"/>
    </w:rPr>
  </w:style>
  <w:style w:type="paragraph" w:styleId="Footer">
    <w:name w:val="footer"/>
    <w:basedOn w:val="Normal"/>
    <w:link w:val="FooterChar"/>
    <w:rsid w:val="007D6921"/>
    <w:pPr>
      <w:tabs>
        <w:tab w:val="center" w:pos="4680"/>
        <w:tab w:val="right" w:pos="9360"/>
      </w:tabs>
    </w:pPr>
  </w:style>
  <w:style w:type="character" w:customStyle="1" w:styleId="FooterChar">
    <w:name w:val="Footer Char"/>
    <w:basedOn w:val="DefaultParagraphFont"/>
    <w:link w:val="Footer"/>
    <w:rsid w:val="007D6921"/>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1596306.2024.241260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educ.2022.81419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ritage61204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ch.unesco.org/en/conven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1971360.2024.241579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Mark Suyat</dc:creator>
  <cp:lastModifiedBy>SDI 1186</cp:lastModifiedBy>
  <cp:revision>22</cp:revision>
  <dcterms:created xsi:type="dcterms:W3CDTF">2026-01-23T03:16:00Z</dcterms:created>
  <dcterms:modified xsi:type="dcterms:W3CDTF">2026-02-12T11:49:00Z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4A40131FB75342E28B9FC3C84089283B_11</vt:lpwstr>
  </property>
</Properties>
</file>