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D9042" w14:textId="77777777" w:rsidR="008640D1" w:rsidRDefault="008640D1" w:rsidP="007F6F10">
      <w:pPr>
        <w:pStyle w:val="Author"/>
        <w:spacing w:line="240" w:lineRule="auto"/>
        <w:ind w:right="-864"/>
        <w:jc w:val="both"/>
        <w:rPr>
          <w:rFonts w:ascii="Arial" w:hAnsi="Arial" w:cs="Arial"/>
          <w:bCs/>
          <w:color w:val="000000" w:themeColor="text1"/>
          <w:sz w:val="36"/>
          <w:szCs w:val="36"/>
        </w:rPr>
      </w:pPr>
      <w:r w:rsidRPr="008640D1">
        <w:rPr>
          <w:rFonts w:ascii="Arial" w:hAnsi="Arial" w:cs="Arial"/>
          <w:bCs/>
          <w:color w:val="000000" w:themeColor="text1"/>
          <w:sz w:val="36"/>
          <w:szCs w:val="36"/>
        </w:rPr>
        <w:t>Microbial Inoculant–Integrated Hydroponic System for Sustainable Production of Fenugreek (</w:t>
      </w:r>
      <w:proofErr w:type="spellStart"/>
      <w:r w:rsidRPr="008640D1">
        <w:rPr>
          <w:rFonts w:ascii="Arial" w:hAnsi="Arial" w:cs="Arial"/>
          <w:bCs/>
          <w:i/>
          <w:iCs/>
          <w:color w:val="000000" w:themeColor="text1"/>
          <w:sz w:val="36"/>
          <w:szCs w:val="36"/>
        </w:rPr>
        <w:t>Trigonella</w:t>
      </w:r>
      <w:proofErr w:type="spellEnd"/>
      <w:r w:rsidRPr="008640D1">
        <w:rPr>
          <w:rFonts w:ascii="Arial" w:hAnsi="Arial" w:cs="Arial"/>
          <w:bCs/>
          <w:i/>
          <w:iCs/>
          <w:color w:val="000000" w:themeColor="text1"/>
          <w:sz w:val="36"/>
          <w:szCs w:val="36"/>
        </w:rPr>
        <w:t xml:space="preserve"> </w:t>
      </w:r>
      <w:proofErr w:type="spellStart"/>
      <w:r w:rsidRPr="008640D1">
        <w:rPr>
          <w:rFonts w:ascii="Arial" w:hAnsi="Arial" w:cs="Arial"/>
          <w:bCs/>
          <w:i/>
          <w:iCs/>
          <w:color w:val="000000" w:themeColor="text1"/>
          <w:sz w:val="36"/>
          <w:szCs w:val="36"/>
        </w:rPr>
        <w:t>foenum</w:t>
      </w:r>
      <w:proofErr w:type="spellEnd"/>
      <w:r w:rsidRPr="008640D1">
        <w:rPr>
          <w:rFonts w:ascii="Arial" w:hAnsi="Arial" w:cs="Arial"/>
          <w:bCs/>
          <w:i/>
          <w:iCs/>
          <w:color w:val="000000" w:themeColor="text1"/>
          <w:sz w:val="36"/>
          <w:szCs w:val="36"/>
        </w:rPr>
        <w:t>-graecum</w:t>
      </w:r>
      <w:r w:rsidRPr="008640D1">
        <w:rPr>
          <w:rFonts w:ascii="Arial" w:hAnsi="Arial" w:cs="Arial"/>
          <w:bCs/>
          <w:color w:val="000000" w:themeColor="text1"/>
          <w:sz w:val="36"/>
          <w:szCs w:val="36"/>
        </w:rPr>
        <w:t>)</w:t>
      </w:r>
    </w:p>
    <w:p w14:paraId="54301895" w14:textId="77777777" w:rsidR="001227F9" w:rsidRDefault="001227F9" w:rsidP="007F6F10">
      <w:pPr>
        <w:pStyle w:val="Affiliation"/>
        <w:spacing w:after="0" w:line="240" w:lineRule="auto"/>
        <w:jc w:val="both"/>
        <w:rPr>
          <w:rFonts w:ascii="Arial" w:hAnsi="Arial" w:cs="Arial"/>
        </w:rPr>
      </w:pPr>
    </w:p>
    <w:p w14:paraId="2E2C7580" w14:textId="48C1F5B1" w:rsidR="002C57D2" w:rsidRPr="001B17D0" w:rsidRDefault="002C57D2" w:rsidP="007F6F10">
      <w:pPr>
        <w:pStyle w:val="Affiliation"/>
        <w:spacing w:after="0" w:line="240" w:lineRule="auto"/>
        <w:jc w:val="both"/>
        <w:rPr>
          <w:rFonts w:ascii="Arial" w:hAnsi="Arial" w:cs="Arial"/>
        </w:rPr>
      </w:pPr>
    </w:p>
    <w:p w14:paraId="7AA48943" w14:textId="242243DE" w:rsidR="00B01FCD" w:rsidRPr="00FB3A86" w:rsidRDefault="00FB3A86" w:rsidP="00E95957">
      <w:pPr>
        <w:pStyle w:val="Copyright"/>
        <w:spacing w:after="0" w:line="240" w:lineRule="auto"/>
        <w:jc w:val="both"/>
        <w:rPr>
          <w:rFonts w:ascii="Arial" w:hAnsi="Arial" w:cs="Arial"/>
        </w:rPr>
        <w:sectPr w:rsidR="00B01FCD" w:rsidRPr="00FB3A86" w:rsidSect="00BA3FA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1532C069" w14:textId="23E08C4D" w:rsidR="00B01FCD" w:rsidRDefault="00B01FCD" w:rsidP="007F6F10">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0C335E" w14:textId="77777777" w:rsidR="00790ADA" w:rsidRPr="00FB3A86" w:rsidRDefault="00790ADA" w:rsidP="007F6F1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5EAD0B6" w14:textId="77777777" w:rsidTr="001E44FE">
        <w:tc>
          <w:tcPr>
            <w:tcW w:w="9576" w:type="dxa"/>
            <w:shd w:val="clear" w:color="auto" w:fill="F2F2F2"/>
          </w:tcPr>
          <w:p w14:paraId="03C4F4AA" w14:textId="5CB5B1BC" w:rsidR="00505F06" w:rsidRPr="005D79D5" w:rsidRDefault="00A57CDF" w:rsidP="007F6F10">
            <w:pPr>
              <w:spacing w:before="240" w:line="360" w:lineRule="auto"/>
              <w:jc w:val="both"/>
              <w:rPr>
                <w:rFonts w:ascii="Arial" w:eastAsia="Calibri" w:hAnsi="Arial" w:cs="Arial"/>
                <w:szCs w:val="22"/>
                <w:lang w:val="en-IN"/>
              </w:rPr>
            </w:pPr>
            <w:r w:rsidRPr="005D79D5">
              <w:rPr>
                <w:rFonts w:ascii="Arial" w:eastAsia="Calibri" w:hAnsi="Arial" w:cs="Arial"/>
                <w:bCs/>
                <w:szCs w:val="22"/>
                <w:lang w:val="en-IN"/>
              </w:rPr>
              <w:t>Hydroponics is an advanced soilless cultivation technique that facilitates efficient and sustainable crop production, particularly for leafy vegetables such as fenugreek. However, conventional hydroponic systems rely predominantly on synthetic nutrient solutions, which raise concerns regarding environmental sustainability. The present study aimed to develop and evaluate a biofertilizer-based nutrient solution as a sustainable alternative to synthetic inputs for hydroponic cultivation of fenugreek using the floating raft method with cocopeat as the substrate</w:t>
            </w:r>
            <w:r w:rsidRPr="007F6F10">
              <w:rPr>
                <w:rFonts w:ascii="Arial" w:eastAsia="Calibri" w:hAnsi="Arial" w:cs="Arial"/>
                <w:bCs/>
                <w:szCs w:val="22"/>
                <w:highlight w:val="yellow"/>
                <w:lang w:val="en-IN"/>
              </w:rPr>
              <w:t>.</w:t>
            </w:r>
            <w:r w:rsidR="00B20F65" w:rsidRPr="007F6F10">
              <w:rPr>
                <w:rFonts w:ascii="Arial" w:eastAsia="Calibri" w:hAnsi="Arial" w:cs="Arial"/>
                <w:bCs/>
                <w:szCs w:val="22"/>
                <w:highlight w:val="yellow"/>
                <w:lang w:val="en-IN"/>
              </w:rPr>
              <w:t xml:space="preserve"> </w:t>
            </w:r>
            <w:r w:rsidR="00AD3A78" w:rsidRPr="007F6F10">
              <w:rPr>
                <w:rFonts w:ascii="Arial" w:eastAsia="Calibri" w:hAnsi="Arial" w:cs="Arial"/>
                <w:bCs/>
                <w:szCs w:val="22"/>
                <w:highlight w:val="yellow"/>
                <w:lang w:val="en-IN"/>
              </w:rPr>
              <w:t>A total of s</w:t>
            </w:r>
            <w:r w:rsidRPr="007F6F10">
              <w:rPr>
                <w:rFonts w:ascii="Arial" w:eastAsia="Calibri" w:hAnsi="Arial" w:cs="Arial"/>
                <w:bCs/>
                <w:szCs w:val="22"/>
                <w:highlight w:val="yellow"/>
                <w:lang w:val="en-IN"/>
              </w:rPr>
              <w:t>ix treatments</w:t>
            </w:r>
            <w:r w:rsidRPr="005D79D5">
              <w:rPr>
                <w:rFonts w:ascii="Arial" w:eastAsia="Calibri" w:hAnsi="Arial" w:cs="Arial"/>
                <w:bCs/>
                <w:szCs w:val="22"/>
                <w:lang w:val="en-IN"/>
              </w:rPr>
              <w:t xml:space="preserve"> were evaluated, comprising a standard Hoagland nutrient solution, individual biofertilizers—</w:t>
            </w:r>
            <w:proofErr w:type="spellStart"/>
            <w:r w:rsidRPr="005D79D5">
              <w:rPr>
                <w:rFonts w:ascii="Arial" w:eastAsia="Calibri" w:hAnsi="Arial" w:cs="Arial"/>
                <w:bCs/>
                <w:i/>
                <w:iCs/>
                <w:szCs w:val="22"/>
                <w:lang w:val="en-IN"/>
              </w:rPr>
              <w:t>Methylobacterium</w:t>
            </w:r>
            <w:proofErr w:type="spellEnd"/>
            <w:r w:rsidRPr="005D79D5">
              <w:rPr>
                <w:rFonts w:ascii="Arial" w:eastAsia="Calibri" w:hAnsi="Arial" w:cs="Arial"/>
                <w:bCs/>
                <w:i/>
                <w:iCs/>
                <w:szCs w:val="22"/>
                <w:lang w:val="en-IN"/>
              </w:rPr>
              <w:t xml:space="preserve"> </w:t>
            </w:r>
            <w:proofErr w:type="spellStart"/>
            <w:r w:rsidRPr="005D79D5">
              <w:rPr>
                <w:rFonts w:ascii="Arial" w:eastAsia="Calibri" w:hAnsi="Arial" w:cs="Arial"/>
                <w:bCs/>
                <w:i/>
                <w:iCs/>
                <w:szCs w:val="22"/>
                <w:lang w:val="en-IN"/>
              </w:rPr>
              <w:t>extorquens</w:t>
            </w:r>
            <w:proofErr w:type="spellEnd"/>
            <w:r w:rsidRPr="005D79D5">
              <w:rPr>
                <w:rFonts w:ascii="Arial" w:eastAsia="Calibri" w:hAnsi="Arial" w:cs="Arial"/>
                <w:bCs/>
                <w:szCs w:val="22"/>
                <w:lang w:val="en-IN"/>
              </w:rPr>
              <w:t xml:space="preserve">, arbuscular mycorrhizal fungi (AMF), </w:t>
            </w:r>
            <w:r w:rsidRPr="005D79D5">
              <w:rPr>
                <w:rFonts w:ascii="Arial" w:eastAsia="Calibri" w:hAnsi="Arial" w:cs="Arial"/>
                <w:bCs/>
                <w:i/>
                <w:iCs/>
                <w:szCs w:val="22"/>
                <w:lang w:val="en-IN"/>
              </w:rPr>
              <w:t>Spirulina</w:t>
            </w:r>
            <w:r w:rsidRPr="005D79D5">
              <w:rPr>
                <w:rFonts w:ascii="Arial" w:eastAsia="Calibri" w:hAnsi="Arial" w:cs="Arial"/>
                <w:bCs/>
                <w:szCs w:val="22"/>
                <w:lang w:val="en-IN"/>
              </w:rPr>
              <w:t xml:space="preserve"> sp., </w:t>
            </w:r>
            <w:proofErr w:type="spellStart"/>
            <w:r w:rsidRPr="005D79D5">
              <w:rPr>
                <w:rFonts w:ascii="Arial" w:eastAsia="Calibri" w:hAnsi="Arial" w:cs="Arial"/>
                <w:bCs/>
                <w:i/>
                <w:iCs/>
                <w:szCs w:val="22"/>
                <w:lang w:val="en-IN"/>
              </w:rPr>
              <w:t>Azospirillum</w:t>
            </w:r>
            <w:proofErr w:type="spellEnd"/>
            <w:r w:rsidRPr="005D79D5">
              <w:rPr>
                <w:rFonts w:ascii="Arial" w:eastAsia="Calibri" w:hAnsi="Arial" w:cs="Arial"/>
                <w:bCs/>
                <w:i/>
                <w:iCs/>
                <w:szCs w:val="22"/>
                <w:lang w:val="en-IN"/>
              </w:rPr>
              <w:t xml:space="preserve"> </w:t>
            </w:r>
            <w:proofErr w:type="spellStart"/>
            <w:r w:rsidRPr="005D79D5">
              <w:rPr>
                <w:rFonts w:ascii="Arial" w:eastAsia="Calibri" w:hAnsi="Arial" w:cs="Arial"/>
                <w:bCs/>
                <w:i/>
                <w:iCs/>
                <w:szCs w:val="22"/>
                <w:lang w:val="en-IN"/>
              </w:rPr>
              <w:t>brasilense</w:t>
            </w:r>
            <w:proofErr w:type="spellEnd"/>
            <w:r w:rsidRPr="005D79D5">
              <w:rPr>
                <w:rFonts w:ascii="Arial" w:eastAsia="Calibri" w:hAnsi="Arial" w:cs="Arial"/>
                <w:bCs/>
                <w:szCs w:val="22"/>
                <w:lang w:val="en-IN"/>
              </w:rPr>
              <w:t xml:space="preserve">—and a </w:t>
            </w:r>
            <w:r w:rsidR="00BD2F6D" w:rsidRPr="005D79D5">
              <w:rPr>
                <w:rFonts w:ascii="Arial" w:eastAsia="Calibri" w:hAnsi="Arial" w:cs="Arial"/>
                <w:bCs/>
                <w:szCs w:val="22"/>
                <w:lang w:val="en-IN"/>
              </w:rPr>
              <w:t>microbial consortium</w:t>
            </w:r>
            <w:r w:rsidRPr="005D79D5">
              <w:rPr>
                <w:rFonts w:ascii="Arial" w:eastAsia="Calibri" w:hAnsi="Arial" w:cs="Arial"/>
                <w:bCs/>
                <w:szCs w:val="22"/>
                <w:lang w:val="en-IN"/>
              </w:rPr>
              <w:t>. Growth, yield, physiological, and biochemical parameters were assessed.</w:t>
            </w:r>
            <w:r w:rsidR="006F6B1C">
              <w:rPr>
                <w:rFonts w:ascii="Arial" w:eastAsia="Calibri" w:hAnsi="Arial" w:cs="Arial"/>
                <w:bCs/>
                <w:szCs w:val="22"/>
                <w:lang w:val="en-IN"/>
              </w:rPr>
              <w:t xml:space="preserve"> </w:t>
            </w:r>
            <w:r w:rsidRPr="005D79D5">
              <w:rPr>
                <w:rFonts w:ascii="Arial" w:eastAsia="Calibri" w:hAnsi="Arial" w:cs="Arial"/>
                <w:bCs/>
                <w:szCs w:val="22"/>
                <w:lang w:val="en-IN"/>
              </w:rPr>
              <w:t xml:space="preserve">Among the treatments, the </w:t>
            </w:r>
            <w:r w:rsidRPr="005D79D5">
              <w:rPr>
                <w:rFonts w:ascii="Arial" w:eastAsia="Calibri" w:hAnsi="Arial" w:cs="Arial"/>
                <w:bCs/>
                <w:i/>
                <w:iCs/>
                <w:szCs w:val="22"/>
                <w:lang w:val="en-IN"/>
              </w:rPr>
              <w:t>Spirulina</w:t>
            </w:r>
            <w:r w:rsidRPr="005D79D5">
              <w:rPr>
                <w:rFonts w:ascii="Arial" w:eastAsia="Calibri" w:hAnsi="Arial" w:cs="Arial"/>
                <w:bCs/>
                <w:szCs w:val="22"/>
                <w:lang w:val="en-IN"/>
              </w:rPr>
              <w:t>.–based nutrient solution demonstrated superior performance across multiple parameters, recording the highest root length (21 cm), leaf area (4.78 cm²), total phenolic content (4.44 mg GAE g</w:t>
            </w:r>
            <w:r w:rsidRPr="005D79D5">
              <w:rPr>
                <w:rFonts w:ascii="Cambria Math" w:eastAsia="Calibri" w:hAnsi="Cambria Math" w:cs="Cambria Math"/>
                <w:bCs/>
                <w:szCs w:val="22"/>
                <w:lang w:val="en-IN"/>
              </w:rPr>
              <w:t>⁻</w:t>
            </w:r>
            <w:r w:rsidRPr="005D79D5">
              <w:rPr>
                <w:rFonts w:ascii="Arial" w:eastAsia="Calibri" w:hAnsi="Arial" w:cs="Arial"/>
                <w:bCs/>
                <w:szCs w:val="22"/>
                <w:lang w:val="en-IN"/>
              </w:rPr>
              <w:t xml:space="preserve">¹), and TSS (10 °Brix). These results highlight the potential of targeted microbial </w:t>
            </w:r>
            <w:r w:rsidR="00BD2F6D" w:rsidRPr="005D79D5">
              <w:rPr>
                <w:rFonts w:ascii="Arial" w:eastAsia="Calibri" w:hAnsi="Arial" w:cs="Arial"/>
                <w:bCs/>
                <w:szCs w:val="22"/>
                <w:lang w:val="en-IN"/>
              </w:rPr>
              <w:t>bio inputs</w:t>
            </w:r>
            <w:r w:rsidRPr="005D79D5">
              <w:rPr>
                <w:rFonts w:ascii="Arial" w:eastAsia="Calibri" w:hAnsi="Arial" w:cs="Arial"/>
                <w:bCs/>
                <w:szCs w:val="22"/>
                <w:lang w:val="en-IN"/>
              </w:rPr>
              <w:t xml:space="preserve"> to enhance plant growth, physiological performance, and nutritional quality in hydroponic systems</w:t>
            </w:r>
            <w:r w:rsidRPr="007F6F10">
              <w:rPr>
                <w:rFonts w:ascii="Arial" w:eastAsia="Calibri" w:hAnsi="Arial" w:cs="Arial"/>
                <w:bCs/>
                <w:szCs w:val="22"/>
                <w:highlight w:val="yellow"/>
                <w:lang w:val="en-IN"/>
              </w:rPr>
              <w:t xml:space="preserve">. </w:t>
            </w:r>
            <w:r w:rsidR="00B50CCA" w:rsidRPr="007F6F10">
              <w:rPr>
                <w:rFonts w:ascii="Arial" w:hAnsi="Arial" w:cs="Arial"/>
                <w:sz w:val="22"/>
                <w:szCs w:val="22"/>
                <w:highlight w:val="yellow"/>
              </w:rPr>
              <w:t>These results demonstrate the potential of biofertilizer-based hydroponics as a sustainable alternative to sole reliance on synthetic nutrient solutions</w:t>
            </w:r>
            <w:r w:rsidR="00B50CCA">
              <w:rPr>
                <w:rFonts w:ascii="Arial" w:hAnsi="Arial" w:cs="Arial"/>
                <w:sz w:val="22"/>
                <w:szCs w:val="22"/>
              </w:rPr>
              <w:t xml:space="preserve">. </w:t>
            </w:r>
            <w:r w:rsidRPr="005D79D5">
              <w:rPr>
                <w:rFonts w:ascii="Arial" w:eastAsia="Calibri" w:hAnsi="Arial" w:cs="Arial"/>
                <w:bCs/>
                <w:szCs w:val="22"/>
                <w:lang w:val="en-IN"/>
              </w:rPr>
              <w:t xml:space="preserve">Overall, the integration of selected biofertilizers offers a promising strategy to improve hydroponic productivity while reducing dependence on chemical </w:t>
            </w:r>
            <w:r w:rsidR="00CF654A" w:rsidRPr="007F6F10">
              <w:rPr>
                <w:rFonts w:ascii="Arial" w:eastAsia="Calibri" w:hAnsi="Arial" w:cs="Arial"/>
                <w:bCs/>
                <w:szCs w:val="22"/>
                <w:highlight w:val="yellow"/>
                <w:lang w:val="en-IN"/>
              </w:rPr>
              <w:t>fertilisers</w:t>
            </w:r>
            <w:r w:rsidRPr="007F6F10">
              <w:rPr>
                <w:rFonts w:ascii="Arial" w:eastAsia="Calibri" w:hAnsi="Arial" w:cs="Arial"/>
                <w:bCs/>
                <w:szCs w:val="22"/>
                <w:highlight w:val="yellow"/>
                <w:lang w:val="en-IN"/>
              </w:rPr>
              <w:t>, thereby promoting</w:t>
            </w:r>
            <w:r w:rsidRPr="005D79D5">
              <w:rPr>
                <w:rFonts w:ascii="Arial" w:eastAsia="Calibri" w:hAnsi="Arial" w:cs="Arial"/>
                <w:bCs/>
                <w:szCs w:val="22"/>
                <w:lang w:val="en-IN"/>
              </w:rPr>
              <w:t xml:space="preserve"> more sustainable and environmentally friendly cultivation practices.</w:t>
            </w:r>
          </w:p>
        </w:tc>
      </w:tr>
    </w:tbl>
    <w:p w14:paraId="0C559D61" w14:textId="77777777" w:rsidR="00636EB2" w:rsidRDefault="00636EB2" w:rsidP="00E95957">
      <w:pPr>
        <w:pStyle w:val="Body"/>
        <w:spacing w:after="0"/>
        <w:rPr>
          <w:rFonts w:ascii="Arial" w:hAnsi="Arial" w:cs="Arial"/>
          <w:i/>
        </w:rPr>
      </w:pPr>
    </w:p>
    <w:p w14:paraId="0498005B" w14:textId="75AB4308" w:rsidR="00790ADA" w:rsidRDefault="00A24E7E" w:rsidP="007F6F10">
      <w:pPr>
        <w:pStyle w:val="Body"/>
        <w:spacing w:after="0"/>
        <w:rPr>
          <w:rFonts w:ascii="Arial" w:hAnsi="Arial" w:cs="Arial"/>
          <w:i/>
        </w:rPr>
      </w:pPr>
      <w:r>
        <w:rPr>
          <w:rFonts w:ascii="Arial" w:hAnsi="Arial" w:cs="Arial"/>
          <w:i/>
        </w:rPr>
        <w:t xml:space="preserve">Keywords: </w:t>
      </w:r>
      <w:r w:rsidR="00BD2F6D">
        <w:rPr>
          <w:rFonts w:ascii="Arial" w:hAnsi="Arial" w:cs="Arial"/>
          <w:i/>
        </w:rPr>
        <w:t xml:space="preserve">Microbial inoculants; </w:t>
      </w:r>
      <w:proofErr w:type="spellStart"/>
      <w:r w:rsidR="00BD2F6D">
        <w:rPr>
          <w:rFonts w:ascii="Arial" w:hAnsi="Arial" w:cs="Arial"/>
          <w:i/>
        </w:rPr>
        <w:t>Hydrophonics</w:t>
      </w:r>
      <w:proofErr w:type="spellEnd"/>
      <w:r w:rsidR="00BD2F6D">
        <w:rPr>
          <w:rFonts w:ascii="Arial" w:hAnsi="Arial" w:cs="Arial"/>
          <w:i/>
        </w:rPr>
        <w:t>; Fenugreek;</w:t>
      </w:r>
      <w:r w:rsidR="00BD2F6D" w:rsidRPr="00BD2F6D">
        <w:t xml:space="preserve"> </w:t>
      </w:r>
      <w:r w:rsidR="00BD2F6D" w:rsidRPr="00BD2F6D">
        <w:rPr>
          <w:rFonts w:ascii="Arial" w:hAnsi="Arial" w:cs="Arial"/>
          <w:i/>
        </w:rPr>
        <w:t>Sustainable nutrient management; Soilless cultivation</w:t>
      </w:r>
    </w:p>
    <w:p w14:paraId="695720DD" w14:textId="77777777" w:rsidR="0024282C" w:rsidRDefault="0024282C" w:rsidP="007F6F10">
      <w:pPr>
        <w:pStyle w:val="Body"/>
        <w:spacing w:after="0"/>
        <w:rPr>
          <w:rFonts w:ascii="Arial" w:hAnsi="Arial" w:cs="Arial"/>
          <w:i/>
          <w:sz w:val="18"/>
        </w:rPr>
      </w:pPr>
    </w:p>
    <w:p w14:paraId="4E94B293" w14:textId="77777777" w:rsidR="00505F06" w:rsidRPr="00A24E7E" w:rsidRDefault="00505F06" w:rsidP="007F6F10">
      <w:pPr>
        <w:pStyle w:val="Body"/>
        <w:spacing w:after="0"/>
        <w:rPr>
          <w:rFonts w:ascii="Arial" w:hAnsi="Arial" w:cs="Arial"/>
          <w:i/>
        </w:rPr>
      </w:pPr>
    </w:p>
    <w:p w14:paraId="399387A5" w14:textId="4001183B" w:rsidR="007F7B32" w:rsidRDefault="00902823" w:rsidP="007F6F10">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5A9182" w14:textId="0F90BC1A" w:rsidR="00BD2F6D" w:rsidRPr="00BD2F6D" w:rsidRDefault="00BD2F6D" w:rsidP="007F6F10">
      <w:pPr>
        <w:pStyle w:val="Body"/>
        <w:spacing w:after="0"/>
        <w:rPr>
          <w:rFonts w:ascii="Arial" w:hAnsi="Arial" w:cs="Arial"/>
          <w:lang w:val="en-IN"/>
        </w:rPr>
      </w:pPr>
      <w:r w:rsidRPr="00BD2F6D">
        <w:rPr>
          <w:rFonts w:ascii="Arial" w:hAnsi="Arial" w:cs="Arial"/>
          <w:lang w:val="en-IN"/>
        </w:rPr>
        <w:t xml:space="preserve">Hydroponic cultivation has emerged as a promising approach to address the challenges of limited arable land, water scarcity, and the increasing demand for high-quality fresh produce. By eliminating soil and precisely managing nutrient delivery, hydroponic systems enable greater control over plant growth and resource-use efficiency (Resh, 2013). </w:t>
      </w:r>
      <w:r w:rsidR="00B50CCA" w:rsidRPr="007F6F10">
        <w:rPr>
          <w:highlight w:val="yellow"/>
        </w:rPr>
        <w:t xml:space="preserve">Hydroponics offers several advantages over soil-based systems. When removed from soil, root tissue is </w:t>
      </w:r>
      <w:r w:rsidR="00B50CCA" w:rsidRPr="007F6F10">
        <w:rPr>
          <w:highlight w:val="yellow"/>
        </w:rPr>
        <w:lastRenderedPageBreak/>
        <w:t>often mechanically sheared causing loss of tissue or damage. This is particularly true for fine root structures such as lateral roots and root hairs. Hydroponic systems that do not utilize an inert particulate media allow a less invasive separation of root and shoot tissues</w:t>
      </w:r>
      <w:r w:rsidR="00903DD0" w:rsidRPr="00EF5875">
        <w:rPr>
          <w:highlight w:val="yellow"/>
        </w:rPr>
        <w:t xml:space="preserve"> (</w:t>
      </w:r>
      <w:r w:rsidR="00903DD0" w:rsidRPr="007F6F10">
        <w:rPr>
          <w:rFonts w:ascii="Arial" w:hAnsi="Arial" w:cs="Arial"/>
          <w:color w:val="222222"/>
          <w:highlight w:val="yellow"/>
          <w:shd w:val="clear" w:color="auto" w:fill="FFFFFF"/>
        </w:rPr>
        <w:t>Kavitha et al., 2024</w:t>
      </w:r>
      <w:r w:rsidR="00903DD0" w:rsidRPr="00EF5875">
        <w:rPr>
          <w:highlight w:val="yellow"/>
        </w:rPr>
        <w:t>)</w:t>
      </w:r>
      <w:r w:rsidR="00B50CCA" w:rsidRPr="007F6F10">
        <w:rPr>
          <w:highlight w:val="yellow"/>
        </w:rPr>
        <w:t>.</w:t>
      </w:r>
      <w:r w:rsidR="00B50CCA" w:rsidRPr="00BD2F6D">
        <w:rPr>
          <w:rFonts w:ascii="Arial" w:hAnsi="Arial" w:cs="Arial"/>
          <w:lang w:val="en-IN"/>
        </w:rPr>
        <w:t xml:space="preserve"> </w:t>
      </w:r>
      <w:r w:rsidRPr="00BD2F6D">
        <w:rPr>
          <w:rFonts w:ascii="Arial" w:hAnsi="Arial" w:cs="Arial"/>
          <w:lang w:val="en-IN"/>
        </w:rPr>
        <w:t>This technology has been increasingly adopted for leafy vegetables due to their short production cycles, uniform growth, and suitability for intensive cultivation systems (Jensen, 1999; Sharma et al., 2020). Among different hydroponic configurations, the floating raft system has gained popularity for commercial and experimental production of leafy greens because it allows continuous nutrient availability, efficient oxygenation of roots, and ease of management (</w:t>
      </w:r>
      <w:proofErr w:type="spellStart"/>
      <w:r w:rsidRPr="00BD2F6D">
        <w:rPr>
          <w:rFonts w:ascii="Arial" w:hAnsi="Arial" w:cs="Arial"/>
          <w:lang w:val="en-IN"/>
        </w:rPr>
        <w:t>Treftz</w:t>
      </w:r>
      <w:proofErr w:type="spellEnd"/>
      <w:r w:rsidRPr="00BD2F6D">
        <w:rPr>
          <w:rFonts w:ascii="Arial" w:hAnsi="Arial" w:cs="Arial"/>
          <w:lang w:val="en-IN"/>
        </w:rPr>
        <w:t xml:space="preserve"> and </w:t>
      </w:r>
      <w:proofErr w:type="spellStart"/>
      <w:r w:rsidRPr="00BD2F6D">
        <w:rPr>
          <w:rFonts w:ascii="Arial" w:hAnsi="Arial" w:cs="Arial"/>
          <w:lang w:val="en-IN"/>
        </w:rPr>
        <w:t>Omaye</w:t>
      </w:r>
      <w:proofErr w:type="spellEnd"/>
      <w:r w:rsidRPr="00BD2F6D">
        <w:rPr>
          <w:rFonts w:ascii="Arial" w:hAnsi="Arial" w:cs="Arial"/>
          <w:lang w:val="en-IN"/>
        </w:rPr>
        <w:t>, 2015).</w:t>
      </w:r>
      <w:r w:rsidR="00377644">
        <w:rPr>
          <w:rFonts w:ascii="Arial" w:hAnsi="Arial" w:cs="Arial"/>
          <w:lang w:val="en-IN"/>
        </w:rPr>
        <w:t xml:space="preserve"> </w:t>
      </w:r>
      <w:r w:rsidRPr="00BD2F6D">
        <w:rPr>
          <w:rFonts w:ascii="Arial" w:hAnsi="Arial" w:cs="Arial"/>
          <w:lang w:val="en-IN"/>
        </w:rPr>
        <w:t xml:space="preserve">Despite these advantages, the sustainability of hydroponic production remains a concern due to its strong dependence on chemically synthesized nutrient solutions. These nutrient formulations are designed primarily to </w:t>
      </w:r>
      <w:r w:rsidR="00CF654A" w:rsidRPr="00BD2F6D">
        <w:rPr>
          <w:rFonts w:ascii="Arial" w:hAnsi="Arial" w:cs="Arial"/>
          <w:lang w:val="en-IN"/>
        </w:rPr>
        <w:t>m</w:t>
      </w:r>
      <w:r w:rsidR="00CF654A" w:rsidRPr="007F6F10">
        <w:rPr>
          <w:rFonts w:ascii="Arial" w:hAnsi="Arial" w:cs="Arial"/>
          <w:highlight w:val="yellow"/>
          <w:lang w:val="en-IN"/>
        </w:rPr>
        <w:t xml:space="preserve">aximise </w:t>
      </w:r>
      <w:r w:rsidRPr="00BD2F6D">
        <w:rPr>
          <w:rFonts w:ascii="Arial" w:hAnsi="Arial" w:cs="Arial"/>
          <w:lang w:val="en-IN"/>
        </w:rPr>
        <w:t xml:space="preserve">crop yield, often without considering long-term environmental implications or biological interactions within the root environment. Excessive use of synthetic </w:t>
      </w:r>
      <w:r w:rsidR="00CF654A" w:rsidRPr="007F6F10">
        <w:rPr>
          <w:rFonts w:ascii="Arial" w:hAnsi="Arial" w:cs="Arial"/>
          <w:highlight w:val="yellow"/>
          <w:lang w:val="en-IN"/>
        </w:rPr>
        <w:t xml:space="preserve">fertilisers </w:t>
      </w:r>
      <w:r w:rsidRPr="007F6F10">
        <w:rPr>
          <w:rFonts w:ascii="Arial" w:hAnsi="Arial" w:cs="Arial"/>
          <w:highlight w:val="yellow"/>
          <w:lang w:val="en-IN"/>
        </w:rPr>
        <w:t>in</w:t>
      </w:r>
      <w:r w:rsidRPr="00BD2F6D">
        <w:rPr>
          <w:rFonts w:ascii="Arial" w:hAnsi="Arial" w:cs="Arial"/>
          <w:lang w:val="en-IN"/>
        </w:rPr>
        <w:t xml:space="preserve"> hydroponic systems can contribute to nutrient imbalance, salt buildup, and discharge of nutrient-rich effluents, which pose risks of eutrophication and environmental contamination (Savvas and Gruda, 2018). In addition, chemically intensive nutrient regimes may suppress beneficial microbial activity in the rhizosphere, thereby limiting natural biological processes that contribute to nutrient cycling and plant health (</w:t>
      </w:r>
      <w:proofErr w:type="spellStart"/>
      <w:r w:rsidRPr="00BD2F6D">
        <w:rPr>
          <w:rFonts w:ascii="Arial" w:hAnsi="Arial" w:cs="Arial"/>
          <w:lang w:val="en-IN"/>
        </w:rPr>
        <w:t>Rouphael</w:t>
      </w:r>
      <w:proofErr w:type="spellEnd"/>
      <w:r w:rsidRPr="00BD2F6D">
        <w:rPr>
          <w:rFonts w:ascii="Arial" w:hAnsi="Arial" w:cs="Arial"/>
          <w:lang w:val="en-IN"/>
        </w:rPr>
        <w:t xml:space="preserve"> and </w:t>
      </w:r>
      <w:proofErr w:type="spellStart"/>
      <w:r w:rsidRPr="00BD2F6D">
        <w:rPr>
          <w:rFonts w:ascii="Arial" w:hAnsi="Arial" w:cs="Arial"/>
          <w:lang w:val="en-IN"/>
        </w:rPr>
        <w:t>Colla</w:t>
      </w:r>
      <w:proofErr w:type="spellEnd"/>
      <w:r w:rsidRPr="00BD2F6D">
        <w:rPr>
          <w:rFonts w:ascii="Arial" w:hAnsi="Arial" w:cs="Arial"/>
          <w:lang w:val="en-IN"/>
        </w:rPr>
        <w:t>, 2005).</w:t>
      </w:r>
    </w:p>
    <w:p w14:paraId="6E8D025D" w14:textId="1506FB2D" w:rsidR="00BD2F6D" w:rsidRPr="00BD2F6D" w:rsidRDefault="00BD2F6D" w:rsidP="007F6F10">
      <w:pPr>
        <w:pStyle w:val="Body"/>
        <w:spacing w:after="0"/>
        <w:rPr>
          <w:rFonts w:ascii="Arial" w:hAnsi="Arial" w:cs="Arial"/>
          <w:lang w:val="en-IN"/>
        </w:rPr>
      </w:pPr>
      <w:r w:rsidRPr="00BD2F6D">
        <w:rPr>
          <w:rFonts w:ascii="Arial" w:hAnsi="Arial" w:cs="Arial"/>
          <w:lang w:val="en-IN"/>
        </w:rPr>
        <w:t>In recent years, there has been growing interest in incorporating biological inputs into controlled environment agriculture to improve sustainability and functional efficiency</w:t>
      </w:r>
      <w:r w:rsidRPr="007F6F10">
        <w:rPr>
          <w:rFonts w:ascii="Arial" w:hAnsi="Arial" w:cs="Arial"/>
          <w:highlight w:val="yellow"/>
          <w:lang w:val="en-IN"/>
        </w:rPr>
        <w:t xml:space="preserve">. </w:t>
      </w:r>
      <w:r w:rsidR="00A911A0" w:rsidRPr="007F6F10">
        <w:rPr>
          <w:highlight w:val="yellow"/>
        </w:rPr>
        <w:t xml:space="preserve">Bio-fertilizers are environment-friendly, less costly and do not require </w:t>
      </w:r>
      <w:proofErr w:type="spellStart"/>
      <w:r w:rsidR="00A911A0" w:rsidRPr="007F6F10">
        <w:rPr>
          <w:highlight w:val="yellow"/>
        </w:rPr>
        <w:t>non renewable</w:t>
      </w:r>
      <w:proofErr w:type="spellEnd"/>
      <w:r w:rsidR="00A911A0" w:rsidRPr="007F6F10">
        <w:rPr>
          <w:highlight w:val="yellow"/>
        </w:rPr>
        <w:t xml:space="preserve"> source of their production, therefore lead to sustainable crop production. In addition, they produce hormones, vitamins and other growth factors essential for plant growth (</w:t>
      </w:r>
      <w:r w:rsidR="00A911A0" w:rsidRPr="00CA160A">
        <w:rPr>
          <w:rFonts w:ascii="Arial" w:hAnsi="Arial" w:cs="Arial"/>
          <w:color w:val="222222"/>
          <w:highlight w:val="yellow"/>
          <w:shd w:val="clear" w:color="auto" w:fill="FFFFFF"/>
        </w:rPr>
        <w:t>Husain</w:t>
      </w:r>
      <w:r w:rsidR="00A911A0" w:rsidRPr="00AD3A78">
        <w:rPr>
          <w:rFonts w:ascii="Arial" w:hAnsi="Arial" w:cs="Arial"/>
          <w:color w:val="222222"/>
          <w:highlight w:val="yellow"/>
          <w:shd w:val="clear" w:color="auto" w:fill="FFFFFF"/>
        </w:rPr>
        <w:t xml:space="preserve"> et al., 2022</w:t>
      </w:r>
      <w:r w:rsidR="00A911A0" w:rsidRPr="007F6F10">
        <w:rPr>
          <w:highlight w:val="yellow"/>
        </w:rPr>
        <w:t>).</w:t>
      </w:r>
      <w:r w:rsidR="00A911A0">
        <w:t xml:space="preserve"> </w:t>
      </w:r>
      <w:r w:rsidRPr="00BD2F6D">
        <w:rPr>
          <w:rFonts w:ascii="Arial" w:hAnsi="Arial" w:cs="Arial"/>
          <w:lang w:val="en-IN"/>
        </w:rPr>
        <w:t xml:space="preserve">Biofertilizers, composed of beneficial microorganisms, play a crucial role in enhancing nutrient acquisition and plant growth through biological nitrogen fixation, solubilization of insoluble phosphorus, synthesis of phytohormones, and improvement of root architecture (Vessey, 2003). Microbial inoculants such as </w:t>
      </w:r>
      <w:proofErr w:type="spellStart"/>
      <w:r w:rsidRPr="00BD2F6D">
        <w:rPr>
          <w:rFonts w:ascii="Arial" w:hAnsi="Arial" w:cs="Arial"/>
          <w:i/>
          <w:iCs/>
          <w:lang w:val="en-IN"/>
        </w:rPr>
        <w:t>Azospirillum</w:t>
      </w:r>
      <w:proofErr w:type="spellEnd"/>
      <w:r w:rsidRPr="00BD2F6D">
        <w:rPr>
          <w:rFonts w:ascii="Arial" w:hAnsi="Arial" w:cs="Arial"/>
          <w:lang w:val="en-IN"/>
        </w:rPr>
        <w:t xml:space="preserve">, </w:t>
      </w:r>
      <w:proofErr w:type="spellStart"/>
      <w:r w:rsidRPr="00BD2F6D">
        <w:rPr>
          <w:rFonts w:ascii="Arial" w:hAnsi="Arial" w:cs="Arial"/>
          <w:i/>
          <w:iCs/>
          <w:lang w:val="en-IN"/>
        </w:rPr>
        <w:t>Azotobacter</w:t>
      </w:r>
      <w:proofErr w:type="spellEnd"/>
      <w:r w:rsidRPr="00BD2F6D">
        <w:rPr>
          <w:rFonts w:ascii="Arial" w:hAnsi="Arial" w:cs="Arial"/>
          <w:lang w:val="en-IN"/>
        </w:rPr>
        <w:t xml:space="preserve">, </w:t>
      </w:r>
      <w:r w:rsidRPr="00BD2F6D">
        <w:rPr>
          <w:rFonts w:ascii="Arial" w:hAnsi="Arial" w:cs="Arial"/>
          <w:i/>
          <w:iCs/>
          <w:lang w:val="en-IN"/>
        </w:rPr>
        <w:t>Rhizobium</w:t>
      </w:r>
      <w:r w:rsidRPr="00BD2F6D">
        <w:rPr>
          <w:rFonts w:ascii="Arial" w:hAnsi="Arial" w:cs="Arial"/>
          <w:lang w:val="en-IN"/>
        </w:rPr>
        <w:t xml:space="preserve">, and phosphate-solubilizing bacteria have been extensively studied under soil conditions and are known to enhance nutrient uptake efficiency and plant stress tolerance (Bhattacharyya and Jha, 2012). However, their </w:t>
      </w:r>
      <w:proofErr w:type="spellStart"/>
      <w:r w:rsidRPr="00BD2F6D">
        <w:rPr>
          <w:rFonts w:ascii="Arial" w:hAnsi="Arial" w:cs="Arial"/>
          <w:lang w:val="en-IN"/>
        </w:rPr>
        <w:t>behavior</w:t>
      </w:r>
      <w:proofErr w:type="spellEnd"/>
      <w:r w:rsidRPr="00BD2F6D">
        <w:rPr>
          <w:rFonts w:ascii="Arial" w:hAnsi="Arial" w:cs="Arial"/>
          <w:lang w:val="en-IN"/>
        </w:rPr>
        <w:t xml:space="preserve"> and functional performance under hydroponic conditions differ substantially from </w:t>
      </w:r>
      <w:r w:rsidR="00CF654A" w:rsidRPr="007F6F10">
        <w:rPr>
          <w:rFonts w:ascii="Arial" w:hAnsi="Arial" w:cs="Arial"/>
          <w:highlight w:val="yellow"/>
          <w:lang w:val="en-IN"/>
        </w:rPr>
        <w:t xml:space="preserve">those of </w:t>
      </w:r>
      <w:r w:rsidRPr="007F6F10">
        <w:rPr>
          <w:rFonts w:ascii="Arial" w:hAnsi="Arial" w:cs="Arial"/>
          <w:highlight w:val="yellow"/>
          <w:lang w:val="en-IN"/>
        </w:rPr>
        <w:t>soil systems</w:t>
      </w:r>
      <w:r w:rsidRPr="00BD2F6D">
        <w:rPr>
          <w:rFonts w:ascii="Arial" w:hAnsi="Arial" w:cs="Arial"/>
          <w:lang w:val="en-IN"/>
        </w:rPr>
        <w:t>, necessitating focused investigation.</w:t>
      </w:r>
    </w:p>
    <w:p w14:paraId="32A09755" w14:textId="77777777" w:rsidR="00BD2F6D" w:rsidRPr="00BD2F6D" w:rsidRDefault="00BD2F6D" w:rsidP="007F6F10">
      <w:pPr>
        <w:pStyle w:val="Body"/>
        <w:spacing w:after="0"/>
        <w:rPr>
          <w:rFonts w:ascii="Arial" w:hAnsi="Arial" w:cs="Arial"/>
          <w:lang w:val="en-IN"/>
        </w:rPr>
      </w:pPr>
      <w:r w:rsidRPr="00BD2F6D">
        <w:rPr>
          <w:rFonts w:ascii="Arial" w:hAnsi="Arial" w:cs="Arial"/>
          <w:lang w:val="en-IN"/>
        </w:rPr>
        <w:t xml:space="preserve">Hydroponic environments present unique physicochemical conditions, including constant nutrient availability, limited microbial niches, and dynamic oxygen levels, which can influence microbial survival and activity. While controlled conditions may </w:t>
      </w:r>
      <w:proofErr w:type="spellStart"/>
      <w:r w:rsidRPr="00BD2F6D">
        <w:rPr>
          <w:rFonts w:ascii="Arial" w:hAnsi="Arial" w:cs="Arial"/>
          <w:lang w:val="en-IN"/>
        </w:rPr>
        <w:t>favor</w:t>
      </w:r>
      <w:proofErr w:type="spellEnd"/>
      <w:r w:rsidRPr="00BD2F6D">
        <w:rPr>
          <w:rFonts w:ascii="Arial" w:hAnsi="Arial" w:cs="Arial"/>
          <w:lang w:val="en-IN"/>
        </w:rPr>
        <w:t xml:space="preserve"> microbial stability, factors such as nutrient concentration, pH, and dissolved oxygen can significantly affect microbial colonization and metabolic function (Khalid et al., 2017). Emerging evidence suggests that beneficial microorganisms can enhance plant growth, photosynthetic efficiency, and biomass accumulation in hydroponic systems when appropriately managed (Saha et al., 2016). Nevertheless, the successful integration of biofertilizers requires nutrient formulations that are compatible with microbial activity and do not inhibit biological processes.</w:t>
      </w:r>
    </w:p>
    <w:p w14:paraId="55DA60EF" w14:textId="77777777" w:rsidR="00BD2F6D" w:rsidRPr="00BD2F6D" w:rsidRDefault="00BD2F6D" w:rsidP="007F6F10">
      <w:pPr>
        <w:pStyle w:val="Body"/>
        <w:spacing w:after="0"/>
        <w:rPr>
          <w:rFonts w:ascii="Arial" w:hAnsi="Arial" w:cs="Arial"/>
          <w:lang w:val="en-IN"/>
        </w:rPr>
      </w:pPr>
      <w:r w:rsidRPr="00BD2F6D">
        <w:rPr>
          <w:rFonts w:ascii="Arial" w:hAnsi="Arial" w:cs="Arial"/>
          <w:lang w:val="en-IN"/>
        </w:rPr>
        <w:t xml:space="preserve">The choice of growing substrate further influences microbial establishment and nutrient dynamics in hydroponic systems. Cocopeat, derived from coconut husk, is widely used as a hydroponic substrate due to its biodegradability, </w:t>
      </w:r>
      <w:proofErr w:type="spellStart"/>
      <w:r w:rsidRPr="00BD2F6D">
        <w:rPr>
          <w:rFonts w:ascii="Arial" w:hAnsi="Arial" w:cs="Arial"/>
          <w:lang w:val="en-IN"/>
        </w:rPr>
        <w:t>favorable</w:t>
      </w:r>
      <w:proofErr w:type="spellEnd"/>
      <w:r w:rsidRPr="00BD2F6D">
        <w:rPr>
          <w:rFonts w:ascii="Arial" w:hAnsi="Arial" w:cs="Arial"/>
          <w:lang w:val="en-IN"/>
        </w:rPr>
        <w:t xml:space="preserve"> porosity, high water-holding capacity, and ability to support microbial colonization (Raviv and Leith, 2008). When combined with microbial inoculants, cocopeat can act as a supportive matrix for root–microbe interactions, facilitating nutrient exchange and improving root-zone health (Bhardwaj et al., 2014). Despite these advantages, limited studies have examined the combined effects of cocopeat-based substrates and biofertilizer-enriched nutrient solutions under floating raft hydroponic systems.</w:t>
      </w:r>
    </w:p>
    <w:p w14:paraId="35C58E7C" w14:textId="77777777" w:rsidR="00BD2F6D" w:rsidRPr="00BD2F6D" w:rsidRDefault="00BD2F6D" w:rsidP="007F6F10">
      <w:pPr>
        <w:pStyle w:val="Body"/>
        <w:spacing w:after="0"/>
        <w:rPr>
          <w:rFonts w:ascii="Arial" w:hAnsi="Arial" w:cs="Arial"/>
          <w:lang w:val="en-IN"/>
        </w:rPr>
      </w:pPr>
      <w:r w:rsidRPr="00BD2F6D">
        <w:rPr>
          <w:rFonts w:ascii="Arial" w:hAnsi="Arial" w:cs="Arial"/>
          <w:lang w:val="en-IN"/>
        </w:rPr>
        <w:t xml:space="preserve">Although individual microbial inoculants and consortia have demonstrated potential in controlled cultivation systems, most commercially available hydroponic nutrient solutions remain optimized for synthetic fertilizers and overlook biological compatibility. Consequently, there is insufficient understanding of how biofertilizer-based nutrient formulations influence </w:t>
      </w:r>
      <w:r w:rsidRPr="00BD2F6D">
        <w:rPr>
          <w:rFonts w:ascii="Arial" w:hAnsi="Arial" w:cs="Arial"/>
          <w:lang w:val="en-IN"/>
        </w:rPr>
        <w:lastRenderedPageBreak/>
        <w:t>plant growth, nutrient uptake, and biochemical quality in leafy vegetables grown hydroponically (Chandran et al., 2020). Furthermore, the stability, persistence, and functional synergy of microbial consortia in closed hydroponic environments remain largely unexplored (</w:t>
      </w:r>
      <w:proofErr w:type="spellStart"/>
      <w:r w:rsidRPr="00BD2F6D">
        <w:rPr>
          <w:rFonts w:ascii="Arial" w:hAnsi="Arial" w:cs="Arial"/>
          <w:lang w:val="en-IN"/>
        </w:rPr>
        <w:t>Pattnaik</w:t>
      </w:r>
      <w:proofErr w:type="spellEnd"/>
      <w:r w:rsidRPr="00BD2F6D">
        <w:rPr>
          <w:rFonts w:ascii="Arial" w:hAnsi="Arial" w:cs="Arial"/>
          <w:lang w:val="en-IN"/>
        </w:rPr>
        <w:t xml:space="preserve"> and Mishra, 2018).</w:t>
      </w:r>
    </w:p>
    <w:p w14:paraId="76F806D5" w14:textId="77777777" w:rsidR="00BD2F6D" w:rsidRPr="00BD2F6D" w:rsidRDefault="00BD2F6D" w:rsidP="007F6F10">
      <w:pPr>
        <w:pStyle w:val="Body"/>
        <w:spacing w:after="0"/>
        <w:rPr>
          <w:rFonts w:ascii="Arial" w:hAnsi="Arial" w:cs="Arial"/>
          <w:lang w:val="en-IN"/>
        </w:rPr>
      </w:pPr>
      <w:r w:rsidRPr="00BD2F6D">
        <w:rPr>
          <w:rFonts w:ascii="Arial" w:hAnsi="Arial" w:cs="Arial"/>
          <w:lang w:val="en-IN"/>
        </w:rPr>
        <w:t>In this context, the present study was undertaken to address these research gaps by developing and evaluating a biofertilizer-based nutrient solution tailored for hydroponic cultivation of leafy vegetables. The study aims to elucidate the role of selected microbial inoculants in enhancing plant growth, nutrient efficiency, and biochemical quality under controlled soilless conditions. The outcomes of this research are expected to contribute to the development of biologically integrated and environmentally sustainable nutrient management strategies for hydroponic systems (Singh et al., 2021).</w:t>
      </w:r>
    </w:p>
    <w:p w14:paraId="427343C9" w14:textId="77777777" w:rsidR="00790ADA" w:rsidRPr="00BD2F6D" w:rsidRDefault="00790ADA" w:rsidP="007F6F10">
      <w:pPr>
        <w:pStyle w:val="Body"/>
        <w:spacing w:after="0"/>
        <w:rPr>
          <w:rFonts w:ascii="Arial" w:hAnsi="Arial" w:cs="Arial"/>
          <w:lang w:val="en-IN"/>
        </w:rPr>
      </w:pPr>
    </w:p>
    <w:p w14:paraId="5AFC4A16" w14:textId="1209078F" w:rsidR="007F7B32" w:rsidRDefault="00902823" w:rsidP="007F6F10">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BB3268E" w14:textId="77777777" w:rsidR="00790ADA" w:rsidRPr="00FB3A86" w:rsidRDefault="00790ADA" w:rsidP="007F6F10">
      <w:pPr>
        <w:pStyle w:val="AbstHead"/>
        <w:spacing w:after="0"/>
        <w:jc w:val="both"/>
        <w:rPr>
          <w:rFonts w:ascii="Arial" w:hAnsi="Arial" w:cs="Arial"/>
        </w:rPr>
      </w:pPr>
    </w:p>
    <w:p w14:paraId="7CAE931D" w14:textId="49DA5B83" w:rsidR="008640D1" w:rsidRPr="008640D1" w:rsidRDefault="008640D1" w:rsidP="007F6F10">
      <w:pPr>
        <w:pStyle w:val="Body"/>
        <w:spacing w:after="0"/>
        <w:rPr>
          <w:rFonts w:ascii="Arial" w:hAnsi="Arial" w:cs="Arial"/>
          <w:b/>
          <w:bCs/>
          <w:lang w:val="en-IN"/>
        </w:rPr>
      </w:pPr>
      <w:r>
        <w:rPr>
          <w:rFonts w:ascii="Arial" w:hAnsi="Arial" w:cs="Arial"/>
          <w:b/>
          <w:bCs/>
          <w:lang w:val="en-IN"/>
        </w:rPr>
        <w:t>2</w:t>
      </w:r>
      <w:r w:rsidRPr="008640D1">
        <w:rPr>
          <w:rFonts w:ascii="Arial" w:hAnsi="Arial" w:cs="Arial"/>
          <w:b/>
          <w:bCs/>
          <w:lang w:val="en-IN"/>
        </w:rPr>
        <w:t>.1. Experimental Site and Plant Material</w:t>
      </w:r>
    </w:p>
    <w:p w14:paraId="504EABBB" w14:textId="6024BF76" w:rsidR="008640D1" w:rsidRPr="00F87FFE" w:rsidRDefault="008640D1" w:rsidP="007F6F10">
      <w:pPr>
        <w:pStyle w:val="Body"/>
        <w:spacing w:after="0"/>
        <w:rPr>
          <w:rFonts w:ascii="Arial" w:hAnsi="Arial" w:cs="Arial"/>
          <w:color w:val="EE0000"/>
          <w:lang w:val="en-IN"/>
        </w:rPr>
      </w:pPr>
      <w:r w:rsidRPr="008640D1">
        <w:rPr>
          <w:rFonts w:ascii="Arial" w:hAnsi="Arial" w:cs="Arial"/>
          <w:lang w:val="en-IN"/>
        </w:rPr>
        <w:t>The experiment was conducted under controlled hydroponic conditions. Fenugreek (</w:t>
      </w:r>
      <w:proofErr w:type="spellStart"/>
      <w:r w:rsidRPr="008640D1">
        <w:rPr>
          <w:rFonts w:ascii="Arial" w:hAnsi="Arial" w:cs="Arial"/>
          <w:i/>
          <w:iCs/>
          <w:lang w:val="en-IN"/>
        </w:rPr>
        <w:t>Trigonella</w:t>
      </w:r>
      <w:proofErr w:type="spellEnd"/>
      <w:r w:rsidRPr="008640D1">
        <w:rPr>
          <w:rFonts w:ascii="Arial" w:hAnsi="Arial" w:cs="Arial"/>
          <w:i/>
          <w:iCs/>
          <w:lang w:val="en-IN"/>
        </w:rPr>
        <w:t xml:space="preserve"> </w:t>
      </w:r>
      <w:proofErr w:type="spellStart"/>
      <w:r w:rsidRPr="008640D1">
        <w:rPr>
          <w:rFonts w:ascii="Arial" w:hAnsi="Arial" w:cs="Arial"/>
          <w:i/>
          <w:iCs/>
          <w:lang w:val="en-IN"/>
        </w:rPr>
        <w:t>foenum</w:t>
      </w:r>
      <w:proofErr w:type="spellEnd"/>
      <w:r w:rsidRPr="008640D1">
        <w:rPr>
          <w:rFonts w:ascii="Arial" w:hAnsi="Arial" w:cs="Arial"/>
          <w:i/>
          <w:iCs/>
          <w:lang w:val="en-IN"/>
        </w:rPr>
        <w:t>-graecum</w:t>
      </w:r>
      <w:r w:rsidRPr="008640D1">
        <w:rPr>
          <w:rFonts w:ascii="Arial" w:hAnsi="Arial" w:cs="Arial"/>
          <w:lang w:val="en-IN"/>
        </w:rPr>
        <w:t xml:space="preserve"> L.) was used as the test crop. Microbial inoculants, viz., </w:t>
      </w:r>
      <w:r w:rsidRPr="008640D1">
        <w:rPr>
          <w:rFonts w:ascii="Arial" w:hAnsi="Arial" w:cs="Arial"/>
          <w:i/>
          <w:iCs/>
          <w:lang w:val="en-IN"/>
        </w:rPr>
        <w:t>M</w:t>
      </w:r>
      <w:r w:rsidR="00775DEF">
        <w:rPr>
          <w:rFonts w:ascii="Arial" w:hAnsi="Arial" w:cs="Arial"/>
          <w:i/>
          <w:iCs/>
          <w:lang w:val="en-IN"/>
        </w:rPr>
        <w:t>.</w:t>
      </w:r>
      <w:r w:rsidRPr="008640D1">
        <w:rPr>
          <w:rFonts w:ascii="Arial" w:hAnsi="Arial" w:cs="Arial"/>
          <w:i/>
          <w:iCs/>
          <w:lang w:val="en-IN"/>
        </w:rPr>
        <w:t xml:space="preserve"> </w:t>
      </w:r>
      <w:proofErr w:type="spellStart"/>
      <w:r w:rsidRPr="008640D1">
        <w:rPr>
          <w:rFonts w:ascii="Arial" w:hAnsi="Arial" w:cs="Arial"/>
          <w:i/>
          <w:iCs/>
          <w:lang w:val="en-IN"/>
        </w:rPr>
        <w:t>extorquens</w:t>
      </w:r>
      <w:proofErr w:type="spellEnd"/>
      <w:r w:rsidRPr="008640D1">
        <w:rPr>
          <w:rFonts w:ascii="Arial" w:hAnsi="Arial" w:cs="Arial"/>
          <w:lang w:val="en-IN"/>
        </w:rPr>
        <w:t xml:space="preserve">, </w:t>
      </w:r>
      <w:r w:rsidRPr="008640D1">
        <w:rPr>
          <w:rFonts w:ascii="Arial" w:hAnsi="Arial" w:cs="Arial"/>
          <w:i/>
          <w:iCs/>
          <w:lang w:val="en-IN"/>
        </w:rPr>
        <w:t>A</w:t>
      </w:r>
      <w:r w:rsidR="00775DEF">
        <w:rPr>
          <w:rFonts w:ascii="Arial" w:hAnsi="Arial" w:cs="Arial"/>
          <w:i/>
          <w:iCs/>
          <w:lang w:val="en-IN"/>
        </w:rPr>
        <w:t>.</w:t>
      </w:r>
      <w:r w:rsidRPr="008640D1">
        <w:rPr>
          <w:rFonts w:ascii="Arial" w:hAnsi="Arial" w:cs="Arial"/>
          <w:i/>
          <w:iCs/>
          <w:lang w:val="en-IN"/>
        </w:rPr>
        <w:t xml:space="preserve"> </w:t>
      </w:r>
      <w:proofErr w:type="spellStart"/>
      <w:r w:rsidRPr="008640D1">
        <w:rPr>
          <w:rFonts w:ascii="Arial" w:hAnsi="Arial" w:cs="Arial"/>
          <w:i/>
          <w:iCs/>
          <w:lang w:val="en-IN"/>
        </w:rPr>
        <w:t>brasilense</w:t>
      </w:r>
      <w:proofErr w:type="spellEnd"/>
      <w:r w:rsidRPr="008640D1">
        <w:rPr>
          <w:rFonts w:ascii="Arial" w:hAnsi="Arial" w:cs="Arial"/>
          <w:lang w:val="en-IN"/>
        </w:rPr>
        <w:t xml:space="preserve">, arbuscular mycorrhizal fungi (AMF), and </w:t>
      </w:r>
      <w:r w:rsidRPr="008640D1">
        <w:rPr>
          <w:rFonts w:ascii="Arial" w:hAnsi="Arial" w:cs="Arial"/>
          <w:i/>
          <w:iCs/>
          <w:lang w:val="en-IN"/>
        </w:rPr>
        <w:t>Spirulina</w:t>
      </w:r>
      <w:r w:rsidRPr="008640D1">
        <w:rPr>
          <w:rFonts w:ascii="Arial" w:hAnsi="Arial" w:cs="Arial"/>
          <w:lang w:val="en-IN"/>
        </w:rPr>
        <w:t xml:space="preserve"> extract were </w:t>
      </w:r>
      <w:r w:rsidR="00050761" w:rsidRPr="00F87FFE">
        <w:rPr>
          <w:rFonts w:ascii="Arial" w:hAnsi="Arial" w:cs="Arial"/>
          <w:color w:val="EE0000"/>
          <w:lang w:val="en-IN"/>
        </w:rPr>
        <w:t>used for the research</w:t>
      </w:r>
    </w:p>
    <w:p w14:paraId="42CA3076" w14:textId="77777777" w:rsidR="008640D1" w:rsidRPr="008640D1" w:rsidRDefault="008640D1" w:rsidP="007F6F10">
      <w:pPr>
        <w:pStyle w:val="Body"/>
        <w:spacing w:after="0"/>
        <w:rPr>
          <w:rFonts w:ascii="Arial" w:hAnsi="Arial" w:cs="Arial"/>
          <w:b/>
          <w:bCs/>
          <w:lang w:val="en-IN"/>
        </w:rPr>
      </w:pPr>
      <w:r w:rsidRPr="008640D1">
        <w:rPr>
          <w:rFonts w:ascii="Arial" w:hAnsi="Arial" w:cs="Arial"/>
          <w:b/>
          <w:bCs/>
          <w:lang w:val="en-IN"/>
        </w:rPr>
        <w:t>2.2. Experimental Design and Treatments</w:t>
      </w:r>
    </w:p>
    <w:p w14:paraId="61B1FC4D" w14:textId="77777777" w:rsidR="008640D1" w:rsidRPr="008640D1" w:rsidRDefault="008640D1" w:rsidP="007F6F10">
      <w:pPr>
        <w:pStyle w:val="Body"/>
        <w:spacing w:after="0"/>
        <w:rPr>
          <w:rFonts w:ascii="Arial" w:hAnsi="Arial" w:cs="Arial"/>
          <w:lang w:val="en-IN"/>
        </w:rPr>
      </w:pPr>
      <w:r w:rsidRPr="008640D1">
        <w:rPr>
          <w:rFonts w:ascii="Arial" w:hAnsi="Arial" w:cs="Arial"/>
          <w:lang w:val="en-IN"/>
        </w:rPr>
        <w:t>The experiment was laid out in a Completely Randomized Design (CRD) with six treatments and three replications. Hydroponic cultivation was carried out using the floating raft (Deep Water Culture) system with cocopeat as the growing medium.</w:t>
      </w:r>
    </w:p>
    <w:p w14:paraId="04290339" w14:textId="77777777" w:rsidR="008640D1" w:rsidRPr="008640D1" w:rsidRDefault="008640D1" w:rsidP="007F6F10">
      <w:pPr>
        <w:pStyle w:val="Body"/>
        <w:spacing w:after="0"/>
        <w:rPr>
          <w:rFonts w:ascii="Arial" w:hAnsi="Arial" w:cs="Arial"/>
          <w:lang w:val="en-IN"/>
        </w:rPr>
      </w:pPr>
      <w:r w:rsidRPr="008640D1">
        <w:rPr>
          <w:rFonts w:ascii="Arial" w:hAnsi="Arial" w:cs="Arial"/>
          <w:lang w:val="en-IN"/>
        </w:rPr>
        <w:t>The treatments were as follows:</w:t>
      </w:r>
    </w:p>
    <w:p w14:paraId="346D4EBD" w14:textId="77777777" w:rsidR="008640D1" w:rsidRPr="008640D1" w:rsidRDefault="008640D1" w:rsidP="007F6F10">
      <w:pPr>
        <w:pStyle w:val="Body"/>
        <w:spacing w:after="0"/>
        <w:ind w:left="360"/>
        <w:rPr>
          <w:rFonts w:ascii="Arial" w:hAnsi="Arial" w:cs="Arial"/>
          <w:lang w:val="en-IN"/>
        </w:rPr>
      </w:pPr>
      <w:r w:rsidRPr="008640D1">
        <w:rPr>
          <w:rFonts w:ascii="Arial" w:hAnsi="Arial" w:cs="Arial"/>
          <w:lang w:val="en-IN"/>
        </w:rPr>
        <w:t>T</w:t>
      </w:r>
      <w:r w:rsidRPr="008640D1">
        <w:rPr>
          <w:rFonts w:ascii="Cambria Math" w:hAnsi="Cambria Math" w:cs="Cambria Math"/>
          <w:lang w:val="en-IN"/>
        </w:rPr>
        <w:t>₁</w:t>
      </w:r>
      <w:r w:rsidRPr="008640D1">
        <w:rPr>
          <w:rFonts w:ascii="Arial" w:hAnsi="Arial" w:cs="Arial"/>
          <w:lang w:val="en-IN"/>
        </w:rPr>
        <w:t>: 100% standard Hoagland nutrient solution</w:t>
      </w:r>
    </w:p>
    <w:p w14:paraId="607288DE" w14:textId="63153BF5" w:rsidR="008640D1" w:rsidRPr="008640D1" w:rsidRDefault="008640D1" w:rsidP="007F6F10">
      <w:pPr>
        <w:pStyle w:val="Body"/>
        <w:spacing w:after="0"/>
        <w:ind w:left="360"/>
        <w:rPr>
          <w:rFonts w:ascii="Arial" w:hAnsi="Arial" w:cs="Arial"/>
          <w:lang w:val="en-IN"/>
        </w:rPr>
      </w:pPr>
      <w:r w:rsidRPr="008640D1">
        <w:rPr>
          <w:rFonts w:ascii="Arial" w:hAnsi="Arial" w:cs="Arial"/>
          <w:lang w:val="en-IN"/>
        </w:rPr>
        <w:t>T</w:t>
      </w:r>
      <w:r w:rsidRPr="008640D1">
        <w:rPr>
          <w:rFonts w:ascii="Cambria Math" w:hAnsi="Cambria Math" w:cs="Cambria Math"/>
          <w:lang w:val="en-IN"/>
        </w:rPr>
        <w:t>₂</w:t>
      </w:r>
      <w:r w:rsidRPr="008640D1">
        <w:rPr>
          <w:rFonts w:ascii="Arial" w:hAnsi="Arial" w:cs="Arial"/>
          <w:lang w:val="en-IN"/>
        </w:rPr>
        <w:t xml:space="preserve">: 50% Hoagland solution + 50% </w:t>
      </w:r>
      <w:r w:rsidR="00775DEF" w:rsidRPr="008640D1">
        <w:rPr>
          <w:rFonts w:ascii="Arial" w:hAnsi="Arial" w:cs="Arial"/>
          <w:i/>
          <w:iCs/>
          <w:lang w:val="en-IN"/>
        </w:rPr>
        <w:t>M</w:t>
      </w:r>
      <w:r w:rsidR="00775DEF" w:rsidRPr="00775DEF">
        <w:rPr>
          <w:rFonts w:ascii="Arial" w:hAnsi="Arial" w:cs="Arial"/>
          <w:i/>
          <w:iCs/>
          <w:lang w:val="en-IN"/>
        </w:rPr>
        <w:t>.</w:t>
      </w:r>
      <w:r w:rsidR="00775DEF" w:rsidRPr="008640D1">
        <w:rPr>
          <w:rFonts w:ascii="Arial" w:hAnsi="Arial" w:cs="Arial"/>
          <w:i/>
          <w:iCs/>
          <w:lang w:val="en-IN"/>
        </w:rPr>
        <w:t xml:space="preserve"> </w:t>
      </w:r>
      <w:proofErr w:type="spellStart"/>
      <w:r w:rsidR="00775DEF" w:rsidRPr="008640D1">
        <w:rPr>
          <w:rFonts w:ascii="Arial" w:hAnsi="Arial" w:cs="Arial"/>
          <w:i/>
          <w:iCs/>
          <w:lang w:val="en-IN"/>
        </w:rPr>
        <w:t>extorquens</w:t>
      </w:r>
      <w:proofErr w:type="spellEnd"/>
      <w:r w:rsidR="00775DEF" w:rsidRPr="00775DEF">
        <w:rPr>
          <w:rFonts w:ascii="Arial" w:hAnsi="Arial" w:cs="Arial"/>
          <w:lang w:val="en-IN"/>
        </w:rPr>
        <w:t xml:space="preserve"> </w:t>
      </w:r>
      <w:r w:rsidRPr="008640D1">
        <w:rPr>
          <w:rFonts w:ascii="Arial" w:hAnsi="Arial" w:cs="Arial"/>
          <w:lang w:val="en-IN"/>
        </w:rPr>
        <w:t>(1 × 10⁹ CFU mL</w:t>
      </w:r>
      <w:r w:rsidRPr="008640D1">
        <w:rPr>
          <w:rFonts w:ascii="Cambria Math" w:hAnsi="Cambria Math" w:cs="Cambria Math"/>
          <w:lang w:val="en-IN"/>
        </w:rPr>
        <w:t>⁻</w:t>
      </w:r>
      <w:r w:rsidRPr="008640D1">
        <w:rPr>
          <w:rFonts w:ascii="Arial" w:hAnsi="Arial" w:cs="Arial"/>
          <w:lang w:val="en-IN"/>
        </w:rPr>
        <w:t>¹)</w:t>
      </w:r>
    </w:p>
    <w:p w14:paraId="24F98F2E" w14:textId="77777777" w:rsidR="008640D1" w:rsidRPr="008640D1" w:rsidRDefault="008640D1" w:rsidP="007F6F10">
      <w:pPr>
        <w:pStyle w:val="Body"/>
        <w:spacing w:after="0"/>
        <w:ind w:left="360"/>
        <w:rPr>
          <w:rFonts w:ascii="Arial" w:hAnsi="Arial" w:cs="Arial"/>
          <w:lang w:val="en-IN"/>
        </w:rPr>
      </w:pPr>
      <w:r w:rsidRPr="008640D1">
        <w:rPr>
          <w:rFonts w:ascii="Arial" w:hAnsi="Arial" w:cs="Arial"/>
          <w:lang w:val="en-IN"/>
        </w:rPr>
        <w:t>T</w:t>
      </w:r>
      <w:r w:rsidRPr="008640D1">
        <w:rPr>
          <w:rFonts w:ascii="Cambria Math" w:hAnsi="Cambria Math" w:cs="Cambria Math"/>
          <w:lang w:val="en-IN"/>
        </w:rPr>
        <w:t>₃</w:t>
      </w:r>
      <w:r w:rsidRPr="008640D1">
        <w:rPr>
          <w:rFonts w:ascii="Arial" w:hAnsi="Arial" w:cs="Arial"/>
          <w:lang w:val="en-IN"/>
        </w:rPr>
        <w:t>: 50% Hoagland solution + 50% AMF (water-dispersible inoculum)</w:t>
      </w:r>
    </w:p>
    <w:p w14:paraId="14F6AC15" w14:textId="2B2222A2" w:rsidR="008640D1" w:rsidRPr="008640D1" w:rsidRDefault="008640D1" w:rsidP="007F6F10">
      <w:pPr>
        <w:pStyle w:val="Body"/>
        <w:spacing w:after="0"/>
        <w:ind w:left="360"/>
        <w:rPr>
          <w:rFonts w:ascii="Arial" w:hAnsi="Arial" w:cs="Arial"/>
          <w:lang w:val="en-IN"/>
        </w:rPr>
      </w:pPr>
      <w:r w:rsidRPr="008640D1">
        <w:rPr>
          <w:rFonts w:ascii="Arial" w:hAnsi="Arial" w:cs="Arial"/>
          <w:lang w:val="en-IN"/>
        </w:rPr>
        <w:t>T</w:t>
      </w:r>
      <w:r w:rsidRPr="008640D1">
        <w:rPr>
          <w:rFonts w:ascii="Cambria Math" w:hAnsi="Cambria Math" w:cs="Cambria Math"/>
          <w:lang w:val="en-IN"/>
        </w:rPr>
        <w:t>₄</w:t>
      </w:r>
      <w:r w:rsidRPr="008640D1">
        <w:rPr>
          <w:rFonts w:ascii="Arial" w:hAnsi="Arial" w:cs="Arial"/>
          <w:lang w:val="en-IN"/>
        </w:rPr>
        <w:t xml:space="preserve">: 50% Hoagland solution + 50% </w:t>
      </w:r>
      <w:r w:rsidRPr="008640D1">
        <w:rPr>
          <w:rFonts w:ascii="Arial" w:hAnsi="Arial" w:cs="Arial"/>
          <w:i/>
          <w:iCs/>
          <w:lang w:val="en-IN"/>
        </w:rPr>
        <w:t>Spirulina</w:t>
      </w:r>
      <w:r w:rsidRPr="008640D1">
        <w:rPr>
          <w:rFonts w:ascii="Arial" w:hAnsi="Arial" w:cs="Arial"/>
          <w:lang w:val="en-IN"/>
        </w:rPr>
        <w:t xml:space="preserve"> </w:t>
      </w:r>
      <w:r w:rsidR="00775DEF" w:rsidRPr="00775DEF">
        <w:rPr>
          <w:rFonts w:ascii="Arial" w:hAnsi="Arial" w:cs="Arial"/>
          <w:lang w:val="en-IN"/>
        </w:rPr>
        <w:t>extract</w:t>
      </w:r>
      <w:r w:rsidRPr="008640D1">
        <w:rPr>
          <w:rFonts w:ascii="Arial" w:hAnsi="Arial" w:cs="Arial"/>
          <w:lang w:val="en-IN"/>
        </w:rPr>
        <w:t xml:space="preserve"> (1 × 10⁹ cells mL</w:t>
      </w:r>
      <w:r w:rsidRPr="008640D1">
        <w:rPr>
          <w:rFonts w:ascii="Cambria Math" w:hAnsi="Cambria Math" w:cs="Cambria Math"/>
          <w:lang w:val="en-IN"/>
        </w:rPr>
        <w:t>⁻</w:t>
      </w:r>
      <w:r w:rsidRPr="008640D1">
        <w:rPr>
          <w:rFonts w:ascii="Arial" w:hAnsi="Arial" w:cs="Arial"/>
          <w:lang w:val="en-IN"/>
        </w:rPr>
        <w:t>¹)</w:t>
      </w:r>
    </w:p>
    <w:p w14:paraId="56346956" w14:textId="77777777" w:rsidR="008640D1" w:rsidRPr="008640D1" w:rsidRDefault="008640D1" w:rsidP="007F6F10">
      <w:pPr>
        <w:pStyle w:val="Body"/>
        <w:spacing w:after="0"/>
        <w:ind w:left="360"/>
        <w:rPr>
          <w:rFonts w:ascii="Arial" w:hAnsi="Arial" w:cs="Arial"/>
          <w:lang w:val="en-IN"/>
        </w:rPr>
      </w:pPr>
      <w:r w:rsidRPr="008640D1">
        <w:rPr>
          <w:rFonts w:ascii="Arial" w:hAnsi="Arial" w:cs="Arial"/>
          <w:lang w:val="en-IN"/>
        </w:rPr>
        <w:t>T</w:t>
      </w:r>
      <w:r w:rsidRPr="008640D1">
        <w:rPr>
          <w:rFonts w:ascii="Cambria Math" w:hAnsi="Cambria Math" w:cs="Cambria Math"/>
          <w:lang w:val="en-IN"/>
        </w:rPr>
        <w:t>₅</w:t>
      </w:r>
      <w:r w:rsidRPr="008640D1">
        <w:rPr>
          <w:rFonts w:ascii="Arial" w:hAnsi="Arial" w:cs="Arial"/>
          <w:lang w:val="en-IN"/>
        </w:rPr>
        <w:t xml:space="preserve">: 50% Hoagland solution + 50% </w:t>
      </w:r>
      <w:r w:rsidRPr="008640D1">
        <w:rPr>
          <w:rFonts w:ascii="Arial" w:hAnsi="Arial" w:cs="Arial"/>
          <w:i/>
          <w:iCs/>
          <w:lang w:val="en-IN"/>
        </w:rPr>
        <w:t xml:space="preserve">A. </w:t>
      </w:r>
      <w:proofErr w:type="spellStart"/>
      <w:r w:rsidRPr="008640D1">
        <w:rPr>
          <w:rFonts w:ascii="Arial" w:hAnsi="Arial" w:cs="Arial"/>
          <w:i/>
          <w:iCs/>
          <w:lang w:val="en-IN"/>
        </w:rPr>
        <w:t>brasilense</w:t>
      </w:r>
      <w:proofErr w:type="spellEnd"/>
      <w:r w:rsidRPr="008640D1">
        <w:rPr>
          <w:rFonts w:ascii="Arial" w:hAnsi="Arial" w:cs="Arial"/>
          <w:lang w:val="en-IN"/>
        </w:rPr>
        <w:t xml:space="preserve"> (1 × 10⁹ CFU mL</w:t>
      </w:r>
      <w:r w:rsidRPr="008640D1">
        <w:rPr>
          <w:rFonts w:ascii="Cambria Math" w:hAnsi="Cambria Math" w:cs="Cambria Math"/>
          <w:lang w:val="en-IN"/>
        </w:rPr>
        <w:t>⁻</w:t>
      </w:r>
      <w:r w:rsidRPr="008640D1">
        <w:rPr>
          <w:rFonts w:ascii="Arial" w:hAnsi="Arial" w:cs="Arial"/>
          <w:lang w:val="en-IN"/>
        </w:rPr>
        <w:t>¹)</w:t>
      </w:r>
    </w:p>
    <w:p w14:paraId="33B9DB90" w14:textId="60B9053D" w:rsidR="008640D1" w:rsidRPr="008640D1" w:rsidRDefault="008640D1" w:rsidP="007F6F10">
      <w:pPr>
        <w:pStyle w:val="Body"/>
        <w:spacing w:after="0"/>
        <w:ind w:left="360"/>
        <w:rPr>
          <w:rFonts w:ascii="Arial" w:hAnsi="Arial" w:cs="Arial"/>
          <w:lang w:val="en-IN"/>
        </w:rPr>
      </w:pPr>
      <w:r w:rsidRPr="008640D1">
        <w:rPr>
          <w:rFonts w:ascii="Arial" w:hAnsi="Arial" w:cs="Arial"/>
          <w:lang w:val="en-IN"/>
        </w:rPr>
        <w:t>T</w:t>
      </w:r>
      <w:r w:rsidRPr="008640D1">
        <w:rPr>
          <w:rFonts w:ascii="Cambria Math" w:hAnsi="Cambria Math" w:cs="Cambria Math"/>
          <w:lang w:val="en-IN"/>
        </w:rPr>
        <w:t>₆</w:t>
      </w:r>
      <w:r w:rsidRPr="008640D1">
        <w:rPr>
          <w:rFonts w:ascii="Arial" w:hAnsi="Arial" w:cs="Arial"/>
          <w:lang w:val="en-IN"/>
        </w:rPr>
        <w:t>: 50% Hoagland solution + 50% biofertilizer consortia (equal proportions)</w:t>
      </w:r>
    </w:p>
    <w:p w14:paraId="4B6D93E0" w14:textId="77777777" w:rsidR="008640D1" w:rsidRPr="008640D1" w:rsidRDefault="008640D1" w:rsidP="007F6F10">
      <w:pPr>
        <w:pStyle w:val="Body"/>
        <w:spacing w:after="0"/>
        <w:rPr>
          <w:rFonts w:ascii="Arial" w:hAnsi="Arial" w:cs="Arial"/>
          <w:b/>
          <w:bCs/>
          <w:lang w:val="en-IN"/>
        </w:rPr>
      </w:pPr>
      <w:r w:rsidRPr="008640D1">
        <w:rPr>
          <w:rFonts w:ascii="Arial" w:hAnsi="Arial" w:cs="Arial"/>
          <w:b/>
          <w:bCs/>
          <w:lang w:val="en-IN"/>
        </w:rPr>
        <w:t>2.3. Hydroponic System and Crop Establishment</w:t>
      </w:r>
    </w:p>
    <w:p w14:paraId="45CECC85" w14:textId="77777777" w:rsidR="008640D1" w:rsidRPr="008640D1" w:rsidRDefault="008640D1" w:rsidP="007F6F10">
      <w:pPr>
        <w:pStyle w:val="Body"/>
        <w:spacing w:after="0"/>
        <w:rPr>
          <w:rFonts w:ascii="Arial" w:hAnsi="Arial" w:cs="Arial"/>
          <w:lang w:val="en-IN"/>
        </w:rPr>
      </w:pPr>
      <w:r w:rsidRPr="008640D1">
        <w:rPr>
          <w:rFonts w:ascii="Arial" w:hAnsi="Arial" w:cs="Arial"/>
          <w:lang w:val="en-IN"/>
        </w:rPr>
        <w:t xml:space="preserve">Rectangular plastic containers were used as nutrient reservoirs. </w:t>
      </w:r>
      <w:proofErr w:type="spellStart"/>
      <w:r w:rsidRPr="008640D1">
        <w:rPr>
          <w:rFonts w:ascii="Arial" w:hAnsi="Arial" w:cs="Arial"/>
          <w:lang w:val="en-IN"/>
        </w:rPr>
        <w:t>Thermocol</w:t>
      </w:r>
      <w:proofErr w:type="spellEnd"/>
      <w:r w:rsidRPr="008640D1">
        <w:rPr>
          <w:rFonts w:ascii="Arial" w:hAnsi="Arial" w:cs="Arial"/>
          <w:lang w:val="en-IN"/>
        </w:rPr>
        <w:t xml:space="preserve"> sheets with perforations were placed over the containers to hold perforated net cups (250 mL capacity) filled with cocopeat. Seeds were pre-soaked in respective biofertilizer solutions for 15–20 min, shade dried, and sown in cocopeat-filled cups.</w:t>
      </w:r>
    </w:p>
    <w:p w14:paraId="2988E37C" w14:textId="77777777" w:rsidR="008640D1" w:rsidRPr="008640D1" w:rsidRDefault="008640D1" w:rsidP="007F6F10">
      <w:pPr>
        <w:pStyle w:val="Body"/>
        <w:spacing w:after="0"/>
        <w:rPr>
          <w:rFonts w:ascii="Arial" w:hAnsi="Arial" w:cs="Arial"/>
          <w:lang w:val="en-IN"/>
        </w:rPr>
      </w:pPr>
      <w:r w:rsidRPr="008640D1">
        <w:rPr>
          <w:rFonts w:ascii="Arial" w:hAnsi="Arial" w:cs="Arial"/>
          <w:lang w:val="en-IN"/>
        </w:rPr>
        <w:t>The lower portion of the cups remained in contact with the nutrient solution to facilitate capillary movement and root penetration. Continuous aeration was provided using aquarium air pumps to maintain dissolved oxygen levels above 5 mg L</w:t>
      </w:r>
      <w:r w:rsidRPr="008640D1">
        <w:rPr>
          <w:rFonts w:ascii="Cambria Math" w:hAnsi="Cambria Math" w:cs="Cambria Math"/>
          <w:lang w:val="en-IN"/>
        </w:rPr>
        <w:t>⁻</w:t>
      </w:r>
      <w:r w:rsidRPr="008640D1">
        <w:rPr>
          <w:rFonts w:ascii="Arial" w:hAnsi="Arial" w:cs="Arial"/>
          <w:lang w:val="en-IN"/>
        </w:rPr>
        <w:t>¹.</w:t>
      </w:r>
    </w:p>
    <w:p w14:paraId="038BC55F" w14:textId="77777777" w:rsidR="008640D1" w:rsidRPr="008640D1" w:rsidRDefault="008640D1" w:rsidP="007F6F10">
      <w:pPr>
        <w:pStyle w:val="Body"/>
        <w:spacing w:after="0"/>
        <w:rPr>
          <w:rFonts w:ascii="Arial" w:hAnsi="Arial" w:cs="Arial"/>
          <w:lang w:val="en-IN"/>
        </w:rPr>
      </w:pPr>
      <w:r w:rsidRPr="008640D1">
        <w:rPr>
          <w:rFonts w:ascii="Arial" w:hAnsi="Arial" w:cs="Arial"/>
          <w:lang w:val="en-IN"/>
        </w:rPr>
        <w:t>The nutrient solution was maintained at EC 1.5–1.8 mS cm</w:t>
      </w:r>
      <w:r w:rsidRPr="008640D1">
        <w:rPr>
          <w:rFonts w:ascii="Cambria Math" w:hAnsi="Cambria Math" w:cs="Cambria Math"/>
          <w:lang w:val="en-IN"/>
        </w:rPr>
        <w:t>⁻</w:t>
      </w:r>
      <w:r w:rsidRPr="008640D1">
        <w:rPr>
          <w:rFonts w:ascii="Arial" w:hAnsi="Arial" w:cs="Arial"/>
          <w:lang w:val="en-IN"/>
        </w:rPr>
        <w:t>¹ and pH 6.0–6.5. Solutions were replenished with deionized water daily and completely replaced at 7–</w:t>
      </w:r>
      <w:proofErr w:type="gramStart"/>
      <w:r w:rsidRPr="008640D1">
        <w:rPr>
          <w:rFonts w:ascii="Arial" w:hAnsi="Arial" w:cs="Arial"/>
          <w:lang w:val="en-IN"/>
        </w:rPr>
        <w:t>10 day</w:t>
      </w:r>
      <w:proofErr w:type="gramEnd"/>
      <w:r w:rsidRPr="008640D1">
        <w:rPr>
          <w:rFonts w:ascii="Arial" w:hAnsi="Arial" w:cs="Arial"/>
          <w:lang w:val="en-IN"/>
        </w:rPr>
        <w:t xml:space="preserve"> intervals. Biofertilizer supplementation was repeated at 10-day intervals to maintain microbial activity. The crop was grown for 40–45 days.</w:t>
      </w:r>
    </w:p>
    <w:p w14:paraId="241F7F44" w14:textId="20592C46" w:rsidR="008640D1" w:rsidRPr="008640D1" w:rsidRDefault="008640D1" w:rsidP="007F6F10">
      <w:pPr>
        <w:pStyle w:val="Body"/>
        <w:spacing w:after="0"/>
        <w:rPr>
          <w:rFonts w:ascii="Arial" w:hAnsi="Arial" w:cs="Arial"/>
          <w:lang w:val="en-IN"/>
        </w:rPr>
      </w:pPr>
      <w:r w:rsidRPr="008640D1">
        <w:rPr>
          <w:rFonts w:ascii="Arial" w:hAnsi="Arial" w:cs="Arial"/>
          <w:lang w:val="en-IN"/>
        </w:rPr>
        <w:t>Environmental conditions were maintained at 2</w:t>
      </w:r>
      <w:r w:rsidR="00775DEF">
        <w:rPr>
          <w:rFonts w:ascii="Arial" w:hAnsi="Arial" w:cs="Arial"/>
          <w:lang w:val="en-IN"/>
        </w:rPr>
        <w:t>5</w:t>
      </w:r>
      <w:r w:rsidRPr="008640D1">
        <w:rPr>
          <w:rFonts w:ascii="Arial" w:hAnsi="Arial" w:cs="Arial"/>
          <w:lang w:val="en-IN"/>
        </w:rPr>
        <w:t>–</w:t>
      </w:r>
      <w:r w:rsidR="00775DEF">
        <w:rPr>
          <w:rFonts w:ascii="Arial" w:hAnsi="Arial" w:cs="Arial"/>
          <w:lang w:val="en-IN"/>
        </w:rPr>
        <w:t>30</w:t>
      </w:r>
      <w:r w:rsidRPr="008640D1">
        <w:rPr>
          <w:rFonts w:ascii="Arial" w:hAnsi="Arial" w:cs="Arial"/>
          <w:lang w:val="en-IN"/>
        </w:rPr>
        <w:t xml:space="preserve"> °C temperature, 60–70% relative humidity, and 12–14 h photoperiod.</w:t>
      </w:r>
    </w:p>
    <w:p w14:paraId="3A3B1909" w14:textId="77777777" w:rsidR="008640D1" w:rsidRPr="008640D1" w:rsidRDefault="008640D1" w:rsidP="007F6F10">
      <w:pPr>
        <w:pStyle w:val="Body"/>
        <w:spacing w:after="0"/>
        <w:rPr>
          <w:rFonts w:ascii="Arial" w:hAnsi="Arial" w:cs="Arial"/>
          <w:b/>
          <w:bCs/>
          <w:lang w:val="en-IN"/>
        </w:rPr>
      </w:pPr>
      <w:r w:rsidRPr="008640D1">
        <w:rPr>
          <w:rFonts w:ascii="Arial" w:hAnsi="Arial" w:cs="Arial"/>
          <w:b/>
          <w:bCs/>
          <w:lang w:val="en-IN"/>
        </w:rPr>
        <w:t>2.4. Growth and Yield Parameters</w:t>
      </w:r>
    </w:p>
    <w:p w14:paraId="083C33E2" w14:textId="77777777" w:rsidR="008640D1" w:rsidRPr="007F6F10" w:rsidRDefault="008640D1" w:rsidP="007F6F10">
      <w:pPr>
        <w:pStyle w:val="Body"/>
        <w:spacing w:after="0"/>
        <w:rPr>
          <w:rFonts w:ascii="Arial" w:hAnsi="Arial" w:cs="Arial"/>
          <w:highlight w:val="yellow"/>
          <w:lang w:val="en-IN"/>
        </w:rPr>
      </w:pPr>
      <w:r w:rsidRPr="008640D1">
        <w:rPr>
          <w:rFonts w:ascii="Arial" w:hAnsi="Arial" w:cs="Arial"/>
          <w:lang w:val="en-IN"/>
        </w:rPr>
        <w:t>Germination percentage was recorded on the 7</w:t>
      </w:r>
      <w:r w:rsidRPr="008640D1">
        <w:rPr>
          <w:rFonts w:ascii="Arial" w:hAnsi="Arial" w:cs="Arial"/>
          <w:vertAlign w:val="superscript"/>
          <w:lang w:val="en-IN"/>
        </w:rPr>
        <w:t>th</w:t>
      </w:r>
      <w:r w:rsidRPr="008640D1">
        <w:rPr>
          <w:rFonts w:ascii="Arial" w:hAnsi="Arial" w:cs="Arial"/>
          <w:lang w:val="en-IN"/>
        </w:rPr>
        <w:t xml:space="preserve"> day after sowing (ISTA, 2015). Root length, shoot length, </w:t>
      </w:r>
      <w:proofErr w:type="spellStart"/>
      <w:r w:rsidRPr="008640D1">
        <w:rPr>
          <w:rFonts w:ascii="Arial" w:hAnsi="Arial" w:cs="Arial"/>
          <w:lang w:val="en-IN"/>
        </w:rPr>
        <w:t>vigor</w:t>
      </w:r>
      <w:proofErr w:type="spellEnd"/>
      <w:r w:rsidRPr="008640D1">
        <w:rPr>
          <w:rFonts w:ascii="Arial" w:hAnsi="Arial" w:cs="Arial"/>
          <w:lang w:val="en-IN"/>
        </w:rPr>
        <w:t xml:space="preserve"> index (Abdul-</w:t>
      </w:r>
      <w:proofErr w:type="spellStart"/>
      <w:r w:rsidRPr="008640D1">
        <w:rPr>
          <w:rFonts w:ascii="Arial" w:hAnsi="Arial" w:cs="Arial"/>
          <w:lang w:val="en-IN"/>
        </w:rPr>
        <w:t>Baki</w:t>
      </w:r>
      <w:proofErr w:type="spellEnd"/>
      <w:r w:rsidRPr="008640D1">
        <w:rPr>
          <w:rFonts w:ascii="Arial" w:hAnsi="Arial" w:cs="Arial"/>
          <w:lang w:val="en-IN"/>
        </w:rPr>
        <w:t xml:space="preserve"> and Anderson, 1973), and root-to-shoot ratio were </w:t>
      </w:r>
      <w:r w:rsidRPr="007F6F10">
        <w:rPr>
          <w:rFonts w:ascii="Arial" w:hAnsi="Arial" w:cs="Arial"/>
          <w:highlight w:val="yellow"/>
          <w:lang w:val="en-IN"/>
        </w:rPr>
        <w:t>determined at the vegetative stage.</w:t>
      </w:r>
    </w:p>
    <w:p w14:paraId="089F0EC4" w14:textId="458A07C6" w:rsidR="008640D1" w:rsidRPr="008640D1" w:rsidRDefault="008640D1" w:rsidP="007F6F10">
      <w:pPr>
        <w:pStyle w:val="Body"/>
        <w:spacing w:after="0"/>
        <w:rPr>
          <w:rFonts w:ascii="Arial" w:hAnsi="Arial" w:cs="Arial"/>
          <w:lang w:val="en-IN"/>
        </w:rPr>
      </w:pPr>
      <w:r w:rsidRPr="007F6F10">
        <w:rPr>
          <w:rFonts w:ascii="Arial" w:hAnsi="Arial" w:cs="Arial"/>
          <w:highlight w:val="yellow"/>
          <w:lang w:val="en-IN"/>
        </w:rPr>
        <w:t>Yield parameters</w:t>
      </w:r>
      <w:r w:rsidR="00CF654A" w:rsidRPr="007F6F10">
        <w:rPr>
          <w:rFonts w:ascii="Arial" w:hAnsi="Arial" w:cs="Arial"/>
          <w:highlight w:val="yellow"/>
          <w:lang w:val="en-IN"/>
        </w:rPr>
        <w:t>,</w:t>
      </w:r>
      <w:r w:rsidRPr="007F6F10">
        <w:rPr>
          <w:rFonts w:ascii="Arial" w:hAnsi="Arial" w:cs="Arial"/>
          <w:highlight w:val="yellow"/>
          <w:lang w:val="en-IN"/>
        </w:rPr>
        <w:t xml:space="preserve"> including number of leaves, stem diameter, leaf area (Patel et al., 2017), and fresh leaf weight</w:t>
      </w:r>
      <w:r w:rsidR="00CF654A" w:rsidRPr="007F6F10">
        <w:rPr>
          <w:rFonts w:ascii="Arial" w:hAnsi="Arial" w:cs="Arial"/>
          <w:highlight w:val="yellow"/>
          <w:lang w:val="en-IN"/>
        </w:rPr>
        <w:t>,</w:t>
      </w:r>
      <w:r w:rsidRPr="008640D1">
        <w:rPr>
          <w:rFonts w:ascii="Arial" w:hAnsi="Arial" w:cs="Arial"/>
          <w:lang w:val="en-IN"/>
        </w:rPr>
        <w:t xml:space="preserve"> were recorded at harvest. Leaf </w:t>
      </w:r>
      <w:proofErr w:type="spellStart"/>
      <w:r w:rsidRPr="008640D1">
        <w:rPr>
          <w:rFonts w:ascii="Arial" w:hAnsi="Arial" w:cs="Arial"/>
          <w:lang w:val="en-IN"/>
        </w:rPr>
        <w:t>color</w:t>
      </w:r>
      <w:proofErr w:type="spellEnd"/>
      <w:r w:rsidRPr="008640D1">
        <w:rPr>
          <w:rFonts w:ascii="Arial" w:hAnsi="Arial" w:cs="Arial"/>
          <w:lang w:val="en-IN"/>
        </w:rPr>
        <w:t xml:space="preserve"> was assessed using the Leaf </w:t>
      </w:r>
      <w:proofErr w:type="spellStart"/>
      <w:r w:rsidRPr="008640D1">
        <w:rPr>
          <w:rFonts w:ascii="Arial" w:hAnsi="Arial" w:cs="Arial"/>
          <w:lang w:val="en-IN"/>
        </w:rPr>
        <w:t>Color</w:t>
      </w:r>
      <w:proofErr w:type="spellEnd"/>
      <w:r w:rsidRPr="008640D1">
        <w:rPr>
          <w:rFonts w:ascii="Arial" w:hAnsi="Arial" w:cs="Arial"/>
          <w:lang w:val="en-IN"/>
        </w:rPr>
        <w:t xml:space="preserve"> Chart (IRRI, 2014).</w:t>
      </w:r>
    </w:p>
    <w:p w14:paraId="5C47ED66" w14:textId="77777777" w:rsidR="008640D1" w:rsidRPr="008640D1" w:rsidRDefault="008640D1" w:rsidP="007F6F10">
      <w:pPr>
        <w:pStyle w:val="Body"/>
        <w:spacing w:after="0"/>
        <w:rPr>
          <w:rFonts w:ascii="Arial" w:hAnsi="Arial" w:cs="Arial"/>
          <w:b/>
          <w:bCs/>
          <w:lang w:val="en-IN"/>
        </w:rPr>
      </w:pPr>
      <w:r w:rsidRPr="008640D1">
        <w:rPr>
          <w:rFonts w:ascii="Arial" w:hAnsi="Arial" w:cs="Arial"/>
          <w:b/>
          <w:bCs/>
          <w:lang w:val="en-IN"/>
        </w:rPr>
        <w:t>2.5. Biochemical Analysis</w:t>
      </w:r>
    </w:p>
    <w:p w14:paraId="4E6B4BEE" w14:textId="77777777" w:rsidR="008640D1" w:rsidRPr="008640D1" w:rsidRDefault="008640D1" w:rsidP="007F6F10">
      <w:pPr>
        <w:pStyle w:val="Body"/>
        <w:spacing w:after="0"/>
        <w:rPr>
          <w:rFonts w:ascii="Arial" w:hAnsi="Arial" w:cs="Arial"/>
          <w:lang w:val="en-IN"/>
        </w:rPr>
      </w:pPr>
      <w:r w:rsidRPr="008640D1">
        <w:rPr>
          <w:rFonts w:ascii="Arial" w:hAnsi="Arial" w:cs="Arial"/>
          <w:lang w:val="en-IN"/>
        </w:rPr>
        <w:lastRenderedPageBreak/>
        <w:t xml:space="preserve">Fresh leaf samples were </w:t>
      </w:r>
      <w:proofErr w:type="spellStart"/>
      <w:r w:rsidRPr="008640D1">
        <w:rPr>
          <w:rFonts w:ascii="Arial" w:hAnsi="Arial" w:cs="Arial"/>
          <w:lang w:val="en-IN"/>
        </w:rPr>
        <w:t>analyzed</w:t>
      </w:r>
      <w:proofErr w:type="spellEnd"/>
      <w:r w:rsidRPr="008640D1">
        <w:rPr>
          <w:rFonts w:ascii="Arial" w:hAnsi="Arial" w:cs="Arial"/>
          <w:lang w:val="en-IN"/>
        </w:rPr>
        <w:t xml:space="preserve"> for total phenols (Singleton and Rossi, 1965), total flavonoids (Chang et al., 2002), chlorophyll content, total soluble solids (</w:t>
      </w:r>
      <w:proofErr w:type="spellStart"/>
      <w:r w:rsidRPr="008640D1">
        <w:rPr>
          <w:rFonts w:ascii="Arial" w:hAnsi="Arial" w:cs="Arial"/>
          <w:lang w:val="en-IN"/>
        </w:rPr>
        <w:t>Ranganna</w:t>
      </w:r>
      <w:proofErr w:type="spellEnd"/>
      <w:r w:rsidRPr="008640D1">
        <w:rPr>
          <w:rFonts w:ascii="Arial" w:hAnsi="Arial" w:cs="Arial"/>
          <w:lang w:val="en-IN"/>
        </w:rPr>
        <w:t>, 1986), titratable acidity (</w:t>
      </w:r>
      <w:proofErr w:type="spellStart"/>
      <w:r w:rsidRPr="008640D1">
        <w:rPr>
          <w:rFonts w:ascii="Arial" w:hAnsi="Arial" w:cs="Arial"/>
          <w:lang w:val="en-IN"/>
        </w:rPr>
        <w:t>Ranganna</w:t>
      </w:r>
      <w:proofErr w:type="spellEnd"/>
      <w:r w:rsidRPr="008640D1">
        <w:rPr>
          <w:rFonts w:ascii="Arial" w:hAnsi="Arial" w:cs="Arial"/>
          <w:lang w:val="en-IN"/>
        </w:rPr>
        <w:t>, 1986), ascorbic acid (</w:t>
      </w:r>
      <w:proofErr w:type="spellStart"/>
      <w:r w:rsidRPr="008640D1">
        <w:rPr>
          <w:rFonts w:ascii="Arial" w:hAnsi="Arial" w:cs="Arial"/>
          <w:lang w:val="en-IN"/>
        </w:rPr>
        <w:t>Ranganna</w:t>
      </w:r>
      <w:proofErr w:type="spellEnd"/>
      <w:r w:rsidRPr="008640D1">
        <w:rPr>
          <w:rFonts w:ascii="Arial" w:hAnsi="Arial" w:cs="Arial"/>
          <w:lang w:val="en-IN"/>
        </w:rPr>
        <w:t>, 1986), antioxidant activity using DPPH assay (Brand-Williams et al., 1995), FRAP assay, and soluble protein content by Lowry’s method. Standard spectrophotometric procedures were followed, and results were expressed on a fresh weight basis.</w:t>
      </w:r>
    </w:p>
    <w:p w14:paraId="6AF62946" w14:textId="77777777" w:rsidR="008640D1" w:rsidRPr="008640D1" w:rsidRDefault="008640D1" w:rsidP="007F6F10">
      <w:pPr>
        <w:pStyle w:val="Body"/>
        <w:spacing w:after="0"/>
        <w:rPr>
          <w:rFonts w:ascii="Arial" w:hAnsi="Arial" w:cs="Arial"/>
          <w:b/>
          <w:bCs/>
          <w:lang w:val="en-IN"/>
        </w:rPr>
      </w:pPr>
      <w:r w:rsidRPr="008640D1">
        <w:rPr>
          <w:rFonts w:ascii="Arial" w:hAnsi="Arial" w:cs="Arial"/>
          <w:b/>
          <w:bCs/>
          <w:lang w:val="en-IN"/>
        </w:rPr>
        <w:t>2.6. Statistical Analysis</w:t>
      </w:r>
    </w:p>
    <w:p w14:paraId="009A5A78" w14:textId="26997FB8" w:rsidR="008640D1" w:rsidRPr="008640D1" w:rsidRDefault="008640D1" w:rsidP="007F6F10">
      <w:pPr>
        <w:pStyle w:val="Body"/>
        <w:spacing w:after="0"/>
        <w:rPr>
          <w:rFonts w:ascii="Arial" w:hAnsi="Arial" w:cs="Arial"/>
          <w:lang w:val="en-IN"/>
        </w:rPr>
      </w:pPr>
      <w:r w:rsidRPr="008640D1">
        <w:rPr>
          <w:rFonts w:ascii="Arial" w:hAnsi="Arial" w:cs="Arial"/>
          <w:lang w:val="en-IN"/>
        </w:rPr>
        <w:t>Data were subjected to one-way analysis of variance (ANOVA) under CRD</w:t>
      </w:r>
      <w:r w:rsidR="00775DEF">
        <w:rPr>
          <w:rFonts w:ascii="Arial" w:hAnsi="Arial" w:cs="Arial"/>
          <w:lang w:val="en-IN"/>
        </w:rPr>
        <w:t>.</w:t>
      </w:r>
      <w:r w:rsidR="00D26E0A">
        <w:rPr>
          <w:rFonts w:ascii="Arial" w:hAnsi="Arial" w:cs="Arial"/>
          <w:lang w:val="en-IN"/>
        </w:rPr>
        <w:t xml:space="preserve"> </w:t>
      </w:r>
      <w:r w:rsidRPr="008640D1">
        <w:rPr>
          <w:rFonts w:ascii="Arial" w:hAnsi="Arial" w:cs="Arial"/>
          <w:lang w:val="en-IN"/>
        </w:rPr>
        <w:t xml:space="preserve">Treatment means were compared at 5% level of significance (P ≤ 0.05) using Critical Difference (CD). </w:t>
      </w:r>
    </w:p>
    <w:p w14:paraId="374CBC10" w14:textId="77777777" w:rsidR="00790ADA" w:rsidRPr="008640D1" w:rsidRDefault="00790ADA" w:rsidP="007F6F10">
      <w:pPr>
        <w:pStyle w:val="Body"/>
        <w:spacing w:after="0"/>
        <w:rPr>
          <w:rFonts w:ascii="Arial" w:hAnsi="Arial" w:cs="Arial"/>
          <w:lang w:val="en-IN"/>
        </w:rPr>
      </w:pPr>
    </w:p>
    <w:p w14:paraId="325A6E4D" w14:textId="77777777" w:rsidR="00902823" w:rsidRDefault="00000F8F" w:rsidP="007F6F10">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76F1BB2" w14:textId="62672286" w:rsidR="00D26E0A" w:rsidRPr="00AA7FB4" w:rsidRDefault="00D26E0A" w:rsidP="007F6F10">
      <w:pPr>
        <w:spacing w:after="160" w:line="278" w:lineRule="auto"/>
        <w:jc w:val="both"/>
        <w:rPr>
          <w:rFonts w:ascii="Arial" w:hAnsi="Arial" w:cs="Arial"/>
          <w:b/>
          <w:bCs/>
          <w:sz w:val="22"/>
          <w:szCs w:val="22"/>
          <w:lang w:val="en-IN"/>
        </w:rPr>
      </w:pPr>
      <w:r w:rsidRPr="00D26E0A">
        <w:rPr>
          <w:rFonts w:ascii="Arial" w:hAnsi="Arial" w:cs="Arial"/>
          <w:b/>
          <w:bCs/>
          <w:sz w:val="22"/>
          <w:szCs w:val="22"/>
          <w:lang w:val="en-IN"/>
        </w:rPr>
        <w:t>3.1.</w:t>
      </w:r>
      <w:r w:rsidRPr="00AA7FB4">
        <w:rPr>
          <w:rFonts w:ascii="Arial" w:hAnsi="Arial" w:cs="Arial"/>
          <w:b/>
          <w:bCs/>
          <w:sz w:val="22"/>
          <w:szCs w:val="22"/>
          <w:lang w:val="en-IN"/>
        </w:rPr>
        <w:t xml:space="preserve"> Seed Germination and Seedling Vigor</w:t>
      </w:r>
    </w:p>
    <w:p w14:paraId="3DB54C0C" w14:textId="3E8CF149" w:rsidR="00D26E0A" w:rsidRDefault="00D26E0A" w:rsidP="007F6F10">
      <w:pPr>
        <w:spacing w:after="160" w:line="278" w:lineRule="auto"/>
        <w:jc w:val="both"/>
        <w:rPr>
          <w:rFonts w:ascii="Arial" w:hAnsi="Arial" w:cs="Arial"/>
          <w:sz w:val="22"/>
          <w:szCs w:val="22"/>
          <w:lang w:val="en-IN"/>
        </w:rPr>
      </w:pPr>
      <w:r w:rsidRPr="00AA7FB4">
        <w:rPr>
          <w:rFonts w:ascii="Arial" w:hAnsi="Arial" w:cs="Arial"/>
          <w:sz w:val="22"/>
          <w:szCs w:val="22"/>
          <w:lang w:val="en-IN"/>
        </w:rPr>
        <w:t xml:space="preserve">Germination percentage varied significantly among nutrient treatments, ranging from 78% under the 100% standard Hoagland nutrient solution to 90% with 50% Hoagland solution + 50% </w:t>
      </w:r>
      <w:r w:rsidRPr="007F6F10">
        <w:rPr>
          <w:rFonts w:ascii="Arial" w:hAnsi="Arial" w:cs="Arial"/>
          <w:i/>
          <w:iCs/>
          <w:sz w:val="22"/>
          <w:szCs w:val="22"/>
          <w:highlight w:val="yellow"/>
          <w:lang w:val="en-IN"/>
        </w:rPr>
        <w:t>Spirulina</w:t>
      </w:r>
      <w:r w:rsidR="004A4AD3" w:rsidRPr="007F6F10">
        <w:rPr>
          <w:rFonts w:ascii="Arial" w:hAnsi="Arial" w:cs="Arial"/>
          <w:sz w:val="22"/>
          <w:szCs w:val="22"/>
          <w:highlight w:val="yellow"/>
          <w:lang w:val="en-IN"/>
        </w:rPr>
        <w:t xml:space="preserve"> extract</w:t>
      </w:r>
      <w:r w:rsidR="004A4AD3">
        <w:rPr>
          <w:rFonts w:ascii="Arial" w:hAnsi="Arial" w:cs="Arial"/>
          <w:sz w:val="22"/>
          <w:szCs w:val="22"/>
          <w:lang w:val="en-IN"/>
        </w:rPr>
        <w:t xml:space="preserve"> </w:t>
      </w:r>
      <w:r w:rsidRPr="00AA7FB4">
        <w:rPr>
          <w:rFonts w:ascii="Arial" w:hAnsi="Arial" w:cs="Arial"/>
          <w:sz w:val="22"/>
          <w:szCs w:val="22"/>
          <w:lang w:val="en-IN"/>
        </w:rPr>
        <w:t>(1 × 10⁹ cells mL</w:t>
      </w:r>
      <w:r w:rsidRPr="00AA7FB4">
        <w:rPr>
          <w:rFonts w:ascii="Cambria Math" w:hAnsi="Cambria Math" w:cs="Cambria Math"/>
          <w:sz w:val="22"/>
          <w:szCs w:val="22"/>
          <w:lang w:val="en-IN"/>
        </w:rPr>
        <w:t>⁻</w:t>
      </w:r>
      <w:r w:rsidRPr="00AA7FB4">
        <w:rPr>
          <w:rFonts w:ascii="Arial" w:hAnsi="Arial" w:cs="Arial"/>
          <w:sz w:val="22"/>
          <w:szCs w:val="22"/>
          <w:lang w:val="en-IN"/>
        </w:rPr>
        <w:t xml:space="preserve">¹). The </w:t>
      </w:r>
      <w:proofErr w:type="spellStart"/>
      <w:r w:rsidRPr="00AA7FB4">
        <w:rPr>
          <w:rFonts w:ascii="Arial" w:hAnsi="Arial" w:cs="Arial"/>
          <w:sz w:val="22"/>
          <w:szCs w:val="22"/>
          <w:lang w:val="en-IN"/>
        </w:rPr>
        <w:t>vigor</w:t>
      </w:r>
      <w:proofErr w:type="spellEnd"/>
      <w:r w:rsidRPr="00AA7FB4">
        <w:rPr>
          <w:rFonts w:ascii="Arial" w:hAnsi="Arial" w:cs="Arial"/>
          <w:sz w:val="22"/>
          <w:szCs w:val="22"/>
          <w:lang w:val="en-IN"/>
        </w:rPr>
        <w:t xml:space="preserve"> index, root length, and root-to-shoot ratio were also highest in the </w:t>
      </w:r>
      <w:r w:rsidRPr="00AA7FB4">
        <w:rPr>
          <w:rFonts w:ascii="Arial" w:hAnsi="Arial" w:cs="Arial"/>
          <w:i/>
          <w:iCs/>
          <w:sz w:val="22"/>
          <w:szCs w:val="22"/>
          <w:lang w:val="en-IN"/>
        </w:rPr>
        <w:t>Spirulina</w:t>
      </w:r>
      <w:r w:rsidRPr="00AA7FB4">
        <w:rPr>
          <w:rFonts w:ascii="Arial" w:hAnsi="Arial" w:cs="Arial"/>
          <w:sz w:val="22"/>
          <w:szCs w:val="22"/>
          <w:lang w:val="en-IN"/>
        </w:rPr>
        <w:t>-supplemented treatment, whereas shoot length was greatest under the full Hoagland solution</w:t>
      </w:r>
      <w:r w:rsidR="004A4AD3">
        <w:rPr>
          <w:rFonts w:ascii="Arial" w:hAnsi="Arial" w:cs="Arial"/>
          <w:sz w:val="22"/>
          <w:szCs w:val="22"/>
          <w:lang w:val="en-IN"/>
        </w:rPr>
        <w:t xml:space="preserve"> (Table 1)</w:t>
      </w:r>
      <w:r w:rsidRPr="00AA7FB4">
        <w:rPr>
          <w:rFonts w:ascii="Arial" w:hAnsi="Arial" w:cs="Arial"/>
          <w:sz w:val="22"/>
          <w:szCs w:val="22"/>
          <w:lang w:val="en-IN"/>
        </w:rPr>
        <w:t>.</w:t>
      </w:r>
      <w:r>
        <w:rPr>
          <w:rFonts w:ascii="Arial" w:hAnsi="Arial" w:cs="Arial"/>
          <w:sz w:val="22"/>
          <w:szCs w:val="22"/>
          <w:lang w:val="en-IN"/>
        </w:rPr>
        <w:t xml:space="preserve"> </w:t>
      </w:r>
      <w:r w:rsidRPr="00AA7FB4">
        <w:rPr>
          <w:rFonts w:ascii="Arial" w:hAnsi="Arial" w:cs="Arial"/>
          <w:sz w:val="22"/>
          <w:szCs w:val="22"/>
          <w:lang w:val="en-IN"/>
        </w:rPr>
        <w:t xml:space="preserve">Improved germination and early seedling performance under </w:t>
      </w:r>
      <w:r w:rsidRPr="00AA7FB4">
        <w:rPr>
          <w:rFonts w:ascii="Arial" w:hAnsi="Arial" w:cs="Arial"/>
          <w:i/>
          <w:iCs/>
          <w:sz w:val="22"/>
          <w:szCs w:val="22"/>
          <w:lang w:val="en-IN"/>
        </w:rPr>
        <w:t>Spirulina</w:t>
      </w:r>
      <w:r w:rsidRPr="00AA7FB4">
        <w:rPr>
          <w:rFonts w:ascii="Arial" w:hAnsi="Arial" w:cs="Arial"/>
          <w:sz w:val="22"/>
          <w:szCs w:val="22"/>
          <w:lang w:val="en-IN"/>
        </w:rPr>
        <w:t xml:space="preserve"> supplementation may be attributed to microalgal bioactive compounds such as phytohormones, vitamins, and amino acids that stimulate metabolic activity and root initiation (Vessey, 2003; Yaseen et al., 2014). The enhanced root development and higher root-to-shoot ratio indicate improved nutrient acquisition efficiency, a critical factor in hydroponic systems where nutrient uptake is entirely root-dependent (Savvas and Gruda, 2018). In contrast, greater shoot elongation under the standard Hoagland solution reflects rapid mineral uptake, a characteristic response to readily available inorganic nutrients (Resh, 2013).</w:t>
      </w:r>
    </w:p>
    <w:tbl>
      <w:tblPr>
        <w:tblStyle w:val="TableGrid"/>
        <w:tblpPr w:leftFromText="180" w:rightFromText="180" w:vertAnchor="text" w:horzAnchor="margin" w:tblpXSpec="center" w:tblpY="487"/>
        <w:tblW w:w="941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2"/>
        <w:gridCol w:w="1656"/>
        <w:gridCol w:w="1552"/>
        <w:gridCol w:w="1552"/>
        <w:gridCol w:w="1552"/>
        <w:gridCol w:w="1552"/>
      </w:tblGrid>
      <w:tr w:rsidR="004A4AD3" w:rsidRPr="000C1CB9" w14:paraId="708F835E" w14:textId="77777777" w:rsidTr="004A4AD3">
        <w:trPr>
          <w:trHeight w:val="557"/>
        </w:trPr>
        <w:tc>
          <w:tcPr>
            <w:tcW w:w="1552" w:type="dxa"/>
            <w:tcBorders>
              <w:top w:val="single" w:sz="4" w:space="0" w:color="auto"/>
              <w:bottom w:val="single" w:sz="4" w:space="0" w:color="auto"/>
            </w:tcBorders>
          </w:tcPr>
          <w:p w14:paraId="6470C1B8" w14:textId="77777777" w:rsidR="004A4AD3" w:rsidRPr="000C1CB9" w:rsidRDefault="004A4AD3" w:rsidP="007F6F10">
            <w:pPr>
              <w:jc w:val="both"/>
              <w:rPr>
                <w:rFonts w:ascii="Arial" w:hAnsi="Arial" w:cs="Arial"/>
                <w:b/>
                <w:bCs/>
              </w:rPr>
            </w:pPr>
            <w:r w:rsidRPr="000C1CB9">
              <w:rPr>
                <w:rFonts w:ascii="Arial" w:hAnsi="Arial" w:cs="Arial"/>
                <w:b/>
                <w:bCs/>
              </w:rPr>
              <w:t>Treatments</w:t>
            </w:r>
          </w:p>
        </w:tc>
        <w:tc>
          <w:tcPr>
            <w:tcW w:w="1656" w:type="dxa"/>
            <w:tcBorders>
              <w:top w:val="single" w:sz="4" w:space="0" w:color="auto"/>
              <w:bottom w:val="single" w:sz="4" w:space="0" w:color="auto"/>
            </w:tcBorders>
          </w:tcPr>
          <w:p w14:paraId="54C4A63B" w14:textId="77777777" w:rsidR="004A4AD3" w:rsidRPr="000C1CB9" w:rsidRDefault="004A4AD3" w:rsidP="007F6F10">
            <w:pPr>
              <w:jc w:val="both"/>
              <w:rPr>
                <w:rFonts w:ascii="Arial" w:hAnsi="Arial" w:cs="Arial"/>
                <w:b/>
                <w:bCs/>
              </w:rPr>
            </w:pPr>
            <w:r w:rsidRPr="000C1CB9">
              <w:rPr>
                <w:rFonts w:ascii="Arial" w:hAnsi="Arial" w:cs="Arial"/>
                <w:b/>
                <w:bCs/>
              </w:rPr>
              <w:t>Germination (%)</w:t>
            </w:r>
          </w:p>
        </w:tc>
        <w:tc>
          <w:tcPr>
            <w:tcW w:w="1552" w:type="dxa"/>
            <w:tcBorders>
              <w:top w:val="single" w:sz="4" w:space="0" w:color="auto"/>
              <w:bottom w:val="single" w:sz="4" w:space="0" w:color="auto"/>
            </w:tcBorders>
          </w:tcPr>
          <w:p w14:paraId="1729FEFA" w14:textId="77777777" w:rsidR="004A4AD3" w:rsidRPr="000C1CB9" w:rsidRDefault="004A4AD3" w:rsidP="007F6F10">
            <w:pPr>
              <w:jc w:val="both"/>
              <w:rPr>
                <w:rFonts w:ascii="Arial" w:hAnsi="Arial" w:cs="Arial"/>
                <w:b/>
                <w:bCs/>
              </w:rPr>
            </w:pPr>
            <w:r w:rsidRPr="000C1CB9">
              <w:rPr>
                <w:rFonts w:ascii="Arial" w:hAnsi="Arial" w:cs="Arial"/>
                <w:b/>
                <w:bCs/>
              </w:rPr>
              <w:t>Root length (cm)</w:t>
            </w:r>
          </w:p>
        </w:tc>
        <w:tc>
          <w:tcPr>
            <w:tcW w:w="1552" w:type="dxa"/>
            <w:tcBorders>
              <w:top w:val="single" w:sz="4" w:space="0" w:color="auto"/>
              <w:bottom w:val="single" w:sz="4" w:space="0" w:color="auto"/>
            </w:tcBorders>
          </w:tcPr>
          <w:p w14:paraId="4127729E" w14:textId="77777777" w:rsidR="004A4AD3" w:rsidRPr="000C1CB9" w:rsidRDefault="004A4AD3" w:rsidP="007F6F10">
            <w:pPr>
              <w:jc w:val="both"/>
              <w:rPr>
                <w:rFonts w:ascii="Arial" w:hAnsi="Arial" w:cs="Arial"/>
                <w:b/>
                <w:bCs/>
              </w:rPr>
            </w:pPr>
            <w:r w:rsidRPr="000C1CB9">
              <w:rPr>
                <w:rFonts w:ascii="Arial" w:hAnsi="Arial" w:cs="Arial"/>
                <w:b/>
                <w:bCs/>
              </w:rPr>
              <w:t>Shoot length (cm)</w:t>
            </w:r>
          </w:p>
        </w:tc>
        <w:tc>
          <w:tcPr>
            <w:tcW w:w="1552" w:type="dxa"/>
            <w:tcBorders>
              <w:top w:val="single" w:sz="4" w:space="0" w:color="auto"/>
              <w:bottom w:val="single" w:sz="4" w:space="0" w:color="auto"/>
            </w:tcBorders>
          </w:tcPr>
          <w:p w14:paraId="21650146" w14:textId="77777777" w:rsidR="004A4AD3" w:rsidRPr="000C1CB9" w:rsidRDefault="004A4AD3" w:rsidP="007F6F10">
            <w:pPr>
              <w:jc w:val="both"/>
              <w:rPr>
                <w:rFonts w:ascii="Arial" w:hAnsi="Arial" w:cs="Arial"/>
                <w:b/>
                <w:bCs/>
              </w:rPr>
            </w:pPr>
            <w:r w:rsidRPr="000C1CB9">
              <w:rPr>
                <w:rFonts w:ascii="Arial" w:hAnsi="Arial" w:cs="Arial"/>
                <w:b/>
                <w:bCs/>
              </w:rPr>
              <w:t>Vigor index</w:t>
            </w:r>
          </w:p>
        </w:tc>
        <w:tc>
          <w:tcPr>
            <w:tcW w:w="1552" w:type="dxa"/>
            <w:tcBorders>
              <w:top w:val="single" w:sz="4" w:space="0" w:color="auto"/>
              <w:bottom w:val="single" w:sz="4" w:space="0" w:color="auto"/>
            </w:tcBorders>
          </w:tcPr>
          <w:p w14:paraId="3AEEA728" w14:textId="77777777" w:rsidR="004A4AD3" w:rsidRPr="000C1CB9" w:rsidRDefault="004A4AD3" w:rsidP="007F6F10">
            <w:pPr>
              <w:jc w:val="both"/>
              <w:rPr>
                <w:rFonts w:ascii="Arial" w:hAnsi="Arial" w:cs="Arial"/>
                <w:b/>
                <w:bCs/>
              </w:rPr>
            </w:pPr>
            <w:r w:rsidRPr="000C1CB9">
              <w:rPr>
                <w:rFonts w:ascii="Arial" w:hAnsi="Arial" w:cs="Arial"/>
                <w:b/>
                <w:bCs/>
              </w:rPr>
              <w:t>R/S ratio</w:t>
            </w:r>
          </w:p>
        </w:tc>
      </w:tr>
      <w:tr w:rsidR="004A4AD3" w:rsidRPr="000C1CB9" w14:paraId="568CCB03" w14:textId="77777777" w:rsidTr="004A4AD3">
        <w:trPr>
          <w:trHeight w:val="288"/>
        </w:trPr>
        <w:tc>
          <w:tcPr>
            <w:tcW w:w="1552" w:type="dxa"/>
            <w:tcBorders>
              <w:top w:val="single" w:sz="4" w:space="0" w:color="auto"/>
            </w:tcBorders>
          </w:tcPr>
          <w:p w14:paraId="4CAFA52F"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1</w:t>
            </w:r>
          </w:p>
        </w:tc>
        <w:tc>
          <w:tcPr>
            <w:tcW w:w="1656" w:type="dxa"/>
            <w:tcBorders>
              <w:top w:val="single" w:sz="4" w:space="0" w:color="auto"/>
            </w:tcBorders>
          </w:tcPr>
          <w:p w14:paraId="0960D59E" w14:textId="77777777" w:rsidR="004A4AD3" w:rsidRPr="000C1CB9" w:rsidRDefault="004A4AD3" w:rsidP="007F6F10">
            <w:pPr>
              <w:jc w:val="both"/>
              <w:rPr>
                <w:rFonts w:ascii="Arial" w:hAnsi="Arial" w:cs="Arial"/>
              </w:rPr>
            </w:pPr>
            <w:r w:rsidRPr="000C1CB9">
              <w:rPr>
                <w:rFonts w:ascii="Arial" w:hAnsi="Arial" w:cs="Arial"/>
              </w:rPr>
              <w:t>78</w:t>
            </w:r>
          </w:p>
        </w:tc>
        <w:tc>
          <w:tcPr>
            <w:tcW w:w="1552" w:type="dxa"/>
            <w:tcBorders>
              <w:top w:val="single" w:sz="4" w:space="0" w:color="auto"/>
            </w:tcBorders>
          </w:tcPr>
          <w:p w14:paraId="62EFC432" w14:textId="77777777" w:rsidR="004A4AD3" w:rsidRPr="000C1CB9" w:rsidRDefault="004A4AD3" w:rsidP="007F6F10">
            <w:pPr>
              <w:jc w:val="both"/>
              <w:rPr>
                <w:rFonts w:ascii="Arial" w:hAnsi="Arial" w:cs="Arial"/>
              </w:rPr>
            </w:pPr>
            <w:r w:rsidRPr="000C1CB9">
              <w:rPr>
                <w:rFonts w:ascii="Arial" w:hAnsi="Arial" w:cs="Arial"/>
              </w:rPr>
              <w:t>13.6</w:t>
            </w:r>
          </w:p>
        </w:tc>
        <w:tc>
          <w:tcPr>
            <w:tcW w:w="1552" w:type="dxa"/>
            <w:tcBorders>
              <w:top w:val="single" w:sz="4" w:space="0" w:color="auto"/>
            </w:tcBorders>
          </w:tcPr>
          <w:p w14:paraId="23469C0A" w14:textId="77777777" w:rsidR="004A4AD3" w:rsidRPr="000C1CB9" w:rsidRDefault="004A4AD3" w:rsidP="007F6F10">
            <w:pPr>
              <w:jc w:val="both"/>
              <w:rPr>
                <w:rFonts w:ascii="Arial" w:hAnsi="Arial" w:cs="Arial"/>
              </w:rPr>
            </w:pPr>
            <w:r w:rsidRPr="000C1CB9">
              <w:rPr>
                <w:rFonts w:ascii="Arial" w:hAnsi="Arial" w:cs="Arial"/>
              </w:rPr>
              <w:t>11.6</w:t>
            </w:r>
          </w:p>
        </w:tc>
        <w:tc>
          <w:tcPr>
            <w:tcW w:w="1552" w:type="dxa"/>
            <w:tcBorders>
              <w:top w:val="single" w:sz="4" w:space="0" w:color="auto"/>
            </w:tcBorders>
          </w:tcPr>
          <w:p w14:paraId="66DCF85B" w14:textId="77777777" w:rsidR="004A4AD3" w:rsidRPr="000C1CB9" w:rsidRDefault="004A4AD3" w:rsidP="007F6F10">
            <w:pPr>
              <w:jc w:val="both"/>
              <w:rPr>
                <w:rFonts w:ascii="Arial" w:hAnsi="Arial" w:cs="Arial"/>
              </w:rPr>
            </w:pPr>
            <w:r w:rsidRPr="000C1CB9">
              <w:rPr>
                <w:rFonts w:ascii="Arial" w:hAnsi="Arial" w:cs="Arial"/>
              </w:rPr>
              <w:t>1965.6</w:t>
            </w:r>
          </w:p>
        </w:tc>
        <w:tc>
          <w:tcPr>
            <w:tcW w:w="1552" w:type="dxa"/>
            <w:tcBorders>
              <w:top w:val="single" w:sz="4" w:space="0" w:color="auto"/>
            </w:tcBorders>
          </w:tcPr>
          <w:p w14:paraId="4630BB43" w14:textId="77777777" w:rsidR="004A4AD3" w:rsidRPr="000C1CB9" w:rsidRDefault="004A4AD3" w:rsidP="007F6F10">
            <w:pPr>
              <w:jc w:val="both"/>
              <w:rPr>
                <w:rFonts w:ascii="Arial" w:hAnsi="Arial" w:cs="Arial"/>
              </w:rPr>
            </w:pPr>
            <w:r w:rsidRPr="000C1CB9">
              <w:rPr>
                <w:rFonts w:ascii="Arial" w:hAnsi="Arial" w:cs="Arial"/>
              </w:rPr>
              <w:t>1.16</w:t>
            </w:r>
          </w:p>
        </w:tc>
      </w:tr>
      <w:tr w:rsidR="004A4AD3" w:rsidRPr="000C1CB9" w14:paraId="67FEF16E" w14:textId="77777777" w:rsidTr="004A4AD3">
        <w:trPr>
          <w:trHeight w:val="268"/>
        </w:trPr>
        <w:tc>
          <w:tcPr>
            <w:tcW w:w="1552" w:type="dxa"/>
          </w:tcPr>
          <w:p w14:paraId="72550B7A"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2</w:t>
            </w:r>
          </w:p>
        </w:tc>
        <w:tc>
          <w:tcPr>
            <w:tcW w:w="1656" w:type="dxa"/>
          </w:tcPr>
          <w:p w14:paraId="43A63BE9" w14:textId="77777777" w:rsidR="004A4AD3" w:rsidRPr="000C1CB9" w:rsidRDefault="004A4AD3" w:rsidP="007F6F10">
            <w:pPr>
              <w:jc w:val="both"/>
              <w:rPr>
                <w:rFonts w:ascii="Arial" w:hAnsi="Arial" w:cs="Arial"/>
              </w:rPr>
            </w:pPr>
            <w:r w:rsidRPr="000C1CB9">
              <w:rPr>
                <w:rFonts w:ascii="Arial" w:hAnsi="Arial" w:cs="Arial"/>
              </w:rPr>
              <w:t>90</w:t>
            </w:r>
          </w:p>
        </w:tc>
        <w:tc>
          <w:tcPr>
            <w:tcW w:w="1552" w:type="dxa"/>
          </w:tcPr>
          <w:p w14:paraId="5B552565" w14:textId="77777777" w:rsidR="004A4AD3" w:rsidRPr="000C1CB9" w:rsidRDefault="004A4AD3" w:rsidP="007F6F10">
            <w:pPr>
              <w:jc w:val="both"/>
              <w:rPr>
                <w:rFonts w:ascii="Arial" w:hAnsi="Arial" w:cs="Arial"/>
              </w:rPr>
            </w:pPr>
            <w:r w:rsidRPr="000C1CB9">
              <w:rPr>
                <w:rFonts w:ascii="Arial" w:hAnsi="Arial" w:cs="Arial"/>
              </w:rPr>
              <w:t>20.0</w:t>
            </w:r>
          </w:p>
        </w:tc>
        <w:tc>
          <w:tcPr>
            <w:tcW w:w="1552" w:type="dxa"/>
          </w:tcPr>
          <w:p w14:paraId="6C888608" w14:textId="77777777" w:rsidR="004A4AD3" w:rsidRPr="000C1CB9" w:rsidRDefault="004A4AD3" w:rsidP="007F6F10">
            <w:pPr>
              <w:jc w:val="both"/>
              <w:rPr>
                <w:rFonts w:ascii="Arial" w:hAnsi="Arial" w:cs="Arial"/>
              </w:rPr>
            </w:pPr>
            <w:r w:rsidRPr="000C1CB9">
              <w:rPr>
                <w:rFonts w:ascii="Arial" w:hAnsi="Arial" w:cs="Arial"/>
              </w:rPr>
              <w:t>10.10</w:t>
            </w:r>
          </w:p>
        </w:tc>
        <w:tc>
          <w:tcPr>
            <w:tcW w:w="1552" w:type="dxa"/>
          </w:tcPr>
          <w:p w14:paraId="4C8AC1CA" w14:textId="77777777" w:rsidR="004A4AD3" w:rsidRPr="000C1CB9" w:rsidRDefault="004A4AD3" w:rsidP="007F6F10">
            <w:pPr>
              <w:jc w:val="both"/>
              <w:rPr>
                <w:rFonts w:ascii="Arial" w:hAnsi="Arial" w:cs="Arial"/>
              </w:rPr>
            </w:pPr>
            <w:r w:rsidRPr="000C1CB9">
              <w:rPr>
                <w:rFonts w:ascii="Arial" w:hAnsi="Arial" w:cs="Arial"/>
              </w:rPr>
              <w:t>2005.0</w:t>
            </w:r>
          </w:p>
        </w:tc>
        <w:tc>
          <w:tcPr>
            <w:tcW w:w="1552" w:type="dxa"/>
          </w:tcPr>
          <w:p w14:paraId="023936FB" w14:textId="77777777" w:rsidR="004A4AD3" w:rsidRPr="000C1CB9" w:rsidRDefault="004A4AD3" w:rsidP="007F6F10">
            <w:pPr>
              <w:jc w:val="both"/>
              <w:rPr>
                <w:rFonts w:ascii="Arial" w:hAnsi="Arial" w:cs="Arial"/>
              </w:rPr>
            </w:pPr>
            <w:r w:rsidRPr="000C1CB9">
              <w:rPr>
                <w:rFonts w:ascii="Arial" w:hAnsi="Arial" w:cs="Arial"/>
              </w:rPr>
              <w:t>1.90</w:t>
            </w:r>
          </w:p>
        </w:tc>
      </w:tr>
      <w:tr w:rsidR="004A4AD3" w:rsidRPr="000C1CB9" w14:paraId="3E1D30FC" w14:textId="77777777" w:rsidTr="004A4AD3">
        <w:trPr>
          <w:trHeight w:val="288"/>
        </w:trPr>
        <w:tc>
          <w:tcPr>
            <w:tcW w:w="1552" w:type="dxa"/>
          </w:tcPr>
          <w:p w14:paraId="3A80F649"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3</w:t>
            </w:r>
          </w:p>
        </w:tc>
        <w:tc>
          <w:tcPr>
            <w:tcW w:w="1656" w:type="dxa"/>
          </w:tcPr>
          <w:p w14:paraId="00751987" w14:textId="77777777" w:rsidR="004A4AD3" w:rsidRPr="000C1CB9" w:rsidRDefault="004A4AD3" w:rsidP="007F6F10">
            <w:pPr>
              <w:jc w:val="both"/>
              <w:rPr>
                <w:rFonts w:ascii="Arial" w:hAnsi="Arial" w:cs="Arial"/>
              </w:rPr>
            </w:pPr>
            <w:r w:rsidRPr="000C1CB9">
              <w:rPr>
                <w:rFonts w:ascii="Arial" w:hAnsi="Arial" w:cs="Arial"/>
              </w:rPr>
              <w:t>85</w:t>
            </w:r>
          </w:p>
        </w:tc>
        <w:tc>
          <w:tcPr>
            <w:tcW w:w="1552" w:type="dxa"/>
          </w:tcPr>
          <w:p w14:paraId="2760FCB4" w14:textId="77777777" w:rsidR="004A4AD3" w:rsidRPr="000C1CB9" w:rsidRDefault="004A4AD3" w:rsidP="007F6F10">
            <w:pPr>
              <w:jc w:val="both"/>
              <w:rPr>
                <w:rFonts w:ascii="Arial" w:hAnsi="Arial" w:cs="Arial"/>
              </w:rPr>
            </w:pPr>
            <w:r w:rsidRPr="000C1CB9">
              <w:rPr>
                <w:rFonts w:ascii="Arial" w:hAnsi="Arial" w:cs="Arial"/>
              </w:rPr>
              <w:t>10.0</w:t>
            </w:r>
          </w:p>
        </w:tc>
        <w:tc>
          <w:tcPr>
            <w:tcW w:w="1552" w:type="dxa"/>
          </w:tcPr>
          <w:p w14:paraId="4ECB42C2" w14:textId="77777777" w:rsidR="004A4AD3" w:rsidRPr="000C1CB9" w:rsidRDefault="004A4AD3" w:rsidP="007F6F10">
            <w:pPr>
              <w:jc w:val="both"/>
              <w:rPr>
                <w:rFonts w:ascii="Arial" w:hAnsi="Arial" w:cs="Arial"/>
              </w:rPr>
            </w:pPr>
            <w:r w:rsidRPr="000C1CB9">
              <w:rPr>
                <w:rFonts w:ascii="Arial" w:hAnsi="Arial" w:cs="Arial"/>
              </w:rPr>
              <w:t>9.26</w:t>
            </w:r>
          </w:p>
        </w:tc>
        <w:tc>
          <w:tcPr>
            <w:tcW w:w="1552" w:type="dxa"/>
          </w:tcPr>
          <w:p w14:paraId="66CCE8C0" w14:textId="77777777" w:rsidR="004A4AD3" w:rsidRPr="000C1CB9" w:rsidRDefault="004A4AD3" w:rsidP="007F6F10">
            <w:pPr>
              <w:jc w:val="both"/>
              <w:rPr>
                <w:rFonts w:ascii="Arial" w:hAnsi="Arial" w:cs="Arial"/>
              </w:rPr>
            </w:pPr>
            <w:r w:rsidRPr="000C1CB9">
              <w:rPr>
                <w:rFonts w:ascii="Arial" w:hAnsi="Arial" w:cs="Arial"/>
              </w:rPr>
              <w:t>1637.1</w:t>
            </w:r>
          </w:p>
        </w:tc>
        <w:tc>
          <w:tcPr>
            <w:tcW w:w="1552" w:type="dxa"/>
          </w:tcPr>
          <w:p w14:paraId="5E09EEDB" w14:textId="77777777" w:rsidR="004A4AD3" w:rsidRPr="000C1CB9" w:rsidRDefault="004A4AD3" w:rsidP="007F6F10">
            <w:pPr>
              <w:jc w:val="both"/>
              <w:rPr>
                <w:rFonts w:ascii="Arial" w:hAnsi="Arial" w:cs="Arial"/>
              </w:rPr>
            </w:pPr>
            <w:r w:rsidRPr="000C1CB9">
              <w:rPr>
                <w:rFonts w:ascii="Arial" w:hAnsi="Arial" w:cs="Arial"/>
              </w:rPr>
              <w:t>1.08</w:t>
            </w:r>
          </w:p>
        </w:tc>
      </w:tr>
      <w:tr w:rsidR="004A4AD3" w:rsidRPr="000C1CB9" w14:paraId="66C430D9" w14:textId="77777777" w:rsidTr="004A4AD3">
        <w:trPr>
          <w:trHeight w:val="268"/>
        </w:trPr>
        <w:tc>
          <w:tcPr>
            <w:tcW w:w="1552" w:type="dxa"/>
          </w:tcPr>
          <w:p w14:paraId="00ECFCD5"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4</w:t>
            </w:r>
          </w:p>
        </w:tc>
        <w:tc>
          <w:tcPr>
            <w:tcW w:w="1656" w:type="dxa"/>
          </w:tcPr>
          <w:p w14:paraId="1EAC1D38" w14:textId="77777777" w:rsidR="004A4AD3" w:rsidRPr="000C1CB9" w:rsidRDefault="004A4AD3" w:rsidP="007F6F10">
            <w:pPr>
              <w:jc w:val="both"/>
              <w:rPr>
                <w:rFonts w:ascii="Arial" w:hAnsi="Arial" w:cs="Arial"/>
              </w:rPr>
            </w:pPr>
            <w:r w:rsidRPr="000C1CB9">
              <w:rPr>
                <w:rFonts w:ascii="Arial" w:hAnsi="Arial" w:cs="Arial"/>
              </w:rPr>
              <w:t>90</w:t>
            </w:r>
          </w:p>
        </w:tc>
        <w:tc>
          <w:tcPr>
            <w:tcW w:w="1552" w:type="dxa"/>
          </w:tcPr>
          <w:p w14:paraId="4BE9BCC5" w14:textId="77777777" w:rsidR="004A4AD3" w:rsidRPr="000C1CB9" w:rsidRDefault="004A4AD3" w:rsidP="007F6F10">
            <w:pPr>
              <w:jc w:val="both"/>
              <w:rPr>
                <w:rFonts w:ascii="Arial" w:hAnsi="Arial" w:cs="Arial"/>
              </w:rPr>
            </w:pPr>
            <w:r w:rsidRPr="000C1CB9">
              <w:rPr>
                <w:rFonts w:ascii="Arial" w:hAnsi="Arial" w:cs="Arial"/>
              </w:rPr>
              <w:t>21.0</w:t>
            </w:r>
          </w:p>
        </w:tc>
        <w:tc>
          <w:tcPr>
            <w:tcW w:w="1552" w:type="dxa"/>
          </w:tcPr>
          <w:p w14:paraId="60FBA539" w14:textId="77777777" w:rsidR="004A4AD3" w:rsidRPr="000C1CB9" w:rsidRDefault="004A4AD3" w:rsidP="007F6F10">
            <w:pPr>
              <w:jc w:val="both"/>
              <w:rPr>
                <w:rFonts w:ascii="Arial" w:hAnsi="Arial" w:cs="Arial"/>
              </w:rPr>
            </w:pPr>
            <w:r w:rsidRPr="000C1CB9">
              <w:rPr>
                <w:rFonts w:ascii="Arial" w:hAnsi="Arial" w:cs="Arial"/>
              </w:rPr>
              <w:t>10.16</w:t>
            </w:r>
          </w:p>
        </w:tc>
        <w:tc>
          <w:tcPr>
            <w:tcW w:w="1552" w:type="dxa"/>
          </w:tcPr>
          <w:p w14:paraId="30FE6129" w14:textId="77777777" w:rsidR="004A4AD3" w:rsidRPr="000C1CB9" w:rsidRDefault="004A4AD3" w:rsidP="007F6F10">
            <w:pPr>
              <w:jc w:val="both"/>
              <w:rPr>
                <w:rFonts w:ascii="Arial" w:hAnsi="Arial" w:cs="Arial"/>
              </w:rPr>
            </w:pPr>
            <w:r w:rsidRPr="000C1CB9">
              <w:rPr>
                <w:rFonts w:ascii="Arial" w:hAnsi="Arial" w:cs="Arial"/>
              </w:rPr>
              <w:t>2804.4</w:t>
            </w:r>
          </w:p>
        </w:tc>
        <w:tc>
          <w:tcPr>
            <w:tcW w:w="1552" w:type="dxa"/>
          </w:tcPr>
          <w:p w14:paraId="29E2397D" w14:textId="77777777" w:rsidR="004A4AD3" w:rsidRPr="000C1CB9" w:rsidRDefault="004A4AD3" w:rsidP="007F6F10">
            <w:pPr>
              <w:jc w:val="both"/>
              <w:rPr>
                <w:rFonts w:ascii="Arial" w:hAnsi="Arial" w:cs="Arial"/>
              </w:rPr>
            </w:pPr>
            <w:r w:rsidRPr="000C1CB9">
              <w:rPr>
                <w:rFonts w:ascii="Arial" w:hAnsi="Arial" w:cs="Arial"/>
              </w:rPr>
              <w:t>2.0</w:t>
            </w:r>
          </w:p>
        </w:tc>
      </w:tr>
      <w:tr w:rsidR="004A4AD3" w:rsidRPr="000C1CB9" w14:paraId="553207DF" w14:textId="77777777" w:rsidTr="004A4AD3">
        <w:trPr>
          <w:trHeight w:val="288"/>
        </w:trPr>
        <w:tc>
          <w:tcPr>
            <w:tcW w:w="1552" w:type="dxa"/>
          </w:tcPr>
          <w:p w14:paraId="0F92D6C4"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5</w:t>
            </w:r>
          </w:p>
        </w:tc>
        <w:tc>
          <w:tcPr>
            <w:tcW w:w="1656" w:type="dxa"/>
          </w:tcPr>
          <w:p w14:paraId="0F45E031" w14:textId="77777777" w:rsidR="004A4AD3" w:rsidRPr="000C1CB9" w:rsidRDefault="004A4AD3" w:rsidP="007F6F10">
            <w:pPr>
              <w:jc w:val="both"/>
              <w:rPr>
                <w:rFonts w:ascii="Arial" w:hAnsi="Arial" w:cs="Arial"/>
              </w:rPr>
            </w:pPr>
            <w:r w:rsidRPr="000C1CB9">
              <w:rPr>
                <w:rFonts w:ascii="Arial" w:hAnsi="Arial" w:cs="Arial"/>
              </w:rPr>
              <w:t>87</w:t>
            </w:r>
          </w:p>
        </w:tc>
        <w:tc>
          <w:tcPr>
            <w:tcW w:w="1552" w:type="dxa"/>
          </w:tcPr>
          <w:p w14:paraId="06B67A1E" w14:textId="77777777" w:rsidR="004A4AD3" w:rsidRPr="000C1CB9" w:rsidRDefault="004A4AD3" w:rsidP="007F6F10">
            <w:pPr>
              <w:jc w:val="both"/>
              <w:rPr>
                <w:rFonts w:ascii="Arial" w:hAnsi="Arial" w:cs="Arial"/>
              </w:rPr>
            </w:pPr>
            <w:r w:rsidRPr="000C1CB9">
              <w:rPr>
                <w:rFonts w:ascii="Arial" w:hAnsi="Arial" w:cs="Arial"/>
              </w:rPr>
              <w:t>12.9</w:t>
            </w:r>
          </w:p>
        </w:tc>
        <w:tc>
          <w:tcPr>
            <w:tcW w:w="1552" w:type="dxa"/>
          </w:tcPr>
          <w:p w14:paraId="21777ADC" w14:textId="77777777" w:rsidR="004A4AD3" w:rsidRPr="000C1CB9" w:rsidRDefault="004A4AD3" w:rsidP="007F6F10">
            <w:pPr>
              <w:jc w:val="both"/>
              <w:rPr>
                <w:rFonts w:ascii="Arial" w:hAnsi="Arial" w:cs="Arial"/>
              </w:rPr>
            </w:pPr>
            <w:r w:rsidRPr="000C1CB9">
              <w:rPr>
                <w:rFonts w:ascii="Arial" w:hAnsi="Arial" w:cs="Arial"/>
              </w:rPr>
              <w:t>10.16</w:t>
            </w:r>
          </w:p>
        </w:tc>
        <w:tc>
          <w:tcPr>
            <w:tcW w:w="1552" w:type="dxa"/>
          </w:tcPr>
          <w:p w14:paraId="7FB118F8" w14:textId="77777777" w:rsidR="004A4AD3" w:rsidRPr="000C1CB9" w:rsidRDefault="004A4AD3" w:rsidP="007F6F10">
            <w:pPr>
              <w:jc w:val="both"/>
              <w:rPr>
                <w:rFonts w:ascii="Arial" w:hAnsi="Arial" w:cs="Arial"/>
              </w:rPr>
            </w:pPr>
            <w:r w:rsidRPr="000C1CB9">
              <w:rPr>
                <w:rFonts w:ascii="Arial" w:hAnsi="Arial" w:cs="Arial"/>
              </w:rPr>
              <w:t>2006.2</w:t>
            </w:r>
          </w:p>
        </w:tc>
        <w:tc>
          <w:tcPr>
            <w:tcW w:w="1552" w:type="dxa"/>
          </w:tcPr>
          <w:p w14:paraId="4817D422" w14:textId="77777777" w:rsidR="004A4AD3" w:rsidRPr="000C1CB9" w:rsidRDefault="004A4AD3" w:rsidP="007F6F10">
            <w:pPr>
              <w:jc w:val="both"/>
              <w:rPr>
                <w:rFonts w:ascii="Arial" w:hAnsi="Arial" w:cs="Arial"/>
              </w:rPr>
            </w:pPr>
            <w:r w:rsidRPr="000C1CB9">
              <w:rPr>
                <w:rFonts w:ascii="Arial" w:hAnsi="Arial" w:cs="Arial"/>
              </w:rPr>
              <w:t>1.26</w:t>
            </w:r>
          </w:p>
        </w:tc>
      </w:tr>
      <w:tr w:rsidR="004A4AD3" w:rsidRPr="000C1CB9" w14:paraId="6C96BFA5" w14:textId="77777777" w:rsidTr="004A4AD3">
        <w:trPr>
          <w:trHeight w:val="268"/>
        </w:trPr>
        <w:tc>
          <w:tcPr>
            <w:tcW w:w="1552" w:type="dxa"/>
          </w:tcPr>
          <w:p w14:paraId="7B64E8F3"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6</w:t>
            </w:r>
          </w:p>
        </w:tc>
        <w:tc>
          <w:tcPr>
            <w:tcW w:w="1656" w:type="dxa"/>
          </w:tcPr>
          <w:p w14:paraId="6949A48A" w14:textId="77777777" w:rsidR="004A4AD3" w:rsidRPr="000C1CB9" w:rsidRDefault="004A4AD3" w:rsidP="007F6F10">
            <w:pPr>
              <w:jc w:val="both"/>
              <w:rPr>
                <w:rFonts w:ascii="Arial" w:hAnsi="Arial" w:cs="Arial"/>
              </w:rPr>
            </w:pPr>
            <w:r w:rsidRPr="000C1CB9">
              <w:rPr>
                <w:rFonts w:ascii="Arial" w:hAnsi="Arial" w:cs="Arial"/>
              </w:rPr>
              <w:t>80</w:t>
            </w:r>
          </w:p>
        </w:tc>
        <w:tc>
          <w:tcPr>
            <w:tcW w:w="1552" w:type="dxa"/>
          </w:tcPr>
          <w:p w14:paraId="493A427C" w14:textId="77777777" w:rsidR="004A4AD3" w:rsidRPr="000C1CB9" w:rsidRDefault="004A4AD3" w:rsidP="007F6F10">
            <w:pPr>
              <w:jc w:val="both"/>
              <w:rPr>
                <w:rFonts w:ascii="Arial" w:hAnsi="Arial" w:cs="Arial"/>
              </w:rPr>
            </w:pPr>
            <w:r w:rsidRPr="000C1CB9">
              <w:rPr>
                <w:rFonts w:ascii="Arial" w:hAnsi="Arial" w:cs="Arial"/>
              </w:rPr>
              <w:t>12.8</w:t>
            </w:r>
          </w:p>
        </w:tc>
        <w:tc>
          <w:tcPr>
            <w:tcW w:w="1552" w:type="dxa"/>
          </w:tcPr>
          <w:p w14:paraId="5B156EA7" w14:textId="77777777" w:rsidR="004A4AD3" w:rsidRPr="000C1CB9" w:rsidRDefault="004A4AD3" w:rsidP="007F6F10">
            <w:pPr>
              <w:jc w:val="both"/>
              <w:rPr>
                <w:rFonts w:ascii="Arial" w:hAnsi="Arial" w:cs="Arial"/>
              </w:rPr>
            </w:pPr>
            <w:r w:rsidRPr="000C1CB9">
              <w:rPr>
                <w:rFonts w:ascii="Arial" w:hAnsi="Arial" w:cs="Arial"/>
              </w:rPr>
              <w:t>8.16</w:t>
            </w:r>
          </w:p>
        </w:tc>
        <w:tc>
          <w:tcPr>
            <w:tcW w:w="1552" w:type="dxa"/>
          </w:tcPr>
          <w:p w14:paraId="6042F42D" w14:textId="77777777" w:rsidR="004A4AD3" w:rsidRPr="000C1CB9" w:rsidRDefault="004A4AD3" w:rsidP="007F6F10">
            <w:pPr>
              <w:jc w:val="both"/>
              <w:rPr>
                <w:rFonts w:ascii="Arial" w:hAnsi="Arial" w:cs="Arial"/>
              </w:rPr>
            </w:pPr>
            <w:r w:rsidRPr="000C1CB9">
              <w:rPr>
                <w:rFonts w:ascii="Arial" w:hAnsi="Arial" w:cs="Arial"/>
              </w:rPr>
              <w:t>1676.8</w:t>
            </w:r>
          </w:p>
        </w:tc>
        <w:tc>
          <w:tcPr>
            <w:tcW w:w="1552" w:type="dxa"/>
          </w:tcPr>
          <w:p w14:paraId="039E57B0" w14:textId="77777777" w:rsidR="004A4AD3" w:rsidRPr="000C1CB9" w:rsidRDefault="004A4AD3" w:rsidP="007F6F10">
            <w:pPr>
              <w:jc w:val="both"/>
              <w:rPr>
                <w:rFonts w:ascii="Arial" w:hAnsi="Arial" w:cs="Arial"/>
              </w:rPr>
            </w:pPr>
            <w:r w:rsidRPr="000C1CB9">
              <w:rPr>
                <w:rFonts w:ascii="Arial" w:hAnsi="Arial" w:cs="Arial"/>
              </w:rPr>
              <w:t>1.67</w:t>
            </w:r>
          </w:p>
        </w:tc>
      </w:tr>
      <w:tr w:rsidR="004A4AD3" w:rsidRPr="000C1CB9" w14:paraId="67D565C8" w14:textId="77777777" w:rsidTr="004A4AD3">
        <w:trPr>
          <w:trHeight w:val="288"/>
        </w:trPr>
        <w:tc>
          <w:tcPr>
            <w:tcW w:w="1552" w:type="dxa"/>
          </w:tcPr>
          <w:p w14:paraId="6E430C6F" w14:textId="77777777" w:rsidR="004A4AD3" w:rsidRPr="000C1CB9" w:rsidRDefault="004A4AD3" w:rsidP="007F6F10">
            <w:pPr>
              <w:jc w:val="both"/>
              <w:rPr>
                <w:rFonts w:ascii="Arial" w:hAnsi="Arial" w:cs="Arial"/>
              </w:rPr>
            </w:pPr>
            <w:proofErr w:type="spellStart"/>
            <w:r w:rsidRPr="000C1CB9">
              <w:rPr>
                <w:rFonts w:ascii="Arial" w:hAnsi="Arial" w:cs="Arial"/>
              </w:rPr>
              <w:t>SEd</w:t>
            </w:r>
            <w:proofErr w:type="spellEnd"/>
          </w:p>
        </w:tc>
        <w:tc>
          <w:tcPr>
            <w:tcW w:w="1656" w:type="dxa"/>
          </w:tcPr>
          <w:p w14:paraId="1D40E2F5" w14:textId="77777777" w:rsidR="004A4AD3" w:rsidRPr="000C1CB9" w:rsidRDefault="004A4AD3" w:rsidP="007F6F10">
            <w:pPr>
              <w:jc w:val="both"/>
              <w:rPr>
                <w:rFonts w:ascii="Arial" w:hAnsi="Arial" w:cs="Arial"/>
              </w:rPr>
            </w:pPr>
            <w:r w:rsidRPr="000C1CB9">
              <w:rPr>
                <w:rFonts w:ascii="Arial" w:hAnsi="Arial" w:cs="Arial"/>
              </w:rPr>
              <w:t>3.68</w:t>
            </w:r>
          </w:p>
        </w:tc>
        <w:tc>
          <w:tcPr>
            <w:tcW w:w="1552" w:type="dxa"/>
          </w:tcPr>
          <w:p w14:paraId="5D4F8261" w14:textId="77777777" w:rsidR="004A4AD3" w:rsidRPr="000C1CB9" w:rsidRDefault="004A4AD3" w:rsidP="007F6F10">
            <w:pPr>
              <w:jc w:val="both"/>
              <w:rPr>
                <w:rFonts w:ascii="Arial" w:hAnsi="Arial" w:cs="Arial"/>
              </w:rPr>
            </w:pPr>
            <w:r w:rsidRPr="000C1CB9">
              <w:rPr>
                <w:rFonts w:ascii="Arial" w:hAnsi="Arial" w:cs="Arial"/>
              </w:rPr>
              <w:t>3.42</w:t>
            </w:r>
          </w:p>
        </w:tc>
        <w:tc>
          <w:tcPr>
            <w:tcW w:w="1552" w:type="dxa"/>
          </w:tcPr>
          <w:p w14:paraId="4E49B7FA" w14:textId="77777777" w:rsidR="004A4AD3" w:rsidRPr="000C1CB9" w:rsidRDefault="004A4AD3" w:rsidP="007F6F10">
            <w:pPr>
              <w:jc w:val="both"/>
              <w:rPr>
                <w:rFonts w:ascii="Arial" w:hAnsi="Arial" w:cs="Arial"/>
              </w:rPr>
            </w:pPr>
            <w:r w:rsidRPr="000C1CB9">
              <w:rPr>
                <w:rFonts w:ascii="Arial" w:hAnsi="Arial" w:cs="Arial"/>
              </w:rPr>
              <w:t>0.93</w:t>
            </w:r>
          </w:p>
        </w:tc>
        <w:tc>
          <w:tcPr>
            <w:tcW w:w="1552" w:type="dxa"/>
          </w:tcPr>
          <w:p w14:paraId="7D23CB82" w14:textId="77777777" w:rsidR="004A4AD3" w:rsidRPr="000C1CB9" w:rsidRDefault="004A4AD3" w:rsidP="007F6F10">
            <w:pPr>
              <w:jc w:val="both"/>
              <w:rPr>
                <w:rFonts w:ascii="Arial" w:hAnsi="Arial" w:cs="Arial"/>
              </w:rPr>
            </w:pPr>
            <w:r w:rsidRPr="000C1CB9">
              <w:rPr>
                <w:rFonts w:ascii="Arial" w:hAnsi="Arial" w:cs="Arial"/>
              </w:rPr>
              <w:t>376.7</w:t>
            </w:r>
          </w:p>
        </w:tc>
        <w:tc>
          <w:tcPr>
            <w:tcW w:w="1552" w:type="dxa"/>
          </w:tcPr>
          <w:p w14:paraId="61432453" w14:textId="77777777" w:rsidR="004A4AD3" w:rsidRPr="000C1CB9" w:rsidRDefault="004A4AD3" w:rsidP="007F6F10">
            <w:pPr>
              <w:jc w:val="both"/>
              <w:rPr>
                <w:rFonts w:ascii="Arial" w:hAnsi="Arial" w:cs="Arial"/>
              </w:rPr>
            </w:pPr>
            <w:r w:rsidRPr="000C1CB9">
              <w:rPr>
                <w:rFonts w:ascii="Arial" w:hAnsi="Arial" w:cs="Arial"/>
              </w:rPr>
              <w:t>0.33</w:t>
            </w:r>
          </w:p>
        </w:tc>
      </w:tr>
      <w:tr w:rsidR="004A4AD3" w:rsidRPr="000C1CB9" w14:paraId="5A6F5436" w14:textId="77777777" w:rsidTr="004A4AD3">
        <w:trPr>
          <w:trHeight w:val="268"/>
        </w:trPr>
        <w:tc>
          <w:tcPr>
            <w:tcW w:w="1552" w:type="dxa"/>
          </w:tcPr>
          <w:p w14:paraId="00AE9D80" w14:textId="77777777" w:rsidR="004A4AD3" w:rsidRPr="000C1CB9" w:rsidRDefault="004A4AD3" w:rsidP="007F6F10">
            <w:pPr>
              <w:jc w:val="both"/>
              <w:rPr>
                <w:rFonts w:ascii="Arial" w:hAnsi="Arial" w:cs="Arial"/>
              </w:rPr>
            </w:pPr>
            <w:r w:rsidRPr="000C1CB9">
              <w:rPr>
                <w:rFonts w:ascii="Arial" w:hAnsi="Arial" w:cs="Arial"/>
              </w:rPr>
              <w:t>CD (0.05)</w:t>
            </w:r>
          </w:p>
        </w:tc>
        <w:tc>
          <w:tcPr>
            <w:tcW w:w="1656" w:type="dxa"/>
          </w:tcPr>
          <w:p w14:paraId="45DCE3EF" w14:textId="77777777" w:rsidR="004A4AD3" w:rsidRPr="000C1CB9" w:rsidRDefault="004A4AD3" w:rsidP="007F6F10">
            <w:pPr>
              <w:jc w:val="both"/>
              <w:rPr>
                <w:rFonts w:ascii="Arial" w:hAnsi="Arial" w:cs="Arial"/>
              </w:rPr>
            </w:pPr>
            <w:r w:rsidRPr="000C1CB9">
              <w:rPr>
                <w:rFonts w:ascii="Arial" w:hAnsi="Arial" w:cs="Arial"/>
              </w:rPr>
              <w:t>8.19</w:t>
            </w:r>
          </w:p>
        </w:tc>
        <w:tc>
          <w:tcPr>
            <w:tcW w:w="1552" w:type="dxa"/>
          </w:tcPr>
          <w:p w14:paraId="462116A6" w14:textId="77777777" w:rsidR="004A4AD3" w:rsidRPr="000C1CB9" w:rsidRDefault="004A4AD3" w:rsidP="007F6F10">
            <w:pPr>
              <w:jc w:val="both"/>
              <w:rPr>
                <w:rFonts w:ascii="Arial" w:hAnsi="Arial" w:cs="Arial"/>
              </w:rPr>
            </w:pPr>
            <w:r w:rsidRPr="000C1CB9">
              <w:rPr>
                <w:rFonts w:ascii="Arial" w:hAnsi="Arial" w:cs="Arial"/>
              </w:rPr>
              <w:t>7.62</w:t>
            </w:r>
          </w:p>
        </w:tc>
        <w:tc>
          <w:tcPr>
            <w:tcW w:w="1552" w:type="dxa"/>
          </w:tcPr>
          <w:p w14:paraId="7E6EC6E7" w14:textId="77777777" w:rsidR="004A4AD3" w:rsidRPr="000C1CB9" w:rsidRDefault="004A4AD3" w:rsidP="007F6F10">
            <w:pPr>
              <w:jc w:val="both"/>
              <w:rPr>
                <w:rFonts w:ascii="Arial" w:hAnsi="Arial" w:cs="Arial"/>
              </w:rPr>
            </w:pPr>
            <w:r w:rsidRPr="000C1CB9">
              <w:rPr>
                <w:rFonts w:ascii="Arial" w:hAnsi="Arial" w:cs="Arial"/>
              </w:rPr>
              <w:t>2.07</w:t>
            </w:r>
          </w:p>
        </w:tc>
        <w:tc>
          <w:tcPr>
            <w:tcW w:w="1552" w:type="dxa"/>
          </w:tcPr>
          <w:p w14:paraId="7AD17BA2" w14:textId="77777777" w:rsidR="004A4AD3" w:rsidRPr="000C1CB9" w:rsidRDefault="004A4AD3" w:rsidP="007F6F10">
            <w:pPr>
              <w:jc w:val="both"/>
              <w:rPr>
                <w:rFonts w:ascii="Arial" w:hAnsi="Arial" w:cs="Arial"/>
              </w:rPr>
            </w:pPr>
            <w:r w:rsidRPr="000C1CB9">
              <w:rPr>
                <w:rFonts w:ascii="Arial" w:hAnsi="Arial" w:cs="Arial"/>
              </w:rPr>
              <w:t>839.33</w:t>
            </w:r>
          </w:p>
        </w:tc>
        <w:tc>
          <w:tcPr>
            <w:tcW w:w="1552" w:type="dxa"/>
          </w:tcPr>
          <w:p w14:paraId="5180EF76" w14:textId="77777777" w:rsidR="004A4AD3" w:rsidRPr="000C1CB9" w:rsidRDefault="004A4AD3" w:rsidP="007F6F10">
            <w:pPr>
              <w:jc w:val="both"/>
              <w:rPr>
                <w:rFonts w:ascii="Arial" w:hAnsi="Arial" w:cs="Arial"/>
              </w:rPr>
            </w:pPr>
            <w:r w:rsidRPr="000C1CB9">
              <w:rPr>
                <w:rFonts w:ascii="Arial" w:hAnsi="Arial" w:cs="Arial"/>
              </w:rPr>
              <w:t>0.73</w:t>
            </w:r>
          </w:p>
        </w:tc>
      </w:tr>
    </w:tbl>
    <w:p w14:paraId="01D109A5" w14:textId="40114E11" w:rsidR="004A4AD3" w:rsidRPr="000C1CB9" w:rsidRDefault="004A4AD3" w:rsidP="007F6F10">
      <w:pPr>
        <w:spacing w:line="360" w:lineRule="auto"/>
        <w:jc w:val="both"/>
        <w:rPr>
          <w:rFonts w:ascii="Arial" w:hAnsi="Arial" w:cs="Arial"/>
          <w:b/>
          <w:bCs/>
          <w:sz w:val="22"/>
          <w:szCs w:val="22"/>
        </w:rPr>
      </w:pPr>
      <w:r w:rsidRPr="000C1CB9">
        <w:rPr>
          <w:rFonts w:ascii="Arial" w:hAnsi="Arial" w:cs="Arial"/>
          <w:b/>
          <w:bCs/>
          <w:sz w:val="22"/>
          <w:szCs w:val="22"/>
        </w:rPr>
        <w:t xml:space="preserve">Table 1. </w:t>
      </w:r>
      <w:bookmarkStart w:id="0" w:name="_Hlk206069917"/>
      <w:r w:rsidRPr="000C1CB9">
        <w:rPr>
          <w:rFonts w:ascii="Arial" w:hAnsi="Arial" w:cs="Arial"/>
          <w:b/>
          <w:bCs/>
          <w:sz w:val="22"/>
          <w:szCs w:val="22"/>
        </w:rPr>
        <w:t>Growth Performance</w:t>
      </w:r>
      <w:bookmarkEnd w:id="0"/>
      <w:r w:rsidRPr="000C1CB9">
        <w:rPr>
          <w:rFonts w:ascii="Arial" w:hAnsi="Arial" w:cs="Arial"/>
          <w:b/>
          <w:bCs/>
          <w:sz w:val="22"/>
          <w:szCs w:val="22"/>
        </w:rPr>
        <w:t xml:space="preserve"> in </w:t>
      </w:r>
      <w:r w:rsidR="00CF654A" w:rsidRPr="007F6F10">
        <w:rPr>
          <w:rFonts w:ascii="Arial" w:hAnsi="Arial" w:cs="Arial"/>
          <w:b/>
          <w:bCs/>
          <w:sz w:val="22"/>
          <w:szCs w:val="22"/>
          <w:highlight w:val="yellow"/>
        </w:rPr>
        <w:t>Hydroponically Grown</w:t>
      </w:r>
      <w:r w:rsidR="00CF654A">
        <w:rPr>
          <w:rFonts w:ascii="Arial" w:hAnsi="Arial" w:cs="Arial"/>
          <w:b/>
          <w:bCs/>
          <w:sz w:val="22"/>
          <w:szCs w:val="22"/>
        </w:rPr>
        <w:t xml:space="preserve"> F</w:t>
      </w:r>
      <w:r w:rsidRPr="000C1CB9">
        <w:rPr>
          <w:rFonts w:ascii="Arial" w:hAnsi="Arial" w:cs="Arial"/>
          <w:b/>
          <w:bCs/>
          <w:sz w:val="22"/>
          <w:szCs w:val="22"/>
        </w:rPr>
        <w:t>enugreek</w:t>
      </w:r>
    </w:p>
    <w:p w14:paraId="6F3331DD" w14:textId="3034520F" w:rsidR="00D26E0A" w:rsidRPr="00AA7FB4" w:rsidRDefault="00D26E0A" w:rsidP="00E95957">
      <w:pPr>
        <w:spacing w:after="160" w:line="278" w:lineRule="auto"/>
        <w:jc w:val="both"/>
        <w:rPr>
          <w:rFonts w:ascii="Arial" w:hAnsi="Arial" w:cs="Arial"/>
          <w:b/>
          <w:bCs/>
          <w:sz w:val="22"/>
          <w:szCs w:val="22"/>
          <w:lang w:val="en-IN"/>
        </w:rPr>
      </w:pPr>
      <w:r w:rsidRPr="00D26E0A">
        <w:rPr>
          <w:rFonts w:ascii="Arial" w:hAnsi="Arial" w:cs="Arial"/>
          <w:b/>
          <w:bCs/>
          <w:sz w:val="22"/>
          <w:szCs w:val="22"/>
          <w:lang w:val="en-IN"/>
        </w:rPr>
        <w:t>3.2.</w:t>
      </w:r>
      <w:r w:rsidRPr="00AA7FB4">
        <w:rPr>
          <w:rFonts w:ascii="Arial" w:hAnsi="Arial" w:cs="Arial"/>
          <w:b/>
          <w:bCs/>
          <w:sz w:val="22"/>
          <w:szCs w:val="22"/>
          <w:lang w:val="en-IN"/>
        </w:rPr>
        <w:t xml:space="preserve"> Vegetative Growth and Morphological Traits</w:t>
      </w:r>
    </w:p>
    <w:p w14:paraId="780A01C0" w14:textId="516DDB9E" w:rsidR="00D26E0A" w:rsidRPr="00AA7FB4" w:rsidRDefault="00D26E0A" w:rsidP="007F6F10">
      <w:pPr>
        <w:spacing w:after="160" w:line="278" w:lineRule="auto"/>
        <w:jc w:val="both"/>
        <w:rPr>
          <w:rFonts w:ascii="Arial" w:hAnsi="Arial" w:cs="Arial"/>
          <w:sz w:val="22"/>
          <w:szCs w:val="22"/>
          <w:lang w:val="en-IN"/>
        </w:rPr>
      </w:pPr>
      <w:r w:rsidRPr="00AA7FB4">
        <w:rPr>
          <w:rFonts w:ascii="Arial" w:hAnsi="Arial" w:cs="Arial"/>
          <w:sz w:val="22"/>
          <w:szCs w:val="22"/>
          <w:lang w:val="en-IN"/>
        </w:rPr>
        <w:t xml:space="preserve">Significant differences were observed in leaf number, stem diameter, and leaf area among treatments. The combination of 50% Hoagland solution + 50% </w:t>
      </w:r>
      <w:r w:rsidRPr="00AA7FB4">
        <w:rPr>
          <w:rFonts w:ascii="Arial" w:hAnsi="Arial" w:cs="Arial"/>
          <w:i/>
          <w:iCs/>
          <w:sz w:val="22"/>
          <w:szCs w:val="22"/>
          <w:lang w:val="en-IN"/>
        </w:rPr>
        <w:t>Spirulina</w:t>
      </w:r>
      <w:r w:rsidRPr="00AA7FB4">
        <w:rPr>
          <w:rFonts w:ascii="Arial" w:hAnsi="Arial" w:cs="Arial"/>
          <w:sz w:val="22"/>
          <w:szCs w:val="22"/>
          <w:lang w:val="en-IN"/>
        </w:rPr>
        <w:t xml:space="preserve"> sp. produced the highest stem diameter and leaf area, while both this treatment and 50% Hoagland solution + 50% biofertilizer consortia recorded the maximum number of </w:t>
      </w:r>
      <w:r w:rsidRPr="00AA7FB4">
        <w:rPr>
          <w:rFonts w:ascii="Arial" w:hAnsi="Arial" w:cs="Arial"/>
          <w:sz w:val="22"/>
          <w:szCs w:val="22"/>
          <w:lang w:val="en-IN"/>
        </w:rPr>
        <w:lastRenderedPageBreak/>
        <w:t xml:space="preserve">leaves. Leaf fresh weight was highest under the 100% standard Hoagland nutrient solution, whereas darker green foliage was observed with </w:t>
      </w:r>
      <w:r w:rsidRPr="00AA7FB4">
        <w:rPr>
          <w:rFonts w:ascii="Arial" w:hAnsi="Arial" w:cs="Arial"/>
          <w:i/>
          <w:iCs/>
          <w:sz w:val="22"/>
          <w:szCs w:val="22"/>
          <w:lang w:val="en-IN"/>
        </w:rPr>
        <w:t>Spirulina</w:t>
      </w:r>
      <w:r w:rsidRPr="00AA7FB4">
        <w:rPr>
          <w:rFonts w:ascii="Arial" w:hAnsi="Arial" w:cs="Arial"/>
          <w:sz w:val="22"/>
          <w:szCs w:val="22"/>
          <w:lang w:val="en-IN"/>
        </w:rPr>
        <w:t xml:space="preserve"> supplementation.</w:t>
      </w:r>
      <w:r w:rsidR="00377644">
        <w:rPr>
          <w:rFonts w:ascii="Arial" w:hAnsi="Arial" w:cs="Arial"/>
          <w:sz w:val="22"/>
          <w:szCs w:val="22"/>
          <w:lang w:val="en-IN"/>
        </w:rPr>
        <w:t xml:space="preserve"> </w:t>
      </w:r>
      <w:r w:rsidRPr="00AA7FB4">
        <w:rPr>
          <w:rFonts w:ascii="Arial" w:hAnsi="Arial" w:cs="Arial"/>
          <w:sz w:val="22"/>
          <w:szCs w:val="22"/>
          <w:lang w:val="en-IN"/>
        </w:rPr>
        <w:t>The increased leaf area and stem thickness under biofertilizer-enriched treatments suggest enhanced cellular expansion and structural development, likely mediated by microbial- and algal-derived growth regulators (Bhattacharyya and Jha, 2012). Although mineral nutrition promoted greater leaf biomass, biofertilizer-based treatments enhanced photosynthetic surface area and physiological efficiency, as indicated by darker leaf coloration. Similar improvements in morphological traits under microbial supplementation have been reported in hydroponically grown leafy vegetables (Saha et al., 2016; Chandran et al., 2020).</w:t>
      </w:r>
    </w:p>
    <w:p w14:paraId="32F21265" w14:textId="06A4AFDB" w:rsidR="00D26E0A" w:rsidRPr="00AA7FB4" w:rsidRDefault="00D26E0A" w:rsidP="007F6F10">
      <w:pPr>
        <w:spacing w:after="160" w:line="278" w:lineRule="auto"/>
        <w:jc w:val="both"/>
        <w:rPr>
          <w:rFonts w:ascii="Arial" w:hAnsi="Arial" w:cs="Arial"/>
          <w:b/>
          <w:bCs/>
          <w:sz w:val="22"/>
          <w:szCs w:val="22"/>
          <w:lang w:val="en-IN"/>
        </w:rPr>
      </w:pPr>
      <w:r w:rsidRPr="00D26E0A">
        <w:rPr>
          <w:rFonts w:ascii="Arial" w:hAnsi="Arial" w:cs="Arial"/>
          <w:b/>
          <w:bCs/>
          <w:sz w:val="22"/>
          <w:szCs w:val="22"/>
          <w:lang w:val="en-IN"/>
        </w:rPr>
        <w:t>3.3.</w:t>
      </w:r>
      <w:r w:rsidRPr="00AA7FB4">
        <w:rPr>
          <w:rFonts w:ascii="Arial" w:hAnsi="Arial" w:cs="Arial"/>
          <w:b/>
          <w:bCs/>
          <w:sz w:val="22"/>
          <w:szCs w:val="22"/>
          <w:lang w:val="en-IN"/>
        </w:rPr>
        <w:t xml:space="preserve"> Biochemical Constituents and Antioxidant Activity</w:t>
      </w:r>
    </w:p>
    <w:p w14:paraId="3F08785B" w14:textId="72ECC621" w:rsidR="00D26E0A" w:rsidRDefault="00D26E0A" w:rsidP="007F6F10">
      <w:pPr>
        <w:spacing w:after="160" w:line="278" w:lineRule="auto"/>
        <w:jc w:val="both"/>
        <w:rPr>
          <w:rFonts w:ascii="Arial" w:hAnsi="Arial" w:cs="Arial"/>
          <w:sz w:val="22"/>
          <w:szCs w:val="22"/>
          <w:lang w:val="en-IN"/>
        </w:rPr>
      </w:pPr>
      <w:r w:rsidRPr="00AA7FB4">
        <w:rPr>
          <w:rFonts w:ascii="Arial" w:hAnsi="Arial" w:cs="Arial"/>
          <w:sz w:val="22"/>
          <w:szCs w:val="22"/>
          <w:lang w:val="en-IN"/>
        </w:rPr>
        <w:t xml:space="preserve">Total phenolic content was highest with 50% Hoagland solution + 50% </w:t>
      </w:r>
      <w:r w:rsidRPr="00AA7FB4">
        <w:rPr>
          <w:rFonts w:ascii="Arial" w:hAnsi="Arial" w:cs="Arial"/>
          <w:i/>
          <w:iCs/>
          <w:sz w:val="22"/>
          <w:szCs w:val="22"/>
          <w:lang w:val="en-IN"/>
        </w:rPr>
        <w:t>Spirulina</w:t>
      </w:r>
      <w:r w:rsidRPr="00AA7FB4">
        <w:rPr>
          <w:rFonts w:ascii="Arial" w:hAnsi="Arial" w:cs="Arial"/>
          <w:sz w:val="22"/>
          <w:szCs w:val="22"/>
          <w:lang w:val="en-IN"/>
        </w:rPr>
        <w:t xml:space="preserve"> sp., followed by 50% Hoagland solution + 50% biofertilizer consortia and 50% Hoagland solution + 50% </w:t>
      </w:r>
      <w:r w:rsidRPr="00AA7FB4">
        <w:rPr>
          <w:rFonts w:ascii="Arial" w:hAnsi="Arial" w:cs="Arial"/>
          <w:i/>
          <w:iCs/>
          <w:sz w:val="22"/>
          <w:szCs w:val="22"/>
          <w:lang w:val="en-IN"/>
        </w:rPr>
        <w:t>A</w:t>
      </w:r>
      <w:r>
        <w:rPr>
          <w:rFonts w:ascii="Arial" w:hAnsi="Arial" w:cs="Arial"/>
          <w:i/>
          <w:iCs/>
          <w:sz w:val="22"/>
          <w:szCs w:val="22"/>
          <w:lang w:val="en-IN"/>
        </w:rPr>
        <w:t>.</w:t>
      </w:r>
      <w:r w:rsidRPr="00AA7FB4">
        <w:rPr>
          <w:rFonts w:ascii="Arial" w:hAnsi="Arial" w:cs="Arial"/>
          <w:i/>
          <w:iCs/>
          <w:sz w:val="22"/>
          <w:szCs w:val="22"/>
          <w:lang w:val="en-IN"/>
        </w:rPr>
        <w:t xml:space="preserve"> </w:t>
      </w:r>
      <w:proofErr w:type="spellStart"/>
      <w:r w:rsidRPr="00AA7FB4">
        <w:rPr>
          <w:rFonts w:ascii="Arial" w:hAnsi="Arial" w:cs="Arial"/>
          <w:i/>
          <w:iCs/>
          <w:sz w:val="22"/>
          <w:szCs w:val="22"/>
          <w:lang w:val="en-IN"/>
        </w:rPr>
        <w:t>brasilense</w:t>
      </w:r>
      <w:proofErr w:type="spellEnd"/>
      <w:r w:rsidRPr="00AA7FB4">
        <w:rPr>
          <w:rFonts w:ascii="Arial" w:hAnsi="Arial" w:cs="Arial"/>
          <w:sz w:val="22"/>
          <w:szCs w:val="22"/>
          <w:lang w:val="en-IN"/>
        </w:rPr>
        <w:t xml:space="preserve"> (1 × 10⁹ CFU mL</w:t>
      </w:r>
      <w:r w:rsidRPr="00AA7FB4">
        <w:rPr>
          <w:rFonts w:ascii="Cambria Math" w:hAnsi="Cambria Math" w:cs="Cambria Math"/>
          <w:sz w:val="22"/>
          <w:szCs w:val="22"/>
          <w:lang w:val="en-IN"/>
        </w:rPr>
        <w:t>⁻</w:t>
      </w:r>
      <w:r w:rsidRPr="00AA7FB4">
        <w:rPr>
          <w:rFonts w:ascii="Arial" w:hAnsi="Arial" w:cs="Arial"/>
          <w:sz w:val="22"/>
          <w:szCs w:val="22"/>
          <w:lang w:val="en-IN"/>
        </w:rPr>
        <w:t xml:space="preserve">¹). Flavonoid content peaked in the </w:t>
      </w:r>
      <w:r w:rsidRPr="00AA7FB4">
        <w:rPr>
          <w:rFonts w:ascii="Arial" w:hAnsi="Arial" w:cs="Arial"/>
          <w:i/>
          <w:iCs/>
          <w:sz w:val="22"/>
          <w:szCs w:val="22"/>
          <w:lang w:val="en-IN"/>
        </w:rPr>
        <w:t xml:space="preserve">A. </w:t>
      </w:r>
      <w:proofErr w:type="spellStart"/>
      <w:r w:rsidRPr="00AA7FB4">
        <w:rPr>
          <w:rFonts w:ascii="Arial" w:hAnsi="Arial" w:cs="Arial"/>
          <w:i/>
          <w:iCs/>
          <w:sz w:val="22"/>
          <w:szCs w:val="22"/>
          <w:lang w:val="en-IN"/>
        </w:rPr>
        <w:t>brasilense</w:t>
      </w:r>
      <w:proofErr w:type="spellEnd"/>
      <w:r w:rsidRPr="00AA7FB4">
        <w:rPr>
          <w:rFonts w:ascii="Arial" w:hAnsi="Arial" w:cs="Arial"/>
          <w:sz w:val="22"/>
          <w:szCs w:val="22"/>
          <w:lang w:val="en-IN"/>
        </w:rPr>
        <w:t xml:space="preserve"> treatment, while total chlorophyll content remained relatively uniform across all nutrient regimes. Antioxidant activity measured by DPPH assay was highest with </w:t>
      </w:r>
      <w:r w:rsidRPr="00AA7FB4">
        <w:rPr>
          <w:rFonts w:ascii="Arial" w:hAnsi="Arial" w:cs="Arial"/>
          <w:i/>
          <w:iCs/>
          <w:sz w:val="22"/>
          <w:szCs w:val="22"/>
          <w:lang w:val="en-IN"/>
        </w:rPr>
        <w:t>Spirulina</w:t>
      </w:r>
      <w:r w:rsidRPr="00AA7FB4">
        <w:rPr>
          <w:rFonts w:ascii="Arial" w:hAnsi="Arial" w:cs="Arial"/>
          <w:sz w:val="22"/>
          <w:szCs w:val="22"/>
          <w:lang w:val="en-IN"/>
        </w:rPr>
        <w:t xml:space="preserve"> supplementation, whereas FRAP values were greatest under </w:t>
      </w:r>
      <w:r w:rsidRPr="00AA7FB4">
        <w:rPr>
          <w:rFonts w:ascii="Arial" w:hAnsi="Arial" w:cs="Arial"/>
          <w:i/>
          <w:iCs/>
          <w:sz w:val="22"/>
          <w:szCs w:val="22"/>
          <w:lang w:val="en-IN"/>
        </w:rPr>
        <w:t xml:space="preserve">A. </w:t>
      </w:r>
      <w:proofErr w:type="spellStart"/>
      <w:r w:rsidRPr="00AA7FB4">
        <w:rPr>
          <w:rFonts w:ascii="Arial" w:hAnsi="Arial" w:cs="Arial"/>
          <w:i/>
          <w:iCs/>
          <w:sz w:val="22"/>
          <w:szCs w:val="22"/>
          <w:lang w:val="en-IN"/>
        </w:rPr>
        <w:t>brasilense</w:t>
      </w:r>
      <w:proofErr w:type="spellEnd"/>
      <w:r w:rsidRPr="00AA7FB4">
        <w:rPr>
          <w:rFonts w:ascii="Arial" w:hAnsi="Arial" w:cs="Arial"/>
          <w:sz w:val="22"/>
          <w:szCs w:val="22"/>
          <w:lang w:val="en-IN"/>
        </w:rPr>
        <w:t>. Soluble protein content was maximum with the biofertilizer consortia treatment</w:t>
      </w:r>
      <w:r w:rsidR="004A4AD3">
        <w:rPr>
          <w:rFonts w:ascii="Arial" w:hAnsi="Arial" w:cs="Arial"/>
          <w:sz w:val="22"/>
          <w:szCs w:val="22"/>
          <w:lang w:val="en-IN"/>
        </w:rPr>
        <w:t xml:space="preserve"> (Table 2)</w:t>
      </w:r>
      <w:r w:rsidRPr="00AA7FB4">
        <w:rPr>
          <w:rFonts w:ascii="Arial" w:hAnsi="Arial" w:cs="Arial"/>
          <w:sz w:val="22"/>
          <w:szCs w:val="22"/>
          <w:lang w:val="en-IN"/>
        </w:rPr>
        <w:t>.</w:t>
      </w:r>
      <w:r w:rsidR="00377644">
        <w:rPr>
          <w:rFonts w:ascii="Arial" w:hAnsi="Arial" w:cs="Arial"/>
          <w:sz w:val="22"/>
          <w:szCs w:val="22"/>
          <w:lang w:val="en-IN"/>
        </w:rPr>
        <w:t xml:space="preserve"> </w:t>
      </w:r>
      <w:r w:rsidRPr="00AA7FB4">
        <w:rPr>
          <w:rFonts w:ascii="Arial" w:hAnsi="Arial" w:cs="Arial"/>
          <w:sz w:val="22"/>
          <w:szCs w:val="22"/>
          <w:lang w:val="en-IN"/>
        </w:rPr>
        <w:t xml:space="preserve">Enhanced accumulation of phenolics, flavonoids, antioxidants, and proteins under biofertilizer treatments indicates activation of secondary metabolic pathways. Microbial inoculants and algal extracts are known to function as metabolic elicitors, inducing antioxidant </w:t>
      </w:r>
      <w:r w:rsidR="00CF654A" w:rsidRPr="007F6F10">
        <w:rPr>
          <w:rFonts w:ascii="Arial" w:hAnsi="Arial" w:cs="Arial"/>
          <w:sz w:val="22"/>
          <w:szCs w:val="22"/>
          <w:highlight w:val="yellow"/>
          <w:lang w:val="en-IN"/>
        </w:rPr>
        <w:t xml:space="preserve">defence </w:t>
      </w:r>
      <w:r w:rsidRPr="007F6F10">
        <w:rPr>
          <w:rFonts w:ascii="Arial" w:hAnsi="Arial" w:cs="Arial"/>
          <w:sz w:val="22"/>
          <w:szCs w:val="22"/>
          <w:highlight w:val="yellow"/>
          <w:lang w:val="en-IN"/>
        </w:rPr>
        <w:t>mecha</w:t>
      </w:r>
      <w:r w:rsidRPr="00AA7FB4">
        <w:rPr>
          <w:rFonts w:ascii="Arial" w:hAnsi="Arial" w:cs="Arial"/>
          <w:sz w:val="22"/>
          <w:szCs w:val="22"/>
          <w:lang w:val="en-IN"/>
        </w:rPr>
        <w:t xml:space="preserve">nisms through mild physiological stress (Bhattacharyya and Jha, 2012; </w:t>
      </w:r>
      <w:proofErr w:type="spellStart"/>
      <w:r w:rsidRPr="00AA7FB4">
        <w:rPr>
          <w:rFonts w:ascii="Arial" w:hAnsi="Arial" w:cs="Arial"/>
          <w:sz w:val="22"/>
          <w:szCs w:val="22"/>
          <w:lang w:val="en-IN"/>
        </w:rPr>
        <w:t>Pattnaik</w:t>
      </w:r>
      <w:proofErr w:type="spellEnd"/>
      <w:r w:rsidRPr="00AA7FB4">
        <w:rPr>
          <w:rFonts w:ascii="Arial" w:hAnsi="Arial" w:cs="Arial"/>
          <w:sz w:val="22"/>
          <w:szCs w:val="22"/>
          <w:lang w:val="en-IN"/>
        </w:rPr>
        <w:t xml:space="preserve"> and Mishra, 2018). The higher flavonoid content under </w:t>
      </w:r>
      <w:r w:rsidRPr="00AA7FB4">
        <w:rPr>
          <w:rFonts w:ascii="Arial" w:hAnsi="Arial" w:cs="Arial"/>
          <w:i/>
          <w:iCs/>
          <w:sz w:val="22"/>
          <w:szCs w:val="22"/>
          <w:lang w:val="en-IN"/>
        </w:rPr>
        <w:t xml:space="preserve">A. </w:t>
      </w:r>
      <w:proofErr w:type="spellStart"/>
      <w:r w:rsidRPr="00AA7FB4">
        <w:rPr>
          <w:rFonts w:ascii="Arial" w:hAnsi="Arial" w:cs="Arial"/>
          <w:i/>
          <w:iCs/>
          <w:sz w:val="22"/>
          <w:szCs w:val="22"/>
          <w:lang w:val="en-IN"/>
        </w:rPr>
        <w:t>brasilense</w:t>
      </w:r>
      <w:proofErr w:type="spellEnd"/>
      <w:r w:rsidRPr="00AA7FB4">
        <w:rPr>
          <w:rFonts w:ascii="Arial" w:hAnsi="Arial" w:cs="Arial"/>
          <w:sz w:val="22"/>
          <w:szCs w:val="22"/>
          <w:lang w:val="en-IN"/>
        </w:rPr>
        <w:t xml:space="preserve"> aligns with its reported role in regulating phenylpropanoid metabolism via </w:t>
      </w:r>
      <w:r w:rsidRPr="007F6F10">
        <w:rPr>
          <w:rFonts w:ascii="Arial" w:hAnsi="Arial" w:cs="Arial"/>
          <w:sz w:val="22"/>
          <w:szCs w:val="22"/>
          <w:highlight w:val="yellow"/>
          <w:lang w:val="en-IN"/>
        </w:rPr>
        <w:t>phytohormonal signa</w:t>
      </w:r>
      <w:r w:rsidR="00CF654A" w:rsidRPr="007F6F10">
        <w:rPr>
          <w:rFonts w:ascii="Arial" w:hAnsi="Arial" w:cs="Arial"/>
          <w:sz w:val="22"/>
          <w:szCs w:val="22"/>
          <w:highlight w:val="yellow"/>
          <w:lang w:val="en-IN"/>
        </w:rPr>
        <w:t>l</w:t>
      </w:r>
      <w:r w:rsidRPr="007F6F10">
        <w:rPr>
          <w:rFonts w:ascii="Arial" w:hAnsi="Arial" w:cs="Arial"/>
          <w:sz w:val="22"/>
          <w:szCs w:val="22"/>
          <w:highlight w:val="yellow"/>
          <w:lang w:val="en-IN"/>
        </w:rPr>
        <w:t>ling (B</w:t>
      </w:r>
      <w:r w:rsidRPr="00AA7FB4">
        <w:rPr>
          <w:rFonts w:ascii="Arial" w:hAnsi="Arial" w:cs="Arial"/>
          <w:sz w:val="22"/>
          <w:szCs w:val="22"/>
          <w:lang w:val="en-IN"/>
        </w:rPr>
        <w:t>ashan et al., 2004). Increased protein content in the biofertilizer consortia treatment suggests synergistic microbial interactions that enhance nitrogen assimilation and metabolic efficiency (</w:t>
      </w:r>
      <w:proofErr w:type="spellStart"/>
      <w:r w:rsidRPr="00AA7FB4">
        <w:rPr>
          <w:rFonts w:ascii="Arial" w:hAnsi="Arial" w:cs="Arial"/>
          <w:sz w:val="22"/>
          <w:szCs w:val="22"/>
          <w:lang w:val="en-IN"/>
        </w:rPr>
        <w:t>Rouphael</w:t>
      </w:r>
      <w:proofErr w:type="spellEnd"/>
      <w:r w:rsidRPr="00AA7FB4">
        <w:rPr>
          <w:rFonts w:ascii="Arial" w:hAnsi="Arial" w:cs="Arial"/>
          <w:sz w:val="22"/>
          <w:szCs w:val="22"/>
          <w:lang w:val="en-IN"/>
        </w:rPr>
        <w:t xml:space="preserve"> and </w:t>
      </w:r>
      <w:proofErr w:type="spellStart"/>
      <w:r w:rsidRPr="00AA7FB4">
        <w:rPr>
          <w:rFonts w:ascii="Arial" w:hAnsi="Arial" w:cs="Arial"/>
          <w:sz w:val="22"/>
          <w:szCs w:val="22"/>
          <w:lang w:val="en-IN"/>
        </w:rPr>
        <w:t>Colla</w:t>
      </w:r>
      <w:proofErr w:type="spellEnd"/>
      <w:r w:rsidRPr="00AA7FB4">
        <w:rPr>
          <w:rFonts w:ascii="Arial" w:hAnsi="Arial" w:cs="Arial"/>
          <w:sz w:val="22"/>
          <w:szCs w:val="22"/>
          <w:lang w:val="en-IN"/>
        </w:rPr>
        <w:t>, 2020).</w:t>
      </w:r>
    </w:p>
    <w:p w14:paraId="08986566" w14:textId="77777777" w:rsidR="004A4AD3" w:rsidRPr="000C1CB9" w:rsidRDefault="004A4AD3" w:rsidP="007F6F10">
      <w:pPr>
        <w:pStyle w:val="Heading2"/>
        <w:jc w:val="both"/>
        <w:rPr>
          <w:rFonts w:ascii="Arial" w:hAnsi="Arial" w:cs="Arial"/>
          <w:b/>
          <w:bCs/>
          <w:color w:val="000000" w:themeColor="text1"/>
          <w:sz w:val="22"/>
          <w:szCs w:val="22"/>
        </w:rPr>
      </w:pPr>
      <w:r w:rsidRPr="000C1CB9">
        <w:rPr>
          <w:rFonts w:ascii="Arial" w:hAnsi="Arial" w:cs="Arial"/>
          <w:b/>
          <w:bCs/>
          <w:color w:val="000000" w:themeColor="text1"/>
          <w:sz w:val="22"/>
          <w:szCs w:val="22"/>
        </w:rPr>
        <w:t xml:space="preserve">Table </w:t>
      </w:r>
      <w:bookmarkStart w:id="1" w:name="_Hlk206069982"/>
      <w:r w:rsidRPr="000C1CB9">
        <w:rPr>
          <w:rFonts w:ascii="Arial" w:hAnsi="Arial" w:cs="Arial"/>
          <w:b/>
          <w:bCs/>
          <w:color w:val="000000" w:themeColor="text1"/>
          <w:sz w:val="22"/>
          <w:szCs w:val="22"/>
        </w:rPr>
        <w:t>2. Biochemical parameters</w:t>
      </w:r>
      <w:bookmarkEnd w:id="1"/>
      <w:r w:rsidRPr="000C1CB9">
        <w:rPr>
          <w:rFonts w:ascii="Arial" w:hAnsi="Arial" w:cs="Arial"/>
          <w:b/>
          <w:bCs/>
          <w:color w:val="000000" w:themeColor="text1"/>
          <w:sz w:val="22"/>
          <w:szCs w:val="22"/>
        </w:rPr>
        <w:t xml:space="preserve"> in hydroponically grown fenugreek</w:t>
      </w:r>
    </w:p>
    <w:tbl>
      <w:tblPr>
        <w:tblStyle w:val="TableGrid"/>
        <w:tblW w:w="935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1854"/>
        <w:gridCol w:w="1924"/>
        <w:gridCol w:w="1972"/>
        <w:gridCol w:w="1646"/>
      </w:tblGrid>
      <w:tr w:rsidR="004A4AD3" w:rsidRPr="000C1CB9" w14:paraId="3C8DEAC8" w14:textId="77777777" w:rsidTr="00FD2AF5">
        <w:trPr>
          <w:trHeight w:val="732"/>
          <w:jc w:val="center"/>
        </w:trPr>
        <w:tc>
          <w:tcPr>
            <w:tcW w:w="1954" w:type="dxa"/>
            <w:tcBorders>
              <w:top w:val="single" w:sz="4" w:space="0" w:color="auto"/>
              <w:bottom w:val="single" w:sz="4" w:space="0" w:color="auto"/>
            </w:tcBorders>
          </w:tcPr>
          <w:p w14:paraId="5976A67C" w14:textId="77777777" w:rsidR="004A4AD3" w:rsidRPr="000C1CB9" w:rsidRDefault="004A4AD3" w:rsidP="007F6F10">
            <w:pPr>
              <w:jc w:val="both"/>
              <w:rPr>
                <w:rFonts w:ascii="Arial" w:hAnsi="Arial" w:cs="Arial"/>
                <w:b/>
                <w:bCs/>
              </w:rPr>
            </w:pPr>
            <w:r w:rsidRPr="000C1CB9">
              <w:rPr>
                <w:rFonts w:ascii="Arial" w:hAnsi="Arial" w:cs="Arial"/>
                <w:b/>
                <w:bCs/>
              </w:rPr>
              <w:t>Treatments</w:t>
            </w:r>
          </w:p>
        </w:tc>
        <w:tc>
          <w:tcPr>
            <w:tcW w:w="1854" w:type="dxa"/>
            <w:tcBorders>
              <w:top w:val="single" w:sz="4" w:space="0" w:color="auto"/>
              <w:bottom w:val="single" w:sz="4" w:space="0" w:color="auto"/>
            </w:tcBorders>
          </w:tcPr>
          <w:p w14:paraId="37DDD83C" w14:textId="77777777" w:rsidR="004A4AD3" w:rsidRPr="000C1CB9" w:rsidRDefault="004A4AD3" w:rsidP="007F6F10">
            <w:pPr>
              <w:jc w:val="both"/>
              <w:rPr>
                <w:rFonts w:ascii="Arial" w:hAnsi="Arial" w:cs="Arial"/>
                <w:b/>
                <w:bCs/>
              </w:rPr>
            </w:pPr>
            <w:r w:rsidRPr="000C1CB9">
              <w:rPr>
                <w:rFonts w:ascii="Arial" w:hAnsi="Arial" w:cs="Arial"/>
                <w:b/>
                <w:bCs/>
              </w:rPr>
              <w:t>Total phenols (mg GAE/g)</w:t>
            </w:r>
          </w:p>
        </w:tc>
        <w:tc>
          <w:tcPr>
            <w:tcW w:w="1924" w:type="dxa"/>
            <w:tcBorders>
              <w:top w:val="single" w:sz="4" w:space="0" w:color="auto"/>
              <w:bottom w:val="single" w:sz="4" w:space="0" w:color="auto"/>
            </w:tcBorders>
          </w:tcPr>
          <w:p w14:paraId="54BD52EF" w14:textId="77777777" w:rsidR="004A4AD3" w:rsidRPr="000C1CB9" w:rsidRDefault="004A4AD3" w:rsidP="007F6F10">
            <w:pPr>
              <w:jc w:val="both"/>
              <w:rPr>
                <w:rFonts w:ascii="Arial" w:hAnsi="Arial" w:cs="Arial"/>
                <w:b/>
                <w:bCs/>
              </w:rPr>
            </w:pPr>
            <w:r w:rsidRPr="000C1CB9">
              <w:rPr>
                <w:rFonts w:ascii="Arial" w:hAnsi="Arial" w:cs="Arial"/>
                <w:b/>
                <w:bCs/>
              </w:rPr>
              <w:t>Total flavonoids (mg QE/g)</w:t>
            </w:r>
          </w:p>
        </w:tc>
        <w:tc>
          <w:tcPr>
            <w:tcW w:w="1972" w:type="dxa"/>
            <w:tcBorders>
              <w:top w:val="single" w:sz="4" w:space="0" w:color="auto"/>
              <w:bottom w:val="single" w:sz="4" w:space="0" w:color="auto"/>
            </w:tcBorders>
          </w:tcPr>
          <w:p w14:paraId="7E236C31" w14:textId="77777777" w:rsidR="004A4AD3" w:rsidRPr="000C1CB9" w:rsidRDefault="004A4AD3" w:rsidP="007F6F10">
            <w:pPr>
              <w:jc w:val="both"/>
              <w:rPr>
                <w:rFonts w:ascii="Arial" w:hAnsi="Arial" w:cs="Arial"/>
                <w:b/>
                <w:bCs/>
              </w:rPr>
            </w:pPr>
            <w:r w:rsidRPr="000C1CB9">
              <w:rPr>
                <w:rFonts w:ascii="Arial" w:hAnsi="Arial" w:cs="Arial"/>
                <w:b/>
                <w:bCs/>
              </w:rPr>
              <w:t>Chlorophyll (µmol/m²)</w:t>
            </w:r>
          </w:p>
        </w:tc>
        <w:tc>
          <w:tcPr>
            <w:tcW w:w="1646" w:type="dxa"/>
            <w:tcBorders>
              <w:top w:val="single" w:sz="4" w:space="0" w:color="auto"/>
              <w:bottom w:val="single" w:sz="4" w:space="0" w:color="auto"/>
            </w:tcBorders>
          </w:tcPr>
          <w:p w14:paraId="2FFA9E0B" w14:textId="77777777" w:rsidR="004A4AD3" w:rsidRPr="000C1CB9" w:rsidRDefault="004A4AD3" w:rsidP="007F6F10">
            <w:pPr>
              <w:jc w:val="both"/>
              <w:rPr>
                <w:rFonts w:ascii="Arial" w:hAnsi="Arial" w:cs="Arial"/>
                <w:b/>
                <w:bCs/>
              </w:rPr>
            </w:pPr>
            <w:r w:rsidRPr="000C1CB9">
              <w:rPr>
                <w:rFonts w:ascii="Arial" w:hAnsi="Arial" w:cs="Arial"/>
                <w:b/>
                <w:bCs/>
              </w:rPr>
              <w:t>Soluble Protein (mg/g)</w:t>
            </w:r>
          </w:p>
        </w:tc>
      </w:tr>
      <w:tr w:rsidR="004A4AD3" w:rsidRPr="000C1CB9" w14:paraId="0BF3E457" w14:textId="77777777" w:rsidTr="00FD2AF5">
        <w:trPr>
          <w:jc w:val="center"/>
        </w:trPr>
        <w:tc>
          <w:tcPr>
            <w:tcW w:w="1954" w:type="dxa"/>
            <w:tcBorders>
              <w:top w:val="single" w:sz="4" w:space="0" w:color="auto"/>
            </w:tcBorders>
          </w:tcPr>
          <w:p w14:paraId="2B74CBE1"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1</w:t>
            </w:r>
          </w:p>
        </w:tc>
        <w:tc>
          <w:tcPr>
            <w:tcW w:w="1854" w:type="dxa"/>
            <w:tcBorders>
              <w:top w:val="single" w:sz="4" w:space="0" w:color="auto"/>
            </w:tcBorders>
          </w:tcPr>
          <w:p w14:paraId="3ABE4CAF" w14:textId="77777777" w:rsidR="004A4AD3" w:rsidRPr="000C1CB9" w:rsidRDefault="004A4AD3" w:rsidP="007F6F10">
            <w:pPr>
              <w:jc w:val="both"/>
              <w:rPr>
                <w:rFonts w:ascii="Arial" w:hAnsi="Arial" w:cs="Arial"/>
              </w:rPr>
            </w:pPr>
            <w:r w:rsidRPr="000C1CB9">
              <w:rPr>
                <w:rFonts w:ascii="Arial" w:hAnsi="Arial" w:cs="Arial"/>
              </w:rPr>
              <w:t>2.76</w:t>
            </w:r>
          </w:p>
        </w:tc>
        <w:tc>
          <w:tcPr>
            <w:tcW w:w="1924" w:type="dxa"/>
            <w:tcBorders>
              <w:top w:val="single" w:sz="4" w:space="0" w:color="auto"/>
            </w:tcBorders>
          </w:tcPr>
          <w:p w14:paraId="3190962A" w14:textId="77777777" w:rsidR="004A4AD3" w:rsidRPr="000C1CB9" w:rsidRDefault="004A4AD3" w:rsidP="007F6F10">
            <w:pPr>
              <w:jc w:val="both"/>
              <w:rPr>
                <w:rFonts w:ascii="Arial" w:hAnsi="Arial" w:cs="Arial"/>
              </w:rPr>
            </w:pPr>
            <w:r w:rsidRPr="000C1CB9">
              <w:rPr>
                <w:rFonts w:ascii="Arial" w:hAnsi="Arial" w:cs="Arial"/>
              </w:rPr>
              <w:t>1.038</w:t>
            </w:r>
          </w:p>
        </w:tc>
        <w:tc>
          <w:tcPr>
            <w:tcW w:w="1972" w:type="dxa"/>
            <w:tcBorders>
              <w:top w:val="single" w:sz="4" w:space="0" w:color="auto"/>
            </w:tcBorders>
          </w:tcPr>
          <w:p w14:paraId="12DD92C4" w14:textId="77777777" w:rsidR="004A4AD3" w:rsidRPr="000C1CB9" w:rsidRDefault="004A4AD3" w:rsidP="007F6F10">
            <w:pPr>
              <w:jc w:val="both"/>
              <w:rPr>
                <w:rFonts w:ascii="Arial" w:hAnsi="Arial" w:cs="Arial"/>
              </w:rPr>
            </w:pPr>
            <w:r w:rsidRPr="000C1CB9">
              <w:rPr>
                <w:rFonts w:ascii="Arial" w:hAnsi="Arial" w:cs="Arial"/>
              </w:rPr>
              <w:t>0.006</w:t>
            </w:r>
          </w:p>
        </w:tc>
        <w:tc>
          <w:tcPr>
            <w:tcW w:w="1646" w:type="dxa"/>
            <w:tcBorders>
              <w:top w:val="single" w:sz="4" w:space="0" w:color="auto"/>
            </w:tcBorders>
          </w:tcPr>
          <w:p w14:paraId="595423F2" w14:textId="77777777" w:rsidR="004A4AD3" w:rsidRPr="000C1CB9" w:rsidRDefault="004A4AD3" w:rsidP="007F6F10">
            <w:pPr>
              <w:jc w:val="both"/>
              <w:rPr>
                <w:rFonts w:ascii="Arial" w:hAnsi="Arial" w:cs="Arial"/>
              </w:rPr>
            </w:pPr>
            <w:r w:rsidRPr="000C1CB9">
              <w:rPr>
                <w:rFonts w:ascii="Arial" w:hAnsi="Arial" w:cs="Arial"/>
              </w:rPr>
              <w:t>21.31</w:t>
            </w:r>
          </w:p>
        </w:tc>
      </w:tr>
      <w:tr w:rsidR="004A4AD3" w:rsidRPr="000C1CB9" w14:paraId="48A0BF5F" w14:textId="77777777" w:rsidTr="00FD2AF5">
        <w:trPr>
          <w:jc w:val="center"/>
        </w:trPr>
        <w:tc>
          <w:tcPr>
            <w:tcW w:w="1954" w:type="dxa"/>
          </w:tcPr>
          <w:p w14:paraId="268BA6E3"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2</w:t>
            </w:r>
          </w:p>
        </w:tc>
        <w:tc>
          <w:tcPr>
            <w:tcW w:w="1854" w:type="dxa"/>
          </w:tcPr>
          <w:p w14:paraId="568E1EAA" w14:textId="77777777" w:rsidR="004A4AD3" w:rsidRPr="000C1CB9" w:rsidRDefault="004A4AD3" w:rsidP="007F6F10">
            <w:pPr>
              <w:jc w:val="both"/>
              <w:rPr>
                <w:rFonts w:ascii="Arial" w:hAnsi="Arial" w:cs="Arial"/>
              </w:rPr>
            </w:pPr>
            <w:r w:rsidRPr="000C1CB9">
              <w:rPr>
                <w:rFonts w:ascii="Arial" w:hAnsi="Arial" w:cs="Arial"/>
              </w:rPr>
              <w:t>2.51</w:t>
            </w:r>
          </w:p>
        </w:tc>
        <w:tc>
          <w:tcPr>
            <w:tcW w:w="1924" w:type="dxa"/>
          </w:tcPr>
          <w:p w14:paraId="253B558C" w14:textId="77777777" w:rsidR="004A4AD3" w:rsidRPr="000C1CB9" w:rsidRDefault="004A4AD3" w:rsidP="007F6F10">
            <w:pPr>
              <w:jc w:val="both"/>
              <w:rPr>
                <w:rFonts w:ascii="Arial" w:hAnsi="Arial" w:cs="Arial"/>
              </w:rPr>
            </w:pPr>
            <w:r w:rsidRPr="000C1CB9">
              <w:rPr>
                <w:rFonts w:ascii="Arial" w:hAnsi="Arial" w:cs="Arial"/>
              </w:rPr>
              <w:t>0.753</w:t>
            </w:r>
          </w:p>
        </w:tc>
        <w:tc>
          <w:tcPr>
            <w:tcW w:w="1972" w:type="dxa"/>
          </w:tcPr>
          <w:p w14:paraId="704DA403" w14:textId="77777777" w:rsidR="004A4AD3" w:rsidRPr="000C1CB9" w:rsidRDefault="004A4AD3" w:rsidP="007F6F10">
            <w:pPr>
              <w:jc w:val="both"/>
              <w:rPr>
                <w:rFonts w:ascii="Arial" w:hAnsi="Arial" w:cs="Arial"/>
              </w:rPr>
            </w:pPr>
            <w:r w:rsidRPr="000C1CB9">
              <w:rPr>
                <w:rFonts w:ascii="Arial" w:hAnsi="Arial" w:cs="Arial"/>
              </w:rPr>
              <w:t>0.007</w:t>
            </w:r>
          </w:p>
        </w:tc>
        <w:tc>
          <w:tcPr>
            <w:tcW w:w="1646" w:type="dxa"/>
          </w:tcPr>
          <w:p w14:paraId="6D9A0438" w14:textId="77777777" w:rsidR="004A4AD3" w:rsidRPr="000C1CB9" w:rsidRDefault="004A4AD3" w:rsidP="007F6F10">
            <w:pPr>
              <w:jc w:val="both"/>
              <w:rPr>
                <w:rFonts w:ascii="Arial" w:hAnsi="Arial" w:cs="Arial"/>
              </w:rPr>
            </w:pPr>
            <w:r w:rsidRPr="000C1CB9">
              <w:rPr>
                <w:rFonts w:ascii="Arial" w:hAnsi="Arial" w:cs="Arial"/>
              </w:rPr>
              <w:t>24.44</w:t>
            </w:r>
          </w:p>
        </w:tc>
      </w:tr>
      <w:tr w:rsidR="004A4AD3" w:rsidRPr="000C1CB9" w14:paraId="415FFCED" w14:textId="77777777" w:rsidTr="00FD2AF5">
        <w:trPr>
          <w:jc w:val="center"/>
        </w:trPr>
        <w:tc>
          <w:tcPr>
            <w:tcW w:w="1954" w:type="dxa"/>
          </w:tcPr>
          <w:p w14:paraId="59DA700F"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3</w:t>
            </w:r>
          </w:p>
        </w:tc>
        <w:tc>
          <w:tcPr>
            <w:tcW w:w="1854" w:type="dxa"/>
          </w:tcPr>
          <w:p w14:paraId="2C09D368" w14:textId="77777777" w:rsidR="004A4AD3" w:rsidRPr="000C1CB9" w:rsidRDefault="004A4AD3" w:rsidP="007F6F10">
            <w:pPr>
              <w:jc w:val="both"/>
              <w:rPr>
                <w:rFonts w:ascii="Arial" w:hAnsi="Arial" w:cs="Arial"/>
              </w:rPr>
            </w:pPr>
            <w:r w:rsidRPr="000C1CB9">
              <w:rPr>
                <w:rFonts w:ascii="Arial" w:hAnsi="Arial" w:cs="Arial"/>
              </w:rPr>
              <w:t>2.11</w:t>
            </w:r>
          </w:p>
        </w:tc>
        <w:tc>
          <w:tcPr>
            <w:tcW w:w="1924" w:type="dxa"/>
          </w:tcPr>
          <w:p w14:paraId="0FFFFC19" w14:textId="77777777" w:rsidR="004A4AD3" w:rsidRPr="000C1CB9" w:rsidRDefault="004A4AD3" w:rsidP="007F6F10">
            <w:pPr>
              <w:jc w:val="both"/>
              <w:rPr>
                <w:rFonts w:ascii="Arial" w:hAnsi="Arial" w:cs="Arial"/>
              </w:rPr>
            </w:pPr>
            <w:r w:rsidRPr="000C1CB9">
              <w:rPr>
                <w:rFonts w:ascii="Arial" w:hAnsi="Arial" w:cs="Arial"/>
              </w:rPr>
              <w:t>0.749</w:t>
            </w:r>
          </w:p>
        </w:tc>
        <w:tc>
          <w:tcPr>
            <w:tcW w:w="1972" w:type="dxa"/>
          </w:tcPr>
          <w:p w14:paraId="6A771136" w14:textId="77777777" w:rsidR="004A4AD3" w:rsidRPr="000C1CB9" w:rsidRDefault="004A4AD3" w:rsidP="007F6F10">
            <w:pPr>
              <w:jc w:val="both"/>
              <w:rPr>
                <w:rFonts w:ascii="Arial" w:hAnsi="Arial" w:cs="Arial"/>
              </w:rPr>
            </w:pPr>
            <w:r w:rsidRPr="000C1CB9">
              <w:rPr>
                <w:rFonts w:ascii="Arial" w:hAnsi="Arial" w:cs="Arial"/>
              </w:rPr>
              <w:t>0.007</w:t>
            </w:r>
          </w:p>
        </w:tc>
        <w:tc>
          <w:tcPr>
            <w:tcW w:w="1646" w:type="dxa"/>
          </w:tcPr>
          <w:p w14:paraId="74DC456B" w14:textId="77777777" w:rsidR="004A4AD3" w:rsidRPr="000C1CB9" w:rsidRDefault="004A4AD3" w:rsidP="007F6F10">
            <w:pPr>
              <w:jc w:val="both"/>
              <w:rPr>
                <w:rFonts w:ascii="Arial" w:hAnsi="Arial" w:cs="Arial"/>
              </w:rPr>
            </w:pPr>
            <w:r w:rsidRPr="000C1CB9">
              <w:rPr>
                <w:rFonts w:ascii="Arial" w:hAnsi="Arial" w:cs="Arial"/>
              </w:rPr>
              <w:t>23.47</w:t>
            </w:r>
          </w:p>
        </w:tc>
      </w:tr>
      <w:tr w:rsidR="004A4AD3" w:rsidRPr="000C1CB9" w14:paraId="5D888DD4" w14:textId="77777777" w:rsidTr="00FD2AF5">
        <w:trPr>
          <w:jc w:val="center"/>
        </w:trPr>
        <w:tc>
          <w:tcPr>
            <w:tcW w:w="1954" w:type="dxa"/>
          </w:tcPr>
          <w:p w14:paraId="1A76EF09"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4</w:t>
            </w:r>
          </w:p>
        </w:tc>
        <w:tc>
          <w:tcPr>
            <w:tcW w:w="1854" w:type="dxa"/>
          </w:tcPr>
          <w:p w14:paraId="5FBCE510" w14:textId="77777777" w:rsidR="004A4AD3" w:rsidRPr="000C1CB9" w:rsidRDefault="004A4AD3" w:rsidP="007F6F10">
            <w:pPr>
              <w:jc w:val="both"/>
              <w:rPr>
                <w:rFonts w:ascii="Arial" w:hAnsi="Arial" w:cs="Arial"/>
              </w:rPr>
            </w:pPr>
            <w:r w:rsidRPr="000C1CB9">
              <w:rPr>
                <w:rFonts w:ascii="Arial" w:hAnsi="Arial" w:cs="Arial"/>
              </w:rPr>
              <w:t>4.44</w:t>
            </w:r>
          </w:p>
        </w:tc>
        <w:tc>
          <w:tcPr>
            <w:tcW w:w="1924" w:type="dxa"/>
          </w:tcPr>
          <w:p w14:paraId="6CAC8AE0" w14:textId="77777777" w:rsidR="004A4AD3" w:rsidRPr="000C1CB9" w:rsidRDefault="004A4AD3" w:rsidP="007F6F10">
            <w:pPr>
              <w:jc w:val="both"/>
              <w:rPr>
                <w:rFonts w:ascii="Arial" w:hAnsi="Arial" w:cs="Arial"/>
              </w:rPr>
            </w:pPr>
            <w:r w:rsidRPr="000C1CB9">
              <w:rPr>
                <w:rFonts w:ascii="Arial" w:hAnsi="Arial" w:cs="Arial"/>
              </w:rPr>
              <w:t>0.969</w:t>
            </w:r>
          </w:p>
        </w:tc>
        <w:tc>
          <w:tcPr>
            <w:tcW w:w="1972" w:type="dxa"/>
          </w:tcPr>
          <w:p w14:paraId="32589B14" w14:textId="77777777" w:rsidR="004A4AD3" w:rsidRPr="000C1CB9" w:rsidRDefault="004A4AD3" w:rsidP="007F6F10">
            <w:pPr>
              <w:jc w:val="both"/>
              <w:rPr>
                <w:rFonts w:ascii="Arial" w:hAnsi="Arial" w:cs="Arial"/>
              </w:rPr>
            </w:pPr>
            <w:r w:rsidRPr="000C1CB9">
              <w:rPr>
                <w:rFonts w:ascii="Arial" w:hAnsi="Arial" w:cs="Arial"/>
              </w:rPr>
              <w:t>0.007</w:t>
            </w:r>
          </w:p>
        </w:tc>
        <w:tc>
          <w:tcPr>
            <w:tcW w:w="1646" w:type="dxa"/>
          </w:tcPr>
          <w:p w14:paraId="0C4210BB" w14:textId="77777777" w:rsidR="004A4AD3" w:rsidRPr="000C1CB9" w:rsidRDefault="004A4AD3" w:rsidP="007F6F10">
            <w:pPr>
              <w:jc w:val="both"/>
              <w:rPr>
                <w:rFonts w:ascii="Arial" w:hAnsi="Arial" w:cs="Arial"/>
              </w:rPr>
            </w:pPr>
            <w:r w:rsidRPr="000C1CB9">
              <w:rPr>
                <w:rFonts w:ascii="Arial" w:hAnsi="Arial" w:cs="Arial"/>
              </w:rPr>
              <w:t>25.88</w:t>
            </w:r>
          </w:p>
        </w:tc>
      </w:tr>
      <w:tr w:rsidR="004A4AD3" w:rsidRPr="000C1CB9" w14:paraId="2B230C9D" w14:textId="77777777" w:rsidTr="00FD2AF5">
        <w:trPr>
          <w:jc w:val="center"/>
        </w:trPr>
        <w:tc>
          <w:tcPr>
            <w:tcW w:w="1954" w:type="dxa"/>
          </w:tcPr>
          <w:p w14:paraId="5AB5EB2F"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5</w:t>
            </w:r>
          </w:p>
        </w:tc>
        <w:tc>
          <w:tcPr>
            <w:tcW w:w="1854" w:type="dxa"/>
          </w:tcPr>
          <w:p w14:paraId="100C5CDE" w14:textId="77777777" w:rsidR="004A4AD3" w:rsidRPr="000C1CB9" w:rsidRDefault="004A4AD3" w:rsidP="007F6F10">
            <w:pPr>
              <w:jc w:val="both"/>
              <w:rPr>
                <w:rFonts w:ascii="Arial" w:hAnsi="Arial" w:cs="Arial"/>
              </w:rPr>
            </w:pPr>
            <w:r w:rsidRPr="000C1CB9">
              <w:rPr>
                <w:rFonts w:ascii="Arial" w:hAnsi="Arial" w:cs="Arial"/>
              </w:rPr>
              <w:t>3.14</w:t>
            </w:r>
          </w:p>
        </w:tc>
        <w:tc>
          <w:tcPr>
            <w:tcW w:w="1924" w:type="dxa"/>
          </w:tcPr>
          <w:p w14:paraId="45536E9D" w14:textId="77777777" w:rsidR="004A4AD3" w:rsidRPr="000C1CB9" w:rsidRDefault="004A4AD3" w:rsidP="007F6F10">
            <w:pPr>
              <w:jc w:val="both"/>
              <w:rPr>
                <w:rFonts w:ascii="Arial" w:hAnsi="Arial" w:cs="Arial"/>
              </w:rPr>
            </w:pPr>
            <w:r w:rsidRPr="000C1CB9">
              <w:rPr>
                <w:rFonts w:ascii="Arial" w:hAnsi="Arial" w:cs="Arial"/>
              </w:rPr>
              <w:t>1.157</w:t>
            </w:r>
          </w:p>
        </w:tc>
        <w:tc>
          <w:tcPr>
            <w:tcW w:w="1972" w:type="dxa"/>
          </w:tcPr>
          <w:p w14:paraId="2CC75F31" w14:textId="77777777" w:rsidR="004A4AD3" w:rsidRPr="000C1CB9" w:rsidRDefault="004A4AD3" w:rsidP="007F6F10">
            <w:pPr>
              <w:jc w:val="both"/>
              <w:rPr>
                <w:rFonts w:ascii="Arial" w:hAnsi="Arial" w:cs="Arial"/>
              </w:rPr>
            </w:pPr>
            <w:r w:rsidRPr="000C1CB9">
              <w:rPr>
                <w:rFonts w:ascii="Arial" w:hAnsi="Arial" w:cs="Arial"/>
              </w:rPr>
              <w:t>0.006</w:t>
            </w:r>
          </w:p>
        </w:tc>
        <w:tc>
          <w:tcPr>
            <w:tcW w:w="1646" w:type="dxa"/>
          </w:tcPr>
          <w:p w14:paraId="779BB2B0" w14:textId="77777777" w:rsidR="004A4AD3" w:rsidRPr="000C1CB9" w:rsidRDefault="004A4AD3" w:rsidP="007F6F10">
            <w:pPr>
              <w:jc w:val="both"/>
              <w:rPr>
                <w:rFonts w:ascii="Arial" w:hAnsi="Arial" w:cs="Arial"/>
              </w:rPr>
            </w:pPr>
            <w:r w:rsidRPr="000C1CB9">
              <w:rPr>
                <w:rFonts w:ascii="Arial" w:hAnsi="Arial" w:cs="Arial"/>
              </w:rPr>
              <w:t>28.17</w:t>
            </w:r>
          </w:p>
        </w:tc>
      </w:tr>
      <w:tr w:rsidR="004A4AD3" w:rsidRPr="000C1CB9" w14:paraId="3375AB44" w14:textId="77777777" w:rsidTr="00FD2AF5">
        <w:trPr>
          <w:jc w:val="center"/>
        </w:trPr>
        <w:tc>
          <w:tcPr>
            <w:tcW w:w="1954" w:type="dxa"/>
          </w:tcPr>
          <w:p w14:paraId="7AA7B47B"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6</w:t>
            </w:r>
          </w:p>
        </w:tc>
        <w:tc>
          <w:tcPr>
            <w:tcW w:w="1854" w:type="dxa"/>
          </w:tcPr>
          <w:p w14:paraId="0EC3BD89" w14:textId="77777777" w:rsidR="004A4AD3" w:rsidRPr="000C1CB9" w:rsidRDefault="004A4AD3" w:rsidP="007F6F10">
            <w:pPr>
              <w:jc w:val="both"/>
              <w:rPr>
                <w:rFonts w:ascii="Arial" w:hAnsi="Arial" w:cs="Arial"/>
              </w:rPr>
            </w:pPr>
            <w:r w:rsidRPr="000C1CB9">
              <w:rPr>
                <w:rFonts w:ascii="Arial" w:hAnsi="Arial" w:cs="Arial"/>
              </w:rPr>
              <w:t>3.55</w:t>
            </w:r>
          </w:p>
        </w:tc>
        <w:tc>
          <w:tcPr>
            <w:tcW w:w="1924" w:type="dxa"/>
          </w:tcPr>
          <w:p w14:paraId="064AE526" w14:textId="77777777" w:rsidR="004A4AD3" w:rsidRPr="000C1CB9" w:rsidRDefault="004A4AD3" w:rsidP="007F6F10">
            <w:pPr>
              <w:jc w:val="both"/>
              <w:rPr>
                <w:rFonts w:ascii="Arial" w:hAnsi="Arial" w:cs="Arial"/>
              </w:rPr>
            </w:pPr>
            <w:r w:rsidRPr="000C1CB9">
              <w:rPr>
                <w:rFonts w:ascii="Arial" w:hAnsi="Arial" w:cs="Arial"/>
              </w:rPr>
              <w:t>1.111</w:t>
            </w:r>
          </w:p>
        </w:tc>
        <w:tc>
          <w:tcPr>
            <w:tcW w:w="1972" w:type="dxa"/>
          </w:tcPr>
          <w:p w14:paraId="02459503" w14:textId="77777777" w:rsidR="004A4AD3" w:rsidRPr="000C1CB9" w:rsidRDefault="004A4AD3" w:rsidP="007F6F10">
            <w:pPr>
              <w:jc w:val="both"/>
              <w:rPr>
                <w:rFonts w:ascii="Arial" w:hAnsi="Arial" w:cs="Arial"/>
              </w:rPr>
            </w:pPr>
            <w:r w:rsidRPr="000C1CB9">
              <w:rPr>
                <w:rFonts w:ascii="Arial" w:hAnsi="Arial" w:cs="Arial"/>
              </w:rPr>
              <w:t>0.007</w:t>
            </w:r>
          </w:p>
        </w:tc>
        <w:tc>
          <w:tcPr>
            <w:tcW w:w="1646" w:type="dxa"/>
          </w:tcPr>
          <w:p w14:paraId="42723C07" w14:textId="77777777" w:rsidR="004A4AD3" w:rsidRPr="000C1CB9" w:rsidRDefault="004A4AD3" w:rsidP="007F6F10">
            <w:pPr>
              <w:jc w:val="both"/>
              <w:rPr>
                <w:rFonts w:ascii="Arial" w:hAnsi="Arial" w:cs="Arial"/>
              </w:rPr>
            </w:pPr>
            <w:r w:rsidRPr="000C1CB9">
              <w:rPr>
                <w:rFonts w:ascii="Arial" w:hAnsi="Arial" w:cs="Arial"/>
              </w:rPr>
              <w:t>29.58</w:t>
            </w:r>
          </w:p>
        </w:tc>
      </w:tr>
      <w:tr w:rsidR="004A4AD3" w:rsidRPr="000C1CB9" w14:paraId="3E1CE14A" w14:textId="77777777" w:rsidTr="00FD2AF5">
        <w:trPr>
          <w:jc w:val="center"/>
        </w:trPr>
        <w:tc>
          <w:tcPr>
            <w:tcW w:w="1954" w:type="dxa"/>
          </w:tcPr>
          <w:p w14:paraId="44382E90" w14:textId="77777777" w:rsidR="004A4AD3" w:rsidRPr="000C1CB9" w:rsidRDefault="004A4AD3" w:rsidP="007F6F10">
            <w:pPr>
              <w:jc w:val="both"/>
              <w:rPr>
                <w:rFonts w:ascii="Arial" w:hAnsi="Arial" w:cs="Arial"/>
              </w:rPr>
            </w:pPr>
            <w:proofErr w:type="spellStart"/>
            <w:r w:rsidRPr="000C1CB9">
              <w:rPr>
                <w:rFonts w:ascii="Arial" w:hAnsi="Arial" w:cs="Arial"/>
              </w:rPr>
              <w:t>SEd</w:t>
            </w:r>
            <w:proofErr w:type="spellEnd"/>
          </w:p>
        </w:tc>
        <w:tc>
          <w:tcPr>
            <w:tcW w:w="1854" w:type="dxa"/>
          </w:tcPr>
          <w:p w14:paraId="3A5F2281" w14:textId="77777777" w:rsidR="004A4AD3" w:rsidRPr="000C1CB9" w:rsidRDefault="004A4AD3" w:rsidP="007F6F10">
            <w:pPr>
              <w:jc w:val="both"/>
              <w:rPr>
                <w:rFonts w:ascii="Arial" w:hAnsi="Arial" w:cs="Arial"/>
              </w:rPr>
            </w:pPr>
            <w:r w:rsidRPr="000C1CB9">
              <w:rPr>
                <w:rFonts w:ascii="Arial" w:hAnsi="Arial" w:cs="Arial"/>
              </w:rPr>
              <w:t>0.057</w:t>
            </w:r>
          </w:p>
        </w:tc>
        <w:tc>
          <w:tcPr>
            <w:tcW w:w="1924" w:type="dxa"/>
          </w:tcPr>
          <w:p w14:paraId="6EBB80AF" w14:textId="77777777" w:rsidR="004A4AD3" w:rsidRPr="000C1CB9" w:rsidRDefault="004A4AD3" w:rsidP="007F6F10">
            <w:pPr>
              <w:jc w:val="both"/>
              <w:rPr>
                <w:rFonts w:ascii="Arial" w:hAnsi="Arial" w:cs="Arial"/>
              </w:rPr>
            </w:pPr>
            <w:r w:rsidRPr="000C1CB9">
              <w:rPr>
                <w:rFonts w:ascii="Arial" w:hAnsi="Arial" w:cs="Arial"/>
              </w:rPr>
              <w:t>0.035</w:t>
            </w:r>
          </w:p>
        </w:tc>
        <w:tc>
          <w:tcPr>
            <w:tcW w:w="1972" w:type="dxa"/>
          </w:tcPr>
          <w:p w14:paraId="2A44A0E7" w14:textId="77777777" w:rsidR="004A4AD3" w:rsidRPr="000C1CB9" w:rsidRDefault="004A4AD3" w:rsidP="007F6F10">
            <w:pPr>
              <w:jc w:val="both"/>
              <w:rPr>
                <w:rFonts w:ascii="Arial" w:hAnsi="Arial" w:cs="Arial"/>
              </w:rPr>
            </w:pPr>
            <w:r w:rsidRPr="000C1CB9">
              <w:rPr>
                <w:rFonts w:ascii="Arial" w:hAnsi="Arial" w:cs="Arial"/>
              </w:rPr>
              <w:t>0.091</w:t>
            </w:r>
          </w:p>
        </w:tc>
        <w:tc>
          <w:tcPr>
            <w:tcW w:w="1646" w:type="dxa"/>
          </w:tcPr>
          <w:p w14:paraId="25DD83FA" w14:textId="77777777" w:rsidR="004A4AD3" w:rsidRPr="000C1CB9" w:rsidRDefault="004A4AD3" w:rsidP="007F6F10">
            <w:pPr>
              <w:jc w:val="both"/>
              <w:rPr>
                <w:rFonts w:ascii="Arial" w:hAnsi="Arial" w:cs="Arial"/>
              </w:rPr>
            </w:pPr>
            <w:r w:rsidRPr="000C1CB9">
              <w:rPr>
                <w:rFonts w:ascii="Arial" w:hAnsi="Arial" w:cs="Arial"/>
              </w:rPr>
              <w:t>4.32</w:t>
            </w:r>
          </w:p>
        </w:tc>
      </w:tr>
      <w:tr w:rsidR="004A4AD3" w:rsidRPr="000C1CB9" w14:paraId="500E9483" w14:textId="77777777" w:rsidTr="00FD2AF5">
        <w:trPr>
          <w:jc w:val="center"/>
        </w:trPr>
        <w:tc>
          <w:tcPr>
            <w:tcW w:w="1954" w:type="dxa"/>
          </w:tcPr>
          <w:p w14:paraId="74FBBB0E" w14:textId="77777777" w:rsidR="004A4AD3" w:rsidRPr="000C1CB9" w:rsidRDefault="004A4AD3" w:rsidP="007F6F10">
            <w:pPr>
              <w:jc w:val="both"/>
              <w:rPr>
                <w:rFonts w:ascii="Arial" w:hAnsi="Arial" w:cs="Arial"/>
              </w:rPr>
            </w:pPr>
            <w:r w:rsidRPr="000C1CB9">
              <w:rPr>
                <w:rFonts w:ascii="Arial" w:hAnsi="Arial" w:cs="Arial"/>
              </w:rPr>
              <w:t>CD (0.05)</w:t>
            </w:r>
          </w:p>
        </w:tc>
        <w:tc>
          <w:tcPr>
            <w:tcW w:w="1854" w:type="dxa"/>
          </w:tcPr>
          <w:p w14:paraId="78440CDB" w14:textId="77777777" w:rsidR="004A4AD3" w:rsidRPr="000C1CB9" w:rsidRDefault="004A4AD3" w:rsidP="007F6F10">
            <w:pPr>
              <w:jc w:val="both"/>
              <w:rPr>
                <w:rFonts w:ascii="Arial" w:hAnsi="Arial" w:cs="Arial"/>
              </w:rPr>
            </w:pPr>
            <w:r w:rsidRPr="000C1CB9">
              <w:rPr>
                <w:rFonts w:ascii="Arial" w:hAnsi="Arial" w:cs="Arial"/>
              </w:rPr>
              <w:t>0.128</w:t>
            </w:r>
          </w:p>
        </w:tc>
        <w:tc>
          <w:tcPr>
            <w:tcW w:w="1924" w:type="dxa"/>
          </w:tcPr>
          <w:p w14:paraId="65AE28AA" w14:textId="77777777" w:rsidR="004A4AD3" w:rsidRPr="000C1CB9" w:rsidRDefault="004A4AD3" w:rsidP="007F6F10">
            <w:pPr>
              <w:jc w:val="both"/>
              <w:rPr>
                <w:rFonts w:ascii="Arial" w:hAnsi="Arial" w:cs="Arial"/>
              </w:rPr>
            </w:pPr>
            <w:r w:rsidRPr="000C1CB9">
              <w:rPr>
                <w:rFonts w:ascii="Arial" w:hAnsi="Arial" w:cs="Arial"/>
              </w:rPr>
              <w:t>0.076</w:t>
            </w:r>
          </w:p>
        </w:tc>
        <w:tc>
          <w:tcPr>
            <w:tcW w:w="1972" w:type="dxa"/>
          </w:tcPr>
          <w:p w14:paraId="655AEC61" w14:textId="77777777" w:rsidR="004A4AD3" w:rsidRPr="000C1CB9" w:rsidRDefault="004A4AD3" w:rsidP="007F6F10">
            <w:pPr>
              <w:jc w:val="both"/>
              <w:rPr>
                <w:rFonts w:ascii="Arial" w:hAnsi="Arial" w:cs="Arial"/>
              </w:rPr>
            </w:pPr>
            <w:r w:rsidRPr="000C1CB9">
              <w:rPr>
                <w:rFonts w:ascii="Arial" w:hAnsi="Arial" w:cs="Arial"/>
              </w:rPr>
              <w:t>0.204</w:t>
            </w:r>
          </w:p>
        </w:tc>
        <w:tc>
          <w:tcPr>
            <w:tcW w:w="1646" w:type="dxa"/>
          </w:tcPr>
          <w:p w14:paraId="6C2B3148" w14:textId="77777777" w:rsidR="004A4AD3" w:rsidRPr="000C1CB9" w:rsidRDefault="004A4AD3" w:rsidP="007F6F10">
            <w:pPr>
              <w:jc w:val="both"/>
              <w:rPr>
                <w:rFonts w:ascii="Arial" w:hAnsi="Arial" w:cs="Arial"/>
              </w:rPr>
            </w:pPr>
            <w:r w:rsidRPr="000C1CB9">
              <w:rPr>
                <w:rFonts w:ascii="Arial" w:hAnsi="Arial" w:cs="Arial"/>
              </w:rPr>
              <w:t>11.11</w:t>
            </w:r>
          </w:p>
        </w:tc>
      </w:tr>
    </w:tbl>
    <w:p w14:paraId="42FE2156" w14:textId="093EF2E4" w:rsidR="00D26E0A" w:rsidRPr="00AA7FB4" w:rsidRDefault="00D26E0A" w:rsidP="00E95957">
      <w:pPr>
        <w:spacing w:after="160" w:line="278" w:lineRule="auto"/>
        <w:jc w:val="both"/>
        <w:rPr>
          <w:rFonts w:ascii="Arial" w:hAnsi="Arial" w:cs="Arial"/>
          <w:b/>
          <w:bCs/>
          <w:sz w:val="22"/>
          <w:szCs w:val="22"/>
          <w:lang w:val="en-IN"/>
        </w:rPr>
      </w:pPr>
      <w:r>
        <w:rPr>
          <w:rFonts w:ascii="Arial" w:hAnsi="Arial" w:cs="Arial"/>
          <w:b/>
          <w:bCs/>
          <w:sz w:val="22"/>
          <w:szCs w:val="22"/>
          <w:lang w:val="en-IN"/>
        </w:rPr>
        <w:t>3.</w:t>
      </w:r>
      <w:proofErr w:type="gramStart"/>
      <w:r>
        <w:rPr>
          <w:rFonts w:ascii="Arial" w:hAnsi="Arial" w:cs="Arial"/>
          <w:b/>
          <w:bCs/>
          <w:sz w:val="22"/>
          <w:szCs w:val="22"/>
          <w:lang w:val="en-IN"/>
        </w:rPr>
        <w:t>4.</w:t>
      </w:r>
      <w:r w:rsidRPr="00AA7FB4">
        <w:rPr>
          <w:rFonts w:ascii="Arial" w:hAnsi="Arial" w:cs="Arial"/>
          <w:b/>
          <w:bCs/>
          <w:sz w:val="22"/>
          <w:szCs w:val="22"/>
          <w:lang w:val="en-IN"/>
        </w:rPr>
        <w:t>Quality</w:t>
      </w:r>
      <w:proofErr w:type="gramEnd"/>
      <w:r w:rsidRPr="00AA7FB4">
        <w:rPr>
          <w:rFonts w:ascii="Arial" w:hAnsi="Arial" w:cs="Arial"/>
          <w:b/>
          <w:bCs/>
          <w:sz w:val="22"/>
          <w:szCs w:val="22"/>
          <w:lang w:val="en-IN"/>
        </w:rPr>
        <w:t xml:space="preserve"> Parameters</w:t>
      </w:r>
    </w:p>
    <w:p w14:paraId="78378FB9" w14:textId="68853FCC" w:rsidR="00D26E0A" w:rsidRDefault="00D26E0A" w:rsidP="00E95957">
      <w:pPr>
        <w:spacing w:after="160" w:line="278" w:lineRule="auto"/>
        <w:jc w:val="both"/>
        <w:rPr>
          <w:rFonts w:ascii="Arial" w:hAnsi="Arial" w:cs="Arial"/>
          <w:sz w:val="22"/>
          <w:szCs w:val="22"/>
          <w:lang w:val="en-IN"/>
        </w:rPr>
      </w:pPr>
      <w:r w:rsidRPr="00AA7FB4">
        <w:rPr>
          <w:rFonts w:ascii="Arial" w:hAnsi="Arial" w:cs="Arial"/>
          <w:sz w:val="22"/>
          <w:szCs w:val="22"/>
          <w:lang w:val="en-IN"/>
        </w:rPr>
        <w:lastRenderedPageBreak/>
        <w:t xml:space="preserve">Total soluble solids and ascorbic acid content were significantly higher under 50% Hoagland solution + 50% </w:t>
      </w:r>
      <w:r w:rsidRPr="00AA7FB4">
        <w:rPr>
          <w:rFonts w:ascii="Arial" w:hAnsi="Arial" w:cs="Arial"/>
          <w:i/>
          <w:iCs/>
          <w:sz w:val="22"/>
          <w:szCs w:val="22"/>
          <w:lang w:val="en-IN"/>
        </w:rPr>
        <w:t>Spirulina</w:t>
      </w:r>
      <w:r w:rsidRPr="00AA7FB4">
        <w:rPr>
          <w:rFonts w:ascii="Arial" w:hAnsi="Arial" w:cs="Arial"/>
          <w:sz w:val="22"/>
          <w:szCs w:val="22"/>
          <w:lang w:val="en-IN"/>
        </w:rPr>
        <w:t xml:space="preserve"> sp., while titratable acidity was lowest in the same treatment. The 100% standard Hoagland nutrient solution consistently recorded lower values for these quality-related traits.</w:t>
      </w:r>
      <w:r w:rsidR="004A4AD3">
        <w:rPr>
          <w:rFonts w:ascii="Arial" w:hAnsi="Arial" w:cs="Arial"/>
          <w:sz w:val="22"/>
          <w:szCs w:val="22"/>
          <w:lang w:val="en-IN"/>
        </w:rPr>
        <w:t xml:space="preserve"> </w:t>
      </w:r>
      <w:r w:rsidRPr="00AA7FB4">
        <w:rPr>
          <w:rFonts w:ascii="Arial" w:hAnsi="Arial" w:cs="Arial"/>
          <w:sz w:val="22"/>
          <w:szCs w:val="22"/>
          <w:lang w:val="en-IN"/>
        </w:rPr>
        <w:t xml:space="preserve">Higher sugar accumulation and vitamin C content under </w:t>
      </w:r>
      <w:r w:rsidRPr="00AA7FB4">
        <w:rPr>
          <w:rFonts w:ascii="Arial" w:hAnsi="Arial" w:cs="Arial"/>
          <w:i/>
          <w:iCs/>
          <w:sz w:val="22"/>
          <w:szCs w:val="22"/>
          <w:lang w:val="en-IN"/>
        </w:rPr>
        <w:t>Spirulina</w:t>
      </w:r>
      <w:r w:rsidRPr="00AA7FB4">
        <w:rPr>
          <w:rFonts w:ascii="Arial" w:hAnsi="Arial" w:cs="Arial"/>
          <w:sz w:val="22"/>
          <w:szCs w:val="22"/>
          <w:lang w:val="en-IN"/>
        </w:rPr>
        <w:t xml:space="preserve"> supplementation indicate improved carbon metabolism and enhanced nutritional quality. Reduced titratable acidity further suggests improved palatability, an important attribute for leafy greens consumed fresh. These findings support earlier reports that biofertilizer-based nutrient regimes can improve produce quality beyond yield enhancement alone (Singh et al., </w:t>
      </w:r>
      <w:r w:rsidRPr="007F6F10">
        <w:rPr>
          <w:rFonts w:ascii="Arial" w:hAnsi="Arial" w:cs="Arial"/>
          <w:sz w:val="22"/>
          <w:szCs w:val="22"/>
          <w:highlight w:val="yellow"/>
          <w:lang w:val="en-IN"/>
        </w:rPr>
        <w:t>2021).</w:t>
      </w:r>
      <w:r w:rsidR="00EC4515" w:rsidRPr="007F6F10">
        <w:rPr>
          <w:rFonts w:ascii="Arial" w:hAnsi="Arial" w:cs="Arial"/>
          <w:sz w:val="22"/>
          <w:szCs w:val="22"/>
          <w:highlight w:val="yellow"/>
          <w:lang w:val="en-IN"/>
        </w:rPr>
        <w:t xml:space="preserve"> </w:t>
      </w:r>
      <w:r w:rsidRPr="007F6F10">
        <w:rPr>
          <w:rFonts w:ascii="Arial" w:hAnsi="Arial" w:cs="Arial"/>
          <w:sz w:val="22"/>
          <w:szCs w:val="22"/>
          <w:highlight w:val="yellow"/>
          <w:lang w:val="en-IN"/>
        </w:rPr>
        <w:t>Among all nut</w:t>
      </w:r>
      <w:r w:rsidRPr="00AA7FB4">
        <w:rPr>
          <w:rFonts w:ascii="Arial" w:hAnsi="Arial" w:cs="Arial"/>
          <w:sz w:val="22"/>
          <w:szCs w:val="22"/>
          <w:lang w:val="en-IN"/>
        </w:rPr>
        <w:t xml:space="preserve">rient regimes, 50% Hoagland solution + 50% </w:t>
      </w:r>
      <w:r w:rsidRPr="00AA7FB4">
        <w:rPr>
          <w:rFonts w:ascii="Arial" w:hAnsi="Arial" w:cs="Arial"/>
          <w:i/>
          <w:iCs/>
          <w:sz w:val="22"/>
          <w:szCs w:val="22"/>
          <w:lang w:val="en-IN"/>
        </w:rPr>
        <w:t>Spirulina</w:t>
      </w:r>
      <w:r w:rsidRPr="00AA7FB4">
        <w:rPr>
          <w:rFonts w:ascii="Arial" w:hAnsi="Arial" w:cs="Arial"/>
          <w:sz w:val="22"/>
          <w:szCs w:val="22"/>
          <w:lang w:val="en-IN"/>
        </w:rPr>
        <w:t xml:space="preserve"> </w:t>
      </w:r>
      <w:r w:rsidR="004A4AD3">
        <w:rPr>
          <w:rFonts w:ascii="Arial" w:hAnsi="Arial" w:cs="Arial"/>
          <w:sz w:val="22"/>
          <w:szCs w:val="22"/>
          <w:lang w:val="en-IN"/>
        </w:rPr>
        <w:t>extract</w:t>
      </w:r>
      <w:r w:rsidRPr="00AA7FB4">
        <w:rPr>
          <w:rFonts w:ascii="Arial" w:hAnsi="Arial" w:cs="Arial"/>
          <w:sz w:val="22"/>
          <w:szCs w:val="22"/>
          <w:lang w:val="en-IN"/>
        </w:rPr>
        <w:t xml:space="preserve"> consistently enhanced root development, leaf morphology, antioxidant capacity, and nutritional quality, while 50% Hoagland solution + 50% biofertilizer consortia showed balanced improvements across growth and biochemical traits.</w:t>
      </w:r>
    </w:p>
    <w:p w14:paraId="04CC711D" w14:textId="77777777" w:rsidR="004A4AD3" w:rsidRPr="000C1CB9" w:rsidRDefault="004A4AD3" w:rsidP="007F6F10">
      <w:pPr>
        <w:pStyle w:val="Heading2"/>
        <w:jc w:val="both"/>
        <w:rPr>
          <w:rFonts w:ascii="Arial" w:hAnsi="Arial" w:cs="Arial"/>
          <w:b/>
          <w:bCs/>
          <w:color w:val="000000" w:themeColor="text1"/>
          <w:sz w:val="22"/>
          <w:szCs w:val="22"/>
        </w:rPr>
      </w:pPr>
      <w:r w:rsidRPr="000C1CB9">
        <w:rPr>
          <w:rFonts w:ascii="Arial" w:hAnsi="Arial" w:cs="Arial"/>
          <w:b/>
          <w:bCs/>
          <w:color w:val="000000" w:themeColor="text1"/>
          <w:sz w:val="22"/>
          <w:szCs w:val="22"/>
        </w:rPr>
        <w:t>Table 3. Antioxidant activity of hydroponically grown fenugreek</w:t>
      </w:r>
    </w:p>
    <w:tbl>
      <w:tblPr>
        <w:tblStyle w:val="TableGrid"/>
        <w:tblW w:w="10319"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1808"/>
        <w:gridCol w:w="1902"/>
        <w:gridCol w:w="1902"/>
        <w:gridCol w:w="1657"/>
        <w:gridCol w:w="1648"/>
      </w:tblGrid>
      <w:tr w:rsidR="004A4AD3" w:rsidRPr="000C1CB9" w14:paraId="40CD3609" w14:textId="77777777" w:rsidTr="00FD2AF5">
        <w:trPr>
          <w:jc w:val="center"/>
        </w:trPr>
        <w:tc>
          <w:tcPr>
            <w:tcW w:w="1261" w:type="dxa"/>
            <w:tcBorders>
              <w:top w:val="single" w:sz="4" w:space="0" w:color="auto"/>
              <w:bottom w:val="single" w:sz="4" w:space="0" w:color="auto"/>
            </w:tcBorders>
          </w:tcPr>
          <w:p w14:paraId="321C1737" w14:textId="77777777" w:rsidR="004A4AD3" w:rsidRPr="000C1CB9" w:rsidRDefault="004A4AD3" w:rsidP="007F6F10">
            <w:pPr>
              <w:jc w:val="both"/>
              <w:rPr>
                <w:rFonts w:ascii="Arial" w:hAnsi="Arial" w:cs="Arial"/>
                <w:b/>
                <w:bCs/>
              </w:rPr>
            </w:pPr>
            <w:r w:rsidRPr="000C1CB9">
              <w:rPr>
                <w:rFonts w:ascii="Arial" w:hAnsi="Arial" w:cs="Arial"/>
                <w:b/>
                <w:bCs/>
              </w:rPr>
              <w:t>Treatments</w:t>
            </w:r>
          </w:p>
        </w:tc>
        <w:tc>
          <w:tcPr>
            <w:tcW w:w="1850" w:type="dxa"/>
            <w:tcBorders>
              <w:top w:val="single" w:sz="4" w:space="0" w:color="auto"/>
              <w:bottom w:val="single" w:sz="4" w:space="0" w:color="auto"/>
            </w:tcBorders>
          </w:tcPr>
          <w:p w14:paraId="7AB35CDD" w14:textId="77777777" w:rsidR="004A4AD3" w:rsidRPr="000C1CB9" w:rsidRDefault="004A4AD3" w:rsidP="007F6F10">
            <w:pPr>
              <w:jc w:val="both"/>
              <w:rPr>
                <w:rFonts w:ascii="Arial" w:hAnsi="Arial" w:cs="Arial"/>
                <w:b/>
                <w:bCs/>
              </w:rPr>
            </w:pPr>
            <w:r w:rsidRPr="000C1CB9">
              <w:rPr>
                <w:rFonts w:ascii="Arial" w:hAnsi="Arial" w:cs="Arial"/>
                <w:b/>
                <w:bCs/>
              </w:rPr>
              <w:t>TSS (°Brix)</w:t>
            </w:r>
          </w:p>
        </w:tc>
        <w:tc>
          <w:tcPr>
            <w:tcW w:w="1932" w:type="dxa"/>
            <w:tcBorders>
              <w:top w:val="single" w:sz="4" w:space="0" w:color="auto"/>
              <w:bottom w:val="single" w:sz="4" w:space="0" w:color="auto"/>
            </w:tcBorders>
          </w:tcPr>
          <w:p w14:paraId="4DFE79DA" w14:textId="77777777" w:rsidR="004A4AD3" w:rsidRPr="000C1CB9" w:rsidRDefault="004A4AD3" w:rsidP="007F6F10">
            <w:pPr>
              <w:jc w:val="both"/>
              <w:rPr>
                <w:rFonts w:ascii="Arial" w:hAnsi="Arial" w:cs="Arial"/>
                <w:b/>
                <w:bCs/>
              </w:rPr>
            </w:pPr>
            <w:r w:rsidRPr="000C1CB9">
              <w:rPr>
                <w:rFonts w:ascii="Arial" w:hAnsi="Arial" w:cs="Arial"/>
                <w:b/>
                <w:bCs/>
              </w:rPr>
              <w:t>Titratable acidity (%)</w:t>
            </w:r>
          </w:p>
        </w:tc>
        <w:tc>
          <w:tcPr>
            <w:tcW w:w="1930" w:type="dxa"/>
            <w:tcBorders>
              <w:top w:val="single" w:sz="4" w:space="0" w:color="auto"/>
              <w:bottom w:val="single" w:sz="4" w:space="0" w:color="auto"/>
            </w:tcBorders>
          </w:tcPr>
          <w:p w14:paraId="36958BDE" w14:textId="77777777" w:rsidR="004A4AD3" w:rsidRPr="000C1CB9" w:rsidRDefault="004A4AD3" w:rsidP="007F6F10">
            <w:pPr>
              <w:jc w:val="both"/>
              <w:rPr>
                <w:rFonts w:ascii="Arial" w:hAnsi="Arial" w:cs="Arial"/>
                <w:b/>
                <w:bCs/>
              </w:rPr>
            </w:pPr>
            <w:r w:rsidRPr="000C1CB9">
              <w:rPr>
                <w:rFonts w:ascii="Arial" w:hAnsi="Arial" w:cs="Arial"/>
                <w:b/>
                <w:bCs/>
              </w:rPr>
              <w:t>Ascorbic acid (mg/100g)</w:t>
            </w:r>
          </w:p>
        </w:tc>
        <w:tc>
          <w:tcPr>
            <w:tcW w:w="1673" w:type="dxa"/>
            <w:tcBorders>
              <w:top w:val="single" w:sz="4" w:space="0" w:color="auto"/>
              <w:bottom w:val="single" w:sz="4" w:space="0" w:color="auto"/>
            </w:tcBorders>
          </w:tcPr>
          <w:p w14:paraId="22239E2A" w14:textId="77777777" w:rsidR="004A4AD3" w:rsidRPr="000C1CB9" w:rsidRDefault="004A4AD3" w:rsidP="007F6F10">
            <w:pPr>
              <w:jc w:val="both"/>
              <w:rPr>
                <w:rFonts w:ascii="Arial" w:hAnsi="Arial" w:cs="Arial"/>
                <w:b/>
                <w:bCs/>
              </w:rPr>
            </w:pPr>
            <w:r w:rsidRPr="000C1CB9">
              <w:rPr>
                <w:rFonts w:ascii="Arial" w:hAnsi="Arial" w:cs="Arial"/>
                <w:b/>
                <w:bCs/>
              </w:rPr>
              <w:t>DPPH (% inhibition)</w:t>
            </w:r>
          </w:p>
        </w:tc>
        <w:tc>
          <w:tcPr>
            <w:tcW w:w="1673" w:type="dxa"/>
            <w:tcBorders>
              <w:top w:val="single" w:sz="4" w:space="0" w:color="auto"/>
              <w:bottom w:val="single" w:sz="4" w:space="0" w:color="auto"/>
            </w:tcBorders>
          </w:tcPr>
          <w:p w14:paraId="4B7774EB" w14:textId="77777777" w:rsidR="004A4AD3" w:rsidRPr="000C1CB9" w:rsidRDefault="004A4AD3" w:rsidP="007F6F10">
            <w:pPr>
              <w:jc w:val="both"/>
              <w:rPr>
                <w:rFonts w:ascii="Arial" w:hAnsi="Arial" w:cs="Arial"/>
                <w:b/>
                <w:bCs/>
              </w:rPr>
            </w:pPr>
            <w:r w:rsidRPr="000C1CB9">
              <w:rPr>
                <w:rFonts w:ascii="Arial" w:hAnsi="Arial" w:cs="Arial"/>
                <w:b/>
                <w:bCs/>
              </w:rPr>
              <w:t>FRAP (mM/µg)</w:t>
            </w:r>
          </w:p>
        </w:tc>
      </w:tr>
      <w:tr w:rsidR="004A4AD3" w:rsidRPr="000C1CB9" w14:paraId="556A76C5" w14:textId="77777777" w:rsidTr="00FD2AF5">
        <w:trPr>
          <w:jc w:val="center"/>
        </w:trPr>
        <w:tc>
          <w:tcPr>
            <w:tcW w:w="1261" w:type="dxa"/>
            <w:tcBorders>
              <w:top w:val="single" w:sz="4" w:space="0" w:color="auto"/>
            </w:tcBorders>
          </w:tcPr>
          <w:p w14:paraId="1B9EC8DE"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1</w:t>
            </w:r>
          </w:p>
        </w:tc>
        <w:tc>
          <w:tcPr>
            <w:tcW w:w="1850" w:type="dxa"/>
            <w:tcBorders>
              <w:top w:val="single" w:sz="4" w:space="0" w:color="auto"/>
            </w:tcBorders>
          </w:tcPr>
          <w:p w14:paraId="358CBF12" w14:textId="77777777" w:rsidR="004A4AD3" w:rsidRPr="000C1CB9" w:rsidRDefault="004A4AD3" w:rsidP="007F6F10">
            <w:pPr>
              <w:jc w:val="both"/>
              <w:rPr>
                <w:rFonts w:ascii="Arial" w:hAnsi="Arial" w:cs="Arial"/>
              </w:rPr>
            </w:pPr>
            <w:r w:rsidRPr="000C1CB9">
              <w:rPr>
                <w:rFonts w:ascii="Arial" w:hAnsi="Arial" w:cs="Arial"/>
              </w:rPr>
              <w:t>5</w:t>
            </w:r>
          </w:p>
        </w:tc>
        <w:tc>
          <w:tcPr>
            <w:tcW w:w="1932" w:type="dxa"/>
            <w:tcBorders>
              <w:top w:val="single" w:sz="4" w:space="0" w:color="auto"/>
            </w:tcBorders>
          </w:tcPr>
          <w:p w14:paraId="738AE7E2" w14:textId="77777777" w:rsidR="004A4AD3" w:rsidRPr="000C1CB9" w:rsidRDefault="004A4AD3" w:rsidP="007F6F10">
            <w:pPr>
              <w:jc w:val="both"/>
              <w:rPr>
                <w:rFonts w:ascii="Arial" w:hAnsi="Arial" w:cs="Arial"/>
              </w:rPr>
            </w:pPr>
            <w:r w:rsidRPr="000C1CB9">
              <w:rPr>
                <w:rFonts w:ascii="Arial" w:hAnsi="Arial" w:cs="Arial"/>
              </w:rPr>
              <w:t>0.04</w:t>
            </w:r>
          </w:p>
        </w:tc>
        <w:tc>
          <w:tcPr>
            <w:tcW w:w="1930" w:type="dxa"/>
            <w:tcBorders>
              <w:top w:val="single" w:sz="4" w:space="0" w:color="auto"/>
            </w:tcBorders>
          </w:tcPr>
          <w:p w14:paraId="32EEBAD8" w14:textId="77777777" w:rsidR="004A4AD3" w:rsidRPr="000C1CB9" w:rsidRDefault="004A4AD3" w:rsidP="007F6F10">
            <w:pPr>
              <w:jc w:val="both"/>
              <w:rPr>
                <w:rFonts w:ascii="Arial" w:hAnsi="Arial" w:cs="Arial"/>
              </w:rPr>
            </w:pPr>
            <w:r w:rsidRPr="000C1CB9">
              <w:rPr>
                <w:rFonts w:ascii="Arial" w:hAnsi="Arial" w:cs="Arial"/>
              </w:rPr>
              <w:t>216.44</w:t>
            </w:r>
          </w:p>
        </w:tc>
        <w:tc>
          <w:tcPr>
            <w:tcW w:w="1673" w:type="dxa"/>
            <w:tcBorders>
              <w:top w:val="single" w:sz="4" w:space="0" w:color="auto"/>
            </w:tcBorders>
          </w:tcPr>
          <w:p w14:paraId="0B82C01F" w14:textId="77777777" w:rsidR="004A4AD3" w:rsidRPr="000C1CB9" w:rsidRDefault="004A4AD3" w:rsidP="007F6F10">
            <w:pPr>
              <w:jc w:val="both"/>
              <w:rPr>
                <w:rFonts w:ascii="Arial" w:hAnsi="Arial" w:cs="Arial"/>
              </w:rPr>
            </w:pPr>
            <w:r w:rsidRPr="000C1CB9">
              <w:rPr>
                <w:rFonts w:ascii="Arial" w:hAnsi="Arial" w:cs="Arial"/>
              </w:rPr>
              <w:t>23.5</w:t>
            </w:r>
          </w:p>
        </w:tc>
        <w:tc>
          <w:tcPr>
            <w:tcW w:w="1673" w:type="dxa"/>
            <w:tcBorders>
              <w:top w:val="single" w:sz="4" w:space="0" w:color="auto"/>
            </w:tcBorders>
          </w:tcPr>
          <w:p w14:paraId="32111BF6" w14:textId="77777777" w:rsidR="004A4AD3" w:rsidRPr="000C1CB9" w:rsidRDefault="004A4AD3" w:rsidP="007F6F10">
            <w:pPr>
              <w:jc w:val="both"/>
              <w:rPr>
                <w:rFonts w:ascii="Arial" w:hAnsi="Arial" w:cs="Arial"/>
              </w:rPr>
            </w:pPr>
            <w:r w:rsidRPr="000C1CB9">
              <w:rPr>
                <w:rFonts w:ascii="Arial" w:hAnsi="Arial" w:cs="Arial"/>
              </w:rPr>
              <w:t>15.74</w:t>
            </w:r>
          </w:p>
        </w:tc>
      </w:tr>
      <w:tr w:rsidR="004A4AD3" w:rsidRPr="000C1CB9" w14:paraId="75E78C2A" w14:textId="77777777" w:rsidTr="00FD2AF5">
        <w:trPr>
          <w:jc w:val="center"/>
        </w:trPr>
        <w:tc>
          <w:tcPr>
            <w:tcW w:w="1261" w:type="dxa"/>
          </w:tcPr>
          <w:p w14:paraId="705B4B90"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2</w:t>
            </w:r>
          </w:p>
        </w:tc>
        <w:tc>
          <w:tcPr>
            <w:tcW w:w="1850" w:type="dxa"/>
          </w:tcPr>
          <w:p w14:paraId="796ED802" w14:textId="77777777" w:rsidR="004A4AD3" w:rsidRPr="000C1CB9" w:rsidRDefault="004A4AD3" w:rsidP="007F6F10">
            <w:pPr>
              <w:jc w:val="both"/>
              <w:rPr>
                <w:rFonts w:ascii="Arial" w:hAnsi="Arial" w:cs="Arial"/>
              </w:rPr>
            </w:pPr>
            <w:r w:rsidRPr="000C1CB9">
              <w:rPr>
                <w:rFonts w:ascii="Arial" w:hAnsi="Arial" w:cs="Arial"/>
              </w:rPr>
              <w:t>7</w:t>
            </w:r>
          </w:p>
        </w:tc>
        <w:tc>
          <w:tcPr>
            <w:tcW w:w="1932" w:type="dxa"/>
          </w:tcPr>
          <w:p w14:paraId="2C61B8F1" w14:textId="77777777" w:rsidR="004A4AD3" w:rsidRPr="000C1CB9" w:rsidRDefault="004A4AD3" w:rsidP="007F6F10">
            <w:pPr>
              <w:jc w:val="both"/>
              <w:rPr>
                <w:rFonts w:ascii="Arial" w:hAnsi="Arial" w:cs="Arial"/>
              </w:rPr>
            </w:pPr>
            <w:r w:rsidRPr="000C1CB9">
              <w:rPr>
                <w:rFonts w:ascii="Arial" w:hAnsi="Arial" w:cs="Arial"/>
              </w:rPr>
              <w:t>0.07</w:t>
            </w:r>
          </w:p>
        </w:tc>
        <w:tc>
          <w:tcPr>
            <w:tcW w:w="1930" w:type="dxa"/>
          </w:tcPr>
          <w:p w14:paraId="3C00C4E7" w14:textId="77777777" w:rsidR="004A4AD3" w:rsidRPr="000C1CB9" w:rsidRDefault="004A4AD3" w:rsidP="007F6F10">
            <w:pPr>
              <w:jc w:val="both"/>
              <w:rPr>
                <w:rFonts w:ascii="Arial" w:hAnsi="Arial" w:cs="Arial"/>
              </w:rPr>
            </w:pPr>
            <w:r w:rsidRPr="000C1CB9">
              <w:rPr>
                <w:rFonts w:ascii="Arial" w:hAnsi="Arial" w:cs="Arial"/>
              </w:rPr>
              <w:t>217.95</w:t>
            </w:r>
          </w:p>
        </w:tc>
        <w:tc>
          <w:tcPr>
            <w:tcW w:w="1673" w:type="dxa"/>
          </w:tcPr>
          <w:p w14:paraId="048E931C" w14:textId="77777777" w:rsidR="004A4AD3" w:rsidRPr="000C1CB9" w:rsidRDefault="004A4AD3" w:rsidP="007F6F10">
            <w:pPr>
              <w:jc w:val="both"/>
              <w:rPr>
                <w:rFonts w:ascii="Arial" w:hAnsi="Arial" w:cs="Arial"/>
              </w:rPr>
            </w:pPr>
            <w:r w:rsidRPr="000C1CB9">
              <w:rPr>
                <w:rFonts w:ascii="Arial" w:hAnsi="Arial" w:cs="Arial"/>
              </w:rPr>
              <w:t>38.3</w:t>
            </w:r>
          </w:p>
        </w:tc>
        <w:tc>
          <w:tcPr>
            <w:tcW w:w="1673" w:type="dxa"/>
          </w:tcPr>
          <w:p w14:paraId="6CAE4DB2" w14:textId="77777777" w:rsidR="004A4AD3" w:rsidRPr="000C1CB9" w:rsidRDefault="004A4AD3" w:rsidP="007F6F10">
            <w:pPr>
              <w:jc w:val="both"/>
              <w:rPr>
                <w:rFonts w:ascii="Arial" w:hAnsi="Arial" w:cs="Arial"/>
              </w:rPr>
            </w:pPr>
            <w:r w:rsidRPr="000C1CB9">
              <w:rPr>
                <w:rFonts w:ascii="Arial" w:hAnsi="Arial" w:cs="Arial"/>
              </w:rPr>
              <w:t>17.25</w:t>
            </w:r>
          </w:p>
        </w:tc>
      </w:tr>
      <w:tr w:rsidR="004A4AD3" w:rsidRPr="000C1CB9" w14:paraId="3585DCE6" w14:textId="77777777" w:rsidTr="00FD2AF5">
        <w:trPr>
          <w:jc w:val="center"/>
        </w:trPr>
        <w:tc>
          <w:tcPr>
            <w:tcW w:w="1261" w:type="dxa"/>
          </w:tcPr>
          <w:p w14:paraId="4EF913AE"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3</w:t>
            </w:r>
          </w:p>
        </w:tc>
        <w:tc>
          <w:tcPr>
            <w:tcW w:w="1850" w:type="dxa"/>
          </w:tcPr>
          <w:p w14:paraId="4474CDC2" w14:textId="77777777" w:rsidR="004A4AD3" w:rsidRPr="000C1CB9" w:rsidRDefault="004A4AD3" w:rsidP="007F6F10">
            <w:pPr>
              <w:jc w:val="both"/>
              <w:rPr>
                <w:rFonts w:ascii="Arial" w:hAnsi="Arial" w:cs="Arial"/>
              </w:rPr>
            </w:pPr>
            <w:r w:rsidRPr="000C1CB9">
              <w:rPr>
                <w:rFonts w:ascii="Arial" w:hAnsi="Arial" w:cs="Arial"/>
              </w:rPr>
              <w:t>8</w:t>
            </w:r>
          </w:p>
        </w:tc>
        <w:tc>
          <w:tcPr>
            <w:tcW w:w="1932" w:type="dxa"/>
          </w:tcPr>
          <w:p w14:paraId="50065342" w14:textId="77777777" w:rsidR="004A4AD3" w:rsidRPr="000C1CB9" w:rsidRDefault="004A4AD3" w:rsidP="007F6F10">
            <w:pPr>
              <w:jc w:val="both"/>
              <w:rPr>
                <w:rFonts w:ascii="Arial" w:hAnsi="Arial" w:cs="Arial"/>
              </w:rPr>
            </w:pPr>
            <w:r w:rsidRPr="000C1CB9">
              <w:rPr>
                <w:rFonts w:ascii="Arial" w:hAnsi="Arial" w:cs="Arial"/>
              </w:rPr>
              <w:t>0.03</w:t>
            </w:r>
          </w:p>
        </w:tc>
        <w:tc>
          <w:tcPr>
            <w:tcW w:w="1930" w:type="dxa"/>
          </w:tcPr>
          <w:p w14:paraId="1DB4E544" w14:textId="77777777" w:rsidR="004A4AD3" w:rsidRPr="000C1CB9" w:rsidRDefault="004A4AD3" w:rsidP="007F6F10">
            <w:pPr>
              <w:jc w:val="both"/>
              <w:rPr>
                <w:rFonts w:ascii="Arial" w:hAnsi="Arial" w:cs="Arial"/>
              </w:rPr>
            </w:pPr>
            <w:r w:rsidRPr="000C1CB9">
              <w:rPr>
                <w:rFonts w:ascii="Arial" w:hAnsi="Arial" w:cs="Arial"/>
              </w:rPr>
              <w:t>218.58</w:t>
            </w:r>
          </w:p>
        </w:tc>
        <w:tc>
          <w:tcPr>
            <w:tcW w:w="1673" w:type="dxa"/>
          </w:tcPr>
          <w:p w14:paraId="3FCC36D2" w14:textId="77777777" w:rsidR="004A4AD3" w:rsidRPr="000C1CB9" w:rsidRDefault="004A4AD3" w:rsidP="007F6F10">
            <w:pPr>
              <w:jc w:val="both"/>
              <w:rPr>
                <w:rFonts w:ascii="Arial" w:hAnsi="Arial" w:cs="Arial"/>
              </w:rPr>
            </w:pPr>
            <w:r w:rsidRPr="000C1CB9">
              <w:rPr>
                <w:rFonts w:ascii="Arial" w:hAnsi="Arial" w:cs="Arial"/>
              </w:rPr>
              <w:t>51.6</w:t>
            </w:r>
          </w:p>
        </w:tc>
        <w:tc>
          <w:tcPr>
            <w:tcW w:w="1673" w:type="dxa"/>
          </w:tcPr>
          <w:p w14:paraId="185FFD51" w14:textId="77777777" w:rsidR="004A4AD3" w:rsidRPr="000C1CB9" w:rsidRDefault="004A4AD3" w:rsidP="007F6F10">
            <w:pPr>
              <w:jc w:val="both"/>
              <w:rPr>
                <w:rFonts w:ascii="Arial" w:hAnsi="Arial" w:cs="Arial"/>
              </w:rPr>
            </w:pPr>
            <w:r w:rsidRPr="000C1CB9">
              <w:rPr>
                <w:rFonts w:ascii="Arial" w:hAnsi="Arial" w:cs="Arial"/>
              </w:rPr>
              <w:t>25.74</w:t>
            </w:r>
          </w:p>
        </w:tc>
      </w:tr>
      <w:tr w:rsidR="004A4AD3" w:rsidRPr="000C1CB9" w14:paraId="729FEDCC" w14:textId="77777777" w:rsidTr="00FD2AF5">
        <w:trPr>
          <w:jc w:val="center"/>
        </w:trPr>
        <w:tc>
          <w:tcPr>
            <w:tcW w:w="1261" w:type="dxa"/>
          </w:tcPr>
          <w:p w14:paraId="6B78408A"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4</w:t>
            </w:r>
          </w:p>
        </w:tc>
        <w:tc>
          <w:tcPr>
            <w:tcW w:w="1850" w:type="dxa"/>
          </w:tcPr>
          <w:p w14:paraId="7F50D7EE" w14:textId="77777777" w:rsidR="004A4AD3" w:rsidRPr="000C1CB9" w:rsidRDefault="004A4AD3" w:rsidP="007F6F10">
            <w:pPr>
              <w:jc w:val="both"/>
              <w:rPr>
                <w:rFonts w:ascii="Arial" w:hAnsi="Arial" w:cs="Arial"/>
              </w:rPr>
            </w:pPr>
            <w:r w:rsidRPr="000C1CB9">
              <w:rPr>
                <w:rFonts w:ascii="Arial" w:hAnsi="Arial" w:cs="Arial"/>
              </w:rPr>
              <w:t>10</w:t>
            </w:r>
          </w:p>
        </w:tc>
        <w:tc>
          <w:tcPr>
            <w:tcW w:w="1932" w:type="dxa"/>
          </w:tcPr>
          <w:p w14:paraId="5B78B195" w14:textId="77777777" w:rsidR="004A4AD3" w:rsidRPr="000C1CB9" w:rsidRDefault="004A4AD3" w:rsidP="007F6F10">
            <w:pPr>
              <w:jc w:val="both"/>
              <w:rPr>
                <w:rFonts w:ascii="Arial" w:hAnsi="Arial" w:cs="Arial"/>
              </w:rPr>
            </w:pPr>
            <w:r w:rsidRPr="000C1CB9">
              <w:rPr>
                <w:rFonts w:ascii="Arial" w:hAnsi="Arial" w:cs="Arial"/>
              </w:rPr>
              <w:t>0.02</w:t>
            </w:r>
          </w:p>
        </w:tc>
        <w:tc>
          <w:tcPr>
            <w:tcW w:w="1930" w:type="dxa"/>
          </w:tcPr>
          <w:p w14:paraId="40417F2A" w14:textId="77777777" w:rsidR="004A4AD3" w:rsidRPr="000C1CB9" w:rsidRDefault="004A4AD3" w:rsidP="007F6F10">
            <w:pPr>
              <w:jc w:val="both"/>
              <w:rPr>
                <w:rFonts w:ascii="Arial" w:hAnsi="Arial" w:cs="Arial"/>
              </w:rPr>
            </w:pPr>
            <w:r w:rsidRPr="000C1CB9">
              <w:rPr>
                <w:rFonts w:ascii="Arial" w:hAnsi="Arial" w:cs="Arial"/>
              </w:rPr>
              <w:t>220.97</w:t>
            </w:r>
          </w:p>
        </w:tc>
        <w:tc>
          <w:tcPr>
            <w:tcW w:w="1673" w:type="dxa"/>
          </w:tcPr>
          <w:p w14:paraId="2BB84686" w14:textId="77777777" w:rsidR="004A4AD3" w:rsidRPr="000C1CB9" w:rsidRDefault="004A4AD3" w:rsidP="007F6F10">
            <w:pPr>
              <w:jc w:val="both"/>
              <w:rPr>
                <w:rFonts w:ascii="Arial" w:hAnsi="Arial" w:cs="Arial"/>
              </w:rPr>
            </w:pPr>
            <w:r w:rsidRPr="000C1CB9">
              <w:rPr>
                <w:rFonts w:ascii="Arial" w:hAnsi="Arial" w:cs="Arial"/>
              </w:rPr>
              <w:t>59.5</w:t>
            </w:r>
          </w:p>
        </w:tc>
        <w:tc>
          <w:tcPr>
            <w:tcW w:w="1673" w:type="dxa"/>
          </w:tcPr>
          <w:p w14:paraId="57765B78" w14:textId="77777777" w:rsidR="004A4AD3" w:rsidRPr="000C1CB9" w:rsidRDefault="004A4AD3" w:rsidP="007F6F10">
            <w:pPr>
              <w:jc w:val="both"/>
              <w:rPr>
                <w:rFonts w:ascii="Arial" w:hAnsi="Arial" w:cs="Arial"/>
              </w:rPr>
            </w:pPr>
            <w:r w:rsidRPr="000C1CB9">
              <w:rPr>
                <w:rFonts w:ascii="Arial" w:hAnsi="Arial" w:cs="Arial"/>
              </w:rPr>
              <w:t>31.47</w:t>
            </w:r>
          </w:p>
        </w:tc>
      </w:tr>
      <w:tr w:rsidR="004A4AD3" w:rsidRPr="000C1CB9" w14:paraId="0CBAB52E" w14:textId="77777777" w:rsidTr="00FD2AF5">
        <w:trPr>
          <w:jc w:val="center"/>
        </w:trPr>
        <w:tc>
          <w:tcPr>
            <w:tcW w:w="1261" w:type="dxa"/>
          </w:tcPr>
          <w:p w14:paraId="7C7297D4"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5</w:t>
            </w:r>
          </w:p>
        </w:tc>
        <w:tc>
          <w:tcPr>
            <w:tcW w:w="1850" w:type="dxa"/>
          </w:tcPr>
          <w:p w14:paraId="53378F6F" w14:textId="77777777" w:rsidR="004A4AD3" w:rsidRPr="000C1CB9" w:rsidRDefault="004A4AD3" w:rsidP="007F6F10">
            <w:pPr>
              <w:jc w:val="both"/>
              <w:rPr>
                <w:rFonts w:ascii="Arial" w:hAnsi="Arial" w:cs="Arial"/>
              </w:rPr>
            </w:pPr>
            <w:r w:rsidRPr="000C1CB9">
              <w:rPr>
                <w:rFonts w:ascii="Arial" w:hAnsi="Arial" w:cs="Arial"/>
              </w:rPr>
              <w:t>6</w:t>
            </w:r>
          </w:p>
        </w:tc>
        <w:tc>
          <w:tcPr>
            <w:tcW w:w="1932" w:type="dxa"/>
          </w:tcPr>
          <w:p w14:paraId="15867310" w14:textId="77777777" w:rsidR="004A4AD3" w:rsidRPr="000C1CB9" w:rsidRDefault="004A4AD3" w:rsidP="007F6F10">
            <w:pPr>
              <w:jc w:val="both"/>
              <w:rPr>
                <w:rFonts w:ascii="Arial" w:hAnsi="Arial" w:cs="Arial"/>
              </w:rPr>
            </w:pPr>
            <w:r w:rsidRPr="000C1CB9">
              <w:rPr>
                <w:rFonts w:ascii="Arial" w:hAnsi="Arial" w:cs="Arial"/>
              </w:rPr>
              <w:t>0.03</w:t>
            </w:r>
          </w:p>
        </w:tc>
        <w:tc>
          <w:tcPr>
            <w:tcW w:w="1930" w:type="dxa"/>
          </w:tcPr>
          <w:p w14:paraId="61F8E934" w14:textId="77777777" w:rsidR="004A4AD3" w:rsidRPr="000C1CB9" w:rsidRDefault="004A4AD3" w:rsidP="007F6F10">
            <w:pPr>
              <w:jc w:val="both"/>
              <w:rPr>
                <w:rFonts w:ascii="Arial" w:hAnsi="Arial" w:cs="Arial"/>
              </w:rPr>
            </w:pPr>
            <w:r w:rsidRPr="000C1CB9">
              <w:rPr>
                <w:rFonts w:ascii="Arial" w:hAnsi="Arial" w:cs="Arial"/>
              </w:rPr>
              <w:t>218.21</w:t>
            </w:r>
          </w:p>
        </w:tc>
        <w:tc>
          <w:tcPr>
            <w:tcW w:w="1673" w:type="dxa"/>
          </w:tcPr>
          <w:p w14:paraId="2517592B" w14:textId="77777777" w:rsidR="004A4AD3" w:rsidRPr="000C1CB9" w:rsidRDefault="004A4AD3" w:rsidP="007F6F10">
            <w:pPr>
              <w:jc w:val="both"/>
              <w:rPr>
                <w:rFonts w:ascii="Arial" w:hAnsi="Arial" w:cs="Arial"/>
              </w:rPr>
            </w:pPr>
            <w:r w:rsidRPr="000C1CB9">
              <w:rPr>
                <w:rFonts w:ascii="Arial" w:hAnsi="Arial" w:cs="Arial"/>
              </w:rPr>
              <w:t>24.7</w:t>
            </w:r>
          </w:p>
        </w:tc>
        <w:tc>
          <w:tcPr>
            <w:tcW w:w="1673" w:type="dxa"/>
          </w:tcPr>
          <w:p w14:paraId="0BC481F8" w14:textId="77777777" w:rsidR="004A4AD3" w:rsidRPr="000C1CB9" w:rsidRDefault="004A4AD3" w:rsidP="007F6F10">
            <w:pPr>
              <w:jc w:val="both"/>
              <w:rPr>
                <w:rFonts w:ascii="Arial" w:hAnsi="Arial" w:cs="Arial"/>
              </w:rPr>
            </w:pPr>
            <w:r w:rsidRPr="000C1CB9">
              <w:rPr>
                <w:rFonts w:ascii="Arial" w:hAnsi="Arial" w:cs="Arial"/>
              </w:rPr>
              <w:t>34.78</w:t>
            </w:r>
          </w:p>
        </w:tc>
      </w:tr>
      <w:tr w:rsidR="004A4AD3" w:rsidRPr="000C1CB9" w14:paraId="1A0CBE4A" w14:textId="77777777" w:rsidTr="00FD2AF5">
        <w:trPr>
          <w:jc w:val="center"/>
        </w:trPr>
        <w:tc>
          <w:tcPr>
            <w:tcW w:w="1261" w:type="dxa"/>
          </w:tcPr>
          <w:p w14:paraId="71C54E05" w14:textId="77777777" w:rsidR="004A4AD3" w:rsidRPr="000C1CB9" w:rsidRDefault="004A4AD3" w:rsidP="007F6F10">
            <w:pPr>
              <w:jc w:val="both"/>
              <w:rPr>
                <w:rFonts w:ascii="Arial" w:hAnsi="Arial" w:cs="Arial"/>
              </w:rPr>
            </w:pPr>
            <w:r w:rsidRPr="000C1CB9">
              <w:rPr>
                <w:rFonts w:ascii="Arial" w:hAnsi="Arial" w:cs="Arial"/>
              </w:rPr>
              <w:t>T</w:t>
            </w:r>
            <w:r w:rsidRPr="000C1CB9">
              <w:rPr>
                <w:rFonts w:ascii="Arial" w:hAnsi="Arial" w:cs="Arial"/>
                <w:vertAlign w:val="subscript"/>
              </w:rPr>
              <w:t>6</w:t>
            </w:r>
          </w:p>
        </w:tc>
        <w:tc>
          <w:tcPr>
            <w:tcW w:w="1850" w:type="dxa"/>
          </w:tcPr>
          <w:p w14:paraId="394F0B61" w14:textId="77777777" w:rsidR="004A4AD3" w:rsidRPr="000C1CB9" w:rsidRDefault="004A4AD3" w:rsidP="007F6F10">
            <w:pPr>
              <w:jc w:val="both"/>
              <w:rPr>
                <w:rFonts w:ascii="Arial" w:hAnsi="Arial" w:cs="Arial"/>
              </w:rPr>
            </w:pPr>
            <w:r w:rsidRPr="000C1CB9">
              <w:rPr>
                <w:rFonts w:ascii="Arial" w:hAnsi="Arial" w:cs="Arial"/>
              </w:rPr>
              <w:t>9</w:t>
            </w:r>
          </w:p>
        </w:tc>
        <w:tc>
          <w:tcPr>
            <w:tcW w:w="1932" w:type="dxa"/>
          </w:tcPr>
          <w:p w14:paraId="287461EE" w14:textId="77777777" w:rsidR="004A4AD3" w:rsidRPr="000C1CB9" w:rsidRDefault="004A4AD3" w:rsidP="007F6F10">
            <w:pPr>
              <w:jc w:val="both"/>
              <w:rPr>
                <w:rFonts w:ascii="Arial" w:hAnsi="Arial" w:cs="Arial"/>
              </w:rPr>
            </w:pPr>
            <w:r w:rsidRPr="000C1CB9">
              <w:rPr>
                <w:rFonts w:ascii="Arial" w:hAnsi="Arial" w:cs="Arial"/>
              </w:rPr>
              <w:t>0.03</w:t>
            </w:r>
          </w:p>
        </w:tc>
        <w:tc>
          <w:tcPr>
            <w:tcW w:w="1930" w:type="dxa"/>
          </w:tcPr>
          <w:p w14:paraId="13DDAB33" w14:textId="77777777" w:rsidR="004A4AD3" w:rsidRPr="000C1CB9" w:rsidRDefault="004A4AD3" w:rsidP="007F6F10">
            <w:pPr>
              <w:jc w:val="both"/>
              <w:rPr>
                <w:rFonts w:ascii="Arial" w:hAnsi="Arial" w:cs="Arial"/>
              </w:rPr>
            </w:pPr>
            <w:r w:rsidRPr="000C1CB9">
              <w:rPr>
                <w:rFonts w:ascii="Arial" w:hAnsi="Arial" w:cs="Arial"/>
              </w:rPr>
              <w:t>215.63</w:t>
            </w:r>
          </w:p>
        </w:tc>
        <w:tc>
          <w:tcPr>
            <w:tcW w:w="1673" w:type="dxa"/>
          </w:tcPr>
          <w:p w14:paraId="39FD7ECC" w14:textId="77777777" w:rsidR="004A4AD3" w:rsidRPr="000C1CB9" w:rsidRDefault="004A4AD3" w:rsidP="007F6F10">
            <w:pPr>
              <w:jc w:val="both"/>
              <w:rPr>
                <w:rFonts w:ascii="Arial" w:hAnsi="Arial" w:cs="Arial"/>
              </w:rPr>
            </w:pPr>
            <w:r w:rsidRPr="000C1CB9">
              <w:rPr>
                <w:rFonts w:ascii="Arial" w:hAnsi="Arial" w:cs="Arial"/>
              </w:rPr>
              <w:t>15.9</w:t>
            </w:r>
          </w:p>
        </w:tc>
        <w:tc>
          <w:tcPr>
            <w:tcW w:w="1673" w:type="dxa"/>
          </w:tcPr>
          <w:p w14:paraId="4CF62596" w14:textId="77777777" w:rsidR="004A4AD3" w:rsidRPr="000C1CB9" w:rsidRDefault="004A4AD3" w:rsidP="007F6F10">
            <w:pPr>
              <w:jc w:val="both"/>
              <w:rPr>
                <w:rFonts w:ascii="Arial" w:hAnsi="Arial" w:cs="Arial"/>
              </w:rPr>
            </w:pPr>
            <w:r w:rsidRPr="000C1CB9">
              <w:rPr>
                <w:rFonts w:ascii="Arial" w:hAnsi="Arial" w:cs="Arial"/>
              </w:rPr>
              <w:t>19.25</w:t>
            </w:r>
          </w:p>
        </w:tc>
      </w:tr>
      <w:tr w:rsidR="004A4AD3" w:rsidRPr="000C1CB9" w14:paraId="2C40F0FA" w14:textId="77777777" w:rsidTr="00FD2AF5">
        <w:trPr>
          <w:jc w:val="center"/>
        </w:trPr>
        <w:tc>
          <w:tcPr>
            <w:tcW w:w="1261" w:type="dxa"/>
          </w:tcPr>
          <w:p w14:paraId="75ECEBB4" w14:textId="77777777" w:rsidR="004A4AD3" w:rsidRPr="000C1CB9" w:rsidRDefault="004A4AD3" w:rsidP="007F6F10">
            <w:pPr>
              <w:jc w:val="both"/>
              <w:rPr>
                <w:rFonts w:ascii="Arial" w:hAnsi="Arial" w:cs="Arial"/>
              </w:rPr>
            </w:pPr>
            <w:proofErr w:type="spellStart"/>
            <w:r w:rsidRPr="000C1CB9">
              <w:rPr>
                <w:rFonts w:ascii="Arial" w:hAnsi="Arial" w:cs="Arial"/>
              </w:rPr>
              <w:t>SEd</w:t>
            </w:r>
            <w:proofErr w:type="spellEnd"/>
          </w:p>
        </w:tc>
        <w:tc>
          <w:tcPr>
            <w:tcW w:w="1850" w:type="dxa"/>
          </w:tcPr>
          <w:p w14:paraId="1D1B5BE4" w14:textId="77777777" w:rsidR="004A4AD3" w:rsidRPr="000C1CB9" w:rsidRDefault="004A4AD3" w:rsidP="007F6F10">
            <w:pPr>
              <w:jc w:val="both"/>
              <w:rPr>
                <w:rFonts w:ascii="Arial" w:hAnsi="Arial" w:cs="Arial"/>
              </w:rPr>
            </w:pPr>
            <w:r w:rsidRPr="000C1CB9">
              <w:rPr>
                <w:rFonts w:ascii="Arial" w:hAnsi="Arial" w:cs="Arial"/>
              </w:rPr>
              <w:t>1.66</w:t>
            </w:r>
          </w:p>
        </w:tc>
        <w:tc>
          <w:tcPr>
            <w:tcW w:w="1932" w:type="dxa"/>
          </w:tcPr>
          <w:p w14:paraId="3DA10B47" w14:textId="77777777" w:rsidR="004A4AD3" w:rsidRPr="000C1CB9" w:rsidRDefault="004A4AD3" w:rsidP="007F6F10">
            <w:pPr>
              <w:jc w:val="both"/>
              <w:rPr>
                <w:rFonts w:ascii="Arial" w:hAnsi="Arial" w:cs="Arial"/>
              </w:rPr>
            </w:pPr>
            <w:r w:rsidRPr="000C1CB9">
              <w:rPr>
                <w:rFonts w:ascii="Arial" w:hAnsi="Arial" w:cs="Arial"/>
              </w:rPr>
              <w:t>2.02</w:t>
            </w:r>
          </w:p>
        </w:tc>
        <w:tc>
          <w:tcPr>
            <w:tcW w:w="1930" w:type="dxa"/>
          </w:tcPr>
          <w:p w14:paraId="663A6747" w14:textId="77777777" w:rsidR="004A4AD3" w:rsidRPr="000C1CB9" w:rsidRDefault="004A4AD3" w:rsidP="007F6F10">
            <w:pPr>
              <w:jc w:val="both"/>
              <w:rPr>
                <w:rFonts w:ascii="Arial" w:hAnsi="Arial" w:cs="Arial"/>
              </w:rPr>
            </w:pPr>
            <w:r w:rsidRPr="000C1CB9">
              <w:rPr>
                <w:rFonts w:ascii="Arial" w:hAnsi="Arial" w:cs="Arial"/>
              </w:rPr>
              <w:t>0.24</w:t>
            </w:r>
          </w:p>
        </w:tc>
        <w:tc>
          <w:tcPr>
            <w:tcW w:w="1673" w:type="dxa"/>
          </w:tcPr>
          <w:p w14:paraId="6998E961" w14:textId="77777777" w:rsidR="004A4AD3" w:rsidRPr="000C1CB9" w:rsidRDefault="004A4AD3" w:rsidP="007F6F10">
            <w:pPr>
              <w:jc w:val="both"/>
              <w:rPr>
                <w:rFonts w:ascii="Arial" w:hAnsi="Arial" w:cs="Arial"/>
              </w:rPr>
            </w:pPr>
            <w:r w:rsidRPr="000C1CB9">
              <w:rPr>
                <w:rFonts w:ascii="Arial" w:hAnsi="Arial" w:cs="Arial"/>
              </w:rPr>
              <w:t>2.91</w:t>
            </w:r>
          </w:p>
        </w:tc>
        <w:tc>
          <w:tcPr>
            <w:tcW w:w="1673" w:type="dxa"/>
          </w:tcPr>
          <w:p w14:paraId="2A3E1F3B" w14:textId="77777777" w:rsidR="004A4AD3" w:rsidRPr="000C1CB9" w:rsidRDefault="004A4AD3" w:rsidP="007F6F10">
            <w:pPr>
              <w:jc w:val="both"/>
              <w:rPr>
                <w:rFonts w:ascii="Arial" w:hAnsi="Arial" w:cs="Arial"/>
              </w:rPr>
            </w:pPr>
            <w:r w:rsidRPr="000C1CB9">
              <w:rPr>
                <w:rFonts w:ascii="Arial" w:hAnsi="Arial" w:cs="Arial"/>
              </w:rPr>
              <w:t>1.96</w:t>
            </w:r>
          </w:p>
        </w:tc>
      </w:tr>
      <w:tr w:rsidR="004A4AD3" w:rsidRPr="000C1CB9" w14:paraId="673D624A" w14:textId="77777777" w:rsidTr="00FD2AF5">
        <w:trPr>
          <w:jc w:val="center"/>
        </w:trPr>
        <w:tc>
          <w:tcPr>
            <w:tcW w:w="1261" w:type="dxa"/>
          </w:tcPr>
          <w:p w14:paraId="526978CB" w14:textId="77777777" w:rsidR="004A4AD3" w:rsidRPr="000C1CB9" w:rsidRDefault="004A4AD3" w:rsidP="007F6F10">
            <w:pPr>
              <w:jc w:val="both"/>
              <w:rPr>
                <w:rFonts w:ascii="Arial" w:hAnsi="Arial" w:cs="Arial"/>
              </w:rPr>
            </w:pPr>
            <w:r w:rsidRPr="000C1CB9">
              <w:rPr>
                <w:rFonts w:ascii="Arial" w:hAnsi="Arial" w:cs="Arial"/>
              </w:rPr>
              <w:t>CD (0.05)</w:t>
            </w:r>
          </w:p>
        </w:tc>
        <w:tc>
          <w:tcPr>
            <w:tcW w:w="1850" w:type="dxa"/>
          </w:tcPr>
          <w:p w14:paraId="334BD2A6" w14:textId="77777777" w:rsidR="004A4AD3" w:rsidRPr="000C1CB9" w:rsidRDefault="004A4AD3" w:rsidP="007F6F10">
            <w:pPr>
              <w:jc w:val="both"/>
              <w:rPr>
                <w:rFonts w:ascii="Arial" w:hAnsi="Arial" w:cs="Arial"/>
              </w:rPr>
            </w:pPr>
            <w:r w:rsidRPr="000C1CB9">
              <w:rPr>
                <w:rFonts w:ascii="Arial" w:hAnsi="Arial" w:cs="Arial"/>
              </w:rPr>
              <w:t>3.70</w:t>
            </w:r>
          </w:p>
        </w:tc>
        <w:tc>
          <w:tcPr>
            <w:tcW w:w="1932" w:type="dxa"/>
          </w:tcPr>
          <w:p w14:paraId="7EDCE80B" w14:textId="77777777" w:rsidR="004A4AD3" w:rsidRPr="000C1CB9" w:rsidRDefault="004A4AD3" w:rsidP="007F6F10">
            <w:pPr>
              <w:jc w:val="both"/>
              <w:rPr>
                <w:rFonts w:ascii="Arial" w:hAnsi="Arial" w:cs="Arial"/>
              </w:rPr>
            </w:pPr>
            <w:r w:rsidRPr="000C1CB9">
              <w:rPr>
                <w:rFonts w:ascii="Arial" w:hAnsi="Arial" w:cs="Arial"/>
              </w:rPr>
              <w:t>4.51</w:t>
            </w:r>
          </w:p>
        </w:tc>
        <w:tc>
          <w:tcPr>
            <w:tcW w:w="1930" w:type="dxa"/>
          </w:tcPr>
          <w:p w14:paraId="7BBEE19B" w14:textId="77777777" w:rsidR="004A4AD3" w:rsidRPr="000C1CB9" w:rsidRDefault="004A4AD3" w:rsidP="007F6F10">
            <w:pPr>
              <w:jc w:val="both"/>
              <w:rPr>
                <w:rFonts w:ascii="Arial" w:hAnsi="Arial" w:cs="Arial"/>
              </w:rPr>
            </w:pPr>
            <w:r w:rsidRPr="000C1CB9">
              <w:rPr>
                <w:rFonts w:ascii="Arial" w:hAnsi="Arial" w:cs="Arial"/>
              </w:rPr>
              <w:t>0.54</w:t>
            </w:r>
          </w:p>
        </w:tc>
        <w:tc>
          <w:tcPr>
            <w:tcW w:w="1673" w:type="dxa"/>
          </w:tcPr>
          <w:p w14:paraId="64E20200" w14:textId="77777777" w:rsidR="004A4AD3" w:rsidRPr="000C1CB9" w:rsidRDefault="004A4AD3" w:rsidP="007F6F10">
            <w:pPr>
              <w:jc w:val="both"/>
              <w:rPr>
                <w:rFonts w:ascii="Arial" w:hAnsi="Arial" w:cs="Arial"/>
              </w:rPr>
            </w:pPr>
            <w:r w:rsidRPr="000C1CB9">
              <w:rPr>
                <w:rFonts w:ascii="Arial" w:hAnsi="Arial" w:cs="Arial"/>
              </w:rPr>
              <w:t>6.33</w:t>
            </w:r>
          </w:p>
        </w:tc>
        <w:tc>
          <w:tcPr>
            <w:tcW w:w="1673" w:type="dxa"/>
          </w:tcPr>
          <w:p w14:paraId="4D739C3B" w14:textId="77777777" w:rsidR="004A4AD3" w:rsidRPr="000C1CB9" w:rsidRDefault="004A4AD3" w:rsidP="007F6F10">
            <w:pPr>
              <w:jc w:val="both"/>
              <w:rPr>
                <w:rFonts w:ascii="Arial" w:hAnsi="Arial" w:cs="Arial"/>
              </w:rPr>
            </w:pPr>
            <w:r w:rsidRPr="000C1CB9">
              <w:rPr>
                <w:rFonts w:ascii="Arial" w:hAnsi="Arial" w:cs="Arial"/>
              </w:rPr>
              <w:t>4.28</w:t>
            </w:r>
          </w:p>
        </w:tc>
      </w:tr>
    </w:tbl>
    <w:p w14:paraId="38F0AF70" w14:textId="77777777" w:rsidR="004A4AD3" w:rsidRPr="000C1CB9" w:rsidRDefault="004A4AD3" w:rsidP="007F6F10">
      <w:pPr>
        <w:jc w:val="both"/>
        <w:rPr>
          <w:rFonts w:ascii="Arial" w:hAnsi="Arial" w:cs="Arial"/>
          <w:sz w:val="22"/>
          <w:szCs w:val="22"/>
        </w:rPr>
      </w:pPr>
    </w:p>
    <w:p w14:paraId="06919868" w14:textId="77777777" w:rsidR="00D26E0A" w:rsidRPr="00AA7FB4" w:rsidRDefault="00D26E0A" w:rsidP="00E95957">
      <w:pPr>
        <w:spacing w:after="160" w:line="278" w:lineRule="auto"/>
        <w:jc w:val="both"/>
        <w:rPr>
          <w:rFonts w:ascii="Arial" w:hAnsi="Arial" w:cs="Arial"/>
          <w:sz w:val="22"/>
          <w:szCs w:val="22"/>
          <w:lang w:val="en-IN"/>
        </w:rPr>
      </w:pPr>
      <w:r w:rsidRPr="00AA7FB4">
        <w:rPr>
          <w:rFonts w:ascii="Arial" w:hAnsi="Arial" w:cs="Arial"/>
          <w:sz w:val="22"/>
          <w:szCs w:val="22"/>
          <w:lang w:val="en-IN"/>
        </w:rPr>
        <w:t>Overall, these results demonstrate that biofertilizer-enriched nutrient solutions can effectively supplement or partially replace conventional synthetic hydroponic fertilizers. While full-strength Hoagland nutrition promotes rapid biomass accumulation, biofertilizer integration improves physiological efficiency and functional quality, highlighting its significance for developing sustainable and nutritionally enriched hydroponic cultivation systems (Resh, 2013; Savvas and Gruda, 2018).</w:t>
      </w:r>
    </w:p>
    <w:p w14:paraId="3EE7940F" w14:textId="77777777" w:rsidR="00B01FCD" w:rsidRDefault="00000F8F" w:rsidP="007F6F10">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9DD20A" w14:textId="0079C5AC" w:rsidR="00790ADA" w:rsidRDefault="004A4AD3" w:rsidP="007F6F10">
      <w:pPr>
        <w:pStyle w:val="Body"/>
        <w:spacing w:after="0"/>
        <w:rPr>
          <w:rFonts w:ascii="Arial" w:hAnsi="Arial" w:cs="Arial"/>
        </w:rPr>
      </w:pPr>
      <w:r w:rsidRPr="004A4AD3">
        <w:rPr>
          <w:rFonts w:ascii="Arial" w:hAnsi="Arial" w:cs="Arial"/>
          <w:sz w:val="22"/>
          <w:szCs w:val="22"/>
        </w:rPr>
        <w:t xml:space="preserve">The study confirms that replacing 50% of the Hoagland nutrient solution with </w:t>
      </w:r>
      <w:r w:rsidRPr="004A4AD3">
        <w:rPr>
          <w:rFonts w:ascii="Arial" w:hAnsi="Arial" w:cs="Arial"/>
          <w:i/>
          <w:iCs/>
          <w:sz w:val="22"/>
          <w:szCs w:val="22"/>
        </w:rPr>
        <w:t>Spirulina</w:t>
      </w:r>
      <w:r w:rsidRPr="004A4AD3">
        <w:rPr>
          <w:rFonts w:ascii="Arial" w:hAnsi="Arial" w:cs="Arial"/>
          <w:sz w:val="22"/>
          <w:szCs w:val="22"/>
        </w:rPr>
        <w:t xml:space="preserve"> </w:t>
      </w:r>
      <w:r w:rsidR="00EC4515" w:rsidRPr="007F6F10">
        <w:rPr>
          <w:rFonts w:ascii="Arial" w:hAnsi="Arial" w:cs="Arial"/>
          <w:sz w:val="22"/>
          <w:szCs w:val="22"/>
          <w:highlight w:val="yellow"/>
        </w:rPr>
        <w:t>extract-</w:t>
      </w:r>
      <w:r w:rsidRPr="007F6F10">
        <w:rPr>
          <w:rFonts w:ascii="Arial" w:hAnsi="Arial" w:cs="Arial"/>
          <w:sz w:val="22"/>
          <w:szCs w:val="22"/>
          <w:highlight w:val="yellow"/>
        </w:rPr>
        <w:t>enriched</w:t>
      </w:r>
      <w:r w:rsidRPr="004A4AD3">
        <w:rPr>
          <w:rFonts w:ascii="Arial" w:hAnsi="Arial" w:cs="Arial"/>
          <w:sz w:val="22"/>
          <w:szCs w:val="22"/>
        </w:rPr>
        <w:t xml:space="preserve"> nutrient solution showed the most pronounced benefits, while the biofertilizer consortia provided balanced overall performance.</w:t>
      </w:r>
      <w:r w:rsidRPr="004A4AD3">
        <w:rPr>
          <w:rFonts w:ascii="Arial" w:hAnsi="Arial" w:cs="Arial"/>
          <w:sz w:val="22"/>
          <w:szCs w:val="22"/>
        </w:rPr>
        <w:br/>
        <w:t>These results demonstrate the potential of biofertilizer-based hydroponics as a sustainable alternative to sole reliance on synthetic nutrient solutions</w:t>
      </w:r>
      <w:r w:rsidRPr="004A4AD3">
        <w:rPr>
          <w:rFonts w:ascii="Arial" w:hAnsi="Arial" w:cs="Arial"/>
        </w:rPr>
        <w:t>.</w:t>
      </w:r>
    </w:p>
    <w:p w14:paraId="57F78271" w14:textId="77777777" w:rsidR="00B50CCA" w:rsidRDefault="00B50CCA" w:rsidP="007F6F10">
      <w:pPr>
        <w:pStyle w:val="Body"/>
        <w:spacing w:after="0"/>
        <w:rPr>
          <w:rFonts w:ascii="Arial" w:hAnsi="Arial" w:cs="Arial"/>
        </w:rPr>
      </w:pPr>
    </w:p>
    <w:p w14:paraId="5007DA43" w14:textId="77777777" w:rsidR="00575626" w:rsidRPr="00CA3906" w:rsidRDefault="00575626" w:rsidP="007F6F10">
      <w:pPr>
        <w:jc w:val="both"/>
        <w:rPr>
          <w:b/>
          <w:highlight w:val="yellow"/>
        </w:rPr>
      </w:pPr>
      <w:r w:rsidRPr="00CA3906">
        <w:rPr>
          <w:b/>
          <w:highlight w:val="yellow"/>
        </w:rPr>
        <w:t>Disclaimer (Artificial intelligence)</w:t>
      </w:r>
    </w:p>
    <w:p w14:paraId="584D22EA" w14:textId="77777777" w:rsidR="00575626" w:rsidRPr="00740879" w:rsidRDefault="00575626" w:rsidP="007F6F10">
      <w:pPr>
        <w:jc w:val="both"/>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ACBEA38" w14:textId="77777777" w:rsidR="00575626" w:rsidRPr="00FB3A86" w:rsidRDefault="00575626" w:rsidP="00E95957">
      <w:pPr>
        <w:pStyle w:val="Body"/>
        <w:spacing w:after="0"/>
        <w:rPr>
          <w:rFonts w:ascii="Arial" w:hAnsi="Arial" w:cs="Arial"/>
        </w:rPr>
      </w:pPr>
    </w:p>
    <w:p w14:paraId="6EE1DD74" w14:textId="77777777" w:rsidR="00BC54E1" w:rsidRDefault="00BC54E1" w:rsidP="00E95957">
      <w:pPr>
        <w:pStyle w:val="ReferHead"/>
        <w:spacing w:after="0"/>
        <w:jc w:val="both"/>
        <w:rPr>
          <w:rFonts w:ascii="Arial" w:hAnsi="Arial" w:cs="Arial"/>
          <w:bCs/>
        </w:rPr>
      </w:pPr>
    </w:p>
    <w:p w14:paraId="128B990C" w14:textId="736B1A6E" w:rsidR="00B01FCD" w:rsidRDefault="00B01FCD" w:rsidP="007F6F10">
      <w:pPr>
        <w:pStyle w:val="ReferHead"/>
        <w:spacing w:after="0"/>
        <w:jc w:val="both"/>
        <w:rPr>
          <w:rFonts w:ascii="Arial" w:hAnsi="Arial" w:cs="Arial"/>
        </w:rPr>
      </w:pPr>
      <w:r w:rsidRPr="00FB3A86">
        <w:rPr>
          <w:rFonts w:ascii="Arial" w:hAnsi="Arial" w:cs="Arial"/>
        </w:rPr>
        <w:t>References</w:t>
      </w:r>
    </w:p>
    <w:p w14:paraId="21AD1978"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 xml:space="preserve">Abdul-Baki, A.A. and Anderson, J.D. (1973). Vigor determination in soybean seed by multiple criteria. </w:t>
      </w:r>
      <w:r w:rsidRPr="00E54B30">
        <w:rPr>
          <w:rFonts w:ascii="Arial" w:hAnsi="Arial" w:cs="Arial"/>
          <w:i/>
          <w:iCs/>
          <w:sz w:val="22"/>
          <w:szCs w:val="22"/>
          <w:lang w:val="en-IN"/>
        </w:rPr>
        <w:t>Crop Science</w:t>
      </w:r>
      <w:r w:rsidRPr="00E54B30">
        <w:rPr>
          <w:rFonts w:ascii="Arial" w:hAnsi="Arial" w:cs="Arial"/>
          <w:sz w:val="22"/>
          <w:szCs w:val="22"/>
          <w:lang w:val="en-IN"/>
        </w:rPr>
        <w:t xml:space="preserve"> 13: 630–633.</w:t>
      </w:r>
    </w:p>
    <w:p w14:paraId="08B6D6CE"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 xml:space="preserve">Bashan, Y., Holguin, G. and de-Bashan, L.E. (2004). </w:t>
      </w:r>
      <w:proofErr w:type="spellStart"/>
      <w:r w:rsidRPr="00E54B30">
        <w:rPr>
          <w:rFonts w:ascii="Arial" w:hAnsi="Arial" w:cs="Arial"/>
          <w:sz w:val="22"/>
          <w:szCs w:val="22"/>
          <w:lang w:val="en-IN"/>
        </w:rPr>
        <w:t>Azospirillum</w:t>
      </w:r>
      <w:proofErr w:type="spellEnd"/>
      <w:r w:rsidRPr="00E54B30">
        <w:rPr>
          <w:rFonts w:ascii="Arial" w:hAnsi="Arial" w:cs="Arial"/>
          <w:sz w:val="22"/>
          <w:szCs w:val="22"/>
          <w:lang w:val="en-IN"/>
        </w:rPr>
        <w:t xml:space="preserve">–plant relationships: physiological, molecular, agricultural and environmental advances. </w:t>
      </w:r>
      <w:r w:rsidRPr="00E54B30">
        <w:rPr>
          <w:rFonts w:ascii="Arial" w:hAnsi="Arial" w:cs="Arial"/>
          <w:i/>
          <w:iCs/>
          <w:sz w:val="22"/>
          <w:szCs w:val="22"/>
          <w:lang w:val="en-IN"/>
        </w:rPr>
        <w:t>Canadian Journal of Microbiology</w:t>
      </w:r>
      <w:r w:rsidRPr="00E54B30">
        <w:rPr>
          <w:rFonts w:ascii="Arial" w:hAnsi="Arial" w:cs="Arial"/>
          <w:sz w:val="22"/>
          <w:szCs w:val="22"/>
          <w:lang w:val="en-IN"/>
        </w:rPr>
        <w:t xml:space="preserve"> 50: 521–577.</w:t>
      </w:r>
    </w:p>
    <w:p w14:paraId="695B57E1"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 xml:space="preserve">Bhardwaj, D., Ansari, M.W., Sahoo, R.K. and Tuteja, N. (2014). Biofertilizers function as key players in sustainable agriculture by improving soil fertility, plant tolerance and crop productivity. </w:t>
      </w:r>
      <w:r w:rsidRPr="00E54B30">
        <w:rPr>
          <w:rFonts w:ascii="Arial" w:hAnsi="Arial" w:cs="Arial"/>
          <w:i/>
          <w:iCs/>
          <w:sz w:val="22"/>
          <w:szCs w:val="22"/>
          <w:lang w:val="en-IN"/>
        </w:rPr>
        <w:t>Microbial Cell Factories</w:t>
      </w:r>
      <w:r w:rsidRPr="00E54B30">
        <w:rPr>
          <w:rFonts w:ascii="Arial" w:hAnsi="Arial" w:cs="Arial"/>
          <w:sz w:val="22"/>
          <w:szCs w:val="22"/>
          <w:lang w:val="en-IN"/>
        </w:rPr>
        <w:t xml:space="preserve"> 13: 66.</w:t>
      </w:r>
    </w:p>
    <w:p w14:paraId="704731AB"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 xml:space="preserve">Bhattacharyya, P.N. and Jha, D.K. (2012). Plant growth-promoting rhizobacteria (PGPR): emergence in agriculture. </w:t>
      </w:r>
      <w:r w:rsidRPr="00E54B30">
        <w:rPr>
          <w:rFonts w:ascii="Arial" w:hAnsi="Arial" w:cs="Arial"/>
          <w:i/>
          <w:iCs/>
          <w:sz w:val="22"/>
          <w:szCs w:val="22"/>
          <w:lang w:val="en-IN"/>
        </w:rPr>
        <w:t>World Journal of Microbiology and Biotechnology</w:t>
      </w:r>
      <w:r w:rsidRPr="00E54B30">
        <w:rPr>
          <w:rFonts w:ascii="Arial" w:hAnsi="Arial" w:cs="Arial"/>
          <w:sz w:val="22"/>
          <w:szCs w:val="22"/>
          <w:lang w:val="en-IN"/>
        </w:rPr>
        <w:t xml:space="preserve"> 28(4): 1327–1350.</w:t>
      </w:r>
    </w:p>
    <w:p w14:paraId="764972A4"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 xml:space="preserve">Brand-Williams, W., Cuvelier, M.E. and Berset, C. (1995). Use of a free radical method to evaluate antioxidant activity. </w:t>
      </w:r>
      <w:r w:rsidRPr="00E54B30">
        <w:rPr>
          <w:rFonts w:ascii="Arial" w:hAnsi="Arial" w:cs="Arial"/>
          <w:i/>
          <w:iCs/>
          <w:sz w:val="22"/>
          <w:szCs w:val="22"/>
          <w:lang w:val="en-IN"/>
        </w:rPr>
        <w:t>LWT – Food Science and Technology</w:t>
      </w:r>
      <w:r w:rsidRPr="00E54B30">
        <w:rPr>
          <w:rFonts w:ascii="Arial" w:hAnsi="Arial" w:cs="Arial"/>
          <w:sz w:val="22"/>
          <w:szCs w:val="22"/>
          <w:lang w:val="en-IN"/>
        </w:rPr>
        <w:t xml:space="preserve"> 28: 25–30.</w:t>
      </w:r>
    </w:p>
    <w:p w14:paraId="7ABFF1CA"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 xml:space="preserve">Chandran, S., Kumar, R., Prakash, M. and Singh, A. (2020). Biofertilizer formulations for hydroponics: opportunities and limitations. </w:t>
      </w:r>
      <w:r w:rsidRPr="00E54B30">
        <w:rPr>
          <w:rFonts w:ascii="Arial" w:hAnsi="Arial" w:cs="Arial"/>
          <w:i/>
          <w:iCs/>
          <w:sz w:val="22"/>
          <w:szCs w:val="22"/>
          <w:lang w:val="en-IN"/>
        </w:rPr>
        <w:t>Agricultural Reviews</w:t>
      </w:r>
      <w:r w:rsidRPr="00E54B30">
        <w:rPr>
          <w:rFonts w:ascii="Arial" w:hAnsi="Arial" w:cs="Arial"/>
          <w:sz w:val="22"/>
          <w:szCs w:val="22"/>
          <w:lang w:val="en-IN"/>
        </w:rPr>
        <w:t xml:space="preserve"> 41(3): 200–207.</w:t>
      </w:r>
    </w:p>
    <w:p w14:paraId="30ABC819"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 xml:space="preserve">Chang, C.C., Yang, M.H., Wen, H.M. and Chern, J.C. (2002). Estimation of total flavonoid content in propolis by two complementary colorimetric methods. </w:t>
      </w:r>
      <w:r w:rsidRPr="00E54B30">
        <w:rPr>
          <w:rFonts w:ascii="Arial" w:hAnsi="Arial" w:cs="Arial"/>
          <w:i/>
          <w:iCs/>
          <w:sz w:val="22"/>
          <w:szCs w:val="22"/>
          <w:lang w:val="en-IN"/>
        </w:rPr>
        <w:t>Journal of Food and Drug Analysis</w:t>
      </w:r>
      <w:r w:rsidRPr="00E54B30">
        <w:rPr>
          <w:rFonts w:ascii="Arial" w:hAnsi="Arial" w:cs="Arial"/>
          <w:sz w:val="22"/>
          <w:szCs w:val="22"/>
          <w:lang w:val="en-IN"/>
        </w:rPr>
        <w:t xml:space="preserve"> 10: 178–182.</w:t>
      </w:r>
    </w:p>
    <w:p w14:paraId="49282858"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 xml:space="preserve">IRRI (2014). </w:t>
      </w:r>
      <w:r w:rsidRPr="00E54B30">
        <w:rPr>
          <w:rFonts w:ascii="Arial" w:hAnsi="Arial" w:cs="Arial"/>
          <w:i/>
          <w:iCs/>
          <w:sz w:val="22"/>
          <w:szCs w:val="22"/>
          <w:lang w:val="en-IN"/>
        </w:rPr>
        <w:t xml:space="preserve">Leaf </w:t>
      </w:r>
      <w:proofErr w:type="spellStart"/>
      <w:r w:rsidRPr="00E54B30">
        <w:rPr>
          <w:rFonts w:ascii="Arial" w:hAnsi="Arial" w:cs="Arial"/>
          <w:i/>
          <w:iCs/>
          <w:sz w:val="22"/>
          <w:szCs w:val="22"/>
          <w:lang w:val="en-IN"/>
        </w:rPr>
        <w:t>Color</w:t>
      </w:r>
      <w:proofErr w:type="spellEnd"/>
      <w:r w:rsidRPr="00E54B30">
        <w:rPr>
          <w:rFonts w:ascii="Arial" w:hAnsi="Arial" w:cs="Arial"/>
          <w:i/>
          <w:iCs/>
          <w:sz w:val="22"/>
          <w:szCs w:val="22"/>
          <w:lang w:val="en-IN"/>
        </w:rPr>
        <w:t xml:space="preserve"> Chart (LCC) guide</w:t>
      </w:r>
      <w:r w:rsidRPr="00E54B30">
        <w:rPr>
          <w:rFonts w:ascii="Arial" w:hAnsi="Arial" w:cs="Arial"/>
          <w:sz w:val="22"/>
          <w:szCs w:val="22"/>
          <w:lang w:val="en-IN"/>
        </w:rPr>
        <w:t>. International Rice Research Institute, Los Baños, Philippines.</w:t>
      </w:r>
    </w:p>
    <w:p w14:paraId="24A099D4"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 xml:space="preserve">ISTA (2015). </w:t>
      </w:r>
      <w:r w:rsidRPr="00E54B30">
        <w:rPr>
          <w:rFonts w:ascii="Arial" w:hAnsi="Arial" w:cs="Arial"/>
          <w:i/>
          <w:iCs/>
          <w:sz w:val="22"/>
          <w:szCs w:val="22"/>
          <w:lang w:val="en-IN"/>
        </w:rPr>
        <w:t>International rules for seed testing</w:t>
      </w:r>
      <w:r w:rsidRPr="00E54B30">
        <w:rPr>
          <w:rFonts w:ascii="Arial" w:hAnsi="Arial" w:cs="Arial"/>
          <w:sz w:val="22"/>
          <w:szCs w:val="22"/>
          <w:lang w:val="en-IN"/>
        </w:rPr>
        <w:t xml:space="preserve">. International Seed Testing Association, </w:t>
      </w:r>
      <w:proofErr w:type="spellStart"/>
      <w:r w:rsidRPr="00E54B30">
        <w:rPr>
          <w:rFonts w:ascii="Arial" w:hAnsi="Arial" w:cs="Arial"/>
          <w:sz w:val="22"/>
          <w:szCs w:val="22"/>
          <w:lang w:val="en-IN"/>
        </w:rPr>
        <w:t>Bassersdorf</w:t>
      </w:r>
      <w:proofErr w:type="spellEnd"/>
      <w:r w:rsidRPr="00E54B30">
        <w:rPr>
          <w:rFonts w:ascii="Arial" w:hAnsi="Arial" w:cs="Arial"/>
          <w:sz w:val="22"/>
          <w:szCs w:val="22"/>
          <w:lang w:val="en-IN"/>
        </w:rPr>
        <w:t>, Switzerland.</w:t>
      </w:r>
    </w:p>
    <w:p w14:paraId="403A1609"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 xml:space="preserve">Patel, P.K., Singh, A.K. and Singh, S.K. (2017). Growth and yield response of fenugreek to integrated nutrient management. </w:t>
      </w:r>
      <w:r w:rsidRPr="00E54B30">
        <w:rPr>
          <w:rFonts w:ascii="Arial" w:hAnsi="Arial" w:cs="Arial"/>
          <w:i/>
          <w:iCs/>
          <w:sz w:val="22"/>
          <w:szCs w:val="22"/>
          <w:lang w:val="en-IN"/>
        </w:rPr>
        <w:t>Journal of Spices and Aromatic Crops</w:t>
      </w:r>
      <w:r w:rsidRPr="00E54B30">
        <w:rPr>
          <w:rFonts w:ascii="Arial" w:hAnsi="Arial" w:cs="Arial"/>
          <w:sz w:val="22"/>
          <w:szCs w:val="22"/>
          <w:lang w:val="en-IN"/>
        </w:rPr>
        <w:t xml:space="preserve"> 26: 45–50.</w:t>
      </w:r>
    </w:p>
    <w:p w14:paraId="0F6C1DB5"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proofErr w:type="spellStart"/>
      <w:r w:rsidRPr="00E54B30">
        <w:rPr>
          <w:rFonts w:ascii="Arial" w:hAnsi="Arial" w:cs="Arial"/>
          <w:sz w:val="22"/>
          <w:szCs w:val="22"/>
          <w:lang w:val="en-IN"/>
        </w:rPr>
        <w:t>Pattnaik</w:t>
      </w:r>
      <w:proofErr w:type="spellEnd"/>
      <w:r w:rsidRPr="00E54B30">
        <w:rPr>
          <w:rFonts w:ascii="Arial" w:hAnsi="Arial" w:cs="Arial"/>
          <w:sz w:val="22"/>
          <w:szCs w:val="22"/>
          <w:lang w:val="en-IN"/>
        </w:rPr>
        <w:t xml:space="preserve">, S.S. and Mishra, H.N. (2018). Effect of biofertilizers on growth and yield of leafy vegetables. </w:t>
      </w:r>
      <w:r w:rsidRPr="00E54B30">
        <w:rPr>
          <w:rFonts w:ascii="Arial" w:hAnsi="Arial" w:cs="Arial"/>
          <w:i/>
          <w:iCs/>
          <w:sz w:val="22"/>
          <w:szCs w:val="22"/>
          <w:lang w:val="en-IN"/>
        </w:rPr>
        <w:t>International Journal of Current Microbiology and Applied Sciences</w:t>
      </w:r>
      <w:r w:rsidRPr="00E54B30">
        <w:rPr>
          <w:rFonts w:ascii="Arial" w:hAnsi="Arial" w:cs="Arial"/>
          <w:sz w:val="22"/>
          <w:szCs w:val="22"/>
          <w:lang w:val="en-IN"/>
        </w:rPr>
        <w:t xml:space="preserve"> 7: 2150–2158.</w:t>
      </w:r>
    </w:p>
    <w:p w14:paraId="41BC5257"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proofErr w:type="spellStart"/>
      <w:r w:rsidRPr="00E54B30">
        <w:rPr>
          <w:rFonts w:ascii="Arial" w:hAnsi="Arial" w:cs="Arial"/>
          <w:sz w:val="22"/>
          <w:szCs w:val="22"/>
          <w:lang w:val="en-IN"/>
        </w:rPr>
        <w:t>Ranganna</w:t>
      </w:r>
      <w:proofErr w:type="spellEnd"/>
      <w:r w:rsidRPr="00E54B30">
        <w:rPr>
          <w:rFonts w:ascii="Arial" w:hAnsi="Arial" w:cs="Arial"/>
          <w:sz w:val="22"/>
          <w:szCs w:val="22"/>
          <w:lang w:val="en-IN"/>
        </w:rPr>
        <w:t xml:space="preserve">, S. (1986). </w:t>
      </w:r>
      <w:r w:rsidRPr="00E54B30">
        <w:rPr>
          <w:rFonts w:ascii="Arial" w:hAnsi="Arial" w:cs="Arial"/>
          <w:i/>
          <w:iCs/>
          <w:sz w:val="22"/>
          <w:szCs w:val="22"/>
          <w:lang w:val="en-IN"/>
        </w:rPr>
        <w:t>Handbook of analysis and quality control for fruit and vegetable products</w:t>
      </w:r>
      <w:r w:rsidRPr="00E54B30">
        <w:rPr>
          <w:rFonts w:ascii="Arial" w:hAnsi="Arial" w:cs="Arial"/>
          <w:sz w:val="22"/>
          <w:szCs w:val="22"/>
          <w:lang w:val="en-IN"/>
        </w:rPr>
        <w:t>. Tata McGraw-Hill Publishing Company, New Delhi, India.</w:t>
      </w:r>
    </w:p>
    <w:p w14:paraId="70AFA62C"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 xml:space="preserve">Raviv, M. and Leith, J.H. (2008). </w:t>
      </w:r>
      <w:r w:rsidRPr="00E54B30">
        <w:rPr>
          <w:rFonts w:ascii="Arial" w:hAnsi="Arial" w:cs="Arial"/>
          <w:i/>
          <w:iCs/>
          <w:sz w:val="22"/>
          <w:szCs w:val="22"/>
          <w:lang w:val="en-IN"/>
        </w:rPr>
        <w:t>Soilless culture: theory and practice</w:t>
      </w:r>
      <w:r w:rsidRPr="00E54B30">
        <w:rPr>
          <w:rFonts w:ascii="Arial" w:hAnsi="Arial" w:cs="Arial"/>
          <w:sz w:val="22"/>
          <w:szCs w:val="22"/>
          <w:lang w:val="en-IN"/>
        </w:rPr>
        <w:t>. Elsevier, Amsterdam, The Netherlands.</w:t>
      </w:r>
    </w:p>
    <w:p w14:paraId="1D86ECA2"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 xml:space="preserve">Resh, H.M. (2013). </w:t>
      </w:r>
      <w:r w:rsidRPr="00E54B30">
        <w:rPr>
          <w:rFonts w:ascii="Arial" w:hAnsi="Arial" w:cs="Arial"/>
          <w:i/>
          <w:iCs/>
          <w:sz w:val="22"/>
          <w:szCs w:val="22"/>
          <w:lang w:val="en-IN"/>
        </w:rPr>
        <w:t>Hydroponic food production</w:t>
      </w:r>
      <w:r w:rsidRPr="00E54B30">
        <w:rPr>
          <w:rFonts w:ascii="Arial" w:hAnsi="Arial" w:cs="Arial"/>
          <w:sz w:val="22"/>
          <w:szCs w:val="22"/>
          <w:lang w:val="en-IN"/>
        </w:rPr>
        <w:t xml:space="preserve"> (7th ed.). CRC Press, Boca Raton, USA.</w:t>
      </w:r>
    </w:p>
    <w:p w14:paraId="5C30C610"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proofErr w:type="spellStart"/>
      <w:r w:rsidRPr="00E54B30">
        <w:rPr>
          <w:rFonts w:ascii="Arial" w:hAnsi="Arial" w:cs="Arial"/>
          <w:sz w:val="22"/>
          <w:szCs w:val="22"/>
          <w:lang w:val="en-IN"/>
        </w:rPr>
        <w:t>Rouphael</w:t>
      </w:r>
      <w:proofErr w:type="spellEnd"/>
      <w:r w:rsidRPr="00E54B30">
        <w:rPr>
          <w:rFonts w:ascii="Arial" w:hAnsi="Arial" w:cs="Arial"/>
          <w:sz w:val="22"/>
          <w:szCs w:val="22"/>
          <w:lang w:val="en-IN"/>
        </w:rPr>
        <w:t xml:space="preserve">, Y. and Colla, G. (2020). </w:t>
      </w:r>
      <w:proofErr w:type="spellStart"/>
      <w:r w:rsidRPr="00E54B30">
        <w:rPr>
          <w:rFonts w:ascii="Arial" w:hAnsi="Arial" w:cs="Arial"/>
          <w:sz w:val="22"/>
          <w:szCs w:val="22"/>
          <w:lang w:val="en-IN"/>
        </w:rPr>
        <w:t>Biostimulants</w:t>
      </w:r>
      <w:proofErr w:type="spellEnd"/>
      <w:r w:rsidRPr="00E54B30">
        <w:rPr>
          <w:rFonts w:ascii="Arial" w:hAnsi="Arial" w:cs="Arial"/>
          <w:sz w:val="22"/>
          <w:szCs w:val="22"/>
          <w:lang w:val="en-IN"/>
        </w:rPr>
        <w:t xml:space="preserve"> for sustainable agriculture: potential applications in vegetable production. </w:t>
      </w:r>
      <w:r w:rsidRPr="00E54B30">
        <w:rPr>
          <w:rFonts w:ascii="Arial" w:hAnsi="Arial" w:cs="Arial"/>
          <w:i/>
          <w:iCs/>
          <w:sz w:val="22"/>
          <w:szCs w:val="22"/>
          <w:lang w:val="en-IN"/>
        </w:rPr>
        <w:t>Agronomy</w:t>
      </w:r>
      <w:r w:rsidRPr="00E54B30">
        <w:rPr>
          <w:rFonts w:ascii="Arial" w:hAnsi="Arial" w:cs="Arial"/>
          <w:sz w:val="22"/>
          <w:szCs w:val="22"/>
          <w:lang w:val="en-IN"/>
        </w:rPr>
        <w:t xml:space="preserve"> 10(2): 147.</w:t>
      </w:r>
    </w:p>
    <w:p w14:paraId="562B2B07"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lastRenderedPageBreak/>
        <w:t xml:space="preserve">Saha, S., Gopinath, K.A., Mina, B.L. and Gupta, H.S. (2016). Microbial inoculants in agriculture and their role in plant growth promotion. </w:t>
      </w:r>
      <w:r w:rsidRPr="00E54B30">
        <w:rPr>
          <w:rFonts w:ascii="Arial" w:hAnsi="Arial" w:cs="Arial"/>
          <w:i/>
          <w:iCs/>
          <w:sz w:val="22"/>
          <w:szCs w:val="22"/>
          <w:lang w:val="en-IN"/>
        </w:rPr>
        <w:t>International Journal of Current Microbiology and Applied Sciences</w:t>
      </w:r>
      <w:r w:rsidRPr="00E54B30">
        <w:rPr>
          <w:rFonts w:ascii="Arial" w:hAnsi="Arial" w:cs="Arial"/>
          <w:sz w:val="22"/>
          <w:szCs w:val="22"/>
          <w:lang w:val="en-IN"/>
        </w:rPr>
        <w:t xml:space="preserve"> 5(6): 853–865.</w:t>
      </w:r>
    </w:p>
    <w:p w14:paraId="511E95DE"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 xml:space="preserve">Savvas, D. and Gruda, N. (2018). Application of soilless culture technologies in the modern greenhouse industry. </w:t>
      </w:r>
      <w:r w:rsidRPr="00E54B30">
        <w:rPr>
          <w:rFonts w:ascii="Arial" w:hAnsi="Arial" w:cs="Arial"/>
          <w:i/>
          <w:iCs/>
          <w:sz w:val="22"/>
          <w:szCs w:val="22"/>
          <w:lang w:val="en-IN"/>
        </w:rPr>
        <w:t>European Journal of Horticultural Science</w:t>
      </w:r>
      <w:r w:rsidRPr="00E54B30">
        <w:rPr>
          <w:rFonts w:ascii="Arial" w:hAnsi="Arial" w:cs="Arial"/>
          <w:sz w:val="22"/>
          <w:szCs w:val="22"/>
          <w:lang w:val="en-IN"/>
        </w:rPr>
        <w:t xml:space="preserve"> 83(5): 280–293.</w:t>
      </w:r>
    </w:p>
    <w:p w14:paraId="1D6835D3"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 xml:space="preserve">Singh, R., Kumar, S. and Yadav, R.K. (2021). Influence of biofertilizers on growth, yield and quality of leafy vegetables under protected cultivation. </w:t>
      </w:r>
      <w:r w:rsidRPr="00E54B30">
        <w:rPr>
          <w:rFonts w:ascii="Arial" w:hAnsi="Arial" w:cs="Arial"/>
          <w:i/>
          <w:iCs/>
          <w:sz w:val="22"/>
          <w:szCs w:val="22"/>
          <w:lang w:val="en-IN"/>
        </w:rPr>
        <w:t>Journal of Plant Nutrition</w:t>
      </w:r>
      <w:r w:rsidRPr="00E54B30">
        <w:rPr>
          <w:rFonts w:ascii="Arial" w:hAnsi="Arial" w:cs="Arial"/>
          <w:sz w:val="22"/>
          <w:szCs w:val="22"/>
          <w:lang w:val="en-IN"/>
        </w:rPr>
        <w:t xml:space="preserve"> 44: 1896–1907.</w:t>
      </w:r>
    </w:p>
    <w:p w14:paraId="41E5A0C4"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Singleton, V.L. and Rossi, J.A. (1965). Colorimetry of total phenolics with phosphomolybdic–</w:t>
      </w:r>
      <w:proofErr w:type="spellStart"/>
      <w:r w:rsidRPr="00E54B30">
        <w:rPr>
          <w:rFonts w:ascii="Arial" w:hAnsi="Arial" w:cs="Arial"/>
          <w:sz w:val="22"/>
          <w:szCs w:val="22"/>
          <w:lang w:val="en-IN"/>
        </w:rPr>
        <w:t>phosphotungstic</w:t>
      </w:r>
      <w:proofErr w:type="spellEnd"/>
      <w:r w:rsidRPr="00E54B30">
        <w:rPr>
          <w:rFonts w:ascii="Arial" w:hAnsi="Arial" w:cs="Arial"/>
          <w:sz w:val="22"/>
          <w:szCs w:val="22"/>
          <w:lang w:val="en-IN"/>
        </w:rPr>
        <w:t xml:space="preserve"> acid reagents. </w:t>
      </w:r>
      <w:r w:rsidRPr="00E54B30">
        <w:rPr>
          <w:rFonts w:ascii="Arial" w:hAnsi="Arial" w:cs="Arial"/>
          <w:i/>
          <w:iCs/>
          <w:sz w:val="22"/>
          <w:szCs w:val="22"/>
          <w:lang w:val="en-IN"/>
        </w:rPr>
        <w:t xml:space="preserve">American Journal of </w:t>
      </w:r>
      <w:proofErr w:type="spellStart"/>
      <w:r w:rsidRPr="00E54B30">
        <w:rPr>
          <w:rFonts w:ascii="Arial" w:hAnsi="Arial" w:cs="Arial"/>
          <w:i/>
          <w:iCs/>
          <w:sz w:val="22"/>
          <w:szCs w:val="22"/>
          <w:lang w:val="en-IN"/>
        </w:rPr>
        <w:t>Enology</w:t>
      </w:r>
      <w:proofErr w:type="spellEnd"/>
      <w:r w:rsidRPr="00E54B30">
        <w:rPr>
          <w:rFonts w:ascii="Arial" w:hAnsi="Arial" w:cs="Arial"/>
          <w:i/>
          <w:iCs/>
          <w:sz w:val="22"/>
          <w:szCs w:val="22"/>
          <w:lang w:val="en-IN"/>
        </w:rPr>
        <w:t xml:space="preserve"> and Viticulture</w:t>
      </w:r>
      <w:r w:rsidRPr="00E54B30">
        <w:rPr>
          <w:rFonts w:ascii="Arial" w:hAnsi="Arial" w:cs="Arial"/>
          <w:sz w:val="22"/>
          <w:szCs w:val="22"/>
          <w:lang w:val="en-IN"/>
        </w:rPr>
        <w:t xml:space="preserve"> 16: 144–158.</w:t>
      </w:r>
    </w:p>
    <w:p w14:paraId="21555320"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 xml:space="preserve">Vessey, J.K. (2003). Plant growth promoting rhizobacteria as biofertilizers. </w:t>
      </w:r>
      <w:r w:rsidRPr="00E54B30">
        <w:rPr>
          <w:rFonts w:ascii="Arial" w:hAnsi="Arial" w:cs="Arial"/>
          <w:i/>
          <w:iCs/>
          <w:sz w:val="22"/>
          <w:szCs w:val="22"/>
          <w:lang w:val="en-IN"/>
        </w:rPr>
        <w:t>Plant and Soil</w:t>
      </w:r>
      <w:r w:rsidRPr="00E54B30">
        <w:rPr>
          <w:rFonts w:ascii="Arial" w:hAnsi="Arial" w:cs="Arial"/>
          <w:sz w:val="22"/>
          <w:szCs w:val="22"/>
          <w:lang w:val="en-IN"/>
        </w:rPr>
        <w:t xml:space="preserve"> 255(2): 571–586.</w:t>
      </w:r>
    </w:p>
    <w:p w14:paraId="6162B6E2" w14:textId="77777777" w:rsidR="00623214" w:rsidRPr="00E54B30" w:rsidRDefault="00623214" w:rsidP="00E54B30">
      <w:pPr>
        <w:pStyle w:val="ListParagraph"/>
        <w:numPr>
          <w:ilvl w:val="0"/>
          <w:numId w:val="35"/>
        </w:numPr>
        <w:spacing w:after="160" w:line="276" w:lineRule="auto"/>
        <w:jc w:val="both"/>
        <w:rPr>
          <w:rFonts w:ascii="Arial" w:hAnsi="Arial" w:cs="Arial"/>
          <w:sz w:val="22"/>
          <w:szCs w:val="22"/>
          <w:lang w:val="en-IN"/>
        </w:rPr>
      </w:pPr>
      <w:r w:rsidRPr="00E54B30">
        <w:rPr>
          <w:rFonts w:ascii="Arial" w:hAnsi="Arial" w:cs="Arial"/>
          <w:sz w:val="22"/>
          <w:szCs w:val="22"/>
          <w:lang w:val="en-IN"/>
        </w:rPr>
        <w:t>Yaseen, R., Ahmed, A. and Qadir, G. (2014). Role of</w:t>
      </w:r>
      <w:bookmarkStart w:id="2" w:name="_GoBack"/>
      <w:bookmarkEnd w:id="2"/>
      <w:r w:rsidRPr="00E54B30">
        <w:rPr>
          <w:rFonts w:ascii="Arial" w:hAnsi="Arial" w:cs="Arial"/>
          <w:sz w:val="22"/>
          <w:szCs w:val="22"/>
          <w:lang w:val="en-IN"/>
        </w:rPr>
        <w:t xml:space="preserve"> biofertilizers in hydroponic systems: a review. </w:t>
      </w:r>
      <w:r w:rsidRPr="00E54B30">
        <w:rPr>
          <w:rFonts w:ascii="Arial" w:hAnsi="Arial" w:cs="Arial"/>
          <w:i/>
          <w:iCs/>
          <w:sz w:val="22"/>
          <w:szCs w:val="22"/>
          <w:lang w:val="en-IN"/>
        </w:rPr>
        <w:t>African Journal of Agricultural Research</w:t>
      </w:r>
      <w:r w:rsidRPr="00E54B30">
        <w:rPr>
          <w:rFonts w:ascii="Arial" w:hAnsi="Arial" w:cs="Arial"/>
          <w:sz w:val="22"/>
          <w:szCs w:val="22"/>
          <w:lang w:val="en-IN"/>
        </w:rPr>
        <w:t xml:space="preserve"> 9: 260–268.</w:t>
      </w:r>
    </w:p>
    <w:p w14:paraId="0B6A0F42" w14:textId="2F40CF23" w:rsidR="00284C4C" w:rsidRDefault="00B50CCA" w:rsidP="00E54B30">
      <w:pPr>
        <w:pStyle w:val="Body"/>
        <w:numPr>
          <w:ilvl w:val="0"/>
          <w:numId w:val="35"/>
        </w:numPr>
        <w:spacing w:after="0"/>
        <w:rPr>
          <w:rFonts w:ascii="Arial" w:hAnsi="Arial" w:cs="Arial"/>
          <w:color w:val="222222"/>
          <w:highlight w:val="yellow"/>
          <w:shd w:val="clear" w:color="auto" w:fill="FFFFFF"/>
        </w:rPr>
      </w:pPr>
      <w:r w:rsidRPr="007F6F10">
        <w:rPr>
          <w:rFonts w:ascii="Arial" w:hAnsi="Arial" w:cs="Arial"/>
          <w:color w:val="222222"/>
          <w:highlight w:val="yellow"/>
          <w:shd w:val="clear" w:color="auto" w:fill="FFFFFF"/>
        </w:rPr>
        <w:t xml:space="preserve">Kavitha, R., Haripriya, B., </w:t>
      </w:r>
      <w:proofErr w:type="spellStart"/>
      <w:r w:rsidRPr="007F6F10">
        <w:rPr>
          <w:rFonts w:ascii="Arial" w:hAnsi="Arial" w:cs="Arial"/>
          <w:color w:val="222222"/>
          <w:highlight w:val="yellow"/>
          <w:shd w:val="clear" w:color="auto" w:fill="FFFFFF"/>
        </w:rPr>
        <w:t>Anugraga</w:t>
      </w:r>
      <w:proofErr w:type="spellEnd"/>
      <w:r w:rsidRPr="007F6F10">
        <w:rPr>
          <w:rFonts w:ascii="Arial" w:hAnsi="Arial" w:cs="Arial"/>
          <w:color w:val="222222"/>
          <w:highlight w:val="yellow"/>
          <w:shd w:val="clear" w:color="auto" w:fill="FFFFFF"/>
        </w:rPr>
        <w:t>, V. F., Janani, K., Ovia, A. A., &amp; Janani, P. (2024). Comparative analysis of growth and biochemical parameters of selected plants in hydroponics and soil system. </w:t>
      </w:r>
      <w:r w:rsidRPr="007F6F10">
        <w:rPr>
          <w:rFonts w:ascii="Arial" w:hAnsi="Arial" w:cs="Arial"/>
          <w:i/>
          <w:iCs/>
          <w:color w:val="222222"/>
          <w:highlight w:val="yellow"/>
          <w:shd w:val="clear" w:color="auto" w:fill="FFFFFF"/>
        </w:rPr>
        <w:t>Research Journal of Agricultural Science</w:t>
      </w:r>
      <w:r w:rsidRPr="007F6F10">
        <w:rPr>
          <w:rFonts w:ascii="Arial" w:hAnsi="Arial" w:cs="Arial"/>
          <w:color w:val="222222"/>
          <w:highlight w:val="yellow"/>
          <w:shd w:val="clear" w:color="auto" w:fill="FFFFFF"/>
        </w:rPr>
        <w:t>, </w:t>
      </w:r>
      <w:r w:rsidRPr="007F6F10">
        <w:rPr>
          <w:rFonts w:ascii="Arial" w:hAnsi="Arial" w:cs="Arial"/>
          <w:i/>
          <w:iCs/>
          <w:color w:val="222222"/>
          <w:highlight w:val="yellow"/>
          <w:shd w:val="clear" w:color="auto" w:fill="FFFFFF"/>
        </w:rPr>
        <w:t>15</w:t>
      </w:r>
      <w:r w:rsidRPr="007F6F10">
        <w:rPr>
          <w:rFonts w:ascii="Arial" w:hAnsi="Arial" w:cs="Arial"/>
          <w:color w:val="222222"/>
          <w:highlight w:val="yellow"/>
          <w:shd w:val="clear" w:color="auto" w:fill="FFFFFF"/>
        </w:rPr>
        <w:t>(2), 525-530.</w:t>
      </w:r>
    </w:p>
    <w:p w14:paraId="645748EE" w14:textId="47458DBF" w:rsidR="00A911A0" w:rsidRPr="00623214" w:rsidRDefault="00A911A0" w:rsidP="00E54B30">
      <w:pPr>
        <w:pStyle w:val="Body"/>
        <w:numPr>
          <w:ilvl w:val="0"/>
          <w:numId w:val="35"/>
        </w:numPr>
        <w:spacing w:after="0"/>
        <w:rPr>
          <w:i/>
          <w:u w:val="single"/>
        </w:rPr>
      </w:pPr>
      <w:r w:rsidRPr="007F6F10">
        <w:rPr>
          <w:rFonts w:ascii="Arial" w:hAnsi="Arial" w:cs="Arial"/>
          <w:color w:val="222222"/>
          <w:highlight w:val="yellow"/>
          <w:shd w:val="clear" w:color="auto" w:fill="FFFFFF"/>
        </w:rPr>
        <w:t>Husain, N., Nair, R., Verma, B. K., &amp; Yadav, B. (2022). Growth, yield and economics of fenugreek (</w:t>
      </w:r>
      <w:proofErr w:type="spellStart"/>
      <w:r w:rsidRPr="007F6F10">
        <w:rPr>
          <w:rFonts w:ascii="Arial" w:hAnsi="Arial" w:cs="Arial"/>
          <w:color w:val="222222"/>
          <w:highlight w:val="yellow"/>
          <w:shd w:val="clear" w:color="auto" w:fill="FFFFFF"/>
        </w:rPr>
        <w:t>Trigonella</w:t>
      </w:r>
      <w:proofErr w:type="spellEnd"/>
      <w:r w:rsidRPr="007F6F10">
        <w:rPr>
          <w:rFonts w:ascii="Arial" w:hAnsi="Arial" w:cs="Arial"/>
          <w:color w:val="222222"/>
          <w:highlight w:val="yellow"/>
          <w:shd w:val="clear" w:color="auto" w:fill="FFFFFF"/>
        </w:rPr>
        <w:t xml:space="preserve"> </w:t>
      </w:r>
      <w:proofErr w:type="spellStart"/>
      <w:r w:rsidRPr="007F6F10">
        <w:rPr>
          <w:rFonts w:ascii="Arial" w:hAnsi="Arial" w:cs="Arial"/>
          <w:color w:val="222222"/>
          <w:highlight w:val="yellow"/>
          <w:shd w:val="clear" w:color="auto" w:fill="FFFFFF"/>
        </w:rPr>
        <w:t>foenum</w:t>
      </w:r>
      <w:proofErr w:type="spellEnd"/>
      <w:r w:rsidRPr="007F6F10">
        <w:rPr>
          <w:rFonts w:ascii="Arial" w:hAnsi="Arial" w:cs="Arial"/>
          <w:color w:val="222222"/>
          <w:highlight w:val="yellow"/>
          <w:shd w:val="clear" w:color="auto" w:fill="FFFFFF"/>
        </w:rPr>
        <w:t>-graecum L.) as influenced by inorganic fertilizers and bio-inoculant (Rhizobium, PSB and KSB). In </w:t>
      </w:r>
      <w:r w:rsidRPr="007F6F10">
        <w:rPr>
          <w:rFonts w:ascii="Arial" w:hAnsi="Arial" w:cs="Arial"/>
          <w:i/>
          <w:iCs/>
          <w:color w:val="222222"/>
          <w:highlight w:val="yellow"/>
          <w:shd w:val="clear" w:color="auto" w:fill="FFFFFF"/>
        </w:rPr>
        <w:t>Biological Forum–An International Journal</w:t>
      </w:r>
      <w:r w:rsidRPr="007F6F10">
        <w:rPr>
          <w:rFonts w:ascii="Arial" w:hAnsi="Arial" w:cs="Arial"/>
          <w:color w:val="222222"/>
          <w:highlight w:val="yellow"/>
          <w:shd w:val="clear" w:color="auto" w:fill="FFFFFF"/>
        </w:rPr>
        <w:t> (Vol. 14, No. 2, pp. 80-83).</w:t>
      </w:r>
    </w:p>
    <w:sectPr w:rsidR="00A911A0" w:rsidRPr="00623214" w:rsidSect="00BA3FA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FC429" w14:textId="77777777" w:rsidR="00FF44FB" w:rsidRDefault="00FF44FB" w:rsidP="00C37E61">
      <w:r>
        <w:separator/>
      </w:r>
    </w:p>
  </w:endnote>
  <w:endnote w:type="continuationSeparator" w:id="0">
    <w:p w14:paraId="49003AA6" w14:textId="77777777" w:rsidR="00FF44FB" w:rsidRDefault="00FF44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13A93" w14:textId="77777777" w:rsidR="005778FF" w:rsidRDefault="00577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8374" w14:textId="77777777" w:rsidR="005778FF" w:rsidRDefault="00577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912E" w14:textId="77777777" w:rsidR="009E048A" w:rsidRDefault="009E048A">
    <w:pPr>
      <w:pStyle w:val="Footer"/>
      <w:rPr>
        <w:rFonts w:ascii="Arial" w:hAnsi="Arial" w:cs="Arial"/>
        <w:sz w:val="16"/>
      </w:rPr>
    </w:pPr>
  </w:p>
  <w:p w14:paraId="77D06E7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22AECDB" w14:textId="77777777" w:rsidR="009E048A" w:rsidRDefault="009E048A">
    <w:pPr>
      <w:pStyle w:val="Footer"/>
      <w:rPr>
        <w:rFonts w:ascii="Arial" w:hAnsi="Arial" w:cs="Arial"/>
        <w:sz w:val="16"/>
      </w:rPr>
    </w:pPr>
  </w:p>
  <w:p w14:paraId="13CD3965" w14:textId="5E9A9B63"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FAF42" w14:textId="77777777" w:rsidR="00FF44FB" w:rsidRDefault="00FF44FB" w:rsidP="00C37E61">
      <w:r>
        <w:separator/>
      </w:r>
    </w:p>
  </w:footnote>
  <w:footnote w:type="continuationSeparator" w:id="0">
    <w:p w14:paraId="46B2FEAA" w14:textId="77777777" w:rsidR="00FF44FB" w:rsidRDefault="00FF44F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E35CC" w14:textId="0F3917D0" w:rsidR="005778FF" w:rsidRDefault="00FF44FB">
    <w:pPr>
      <w:pStyle w:val="Header"/>
    </w:pPr>
    <w:r>
      <w:rPr>
        <w:noProof/>
      </w:rPr>
      <w:pict w14:anchorId="3226A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99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B3CF" w14:textId="58C1B1EA" w:rsidR="005778FF" w:rsidRDefault="00FF44FB">
    <w:pPr>
      <w:pStyle w:val="Header"/>
    </w:pPr>
    <w:r>
      <w:rPr>
        <w:noProof/>
      </w:rPr>
      <w:pict w14:anchorId="5A250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99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A79B" w14:textId="7E48D9F4" w:rsidR="00296529" w:rsidRPr="00296529" w:rsidRDefault="00FF44FB" w:rsidP="00296529">
    <w:pPr>
      <w:ind w:left="2160"/>
      <w:jc w:val="center"/>
      <w:rPr>
        <w:rFonts w:ascii="Times New Roman" w:eastAsia="Calibri" w:hAnsi="Times New Roman"/>
        <w:i/>
        <w:sz w:val="18"/>
        <w:szCs w:val="22"/>
      </w:rPr>
    </w:pPr>
    <w:r>
      <w:rPr>
        <w:noProof/>
      </w:rPr>
      <w:pict w14:anchorId="77151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99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02B38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AAE5A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D392A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AE181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DE004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BD247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160E0D"/>
    <w:multiLevelType w:val="hybridMultilevel"/>
    <w:tmpl w:val="5DAE5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FA87BE7"/>
    <w:multiLevelType w:val="multilevel"/>
    <w:tmpl w:val="4CCE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FB257BA"/>
    <w:multiLevelType w:val="hybridMultilevel"/>
    <w:tmpl w:val="9EE2DC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11629B8"/>
    <w:multiLevelType w:val="hybridMultilevel"/>
    <w:tmpl w:val="7868BC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E2F1754"/>
    <w:multiLevelType w:val="multilevel"/>
    <w:tmpl w:val="321E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21"/>
  </w:num>
  <w:num w:numId="27">
    <w:abstractNumId w:val="25"/>
  </w:num>
  <w:num w:numId="28">
    <w:abstractNumId w:val="32"/>
  </w:num>
  <w:num w:numId="29">
    <w:abstractNumId w:val="29"/>
  </w:num>
  <w:num w:numId="30">
    <w:abstractNumId w:val="11"/>
  </w:num>
  <w:num w:numId="31">
    <w:abstractNumId w:val="20"/>
  </w:num>
  <w:num w:numId="32">
    <w:abstractNumId w:val="17"/>
  </w:num>
  <w:num w:numId="33">
    <w:abstractNumId w:val="18"/>
  </w:num>
  <w:num w:numId="34">
    <w:abstractNumId w:val="15"/>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2tTCyMDc3MjI2N7JU0lEKTi0uzszPAykwrAUABE2gbCwAAAA="/>
  </w:docVars>
  <w:rsids>
    <w:rsidRoot w:val="00AA6219"/>
    <w:rsid w:val="00000F8F"/>
    <w:rsid w:val="00013B2E"/>
    <w:rsid w:val="00030174"/>
    <w:rsid w:val="0004579C"/>
    <w:rsid w:val="00050761"/>
    <w:rsid w:val="000A47FA"/>
    <w:rsid w:val="000A65D3"/>
    <w:rsid w:val="000B1E33"/>
    <w:rsid w:val="000D689F"/>
    <w:rsid w:val="000E4ED1"/>
    <w:rsid w:val="000E7B7B"/>
    <w:rsid w:val="000E7D62"/>
    <w:rsid w:val="00103357"/>
    <w:rsid w:val="001227F9"/>
    <w:rsid w:val="00123C9F"/>
    <w:rsid w:val="00126190"/>
    <w:rsid w:val="00130F17"/>
    <w:rsid w:val="001320BF"/>
    <w:rsid w:val="00163BC4"/>
    <w:rsid w:val="00191062"/>
    <w:rsid w:val="00192B72"/>
    <w:rsid w:val="001A29D8"/>
    <w:rsid w:val="001A5CAA"/>
    <w:rsid w:val="001B0427"/>
    <w:rsid w:val="001B17D0"/>
    <w:rsid w:val="001D3A51"/>
    <w:rsid w:val="001E10D2"/>
    <w:rsid w:val="001E25B4"/>
    <w:rsid w:val="001E44FE"/>
    <w:rsid w:val="001E783C"/>
    <w:rsid w:val="00200595"/>
    <w:rsid w:val="00204835"/>
    <w:rsid w:val="00206D2A"/>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1922"/>
    <w:rsid w:val="002F570C"/>
    <w:rsid w:val="00315186"/>
    <w:rsid w:val="0033343E"/>
    <w:rsid w:val="003512C2"/>
    <w:rsid w:val="00371FB6"/>
    <w:rsid w:val="003763C1"/>
    <w:rsid w:val="00376BBE"/>
    <w:rsid w:val="00377644"/>
    <w:rsid w:val="0039224F"/>
    <w:rsid w:val="003A43A4"/>
    <w:rsid w:val="003A7E18"/>
    <w:rsid w:val="003C4C86"/>
    <w:rsid w:val="003C6258"/>
    <w:rsid w:val="003C7A01"/>
    <w:rsid w:val="003E2904"/>
    <w:rsid w:val="00401927"/>
    <w:rsid w:val="0041027F"/>
    <w:rsid w:val="00412475"/>
    <w:rsid w:val="00423789"/>
    <w:rsid w:val="00440F43"/>
    <w:rsid w:val="00441B6F"/>
    <w:rsid w:val="00446221"/>
    <w:rsid w:val="00450E62"/>
    <w:rsid w:val="004539DB"/>
    <w:rsid w:val="00470AA1"/>
    <w:rsid w:val="00471A80"/>
    <w:rsid w:val="00482F3A"/>
    <w:rsid w:val="004957B2"/>
    <w:rsid w:val="004A4AD3"/>
    <w:rsid w:val="004B4A66"/>
    <w:rsid w:val="004D305E"/>
    <w:rsid w:val="004D4277"/>
    <w:rsid w:val="00502516"/>
    <w:rsid w:val="00505F06"/>
    <w:rsid w:val="00506828"/>
    <w:rsid w:val="0053056E"/>
    <w:rsid w:val="00554FDA"/>
    <w:rsid w:val="00575626"/>
    <w:rsid w:val="005778FF"/>
    <w:rsid w:val="005C784C"/>
    <w:rsid w:val="005D17F6"/>
    <w:rsid w:val="005D79D5"/>
    <w:rsid w:val="005E5539"/>
    <w:rsid w:val="00602BF5"/>
    <w:rsid w:val="00617FDD"/>
    <w:rsid w:val="00623214"/>
    <w:rsid w:val="00633614"/>
    <w:rsid w:val="00633F68"/>
    <w:rsid w:val="00636EB2"/>
    <w:rsid w:val="006375B8"/>
    <w:rsid w:val="00664ADF"/>
    <w:rsid w:val="0066510A"/>
    <w:rsid w:val="00673F9F"/>
    <w:rsid w:val="00676F28"/>
    <w:rsid w:val="00686953"/>
    <w:rsid w:val="00687DEA"/>
    <w:rsid w:val="00687E67"/>
    <w:rsid w:val="006967F7"/>
    <w:rsid w:val="006A250C"/>
    <w:rsid w:val="006B21D3"/>
    <w:rsid w:val="006B57D0"/>
    <w:rsid w:val="006D30FF"/>
    <w:rsid w:val="006D6940"/>
    <w:rsid w:val="006F11EC"/>
    <w:rsid w:val="006F51A6"/>
    <w:rsid w:val="006F6B1C"/>
    <w:rsid w:val="0070082C"/>
    <w:rsid w:val="007369E6"/>
    <w:rsid w:val="00746E59"/>
    <w:rsid w:val="00754C9A"/>
    <w:rsid w:val="0075599A"/>
    <w:rsid w:val="00761D52"/>
    <w:rsid w:val="00775DEF"/>
    <w:rsid w:val="0077749E"/>
    <w:rsid w:val="00790ADA"/>
    <w:rsid w:val="007D2288"/>
    <w:rsid w:val="007E01AA"/>
    <w:rsid w:val="007E088F"/>
    <w:rsid w:val="007F6F10"/>
    <w:rsid w:val="007F7B32"/>
    <w:rsid w:val="00804BC2"/>
    <w:rsid w:val="0081431A"/>
    <w:rsid w:val="0083216F"/>
    <w:rsid w:val="00860000"/>
    <w:rsid w:val="00863BD3"/>
    <w:rsid w:val="008640D1"/>
    <w:rsid w:val="008641ED"/>
    <w:rsid w:val="00866D66"/>
    <w:rsid w:val="008671C6"/>
    <w:rsid w:val="00875803"/>
    <w:rsid w:val="008B459E"/>
    <w:rsid w:val="008E13AE"/>
    <w:rsid w:val="008E1506"/>
    <w:rsid w:val="008E31DC"/>
    <w:rsid w:val="008E710C"/>
    <w:rsid w:val="008F69D6"/>
    <w:rsid w:val="00902823"/>
    <w:rsid w:val="00903DD0"/>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70C5"/>
    <w:rsid w:val="00A24E7E"/>
    <w:rsid w:val="00A258C3"/>
    <w:rsid w:val="00A347C0"/>
    <w:rsid w:val="00A51431"/>
    <w:rsid w:val="00A539AD"/>
    <w:rsid w:val="00A57CDF"/>
    <w:rsid w:val="00A911A0"/>
    <w:rsid w:val="00A94063"/>
    <w:rsid w:val="00AA6219"/>
    <w:rsid w:val="00AA74E0"/>
    <w:rsid w:val="00AB5043"/>
    <w:rsid w:val="00AB703F"/>
    <w:rsid w:val="00AC6BB8"/>
    <w:rsid w:val="00AD3A78"/>
    <w:rsid w:val="00AE008F"/>
    <w:rsid w:val="00B01FCD"/>
    <w:rsid w:val="00B1776C"/>
    <w:rsid w:val="00B20F65"/>
    <w:rsid w:val="00B50CCA"/>
    <w:rsid w:val="00B52583"/>
    <w:rsid w:val="00B52896"/>
    <w:rsid w:val="00B95236"/>
    <w:rsid w:val="00B96BD9"/>
    <w:rsid w:val="00B97A92"/>
    <w:rsid w:val="00BA1B01"/>
    <w:rsid w:val="00BA2641"/>
    <w:rsid w:val="00BA3FA0"/>
    <w:rsid w:val="00BB37AA"/>
    <w:rsid w:val="00BC53A0"/>
    <w:rsid w:val="00BC54E1"/>
    <w:rsid w:val="00BD2F6D"/>
    <w:rsid w:val="00BE62AD"/>
    <w:rsid w:val="00BE744D"/>
    <w:rsid w:val="00BF121F"/>
    <w:rsid w:val="00BF1F80"/>
    <w:rsid w:val="00C166EF"/>
    <w:rsid w:val="00C17EB0"/>
    <w:rsid w:val="00C25459"/>
    <w:rsid w:val="00C27F5F"/>
    <w:rsid w:val="00C30A0F"/>
    <w:rsid w:val="00C37E61"/>
    <w:rsid w:val="00C70F1B"/>
    <w:rsid w:val="00C71A47"/>
    <w:rsid w:val="00C7464C"/>
    <w:rsid w:val="00C85588"/>
    <w:rsid w:val="00C86D9D"/>
    <w:rsid w:val="00CA160A"/>
    <w:rsid w:val="00CD56FE"/>
    <w:rsid w:val="00CD6755"/>
    <w:rsid w:val="00CD6856"/>
    <w:rsid w:val="00CE0089"/>
    <w:rsid w:val="00CE793C"/>
    <w:rsid w:val="00CF193C"/>
    <w:rsid w:val="00CF654A"/>
    <w:rsid w:val="00D07466"/>
    <w:rsid w:val="00D173F1"/>
    <w:rsid w:val="00D26E0A"/>
    <w:rsid w:val="00D74CB0"/>
    <w:rsid w:val="00D8295D"/>
    <w:rsid w:val="00D926C1"/>
    <w:rsid w:val="00DC2A65"/>
    <w:rsid w:val="00DE15F0"/>
    <w:rsid w:val="00DE5663"/>
    <w:rsid w:val="00DE78AA"/>
    <w:rsid w:val="00E053D0"/>
    <w:rsid w:val="00E15994"/>
    <w:rsid w:val="00E3114E"/>
    <w:rsid w:val="00E31A70"/>
    <w:rsid w:val="00E35B02"/>
    <w:rsid w:val="00E54B30"/>
    <w:rsid w:val="00E66496"/>
    <w:rsid w:val="00E66B35"/>
    <w:rsid w:val="00E66E10"/>
    <w:rsid w:val="00E769F6"/>
    <w:rsid w:val="00E8407C"/>
    <w:rsid w:val="00E84F3C"/>
    <w:rsid w:val="00E95957"/>
    <w:rsid w:val="00EA012C"/>
    <w:rsid w:val="00EB2397"/>
    <w:rsid w:val="00EC4515"/>
    <w:rsid w:val="00EC6A55"/>
    <w:rsid w:val="00ED0288"/>
    <w:rsid w:val="00EE52CB"/>
    <w:rsid w:val="00EF581D"/>
    <w:rsid w:val="00EF5875"/>
    <w:rsid w:val="00EF7FD8"/>
    <w:rsid w:val="00F06F59"/>
    <w:rsid w:val="00F17988"/>
    <w:rsid w:val="00F469F0"/>
    <w:rsid w:val="00F53273"/>
    <w:rsid w:val="00F55647"/>
    <w:rsid w:val="00F755E4"/>
    <w:rsid w:val="00F77D02"/>
    <w:rsid w:val="00F87FFE"/>
    <w:rsid w:val="00FB3A86"/>
    <w:rsid w:val="00FD36C8"/>
    <w:rsid w:val="00FF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1E22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A4A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640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8640D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4A4AD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377644"/>
    <w:pPr>
      <w:ind w:left="720"/>
      <w:contextualSpacing/>
    </w:pPr>
  </w:style>
  <w:style w:type="paragraph" w:styleId="NormalWeb">
    <w:name w:val="Normal (Web)"/>
    <w:basedOn w:val="Normal"/>
    <w:uiPriority w:val="99"/>
    <w:semiHidden/>
    <w:unhideWhenUsed/>
    <w:rsid w:val="00623214"/>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623214"/>
    <w:rPr>
      <w:b/>
      <w:bCs/>
    </w:rPr>
  </w:style>
  <w:style w:type="character" w:customStyle="1" w:styleId="whitespace-normal">
    <w:name w:val="whitespace-normal"/>
    <w:basedOn w:val="DefaultParagraphFont"/>
    <w:rsid w:val="00623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FA6BE-B2B5-42BD-B5FD-4F9D57954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TotalTime>
  <Pages>8</Pages>
  <Words>3334</Words>
  <Characters>19007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22297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48</cp:revision>
  <cp:lastPrinted>1999-07-06T11:00:00Z</cp:lastPrinted>
  <dcterms:created xsi:type="dcterms:W3CDTF">2026-02-20T17:06:00Z</dcterms:created>
  <dcterms:modified xsi:type="dcterms:W3CDTF">2026-03-09T07:09:00Z</dcterms:modified>
</cp:coreProperties>
</file>