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pStyle w:val="Heading1"/>
        <w:jc w:val="left"/>
        <w:rPr/>
      </w:pPr>
      <w:bookmarkStart w:colFirst="0" w:colLast="0" w:name="_heading=h.vs3t693pbtsi" w:id="0"/>
      <w:bookmarkEnd w:id="0"/>
      <w:r w:rsidDel="00000000" w:rsidR="00000000" w:rsidRPr="00000000">
        <w:rPr>
          <w:rtl w:val="0"/>
        </w:rPr>
      </w:r>
    </w:p>
    <w:p w:rsidR="00000000" w:rsidDel="00000000" w:rsidP="00000000" w:rsidRDefault="00000000" w:rsidRPr="00000000" w14:paraId="00000003">
      <w:pPr>
        <w:jc w:val="center"/>
        <w:rPr>
          <w:b w:val="1"/>
          <w:bCs w:val="1"/>
        </w:rPr>
      </w:pPr>
      <w:r w:rsidDel="00000000" w:rsidR="00000000" w:rsidRPr="00000000">
        <w:rPr>
          <w:rtl w:val="0"/>
        </w:rPr>
      </w:r>
    </w:p>
    <w:p w:rsidR="00000000" w:rsidDel="00000000" w:rsidP="00000000" w:rsidRDefault="00000000" w:rsidRPr="00000000" w14:paraId="00000004">
      <w:pPr>
        <w:jc w:val="center"/>
        <w:rPr>
          <w:b w:val="1"/>
          <w:bCs w:val="1"/>
        </w:rPr>
      </w:pPr>
      <w:r w:rsidDel="00000000" w:rsidR="00000000" w:rsidRPr="00000000">
        <w:rPr>
          <w:rtl w:val="0"/>
        </w:rPr>
      </w:r>
    </w:p>
    <w:p w:rsidR="00000000" w:rsidDel="00000000" w:rsidP="00000000" w:rsidRDefault="00000000" w:rsidRPr="00000000" w14:paraId="00000005">
      <w:pPr>
        <w:jc w:val="center"/>
        <w:rPr>
          <w:b w:val="1"/>
          <w:bCs w:val="1"/>
        </w:rPr>
      </w:pPr>
      <w:r w:rsidDel="00000000" w:rsidR="00000000" w:rsidRPr="00000000">
        <w:rPr>
          <w:rtl w:val="0"/>
        </w:rPr>
      </w:r>
    </w:p>
    <w:p w:rsidR="00000000" w:rsidDel="00000000" w:rsidP="00000000" w:rsidRDefault="00000000" w:rsidRPr="00000000" w14:paraId="00000006">
      <w:pPr>
        <w:jc w:val="center"/>
        <w:rPr>
          <w:b w:val="1"/>
          <w:bCs w:val="1"/>
        </w:rPr>
      </w:pPr>
      <w:r w:rsidDel="00000000" w:rsidR="00000000" w:rsidRPr="00000000">
        <w:rPr>
          <w:rtl w:val="0"/>
        </w:rPr>
      </w:r>
    </w:p>
    <w:p w:rsidR="00000000" w:rsidDel="00000000" w:rsidP="00000000" w:rsidRDefault="00000000" w:rsidRPr="00000000" w14:paraId="00000007">
      <w:pPr>
        <w:jc w:val="center"/>
        <w:rPr>
          <w:b w:val="1"/>
          <w:bCs w:val="1"/>
        </w:rPr>
      </w:pPr>
      <w:r w:rsidDel="00000000" w:rsidR="00000000" w:rsidRPr="00000000">
        <w:rPr>
          <w:rtl w:val="0"/>
        </w:rPr>
      </w:r>
    </w:p>
    <w:p w:rsidR="00000000" w:rsidDel="00000000" w:rsidP="00000000" w:rsidRDefault="00000000" w:rsidRPr="00000000" w14:paraId="00000008">
      <w:pPr>
        <w:jc w:val="center"/>
        <w:rPr>
          <w:b w:val="1"/>
          <w:bCs w:val="1"/>
        </w:rPr>
      </w:pPr>
      <w:r w:rsidDel="00000000" w:rsidR="00000000" w:rsidRPr="00000000">
        <w:rPr>
          <w:b w:val="1"/>
          <w:bCs w:val="1"/>
          <w:rtl w:val="0"/>
        </w:rPr>
        <w:t xml:space="preserve">Abnormal Lipid Profiles as Markers of Diabetic Macular Edema Among Patients with Type 2 Diabetes Mellitus at Kilimanjaro Christian Medical Centre: A One-Year Cross-Sectional Study</w:t>
      </w:r>
    </w:p>
    <w:p w:rsidR="00000000" w:rsidDel="00000000" w:rsidP="00000000" w:rsidRDefault="00000000" w:rsidRPr="00000000" w14:paraId="00000009">
      <w:pPr>
        <w:pStyle w:val="Heading2"/>
        <w:rPr>
          <w:color w:val="000000"/>
        </w:rPr>
      </w:pPr>
      <w:bookmarkStart w:colFirst="0" w:colLast="0" w:name="_heading=h.943i9ya10ay7" w:id="1"/>
      <w:bookmarkEnd w:id="1"/>
      <w:r w:rsidDel="00000000" w:rsidR="00000000" w:rsidRPr="00000000">
        <w:rPr>
          <w:color w:val="000000"/>
          <w:rtl w:val="0"/>
        </w:rPr>
        <w:t xml:space="preserve">Abstract</w:t>
      </w:r>
    </w:p>
    <w:p w:rsidR="00000000" w:rsidDel="00000000" w:rsidP="00000000" w:rsidRDefault="00000000" w:rsidRPr="00000000" w14:paraId="0000000A">
      <w:pPr>
        <w:pStyle w:val="Heading2"/>
        <w:rPr>
          <w:color w:val="000000"/>
        </w:rPr>
      </w:pPr>
      <w:r w:rsidDel="00000000" w:rsidR="00000000" w:rsidRPr="00000000">
        <w:rPr>
          <w:b w:val="0"/>
          <w:bCs w:val="0"/>
          <w:color w:val="000000"/>
          <w:rtl w:val="0"/>
        </w:rPr>
        <w:t xml:space="preserve">Background: Diabetes mellitus (DM) remains a major global health challenge and is associated with vision-threatening complications, including diabetic macular edema (DME), a leading cause of visual impairment. </w:t>
      </w:r>
      <w:r w:rsidDel="00000000" w:rsidR="00000000" w:rsidRPr="00000000">
        <w:rPr>
          <w:b w:val="0"/>
          <w:bCs w:val="0"/>
          <w:rtl w:val="0"/>
        </w:rPr>
        <w:t xml:space="preserve">The abnormal lipids</w:t>
      </w:r>
      <w:r w:rsidDel="00000000" w:rsidR="00000000" w:rsidRPr="00000000">
        <w:rPr>
          <w:b w:val="0"/>
          <w:bCs w:val="0"/>
          <w:color w:val="000000"/>
          <w:rtl w:val="0"/>
        </w:rPr>
        <w:t xml:space="preserve"> has been implicated in the development of macular edema through mechanisms involving vascular permeability, endothelial dysfunction, and chronic inflammation. However, evidence regarding the relationship between lipid abnormalities and macular edema remains inconsistent across studies.</w:t>
      </w:r>
      <w:r w:rsidDel="00000000" w:rsidR="00000000" w:rsidRPr="00000000">
        <w:rPr>
          <w:rtl w:val="0"/>
        </w:rPr>
      </w:r>
    </w:p>
    <w:p w:rsidR="00000000" w:rsidDel="00000000" w:rsidP="00000000" w:rsidRDefault="00000000" w:rsidRPr="00000000" w14:paraId="0000000B">
      <w:pPr>
        <w:pStyle w:val="Heading2"/>
        <w:rPr>
          <w:b w:val="0"/>
          <w:bCs w:val="0"/>
          <w:color w:val="000000"/>
        </w:rPr>
      </w:pPr>
      <w:r w:rsidDel="00000000" w:rsidR="00000000" w:rsidRPr="00000000">
        <w:rPr>
          <w:color w:val="000000"/>
          <w:rtl w:val="0"/>
        </w:rPr>
        <w:t xml:space="preserve">Aim:</w:t>
      </w:r>
      <w:r w:rsidDel="00000000" w:rsidR="00000000" w:rsidRPr="00000000">
        <w:rPr>
          <w:b w:val="0"/>
          <w:bCs w:val="0"/>
          <w:color w:val="000000"/>
          <w:rtl w:val="0"/>
        </w:rPr>
        <w:t xml:space="preserve"> This study aimed to evaluate the association between abnormal lipid profiles and diabetic macular edema among patients with type 2 diabetes mellitus at Kilimanjaro Christian Medical Centre (KCMC).</w:t>
      </w:r>
    </w:p>
    <w:p w:rsidR="00000000" w:rsidDel="00000000" w:rsidP="00000000" w:rsidRDefault="00000000" w:rsidRPr="00000000" w14:paraId="0000000C">
      <w:pPr>
        <w:pStyle w:val="Heading2"/>
        <w:rPr>
          <w:b w:val="0"/>
          <w:bCs w:val="0"/>
          <w:color w:val="000000"/>
        </w:rPr>
      </w:pPr>
      <w:r w:rsidDel="00000000" w:rsidR="00000000" w:rsidRPr="00000000">
        <w:rPr>
          <w:color w:val="000000"/>
          <w:rtl w:val="0"/>
        </w:rPr>
        <w:t xml:space="preserve">Methods:</w:t>
      </w:r>
      <w:r w:rsidDel="00000000" w:rsidR="00000000" w:rsidRPr="00000000">
        <w:rPr>
          <w:b w:val="0"/>
          <w:bCs w:val="0"/>
          <w:color w:val="000000"/>
          <w:rtl w:val="0"/>
        </w:rPr>
        <w:t xml:space="preserve"> A hospital-based analytical cross-sectional study was conducted among 296 diabetic outpatients at KCMC. Participants underwent comprehensive ophthalmic evaluation including fundoscopy and imaging with optical coherence tomography (OCT) for assessment of macular edema. Blood samples were collected for biochemical lipid analysis. Data were cleaned and analyzed using STATA version 17.</w:t>
      </w:r>
    </w:p>
    <w:p w:rsidR="00000000" w:rsidDel="00000000" w:rsidP="00000000" w:rsidRDefault="00000000" w:rsidRPr="00000000" w14:paraId="0000000D">
      <w:pPr>
        <w:pStyle w:val="Heading2"/>
        <w:rPr>
          <w:b w:val="0"/>
          <w:bCs w:val="0"/>
          <w:color w:val="000000"/>
        </w:rPr>
      </w:pPr>
      <w:r w:rsidDel="00000000" w:rsidR="00000000" w:rsidRPr="00000000">
        <w:rPr>
          <w:color w:val="000000"/>
          <w:rtl w:val="0"/>
        </w:rPr>
        <w:t xml:space="preserve">Results:</w:t>
      </w:r>
      <w:r w:rsidDel="00000000" w:rsidR="00000000" w:rsidRPr="00000000">
        <w:rPr>
          <w:b w:val="0"/>
          <w:bCs w:val="0"/>
          <w:color w:val="000000"/>
          <w:rtl w:val="0"/>
        </w:rPr>
        <w:t xml:space="preserve"> Diabetic macular edema was identified in 56.4% (167/296) of participants. Abnormal lipid parameters were common, with elevated total cholesterol observed in 48.6%, triglycerides in 43.6%, low-density lipoprotein (LDL) in 36.1%, and reduced high-density lipoprotein (HDL) in 38.9% of patients. Elevated total cholesterol, triglycerides, and LDL levels showed significant associations with macular edema (p &lt; 0.05). After multivariable adjustment, serum triglycerides remained independently associated with macular edema (p = 0.002).</w:t>
      </w:r>
    </w:p>
    <w:p w:rsidR="00000000" w:rsidDel="00000000" w:rsidP="00000000" w:rsidRDefault="00000000" w:rsidRPr="00000000" w14:paraId="0000000E">
      <w:pPr>
        <w:pStyle w:val="Heading2"/>
        <w:rPr>
          <w:b w:val="0"/>
          <w:bCs w:val="0"/>
          <w:color w:val="000000"/>
        </w:rPr>
      </w:pPr>
      <w:r w:rsidDel="00000000" w:rsidR="00000000" w:rsidRPr="00000000">
        <w:rPr>
          <w:color w:val="000000"/>
          <w:rtl w:val="0"/>
        </w:rPr>
        <w:t xml:space="preserve">Conclusion:</w:t>
      </w:r>
      <w:r w:rsidDel="00000000" w:rsidR="00000000" w:rsidRPr="00000000">
        <w:rPr>
          <w:b w:val="0"/>
          <w:bCs w:val="0"/>
          <w:color w:val="000000"/>
          <w:rtl w:val="0"/>
        </w:rPr>
        <w:t xml:space="preserve"> The abnormal lipid profiles demonstrated a significant association with diabetic macular edema, with serum triglycerides emerging as an independent predictor. These findings highlight the importance of lipid monitoring, lifestyle modification, and strengthened screening strategies in reducing the burden of vision-threatening diabetic complications.</w:t>
      </w:r>
    </w:p>
    <w:p w:rsidR="00000000" w:rsidDel="00000000" w:rsidP="00000000" w:rsidRDefault="00000000" w:rsidRPr="00000000" w14:paraId="0000000F">
      <w:pPr>
        <w:pStyle w:val="Heading2"/>
        <w:rPr>
          <w:color w:val="000000"/>
        </w:rPr>
      </w:pPr>
      <w:r w:rsidDel="00000000" w:rsidR="00000000" w:rsidRPr="00000000">
        <w:rPr>
          <w:rtl w:val="0"/>
        </w:rPr>
      </w:r>
    </w:p>
    <w:p w:rsidR="00000000" w:rsidDel="00000000" w:rsidP="00000000" w:rsidRDefault="00000000" w:rsidRPr="00000000" w14:paraId="00000010">
      <w:pPr>
        <w:pStyle w:val="Heading2"/>
        <w:rPr>
          <w:color w:val="000000"/>
        </w:rPr>
      </w:pPr>
      <w:r w:rsidDel="00000000" w:rsidR="00000000" w:rsidRPr="00000000">
        <w:rPr>
          <w:rtl w:val="0"/>
        </w:rPr>
      </w:r>
    </w:p>
    <w:p w:rsidR="00000000" w:rsidDel="00000000" w:rsidP="00000000" w:rsidRDefault="00000000" w:rsidRPr="00000000" w14:paraId="00000011">
      <w:pPr>
        <w:pStyle w:val="Heading2"/>
        <w:rPr>
          <w:color w:val="000000"/>
        </w:rPr>
      </w:pPr>
      <w:r w:rsidDel="00000000" w:rsidR="00000000" w:rsidRPr="00000000">
        <w:rPr>
          <w:rtl w:val="0"/>
        </w:rPr>
      </w:r>
    </w:p>
    <w:p w:rsidR="00000000" w:rsidDel="00000000" w:rsidP="00000000" w:rsidRDefault="00000000" w:rsidRPr="00000000" w14:paraId="00000012">
      <w:pPr>
        <w:pStyle w:val="Heading2"/>
        <w:rPr>
          <w:color w:val="000000"/>
        </w:rPr>
      </w:pPr>
      <w:r w:rsidDel="00000000" w:rsidR="00000000" w:rsidRPr="00000000">
        <w:rPr>
          <w:color w:val="000000"/>
          <w:rtl w:val="0"/>
        </w:rPr>
        <w:t xml:space="preserve">1. INTRODUCTION</w:t>
      </w:r>
    </w:p>
    <w:p w:rsidR="00000000" w:rsidDel="00000000" w:rsidP="00000000" w:rsidRDefault="00000000" w:rsidRPr="00000000" w14:paraId="00000013">
      <w:pPr>
        <w:spacing w:line="360" w:lineRule="auto"/>
        <w:jc w:val="both"/>
        <w:rPr/>
      </w:pPr>
      <w:r w:rsidDel="00000000" w:rsidR="00000000" w:rsidRPr="00000000">
        <w:rPr>
          <w:rtl w:val="0"/>
        </w:rPr>
        <w:t xml:space="preserve">Diabetes mellitus (DM) is a metabolic disorder characterized by chronic hyperglycemia resulting from impaired insulin secretion, insulin action, or both. Type 1 diabetes occurs due to absolute insulin deficiency, whereas type 2 diabetes results from insulin resistance and relative insulin insufficiency (WHO). Lifestyle factors such as obesity, reduced physical activity, and sedentary behavior significantly contribute to the increasing burden of diabetes worldwide (Sajjan and Shamsuddin, 2016).</w:t>
      </w:r>
    </w:p>
    <w:p w:rsidR="00000000" w:rsidDel="00000000" w:rsidP="00000000" w:rsidRDefault="00000000" w:rsidRPr="00000000" w14:paraId="00000014">
      <w:pPr>
        <w:spacing w:line="360" w:lineRule="auto"/>
        <w:jc w:val="both"/>
        <w:rPr/>
      </w:pPr>
      <w:r w:rsidDel="00000000" w:rsidR="00000000" w:rsidRPr="00000000">
        <w:rPr>
          <w:rtl w:val="0"/>
        </w:rPr>
      </w:r>
    </w:p>
    <w:p w:rsidR="00000000" w:rsidDel="00000000" w:rsidP="00000000" w:rsidRDefault="00000000" w:rsidRPr="00000000" w14:paraId="00000015">
      <w:pPr>
        <w:spacing w:line="360" w:lineRule="auto"/>
        <w:jc w:val="both"/>
        <w:rPr/>
      </w:pPr>
      <w:r w:rsidDel="00000000" w:rsidR="00000000" w:rsidRPr="00000000">
        <w:rPr>
          <w:rtl w:val="0"/>
        </w:rPr>
        <w:t xml:space="preserve">Persistent hyperglycemia and metabolic disturbances in DM lead to progressive microvascular damage affecting multiple organ systems, including the eyes, kidneys, vascular system, and nervous system (Pandey, 2021). The global prevalence of diabetes has increased markedly, rising from approximately 30 million cases in 1985 to 177 million in 2000 (Rasoulinejad et al., 2015), with projections exceeding 360 million affected individuals by 2030 (S, S.S and M.K., 2021).</w:t>
      </w:r>
    </w:p>
    <w:p w:rsidR="00000000" w:rsidDel="00000000" w:rsidP="00000000" w:rsidRDefault="00000000" w:rsidRPr="00000000" w14:paraId="00000016">
      <w:pPr>
        <w:spacing w:line="360" w:lineRule="auto"/>
        <w:jc w:val="both"/>
        <w:rPr/>
      </w:pPr>
      <w:r w:rsidDel="00000000" w:rsidR="00000000" w:rsidRPr="00000000">
        <w:rPr>
          <w:rtl w:val="0"/>
        </w:rPr>
      </w:r>
    </w:p>
    <w:p w:rsidR="00000000" w:rsidDel="00000000" w:rsidP="00000000" w:rsidRDefault="00000000" w:rsidRPr="00000000" w14:paraId="00000017">
      <w:pPr>
        <w:spacing w:line="360" w:lineRule="auto"/>
        <w:jc w:val="both"/>
        <w:rPr/>
      </w:pPr>
      <w:r w:rsidDel="00000000" w:rsidR="00000000" w:rsidRPr="00000000">
        <w:rPr>
          <w:rtl w:val="0"/>
        </w:rPr>
        <w:t xml:space="preserve">Ocular complications such as diabetic retinopathy (DR) and diabetic macular edema (DME) remain leading causes of visual impairment worldwide (Rasoulinejad et al., 2015). Vision loss in diabetes is primarily attributed to retinal microvascular damage, capillary leakage causing macular edema, and macular ischemia secondary to capillary occlusion (Rasoulinejad et al., 2015; Pandey, 2021).</w:t>
      </w:r>
    </w:p>
    <w:p w:rsidR="00000000" w:rsidDel="00000000" w:rsidP="00000000" w:rsidRDefault="00000000" w:rsidRPr="00000000" w14:paraId="00000018">
      <w:pPr>
        <w:spacing w:line="360" w:lineRule="auto"/>
        <w:jc w:val="both"/>
        <w:rPr/>
      </w:pPr>
      <w:r w:rsidDel="00000000" w:rsidR="00000000" w:rsidRPr="00000000">
        <w:rPr>
          <w:rtl w:val="0"/>
        </w:rPr>
      </w:r>
    </w:p>
    <w:p w:rsidR="00000000" w:rsidDel="00000000" w:rsidP="00000000" w:rsidRDefault="00000000" w:rsidRPr="00000000" w14:paraId="00000019">
      <w:pPr>
        <w:spacing w:line="360" w:lineRule="auto"/>
        <w:jc w:val="both"/>
        <w:rPr/>
      </w:pPr>
      <w:r w:rsidDel="00000000" w:rsidR="00000000" w:rsidRPr="00000000">
        <w:rPr>
          <w:rtl w:val="0"/>
        </w:rPr>
        <w:t xml:space="preserve">Diabetic macular edema is defined as retinal thickening or the presence of hard exudates involving the macula due to increased vascular permeability in diabetic retinopathy (Parveen et al., 2021; Raman et al., 2025). Structural alterations of retinal capillaries and breakdown of the blood retinal barrier promote fluid accumulation within the macula and progressive visual deterioration if untreated (Rasoulinejad et al., 2015).</w:t>
      </w:r>
    </w:p>
    <w:p w:rsidR="00000000" w:rsidDel="00000000" w:rsidP="00000000" w:rsidRDefault="00000000" w:rsidRPr="00000000" w14:paraId="0000001A">
      <w:pPr>
        <w:spacing w:line="360" w:lineRule="auto"/>
        <w:jc w:val="both"/>
        <w:rPr/>
      </w:pPr>
      <w:r w:rsidDel="00000000" w:rsidR="00000000" w:rsidRPr="00000000">
        <w:rPr>
          <w:rtl w:val="0"/>
        </w:rPr>
      </w:r>
    </w:p>
    <w:p w:rsidR="00000000" w:rsidDel="00000000" w:rsidP="00000000" w:rsidRDefault="00000000" w:rsidRPr="00000000" w14:paraId="0000001B">
      <w:pPr>
        <w:spacing w:line="360" w:lineRule="auto"/>
        <w:jc w:val="both"/>
        <w:rPr/>
      </w:pPr>
      <w:r w:rsidDel="00000000" w:rsidR="00000000" w:rsidRPr="00000000">
        <w:rPr>
          <w:rtl w:val="0"/>
        </w:rPr>
        <w:t xml:space="preserve">Globally, the prevalence of diabetic macular edema is approximately 7.6% (Syndrome et al., 2020), while higher prevalence rates have been reported in Tanzania at 16.1% (Cleland et al., 2016) and 15.3% in Turkey (Acan et al., 2018). The burden of DME is expected to increase substantially as diabetes prevalence is projected to rise by more than 50% worldwide between 2000 and 2030 (Gallagher and Laouri, 2010).</w:t>
      </w:r>
    </w:p>
    <w:p w:rsidR="00000000" w:rsidDel="00000000" w:rsidP="00000000" w:rsidRDefault="00000000" w:rsidRPr="00000000" w14:paraId="0000001C">
      <w:pPr>
        <w:spacing w:line="360" w:lineRule="auto"/>
        <w:jc w:val="both"/>
        <w:rPr/>
      </w:pPr>
      <w:r w:rsidDel="00000000" w:rsidR="00000000" w:rsidRPr="00000000">
        <w:rPr>
          <w:rtl w:val="0"/>
        </w:rPr>
      </w:r>
    </w:p>
    <w:p w:rsidR="00000000" w:rsidDel="00000000" w:rsidP="00000000" w:rsidRDefault="00000000" w:rsidRPr="00000000" w14:paraId="0000001D">
      <w:pPr>
        <w:spacing w:line="360" w:lineRule="auto"/>
        <w:jc w:val="both"/>
        <w:rPr/>
      </w:pPr>
      <w:r w:rsidDel="00000000" w:rsidR="00000000" w:rsidRPr="00000000">
        <w:rPr>
          <w:rtl w:val="0"/>
        </w:rPr>
        <w:t xml:space="preserve">Fundoscopically, DME manifests as focal or diffuse retinal thickening with lipid-rich hard exudates derived from plasma lipoproteins leaking from microaneurysms. Following fluid resorption, lipid deposition commonly occurs within the internal and external plexiform layers and occasionally beneath the neurosensory retina (Rasoulinejad et al., 2015). Untreated disease may result in irreversible visual loss, although laser photocoagulation, intravitreal corticosteroids, and anti-vascular endothelial growth factor therapies have demonstrated significant benefit (Gallagher and Laouri, 2010).</w:t>
      </w:r>
    </w:p>
    <w:p w:rsidR="00000000" w:rsidDel="00000000" w:rsidP="00000000" w:rsidRDefault="00000000" w:rsidRPr="00000000" w14:paraId="0000001E">
      <w:pPr>
        <w:spacing w:line="360" w:lineRule="auto"/>
        <w:jc w:val="both"/>
        <w:rPr/>
      </w:pPr>
      <w:r w:rsidDel="00000000" w:rsidR="00000000" w:rsidRPr="00000000">
        <w:rPr>
          <w:rtl w:val="0"/>
        </w:rPr>
      </w:r>
    </w:p>
    <w:p w:rsidR="00000000" w:rsidDel="00000000" w:rsidP="00000000" w:rsidRDefault="00000000" w:rsidRPr="00000000" w14:paraId="0000001F">
      <w:pPr>
        <w:spacing w:line="360" w:lineRule="auto"/>
        <w:jc w:val="both"/>
        <w:rPr/>
      </w:pPr>
      <w:r w:rsidDel="00000000" w:rsidR="00000000" w:rsidRPr="00000000">
        <w:rPr>
          <w:rtl w:val="0"/>
        </w:rPr>
        <w:t xml:space="preserve">Several epidemiological studies have identified prolonged diabetes duration, poor glycemic control, hypertension, and abnormal serum lipid levels as important risk factors for DME (Agroiya et al., 2013; Benarous et al., 2011). abnormal lipids is characterized by elevated triglycerides, low-density lipoprotein cholesterol, and total cholesterol levels or reduced high-density lipoprotein cholesterol (Elagamy et al., 2019; Ahmed et al., 2021).</w:t>
      </w:r>
    </w:p>
    <w:p w:rsidR="00000000" w:rsidDel="00000000" w:rsidP="00000000" w:rsidRDefault="00000000" w:rsidRPr="00000000" w14:paraId="00000020">
      <w:pPr>
        <w:spacing w:line="360" w:lineRule="auto"/>
        <w:jc w:val="both"/>
        <w:rPr/>
      </w:pPr>
      <w:r w:rsidDel="00000000" w:rsidR="00000000" w:rsidRPr="00000000">
        <w:rPr>
          <w:rtl w:val="0"/>
        </w:rPr>
      </w:r>
    </w:p>
    <w:p w:rsidR="00000000" w:rsidDel="00000000" w:rsidP="00000000" w:rsidRDefault="00000000" w:rsidRPr="00000000" w14:paraId="00000021">
      <w:pPr>
        <w:spacing w:line="360" w:lineRule="auto"/>
        <w:jc w:val="both"/>
        <w:rPr/>
      </w:pPr>
      <w:r w:rsidDel="00000000" w:rsidR="00000000" w:rsidRPr="00000000">
        <w:rPr>
          <w:rtl w:val="0"/>
        </w:rPr>
        <w:t xml:space="preserve">Elevated serum lipid levels contribute to endothelial dysfunction and disruption of the blood retinal barrier, promoting lipid and lipoprotein leakage into retinal tissues and subsequent formation of macular edema (Cardoza et al., 2021). </w:t>
      </w:r>
    </w:p>
    <w:p w:rsidR="00000000" w:rsidDel="00000000" w:rsidP="00000000" w:rsidRDefault="00000000" w:rsidRPr="00000000" w14:paraId="00000022">
      <w:pPr>
        <w:spacing w:line="360" w:lineRule="auto"/>
        <w:jc w:val="both"/>
        <w:rPr/>
      </w:pPr>
      <w:r w:rsidDel="00000000" w:rsidR="00000000" w:rsidRPr="00000000">
        <w:rPr>
          <w:rtl w:val="0"/>
        </w:rPr>
      </w:r>
    </w:p>
    <w:p w:rsidR="00000000" w:rsidDel="00000000" w:rsidP="00000000" w:rsidRDefault="00000000" w:rsidRPr="00000000" w14:paraId="00000023">
      <w:pPr>
        <w:spacing w:line="360" w:lineRule="auto"/>
        <w:jc w:val="both"/>
        <w:rPr/>
      </w:pPr>
      <w:r w:rsidDel="00000000" w:rsidR="00000000" w:rsidRPr="00000000">
        <w:rPr>
          <w:rtl w:val="0"/>
        </w:rPr>
        <w:t xml:space="preserve">Considering inconsistencies in global findings and limited available local evidence, this study aims to investigate the association between serum lipid abnormalities and diabetic macular edema.</w:t>
      </w:r>
    </w:p>
    <w:p w:rsidR="00000000" w:rsidDel="00000000" w:rsidP="00000000" w:rsidRDefault="00000000" w:rsidRPr="00000000" w14:paraId="00000024">
      <w:pPr>
        <w:spacing w:line="360" w:lineRule="auto"/>
        <w:jc w:val="both"/>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pStyle w:val="Heading2"/>
        <w:rPr>
          <w:color w:val="000000"/>
        </w:rPr>
      </w:pPr>
      <w:bookmarkStart w:colFirst="0" w:colLast="0" w:name="_heading=h.sfk16w76akoz" w:id="2"/>
      <w:bookmarkEnd w:id="2"/>
      <w:r w:rsidDel="00000000" w:rsidR="00000000" w:rsidRPr="00000000">
        <w:rPr>
          <w:color w:val="000000"/>
          <w:rtl w:val="0"/>
        </w:rPr>
        <w:t xml:space="preserve">2. METHODOLOGY</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spacing w:line="360" w:lineRule="auto"/>
        <w:jc w:val="both"/>
        <w:rPr/>
      </w:pPr>
      <w:r w:rsidDel="00000000" w:rsidR="00000000" w:rsidRPr="00000000">
        <w:rPr>
          <w:rtl w:val="0"/>
        </w:rPr>
        <w:t xml:space="preserve">A hospital based cross-sectional study aimed to evaluate abnormal lipid profiles as markers for macula edema in type 2 diabetic patients attending Kilimanjaro Christian Medical Centre (KCMC) from 15/08/2023 to 14/08/2024.</w:t>
      </w:r>
    </w:p>
    <w:p w:rsidR="00000000" w:rsidDel="00000000" w:rsidP="00000000" w:rsidRDefault="00000000" w:rsidRPr="00000000" w14:paraId="00000039">
      <w:pPr>
        <w:spacing w:line="360" w:lineRule="auto"/>
        <w:jc w:val="both"/>
        <w:rPr/>
      </w:pPr>
      <w:r w:rsidDel="00000000" w:rsidR="00000000" w:rsidRPr="00000000">
        <w:rPr>
          <w:rtl w:val="0"/>
        </w:rPr>
        <w:t xml:space="preserve">The study enrolled a total of 296 patients with Type 2 diabetes mellitus who were attending the Outpatient clinic at Kilimanjaro Christian Medical Centre (KCMC), using a consecutive non-probability sampling method. Patients were excluded if they had retinal vascular conditions such as retinal vein occlusion, were on lipid-lowering medications, were pregnant, had chronic kidney disease, hemolytic disorders, a history of vitreoretinal surgery, media opacities obstructing fundus visualization, or a prior diagnosis of glaucoma.</w:t>
      </w:r>
    </w:p>
    <w:p w:rsidR="00000000" w:rsidDel="00000000" w:rsidP="00000000" w:rsidRDefault="00000000" w:rsidRPr="00000000" w14:paraId="0000003A">
      <w:pPr>
        <w:spacing w:line="360" w:lineRule="auto"/>
        <w:jc w:val="both"/>
        <w:rPr/>
      </w:pPr>
      <w:r w:rsidDel="00000000" w:rsidR="00000000" w:rsidRPr="00000000">
        <w:rPr>
          <w:rtl w:val="0"/>
        </w:rPr>
      </w:r>
    </w:p>
    <w:p w:rsidR="00000000" w:rsidDel="00000000" w:rsidP="00000000" w:rsidRDefault="00000000" w:rsidRPr="00000000" w14:paraId="0000003B">
      <w:pPr>
        <w:spacing w:line="360" w:lineRule="auto"/>
        <w:jc w:val="both"/>
        <w:rPr/>
      </w:pPr>
      <w:r w:rsidDel="00000000" w:rsidR="00000000" w:rsidRPr="00000000">
        <w:rPr>
          <w:rtl w:val="0"/>
        </w:rPr>
        <w:t xml:space="preserve">Diabetic retinopathy was assessed as the dependent variable, while the independent variables included triglyceride levels, total serum cholesterol, high-density lipoprotein (HDL), low-density lipoprotein (LDL), duration of diabetes, sociodemographic characteristics, blood pressure, HbA1c, presence of proteinuria, serum creatinine, and body mass index (BMI).</w:t>
      </w:r>
    </w:p>
    <w:p w:rsidR="00000000" w:rsidDel="00000000" w:rsidP="00000000" w:rsidRDefault="00000000" w:rsidRPr="00000000" w14:paraId="0000003C">
      <w:pPr>
        <w:spacing w:line="360" w:lineRule="auto"/>
        <w:jc w:val="both"/>
        <w:rPr/>
      </w:pPr>
      <w:r w:rsidDel="00000000" w:rsidR="00000000" w:rsidRPr="00000000">
        <w:rPr>
          <w:rtl w:val="0"/>
        </w:rPr>
      </w:r>
    </w:p>
    <w:p w:rsidR="00000000" w:rsidDel="00000000" w:rsidP="00000000" w:rsidRDefault="00000000" w:rsidRPr="00000000" w14:paraId="0000003D">
      <w:pPr>
        <w:spacing w:line="360" w:lineRule="auto"/>
        <w:jc w:val="both"/>
        <w:rPr/>
      </w:pPr>
      <w:r w:rsidDel="00000000" w:rsidR="00000000" w:rsidRPr="00000000">
        <w:rPr>
          <w:rtl w:val="0"/>
        </w:rPr>
        <w:t xml:space="preserve">Data were collected using a structured form divided into five sections: informed consent, demographic details, physical examination, diabetic retinopathy grading, macular edema assessment, and laboratory investigations. Demographic data included patient identification number, age, gender, residence, diabetes duration, treatment type, visual acuity, and intraocular pressure. Laboratory evaluations covered serum cholesterol, triglycerides, HDL, LDL, HbA1c, serum creatinine, and urinalysis.</w:t>
      </w:r>
    </w:p>
    <w:p w:rsidR="00000000" w:rsidDel="00000000" w:rsidP="00000000" w:rsidRDefault="00000000" w:rsidRPr="00000000" w14:paraId="0000003E">
      <w:pPr>
        <w:spacing w:line="360" w:lineRule="auto"/>
        <w:jc w:val="both"/>
        <w:rPr/>
      </w:pPr>
      <w:r w:rsidDel="00000000" w:rsidR="00000000" w:rsidRPr="00000000">
        <w:rPr>
          <w:rtl w:val="0"/>
        </w:rPr>
      </w:r>
    </w:p>
    <w:p w:rsidR="00000000" w:rsidDel="00000000" w:rsidP="00000000" w:rsidRDefault="00000000" w:rsidRPr="00000000" w14:paraId="0000003F">
      <w:pPr>
        <w:spacing w:line="360" w:lineRule="auto"/>
        <w:jc w:val="both"/>
        <w:rPr/>
      </w:pPr>
      <w:sdt>
        <w:sdtPr>
          <w:id w:val="1190418160"/>
          <w:tag w:val="goog_rdk_0"/>
        </w:sdtPr>
        <w:sdtContent>
          <w:r w:rsidDel="00000000" w:rsidR="00000000" w:rsidRPr="00000000">
            <w:rPr>
              <w:rFonts w:ascii="Gungsuh" w:cs="Gungsuh" w:eastAsia="Gungsuh" w:hAnsi="Gungsuh"/>
              <w:rtl w:val="0"/>
            </w:rPr>
            <w:t xml:space="preserve">After obtaining informed consent, visual acuity (VA) and intraocular pressure (IOP) were measured using a Snellen chart and Goldmann applanation tonometer, respectively. Blood pressure was assessed using a digital sphygmomanometer. Comprehensive fundus examination was performed using indirect ophthalmoscopy with a 90D Volk lens on a Haag-Streit slit lamp, following pupillary dilation with 0.5% tropicamide and 5% phenylephrine. Based on retinal findings hard exudates and other features of diabetic retinopathy were recorded, including hemorrhages, proliferative membranes, and neovascularization. A time-domain OCT device (Carl Zeiss, PRIMUS 200; Ref. 000000-2162-427) was used to measure macular thickness. Central subfield macular thickness (CSMT), defined as the mean retinal thickness within the central 1-mm diameter area of the macula, was used to evaluate macular edema. A CSMT value of ≥ 250 µm was considered the cutoff for macular edema. </w:t>
          </w:r>
        </w:sdtContent>
      </w:sdt>
    </w:p>
    <w:p w:rsidR="00000000" w:rsidDel="00000000" w:rsidP="00000000" w:rsidRDefault="00000000" w:rsidRPr="00000000" w14:paraId="00000040">
      <w:pPr>
        <w:spacing w:line="360" w:lineRule="auto"/>
        <w:jc w:val="both"/>
        <w:rPr/>
      </w:pPr>
      <w:r w:rsidDel="00000000" w:rsidR="00000000" w:rsidRPr="00000000">
        <w:rPr>
          <w:rtl w:val="0"/>
        </w:rPr>
      </w:r>
    </w:p>
    <w:p w:rsidR="00000000" w:rsidDel="00000000" w:rsidP="00000000" w:rsidRDefault="00000000" w:rsidRPr="00000000" w14:paraId="00000041">
      <w:pPr>
        <w:spacing w:line="360" w:lineRule="auto"/>
        <w:jc w:val="both"/>
        <w:rPr/>
      </w:pPr>
      <w:r w:rsidDel="00000000" w:rsidR="00000000" w:rsidRPr="00000000">
        <w:rPr>
          <w:rtl w:val="0"/>
        </w:rPr>
        <w:t xml:space="preserve">There after laboratory investigations were conducted, including serum lipid profiling (total cholesterol, triglycerides, HDL, and LDL) using the COBAS INTEGRA 400 PLUS analyzer. A lipid profile was considered abnormal if HDL was &lt;1.15 mmol/L, LDL &gt;3.37 mmol/L, triglycerides &gt;2.26 mmol/L, or total cholesterol &gt;5.2 mmol/L. Additional tests included serum creatinine, glycated hemoglobin (HbA1c), and urinalysis.</w:t>
      </w:r>
    </w:p>
    <w:p w:rsidR="00000000" w:rsidDel="00000000" w:rsidP="00000000" w:rsidRDefault="00000000" w:rsidRPr="00000000" w14:paraId="00000042">
      <w:pPr>
        <w:spacing w:line="360" w:lineRule="auto"/>
        <w:jc w:val="both"/>
        <w:rPr/>
      </w:pPr>
      <w:r w:rsidDel="00000000" w:rsidR="00000000" w:rsidRPr="00000000">
        <w:rPr>
          <w:rtl w:val="0"/>
        </w:rPr>
      </w:r>
    </w:p>
    <w:p w:rsidR="00000000" w:rsidDel="00000000" w:rsidP="00000000" w:rsidRDefault="00000000" w:rsidRPr="00000000" w14:paraId="00000043">
      <w:pPr>
        <w:spacing w:line="360" w:lineRule="auto"/>
        <w:jc w:val="both"/>
        <w:rPr/>
      </w:pPr>
      <w:r w:rsidDel="00000000" w:rsidR="00000000" w:rsidRPr="00000000">
        <w:rPr>
          <w:rtl w:val="0"/>
        </w:rPr>
        <w:t xml:space="preserve">Data were analyzed using STATA version 17 (Stata Corp LLC, College Station, TX, USA). Prior to analysis, data cleaning procedures including encoding, labeling, recoding, and variable definition were performed to ensure consistency. Categorical variables were presented as frequencies and percentages, while numerical data were summarized using means with standard deviations or medians with interquartile ranges. Chi-square (χ2) and Fisher's exact tests were utilized to assess the proportion of central subfield thickness among participant characteristics. A P-value below 0.05 was deemed as indicative of significant variances.</w:t>
      </w:r>
    </w:p>
    <w:p w:rsidR="00000000" w:rsidDel="00000000" w:rsidP="00000000" w:rsidRDefault="00000000" w:rsidRPr="00000000" w14:paraId="00000044">
      <w:pPr>
        <w:spacing w:line="360" w:lineRule="auto"/>
        <w:jc w:val="both"/>
        <w:rPr/>
      </w:pPr>
      <w:r w:rsidDel="00000000" w:rsidR="00000000" w:rsidRPr="00000000">
        <w:rPr>
          <w:rtl w:val="0"/>
        </w:rPr>
      </w:r>
    </w:p>
    <w:p w:rsidR="00000000" w:rsidDel="00000000" w:rsidP="00000000" w:rsidRDefault="00000000" w:rsidRPr="00000000" w14:paraId="00000045">
      <w:pPr>
        <w:spacing w:line="360" w:lineRule="auto"/>
        <w:jc w:val="both"/>
        <w:rPr/>
      </w:pPr>
      <w:r w:rsidDel="00000000" w:rsidR="00000000" w:rsidRPr="00000000">
        <w:rPr>
          <w:rtl w:val="0"/>
        </w:rPr>
        <w:t xml:space="preserve">A modifies Poisson regression model was used to assess factors associated with central subfield thickness. Univariate models were first fitted to obtain crude prevalence ratio for factors associated with central subfield thickness. Variables with P-value of less than 0.05 and those of clinical importance in this study, were taken in multivariable models to obtain adjusted prevalence ratio for factors associated with central subfield thickness. Variables with P-value less than 0.05 in multivariable analysis, were considered statistically significant associated with the study outcomes. </w:t>
      </w:r>
    </w:p>
    <w:p w:rsidR="00000000" w:rsidDel="00000000" w:rsidP="00000000" w:rsidRDefault="00000000" w:rsidRPr="00000000" w14:paraId="00000046">
      <w:pPr>
        <w:spacing w:line="360" w:lineRule="auto"/>
        <w:jc w:val="both"/>
        <w:rPr/>
      </w:pPr>
      <w:r w:rsidDel="00000000" w:rsidR="00000000" w:rsidRPr="00000000">
        <w:rPr>
          <w:rtl w:val="0"/>
        </w:rPr>
      </w:r>
    </w:p>
    <w:p w:rsidR="00000000" w:rsidDel="00000000" w:rsidP="00000000" w:rsidRDefault="00000000" w:rsidRPr="00000000" w14:paraId="00000047">
      <w:pPr>
        <w:spacing w:line="360" w:lineRule="auto"/>
        <w:jc w:val="both"/>
        <w:rPr/>
      </w:pPr>
      <w:r w:rsidDel="00000000" w:rsidR="00000000" w:rsidRPr="00000000">
        <w:rPr>
          <w:rtl w:val="0"/>
        </w:rPr>
        <w:t xml:space="preserve">Ethical approval was obtained from the Kilimanjaro Christian Medical University College Research and Ethics Review Committee (Ref: PG 89/2023), with institutional clearance granted via the Ophthalmology Department at KCMC. All participants were informed about the study’s purpose, and written consent was obtained. Participant confidentiality and data protection were maintained throughout.</w:t>
      </w:r>
    </w:p>
    <w:p w:rsidR="00000000" w:rsidDel="00000000" w:rsidP="00000000" w:rsidRDefault="00000000" w:rsidRPr="00000000" w14:paraId="00000048">
      <w:pPr>
        <w:spacing w:line="360" w:lineRule="auto"/>
        <w:jc w:val="both"/>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pStyle w:val="Heading1"/>
        <w:rPr/>
      </w:pPr>
      <w:r w:rsidDel="00000000" w:rsidR="00000000" w:rsidRPr="00000000">
        <w:rPr>
          <w:rtl w:val="0"/>
        </w:rPr>
      </w:r>
    </w:p>
    <w:p w:rsidR="00000000" w:rsidDel="00000000" w:rsidP="00000000" w:rsidRDefault="00000000" w:rsidRPr="00000000" w14:paraId="0000004B">
      <w:pPr>
        <w:pStyle w:val="Heading2"/>
        <w:rPr>
          <w:color w:val="000000"/>
        </w:rPr>
      </w:pPr>
      <w:r w:rsidDel="00000000" w:rsidR="00000000" w:rsidRPr="00000000">
        <w:rPr>
          <w:color w:val="000000"/>
          <w:rtl w:val="0"/>
        </w:rPr>
        <w:t xml:space="preserve">3. RESULTS AND DISCUSSION</w:t>
      </w:r>
    </w:p>
    <w:p w:rsidR="00000000" w:rsidDel="00000000" w:rsidP="00000000" w:rsidRDefault="00000000" w:rsidRPr="00000000" w14:paraId="0000004C">
      <w:pPr>
        <w:spacing w:line="360" w:lineRule="auto"/>
        <w:jc w:val="both"/>
        <w:rPr/>
      </w:pPr>
      <w:r w:rsidDel="00000000" w:rsidR="00000000" w:rsidRPr="00000000">
        <w:rPr>
          <w:rtl w:val="0"/>
        </w:rPr>
        <w:t xml:space="preserve">The study included 296 participants with a mean age of 62 years, of whom 55% were female and 45% male. Nearly all participants (about 97%) had a diabetes duration exceeding five years. Systolic hypertension was present in more than 60% of the cohort, while approximately half (51%) were either overweight or obese.</w:t>
      </w:r>
    </w:p>
    <w:p w:rsidR="00000000" w:rsidDel="00000000" w:rsidP="00000000" w:rsidRDefault="00000000" w:rsidRPr="00000000" w14:paraId="0000004D">
      <w:pPr>
        <w:spacing w:line="360" w:lineRule="auto"/>
        <w:jc w:val="both"/>
        <w:rPr/>
      </w:pPr>
      <w:r w:rsidDel="00000000" w:rsidR="00000000" w:rsidRPr="00000000">
        <w:rPr>
          <w:rtl w:val="0"/>
        </w:rPr>
        <w:t xml:space="preserve">(</w:t>
      </w:r>
      <w:r w:rsidDel="00000000" w:rsidR="00000000" w:rsidRPr="00000000">
        <w:rPr>
          <w:b w:val="1"/>
          <w:bCs w:val="1"/>
          <w:rtl w:val="0"/>
        </w:rPr>
        <w:t xml:space="preserve">Table 1</w:t>
      </w:r>
      <w:r w:rsidDel="00000000" w:rsidR="00000000" w:rsidRPr="00000000">
        <w:rPr>
          <w:rtl w:val="0"/>
        </w:rPr>
        <w:t xml:space="preserve">). </w:t>
      </w:r>
    </w:p>
    <w:p w:rsidR="00000000" w:rsidDel="00000000" w:rsidP="00000000" w:rsidRDefault="00000000" w:rsidRPr="00000000" w14:paraId="0000004E">
      <w:pPr>
        <w:spacing w:line="360" w:lineRule="auto"/>
        <w:jc w:val="both"/>
        <w:rPr/>
      </w:pPr>
      <w:r w:rsidDel="00000000" w:rsidR="00000000" w:rsidRPr="00000000">
        <w:rPr>
          <w:rtl w:val="0"/>
        </w:rPr>
      </w:r>
    </w:p>
    <w:p w:rsidR="00000000" w:rsidDel="00000000" w:rsidP="00000000" w:rsidRDefault="00000000" w:rsidRPr="00000000" w14:paraId="0000004F">
      <w:pPr>
        <w:spacing w:line="360" w:lineRule="auto"/>
        <w:jc w:val="both"/>
        <w:rPr/>
      </w:pPr>
      <w:r w:rsidDel="00000000" w:rsidR="00000000" w:rsidRPr="00000000">
        <w:rPr>
          <w:rtl w:val="0"/>
        </w:rPr>
        <w:t xml:space="preserve">Laboratory findings showed that abnormal lipid levels were common: 49% had high total cholesterol, 44% elevated triglycerides, 36% raised LDL, and 39% low HDL. Glycemic control was also poor, with 99% of participants having HbA1c above 6%</w:t>
      </w:r>
    </w:p>
    <w:p w:rsidR="00000000" w:rsidDel="00000000" w:rsidP="00000000" w:rsidRDefault="00000000" w:rsidRPr="00000000" w14:paraId="00000050">
      <w:pPr>
        <w:spacing w:line="360" w:lineRule="auto"/>
        <w:jc w:val="both"/>
        <w:rPr>
          <w:b w:val="1"/>
          <w:bCs w:val="1"/>
        </w:rPr>
      </w:pPr>
      <w:r w:rsidDel="00000000" w:rsidR="00000000" w:rsidRPr="00000000">
        <w:rPr>
          <w:rtl w:val="0"/>
        </w:rPr>
        <w:t xml:space="preserve">(</w:t>
      </w:r>
      <w:r w:rsidDel="00000000" w:rsidR="00000000" w:rsidRPr="00000000">
        <w:rPr>
          <w:b w:val="1"/>
          <w:bCs w:val="1"/>
          <w:rtl w:val="0"/>
        </w:rPr>
        <w:t xml:space="preserve">Table 2</w:t>
      </w:r>
      <w:r w:rsidDel="00000000" w:rsidR="00000000" w:rsidRPr="00000000">
        <w:rPr>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bookmarkStart w:colFirst="0" w:colLast="0" w:name="_heading=h.mpr35sh0uxcj" w:id="3"/>
      <w:bookmarkEnd w:id="3"/>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Table 1 : Social demographic and clinical characteristics of the study participants (N=296)</w:t>
      </w:r>
    </w:p>
    <w:tbl>
      <w:tblPr>
        <w:tblStyle w:val="Table1"/>
        <w:tblW w:w="9083.0" w:type="dxa"/>
        <w:jc w:val="center"/>
        <w:tblLayout w:type="fixed"/>
        <w:tblLook w:val="0400"/>
      </w:tblPr>
      <w:tblGrid>
        <w:gridCol w:w="5049"/>
        <w:gridCol w:w="1951"/>
        <w:gridCol w:w="2083"/>
        <w:tblGridChange w:id="0">
          <w:tblGrid>
            <w:gridCol w:w="5049"/>
            <w:gridCol w:w="1951"/>
            <w:gridCol w:w="2083"/>
          </w:tblGrid>
        </w:tblGridChange>
      </w:tblGrid>
      <w:tr>
        <w:trPr>
          <w:cantSplit w:val="0"/>
          <w:trHeight w:val="265" w:hRule="atLeast"/>
          <w:tblHeader w:val="0"/>
        </w:trPr>
        <w:tc>
          <w:tcPr>
            <w:tcBorders>
              <w:top w:color="000000" w:space="0" w:sz="12" w:val="single"/>
              <w:bottom w:color="000000" w:space="0" w:sz="12" w:val="single"/>
            </w:tcBorders>
            <w:vAlign w:val="bottom"/>
          </w:tcPr>
          <w:p w:rsidR="00000000" w:rsidDel="00000000" w:rsidP="00000000" w:rsidRDefault="00000000" w:rsidRPr="00000000" w14:paraId="00000052">
            <w:pPr>
              <w:jc w:val="both"/>
              <w:rPr>
                <w:b w:val="1"/>
                <w:bCs w:val="1"/>
                <w:sz w:val="22"/>
                <w:szCs w:val="22"/>
              </w:rPr>
            </w:pPr>
            <w:r w:rsidDel="00000000" w:rsidR="00000000" w:rsidRPr="00000000">
              <w:rPr>
                <w:b w:val="1"/>
                <w:bCs w:val="1"/>
                <w:sz w:val="22"/>
                <w:szCs w:val="22"/>
                <w:rtl w:val="0"/>
              </w:rPr>
              <w:t xml:space="preserve">Variable</w:t>
            </w:r>
          </w:p>
        </w:tc>
        <w:tc>
          <w:tcPr>
            <w:tcBorders>
              <w:top w:color="000000" w:space="0" w:sz="12" w:val="single"/>
              <w:bottom w:color="000000" w:space="0" w:sz="12" w:val="single"/>
            </w:tcBorders>
            <w:vAlign w:val="bottom"/>
          </w:tcPr>
          <w:p w:rsidR="00000000" w:rsidDel="00000000" w:rsidP="00000000" w:rsidRDefault="00000000" w:rsidRPr="00000000" w14:paraId="00000053">
            <w:pPr>
              <w:jc w:val="center"/>
              <w:rPr>
                <w:b w:val="1"/>
                <w:bCs w:val="1"/>
                <w:sz w:val="22"/>
                <w:szCs w:val="22"/>
              </w:rPr>
            </w:pPr>
            <w:r w:rsidDel="00000000" w:rsidR="00000000" w:rsidRPr="00000000">
              <w:rPr>
                <w:b w:val="1"/>
                <w:bCs w:val="1"/>
                <w:sz w:val="22"/>
                <w:szCs w:val="22"/>
                <w:rtl w:val="0"/>
              </w:rPr>
              <w:t xml:space="preserve">Frequency</w:t>
            </w:r>
          </w:p>
        </w:tc>
        <w:tc>
          <w:tcPr>
            <w:tcBorders>
              <w:top w:color="000000" w:space="0" w:sz="12" w:val="single"/>
              <w:bottom w:color="000000" w:space="0" w:sz="12" w:val="single"/>
            </w:tcBorders>
            <w:vAlign w:val="bottom"/>
          </w:tcPr>
          <w:p w:rsidR="00000000" w:rsidDel="00000000" w:rsidP="00000000" w:rsidRDefault="00000000" w:rsidRPr="00000000" w14:paraId="00000054">
            <w:pPr>
              <w:jc w:val="center"/>
              <w:rPr>
                <w:b w:val="1"/>
                <w:bCs w:val="1"/>
                <w:sz w:val="22"/>
                <w:szCs w:val="22"/>
              </w:rPr>
            </w:pPr>
            <w:r w:rsidDel="00000000" w:rsidR="00000000" w:rsidRPr="00000000">
              <w:rPr>
                <w:b w:val="1"/>
                <w:bCs w:val="1"/>
                <w:sz w:val="22"/>
                <w:szCs w:val="22"/>
                <w:rtl w:val="0"/>
              </w:rPr>
              <w:t xml:space="preserve">Percentage</w:t>
            </w:r>
          </w:p>
        </w:tc>
      </w:tr>
      <w:tr>
        <w:trPr>
          <w:cantSplit w:val="0"/>
          <w:trHeight w:val="265" w:hRule="atLeast"/>
          <w:tblHeader w:val="0"/>
        </w:trPr>
        <w:tc>
          <w:tcPr>
            <w:tcBorders>
              <w:top w:color="000000" w:space="0" w:sz="12" w:val="single"/>
            </w:tcBorders>
            <w:vAlign w:val="bottom"/>
          </w:tcPr>
          <w:p w:rsidR="00000000" w:rsidDel="00000000" w:rsidP="00000000" w:rsidRDefault="00000000" w:rsidRPr="00000000" w14:paraId="00000055">
            <w:pPr>
              <w:jc w:val="both"/>
              <w:rPr>
                <w:b w:val="1"/>
                <w:bCs w:val="1"/>
                <w:sz w:val="22"/>
                <w:szCs w:val="22"/>
              </w:rPr>
            </w:pPr>
            <w:r w:rsidDel="00000000" w:rsidR="00000000" w:rsidRPr="00000000">
              <w:rPr>
                <w:b w:val="1"/>
                <w:bCs w:val="1"/>
                <w:sz w:val="22"/>
                <w:szCs w:val="22"/>
                <w:rtl w:val="0"/>
              </w:rPr>
              <w:t xml:space="preserve">Age</w:t>
            </w:r>
          </w:p>
        </w:tc>
        <w:tc>
          <w:tcPr>
            <w:tcBorders>
              <w:top w:color="000000" w:space="0" w:sz="12" w:val="single"/>
            </w:tcBorders>
            <w:vAlign w:val="bottom"/>
          </w:tcPr>
          <w:p w:rsidR="00000000" w:rsidDel="00000000" w:rsidP="00000000" w:rsidRDefault="00000000" w:rsidRPr="00000000" w14:paraId="00000056">
            <w:pPr>
              <w:jc w:val="center"/>
              <w:rPr>
                <w:sz w:val="22"/>
                <w:szCs w:val="22"/>
              </w:rPr>
            </w:pPr>
            <w:r w:rsidDel="00000000" w:rsidR="00000000" w:rsidRPr="00000000">
              <w:rPr>
                <w:rtl w:val="0"/>
              </w:rPr>
            </w:r>
          </w:p>
        </w:tc>
        <w:tc>
          <w:tcPr>
            <w:tcBorders>
              <w:top w:color="000000" w:space="0" w:sz="12" w:val="single"/>
            </w:tcBorders>
            <w:vAlign w:val="bottom"/>
          </w:tcPr>
          <w:p w:rsidR="00000000" w:rsidDel="00000000" w:rsidP="00000000" w:rsidRDefault="00000000" w:rsidRPr="00000000" w14:paraId="00000057">
            <w:pPr>
              <w:jc w:val="center"/>
              <w:rPr>
                <w:sz w:val="22"/>
                <w:szCs w:val="22"/>
              </w:rPr>
            </w:pPr>
            <w:r w:rsidDel="00000000" w:rsidR="00000000" w:rsidRPr="00000000">
              <w:rPr>
                <w:rtl w:val="0"/>
              </w:rPr>
            </w:r>
          </w:p>
        </w:tc>
      </w:tr>
      <w:tr>
        <w:trPr>
          <w:cantSplit w:val="0"/>
          <w:trHeight w:val="265" w:hRule="atLeast"/>
          <w:tblHeader w:val="0"/>
        </w:trPr>
        <w:tc>
          <w:tcPr>
            <w:vAlign w:val="bottom"/>
          </w:tcPr>
          <w:p w:rsidR="00000000" w:rsidDel="00000000" w:rsidP="00000000" w:rsidRDefault="00000000" w:rsidRPr="00000000" w14:paraId="00000058">
            <w:pPr>
              <w:jc w:val="both"/>
              <w:rPr>
                <w:i w:val="1"/>
                <w:iCs w:val="1"/>
                <w:sz w:val="22"/>
                <w:szCs w:val="22"/>
              </w:rPr>
            </w:pPr>
            <w:r w:rsidDel="00000000" w:rsidR="00000000" w:rsidRPr="00000000">
              <w:rPr>
                <w:i w:val="1"/>
                <w:iCs w:val="1"/>
                <w:sz w:val="22"/>
                <w:szCs w:val="22"/>
                <w:rtl w:val="0"/>
              </w:rPr>
              <w:t xml:space="preserve">Mean (SD)</w:t>
            </w:r>
          </w:p>
        </w:tc>
        <w:tc>
          <w:tcPr>
            <w:vAlign w:val="bottom"/>
          </w:tcPr>
          <w:p w:rsidR="00000000" w:rsidDel="00000000" w:rsidP="00000000" w:rsidRDefault="00000000" w:rsidRPr="00000000" w14:paraId="00000059">
            <w:pPr>
              <w:jc w:val="center"/>
              <w:rPr>
                <w:i w:val="1"/>
                <w:iCs w:val="1"/>
                <w:sz w:val="22"/>
                <w:szCs w:val="22"/>
              </w:rPr>
            </w:pPr>
            <w:r w:rsidDel="00000000" w:rsidR="00000000" w:rsidRPr="00000000">
              <w:rPr>
                <w:i w:val="1"/>
                <w:iCs w:val="1"/>
                <w:sz w:val="22"/>
                <w:szCs w:val="22"/>
                <w:rtl w:val="0"/>
              </w:rPr>
              <w:t xml:space="preserve">62.4 (±8.77)</w:t>
            </w:r>
          </w:p>
        </w:tc>
        <w:tc>
          <w:tcPr>
            <w:vAlign w:val="bottom"/>
          </w:tcPr>
          <w:p w:rsidR="00000000" w:rsidDel="00000000" w:rsidP="00000000" w:rsidRDefault="00000000" w:rsidRPr="00000000" w14:paraId="0000005A">
            <w:pPr>
              <w:jc w:val="center"/>
              <w:rPr>
                <w:sz w:val="22"/>
                <w:szCs w:val="22"/>
              </w:rPr>
            </w:pPr>
            <w:r w:rsidDel="00000000" w:rsidR="00000000" w:rsidRPr="00000000">
              <w:rPr>
                <w:rtl w:val="0"/>
              </w:rPr>
            </w:r>
          </w:p>
        </w:tc>
      </w:tr>
      <w:tr>
        <w:trPr>
          <w:cantSplit w:val="0"/>
          <w:trHeight w:val="265" w:hRule="atLeast"/>
          <w:tblHeader w:val="0"/>
        </w:trPr>
        <w:tc>
          <w:tcPr>
            <w:vAlign w:val="bottom"/>
          </w:tcPr>
          <w:p w:rsidR="00000000" w:rsidDel="00000000" w:rsidP="00000000" w:rsidRDefault="00000000" w:rsidRPr="00000000" w14:paraId="0000005B">
            <w:pPr>
              <w:jc w:val="both"/>
              <w:rPr>
                <w:b w:val="1"/>
                <w:bCs w:val="1"/>
                <w:sz w:val="22"/>
                <w:szCs w:val="22"/>
              </w:rPr>
            </w:pPr>
            <w:r w:rsidDel="00000000" w:rsidR="00000000" w:rsidRPr="00000000">
              <w:rPr>
                <w:b w:val="1"/>
                <w:bCs w:val="1"/>
                <w:sz w:val="22"/>
                <w:szCs w:val="22"/>
                <w:rtl w:val="0"/>
              </w:rPr>
              <w:t xml:space="preserve">Sex</w:t>
            </w:r>
          </w:p>
        </w:tc>
        <w:tc>
          <w:tcPr>
            <w:vAlign w:val="bottom"/>
          </w:tcPr>
          <w:p w:rsidR="00000000" w:rsidDel="00000000" w:rsidP="00000000" w:rsidRDefault="00000000" w:rsidRPr="00000000" w14:paraId="0000005C">
            <w:pPr>
              <w:jc w:val="center"/>
              <w:rPr>
                <w:sz w:val="22"/>
                <w:szCs w:val="22"/>
              </w:rPr>
            </w:pPr>
            <w:r w:rsidDel="00000000" w:rsidR="00000000" w:rsidRPr="00000000">
              <w:rPr>
                <w:rtl w:val="0"/>
              </w:rPr>
            </w:r>
          </w:p>
        </w:tc>
        <w:tc>
          <w:tcPr>
            <w:vAlign w:val="bottom"/>
          </w:tcPr>
          <w:p w:rsidR="00000000" w:rsidDel="00000000" w:rsidP="00000000" w:rsidRDefault="00000000" w:rsidRPr="00000000" w14:paraId="0000005D">
            <w:pPr>
              <w:jc w:val="center"/>
              <w:rPr>
                <w:sz w:val="22"/>
                <w:szCs w:val="22"/>
              </w:rPr>
            </w:pPr>
            <w:r w:rsidDel="00000000" w:rsidR="00000000" w:rsidRPr="00000000">
              <w:rPr>
                <w:rtl w:val="0"/>
              </w:rPr>
            </w:r>
          </w:p>
        </w:tc>
      </w:tr>
      <w:tr>
        <w:trPr>
          <w:cantSplit w:val="0"/>
          <w:trHeight w:val="265" w:hRule="atLeast"/>
          <w:tblHeader w:val="0"/>
        </w:trPr>
        <w:tc>
          <w:tcPr>
            <w:vAlign w:val="bottom"/>
          </w:tcPr>
          <w:p w:rsidR="00000000" w:rsidDel="00000000" w:rsidP="00000000" w:rsidRDefault="00000000" w:rsidRPr="00000000" w14:paraId="0000005E">
            <w:pPr>
              <w:ind w:left="330" w:firstLine="0"/>
              <w:jc w:val="both"/>
              <w:rPr>
                <w:sz w:val="22"/>
                <w:szCs w:val="22"/>
              </w:rPr>
            </w:pPr>
            <w:r w:rsidDel="00000000" w:rsidR="00000000" w:rsidRPr="00000000">
              <w:rPr>
                <w:sz w:val="22"/>
                <w:szCs w:val="22"/>
                <w:rtl w:val="0"/>
              </w:rPr>
              <w:t xml:space="preserve">Male</w:t>
            </w:r>
          </w:p>
        </w:tc>
        <w:tc>
          <w:tcPr>
            <w:vAlign w:val="bottom"/>
          </w:tcPr>
          <w:p w:rsidR="00000000" w:rsidDel="00000000" w:rsidP="00000000" w:rsidRDefault="00000000" w:rsidRPr="00000000" w14:paraId="0000005F">
            <w:pPr>
              <w:jc w:val="center"/>
              <w:rPr>
                <w:sz w:val="22"/>
                <w:szCs w:val="22"/>
              </w:rPr>
            </w:pPr>
            <w:r w:rsidDel="00000000" w:rsidR="00000000" w:rsidRPr="00000000">
              <w:rPr>
                <w:sz w:val="22"/>
                <w:szCs w:val="22"/>
                <w:rtl w:val="0"/>
              </w:rPr>
              <w:t xml:space="preserve">132</w:t>
            </w:r>
          </w:p>
        </w:tc>
        <w:tc>
          <w:tcPr>
            <w:vAlign w:val="bottom"/>
          </w:tcPr>
          <w:p w:rsidR="00000000" w:rsidDel="00000000" w:rsidP="00000000" w:rsidRDefault="00000000" w:rsidRPr="00000000" w14:paraId="00000060">
            <w:pPr>
              <w:jc w:val="center"/>
              <w:rPr>
                <w:sz w:val="22"/>
                <w:szCs w:val="22"/>
              </w:rPr>
            </w:pPr>
            <w:r w:rsidDel="00000000" w:rsidR="00000000" w:rsidRPr="00000000">
              <w:rPr>
                <w:sz w:val="22"/>
                <w:szCs w:val="22"/>
                <w:rtl w:val="0"/>
              </w:rPr>
              <w:t xml:space="preserve">44.6</w:t>
            </w:r>
          </w:p>
        </w:tc>
      </w:tr>
      <w:tr>
        <w:trPr>
          <w:cantSplit w:val="0"/>
          <w:trHeight w:val="265" w:hRule="atLeast"/>
          <w:tblHeader w:val="0"/>
        </w:trPr>
        <w:tc>
          <w:tcPr>
            <w:vAlign w:val="bottom"/>
          </w:tcPr>
          <w:p w:rsidR="00000000" w:rsidDel="00000000" w:rsidP="00000000" w:rsidRDefault="00000000" w:rsidRPr="00000000" w14:paraId="00000061">
            <w:pPr>
              <w:ind w:left="330" w:firstLine="0"/>
              <w:jc w:val="both"/>
              <w:rPr>
                <w:sz w:val="22"/>
                <w:szCs w:val="22"/>
              </w:rPr>
            </w:pPr>
            <w:r w:rsidDel="00000000" w:rsidR="00000000" w:rsidRPr="00000000">
              <w:rPr>
                <w:sz w:val="22"/>
                <w:szCs w:val="22"/>
                <w:rtl w:val="0"/>
              </w:rPr>
              <w:t xml:space="preserve">Female</w:t>
            </w:r>
          </w:p>
        </w:tc>
        <w:tc>
          <w:tcPr>
            <w:vAlign w:val="bottom"/>
          </w:tcPr>
          <w:p w:rsidR="00000000" w:rsidDel="00000000" w:rsidP="00000000" w:rsidRDefault="00000000" w:rsidRPr="00000000" w14:paraId="00000062">
            <w:pPr>
              <w:jc w:val="center"/>
              <w:rPr>
                <w:sz w:val="22"/>
                <w:szCs w:val="22"/>
              </w:rPr>
            </w:pPr>
            <w:r w:rsidDel="00000000" w:rsidR="00000000" w:rsidRPr="00000000">
              <w:rPr>
                <w:sz w:val="22"/>
                <w:szCs w:val="22"/>
                <w:rtl w:val="0"/>
              </w:rPr>
              <w:t xml:space="preserve">164</w:t>
            </w:r>
          </w:p>
        </w:tc>
        <w:tc>
          <w:tcPr>
            <w:vAlign w:val="bottom"/>
          </w:tcPr>
          <w:p w:rsidR="00000000" w:rsidDel="00000000" w:rsidP="00000000" w:rsidRDefault="00000000" w:rsidRPr="00000000" w14:paraId="00000063">
            <w:pPr>
              <w:jc w:val="center"/>
              <w:rPr>
                <w:b w:val="1"/>
                <w:bCs w:val="1"/>
                <w:sz w:val="22"/>
                <w:szCs w:val="22"/>
              </w:rPr>
            </w:pPr>
            <w:r w:rsidDel="00000000" w:rsidR="00000000" w:rsidRPr="00000000">
              <w:rPr>
                <w:b w:val="1"/>
                <w:bCs w:val="1"/>
                <w:sz w:val="22"/>
                <w:szCs w:val="22"/>
                <w:rtl w:val="0"/>
              </w:rPr>
              <w:t xml:space="preserve">55.4</w:t>
            </w:r>
          </w:p>
        </w:tc>
      </w:tr>
      <w:tr>
        <w:trPr>
          <w:cantSplit w:val="0"/>
          <w:trHeight w:val="265" w:hRule="atLeast"/>
          <w:tblHeader w:val="0"/>
        </w:trPr>
        <w:tc>
          <w:tcPr>
            <w:vAlign w:val="bottom"/>
          </w:tcPr>
          <w:p w:rsidR="00000000" w:rsidDel="00000000" w:rsidP="00000000" w:rsidRDefault="00000000" w:rsidRPr="00000000" w14:paraId="00000064">
            <w:pPr>
              <w:jc w:val="both"/>
              <w:rPr>
                <w:b w:val="1"/>
                <w:bCs w:val="1"/>
                <w:sz w:val="22"/>
                <w:szCs w:val="22"/>
              </w:rPr>
            </w:pPr>
            <w:r w:rsidDel="00000000" w:rsidR="00000000" w:rsidRPr="00000000">
              <w:rPr>
                <w:b w:val="1"/>
                <w:bCs w:val="1"/>
                <w:sz w:val="22"/>
                <w:szCs w:val="22"/>
                <w:rtl w:val="0"/>
              </w:rPr>
              <w:t xml:space="preserve">Residence</w:t>
            </w:r>
          </w:p>
        </w:tc>
        <w:tc>
          <w:tcPr>
            <w:vAlign w:val="bottom"/>
          </w:tcPr>
          <w:p w:rsidR="00000000" w:rsidDel="00000000" w:rsidP="00000000" w:rsidRDefault="00000000" w:rsidRPr="00000000" w14:paraId="00000065">
            <w:pPr>
              <w:jc w:val="center"/>
              <w:rPr>
                <w:sz w:val="22"/>
                <w:szCs w:val="22"/>
              </w:rPr>
            </w:pPr>
            <w:r w:rsidDel="00000000" w:rsidR="00000000" w:rsidRPr="00000000">
              <w:rPr>
                <w:rtl w:val="0"/>
              </w:rPr>
            </w:r>
          </w:p>
        </w:tc>
        <w:tc>
          <w:tcPr>
            <w:vAlign w:val="bottom"/>
          </w:tcPr>
          <w:p w:rsidR="00000000" w:rsidDel="00000000" w:rsidP="00000000" w:rsidRDefault="00000000" w:rsidRPr="00000000" w14:paraId="00000066">
            <w:pPr>
              <w:jc w:val="center"/>
              <w:rPr>
                <w:sz w:val="22"/>
                <w:szCs w:val="22"/>
              </w:rPr>
            </w:pPr>
            <w:r w:rsidDel="00000000" w:rsidR="00000000" w:rsidRPr="00000000">
              <w:rPr>
                <w:rtl w:val="0"/>
              </w:rPr>
            </w:r>
          </w:p>
        </w:tc>
      </w:tr>
      <w:tr>
        <w:trPr>
          <w:cantSplit w:val="0"/>
          <w:trHeight w:val="265" w:hRule="atLeast"/>
          <w:tblHeader w:val="0"/>
        </w:trPr>
        <w:tc>
          <w:tcPr>
            <w:vAlign w:val="bottom"/>
          </w:tcPr>
          <w:p w:rsidR="00000000" w:rsidDel="00000000" w:rsidP="00000000" w:rsidRDefault="00000000" w:rsidRPr="00000000" w14:paraId="00000067">
            <w:pPr>
              <w:ind w:left="330" w:firstLine="0"/>
              <w:jc w:val="both"/>
              <w:rPr>
                <w:sz w:val="22"/>
                <w:szCs w:val="22"/>
              </w:rPr>
            </w:pPr>
            <w:r w:rsidDel="00000000" w:rsidR="00000000" w:rsidRPr="00000000">
              <w:rPr>
                <w:sz w:val="22"/>
                <w:szCs w:val="22"/>
                <w:rtl w:val="0"/>
              </w:rPr>
              <w:t xml:space="preserve">Urban</w:t>
            </w:r>
          </w:p>
        </w:tc>
        <w:tc>
          <w:tcPr>
            <w:vAlign w:val="bottom"/>
          </w:tcPr>
          <w:p w:rsidR="00000000" w:rsidDel="00000000" w:rsidP="00000000" w:rsidRDefault="00000000" w:rsidRPr="00000000" w14:paraId="00000068">
            <w:pPr>
              <w:jc w:val="center"/>
              <w:rPr>
                <w:sz w:val="22"/>
                <w:szCs w:val="22"/>
              </w:rPr>
            </w:pPr>
            <w:r w:rsidDel="00000000" w:rsidR="00000000" w:rsidRPr="00000000">
              <w:rPr>
                <w:sz w:val="22"/>
                <w:szCs w:val="22"/>
                <w:rtl w:val="0"/>
              </w:rPr>
              <w:t xml:space="preserve">258</w:t>
            </w:r>
          </w:p>
        </w:tc>
        <w:tc>
          <w:tcPr>
            <w:vAlign w:val="bottom"/>
          </w:tcPr>
          <w:p w:rsidR="00000000" w:rsidDel="00000000" w:rsidP="00000000" w:rsidRDefault="00000000" w:rsidRPr="00000000" w14:paraId="00000069">
            <w:pPr>
              <w:jc w:val="center"/>
              <w:rPr>
                <w:b w:val="1"/>
                <w:bCs w:val="1"/>
                <w:sz w:val="22"/>
                <w:szCs w:val="22"/>
              </w:rPr>
            </w:pPr>
            <w:r w:rsidDel="00000000" w:rsidR="00000000" w:rsidRPr="00000000">
              <w:rPr>
                <w:b w:val="1"/>
                <w:bCs w:val="1"/>
                <w:sz w:val="22"/>
                <w:szCs w:val="22"/>
                <w:rtl w:val="0"/>
              </w:rPr>
              <w:t xml:space="preserve">87.2</w:t>
            </w:r>
          </w:p>
        </w:tc>
      </w:tr>
      <w:tr>
        <w:trPr>
          <w:cantSplit w:val="0"/>
          <w:trHeight w:val="265" w:hRule="atLeast"/>
          <w:tblHeader w:val="0"/>
        </w:trPr>
        <w:tc>
          <w:tcPr>
            <w:vAlign w:val="bottom"/>
          </w:tcPr>
          <w:p w:rsidR="00000000" w:rsidDel="00000000" w:rsidP="00000000" w:rsidRDefault="00000000" w:rsidRPr="00000000" w14:paraId="0000006A">
            <w:pPr>
              <w:ind w:left="330" w:firstLine="0"/>
              <w:jc w:val="both"/>
              <w:rPr>
                <w:sz w:val="22"/>
                <w:szCs w:val="22"/>
              </w:rPr>
            </w:pPr>
            <w:r w:rsidDel="00000000" w:rsidR="00000000" w:rsidRPr="00000000">
              <w:rPr>
                <w:sz w:val="22"/>
                <w:szCs w:val="22"/>
                <w:rtl w:val="0"/>
              </w:rPr>
              <w:t xml:space="preserve">Rural</w:t>
            </w:r>
          </w:p>
        </w:tc>
        <w:tc>
          <w:tcPr>
            <w:vAlign w:val="bottom"/>
          </w:tcPr>
          <w:p w:rsidR="00000000" w:rsidDel="00000000" w:rsidP="00000000" w:rsidRDefault="00000000" w:rsidRPr="00000000" w14:paraId="0000006B">
            <w:pPr>
              <w:jc w:val="center"/>
              <w:rPr>
                <w:sz w:val="22"/>
                <w:szCs w:val="22"/>
              </w:rPr>
            </w:pPr>
            <w:r w:rsidDel="00000000" w:rsidR="00000000" w:rsidRPr="00000000">
              <w:rPr>
                <w:sz w:val="22"/>
                <w:szCs w:val="22"/>
                <w:rtl w:val="0"/>
              </w:rPr>
              <w:t xml:space="preserve">38</w:t>
            </w:r>
          </w:p>
        </w:tc>
        <w:tc>
          <w:tcPr>
            <w:vAlign w:val="bottom"/>
          </w:tcPr>
          <w:p w:rsidR="00000000" w:rsidDel="00000000" w:rsidP="00000000" w:rsidRDefault="00000000" w:rsidRPr="00000000" w14:paraId="0000006C">
            <w:pPr>
              <w:jc w:val="center"/>
              <w:rPr>
                <w:sz w:val="22"/>
                <w:szCs w:val="22"/>
              </w:rPr>
            </w:pPr>
            <w:r w:rsidDel="00000000" w:rsidR="00000000" w:rsidRPr="00000000">
              <w:rPr>
                <w:sz w:val="22"/>
                <w:szCs w:val="22"/>
                <w:rtl w:val="0"/>
              </w:rPr>
              <w:t xml:space="preserve">12.8</w:t>
            </w:r>
          </w:p>
        </w:tc>
      </w:tr>
      <w:tr>
        <w:trPr>
          <w:cantSplit w:val="0"/>
          <w:trHeight w:val="265" w:hRule="atLeast"/>
          <w:tblHeader w:val="0"/>
        </w:trPr>
        <w:tc>
          <w:tcPr>
            <w:vAlign w:val="bottom"/>
          </w:tcPr>
          <w:p w:rsidR="00000000" w:rsidDel="00000000" w:rsidP="00000000" w:rsidRDefault="00000000" w:rsidRPr="00000000" w14:paraId="0000006D">
            <w:pPr>
              <w:jc w:val="both"/>
              <w:rPr>
                <w:sz w:val="22"/>
                <w:szCs w:val="22"/>
              </w:rPr>
            </w:pPr>
            <w:r w:rsidDel="00000000" w:rsidR="00000000" w:rsidRPr="00000000">
              <w:rPr>
                <w:b w:val="1"/>
                <w:bCs w:val="1"/>
                <w:sz w:val="22"/>
                <w:szCs w:val="22"/>
                <w:rtl w:val="0"/>
              </w:rPr>
              <w:t xml:space="preserve">Duration of DM</w:t>
            </w:r>
            <w:r w:rsidDel="00000000" w:rsidR="00000000" w:rsidRPr="00000000">
              <w:rPr>
                <w:rtl w:val="0"/>
              </w:rPr>
            </w:r>
          </w:p>
        </w:tc>
        <w:tc>
          <w:tcPr>
            <w:vAlign w:val="bottom"/>
          </w:tcPr>
          <w:p w:rsidR="00000000" w:rsidDel="00000000" w:rsidP="00000000" w:rsidRDefault="00000000" w:rsidRPr="00000000" w14:paraId="0000006E">
            <w:pPr>
              <w:jc w:val="center"/>
              <w:rPr>
                <w:sz w:val="22"/>
                <w:szCs w:val="22"/>
              </w:rPr>
            </w:pPr>
            <w:r w:rsidDel="00000000" w:rsidR="00000000" w:rsidRPr="00000000">
              <w:rPr>
                <w:rtl w:val="0"/>
              </w:rPr>
            </w:r>
          </w:p>
        </w:tc>
        <w:tc>
          <w:tcPr>
            <w:vAlign w:val="bottom"/>
          </w:tcPr>
          <w:p w:rsidR="00000000" w:rsidDel="00000000" w:rsidP="00000000" w:rsidRDefault="00000000" w:rsidRPr="00000000" w14:paraId="0000006F">
            <w:pPr>
              <w:jc w:val="center"/>
              <w:rPr>
                <w:sz w:val="22"/>
                <w:szCs w:val="22"/>
              </w:rPr>
            </w:pPr>
            <w:r w:rsidDel="00000000" w:rsidR="00000000" w:rsidRPr="00000000">
              <w:rPr>
                <w:rtl w:val="0"/>
              </w:rPr>
            </w:r>
          </w:p>
        </w:tc>
      </w:tr>
      <w:tr>
        <w:trPr>
          <w:cantSplit w:val="0"/>
          <w:trHeight w:val="265" w:hRule="atLeast"/>
          <w:tblHeader w:val="0"/>
        </w:trPr>
        <w:tc>
          <w:tcPr>
            <w:vAlign w:val="bottom"/>
          </w:tcPr>
          <w:p w:rsidR="00000000" w:rsidDel="00000000" w:rsidP="00000000" w:rsidRDefault="00000000" w:rsidRPr="00000000" w14:paraId="00000070">
            <w:pPr>
              <w:ind w:left="330" w:firstLine="0"/>
              <w:jc w:val="both"/>
              <w:rPr>
                <w:sz w:val="22"/>
                <w:szCs w:val="22"/>
              </w:rPr>
            </w:pPr>
            <w:sdt>
              <w:sdtPr>
                <w:id w:val="2073917120"/>
                <w:tag w:val="goog_rdk_1"/>
              </w:sdtPr>
              <w:sdtContent>
                <w:r w:rsidDel="00000000" w:rsidR="00000000" w:rsidRPr="00000000">
                  <w:rPr>
                    <w:rFonts w:ascii="Gungsuh" w:cs="Gungsuh" w:eastAsia="Gungsuh" w:hAnsi="Gungsuh"/>
                    <w:sz w:val="22"/>
                    <w:szCs w:val="22"/>
                    <w:rtl w:val="0"/>
                  </w:rPr>
                  <w:t xml:space="preserve">≤ 5 Years</w:t>
                </w:r>
              </w:sdtContent>
            </w:sdt>
          </w:p>
        </w:tc>
        <w:tc>
          <w:tcPr>
            <w:vAlign w:val="bottom"/>
          </w:tcPr>
          <w:p w:rsidR="00000000" w:rsidDel="00000000" w:rsidP="00000000" w:rsidRDefault="00000000" w:rsidRPr="00000000" w14:paraId="00000071">
            <w:pPr>
              <w:jc w:val="center"/>
              <w:rPr>
                <w:sz w:val="22"/>
                <w:szCs w:val="22"/>
              </w:rPr>
            </w:pPr>
            <w:r w:rsidDel="00000000" w:rsidR="00000000" w:rsidRPr="00000000">
              <w:rPr>
                <w:sz w:val="22"/>
                <w:szCs w:val="22"/>
                <w:rtl w:val="0"/>
              </w:rPr>
              <w:t xml:space="preserve">8</w:t>
            </w:r>
          </w:p>
        </w:tc>
        <w:tc>
          <w:tcPr>
            <w:vAlign w:val="bottom"/>
          </w:tcPr>
          <w:p w:rsidR="00000000" w:rsidDel="00000000" w:rsidP="00000000" w:rsidRDefault="00000000" w:rsidRPr="00000000" w14:paraId="00000072">
            <w:pPr>
              <w:jc w:val="center"/>
              <w:rPr>
                <w:sz w:val="22"/>
                <w:szCs w:val="22"/>
              </w:rPr>
            </w:pPr>
            <w:r w:rsidDel="00000000" w:rsidR="00000000" w:rsidRPr="00000000">
              <w:rPr>
                <w:sz w:val="22"/>
                <w:szCs w:val="22"/>
                <w:rtl w:val="0"/>
              </w:rPr>
              <w:t xml:space="preserve">2.7</w:t>
            </w:r>
          </w:p>
        </w:tc>
      </w:tr>
      <w:tr>
        <w:trPr>
          <w:cantSplit w:val="0"/>
          <w:trHeight w:val="265" w:hRule="atLeast"/>
          <w:tblHeader w:val="0"/>
        </w:trPr>
        <w:tc>
          <w:tcPr>
            <w:vAlign w:val="bottom"/>
          </w:tcPr>
          <w:p w:rsidR="00000000" w:rsidDel="00000000" w:rsidP="00000000" w:rsidRDefault="00000000" w:rsidRPr="00000000" w14:paraId="00000073">
            <w:pPr>
              <w:ind w:left="330" w:firstLine="0"/>
              <w:jc w:val="both"/>
              <w:rPr>
                <w:sz w:val="22"/>
                <w:szCs w:val="22"/>
              </w:rPr>
            </w:pPr>
            <w:r w:rsidDel="00000000" w:rsidR="00000000" w:rsidRPr="00000000">
              <w:rPr>
                <w:sz w:val="22"/>
                <w:szCs w:val="22"/>
                <w:rtl w:val="0"/>
              </w:rPr>
              <w:t xml:space="preserve">&gt; 5 Years</w:t>
            </w:r>
          </w:p>
        </w:tc>
        <w:tc>
          <w:tcPr>
            <w:vAlign w:val="bottom"/>
          </w:tcPr>
          <w:p w:rsidR="00000000" w:rsidDel="00000000" w:rsidP="00000000" w:rsidRDefault="00000000" w:rsidRPr="00000000" w14:paraId="00000074">
            <w:pPr>
              <w:jc w:val="center"/>
              <w:rPr>
                <w:sz w:val="22"/>
                <w:szCs w:val="22"/>
              </w:rPr>
            </w:pPr>
            <w:r w:rsidDel="00000000" w:rsidR="00000000" w:rsidRPr="00000000">
              <w:rPr>
                <w:sz w:val="22"/>
                <w:szCs w:val="22"/>
                <w:rtl w:val="0"/>
              </w:rPr>
              <w:t xml:space="preserve">288</w:t>
            </w:r>
          </w:p>
        </w:tc>
        <w:tc>
          <w:tcPr>
            <w:vAlign w:val="bottom"/>
          </w:tcPr>
          <w:p w:rsidR="00000000" w:rsidDel="00000000" w:rsidP="00000000" w:rsidRDefault="00000000" w:rsidRPr="00000000" w14:paraId="00000075">
            <w:pPr>
              <w:jc w:val="center"/>
              <w:rPr>
                <w:b w:val="1"/>
                <w:bCs w:val="1"/>
                <w:sz w:val="22"/>
                <w:szCs w:val="22"/>
              </w:rPr>
            </w:pPr>
            <w:r w:rsidDel="00000000" w:rsidR="00000000" w:rsidRPr="00000000">
              <w:rPr>
                <w:b w:val="1"/>
                <w:bCs w:val="1"/>
                <w:sz w:val="22"/>
                <w:szCs w:val="22"/>
                <w:rtl w:val="0"/>
              </w:rPr>
              <w:t xml:space="preserve">97.3</w:t>
            </w:r>
          </w:p>
        </w:tc>
      </w:tr>
      <w:tr>
        <w:trPr>
          <w:cantSplit w:val="0"/>
          <w:trHeight w:val="265" w:hRule="atLeast"/>
          <w:tblHeader w:val="0"/>
        </w:trPr>
        <w:tc>
          <w:tcPr>
            <w:vAlign w:val="bottom"/>
          </w:tcPr>
          <w:p w:rsidR="00000000" w:rsidDel="00000000" w:rsidP="00000000" w:rsidRDefault="00000000" w:rsidRPr="00000000" w14:paraId="00000076">
            <w:pPr>
              <w:ind w:left="330" w:firstLine="0"/>
              <w:jc w:val="both"/>
              <w:rPr>
                <w:i w:val="1"/>
                <w:iCs w:val="1"/>
                <w:sz w:val="22"/>
                <w:szCs w:val="22"/>
              </w:rPr>
            </w:pPr>
            <w:r w:rsidDel="00000000" w:rsidR="00000000" w:rsidRPr="00000000">
              <w:rPr>
                <w:i w:val="1"/>
                <w:iCs w:val="1"/>
                <w:sz w:val="22"/>
                <w:szCs w:val="22"/>
                <w:rtl w:val="0"/>
              </w:rPr>
              <w:t xml:space="preserve">Mean (SD)</w:t>
            </w:r>
          </w:p>
        </w:tc>
        <w:tc>
          <w:tcPr>
            <w:vAlign w:val="bottom"/>
          </w:tcPr>
          <w:p w:rsidR="00000000" w:rsidDel="00000000" w:rsidP="00000000" w:rsidRDefault="00000000" w:rsidRPr="00000000" w14:paraId="00000077">
            <w:pPr>
              <w:jc w:val="center"/>
              <w:rPr>
                <w:sz w:val="22"/>
                <w:szCs w:val="22"/>
              </w:rPr>
            </w:pPr>
            <w:r w:rsidDel="00000000" w:rsidR="00000000" w:rsidRPr="00000000">
              <w:rPr>
                <w:i w:val="1"/>
                <w:iCs w:val="1"/>
                <w:sz w:val="22"/>
                <w:szCs w:val="22"/>
                <w:rtl w:val="0"/>
              </w:rPr>
              <w:t xml:space="preserve">11 (±3.53)</w:t>
            </w:r>
            <w:r w:rsidDel="00000000" w:rsidR="00000000" w:rsidRPr="00000000">
              <w:rPr>
                <w:rtl w:val="0"/>
              </w:rPr>
            </w:r>
          </w:p>
        </w:tc>
        <w:tc>
          <w:tcPr>
            <w:vAlign w:val="bottom"/>
          </w:tcPr>
          <w:p w:rsidR="00000000" w:rsidDel="00000000" w:rsidP="00000000" w:rsidRDefault="00000000" w:rsidRPr="00000000" w14:paraId="00000078">
            <w:pPr>
              <w:jc w:val="center"/>
              <w:rPr>
                <w:sz w:val="22"/>
                <w:szCs w:val="22"/>
              </w:rPr>
            </w:pPr>
            <w:r w:rsidDel="00000000" w:rsidR="00000000" w:rsidRPr="00000000">
              <w:rPr>
                <w:rtl w:val="0"/>
              </w:rPr>
            </w:r>
          </w:p>
        </w:tc>
      </w:tr>
      <w:tr>
        <w:trPr>
          <w:cantSplit w:val="0"/>
          <w:trHeight w:val="265" w:hRule="atLeast"/>
          <w:tblHeader w:val="0"/>
        </w:trPr>
        <w:tc>
          <w:tcPr>
            <w:vAlign w:val="bottom"/>
          </w:tcPr>
          <w:p w:rsidR="00000000" w:rsidDel="00000000" w:rsidP="00000000" w:rsidRDefault="00000000" w:rsidRPr="00000000" w14:paraId="00000079">
            <w:pPr>
              <w:jc w:val="both"/>
              <w:rPr>
                <w:b w:val="1"/>
                <w:bCs w:val="1"/>
                <w:sz w:val="22"/>
                <w:szCs w:val="22"/>
              </w:rPr>
            </w:pPr>
            <w:r w:rsidDel="00000000" w:rsidR="00000000" w:rsidRPr="00000000">
              <w:rPr>
                <w:b w:val="1"/>
                <w:bCs w:val="1"/>
                <w:sz w:val="22"/>
                <w:szCs w:val="22"/>
                <w:rtl w:val="0"/>
              </w:rPr>
              <w:t xml:space="preserve">Type of medicine use</w:t>
            </w:r>
          </w:p>
        </w:tc>
        <w:tc>
          <w:tcPr>
            <w:vAlign w:val="bottom"/>
          </w:tcPr>
          <w:p w:rsidR="00000000" w:rsidDel="00000000" w:rsidP="00000000" w:rsidRDefault="00000000" w:rsidRPr="00000000" w14:paraId="0000007A">
            <w:pPr>
              <w:jc w:val="center"/>
              <w:rPr>
                <w:sz w:val="22"/>
                <w:szCs w:val="22"/>
              </w:rPr>
            </w:pPr>
            <w:r w:rsidDel="00000000" w:rsidR="00000000" w:rsidRPr="00000000">
              <w:rPr>
                <w:rtl w:val="0"/>
              </w:rPr>
            </w:r>
          </w:p>
        </w:tc>
        <w:tc>
          <w:tcPr>
            <w:vAlign w:val="bottom"/>
          </w:tcPr>
          <w:p w:rsidR="00000000" w:rsidDel="00000000" w:rsidP="00000000" w:rsidRDefault="00000000" w:rsidRPr="00000000" w14:paraId="0000007B">
            <w:pPr>
              <w:jc w:val="center"/>
              <w:rPr>
                <w:sz w:val="22"/>
                <w:szCs w:val="22"/>
              </w:rPr>
            </w:pPr>
            <w:r w:rsidDel="00000000" w:rsidR="00000000" w:rsidRPr="00000000">
              <w:rPr>
                <w:rtl w:val="0"/>
              </w:rPr>
            </w:r>
          </w:p>
        </w:tc>
      </w:tr>
      <w:tr>
        <w:trPr>
          <w:cantSplit w:val="0"/>
          <w:trHeight w:val="265" w:hRule="atLeast"/>
          <w:tblHeader w:val="0"/>
        </w:trPr>
        <w:tc>
          <w:tcPr>
            <w:vAlign w:val="bottom"/>
          </w:tcPr>
          <w:p w:rsidR="00000000" w:rsidDel="00000000" w:rsidP="00000000" w:rsidRDefault="00000000" w:rsidRPr="00000000" w14:paraId="0000007C">
            <w:pPr>
              <w:ind w:left="330" w:firstLine="0"/>
              <w:jc w:val="both"/>
              <w:rPr>
                <w:sz w:val="22"/>
                <w:szCs w:val="22"/>
              </w:rPr>
            </w:pPr>
            <w:r w:rsidDel="00000000" w:rsidR="00000000" w:rsidRPr="00000000">
              <w:rPr>
                <w:sz w:val="22"/>
                <w:szCs w:val="22"/>
                <w:rtl w:val="0"/>
              </w:rPr>
              <w:t xml:space="preserve">Oral</w:t>
            </w:r>
          </w:p>
        </w:tc>
        <w:tc>
          <w:tcPr>
            <w:vAlign w:val="bottom"/>
          </w:tcPr>
          <w:p w:rsidR="00000000" w:rsidDel="00000000" w:rsidP="00000000" w:rsidRDefault="00000000" w:rsidRPr="00000000" w14:paraId="0000007D">
            <w:pPr>
              <w:jc w:val="center"/>
              <w:rPr>
                <w:sz w:val="22"/>
                <w:szCs w:val="22"/>
              </w:rPr>
            </w:pPr>
            <w:r w:rsidDel="00000000" w:rsidR="00000000" w:rsidRPr="00000000">
              <w:rPr>
                <w:sz w:val="22"/>
                <w:szCs w:val="22"/>
                <w:rtl w:val="0"/>
              </w:rPr>
              <w:t xml:space="preserve">293</w:t>
            </w:r>
          </w:p>
        </w:tc>
        <w:tc>
          <w:tcPr>
            <w:vAlign w:val="bottom"/>
          </w:tcPr>
          <w:p w:rsidR="00000000" w:rsidDel="00000000" w:rsidP="00000000" w:rsidRDefault="00000000" w:rsidRPr="00000000" w14:paraId="0000007E">
            <w:pPr>
              <w:jc w:val="center"/>
              <w:rPr>
                <w:b w:val="1"/>
                <w:bCs w:val="1"/>
                <w:sz w:val="22"/>
                <w:szCs w:val="22"/>
              </w:rPr>
            </w:pPr>
            <w:r w:rsidDel="00000000" w:rsidR="00000000" w:rsidRPr="00000000">
              <w:rPr>
                <w:b w:val="1"/>
                <w:bCs w:val="1"/>
                <w:sz w:val="22"/>
                <w:szCs w:val="22"/>
                <w:rtl w:val="0"/>
              </w:rPr>
              <w:t xml:space="preserve">99</w:t>
            </w:r>
          </w:p>
        </w:tc>
      </w:tr>
      <w:tr>
        <w:trPr>
          <w:cantSplit w:val="0"/>
          <w:trHeight w:val="265" w:hRule="atLeast"/>
          <w:tblHeader w:val="0"/>
        </w:trPr>
        <w:tc>
          <w:tcPr>
            <w:vAlign w:val="bottom"/>
          </w:tcPr>
          <w:p w:rsidR="00000000" w:rsidDel="00000000" w:rsidP="00000000" w:rsidRDefault="00000000" w:rsidRPr="00000000" w14:paraId="0000007F">
            <w:pPr>
              <w:ind w:left="330" w:firstLine="0"/>
              <w:jc w:val="both"/>
              <w:rPr>
                <w:sz w:val="22"/>
                <w:szCs w:val="22"/>
              </w:rPr>
            </w:pPr>
            <w:r w:rsidDel="00000000" w:rsidR="00000000" w:rsidRPr="00000000">
              <w:rPr>
                <w:sz w:val="22"/>
                <w:szCs w:val="22"/>
                <w:rtl w:val="0"/>
              </w:rPr>
              <w:t xml:space="preserve">Injectable</w:t>
            </w:r>
          </w:p>
        </w:tc>
        <w:tc>
          <w:tcPr>
            <w:vAlign w:val="bottom"/>
          </w:tcPr>
          <w:p w:rsidR="00000000" w:rsidDel="00000000" w:rsidP="00000000" w:rsidRDefault="00000000" w:rsidRPr="00000000" w14:paraId="00000080">
            <w:pPr>
              <w:jc w:val="center"/>
              <w:rPr>
                <w:sz w:val="22"/>
                <w:szCs w:val="22"/>
              </w:rPr>
            </w:pPr>
            <w:r w:rsidDel="00000000" w:rsidR="00000000" w:rsidRPr="00000000">
              <w:rPr>
                <w:sz w:val="22"/>
                <w:szCs w:val="22"/>
                <w:rtl w:val="0"/>
              </w:rPr>
              <w:t xml:space="preserve">3</w:t>
            </w:r>
          </w:p>
        </w:tc>
        <w:tc>
          <w:tcPr>
            <w:vAlign w:val="bottom"/>
          </w:tcPr>
          <w:p w:rsidR="00000000" w:rsidDel="00000000" w:rsidP="00000000" w:rsidRDefault="00000000" w:rsidRPr="00000000" w14:paraId="00000081">
            <w:pPr>
              <w:jc w:val="center"/>
              <w:rPr>
                <w:sz w:val="22"/>
                <w:szCs w:val="22"/>
              </w:rPr>
            </w:pPr>
            <w:r w:rsidDel="00000000" w:rsidR="00000000" w:rsidRPr="00000000">
              <w:rPr>
                <w:sz w:val="22"/>
                <w:szCs w:val="22"/>
                <w:rtl w:val="0"/>
              </w:rPr>
              <w:t xml:space="preserve">1</w:t>
            </w:r>
          </w:p>
        </w:tc>
      </w:tr>
      <w:tr>
        <w:trPr>
          <w:cantSplit w:val="0"/>
          <w:trHeight w:val="265" w:hRule="atLeast"/>
          <w:tblHeader w:val="0"/>
        </w:trPr>
        <w:tc>
          <w:tcPr>
            <w:vAlign w:val="bottom"/>
          </w:tcPr>
          <w:p w:rsidR="00000000" w:rsidDel="00000000" w:rsidP="00000000" w:rsidRDefault="00000000" w:rsidRPr="00000000" w14:paraId="00000082">
            <w:pPr>
              <w:jc w:val="both"/>
              <w:rPr>
                <w:b w:val="1"/>
                <w:bCs w:val="1"/>
                <w:sz w:val="22"/>
                <w:szCs w:val="22"/>
              </w:rPr>
            </w:pPr>
            <w:r w:rsidDel="00000000" w:rsidR="00000000" w:rsidRPr="00000000">
              <w:rPr>
                <w:b w:val="1"/>
                <w:bCs w:val="1"/>
                <w:sz w:val="22"/>
                <w:szCs w:val="22"/>
                <w:rtl w:val="0"/>
              </w:rPr>
              <w:t xml:space="preserve">Intraocular pressure of Right eye</w:t>
            </w:r>
          </w:p>
        </w:tc>
        <w:tc>
          <w:tcPr>
            <w:vAlign w:val="bottom"/>
          </w:tcPr>
          <w:p w:rsidR="00000000" w:rsidDel="00000000" w:rsidP="00000000" w:rsidRDefault="00000000" w:rsidRPr="00000000" w14:paraId="00000083">
            <w:pPr>
              <w:jc w:val="center"/>
              <w:rPr>
                <w:sz w:val="22"/>
                <w:szCs w:val="22"/>
              </w:rPr>
            </w:pPr>
            <w:r w:rsidDel="00000000" w:rsidR="00000000" w:rsidRPr="00000000">
              <w:rPr>
                <w:rtl w:val="0"/>
              </w:rPr>
            </w:r>
          </w:p>
        </w:tc>
        <w:tc>
          <w:tcPr>
            <w:vAlign w:val="bottom"/>
          </w:tcPr>
          <w:p w:rsidR="00000000" w:rsidDel="00000000" w:rsidP="00000000" w:rsidRDefault="00000000" w:rsidRPr="00000000" w14:paraId="00000084">
            <w:pPr>
              <w:jc w:val="center"/>
              <w:rPr>
                <w:sz w:val="22"/>
                <w:szCs w:val="22"/>
              </w:rPr>
            </w:pPr>
            <w:r w:rsidDel="00000000" w:rsidR="00000000" w:rsidRPr="00000000">
              <w:rPr>
                <w:rtl w:val="0"/>
              </w:rPr>
            </w:r>
          </w:p>
        </w:tc>
      </w:tr>
      <w:tr>
        <w:trPr>
          <w:cantSplit w:val="0"/>
          <w:trHeight w:val="265" w:hRule="atLeast"/>
          <w:tblHeader w:val="0"/>
        </w:trPr>
        <w:tc>
          <w:tcPr>
            <w:vAlign w:val="bottom"/>
          </w:tcPr>
          <w:p w:rsidR="00000000" w:rsidDel="00000000" w:rsidP="00000000" w:rsidRDefault="00000000" w:rsidRPr="00000000" w14:paraId="00000085">
            <w:pPr>
              <w:ind w:left="330" w:firstLine="0"/>
              <w:jc w:val="both"/>
              <w:rPr>
                <w:sz w:val="22"/>
                <w:szCs w:val="22"/>
              </w:rPr>
            </w:pPr>
            <w:r w:rsidDel="00000000" w:rsidR="00000000" w:rsidRPr="00000000">
              <w:rPr>
                <w:sz w:val="22"/>
                <w:szCs w:val="22"/>
                <w:rtl w:val="0"/>
              </w:rPr>
              <w:t xml:space="preserve">Normal</w:t>
            </w:r>
          </w:p>
        </w:tc>
        <w:tc>
          <w:tcPr>
            <w:vAlign w:val="bottom"/>
          </w:tcPr>
          <w:p w:rsidR="00000000" w:rsidDel="00000000" w:rsidP="00000000" w:rsidRDefault="00000000" w:rsidRPr="00000000" w14:paraId="00000086">
            <w:pPr>
              <w:jc w:val="center"/>
              <w:rPr>
                <w:sz w:val="22"/>
                <w:szCs w:val="22"/>
              </w:rPr>
            </w:pPr>
            <w:r w:rsidDel="00000000" w:rsidR="00000000" w:rsidRPr="00000000">
              <w:rPr>
                <w:sz w:val="22"/>
                <w:szCs w:val="22"/>
                <w:rtl w:val="0"/>
              </w:rPr>
              <w:t xml:space="preserve">288</w:t>
            </w:r>
          </w:p>
        </w:tc>
        <w:tc>
          <w:tcPr>
            <w:vAlign w:val="bottom"/>
          </w:tcPr>
          <w:p w:rsidR="00000000" w:rsidDel="00000000" w:rsidP="00000000" w:rsidRDefault="00000000" w:rsidRPr="00000000" w14:paraId="00000087">
            <w:pPr>
              <w:jc w:val="center"/>
              <w:rPr>
                <w:b w:val="1"/>
                <w:bCs w:val="1"/>
                <w:sz w:val="22"/>
                <w:szCs w:val="22"/>
              </w:rPr>
            </w:pPr>
            <w:r w:rsidDel="00000000" w:rsidR="00000000" w:rsidRPr="00000000">
              <w:rPr>
                <w:b w:val="1"/>
                <w:bCs w:val="1"/>
                <w:sz w:val="22"/>
                <w:szCs w:val="22"/>
                <w:rtl w:val="0"/>
              </w:rPr>
              <w:t xml:space="preserve">97.3</w:t>
            </w:r>
          </w:p>
        </w:tc>
      </w:tr>
      <w:tr>
        <w:trPr>
          <w:cantSplit w:val="0"/>
          <w:trHeight w:val="265" w:hRule="atLeast"/>
          <w:tblHeader w:val="0"/>
        </w:trPr>
        <w:tc>
          <w:tcPr>
            <w:vAlign w:val="bottom"/>
          </w:tcPr>
          <w:p w:rsidR="00000000" w:rsidDel="00000000" w:rsidP="00000000" w:rsidRDefault="00000000" w:rsidRPr="00000000" w14:paraId="00000088">
            <w:pPr>
              <w:ind w:left="330" w:firstLine="0"/>
              <w:jc w:val="both"/>
              <w:rPr>
                <w:sz w:val="22"/>
                <w:szCs w:val="22"/>
              </w:rPr>
            </w:pPr>
            <w:r w:rsidDel="00000000" w:rsidR="00000000" w:rsidRPr="00000000">
              <w:rPr>
                <w:sz w:val="22"/>
                <w:szCs w:val="22"/>
                <w:rtl w:val="0"/>
              </w:rPr>
              <w:t xml:space="preserve">High</w:t>
            </w:r>
          </w:p>
        </w:tc>
        <w:tc>
          <w:tcPr>
            <w:vAlign w:val="bottom"/>
          </w:tcPr>
          <w:p w:rsidR="00000000" w:rsidDel="00000000" w:rsidP="00000000" w:rsidRDefault="00000000" w:rsidRPr="00000000" w14:paraId="00000089">
            <w:pPr>
              <w:jc w:val="center"/>
              <w:rPr>
                <w:sz w:val="22"/>
                <w:szCs w:val="22"/>
              </w:rPr>
            </w:pPr>
            <w:r w:rsidDel="00000000" w:rsidR="00000000" w:rsidRPr="00000000">
              <w:rPr>
                <w:sz w:val="22"/>
                <w:szCs w:val="22"/>
                <w:rtl w:val="0"/>
              </w:rPr>
              <w:t xml:space="preserve">8</w:t>
            </w:r>
          </w:p>
        </w:tc>
        <w:tc>
          <w:tcPr>
            <w:vAlign w:val="bottom"/>
          </w:tcPr>
          <w:p w:rsidR="00000000" w:rsidDel="00000000" w:rsidP="00000000" w:rsidRDefault="00000000" w:rsidRPr="00000000" w14:paraId="0000008A">
            <w:pPr>
              <w:jc w:val="center"/>
              <w:rPr>
                <w:sz w:val="22"/>
                <w:szCs w:val="22"/>
              </w:rPr>
            </w:pPr>
            <w:r w:rsidDel="00000000" w:rsidR="00000000" w:rsidRPr="00000000">
              <w:rPr>
                <w:sz w:val="22"/>
                <w:szCs w:val="22"/>
                <w:rtl w:val="0"/>
              </w:rPr>
              <w:t xml:space="preserve">2.7</w:t>
            </w:r>
          </w:p>
        </w:tc>
      </w:tr>
      <w:tr>
        <w:trPr>
          <w:cantSplit w:val="0"/>
          <w:trHeight w:val="265" w:hRule="atLeast"/>
          <w:tblHeader w:val="0"/>
        </w:trPr>
        <w:tc>
          <w:tcPr>
            <w:vAlign w:val="bottom"/>
          </w:tcPr>
          <w:p w:rsidR="00000000" w:rsidDel="00000000" w:rsidP="00000000" w:rsidRDefault="00000000" w:rsidRPr="00000000" w14:paraId="0000008B">
            <w:pPr>
              <w:jc w:val="both"/>
              <w:rPr>
                <w:b w:val="1"/>
                <w:bCs w:val="1"/>
                <w:sz w:val="22"/>
                <w:szCs w:val="22"/>
              </w:rPr>
            </w:pPr>
            <w:r w:rsidDel="00000000" w:rsidR="00000000" w:rsidRPr="00000000">
              <w:rPr>
                <w:b w:val="1"/>
                <w:bCs w:val="1"/>
                <w:sz w:val="22"/>
                <w:szCs w:val="22"/>
                <w:rtl w:val="0"/>
              </w:rPr>
              <w:t xml:space="preserve">Intraocular pressure of Left eye</w:t>
            </w:r>
          </w:p>
        </w:tc>
        <w:tc>
          <w:tcPr>
            <w:vAlign w:val="bottom"/>
          </w:tcPr>
          <w:p w:rsidR="00000000" w:rsidDel="00000000" w:rsidP="00000000" w:rsidRDefault="00000000" w:rsidRPr="00000000" w14:paraId="0000008C">
            <w:pPr>
              <w:jc w:val="center"/>
              <w:rPr>
                <w:sz w:val="22"/>
                <w:szCs w:val="22"/>
              </w:rPr>
            </w:pPr>
            <w:r w:rsidDel="00000000" w:rsidR="00000000" w:rsidRPr="00000000">
              <w:rPr>
                <w:rtl w:val="0"/>
              </w:rPr>
            </w:r>
          </w:p>
        </w:tc>
        <w:tc>
          <w:tcPr>
            <w:vAlign w:val="bottom"/>
          </w:tcPr>
          <w:p w:rsidR="00000000" w:rsidDel="00000000" w:rsidP="00000000" w:rsidRDefault="00000000" w:rsidRPr="00000000" w14:paraId="0000008D">
            <w:pPr>
              <w:jc w:val="center"/>
              <w:rPr>
                <w:sz w:val="22"/>
                <w:szCs w:val="22"/>
              </w:rPr>
            </w:pPr>
            <w:r w:rsidDel="00000000" w:rsidR="00000000" w:rsidRPr="00000000">
              <w:rPr>
                <w:rtl w:val="0"/>
              </w:rPr>
            </w:r>
          </w:p>
        </w:tc>
      </w:tr>
      <w:tr>
        <w:trPr>
          <w:cantSplit w:val="0"/>
          <w:trHeight w:val="265" w:hRule="atLeast"/>
          <w:tblHeader w:val="0"/>
        </w:trPr>
        <w:tc>
          <w:tcPr>
            <w:vAlign w:val="bottom"/>
          </w:tcPr>
          <w:p w:rsidR="00000000" w:rsidDel="00000000" w:rsidP="00000000" w:rsidRDefault="00000000" w:rsidRPr="00000000" w14:paraId="0000008E">
            <w:pPr>
              <w:ind w:left="330" w:firstLine="0"/>
              <w:jc w:val="both"/>
              <w:rPr>
                <w:sz w:val="22"/>
                <w:szCs w:val="22"/>
              </w:rPr>
            </w:pPr>
            <w:r w:rsidDel="00000000" w:rsidR="00000000" w:rsidRPr="00000000">
              <w:rPr>
                <w:sz w:val="22"/>
                <w:szCs w:val="22"/>
                <w:rtl w:val="0"/>
              </w:rPr>
              <w:t xml:space="preserve">Normal</w:t>
            </w:r>
          </w:p>
        </w:tc>
        <w:tc>
          <w:tcPr>
            <w:vAlign w:val="bottom"/>
          </w:tcPr>
          <w:p w:rsidR="00000000" w:rsidDel="00000000" w:rsidP="00000000" w:rsidRDefault="00000000" w:rsidRPr="00000000" w14:paraId="0000008F">
            <w:pPr>
              <w:jc w:val="center"/>
              <w:rPr>
                <w:sz w:val="22"/>
                <w:szCs w:val="22"/>
                <w:vertAlign w:val="subscript"/>
              </w:rPr>
            </w:pPr>
            <w:r w:rsidDel="00000000" w:rsidR="00000000" w:rsidRPr="00000000">
              <w:rPr>
                <w:sz w:val="22"/>
                <w:szCs w:val="22"/>
                <w:rtl w:val="0"/>
              </w:rPr>
              <w:t xml:space="preserve">284</w:t>
            </w:r>
            <w:r w:rsidDel="00000000" w:rsidR="00000000" w:rsidRPr="00000000">
              <w:rPr>
                <w:rtl w:val="0"/>
              </w:rPr>
            </w:r>
          </w:p>
        </w:tc>
        <w:tc>
          <w:tcPr>
            <w:vAlign w:val="bottom"/>
          </w:tcPr>
          <w:p w:rsidR="00000000" w:rsidDel="00000000" w:rsidP="00000000" w:rsidRDefault="00000000" w:rsidRPr="00000000" w14:paraId="00000090">
            <w:pPr>
              <w:jc w:val="center"/>
              <w:rPr>
                <w:b w:val="1"/>
                <w:bCs w:val="1"/>
                <w:sz w:val="22"/>
                <w:szCs w:val="22"/>
              </w:rPr>
            </w:pPr>
            <w:r w:rsidDel="00000000" w:rsidR="00000000" w:rsidRPr="00000000">
              <w:rPr>
                <w:b w:val="1"/>
                <w:bCs w:val="1"/>
                <w:sz w:val="22"/>
                <w:szCs w:val="22"/>
                <w:rtl w:val="0"/>
              </w:rPr>
              <w:t xml:space="preserve">95.9</w:t>
            </w:r>
          </w:p>
        </w:tc>
      </w:tr>
      <w:tr>
        <w:trPr>
          <w:cantSplit w:val="0"/>
          <w:trHeight w:val="265" w:hRule="atLeast"/>
          <w:tblHeader w:val="0"/>
        </w:trPr>
        <w:tc>
          <w:tcPr>
            <w:vAlign w:val="bottom"/>
          </w:tcPr>
          <w:p w:rsidR="00000000" w:rsidDel="00000000" w:rsidP="00000000" w:rsidRDefault="00000000" w:rsidRPr="00000000" w14:paraId="00000091">
            <w:pPr>
              <w:ind w:left="330" w:firstLine="0"/>
              <w:jc w:val="both"/>
              <w:rPr>
                <w:sz w:val="22"/>
                <w:szCs w:val="22"/>
              </w:rPr>
            </w:pPr>
            <w:r w:rsidDel="00000000" w:rsidR="00000000" w:rsidRPr="00000000">
              <w:rPr>
                <w:sz w:val="22"/>
                <w:szCs w:val="22"/>
                <w:rtl w:val="0"/>
              </w:rPr>
              <w:t xml:space="preserve">High</w:t>
            </w:r>
          </w:p>
        </w:tc>
        <w:tc>
          <w:tcPr>
            <w:vAlign w:val="bottom"/>
          </w:tcPr>
          <w:p w:rsidR="00000000" w:rsidDel="00000000" w:rsidP="00000000" w:rsidRDefault="00000000" w:rsidRPr="00000000" w14:paraId="00000092">
            <w:pPr>
              <w:jc w:val="center"/>
              <w:rPr>
                <w:sz w:val="22"/>
                <w:szCs w:val="22"/>
              </w:rPr>
            </w:pPr>
            <w:r w:rsidDel="00000000" w:rsidR="00000000" w:rsidRPr="00000000">
              <w:rPr>
                <w:sz w:val="22"/>
                <w:szCs w:val="22"/>
                <w:rtl w:val="0"/>
              </w:rPr>
              <w:t xml:space="preserve">12</w:t>
            </w:r>
          </w:p>
        </w:tc>
        <w:tc>
          <w:tcPr>
            <w:vAlign w:val="bottom"/>
          </w:tcPr>
          <w:p w:rsidR="00000000" w:rsidDel="00000000" w:rsidP="00000000" w:rsidRDefault="00000000" w:rsidRPr="00000000" w14:paraId="00000093">
            <w:pPr>
              <w:jc w:val="center"/>
              <w:rPr>
                <w:sz w:val="22"/>
                <w:szCs w:val="22"/>
              </w:rPr>
            </w:pPr>
            <w:r w:rsidDel="00000000" w:rsidR="00000000" w:rsidRPr="00000000">
              <w:rPr>
                <w:sz w:val="22"/>
                <w:szCs w:val="22"/>
                <w:rtl w:val="0"/>
              </w:rPr>
              <w:t xml:space="preserve">4.1</w:t>
            </w:r>
          </w:p>
        </w:tc>
      </w:tr>
      <w:tr>
        <w:trPr>
          <w:cantSplit w:val="0"/>
          <w:trHeight w:val="265" w:hRule="atLeast"/>
          <w:tblHeader w:val="0"/>
        </w:trPr>
        <w:tc>
          <w:tcPr>
            <w:vAlign w:val="bottom"/>
          </w:tcPr>
          <w:p w:rsidR="00000000" w:rsidDel="00000000" w:rsidP="00000000" w:rsidRDefault="00000000" w:rsidRPr="00000000" w14:paraId="00000094">
            <w:pPr>
              <w:jc w:val="both"/>
              <w:rPr>
                <w:b w:val="1"/>
                <w:bCs w:val="1"/>
                <w:sz w:val="22"/>
                <w:szCs w:val="22"/>
              </w:rPr>
            </w:pPr>
            <w:r w:rsidDel="00000000" w:rsidR="00000000" w:rsidRPr="00000000">
              <w:rPr>
                <w:b w:val="1"/>
                <w:bCs w:val="1"/>
                <w:sz w:val="22"/>
                <w:szCs w:val="22"/>
                <w:rtl w:val="0"/>
              </w:rPr>
              <w:t xml:space="preserve">Systolic blood pressure</w:t>
            </w:r>
          </w:p>
        </w:tc>
        <w:tc>
          <w:tcPr>
            <w:vAlign w:val="bottom"/>
          </w:tcPr>
          <w:p w:rsidR="00000000" w:rsidDel="00000000" w:rsidP="00000000" w:rsidRDefault="00000000" w:rsidRPr="00000000" w14:paraId="00000095">
            <w:pPr>
              <w:jc w:val="center"/>
              <w:rPr>
                <w:sz w:val="22"/>
                <w:szCs w:val="22"/>
              </w:rPr>
            </w:pPr>
            <w:r w:rsidDel="00000000" w:rsidR="00000000" w:rsidRPr="00000000">
              <w:rPr>
                <w:rtl w:val="0"/>
              </w:rPr>
            </w:r>
          </w:p>
        </w:tc>
        <w:tc>
          <w:tcPr>
            <w:vAlign w:val="bottom"/>
          </w:tcPr>
          <w:p w:rsidR="00000000" w:rsidDel="00000000" w:rsidP="00000000" w:rsidRDefault="00000000" w:rsidRPr="00000000" w14:paraId="00000096">
            <w:pPr>
              <w:jc w:val="center"/>
              <w:rPr>
                <w:sz w:val="22"/>
                <w:szCs w:val="22"/>
              </w:rPr>
            </w:pPr>
            <w:r w:rsidDel="00000000" w:rsidR="00000000" w:rsidRPr="00000000">
              <w:rPr>
                <w:rtl w:val="0"/>
              </w:rPr>
            </w:r>
          </w:p>
        </w:tc>
      </w:tr>
      <w:tr>
        <w:trPr>
          <w:cantSplit w:val="0"/>
          <w:trHeight w:val="265" w:hRule="atLeast"/>
          <w:tblHeader w:val="0"/>
        </w:trPr>
        <w:tc>
          <w:tcPr>
            <w:vAlign w:val="bottom"/>
          </w:tcPr>
          <w:p w:rsidR="00000000" w:rsidDel="00000000" w:rsidP="00000000" w:rsidRDefault="00000000" w:rsidRPr="00000000" w14:paraId="00000097">
            <w:pPr>
              <w:ind w:left="330" w:firstLine="0"/>
              <w:jc w:val="both"/>
              <w:rPr>
                <w:sz w:val="22"/>
                <w:szCs w:val="22"/>
              </w:rPr>
            </w:pPr>
            <w:r w:rsidDel="00000000" w:rsidR="00000000" w:rsidRPr="00000000">
              <w:rPr>
                <w:sz w:val="22"/>
                <w:szCs w:val="22"/>
                <w:rtl w:val="0"/>
              </w:rPr>
              <w:t xml:space="preserve">&lt; 140</w:t>
            </w:r>
          </w:p>
        </w:tc>
        <w:tc>
          <w:tcPr>
            <w:vAlign w:val="bottom"/>
          </w:tcPr>
          <w:p w:rsidR="00000000" w:rsidDel="00000000" w:rsidP="00000000" w:rsidRDefault="00000000" w:rsidRPr="00000000" w14:paraId="00000098">
            <w:pPr>
              <w:jc w:val="center"/>
              <w:rPr>
                <w:sz w:val="22"/>
                <w:szCs w:val="22"/>
              </w:rPr>
            </w:pPr>
            <w:r w:rsidDel="00000000" w:rsidR="00000000" w:rsidRPr="00000000">
              <w:rPr>
                <w:sz w:val="22"/>
                <w:szCs w:val="22"/>
                <w:rtl w:val="0"/>
              </w:rPr>
              <w:t xml:space="preserve">115</w:t>
            </w:r>
          </w:p>
        </w:tc>
        <w:tc>
          <w:tcPr>
            <w:vAlign w:val="bottom"/>
          </w:tcPr>
          <w:p w:rsidR="00000000" w:rsidDel="00000000" w:rsidP="00000000" w:rsidRDefault="00000000" w:rsidRPr="00000000" w14:paraId="00000099">
            <w:pPr>
              <w:jc w:val="center"/>
              <w:rPr>
                <w:sz w:val="22"/>
                <w:szCs w:val="22"/>
              </w:rPr>
            </w:pPr>
            <w:r w:rsidDel="00000000" w:rsidR="00000000" w:rsidRPr="00000000">
              <w:rPr>
                <w:sz w:val="22"/>
                <w:szCs w:val="22"/>
                <w:rtl w:val="0"/>
              </w:rPr>
              <w:t xml:space="preserve">38.9</w:t>
            </w:r>
          </w:p>
        </w:tc>
      </w:tr>
      <w:tr>
        <w:trPr>
          <w:cantSplit w:val="0"/>
          <w:trHeight w:val="265" w:hRule="atLeast"/>
          <w:tblHeader w:val="0"/>
        </w:trPr>
        <w:tc>
          <w:tcPr>
            <w:vAlign w:val="bottom"/>
          </w:tcPr>
          <w:p w:rsidR="00000000" w:rsidDel="00000000" w:rsidP="00000000" w:rsidRDefault="00000000" w:rsidRPr="00000000" w14:paraId="0000009A">
            <w:pPr>
              <w:ind w:left="330" w:firstLine="0"/>
              <w:jc w:val="both"/>
              <w:rPr>
                <w:sz w:val="22"/>
                <w:szCs w:val="22"/>
              </w:rPr>
            </w:pPr>
            <w:sdt>
              <w:sdtPr>
                <w:id w:val="2140714006"/>
                <w:tag w:val="goog_rdk_2"/>
              </w:sdtPr>
              <w:sdtContent>
                <w:r w:rsidDel="00000000" w:rsidR="00000000" w:rsidRPr="00000000">
                  <w:rPr>
                    <w:rFonts w:ascii="Gungsuh" w:cs="Gungsuh" w:eastAsia="Gungsuh" w:hAnsi="Gungsuh"/>
                    <w:sz w:val="22"/>
                    <w:szCs w:val="22"/>
                    <w:rtl w:val="0"/>
                  </w:rPr>
                  <w:t xml:space="preserve">≥ 140</w:t>
                </w:r>
              </w:sdtContent>
            </w:sdt>
          </w:p>
        </w:tc>
        <w:tc>
          <w:tcPr>
            <w:vAlign w:val="bottom"/>
          </w:tcPr>
          <w:p w:rsidR="00000000" w:rsidDel="00000000" w:rsidP="00000000" w:rsidRDefault="00000000" w:rsidRPr="00000000" w14:paraId="0000009B">
            <w:pPr>
              <w:jc w:val="center"/>
              <w:rPr>
                <w:sz w:val="22"/>
                <w:szCs w:val="22"/>
              </w:rPr>
            </w:pPr>
            <w:r w:rsidDel="00000000" w:rsidR="00000000" w:rsidRPr="00000000">
              <w:rPr>
                <w:sz w:val="22"/>
                <w:szCs w:val="22"/>
                <w:rtl w:val="0"/>
              </w:rPr>
              <w:t xml:space="preserve">181</w:t>
            </w:r>
          </w:p>
        </w:tc>
        <w:tc>
          <w:tcPr>
            <w:vAlign w:val="bottom"/>
          </w:tcPr>
          <w:p w:rsidR="00000000" w:rsidDel="00000000" w:rsidP="00000000" w:rsidRDefault="00000000" w:rsidRPr="00000000" w14:paraId="0000009C">
            <w:pPr>
              <w:jc w:val="center"/>
              <w:rPr>
                <w:b w:val="1"/>
                <w:bCs w:val="1"/>
                <w:sz w:val="22"/>
                <w:szCs w:val="22"/>
              </w:rPr>
            </w:pPr>
            <w:r w:rsidDel="00000000" w:rsidR="00000000" w:rsidRPr="00000000">
              <w:rPr>
                <w:b w:val="1"/>
                <w:bCs w:val="1"/>
                <w:sz w:val="22"/>
                <w:szCs w:val="22"/>
                <w:rtl w:val="0"/>
              </w:rPr>
              <w:t xml:space="preserve">61.1</w:t>
            </w:r>
          </w:p>
        </w:tc>
      </w:tr>
      <w:tr>
        <w:trPr>
          <w:cantSplit w:val="0"/>
          <w:trHeight w:val="265" w:hRule="atLeast"/>
          <w:tblHeader w:val="0"/>
        </w:trPr>
        <w:tc>
          <w:tcPr>
            <w:vAlign w:val="bottom"/>
          </w:tcPr>
          <w:p w:rsidR="00000000" w:rsidDel="00000000" w:rsidP="00000000" w:rsidRDefault="00000000" w:rsidRPr="00000000" w14:paraId="0000009D">
            <w:pPr>
              <w:jc w:val="both"/>
              <w:rPr>
                <w:b w:val="1"/>
                <w:bCs w:val="1"/>
                <w:sz w:val="22"/>
                <w:szCs w:val="22"/>
              </w:rPr>
            </w:pPr>
            <w:r w:rsidDel="00000000" w:rsidR="00000000" w:rsidRPr="00000000">
              <w:rPr>
                <w:b w:val="1"/>
                <w:bCs w:val="1"/>
                <w:sz w:val="22"/>
                <w:szCs w:val="22"/>
                <w:rtl w:val="0"/>
              </w:rPr>
              <w:t xml:space="preserve">Diastolic blood pressure</w:t>
            </w:r>
          </w:p>
        </w:tc>
        <w:tc>
          <w:tcPr>
            <w:vAlign w:val="bottom"/>
          </w:tcPr>
          <w:p w:rsidR="00000000" w:rsidDel="00000000" w:rsidP="00000000" w:rsidRDefault="00000000" w:rsidRPr="00000000" w14:paraId="0000009E">
            <w:pPr>
              <w:jc w:val="center"/>
              <w:rPr>
                <w:sz w:val="22"/>
                <w:szCs w:val="22"/>
              </w:rPr>
            </w:pPr>
            <w:r w:rsidDel="00000000" w:rsidR="00000000" w:rsidRPr="00000000">
              <w:rPr>
                <w:rtl w:val="0"/>
              </w:rPr>
            </w:r>
          </w:p>
        </w:tc>
        <w:tc>
          <w:tcPr>
            <w:vAlign w:val="bottom"/>
          </w:tcPr>
          <w:p w:rsidR="00000000" w:rsidDel="00000000" w:rsidP="00000000" w:rsidRDefault="00000000" w:rsidRPr="00000000" w14:paraId="0000009F">
            <w:pPr>
              <w:jc w:val="center"/>
              <w:rPr>
                <w:sz w:val="22"/>
                <w:szCs w:val="22"/>
              </w:rPr>
            </w:pPr>
            <w:r w:rsidDel="00000000" w:rsidR="00000000" w:rsidRPr="00000000">
              <w:rPr>
                <w:rtl w:val="0"/>
              </w:rPr>
            </w:r>
          </w:p>
        </w:tc>
      </w:tr>
      <w:tr>
        <w:trPr>
          <w:cantSplit w:val="0"/>
          <w:trHeight w:val="265" w:hRule="atLeast"/>
          <w:tblHeader w:val="0"/>
        </w:trPr>
        <w:tc>
          <w:tcPr>
            <w:vAlign w:val="bottom"/>
          </w:tcPr>
          <w:p w:rsidR="00000000" w:rsidDel="00000000" w:rsidP="00000000" w:rsidRDefault="00000000" w:rsidRPr="00000000" w14:paraId="000000A0">
            <w:pPr>
              <w:ind w:left="330" w:firstLine="0"/>
              <w:jc w:val="both"/>
              <w:rPr>
                <w:sz w:val="22"/>
                <w:szCs w:val="22"/>
              </w:rPr>
            </w:pPr>
            <w:r w:rsidDel="00000000" w:rsidR="00000000" w:rsidRPr="00000000">
              <w:rPr>
                <w:sz w:val="22"/>
                <w:szCs w:val="22"/>
                <w:rtl w:val="0"/>
              </w:rPr>
              <w:t xml:space="preserve">&lt; 90</w:t>
            </w:r>
          </w:p>
        </w:tc>
        <w:tc>
          <w:tcPr>
            <w:vAlign w:val="bottom"/>
          </w:tcPr>
          <w:p w:rsidR="00000000" w:rsidDel="00000000" w:rsidP="00000000" w:rsidRDefault="00000000" w:rsidRPr="00000000" w14:paraId="000000A1">
            <w:pPr>
              <w:jc w:val="center"/>
              <w:rPr>
                <w:sz w:val="22"/>
                <w:szCs w:val="22"/>
              </w:rPr>
            </w:pPr>
            <w:r w:rsidDel="00000000" w:rsidR="00000000" w:rsidRPr="00000000">
              <w:rPr>
                <w:sz w:val="22"/>
                <w:szCs w:val="22"/>
                <w:rtl w:val="0"/>
              </w:rPr>
              <w:t xml:space="preserve">192</w:t>
            </w:r>
          </w:p>
        </w:tc>
        <w:tc>
          <w:tcPr>
            <w:vAlign w:val="bottom"/>
          </w:tcPr>
          <w:p w:rsidR="00000000" w:rsidDel="00000000" w:rsidP="00000000" w:rsidRDefault="00000000" w:rsidRPr="00000000" w14:paraId="000000A2">
            <w:pPr>
              <w:jc w:val="center"/>
              <w:rPr>
                <w:sz w:val="22"/>
                <w:szCs w:val="22"/>
              </w:rPr>
            </w:pPr>
            <w:r w:rsidDel="00000000" w:rsidR="00000000" w:rsidRPr="00000000">
              <w:rPr>
                <w:sz w:val="22"/>
                <w:szCs w:val="22"/>
                <w:rtl w:val="0"/>
              </w:rPr>
              <w:t xml:space="preserve">64.9</w:t>
            </w:r>
          </w:p>
        </w:tc>
      </w:tr>
      <w:tr>
        <w:trPr>
          <w:cantSplit w:val="0"/>
          <w:trHeight w:val="265" w:hRule="atLeast"/>
          <w:tblHeader w:val="0"/>
        </w:trPr>
        <w:tc>
          <w:tcPr>
            <w:vAlign w:val="bottom"/>
          </w:tcPr>
          <w:p w:rsidR="00000000" w:rsidDel="00000000" w:rsidP="00000000" w:rsidRDefault="00000000" w:rsidRPr="00000000" w14:paraId="000000A3">
            <w:pPr>
              <w:ind w:left="330" w:firstLine="0"/>
              <w:jc w:val="both"/>
              <w:rPr>
                <w:sz w:val="22"/>
                <w:szCs w:val="22"/>
              </w:rPr>
            </w:pPr>
            <w:sdt>
              <w:sdtPr>
                <w:id w:val="-54845863"/>
                <w:tag w:val="goog_rdk_3"/>
              </w:sdtPr>
              <w:sdtContent>
                <w:r w:rsidDel="00000000" w:rsidR="00000000" w:rsidRPr="00000000">
                  <w:rPr>
                    <w:rFonts w:ascii="Gungsuh" w:cs="Gungsuh" w:eastAsia="Gungsuh" w:hAnsi="Gungsuh"/>
                    <w:sz w:val="22"/>
                    <w:szCs w:val="22"/>
                    <w:rtl w:val="0"/>
                  </w:rPr>
                  <w:t xml:space="preserve">≥ 90</w:t>
                </w:r>
              </w:sdtContent>
            </w:sdt>
          </w:p>
        </w:tc>
        <w:tc>
          <w:tcPr>
            <w:vAlign w:val="bottom"/>
          </w:tcPr>
          <w:p w:rsidR="00000000" w:rsidDel="00000000" w:rsidP="00000000" w:rsidRDefault="00000000" w:rsidRPr="00000000" w14:paraId="000000A4">
            <w:pPr>
              <w:jc w:val="center"/>
              <w:rPr>
                <w:sz w:val="22"/>
                <w:szCs w:val="22"/>
              </w:rPr>
            </w:pPr>
            <w:r w:rsidDel="00000000" w:rsidR="00000000" w:rsidRPr="00000000">
              <w:rPr>
                <w:sz w:val="22"/>
                <w:szCs w:val="22"/>
                <w:rtl w:val="0"/>
              </w:rPr>
              <w:t xml:space="preserve">104</w:t>
            </w:r>
          </w:p>
        </w:tc>
        <w:tc>
          <w:tcPr>
            <w:vAlign w:val="bottom"/>
          </w:tcPr>
          <w:p w:rsidR="00000000" w:rsidDel="00000000" w:rsidP="00000000" w:rsidRDefault="00000000" w:rsidRPr="00000000" w14:paraId="000000A5">
            <w:pPr>
              <w:jc w:val="center"/>
              <w:rPr>
                <w:b w:val="1"/>
                <w:bCs w:val="1"/>
                <w:sz w:val="22"/>
                <w:szCs w:val="22"/>
              </w:rPr>
            </w:pPr>
            <w:r w:rsidDel="00000000" w:rsidR="00000000" w:rsidRPr="00000000">
              <w:rPr>
                <w:b w:val="1"/>
                <w:bCs w:val="1"/>
                <w:sz w:val="22"/>
                <w:szCs w:val="22"/>
                <w:rtl w:val="0"/>
              </w:rPr>
              <w:t xml:space="preserve">35.1</w:t>
            </w:r>
          </w:p>
        </w:tc>
      </w:tr>
      <w:tr>
        <w:trPr>
          <w:cantSplit w:val="0"/>
          <w:trHeight w:val="265" w:hRule="atLeast"/>
          <w:tblHeader w:val="0"/>
        </w:trPr>
        <w:tc>
          <w:tcPr>
            <w:vAlign w:val="bottom"/>
          </w:tcPr>
          <w:p w:rsidR="00000000" w:rsidDel="00000000" w:rsidP="00000000" w:rsidRDefault="00000000" w:rsidRPr="00000000" w14:paraId="000000A6">
            <w:pPr>
              <w:jc w:val="both"/>
              <w:rPr>
                <w:b w:val="1"/>
                <w:bCs w:val="1"/>
                <w:sz w:val="22"/>
                <w:szCs w:val="22"/>
              </w:rPr>
            </w:pPr>
            <w:r w:rsidDel="00000000" w:rsidR="00000000" w:rsidRPr="00000000">
              <w:rPr>
                <w:b w:val="1"/>
                <w:bCs w:val="1"/>
                <w:sz w:val="22"/>
                <w:szCs w:val="22"/>
                <w:rtl w:val="0"/>
              </w:rPr>
              <w:t xml:space="preserve">BMI</w:t>
            </w:r>
          </w:p>
        </w:tc>
        <w:tc>
          <w:tcPr>
            <w:vAlign w:val="bottom"/>
          </w:tcPr>
          <w:p w:rsidR="00000000" w:rsidDel="00000000" w:rsidP="00000000" w:rsidRDefault="00000000" w:rsidRPr="00000000" w14:paraId="000000A7">
            <w:pPr>
              <w:jc w:val="center"/>
              <w:rPr>
                <w:sz w:val="22"/>
                <w:szCs w:val="22"/>
              </w:rPr>
            </w:pPr>
            <w:r w:rsidDel="00000000" w:rsidR="00000000" w:rsidRPr="00000000">
              <w:rPr>
                <w:rtl w:val="0"/>
              </w:rPr>
            </w:r>
          </w:p>
        </w:tc>
        <w:tc>
          <w:tcPr>
            <w:vAlign w:val="bottom"/>
          </w:tcPr>
          <w:p w:rsidR="00000000" w:rsidDel="00000000" w:rsidP="00000000" w:rsidRDefault="00000000" w:rsidRPr="00000000" w14:paraId="000000A8">
            <w:pPr>
              <w:jc w:val="center"/>
              <w:rPr>
                <w:sz w:val="22"/>
                <w:szCs w:val="22"/>
              </w:rPr>
            </w:pPr>
            <w:r w:rsidDel="00000000" w:rsidR="00000000" w:rsidRPr="00000000">
              <w:rPr>
                <w:rtl w:val="0"/>
              </w:rPr>
            </w:r>
          </w:p>
        </w:tc>
      </w:tr>
      <w:tr>
        <w:trPr>
          <w:cantSplit w:val="0"/>
          <w:trHeight w:val="265" w:hRule="atLeast"/>
          <w:tblHeader w:val="0"/>
        </w:trPr>
        <w:tc>
          <w:tcPr>
            <w:vAlign w:val="bottom"/>
          </w:tcPr>
          <w:p w:rsidR="00000000" w:rsidDel="00000000" w:rsidP="00000000" w:rsidRDefault="00000000" w:rsidRPr="00000000" w14:paraId="000000A9">
            <w:pPr>
              <w:ind w:left="330" w:firstLine="0"/>
              <w:jc w:val="both"/>
              <w:rPr>
                <w:sz w:val="22"/>
                <w:szCs w:val="22"/>
              </w:rPr>
            </w:pPr>
            <w:r w:rsidDel="00000000" w:rsidR="00000000" w:rsidRPr="00000000">
              <w:rPr>
                <w:sz w:val="22"/>
                <w:szCs w:val="22"/>
                <w:rtl w:val="0"/>
              </w:rPr>
              <w:t xml:space="preserve">Underweight</w:t>
            </w:r>
          </w:p>
        </w:tc>
        <w:tc>
          <w:tcPr>
            <w:vAlign w:val="bottom"/>
          </w:tcPr>
          <w:p w:rsidR="00000000" w:rsidDel="00000000" w:rsidP="00000000" w:rsidRDefault="00000000" w:rsidRPr="00000000" w14:paraId="000000AA">
            <w:pPr>
              <w:jc w:val="center"/>
              <w:rPr>
                <w:sz w:val="22"/>
                <w:szCs w:val="22"/>
              </w:rPr>
            </w:pPr>
            <w:r w:rsidDel="00000000" w:rsidR="00000000" w:rsidRPr="00000000">
              <w:rPr>
                <w:sz w:val="22"/>
                <w:szCs w:val="22"/>
                <w:rtl w:val="0"/>
              </w:rPr>
              <w:t xml:space="preserve">4</w:t>
            </w:r>
          </w:p>
        </w:tc>
        <w:tc>
          <w:tcPr>
            <w:vAlign w:val="bottom"/>
          </w:tcPr>
          <w:p w:rsidR="00000000" w:rsidDel="00000000" w:rsidP="00000000" w:rsidRDefault="00000000" w:rsidRPr="00000000" w14:paraId="000000AB">
            <w:pPr>
              <w:jc w:val="center"/>
              <w:rPr>
                <w:sz w:val="22"/>
                <w:szCs w:val="22"/>
              </w:rPr>
            </w:pPr>
            <w:r w:rsidDel="00000000" w:rsidR="00000000" w:rsidRPr="00000000">
              <w:rPr>
                <w:sz w:val="22"/>
                <w:szCs w:val="22"/>
                <w:rtl w:val="0"/>
              </w:rPr>
              <w:t xml:space="preserve">1.4</w:t>
            </w:r>
          </w:p>
        </w:tc>
      </w:tr>
      <w:tr>
        <w:trPr>
          <w:cantSplit w:val="0"/>
          <w:trHeight w:val="265" w:hRule="atLeast"/>
          <w:tblHeader w:val="0"/>
        </w:trPr>
        <w:tc>
          <w:tcPr>
            <w:vAlign w:val="bottom"/>
          </w:tcPr>
          <w:p w:rsidR="00000000" w:rsidDel="00000000" w:rsidP="00000000" w:rsidRDefault="00000000" w:rsidRPr="00000000" w14:paraId="000000AC">
            <w:pPr>
              <w:ind w:left="330" w:firstLine="0"/>
              <w:jc w:val="both"/>
              <w:rPr>
                <w:sz w:val="22"/>
                <w:szCs w:val="22"/>
              </w:rPr>
            </w:pPr>
            <w:r w:rsidDel="00000000" w:rsidR="00000000" w:rsidRPr="00000000">
              <w:rPr>
                <w:sz w:val="22"/>
                <w:szCs w:val="22"/>
                <w:rtl w:val="0"/>
              </w:rPr>
              <w:t xml:space="preserve">Normal</w:t>
            </w:r>
          </w:p>
        </w:tc>
        <w:tc>
          <w:tcPr>
            <w:vAlign w:val="bottom"/>
          </w:tcPr>
          <w:p w:rsidR="00000000" w:rsidDel="00000000" w:rsidP="00000000" w:rsidRDefault="00000000" w:rsidRPr="00000000" w14:paraId="000000AD">
            <w:pPr>
              <w:jc w:val="center"/>
              <w:rPr>
                <w:sz w:val="22"/>
                <w:szCs w:val="22"/>
              </w:rPr>
            </w:pPr>
            <w:r w:rsidDel="00000000" w:rsidR="00000000" w:rsidRPr="00000000">
              <w:rPr>
                <w:sz w:val="22"/>
                <w:szCs w:val="22"/>
                <w:rtl w:val="0"/>
              </w:rPr>
              <w:t xml:space="preserve">142</w:t>
            </w:r>
          </w:p>
        </w:tc>
        <w:tc>
          <w:tcPr>
            <w:vAlign w:val="bottom"/>
          </w:tcPr>
          <w:p w:rsidR="00000000" w:rsidDel="00000000" w:rsidP="00000000" w:rsidRDefault="00000000" w:rsidRPr="00000000" w14:paraId="000000AE">
            <w:pPr>
              <w:jc w:val="center"/>
              <w:rPr>
                <w:sz w:val="22"/>
                <w:szCs w:val="22"/>
              </w:rPr>
            </w:pPr>
            <w:r w:rsidDel="00000000" w:rsidR="00000000" w:rsidRPr="00000000">
              <w:rPr>
                <w:sz w:val="22"/>
                <w:szCs w:val="22"/>
                <w:rtl w:val="0"/>
              </w:rPr>
              <w:t xml:space="preserve">48</w:t>
            </w:r>
          </w:p>
        </w:tc>
      </w:tr>
      <w:tr>
        <w:trPr>
          <w:cantSplit w:val="0"/>
          <w:trHeight w:val="265" w:hRule="atLeast"/>
          <w:tblHeader w:val="0"/>
        </w:trPr>
        <w:tc>
          <w:tcPr>
            <w:vAlign w:val="bottom"/>
          </w:tcPr>
          <w:p w:rsidR="00000000" w:rsidDel="00000000" w:rsidP="00000000" w:rsidRDefault="00000000" w:rsidRPr="00000000" w14:paraId="000000AF">
            <w:pPr>
              <w:ind w:left="330" w:firstLine="0"/>
              <w:jc w:val="both"/>
              <w:rPr>
                <w:sz w:val="22"/>
                <w:szCs w:val="22"/>
              </w:rPr>
            </w:pPr>
            <w:r w:rsidDel="00000000" w:rsidR="00000000" w:rsidRPr="00000000">
              <w:rPr>
                <w:sz w:val="22"/>
                <w:szCs w:val="22"/>
                <w:rtl w:val="0"/>
              </w:rPr>
              <w:t xml:space="preserve">Overweight</w:t>
            </w:r>
          </w:p>
        </w:tc>
        <w:tc>
          <w:tcPr>
            <w:vAlign w:val="bottom"/>
          </w:tcPr>
          <w:p w:rsidR="00000000" w:rsidDel="00000000" w:rsidP="00000000" w:rsidRDefault="00000000" w:rsidRPr="00000000" w14:paraId="000000B0">
            <w:pPr>
              <w:jc w:val="center"/>
              <w:rPr>
                <w:sz w:val="22"/>
                <w:szCs w:val="22"/>
              </w:rPr>
            </w:pPr>
            <w:r w:rsidDel="00000000" w:rsidR="00000000" w:rsidRPr="00000000">
              <w:rPr>
                <w:sz w:val="22"/>
                <w:szCs w:val="22"/>
                <w:rtl w:val="0"/>
              </w:rPr>
              <w:t xml:space="preserve">112</w:t>
            </w:r>
          </w:p>
        </w:tc>
        <w:tc>
          <w:tcPr>
            <w:vAlign w:val="bottom"/>
          </w:tcPr>
          <w:p w:rsidR="00000000" w:rsidDel="00000000" w:rsidP="00000000" w:rsidRDefault="00000000" w:rsidRPr="00000000" w14:paraId="000000B1">
            <w:pPr>
              <w:jc w:val="center"/>
              <w:rPr>
                <w:b w:val="1"/>
                <w:bCs w:val="1"/>
                <w:sz w:val="22"/>
                <w:szCs w:val="22"/>
              </w:rPr>
            </w:pPr>
            <w:r w:rsidDel="00000000" w:rsidR="00000000" w:rsidRPr="00000000">
              <w:rPr>
                <w:b w:val="1"/>
                <w:bCs w:val="1"/>
                <w:sz w:val="22"/>
                <w:szCs w:val="22"/>
                <w:rtl w:val="0"/>
              </w:rPr>
              <w:t xml:space="preserve">37.8</w:t>
            </w:r>
          </w:p>
        </w:tc>
      </w:tr>
      <w:tr>
        <w:trPr>
          <w:cantSplit w:val="0"/>
          <w:trHeight w:val="265" w:hRule="atLeast"/>
          <w:tblHeader w:val="0"/>
        </w:trPr>
        <w:tc>
          <w:tcPr>
            <w:tcBorders>
              <w:bottom w:color="000000" w:space="0" w:sz="12" w:val="single"/>
            </w:tcBorders>
            <w:vAlign w:val="bottom"/>
          </w:tcPr>
          <w:p w:rsidR="00000000" w:rsidDel="00000000" w:rsidP="00000000" w:rsidRDefault="00000000" w:rsidRPr="00000000" w14:paraId="000000B2">
            <w:pPr>
              <w:ind w:left="330" w:firstLine="0"/>
              <w:jc w:val="both"/>
              <w:rPr>
                <w:sz w:val="22"/>
                <w:szCs w:val="22"/>
              </w:rPr>
            </w:pPr>
            <w:r w:rsidDel="00000000" w:rsidR="00000000" w:rsidRPr="00000000">
              <w:rPr>
                <w:sz w:val="22"/>
                <w:szCs w:val="22"/>
                <w:rtl w:val="0"/>
              </w:rPr>
              <w:t xml:space="preserve">Obese</w:t>
            </w:r>
          </w:p>
        </w:tc>
        <w:tc>
          <w:tcPr>
            <w:tcBorders>
              <w:bottom w:color="000000" w:space="0" w:sz="12" w:val="single"/>
            </w:tcBorders>
            <w:vAlign w:val="bottom"/>
          </w:tcPr>
          <w:p w:rsidR="00000000" w:rsidDel="00000000" w:rsidP="00000000" w:rsidRDefault="00000000" w:rsidRPr="00000000" w14:paraId="000000B3">
            <w:pPr>
              <w:jc w:val="center"/>
              <w:rPr>
                <w:sz w:val="22"/>
                <w:szCs w:val="22"/>
              </w:rPr>
            </w:pPr>
            <w:r w:rsidDel="00000000" w:rsidR="00000000" w:rsidRPr="00000000">
              <w:rPr>
                <w:sz w:val="22"/>
                <w:szCs w:val="22"/>
                <w:rtl w:val="0"/>
              </w:rPr>
              <w:t xml:space="preserve">38</w:t>
            </w:r>
          </w:p>
        </w:tc>
        <w:tc>
          <w:tcPr>
            <w:tcBorders>
              <w:bottom w:color="000000" w:space="0" w:sz="12" w:val="single"/>
            </w:tcBorders>
            <w:vAlign w:val="bottom"/>
          </w:tcPr>
          <w:p w:rsidR="00000000" w:rsidDel="00000000" w:rsidP="00000000" w:rsidRDefault="00000000" w:rsidRPr="00000000" w14:paraId="000000B4">
            <w:pPr>
              <w:jc w:val="center"/>
              <w:rPr>
                <w:sz w:val="22"/>
                <w:szCs w:val="22"/>
              </w:rPr>
            </w:pPr>
            <w:r w:rsidDel="00000000" w:rsidR="00000000" w:rsidRPr="00000000">
              <w:rPr>
                <w:sz w:val="22"/>
                <w:szCs w:val="22"/>
                <w:rtl w:val="0"/>
              </w:rPr>
              <w:t xml:space="preserve">12.8</w:t>
            </w:r>
          </w:p>
        </w:tc>
      </w:tr>
    </w:tbl>
    <w:p w:rsidR="00000000" w:rsidDel="00000000" w:rsidP="00000000" w:rsidRDefault="00000000" w:rsidRPr="00000000" w14:paraId="000000B5">
      <w:pPr>
        <w:jc w:val="both"/>
        <w:rPr/>
      </w:pPr>
      <w:r w:rsidDel="00000000" w:rsidR="00000000" w:rsidRPr="00000000">
        <w:rPr>
          <w:rtl w:val="0"/>
        </w:rPr>
      </w:r>
    </w:p>
    <w:p w:rsidR="00000000" w:rsidDel="00000000" w:rsidP="00000000" w:rsidRDefault="00000000" w:rsidRPr="00000000" w14:paraId="000000B6">
      <w:pPr>
        <w:jc w:val="both"/>
        <w:rPr/>
      </w:pPr>
      <w:r w:rsidDel="00000000" w:rsidR="00000000" w:rsidRPr="00000000">
        <w:rPr>
          <w:rtl w:val="0"/>
        </w:rPr>
      </w:r>
    </w:p>
    <w:p w:rsidR="00000000" w:rsidDel="00000000" w:rsidP="00000000" w:rsidRDefault="00000000" w:rsidRPr="00000000" w14:paraId="000000B7">
      <w:pPr>
        <w:jc w:val="both"/>
        <w:rPr/>
      </w:pPr>
      <w:r w:rsidDel="00000000" w:rsidR="00000000" w:rsidRPr="00000000">
        <w:rPr>
          <w:rtl w:val="0"/>
        </w:rPr>
      </w:r>
    </w:p>
    <w:p w:rsidR="00000000" w:rsidDel="00000000" w:rsidP="00000000" w:rsidRDefault="00000000" w:rsidRPr="00000000" w14:paraId="000000B8">
      <w:pPr>
        <w:jc w:val="both"/>
        <w:rPr/>
      </w:pPr>
      <w:r w:rsidDel="00000000" w:rsidR="00000000" w:rsidRPr="00000000">
        <w:rPr>
          <w:rtl w:val="0"/>
        </w:rPr>
      </w:r>
    </w:p>
    <w:p w:rsidR="00000000" w:rsidDel="00000000" w:rsidP="00000000" w:rsidRDefault="00000000" w:rsidRPr="00000000" w14:paraId="000000B9">
      <w:pPr>
        <w:jc w:val="both"/>
        <w:rPr/>
      </w:pPr>
      <w:r w:rsidDel="00000000" w:rsidR="00000000" w:rsidRPr="00000000">
        <w:rPr>
          <w:rtl w:val="0"/>
        </w:rPr>
      </w:r>
    </w:p>
    <w:p w:rsidR="00000000" w:rsidDel="00000000" w:rsidP="00000000" w:rsidRDefault="00000000" w:rsidRPr="00000000" w14:paraId="000000BA">
      <w:pPr>
        <w:jc w:val="both"/>
        <w:rPr/>
      </w:pPr>
      <w:r w:rsidDel="00000000" w:rsidR="00000000" w:rsidRPr="00000000">
        <w:rPr>
          <w:rtl w:val="0"/>
        </w:rPr>
      </w:r>
    </w:p>
    <w:p w:rsidR="00000000" w:rsidDel="00000000" w:rsidP="00000000" w:rsidRDefault="00000000" w:rsidRPr="00000000" w14:paraId="000000BB">
      <w:pPr>
        <w:jc w:val="both"/>
        <w:rPr/>
      </w:pPr>
      <w:r w:rsidDel="00000000" w:rsidR="00000000" w:rsidRPr="00000000">
        <w:rPr>
          <w:rtl w:val="0"/>
        </w:rPr>
      </w:r>
    </w:p>
    <w:p w:rsidR="00000000" w:rsidDel="00000000" w:rsidP="00000000" w:rsidRDefault="00000000" w:rsidRPr="00000000" w14:paraId="000000BC">
      <w:pPr>
        <w:jc w:val="both"/>
        <w:rPr/>
      </w:pPr>
      <w:r w:rsidDel="00000000" w:rsidR="00000000" w:rsidRPr="00000000">
        <w:rPr>
          <w:rtl w:val="0"/>
        </w:rPr>
      </w:r>
    </w:p>
    <w:p w:rsidR="00000000" w:rsidDel="00000000" w:rsidP="00000000" w:rsidRDefault="00000000" w:rsidRPr="00000000" w14:paraId="000000BD">
      <w:pPr>
        <w:jc w:val="both"/>
        <w:rPr/>
      </w:pPr>
      <w:r w:rsidDel="00000000" w:rsidR="00000000" w:rsidRPr="00000000">
        <w:rPr>
          <w:rtl w:val="0"/>
        </w:rPr>
      </w:r>
    </w:p>
    <w:p w:rsidR="00000000" w:rsidDel="00000000" w:rsidP="00000000" w:rsidRDefault="00000000" w:rsidRPr="00000000" w14:paraId="000000BE">
      <w:pPr>
        <w:jc w:val="both"/>
        <w:rPr/>
      </w:pPr>
      <w:r w:rsidDel="00000000" w:rsidR="00000000" w:rsidRPr="00000000">
        <w:rPr>
          <w:rtl w:val="0"/>
        </w:rPr>
      </w:r>
    </w:p>
    <w:p w:rsidR="00000000" w:rsidDel="00000000" w:rsidP="00000000" w:rsidRDefault="00000000" w:rsidRPr="00000000" w14:paraId="000000BF">
      <w:pPr>
        <w:jc w:val="both"/>
        <w:rPr/>
      </w:pPr>
      <w:r w:rsidDel="00000000" w:rsidR="00000000" w:rsidRPr="00000000">
        <w:rPr>
          <w:rtl w:val="0"/>
        </w:rPr>
      </w:r>
    </w:p>
    <w:p w:rsidR="00000000" w:rsidDel="00000000" w:rsidP="00000000" w:rsidRDefault="00000000" w:rsidRPr="00000000" w14:paraId="000000C0">
      <w:pPr>
        <w:jc w:val="both"/>
        <w:rPr/>
      </w:pPr>
      <w:r w:rsidDel="00000000" w:rsidR="00000000" w:rsidRPr="00000000">
        <w:rPr>
          <w:rtl w:val="0"/>
        </w:rPr>
      </w:r>
    </w:p>
    <w:p w:rsidR="00000000" w:rsidDel="00000000" w:rsidP="00000000" w:rsidRDefault="00000000" w:rsidRPr="00000000" w14:paraId="000000C1">
      <w:pPr>
        <w:jc w:val="both"/>
        <w:rPr/>
      </w:pPr>
      <w:r w:rsidDel="00000000" w:rsidR="00000000" w:rsidRPr="00000000">
        <w:rPr>
          <w:rtl w:val="0"/>
        </w:rPr>
      </w:r>
    </w:p>
    <w:p w:rsidR="00000000" w:rsidDel="00000000" w:rsidP="00000000" w:rsidRDefault="00000000" w:rsidRPr="00000000" w14:paraId="000000C2">
      <w:pPr>
        <w:jc w:val="both"/>
        <w:rPr/>
      </w:pPr>
      <w:r w:rsidDel="00000000" w:rsidR="00000000" w:rsidRPr="00000000">
        <w:rPr>
          <w:rtl w:val="0"/>
        </w:rPr>
      </w:r>
    </w:p>
    <w:p w:rsidR="00000000" w:rsidDel="00000000" w:rsidP="00000000" w:rsidRDefault="00000000" w:rsidRPr="00000000" w14:paraId="000000C3">
      <w:pPr>
        <w:jc w:val="both"/>
        <w:rPr/>
      </w:pPr>
      <w:r w:rsidDel="00000000" w:rsidR="00000000" w:rsidRPr="00000000">
        <w:rPr>
          <w:rtl w:val="0"/>
        </w:rPr>
      </w:r>
    </w:p>
    <w:p w:rsidR="00000000" w:rsidDel="00000000" w:rsidP="00000000" w:rsidRDefault="00000000" w:rsidRPr="00000000" w14:paraId="000000C4">
      <w:pPr>
        <w:jc w:val="both"/>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nx8ivi7iq8yx" w:id="4"/>
      <w:bookmarkEnd w:id="4"/>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Table 2 : Participants laboratory findings (N=296)</w:t>
      </w:r>
    </w:p>
    <w:tbl>
      <w:tblPr>
        <w:tblStyle w:val="Table2"/>
        <w:tblW w:w="8891.0" w:type="dxa"/>
        <w:jc w:val="center"/>
        <w:tblLayout w:type="fixed"/>
        <w:tblLook w:val="0400"/>
      </w:tblPr>
      <w:tblGrid>
        <w:gridCol w:w="3788"/>
        <w:gridCol w:w="2847"/>
        <w:gridCol w:w="2256"/>
        <w:tblGridChange w:id="0">
          <w:tblGrid>
            <w:gridCol w:w="3788"/>
            <w:gridCol w:w="2847"/>
            <w:gridCol w:w="2256"/>
          </w:tblGrid>
        </w:tblGridChange>
      </w:tblGrid>
      <w:tr>
        <w:trPr>
          <w:cantSplit w:val="0"/>
          <w:trHeight w:val="240" w:hRule="atLeast"/>
          <w:tblHeader w:val="0"/>
        </w:trPr>
        <w:tc>
          <w:tcPr>
            <w:tcBorders>
              <w:top w:color="000000" w:space="0" w:sz="12" w:val="single"/>
              <w:bottom w:color="000000" w:space="0" w:sz="12" w:val="single"/>
            </w:tcBorders>
            <w:vAlign w:val="bottom"/>
          </w:tcPr>
          <w:p w:rsidR="00000000" w:rsidDel="00000000" w:rsidP="00000000" w:rsidRDefault="00000000" w:rsidRPr="00000000" w14:paraId="000000C6">
            <w:pPr>
              <w:jc w:val="both"/>
              <w:rPr>
                <w:b w:val="1"/>
                <w:bCs w:val="1"/>
              </w:rPr>
            </w:pPr>
            <w:r w:rsidDel="00000000" w:rsidR="00000000" w:rsidRPr="00000000">
              <w:rPr>
                <w:b w:val="1"/>
                <w:bCs w:val="1"/>
                <w:rtl w:val="0"/>
              </w:rPr>
              <w:t xml:space="preserve">Variable</w:t>
            </w:r>
          </w:p>
        </w:tc>
        <w:tc>
          <w:tcPr>
            <w:tcBorders>
              <w:top w:color="000000" w:space="0" w:sz="12" w:val="single"/>
              <w:bottom w:color="000000" w:space="0" w:sz="12" w:val="single"/>
            </w:tcBorders>
            <w:vAlign w:val="bottom"/>
          </w:tcPr>
          <w:p w:rsidR="00000000" w:rsidDel="00000000" w:rsidP="00000000" w:rsidRDefault="00000000" w:rsidRPr="00000000" w14:paraId="000000C7">
            <w:pPr>
              <w:jc w:val="center"/>
              <w:rPr>
                <w:b w:val="1"/>
                <w:bCs w:val="1"/>
              </w:rPr>
            </w:pPr>
            <w:r w:rsidDel="00000000" w:rsidR="00000000" w:rsidRPr="00000000">
              <w:rPr>
                <w:b w:val="1"/>
                <w:bCs w:val="1"/>
                <w:rtl w:val="0"/>
              </w:rPr>
              <w:t xml:space="preserve">Frequency</w:t>
            </w:r>
          </w:p>
        </w:tc>
        <w:tc>
          <w:tcPr>
            <w:tcBorders>
              <w:top w:color="000000" w:space="0" w:sz="12" w:val="single"/>
              <w:bottom w:color="000000" w:space="0" w:sz="12" w:val="single"/>
            </w:tcBorders>
            <w:vAlign w:val="bottom"/>
          </w:tcPr>
          <w:p w:rsidR="00000000" w:rsidDel="00000000" w:rsidP="00000000" w:rsidRDefault="00000000" w:rsidRPr="00000000" w14:paraId="000000C8">
            <w:pPr>
              <w:jc w:val="center"/>
              <w:rPr>
                <w:b w:val="1"/>
                <w:bCs w:val="1"/>
              </w:rPr>
            </w:pPr>
            <w:r w:rsidDel="00000000" w:rsidR="00000000" w:rsidRPr="00000000">
              <w:rPr>
                <w:b w:val="1"/>
                <w:bCs w:val="1"/>
                <w:rtl w:val="0"/>
              </w:rPr>
              <w:t xml:space="preserve">Percentage</w:t>
            </w:r>
          </w:p>
        </w:tc>
      </w:tr>
      <w:tr>
        <w:trPr>
          <w:cantSplit w:val="0"/>
          <w:trHeight w:val="240" w:hRule="atLeast"/>
          <w:tblHeader w:val="0"/>
        </w:trPr>
        <w:tc>
          <w:tcPr>
            <w:tcBorders>
              <w:top w:color="000000" w:space="0" w:sz="12" w:val="single"/>
            </w:tcBorders>
            <w:vAlign w:val="bottom"/>
          </w:tcPr>
          <w:p w:rsidR="00000000" w:rsidDel="00000000" w:rsidP="00000000" w:rsidRDefault="00000000" w:rsidRPr="00000000" w14:paraId="000000C9">
            <w:pPr>
              <w:jc w:val="both"/>
              <w:rPr>
                <w:b w:val="1"/>
                <w:bCs w:val="1"/>
              </w:rPr>
            </w:pPr>
            <w:r w:rsidDel="00000000" w:rsidR="00000000" w:rsidRPr="00000000">
              <w:rPr>
                <w:b w:val="1"/>
                <w:bCs w:val="1"/>
                <w:rtl w:val="0"/>
              </w:rPr>
              <w:t xml:space="preserve">Serum creatinine</w:t>
            </w:r>
          </w:p>
        </w:tc>
        <w:tc>
          <w:tcPr>
            <w:tcBorders>
              <w:top w:color="000000" w:space="0" w:sz="12" w:val="single"/>
            </w:tcBorders>
            <w:vAlign w:val="bottom"/>
          </w:tcPr>
          <w:p w:rsidR="00000000" w:rsidDel="00000000" w:rsidP="00000000" w:rsidRDefault="00000000" w:rsidRPr="00000000" w14:paraId="000000CA">
            <w:pPr>
              <w:jc w:val="center"/>
              <w:rPr>
                <w:b w:val="1"/>
                <w:bCs w:val="1"/>
              </w:rPr>
            </w:pPr>
            <w:r w:rsidDel="00000000" w:rsidR="00000000" w:rsidRPr="00000000">
              <w:rPr>
                <w:rtl w:val="0"/>
              </w:rPr>
            </w:r>
          </w:p>
        </w:tc>
        <w:tc>
          <w:tcPr>
            <w:tcBorders>
              <w:top w:color="000000" w:space="0" w:sz="12" w:val="single"/>
            </w:tcBorders>
            <w:vAlign w:val="bottom"/>
          </w:tcPr>
          <w:p w:rsidR="00000000" w:rsidDel="00000000" w:rsidP="00000000" w:rsidRDefault="00000000" w:rsidRPr="00000000" w14:paraId="000000CB">
            <w:pPr>
              <w:jc w:val="center"/>
              <w:rPr>
                <w:b w:val="1"/>
                <w:bCs w:val="1"/>
              </w:rPr>
            </w:pPr>
            <w:r w:rsidDel="00000000" w:rsidR="00000000" w:rsidRPr="00000000">
              <w:rPr>
                <w:rtl w:val="0"/>
              </w:rPr>
            </w:r>
          </w:p>
        </w:tc>
      </w:tr>
      <w:tr>
        <w:trPr>
          <w:cantSplit w:val="0"/>
          <w:trHeight w:val="240" w:hRule="atLeast"/>
          <w:tblHeader w:val="0"/>
        </w:trPr>
        <w:tc>
          <w:tcPr>
            <w:vAlign w:val="bottom"/>
          </w:tcPr>
          <w:p w:rsidR="00000000" w:rsidDel="00000000" w:rsidP="00000000" w:rsidRDefault="00000000" w:rsidRPr="00000000" w14:paraId="000000CC">
            <w:pPr>
              <w:jc w:val="both"/>
              <w:rPr>
                <w:i w:val="1"/>
                <w:iCs w:val="1"/>
              </w:rPr>
            </w:pPr>
            <w:r w:rsidDel="00000000" w:rsidR="00000000" w:rsidRPr="00000000">
              <w:rPr>
                <w:i w:val="1"/>
                <w:iCs w:val="1"/>
                <w:rtl w:val="0"/>
              </w:rPr>
              <w:t xml:space="preserve">Median (IQR)</w:t>
            </w:r>
          </w:p>
        </w:tc>
        <w:tc>
          <w:tcPr>
            <w:vAlign w:val="bottom"/>
          </w:tcPr>
          <w:p w:rsidR="00000000" w:rsidDel="00000000" w:rsidP="00000000" w:rsidRDefault="00000000" w:rsidRPr="00000000" w14:paraId="000000CD">
            <w:pPr>
              <w:jc w:val="center"/>
              <w:rPr>
                <w:i w:val="1"/>
                <w:iCs w:val="1"/>
              </w:rPr>
            </w:pPr>
            <w:r w:rsidDel="00000000" w:rsidR="00000000" w:rsidRPr="00000000">
              <w:rPr>
                <w:i w:val="1"/>
                <w:iCs w:val="1"/>
                <w:rtl w:val="0"/>
              </w:rPr>
              <w:t xml:space="preserve">96.5 (73-140)</w:t>
            </w:r>
          </w:p>
        </w:tc>
        <w:tc>
          <w:tcPr>
            <w:vAlign w:val="bottom"/>
          </w:tcPr>
          <w:p w:rsidR="00000000" w:rsidDel="00000000" w:rsidP="00000000" w:rsidRDefault="00000000" w:rsidRPr="00000000" w14:paraId="000000CE">
            <w:pPr>
              <w:jc w:val="center"/>
              <w:rPr>
                <w:b w:val="1"/>
                <w:bCs w:val="1"/>
              </w:rPr>
            </w:pPr>
            <w:r w:rsidDel="00000000" w:rsidR="00000000" w:rsidRPr="00000000">
              <w:rPr>
                <w:rtl w:val="0"/>
              </w:rPr>
            </w:r>
          </w:p>
        </w:tc>
      </w:tr>
      <w:tr>
        <w:trPr>
          <w:cantSplit w:val="0"/>
          <w:trHeight w:val="240" w:hRule="atLeast"/>
          <w:tblHeader w:val="0"/>
        </w:trPr>
        <w:tc>
          <w:tcPr>
            <w:vAlign w:val="bottom"/>
          </w:tcPr>
          <w:p w:rsidR="00000000" w:rsidDel="00000000" w:rsidP="00000000" w:rsidRDefault="00000000" w:rsidRPr="00000000" w14:paraId="000000CF">
            <w:pPr>
              <w:jc w:val="both"/>
              <w:rPr>
                <w:b w:val="1"/>
                <w:bCs w:val="1"/>
              </w:rPr>
            </w:pPr>
            <w:r w:rsidDel="00000000" w:rsidR="00000000" w:rsidRPr="00000000">
              <w:rPr>
                <w:b w:val="1"/>
                <w:bCs w:val="1"/>
                <w:rtl w:val="0"/>
              </w:rPr>
              <w:t xml:space="preserve">Serum cholesterol </w:t>
            </w:r>
          </w:p>
        </w:tc>
        <w:tc>
          <w:tcPr>
            <w:vAlign w:val="bottom"/>
          </w:tcPr>
          <w:p w:rsidR="00000000" w:rsidDel="00000000" w:rsidP="00000000" w:rsidRDefault="00000000" w:rsidRPr="00000000" w14:paraId="000000D0">
            <w:pPr>
              <w:jc w:val="center"/>
              <w:rPr>
                <w:b w:val="1"/>
                <w:bCs w:val="1"/>
              </w:rPr>
            </w:pPr>
            <w:r w:rsidDel="00000000" w:rsidR="00000000" w:rsidRPr="00000000">
              <w:rPr>
                <w:rtl w:val="0"/>
              </w:rPr>
            </w:r>
          </w:p>
        </w:tc>
        <w:tc>
          <w:tcPr>
            <w:vAlign w:val="bottom"/>
          </w:tcPr>
          <w:p w:rsidR="00000000" w:rsidDel="00000000" w:rsidP="00000000" w:rsidRDefault="00000000" w:rsidRPr="00000000" w14:paraId="000000D1">
            <w:pPr>
              <w:jc w:val="center"/>
              <w:rPr>
                <w:b w:val="1"/>
                <w:bCs w:val="1"/>
              </w:rPr>
            </w:pPr>
            <w:r w:rsidDel="00000000" w:rsidR="00000000" w:rsidRPr="00000000">
              <w:rPr>
                <w:rtl w:val="0"/>
              </w:rPr>
            </w:r>
          </w:p>
        </w:tc>
      </w:tr>
      <w:tr>
        <w:trPr>
          <w:cantSplit w:val="0"/>
          <w:trHeight w:val="240" w:hRule="atLeast"/>
          <w:tblHeader w:val="0"/>
        </w:trPr>
        <w:tc>
          <w:tcPr>
            <w:vAlign w:val="bottom"/>
          </w:tcPr>
          <w:p w:rsidR="00000000" w:rsidDel="00000000" w:rsidP="00000000" w:rsidRDefault="00000000" w:rsidRPr="00000000" w14:paraId="000000D2">
            <w:pPr>
              <w:ind w:left="330" w:firstLine="0"/>
              <w:jc w:val="both"/>
              <w:rPr/>
            </w:pPr>
            <w:r w:rsidDel="00000000" w:rsidR="00000000" w:rsidRPr="00000000">
              <w:rPr>
                <w:rtl w:val="0"/>
              </w:rPr>
              <w:t xml:space="preserve">Normal</w:t>
            </w:r>
          </w:p>
        </w:tc>
        <w:tc>
          <w:tcPr>
            <w:vAlign w:val="bottom"/>
          </w:tcPr>
          <w:p w:rsidR="00000000" w:rsidDel="00000000" w:rsidP="00000000" w:rsidRDefault="00000000" w:rsidRPr="00000000" w14:paraId="000000D3">
            <w:pPr>
              <w:jc w:val="center"/>
              <w:rPr/>
            </w:pPr>
            <w:r w:rsidDel="00000000" w:rsidR="00000000" w:rsidRPr="00000000">
              <w:rPr>
                <w:rtl w:val="0"/>
              </w:rPr>
              <w:t xml:space="preserve">152</w:t>
            </w:r>
          </w:p>
        </w:tc>
        <w:tc>
          <w:tcPr>
            <w:vAlign w:val="bottom"/>
          </w:tcPr>
          <w:p w:rsidR="00000000" w:rsidDel="00000000" w:rsidP="00000000" w:rsidRDefault="00000000" w:rsidRPr="00000000" w14:paraId="000000D4">
            <w:pPr>
              <w:jc w:val="center"/>
              <w:rPr/>
            </w:pPr>
            <w:r w:rsidDel="00000000" w:rsidR="00000000" w:rsidRPr="00000000">
              <w:rPr>
                <w:rtl w:val="0"/>
              </w:rPr>
              <w:t xml:space="preserve">51.4</w:t>
            </w:r>
          </w:p>
        </w:tc>
      </w:tr>
      <w:tr>
        <w:trPr>
          <w:cantSplit w:val="0"/>
          <w:trHeight w:val="240" w:hRule="atLeast"/>
          <w:tblHeader w:val="0"/>
        </w:trPr>
        <w:tc>
          <w:tcPr>
            <w:vAlign w:val="bottom"/>
          </w:tcPr>
          <w:p w:rsidR="00000000" w:rsidDel="00000000" w:rsidP="00000000" w:rsidRDefault="00000000" w:rsidRPr="00000000" w14:paraId="000000D5">
            <w:pPr>
              <w:ind w:left="330" w:firstLine="0"/>
              <w:jc w:val="both"/>
              <w:rPr/>
            </w:pPr>
            <w:r w:rsidDel="00000000" w:rsidR="00000000" w:rsidRPr="00000000">
              <w:rPr>
                <w:rtl w:val="0"/>
              </w:rPr>
              <w:t xml:space="preserve">High cholesterol</w:t>
            </w:r>
          </w:p>
        </w:tc>
        <w:tc>
          <w:tcPr>
            <w:vAlign w:val="bottom"/>
          </w:tcPr>
          <w:p w:rsidR="00000000" w:rsidDel="00000000" w:rsidP="00000000" w:rsidRDefault="00000000" w:rsidRPr="00000000" w14:paraId="000000D6">
            <w:pPr>
              <w:jc w:val="center"/>
              <w:rPr/>
            </w:pPr>
            <w:r w:rsidDel="00000000" w:rsidR="00000000" w:rsidRPr="00000000">
              <w:rPr>
                <w:rtl w:val="0"/>
              </w:rPr>
              <w:t xml:space="preserve">144</w:t>
            </w:r>
          </w:p>
        </w:tc>
        <w:tc>
          <w:tcPr>
            <w:vAlign w:val="bottom"/>
          </w:tcPr>
          <w:p w:rsidR="00000000" w:rsidDel="00000000" w:rsidP="00000000" w:rsidRDefault="00000000" w:rsidRPr="00000000" w14:paraId="000000D7">
            <w:pPr>
              <w:jc w:val="center"/>
              <w:rPr>
                <w:b w:val="1"/>
                <w:bCs w:val="1"/>
              </w:rPr>
            </w:pPr>
            <w:r w:rsidDel="00000000" w:rsidR="00000000" w:rsidRPr="00000000">
              <w:rPr>
                <w:b w:val="1"/>
                <w:bCs w:val="1"/>
                <w:rtl w:val="0"/>
              </w:rPr>
              <w:t xml:space="preserve">48.6</w:t>
            </w:r>
          </w:p>
        </w:tc>
      </w:tr>
      <w:tr>
        <w:trPr>
          <w:cantSplit w:val="0"/>
          <w:trHeight w:val="240" w:hRule="atLeast"/>
          <w:tblHeader w:val="0"/>
        </w:trPr>
        <w:tc>
          <w:tcPr>
            <w:vAlign w:val="bottom"/>
          </w:tcPr>
          <w:p w:rsidR="00000000" w:rsidDel="00000000" w:rsidP="00000000" w:rsidRDefault="00000000" w:rsidRPr="00000000" w14:paraId="000000D8">
            <w:pPr>
              <w:ind w:left="330" w:firstLine="0"/>
              <w:jc w:val="both"/>
              <w:rPr>
                <w:i w:val="1"/>
                <w:iCs w:val="1"/>
              </w:rPr>
            </w:pPr>
            <w:r w:rsidDel="00000000" w:rsidR="00000000" w:rsidRPr="00000000">
              <w:rPr>
                <w:i w:val="1"/>
                <w:iCs w:val="1"/>
                <w:rtl w:val="0"/>
              </w:rPr>
              <w:t xml:space="preserve">Mean, SD</w:t>
            </w:r>
          </w:p>
        </w:tc>
        <w:tc>
          <w:tcPr>
            <w:vAlign w:val="bottom"/>
          </w:tcPr>
          <w:p w:rsidR="00000000" w:rsidDel="00000000" w:rsidP="00000000" w:rsidRDefault="00000000" w:rsidRPr="00000000" w14:paraId="000000D9">
            <w:pPr>
              <w:jc w:val="center"/>
              <w:rPr>
                <w:i w:val="1"/>
                <w:iCs w:val="1"/>
              </w:rPr>
            </w:pPr>
            <w:r w:rsidDel="00000000" w:rsidR="00000000" w:rsidRPr="00000000">
              <w:rPr>
                <w:i w:val="1"/>
                <w:iCs w:val="1"/>
                <w:rtl w:val="0"/>
              </w:rPr>
              <w:t xml:space="preserve">5.4 (±1.47)</w:t>
            </w:r>
          </w:p>
        </w:tc>
        <w:tc>
          <w:tcPr>
            <w:vAlign w:val="bottom"/>
          </w:tcPr>
          <w:p w:rsidR="00000000" w:rsidDel="00000000" w:rsidP="00000000" w:rsidRDefault="00000000" w:rsidRPr="00000000" w14:paraId="000000DA">
            <w:pPr>
              <w:jc w:val="center"/>
              <w:rPr>
                <w:b w:val="1"/>
                <w:bCs w:val="1"/>
              </w:rPr>
            </w:pPr>
            <w:r w:rsidDel="00000000" w:rsidR="00000000" w:rsidRPr="00000000">
              <w:rPr>
                <w:rtl w:val="0"/>
              </w:rPr>
            </w:r>
          </w:p>
        </w:tc>
      </w:tr>
      <w:tr>
        <w:trPr>
          <w:cantSplit w:val="0"/>
          <w:trHeight w:val="240" w:hRule="atLeast"/>
          <w:tblHeader w:val="0"/>
        </w:trPr>
        <w:tc>
          <w:tcPr>
            <w:vAlign w:val="bottom"/>
          </w:tcPr>
          <w:p w:rsidR="00000000" w:rsidDel="00000000" w:rsidP="00000000" w:rsidRDefault="00000000" w:rsidRPr="00000000" w14:paraId="000000DB">
            <w:pPr>
              <w:jc w:val="both"/>
              <w:rPr>
                <w:b w:val="1"/>
                <w:bCs w:val="1"/>
              </w:rPr>
            </w:pPr>
            <w:r w:rsidDel="00000000" w:rsidR="00000000" w:rsidRPr="00000000">
              <w:rPr>
                <w:b w:val="1"/>
                <w:bCs w:val="1"/>
                <w:rtl w:val="0"/>
              </w:rPr>
              <w:t xml:space="preserve">Serum triglyceride </w:t>
            </w:r>
          </w:p>
        </w:tc>
        <w:tc>
          <w:tcPr>
            <w:vAlign w:val="bottom"/>
          </w:tcPr>
          <w:p w:rsidR="00000000" w:rsidDel="00000000" w:rsidP="00000000" w:rsidRDefault="00000000" w:rsidRPr="00000000" w14:paraId="000000DC">
            <w:pPr>
              <w:jc w:val="center"/>
              <w:rPr>
                <w:b w:val="1"/>
                <w:bCs w:val="1"/>
              </w:rPr>
            </w:pPr>
            <w:r w:rsidDel="00000000" w:rsidR="00000000" w:rsidRPr="00000000">
              <w:rPr>
                <w:rtl w:val="0"/>
              </w:rPr>
            </w:r>
          </w:p>
        </w:tc>
        <w:tc>
          <w:tcPr>
            <w:vAlign w:val="bottom"/>
          </w:tcPr>
          <w:p w:rsidR="00000000" w:rsidDel="00000000" w:rsidP="00000000" w:rsidRDefault="00000000" w:rsidRPr="00000000" w14:paraId="000000DD">
            <w:pPr>
              <w:jc w:val="center"/>
              <w:rPr>
                <w:b w:val="1"/>
                <w:bCs w:val="1"/>
              </w:rPr>
            </w:pPr>
            <w:r w:rsidDel="00000000" w:rsidR="00000000" w:rsidRPr="00000000">
              <w:rPr>
                <w:rtl w:val="0"/>
              </w:rPr>
            </w:r>
          </w:p>
        </w:tc>
      </w:tr>
      <w:tr>
        <w:trPr>
          <w:cantSplit w:val="0"/>
          <w:trHeight w:val="240" w:hRule="atLeast"/>
          <w:tblHeader w:val="0"/>
        </w:trPr>
        <w:tc>
          <w:tcPr>
            <w:vAlign w:val="bottom"/>
          </w:tcPr>
          <w:p w:rsidR="00000000" w:rsidDel="00000000" w:rsidP="00000000" w:rsidRDefault="00000000" w:rsidRPr="00000000" w14:paraId="000000DE">
            <w:pPr>
              <w:ind w:left="330" w:firstLine="0"/>
              <w:jc w:val="both"/>
              <w:rPr/>
            </w:pPr>
            <w:r w:rsidDel="00000000" w:rsidR="00000000" w:rsidRPr="00000000">
              <w:rPr>
                <w:rtl w:val="0"/>
              </w:rPr>
              <w:t xml:space="preserve">Normal</w:t>
            </w:r>
          </w:p>
        </w:tc>
        <w:tc>
          <w:tcPr>
            <w:vAlign w:val="bottom"/>
          </w:tcPr>
          <w:p w:rsidR="00000000" w:rsidDel="00000000" w:rsidP="00000000" w:rsidRDefault="00000000" w:rsidRPr="00000000" w14:paraId="000000DF">
            <w:pPr>
              <w:jc w:val="center"/>
              <w:rPr/>
            </w:pPr>
            <w:r w:rsidDel="00000000" w:rsidR="00000000" w:rsidRPr="00000000">
              <w:rPr>
                <w:rtl w:val="0"/>
              </w:rPr>
              <w:t xml:space="preserve">167</w:t>
            </w:r>
          </w:p>
        </w:tc>
        <w:tc>
          <w:tcPr>
            <w:vAlign w:val="bottom"/>
          </w:tcPr>
          <w:p w:rsidR="00000000" w:rsidDel="00000000" w:rsidP="00000000" w:rsidRDefault="00000000" w:rsidRPr="00000000" w14:paraId="000000E0">
            <w:pPr>
              <w:jc w:val="center"/>
              <w:rPr/>
            </w:pPr>
            <w:r w:rsidDel="00000000" w:rsidR="00000000" w:rsidRPr="00000000">
              <w:rPr>
                <w:rtl w:val="0"/>
              </w:rPr>
              <w:t xml:space="preserve">56.4</w:t>
            </w:r>
          </w:p>
        </w:tc>
      </w:tr>
      <w:tr>
        <w:trPr>
          <w:cantSplit w:val="0"/>
          <w:trHeight w:val="240" w:hRule="atLeast"/>
          <w:tblHeader w:val="0"/>
        </w:trPr>
        <w:tc>
          <w:tcPr>
            <w:vAlign w:val="bottom"/>
          </w:tcPr>
          <w:p w:rsidR="00000000" w:rsidDel="00000000" w:rsidP="00000000" w:rsidRDefault="00000000" w:rsidRPr="00000000" w14:paraId="000000E1">
            <w:pPr>
              <w:ind w:left="330" w:firstLine="0"/>
              <w:jc w:val="both"/>
              <w:rPr/>
            </w:pPr>
            <w:r w:rsidDel="00000000" w:rsidR="00000000" w:rsidRPr="00000000">
              <w:rPr>
                <w:rtl w:val="0"/>
              </w:rPr>
              <w:t xml:space="preserve">High triglyceride</w:t>
            </w:r>
          </w:p>
        </w:tc>
        <w:tc>
          <w:tcPr>
            <w:vAlign w:val="bottom"/>
          </w:tcPr>
          <w:p w:rsidR="00000000" w:rsidDel="00000000" w:rsidP="00000000" w:rsidRDefault="00000000" w:rsidRPr="00000000" w14:paraId="000000E2">
            <w:pPr>
              <w:jc w:val="center"/>
              <w:rPr/>
            </w:pPr>
            <w:r w:rsidDel="00000000" w:rsidR="00000000" w:rsidRPr="00000000">
              <w:rPr>
                <w:rtl w:val="0"/>
              </w:rPr>
              <w:t xml:space="preserve">129</w:t>
            </w:r>
          </w:p>
        </w:tc>
        <w:tc>
          <w:tcPr>
            <w:vAlign w:val="bottom"/>
          </w:tcPr>
          <w:p w:rsidR="00000000" w:rsidDel="00000000" w:rsidP="00000000" w:rsidRDefault="00000000" w:rsidRPr="00000000" w14:paraId="000000E3">
            <w:pPr>
              <w:jc w:val="center"/>
              <w:rPr>
                <w:b w:val="1"/>
                <w:bCs w:val="1"/>
              </w:rPr>
            </w:pPr>
            <w:r w:rsidDel="00000000" w:rsidR="00000000" w:rsidRPr="00000000">
              <w:rPr>
                <w:b w:val="1"/>
                <w:bCs w:val="1"/>
                <w:rtl w:val="0"/>
              </w:rPr>
              <w:t xml:space="preserve">43.6</w:t>
            </w:r>
          </w:p>
        </w:tc>
      </w:tr>
      <w:tr>
        <w:trPr>
          <w:cantSplit w:val="0"/>
          <w:trHeight w:val="240" w:hRule="atLeast"/>
          <w:tblHeader w:val="0"/>
        </w:trPr>
        <w:tc>
          <w:tcPr>
            <w:vAlign w:val="bottom"/>
          </w:tcPr>
          <w:p w:rsidR="00000000" w:rsidDel="00000000" w:rsidP="00000000" w:rsidRDefault="00000000" w:rsidRPr="00000000" w14:paraId="000000E4">
            <w:pPr>
              <w:ind w:left="330" w:firstLine="0"/>
              <w:jc w:val="both"/>
              <w:rPr>
                <w:i w:val="1"/>
                <w:iCs w:val="1"/>
              </w:rPr>
            </w:pPr>
            <w:r w:rsidDel="00000000" w:rsidR="00000000" w:rsidRPr="00000000">
              <w:rPr>
                <w:i w:val="1"/>
                <w:iCs w:val="1"/>
                <w:rtl w:val="0"/>
              </w:rPr>
              <w:t xml:space="preserve">Mean, SD</w:t>
            </w:r>
          </w:p>
        </w:tc>
        <w:tc>
          <w:tcPr>
            <w:vAlign w:val="bottom"/>
          </w:tcPr>
          <w:p w:rsidR="00000000" w:rsidDel="00000000" w:rsidP="00000000" w:rsidRDefault="00000000" w:rsidRPr="00000000" w14:paraId="000000E5">
            <w:pPr>
              <w:jc w:val="center"/>
              <w:rPr>
                <w:i w:val="1"/>
                <w:iCs w:val="1"/>
              </w:rPr>
            </w:pPr>
            <w:r w:rsidDel="00000000" w:rsidR="00000000" w:rsidRPr="00000000">
              <w:rPr>
                <w:i w:val="1"/>
                <w:iCs w:val="1"/>
                <w:rtl w:val="0"/>
              </w:rPr>
              <w:t xml:space="preserve">2.1 (±1.35)</w:t>
            </w:r>
          </w:p>
        </w:tc>
        <w:tc>
          <w:tcPr>
            <w:vAlign w:val="bottom"/>
          </w:tcPr>
          <w:p w:rsidR="00000000" w:rsidDel="00000000" w:rsidP="00000000" w:rsidRDefault="00000000" w:rsidRPr="00000000" w14:paraId="000000E6">
            <w:pPr>
              <w:jc w:val="center"/>
              <w:rPr>
                <w:b w:val="1"/>
                <w:bCs w:val="1"/>
                <w:i w:val="1"/>
                <w:iCs w:val="1"/>
              </w:rPr>
            </w:pPr>
            <w:r w:rsidDel="00000000" w:rsidR="00000000" w:rsidRPr="00000000">
              <w:rPr>
                <w:rtl w:val="0"/>
              </w:rPr>
            </w:r>
          </w:p>
        </w:tc>
      </w:tr>
      <w:tr>
        <w:trPr>
          <w:cantSplit w:val="0"/>
          <w:trHeight w:val="240" w:hRule="atLeast"/>
          <w:tblHeader w:val="0"/>
        </w:trPr>
        <w:tc>
          <w:tcPr>
            <w:vAlign w:val="bottom"/>
          </w:tcPr>
          <w:p w:rsidR="00000000" w:rsidDel="00000000" w:rsidP="00000000" w:rsidRDefault="00000000" w:rsidRPr="00000000" w14:paraId="000000E7">
            <w:pPr>
              <w:jc w:val="both"/>
              <w:rPr>
                <w:b w:val="1"/>
                <w:bCs w:val="1"/>
              </w:rPr>
            </w:pPr>
            <w:r w:rsidDel="00000000" w:rsidR="00000000" w:rsidRPr="00000000">
              <w:rPr>
                <w:b w:val="1"/>
                <w:bCs w:val="1"/>
                <w:rtl w:val="0"/>
              </w:rPr>
              <w:t xml:space="preserve">Serum LDL </w:t>
            </w:r>
          </w:p>
        </w:tc>
        <w:tc>
          <w:tcPr>
            <w:vAlign w:val="bottom"/>
          </w:tcPr>
          <w:p w:rsidR="00000000" w:rsidDel="00000000" w:rsidP="00000000" w:rsidRDefault="00000000" w:rsidRPr="00000000" w14:paraId="000000E8">
            <w:pPr>
              <w:jc w:val="center"/>
              <w:rPr>
                <w:b w:val="1"/>
                <w:bCs w:val="1"/>
              </w:rPr>
            </w:pPr>
            <w:r w:rsidDel="00000000" w:rsidR="00000000" w:rsidRPr="00000000">
              <w:rPr>
                <w:rtl w:val="0"/>
              </w:rPr>
            </w:r>
          </w:p>
        </w:tc>
        <w:tc>
          <w:tcPr>
            <w:vAlign w:val="bottom"/>
          </w:tcPr>
          <w:p w:rsidR="00000000" w:rsidDel="00000000" w:rsidP="00000000" w:rsidRDefault="00000000" w:rsidRPr="00000000" w14:paraId="000000E9">
            <w:pPr>
              <w:jc w:val="center"/>
              <w:rPr>
                <w:b w:val="1"/>
                <w:bCs w:val="1"/>
              </w:rPr>
            </w:pPr>
            <w:r w:rsidDel="00000000" w:rsidR="00000000" w:rsidRPr="00000000">
              <w:rPr>
                <w:rtl w:val="0"/>
              </w:rPr>
            </w:r>
          </w:p>
        </w:tc>
      </w:tr>
      <w:tr>
        <w:trPr>
          <w:cantSplit w:val="0"/>
          <w:trHeight w:val="240" w:hRule="atLeast"/>
          <w:tblHeader w:val="0"/>
        </w:trPr>
        <w:tc>
          <w:tcPr>
            <w:vAlign w:val="bottom"/>
          </w:tcPr>
          <w:p w:rsidR="00000000" w:rsidDel="00000000" w:rsidP="00000000" w:rsidRDefault="00000000" w:rsidRPr="00000000" w14:paraId="000000EA">
            <w:pPr>
              <w:ind w:left="330" w:firstLine="0"/>
              <w:jc w:val="both"/>
              <w:rPr/>
            </w:pPr>
            <w:r w:rsidDel="00000000" w:rsidR="00000000" w:rsidRPr="00000000">
              <w:rPr>
                <w:rtl w:val="0"/>
              </w:rPr>
              <w:t xml:space="preserve">Normal</w:t>
            </w:r>
          </w:p>
        </w:tc>
        <w:tc>
          <w:tcPr>
            <w:vAlign w:val="bottom"/>
          </w:tcPr>
          <w:p w:rsidR="00000000" w:rsidDel="00000000" w:rsidP="00000000" w:rsidRDefault="00000000" w:rsidRPr="00000000" w14:paraId="000000EB">
            <w:pPr>
              <w:jc w:val="center"/>
              <w:rPr/>
            </w:pPr>
            <w:r w:rsidDel="00000000" w:rsidR="00000000" w:rsidRPr="00000000">
              <w:rPr>
                <w:rtl w:val="0"/>
              </w:rPr>
              <w:t xml:space="preserve">189</w:t>
            </w:r>
          </w:p>
        </w:tc>
        <w:tc>
          <w:tcPr>
            <w:vAlign w:val="bottom"/>
          </w:tcPr>
          <w:p w:rsidR="00000000" w:rsidDel="00000000" w:rsidP="00000000" w:rsidRDefault="00000000" w:rsidRPr="00000000" w14:paraId="000000EC">
            <w:pPr>
              <w:jc w:val="center"/>
              <w:rPr/>
            </w:pPr>
            <w:r w:rsidDel="00000000" w:rsidR="00000000" w:rsidRPr="00000000">
              <w:rPr>
                <w:rtl w:val="0"/>
              </w:rPr>
              <w:t xml:space="preserve">63.9</w:t>
            </w:r>
          </w:p>
        </w:tc>
      </w:tr>
      <w:tr>
        <w:trPr>
          <w:cantSplit w:val="0"/>
          <w:trHeight w:val="240" w:hRule="atLeast"/>
          <w:tblHeader w:val="0"/>
        </w:trPr>
        <w:tc>
          <w:tcPr>
            <w:vAlign w:val="bottom"/>
          </w:tcPr>
          <w:p w:rsidR="00000000" w:rsidDel="00000000" w:rsidP="00000000" w:rsidRDefault="00000000" w:rsidRPr="00000000" w14:paraId="000000ED">
            <w:pPr>
              <w:ind w:left="330" w:firstLine="0"/>
              <w:jc w:val="both"/>
              <w:rPr/>
            </w:pPr>
            <w:r w:rsidDel="00000000" w:rsidR="00000000" w:rsidRPr="00000000">
              <w:rPr>
                <w:rtl w:val="0"/>
              </w:rPr>
              <w:t xml:space="preserve">High LDL</w:t>
            </w:r>
          </w:p>
        </w:tc>
        <w:tc>
          <w:tcPr>
            <w:vAlign w:val="bottom"/>
          </w:tcPr>
          <w:p w:rsidR="00000000" w:rsidDel="00000000" w:rsidP="00000000" w:rsidRDefault="00000000" w:rsidRPr="00000000" w14:paraId="000000EE">
            <w:pPr>
              <w:jc w:val="center"/>
              <w:rPr/>
            </w:pPr>
            <w:r w:rsidDel="00000000" w:rsidR="00000000" w:rsidRPr="00000000">
              <w:rPr>
                <w:rtl w:val="0"/>
              </w:rPr>
              <w:t xml:space="preserve">107</w:t>
            </w:r>
          </w:p>
        </w:tc>
        <w:tc>
          <w:tcPr>
            <w:vAlign w:val="bottom"/>
          </w:tcPr>
          <w:p w:rsidR="00000000" w:rsidDel="00000000" w:rsidP="00000000" w:rsidRDefault="00000000" w:rsidRPr="00000000" w14:paraId="000000EF">
            <w:pPr>
              <w:jc w:val="center"/>
              <w:rPr>
                <w:b w:val="1"/>
                <w:bCs w:val="1"/>
              </w:rPr>
            </w:pPr>
            <w:r w:rsidDel="00000000" w:rsidR="00000000" w:rsidRPr="00000000">
              <w:rPr>
                <w:b w:val="1"/>
                <w:bCs w:val="1"/>
                <w:rtl w:val="0"/>
              </w:rPr>
              <w:t xml:space="preserve">36.1</w:t>
            </w:r>
          </w:p>
        </w:tc>
      </w:tr>
      <w:tr>
        <w:trPr>
          <w:cantSplit w:val="0"/>
          <w:trHeight w:val="240" w:hRule="atLeast"/>
          <w:tblHeader w:val="0"/>
        </w:trPr>
        <w:tc>
          <w:tcPr>
            <w:vAlign w:val="bottom"/>
          </w:tcPr>
          <w:p w:rsidR="00000000" w:rsidDel="00000000" w:rsidP="00000000" w:rsidRDefault="00000000" w:rsidRPr="00000000" w14:paraId="000000F0">
            <w:pPr>
              <w:ind w:left="330" w:firstLine="0"/>
              <w:jc w:val="both"/>
              <w:rPr/>
            </w:pPr>
            <w:r w:rsidDel="00000000" w:rsidR="00000000" w:rsidRPr="00000000">
              <w:rPr>
                <w:rtl w:val="0"/>
              </w:rPr>
              <w:t xml:space="preserve">Mean, SD</w:t>
            </w:r>
          </w:p>
        </w:tc>
        <w:tc>
          <w:tcPr>
            <w:vAlign w:val="bottom"/>
          </w:tcPr>
          <w:p w:rsidR="00000000" w:rsidDel="00000000" w:rsidP="00000000" w:rsidRDefault="00000000" w:rsidRPr="00000000" w14:paraId="000000F1">
            <w:pPr>
              <w:jc w:val="center"/>
              <w:rPr/>
            </w:pPr>
            <w:r w:rsidDel="00000000" w:rsidR="00000000" w:rsidRPr="00000000">
              <w:rPr>
                <w:rtl w:val="0"/>
              </w:rPr>
              <w:t xml:space="preserve">2.8 (±1.15)</w:t>
            </w:r>
          </w:p>
        </w:tc>
        <w:tc>
          <w:tcPr>
            <w:vAlign w:val="bottom"/>
          </w:tcPr>
          <w:p w:rsidR="00000000" w:rsidDel="00000000" w:rsidP="00000000" w:rsidRDefault="00000000" w:rsidRPr="00000000" w14:paraId="000000F2">
            <w:pPr>
              <w:jc w:val="center"/>
              <w:rPr>
                <w:b w:val="1"/>
                <w:bCs w:val="1"/>
              </w:rPr>
            </w:pPr>
            <w:r w:rsidDel="00000000" w:rsidR="00000000" w:rsidRPr="00000000">
              <w:rPr>
                <w:rtl w:val="0"/>
              </w:rPr>
            </w:r>
          </w:p>
        </w:tc>
      </w:tr>
      <w:tr>
        <w:trPr>
          <w:cantSplit w:val="0"/>
          <w:trHeight w:val="240" w:hRule="atLeast"/>
          <w:tblHeader w:val="0"/>
        </w:trPr>
        <w:tc>
          <w:tcPr>
            <w:vAlign w:val="bottom"/>
          </w:tcPr>
          <w:p w:rsidR="00000000" w:rsidDel="00000000" w:rsidP="00000000" w:rsidRDefault="00000000" w:rsidRPr="00000000" w14:paraId="000000F3">
            <w:pPr>
              <w:jc w:val="both"/>
              <w:rPr>
                <w:b w:val="1"/>
                <w:bCs w:val="1"/>
              </w:rPr>
            </w:pPr>
            <w:r w:rsidDel="00000000" w:rsidR="00000000" w:rsidRPr="00000000">
              <w:rPr>
                <w:b w:val="1"/>
                <w:bCs w:val="1"/>
                <w:rtl w:val="0"/>
              </w:rPr>
              <w:t xml:space="preserve">Serum HDL </w:t>
            </w:r>
          </w:p>
        </w:tc>
        <w:tc>
          <w:tcPr>
            <w:vAlign w:val="bottom"/>
          </w:tcPr>
          <w:p w:rsidR="00000000" w:rsidDel="00000000" w:rsidP="00000000" w:rsidRDefault="00000000" w:rsidRPr="00000000" w14:paraId="000000F4">
            <w:pPr>
              <w:jc w:val="center"/>
              <w:rPr>
                <w:b w:val="1"/>
                <w:bCs w:val="1"/>
              </w:rPr>
            </w:pPr>
            <w:r w:rsidDel="00000000" w:rsidR="00000000" w:rsidRPr="00000000">
              <w:rPr>
                <w:rtl w:val="0"/>
              </w:rPr>
            </w:r>
          </w:p>
        </w:tc>
        <w:tc>
          <w:tcPr>
            <w:vAlign w:val="bottom"/>
          </w:tcPr>
          <w:p w:rsidR="00000000" w:rsidDel="00000000" w:rsidP="00000000" w:rsidRDefault="00000000" w:rsidRPr="00000000" w14:paraId="000000F5">
            <w:pPr>
              <w:jc w:val="center"/>
              <w:rPr>
                <w:b w:val="1"/>
                <w:bCs w:val="1"/>
              </w:rPr>
            </w:pPr>
            <w:r w:rsidDel="00000000" w:rsidR="00000000" w:rsidRPr="00000000">
              <w:rPr>
                <w:rtl w:val="0"/>
              </w:rPr>
            </w:r>
          </w:p>
        </w:tc>
      </w:tr>
      <w:tr>
        <w:trPr>
          <w:cantSplit w:val="0"/>
          <w:trHeight w:val="240" w:hRule="atLeast"/>
          <w:tblHeader w:val="0"/>
        </w:trPr>
        <w:tc>
          <w:tcPr>
            <w:vAlign w:val="bottom"/>
          </w:tcPr>
          <w:p w:rsidR="00000000" w:rsidDel="00000000" w:rsidP="00000000" w:rsidRDefault="00000000" w:rsidRPr="00000000" w14:paraId="000000F6">
            <w:pPr>
              <w:ind w:left="330" w:firstLine="0"/>
              <w:jc w:val="both"/>
              <w:rPr/>
            </w:pPr>
            <w:r w:rsidDel="00000000" w:rsidR="00000000" w:rsidRPr="00000000">
              <w:rPr>
                <w:rtl w:val="0"/>
              </w:rPr>
              <w:t xml:space="preserve">Normal</w:t>
            </w:r>
          </w:p>
        </w:tc>
        <w:tc>
          <w:tcPr>
            <w:vAlign w:val="bottom"/>
          </w:tcPr>
          <w:p w:rsidR="00000000" w:rsidDel="00000000" w:rsidP="00000000" w:rsidRDefault="00000000" w:rsidRPr="00000000" w14:paraId="000000F7">
            <w:pPr>
              <w:jc w:val="center"/>
              <w:rPr/>
            </w:pPr>
            <w:r w:rsidDel="00000000" w:rsidR="00000000" w:rsidRPr="00000000">
              <w:rPr>
                <w:rtl w:val="0"/>
              </w:rPr>
              <w:t xml:space="preserve">181</w:t>
            </w:r>
          </w:p>
        </w:tc>
        <w:tc>
          <w:tcPr>
            <w:vAlign w:val="bottom"/>
          </w:tcPr>
          <w:p w:rsidR="00000000" w:rsidDel="00000000" w:rsidP="00000000" w:rsidRDefault="00000000" w:rsidRPr="00000000" w14:paraId="000000F8">
            <w:pPr>
              <w:jc w:val="center"/>
              <w:rPr/>
            </w:pPr>
            <w:r w:rsidDel="00000000" w:rsidR="00000000" w:rsidRPr="00000000">
              <w:rPr>
                <w:rtl w:val="0"/>
              </w:rPr>
              <w:t xml:space="preserve">61.1</w:t>
            </w:r>
          </w:p>
        </w:tc>
      </w:tr>
      <w:tr>
        <w:trPr>
          <w:cantSplit w:val="0"/>
          <w:trHeight w:val="240" w:hRule="atLeast"/>
          <w:tblHeader w:val="0"/>
        </w:trPr>
        <w:tc>
          <w:tcPr>
            <w:vAlign w:val="bottom"/>
          </w:tcPr>
          <w:p w:rsidR="00000000" w:rsidDel="00000000" w:rsidP="00000000" w:rsidRDefault="00000000" w:rsidRPr="00000000" w14:paraId="000000F9">
            <w:pPr>
              <w:ind w:left="330" w:firstLine="0"/>
              <w:jc w:val="both"/>
              <w:rPr/>
            </w:pPr>
            <w:r w:rsidDel="00000000" w:rsidR="00000000" w:rsidRPr="00000000">
              <w:rPr>
                <w:rtl w:val="0"/>
              </w:rPr>
              <w:t xml:space="preserve">Low HDL</w:t>
            </w:r>
          </w:p>
        </w:tc>
        <w:tc>
          <w:tcPr>
            <w:vAlign w:val="bottom"/>
          </w:tcPr>
          <w:p w:rsidR="00000000" w:rsidDel="00000000" w:rsidP="00000000" w:rsidRDefault="00000000" w:rsidRPr="00000000" w14:paraId="000000FA">
            <w:pPr>
              <w:jc w:val="center"/>
              <w:rPr/>
            </w:pPr>
            <w:r w:rsidDel="00000000" w:rsidR="00000000" w:rsidRPr="00000000">
              <w:rPr>
                <w:rtl w:val="0"/>
              </w:rPr>
              <w:t xml:space="preserve">115</w:t>
            </w:r>
          </w:p>
        </w:tc>
        <w:tc>
          <w:tcPr>
            <w:vAlign w:val="bottom"/>
          </w:tcPr>
          <w:p w:rsidR="00000000" w:rsidDel="00000000" w:rsidP="00000000" w:rsidRDefault="00000000" w:rsidRPr="00000000" w14:paraId="000000FB">
            <w:pPr>
              <w:jc w:val="center"/>
              <w:rPr>
                <w:b w:val="1"/>
                <w:bCs w:val="1"/>
              </w:rPr>
            </w:pPr>
            <w:r w:rsidDel="00000000" w:rsidR="00000000" w:rsidRPr="00000000">
              <w:rPr>
                <w:b w:val="1"/>
                <w:bCs w:val="1"/>
                <w:rtl w:val="0"/>
              </w:rPr>
              <w:t xml:space="preserve">38.9</w:t>
            </w:r>
          </w:p>
        </w:tc>
      </w:tr>
      <w:tr>
        <w:trPr>
          <w:cantSplit w:val="0"/>
          <w:trHeight w:val="240" w:hRule="atLeast"/>
          <w:tblHeader w:val="0"/>
        </w:trPr>
        <w:tc>
          <w:tcPr>
            <w:vAlign w:val="bottom"/>
          </w:tcPr>
          <w:p w:rsidR="00000000" w:rsidDel="00000000" w:rsidP="00000000" w:rsidRDefault="00000000" w:rsidRPr="00000000" w14:paraId="000000FC">
            <w:pPr>
              <w:ind w:left="330" w:firstLine="0"/>
              <w:jc w:val="both"/>
              <w:rPr>
                <w:i w:val="1"/>
                <w:iCs w:val="1"/>
              </w:rPr>
            </w:pPr>
            <w:r w:rsidDel="00000000" w:rsidR="00000000" w:rsidRPr="00000000">
              <w:rPr>
                <w:i w:val="1"/>
                <w:iCs w:val="1"/>
                <w:rtl w:val="0"/>
              </w:rPr>
              <w:t xml:space="preserve">Mean, SD</w:t>
            </w:r>
          </w:p>
        </w:tc>
        <w:tc>
          <w:tcPr>
            <w:vAlign w:val="bottom"/>
          </w:tcPr>
          <w:p w:rsidR="00000000" w:rsidDel="00000000" w:rsidP="00000000" w:rsidRDefault="00000000" w:rsidRPr="00000000" w14:paraId="000000FD">
            <w:pPr>
              <w:jc w:val="center"/>
              <w:rPr>
                <w:i w:val="1"/>
                <w:iCs w:val="1"/>
              </w:rPr>
            </w:pPr>
            <w:r w:rsidDel="00000000" w:rsidR="00000000" w:rsidRPr="00000000">
              <w:rPr>
                <w:i w:val="1"/>
                <w:iCs w:val="1"/>
                <w:rtl w:val="0"/>
              </w:rPr>
              <w:t xml:space="preserve">1.4 (±0.75)</w:t>
            </w:r>
          </w:p>
        </w:tc>
        <w:tc>
          <w:tcPr>
            <w:vAlign w:val="bottom"/>
          </w:tcPr>
          <w:p w:rsidR="00000000" w:rsidDel="00000000" w:rsidP="00000000" w:rsidRDefault="00000000" w:rsidRPr="00000000" w14:paraId="000000FE">
            <w:pPr>
              <w:jc w:val="center"/>
              <w:rPr>
                <w:b w:val="1"/>
                <w:bCs w:val="1"/>
              </w:rPr>
            </w:pPr>
            <w:r w:rsidDel="00000000" w:rsidR="00000000" w:rsidRPr="00000000">
              <w:rPr>
                <w:rtl w:val="0"/>
              </w:rPr>
            </w:r>
          </w:p>
        </w:tc>
      </w:tr>
      <w:tr>
        <w:trPr>
          <w:cantSplit w:val="0"/>
          <w:trHeight w:val="240" w:hRule="atLeast"/>
          <w:tblHeader w:val="0"/>
        </w:trPr>
        <w:tc>
          <w:tcPr>
            <w:vAlign w:val="bottom"/>
          </w:tcPr>
          <w:p w:rsidR="00000000" w:rsidDel="00000000" w:rsidP="00000000" w:rsidRDefault="00000000" w:rsidRPr="00000000" w14:paraId="000000FF">
            <w:pPr>
              <w:jc w:val="both"/>
              <w:rPr>
                <w:b w:val="1"/>
                <w:bCs w:val="1"/>
              </w:rPr>
            </w:pPr>
            <w:r w:rsidDel="00000000" w:rsidR="00000000" w:rsidRPr="00000000">
              <w:rPr>
                <w:b w:val="1"/>
                <w:bCs w:val="1"/>
                <w:rtl w:val="0"/>
              </w:rPr>
              <w:t xml:space="preserve">Urine protein</w:t>
            </w:r>
          </w:p>
        </w:tc>
        <w:tc>
          <w:tcPr>
            <w:vAlign w:val="bottom"/>
          </w:tcPr>
          <w:p w:rsidR="00000000" w:rsidDel="00000000" w:rsidP="00000000" w:rsidRDefault="00000000" w:rsidRPr="00000000" w14:paraId="00000100">
            <w:pPr>
              <w:jc w:val="center"/>
              <w:rPr>
                <w:b w:val="1"/>
                <w:bCs w:val="1"/>
              </w:rPr>
            </w:pPr>
            <w:r w:rsidDel="00000000" w:rsidR="00000000" w:rsidRPr="00000000">
              <w:rPr>
                <w:rtl w:val="0"/>
              </w:rPr>
            </w:r>
          </w:p>
        </w:tc>
        <w:tc>
          <w:tcPr>
            <w:vAlign w:val="bottom"/>
          </w:tcPr>
          <w:p w:rsidR="00000000" w:rsidDel="00000000" w:rsidP="00000000" w:rsidRDefault="00000000" w:rsidRPr="00000000" w14:paraId="00000101">
            <w:pPr>
              <w:jc w:val="center"/>
              <w:rPr>
                <w:b w:val="1"/>
                <w:bCs w:val="1"/>
              </w:rPr>
            </w:pPr>
            <w:r w:rsidDel="00000000" w:rsidR="00000000" w:rsidRPr="00000000">
              <w:rPr>
                <w:rtl w:val="0"/>
              </w:rPr>
            </w:r>
          </w:p>
        </w:tc>
      </w:tr>
      <w:tr>
        <w:trPr>
          <w:cantSplit w:val="0"/>
          <w:trHeight w:val="240" w:hRule="atLeast"/>
          <w:tblHeader w:val="0"/>
        </w:trPr>
        <w:tc>
          <w:tcPr>
            <w:vAlign w:val="bottom"/>
          </w:tcPr>
          <w:p w:rsidR="00000000" w:rsidDel="00000000" w:rsidP="00000000" w:rsidRDefault="00000000" w:rsidRPr="00000000" w14:paraId="00000102">
            <w:pPr>
              <w:ind w:left="330" w:firstLine="0"/>
              <w:jc w:val="both"/>
              <w:rPr/>
            </w:pPr>
            <w:r w:rsidDel="00000000" w:rsidR="00000000" w:rsidRPr="00000000">
              <w:rPr>
                <w:rtl w:val="0"/>
              </w:rPr>
              <w:t xml:space="preserve">Negative</w:t>
            </w:r>
          </w:p>
        </w:tc>
        <w:tc>
          <w:tcPr>
            <w:vAlign w:val="bottom"/>
          </w:tcPr>
          <w:p w:rsidR="00000000" w:rsidDel="00000000" w:rsidP="00000000" w:rsidRDefault="00000000" w:rsidRPr="00000000" w14:paraId="00000103">
            <w:pPr>
              <w:jc w:val="center"/>
              <w:rPr/>
            </w:pPr>
            <w:r w:rsidDel="00000000" w:rsidR="00000000" w:rsidRPr="00000000">
              <w:rPr>
                <w:rtl w:val="0"/>
              </w:rPr>
              <w:t xml:space="preserve">166</w:t>
            </w:r>
          </w:p>
        </w:tc>
        <w:tc>
          <w:tcPr>
            <w:vAlign w:val="bottom"/>
          </w:tcPr>
          <w:p w:rsidR="00000000" w:rsidDel="00000000" w:rsidP="00000000" w:rsidRDefault="00000000" w:rsidRPr="00000000" w14:paraId="00000104">
            <w:pPr>
              <w:jc w:val="center"/>
              <w:rPr/>
            </w:pPr>
            <w:r w:rsidDel="00000000" w:rsidR="00000000" w:rsidRPr="00000000">
              <w:rPr>
                <w:rtl w:val="0"/>
              </w:rPr>
              <w:t xml:space="preserve">56.1</w:t>
            </w:r>
          </w:p>
        </w:tc>
      </w:tr>
      <w:tr>
        <w:trPr>
          <w:cantSplit w:val="0"/>
          <w:trHeight w:val="240" w:hRule="atLeast"/>
          <w:tblHeader w:val="0"/>
        </w:trPr>
        <w:tc>
          <w:tcPr>
            <w:vAlign w:val="bottom"/>
          </w:tcPr>
          <w:p w:rsidR="00000000" w:rsidDel="00000000" w:rsidP="00000000" w:rsidRDefault="00000000" w:rsidRPr="00000000" w14:paraId="00000105">
            <w:pPr>
              <w:ind w:left="330" w:firstLine="0"/>
              <w:jc w:val="both"/>
              <w:rPr/>
            </w:pPr>
            <w:r w:rsidDel="00000000" w:rsidR="00000000" w:rsidRPr="00000000">
              <w:rPr>
                <w:rtl w:val="0"/>
              </w:rPr>
              <w:t xml:space="preserve">Mild</w:t>
            </w:r>
          </w:p>
        </w:tc>
        <w:tc>
          <w:tcPr>
            <w:vAlign w:val="bottom"/>
          </w:tcPr>
          <w:p w:rsidR="00000000" w:rsidDel="00000000" w:rsidP="00000000" w:rsidRDefault="00000000" w:rsidRPr="00000000" w14:paraId="00000106">
            <w:pPr>
              <w:jc w:val="center"/>
              <w:rPr/>
            </w:pPr>
            <w:r w:rsidDel="00000000" w:rsidR="00000000" w:rsidRPr="00000000">
              <w:rPr>
                <w:rtl w:val="0"/>
              </w:rPr>
              <w:t xml:space="preserve">31</w:t>
            </w:r>
          </w:p>
        </w:tc>
        <w:tc>
          <w:tcPr>
            <w:vAlign w:val="bottom"/>
          </w:tcPr>
          <w:p w:rsidR="00000000" w:rsidDel="00000000" w:rsidP="00000000" w:rsidRDefault="00000000" w:rsidRPr="00000000" w14:paraId="00000107">
            <w:pPr>
              <w:jc w:val="center"/>
              <w:rPr/>
            </w:pPr>
            <w:r w:rsidDel="00000000" w:rsidR="00000000" w:rsidRPr="00000000">
              <w:rPr>
                <w:rtl w:val="0"/>
              </w:rPr>
              <w:t xml:space="preserve">10.5</w:t>
            </w:r>
          </w:p>
        </w:tc>
      </w:tr>
      <w:tr>
        <w:trPr>
          <w:cantSplit w:val="0"/>
          <w:trHeight w:val="240" w:hRule="atLeast"/>
          <w:tblHeader w:val="0"/>
        </w:trPr>
        <w:tc>
          <w:tcPr>
            <w:vAlign w:val="bottom"/>
          </w:tcPr>
          <w:p w:rsidR="00000000" w:rsidDel="00000000" w:rsidP="00000000" w:rsidRDefault="00000000" w:rsidRPr="00000000" w14:paraId="00000108">
            <w:pPr>
              <w:ind w:left="330" w:firstLine="0"/>
              <w:jc w:val="both"/>
              <w:rPr/>
            </w:pPr>
            <w:r w:rsidDel="00000000" w:rsidR="00000000" w:rsidRPr="00000000">
              <w:rPr>
                <w:rtl w:val="0"/>
              </w:rPr>
              <w:t xml:space="preserve">Moderate</w:t>
            </w:r>
          </w:p>
        </w:tc>
        <w:tc>
          <w:tcPr>
            <w:vAlign w:val="bottom"/>
          </w:tcPr>
          <w:p w:rsidR="00000000" w:rsidDel="00000000" w:rsidP="00000000" w:rsidRDefault="00000000" w:rsidRPr="00000000" w14:paraId="00000109">
            <w:pPr>
              <w:jc w:val="center"/>
              <w:rPr/>
            </w:pPr>
            <w:r w:rsidDel="00000000" w:rsidR="00000000" w:rsidRPr="00000000">
              <w:rPr>
                <w:rtl w:val="0"/>
              </w:rPr>
              <w:t xml:space="preserve">45</w:t>
            </w:r>
          </w:p>
        </w:tc>
        <w:tc>
          <w:tcPr>
            <w:vAlign w:val="bottom"/>
          </w:tcPr>
          <w:p w:rsidR="00000000" w:rsidDel="00000000" w:rsidP="00000000" w:rsidRDefault="00000000" w:rsidRPr="00000000" w14:paraId="0000010A">
            <w:pPr>
              <w:jc w:val="center"/>
              <w:rPr>
                <w:b w:val="1"/>
                <w:bCs w:val="1"/>
              </w:rPr>
            </w:pPr>
            <w:r w:rsidDel="00000000" w:rsidR="00000000" w:rsidRPr="00000000">
              <w:rPr>
                <w:b w:val="1"/>
                <w:bCs w:val="1"/>
                <w:rtl w:val="0"/>
              </w:rPr>
              <w:t xml:space="preserve">15.2</w:t>
            </w:r>
          </w:p>
        </w:tc>
      </w:tr>
      <w:tr>
        <w:trPr>
          <w:cantSplit w:val="0"/>
          <w:trHeight w:val="240" w:hRule="atLeast"/>
          <w:tblHeader w:val="0"/>
        </w:trPr>
        <w:tc>
          <w:tcPr>
            <w:vAlign w:val="bottom"/>
          </w:tcPr>
          <w:p w:rsidR="00000000" w:rsidDel="00000000" w:rsidP="00000000" w:rsidRDefault="00000000" w:rsidRPr="00000000" w14:paraId="0000010B">
            <w:pPr>
              <w:jc w:val="both"/>
              <w:rPr/>
            </w:pPr>
            <w:r w:rsidDel="00000000" w:rsidR="00000000" w:rsidRPr="00000000">
              <w:rPr>
                <w:rtl w:val="0"/>
              </w:rPr>
              <w:t xml:space="preserve">      Severe</w:t>
            </w:r>
          </w:p>
        </w:tc>
        <w:tc>
          <w:tcPr>
            <w:vAlign w:val="bottom"/>
          </w:tcPr>
          <w:p w:rsidR="00000000" w:rsidDel="00000000" w:rsidP="00000000" w:rsidRDefault="00000000" w:rsidRPr="00000000" w14:paraId="0000010C">
            <w:pPr>
              <w:jc w:val="center"/>
              <w:rPr/>
            </w:pPr>
            <w:r w:rsidDel="00000000" w:rsidR="00000000" w:rsidRPr="00000000">
              <w:rPr>
                <w:rtl w:val="0"/>
              </w:rPr>
              <w:t xml:space="preserve">30</w:t>
            </w:r>
          </w:p>
        </w:tc>
        <w:tc>
          <w:tcPr>
            <w:vAlign w:val="bottom"/>
          </w:tcPr>
          <w:p w:rsidR="00000000" w:rsidDel="00000000" w:rsidP="00000000" w:rsidRDefault="00000000" w:rsidRPr="00000000" w14:paraId="0000010D">
            <w:pPr>
              <w:jc w:val="center"/>
              <w:rPr/>
            </w:pPr>
            <w:r w:rsidDel="00000000" w:rsidR="00000000" w:rsidRPr="00000000">
              <w:rPr>
                <w:rtl w:val="0"/>
              </w:rPr>
              <w:t xml:space="preserve">10.1</w:t>
            </w:r>
          </w:p>
        </w:tc>
      </w:tr>
      <w:tr>
        <w:trPr>
          <w:cantSplit w:val="0"/>
          <w:trHeight w:val="240" w:hRule="atLeast"/>
          <w:tblHeader w:val="0"/>
        </w:trPr>
        <w:tc>
          <w:tcPr>
            <w:vAlign w:val="bottom"/>
          </w:tcPr>
          <w:p w:rsidR="00000000" w:rsidDel="00000000" w:rsidP="00000000" w:rsidRDefault="00000000" w:rsidRPr="00000000" w14:paraId="0000010E">
            <w:pPr>
              <w:ind w:left="330" w:firstLine="0"/>
              <w:jc w:val="both"/>
              <w:rPr/>
            </w:pPr>
            <w:r w:rsidDel="00000000" w:rsidR="00000000" w:rsidRPr="00000000">
              <w:rPr>
                <w:rtl w:val="0"/>
              </w:rPr>
              <w:t xml:space="preserve">Trace</w:t>
            </w:r>
          </w:p>
        </w:tc>
        <w:tc>
          <w:tcPr>
            <w:vAlign w:val="bottom"/>
          </w:tcPr>
          <w:p w:rsidR="00000000" w:rsidDel="00000000" w:rsidP="00000000" w:rsidRDefault="00000000" w:rsidRPr="00000000" w14:paraId="0000010F">
            <w:pPr>
              <w:jc w:val="center"/>
              <w:rPr/>
            </w:pPr>
            <w:r w:rsidDel="00000000" w:rsidR="00000000" w:rsidRPr="00000000">
              <w:rPr>
                <w:rtl w:val="0"/>
              </w:rPr>
              <w:t xml:space="preserve">24</w:t>
            </w:r>
          </w:p>
        </w:tc>
        <w:tc>
          <w:tcPr>
            <w:vAlign w:val="bottom"/>
          </w:tcPr>
          <w:p w:rsidR="00000000" w:rsidDel="00000000" w:rsidP="00000000" w:rsidRDefault="00000000" w:rsidRPr="00000000" w14:paraId="00000110">
            <w:pPr>
              <w:jc w:val="center"/>
              <w:rPr/>
            </w:pPr>
            <w:r w:rsidDel="00000000" w:rsidR="00000000" w:rsidRPr="00000000">
              <w:rPr>
                <w:rtl w:val="0"/>
              </w:rPr>
              <w:t xml:space="preserve">8.1</w:t>
            </w:r>
          </w:p>
        </w:tc>
      </w:tr>
      <w:tr>
        <w:trPr>
          <w:cantSplit w:val="0"/>
          <w:trHeight w:val="240" w:hRule="atLeast"/>
          <w:tblHeader w:val="0"/>
        </w:trPr>
        <w:tc>
          <w:tcPr>
            <w:vAlign w:val="bottom"/>
          </w:tcPr>
          <w:p w:rsidR="00000000" w:rsidDel="00000000" w:rsidP="00000000" w:rsidRDefault="00000000" w:rsidRPr="00000000" w14:paraId="00000111">
            <w:pPr>
              <w:jc w:val="both"/>
              <w:rPr/>
            </w:pPr>
            <w:r w:rsidDel="00000000" w:rsidR="00000000" w:rsidRPr="00000000">
              <w:rPr>
                <w:b w:val="1"/>
                <w:bCs w:val="1"/>
                <w:rtl w:val="0"/>
              </w:rPr>
              <w:t xml:space="preserve">HBA1C</w:t>
            </w:r>
            <w:r w:rsidDel="00000000" w:rsidR="00000000" w:rsidRPr="00000000">
              <w:rPr>
                <w:rtl w:val="0"/>
              </w:rPr>
              <w:t xml:space="preserve"> (%)</w:t>
            </w:r>
          </w:p>
        </w:tc>
        <w:tc>
          <w:tcPr>
            <w:vAlign w:val="bottom"/>
          </w:tcPr>
          <w:p w:rsidR="00000000" w:rsidDel="00000000" w:rsidP="00000000" w:rsidRDefault="00000000" w:rsidRPr="00000000" w14:paraId="00000112">
            <w:pPr>
              <w:jc w:val="center"/>
              <w:rPr/>
            </w:pPr>
            <w:r w:rsidDel="00000000" w:rsidR="00000000" w:rsidRPr="00000000">
              <w:rPr>
                <w:rtl w:val="0"/>
              </w:rPr>
            </w:r>
          </w:p>
        </w:tc>
        <w:tc>
          <w:tcPr>
            <w:vAlign w:val="bottom"/>
          </w:tcPr>
          <w:p w:rsidR="00000000" w:rsidDel="00000000" w:rsidP="00000000" w:rsidRDefault="00000000" w:rsidRPr="00000000" w14:paraId="00000113">
            <w:pPr>
              <w:jc w:val="center"/>
              <w:rPr/>
            </w:pPr>
            <w:r w:rsidDel="00000000" w:rsidR="00000000" w:rsidRPr="00000000">
              <w:rPr>
                <w:rtl w:val="0"/>
              </w:rPr>
            </w:r>
          </w:p>
        </w:tc>
      </w:tr>
      <w:tr>
        <w:trPr>
          <w:cantSplit w:val="0"/>
          <w:trHeight w:val="240" w:hRule="atLeast"/>
          <w:tblHeader w:val="0"/>
        </w:trPr>
        <w:tc>
          <w:tcPr>
            <w:vAlign w:val="bottom"/>
          </w:tcPr>
          <w:p w:rsidR="00000000" w:rsidDel="00000000" w:rsidP="00000000" w:rsidRDefault="00000000" w:rsidRPr="00000000" w14:paraId="00000114">
            <w:pPr>
              <w:ind w:left="330" w:firstLine="0"/>
              <w:jc w:val="both"/>
              <w:rPr/>
            </w:pPr>
            <w:sdt>
              <w:sdtPr>
                <w:id w:val="-2085358799"/>
                <w:tag w:val="goog_rdk_4"/>
              </w:sdtPr>
              <w:sdtContent>
                <w:r w:rsidDel="00000000" w:rsidR="00000000" w:rsidRPr="00000000">
                  <w:rPr>
                    <w:rFonts w:ascii="Gungsuh" w:cs="Gungsuh" w:eastAsia="Gungsuh" w:hAnsi="Gungsuh"/>
                    <w:rtl w:val="0"/>
                  </w:rPr>
                  <w:t xml:space="preserve">≤ 5.81</w:t>
                </w:r>
              </w:sdtContent>
            </w:sdt>
          </w:p>
        </w:tc>
        <w:tc>
          <w:tcPr>
            <w:vAlign w:val="bottom"/>
          </w:tcPr>
          <w:p w:rsidR="00000000" w:rsidDel="00000000" w:rsidP="00000000" w:rsidRDefault="00000000" w:rsidRPr="00000000" w14:paraId="00000115">
            <w:pPr>
              <w:jc w:val="center"/>
              <w:rPr/>
            </w:pPr>
            <w:r w:rsidDel="00000000" w:rsidR="00000000" w:rsidRPr="00000000">
              <w:rPr>
                <w:rtl w:val="0"/>
              </w:rPr>
              <w:t xml:space="preserve">3</w:t>
            </w:r>
          </w:p>
        </w:tc>
        <w:tc>
          <w:tcPr>
            <w:vAlign w:val="bottom"/>
          </w:tcPr>
          <w:p w:rsidR="00000000" w:rsidDel="00000000" w:rsidP="00000000" w:rsidRDefault="00000000" w:rsidRPr="00000000" w14:paraId="00000116">
            <w:pPr>
              <w:jc w:val="center"/>
              <w:rPr/>
            </w:pPr>
            <w:r w:rsidDel="00000000" w:rsidR="00000000" w:rsidRPr="00000000">
              <w:rPr>
                <w:rtl w:val="0"/>
              </w:rPr>
              <w:t xml:space="preserve">1</w:t>
            </w:r>
          </w:p>
        </w:tc>
      </w:tr>
      <w:tr>
        <w:trPr>
          <w:cantSplit w:val="0"/>
          <w:trHeight w:val="240" w:hRule="atLeast"/>
          <w:tblHeader w:val="0"/>
        </w:trPr>
        <w:tc>
          <w:tcPr>
            <w:vAlign w:val="bottom"/>
          </w:tcPr>
          <w:p w:rsidR="00000000" w:rsidDel="00000000" w:rsidP="00000000" w:rsidRDefault="00000000" w:rsidRPr="00000000" w14:paraId="00000117">
            <w:pPr>
              <w:ind w:left="330" w:firstLine="0"/>
              <w:jc w:val="both"/>
              <w:rPr/>
            </w:pPr>
            <w:r w:rsidDel="00000000" w:rsidR="00000000" w:rsidRPr="00000000">
              <w:rPr>
                <w:rtl w:val="0"/>
              </w:rPr>
              <w:t xml:space="preserve">&gt; 5.81</w:t>
            </w:r>
          </w:p>
        </w:tc>
        <w:tc>
          <w:tcPr>
            <w:vAlign w:val="bottom"/>
          </w:tcPr>
          <w:p w:rsidR="00000000" w:rsidDel="00000000" w:rsidP="00000000" w:rsidRDefault="00000000" w:rsidRPr="00000000" w14:paraId="00000118">
            <w:pPr>
              <w:jc w:val="center"/>
              <w:rPr/>
            </w:pPr>
            <w:r w:rsidDel="00000000" w:rsidR="00000000" w:rsidRPr="00000000">
              <w:rPr>
                <w:rtl w:val="0"/>
              </w:rPr>
              <w:t xml:space="preserve">293</w:t>
            </w:r>
          </w:p>
        </w:tc>
        <w:tc>
          <w:tcPr>
            <w:vAlign w:val="bottom"/>
          </w:tcPr>
          <w:p w:rsidR="00000000" w:rsidDel="00000000" w:rsidP="00000000" w:rsidRDefault="00000000" w:rsidRPr="00000000" w14:paraId="00000119">
            <w:pPr>
              <w:jc w:val="center"/>
              <w:rPr>
                <w:b w:val="1"/>
                <w:bCs w:val="1"/>
              </w:rPr>
            </w:pPr>
            <w:r w:rsidDel="00000000" w:rsidR="00000000" w:rsidRPr="00000000">
              <w:rPr>
                <w:b w:val="1"/>
                <w:bCs w:val="1"/>
                <w:rtl w:val="0"/>
              </w:rPr>
              <w:t xml:space="preserve">99</w:t>
            </w:r>
          </w:p>
        </w:tc>
      </w:tr>
      <w:tr>
        <w:trPr>
          <w:cantSplit w:val="0"/>
          <w:trHeight w:val="240" w:hRule="atLeast"/>
          <w:tblHeader w:val="0"/>
        </w:trPr>
        <w:tc>
          <w:tcPr>
            <w:tcBorders>
              <w:bottom w:color="000000" w:space="0" w:sz="12" w:val="single"/>
            </w:tcBorders>
            <w:vAlign w:val="bottom"/>
          </w:tcPr>
          <w:p w:rsidR="00000000" w:rsidDel="00000000" w:rsidP="00000000" w:rsidRDefault="00000000" w:rsidRPr="00000000" w14:paraId="0000011A">
            <w:pPr>
              <w:ind w:left="330" w:firstLine="0"/>
              <w:jc w:val="both"/>
              <w:rPr>
                <w:i w:val="1"/>
                <w:iCs w:val="1"/>
              </w:rPr>
            </w:pPr>
            <w:r w:rsidDel="00000000" w:rsidR="00000000" w:rsidRPr="00000000">
              <w:rPr>
                <w:i w:val="1"/>
                <w:iCs w:val="1"/>
                <w:rtl w:val="0"/>
              </w:rPr>
              <w:t xml:space="preserve">Mean, SD</w:t>
            </w:r>
          </w:p>
        </w:tc>
        <w:tc>
          <w:tcPr>
            <w:tcBorders>
              <w:bottom w:color="000000" w:space="0" w:sz="12" w:val="single"/>
            </w:tcBorders>
            <w:vAlign w:val="bottom"/>
          </w:tcPr>
          <w:p w:rsidR="00000000" w:rsidDel="00000000" w:rsidP="00000000" w:rsidRDefault="00000000" w:rsidRPr="00000000" w14:paraId="0000011B">
            <w:pPr>
              <w:jc w:val="center"/>
              <w:rPr>
                <w:i w:val="1"/>
                <w:iCs w:val="1"/>
              </w:rPr>
            </w:pPr>
            <w:r w:rsidDel="00000000" w:rsidR="00000000" w:rsidRPr="00000000">
              <w:rPr>
                <w:i w:val="1"/>
                <w:iCs w:val="1"/>
                <w:rtl w:val="0"/>
              </w:rPr>
              <w:t xml:space="preserve">10.3 (±4.7)</w:t>
            </w:r>
          </w:p>
        </w:tc>
        <w:tc>
          <w:tcPr>
            <w:tcBorders>
              <w:bottom w:color="000000" w:space="0" w:sz="12" w:val="single"/>
            </w:tcBorders>
            <w:vAlign w:val="bottom"/>
          </w:tcPr>
          <w:p w:rsidR="00000000" w:rsidDel="00000000" w:rsidP="00000000" w:rsidRDefault="00000000" w:rsidRPr="00000000" w14:paraId="0000011C">
            <w:pPr>
              <w:jc w:val="center"/>
              <w:rPr>
                <w:b w:val="1"/>
                <w:bCs w:val="1"/>
              </w:rPr>
            </w:pPr>
            <w:r w:rsidDel="00000000" w:rsidR="00000000" w:rsidRPr="00000000">
              <w:rPr>
                <w:rtl w:val="0"/>
              </w:rPr>
            </w:r>
          </w:p>
        </w:tc>
      </w:tr>
    </w:tbl>
    <w:p w:rsidR="00000000" w:rsidDel="00000000" w:rsidP="00000000" w:rsidRDefault="00000000" w:rsidRPr="00000000" w14:paraId="0000011D">
      <w:pPr>
        <w:tabs>
          <w:tab w:val="center" w:leader="none" w:pos="4680"/>
        </w:tabs>
        <w:spacing w:before="240" w:lineRule="auto"/>
        <w:jc w:val="both"/>
        <w:rPr>
          <w:b w:val="1"/>
          <w:bCs w:val="1"/>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pStyle w:val="Heading2"/>
        <w:rPr>
          <w:color w:val="000000"/>
        </w:rPr>
      </w:pPr>
      <w:bookmarkStart w:colFirst="0" w:colLast="0" w:name="_heading=h.gj56m4nkl657" w:id="5"/>
      <w:bookmarkEnd w:id="5"/>
      <w:r w:rsidDel="00000000" w:rsidR="00000000" w:rsidRPr="00000000">
        <w:rPr>
          <w:rtl w:val="0"/>
        </w:rPr>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pStyle w:val="Heading2"/>
        <w:rPr>
          <w:b w:val="0"/>
          <w:bCs w:val="0"/>
        </w:rPr>
      </w:pPr>
      <w:bookmarkStart w:colFirst="0" w:colLast="0" w:name="_heading=h.6kgjkai3nxlz" w:id="6"/>
      <w:bookmarkEnd w:id="6"/>
      <w:r w:rsidDel="00000000" w:rsidR="00000000" w:rsidRPr="00000000">
        <w:rPr>
          <w:b w:val="0"/>
          <w:bCs w:val="0"/>
          <w:color w:val="000000"/>
          <w:rtl w:val="0"/>
        </w:rPr>
        <w:t xml:space="preserve">On looking for the factors associated with Macula edema, </w:t>
      </w:r>
      <w:r w:rsidDel="00000000" w:rsidR="00000000" w:rsidRPr="00000000">
        <w:rPr>
          <w:b w:val="0"/>
          <w:bCs w:val="0"/>
          <w:rtl w:val="0"/>
        </w:rPr>
        <w:t xml:space="preserve">the proportion of patients with macular edema was found to be 56.4% (167 out of 296), Patients with elevated serum cholesterol levels were found to have a 26% higher likelihood of developing macular edema compared to those with normal serum cholesterol levels (CPR=1.26; 95% CI:1.03-1.55; P-value= 0.023). Similarly, patients with high serum triglyceride levels had a 55% increased risk of macular edema (CPR=1.55; 95% CI:1.2-1.89; P-value &lt; 0.001) compared to individuals with normal serum triglyceride levels. </w:t>
      </w:r>
    </w:p>
    <w:p w:rsidR="00000000" w:rsidDel="00000000" w:rsidP="00000000" w:rsidRDefault="00000000" w:rsidRPr="00000000" w14:paraId="00000129">
      <w:pPr>
        <w:spacing w:line="360" w:lineRule="auto"/>
        <w:jc w:val="both"/>
        <w:rPr/>
      </w:pPr>
      <w:r w:rsidDel="00000000" w:rsidR="00000000" w:rsidRPr="00000000">
        <w:rPr>
          <w:rtl w:val="0"/>
        </w:rPr>
      </w:r>
    </w:p>
    <w:p w:rsidR="00000000" w:rsidDel="00000000" w:rsidP="00000000" w:rsidRDefault="00000000" w:rsidRPr="00000000" w14:paraId="0000012A">
      <w:pPr>
        <w:spacing w:line="360" w:lineRule="auto"/>
        <w:jc w:val="both"/>
        <w:rPr/>
      </w:pPr>
      <w:r w:rsidDel="00000000" w:rsidR="00000000" w:rsidRPr="00000000">
        <w:rPr>
          <w:rtl w:val="0"/>
        </w:rPr>
        <w:t xml:space="preserve">Furthermore, patients with elevated LDL levels were 27% more likely to develop macular edema compared to those with normal LDL levels (CPR=1.27; 95% CI:1.05-1.55; P-value &lt; 0.001). Lastly, individuals with abnormal urine for protein levels had a 21% higher likelihood of macular edema compared to those with negative or trace levels (CPR=1.21; 95%CI:1.02-1.44; P-value= 0.028).</w:t>
      </w:r>
    </w:p>
    <w:p w:rsidR="00000000" w:rsidDel="00000000" w:rsidP="00000000" w:rsidRDefault="00000000" w:rsidRPr="00000000" w14:paraId="0000012B">
      <w:pPr>
        <w:spacing w:line="360" w:lineRule="auto"/>
        <w:jc w:val="both"/>
        <w:rPr/>
      </w:pPr>
      <w:r w:rsidDel="00000000" w:rsidR="00000000" w:rsidRPr="00000000">
        <w:rPr>
          <w:rtl w:val="0"/>
        </w:rPr>
      </w:r>
    </w:p>
    <w:p w:rsidR="00000000" w:rsidDel="00000000" w:rsidP="00000000" w:rsidRDefault="00000000" w:rsidRPr="00000000" w14:paraId="0000012C">
      <w:pPr>
        <w:spacing w:line="360" w:lineRule="auto"/>
        <w:jc w:val="both"/>
        <w:rPr/>
      </w:pPr>
      <w:r w:rsidDel="00000000" w:rsidR="00000000" w:rsidRPr="00000000">
        <w:rPr>
          <w:rtl w:val="0"/>
        </w:rPr>
        <w:t xml:space="preserve">In the adjusted analysis, patients exhibiting elevated serum triglyceride levels had a 40% higher likelihood of developing macular edema (APR=1.40; 95% CI:1.13-1.74; P-value= 0.002) in comparison to patients with regular serum triglyceride levels. </w:t>
      </w:r>
      <w:r w:rsidDel="00000000" w:rsidR="00000000" w:rsidRPr="00000000">
        <w:rPr>
          <w:b w:val="1"/>
          <w:bCs w:val="1"/>
          <w:rtl w:val="0"/>
        </w:rPr>
        <w:t xml:space="preserve">(Table 3)</w:t>
      </w:r>
      <w:r w:rsidDel="00000000" w:rsidR="00000000" w:rsidRPr="00000000">
        <w:rPr>
          <w:rtl w:val="0"/>
        </w:rPr>
      </w:r>
    </w:p>
    <w:p w:rsidR="00000000" w:rsidDel="00000000" w:rsidP="00000000" w:rsidRDefault="00000000" w:rsidRPr="00000000" w14:paraId="0000012D">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iopofyz6vwr0" w:id="7"/>
      <w:bookmarkEnd w:id="7"/>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Table 3: Factors associated with Macula edema among type 2 diabetic patients (N-296).</w:t>
      </w:r>
    </w:p>
    <w:tbl>
      <w:tblPr>
        <w:tblStyle w:val="Table3"/>
        <w:tblW w:w="9214.0" w:type="dxa"/>
        <w:jc w:val="left"/>
        <w:tblLayout w:type="fixed"/>
        <w:tblLook w:val="0400"/>
      </w:tblPr>
      <w:tblGrid>
        <w:gridCol w:w="2751"/>
        <w:gridCol w:w="2161"/>
        <w:gridCol w:w="1317"/>
        <w:gridCol w:w="1756"/>
        <w:gridCol w:w="1229"/>
        <w:tblGridChange w:id="0">
          <w:tblGrid>
            <w:gridCol w:w="2751"/>
            <w:gridCol w:w="2161"/>
            <w:gridCol w:w="1317"/>
            <w:gridCol w:w="1756"/>
            <w:gridCol w:w="1229"/>
          </w:tblGrid>
        </w:tblGridChange>
      </w:tblGrid>
      <w:tr>
        <w:trPr>
          <w:cantSplit w:val="0"/>
          <w:trHeight w:val="258" w:hRule="atLeast"/>
          <w:tblHeader w:val="0"/>
        </w:trPr>
        <w:tc>
          <w:tcPr>
            <w:tcBorders>
              <w:top w:color="000000" w:space="0" w:sz="12" w:val="single"/>
              <w:bottom w:color="000000" w:space="0" w:sz="12" w:val="single"/>
            </w:tcBorders>
            <w:vAlign w:val="bottom"/>
          </w:tcPr>
          <w:p w:rsidR="00000000" w:rsidDel="00000000" w:rsidP="00000000" w:rsidRDefault="00000000" w:rsidRPr="00000000" w14:paraId="0000012F">
            <w:pPr>
              <w:rPr>
                <w:b w:val="1"/>
                <w:bCs w:val="1"/>
                <w:sz w:val="22"/>
                <w:szCs w:val="22"/>
              </w:rPr>
            </w:pPr>
            <w:r w:rsidDel="00000000" w:rsidR="00000000" w:rsidRPr="00000000">
              <w:rPr>
                <w:b w:val="1"/>
                <w:bCs w:val="1"/>
                <w:sz w:val="22"/>
                <w:szCs w:val="22"/>
                <w:rtl w:val="0"/>
              </w:rPr>
              <w:t xml:space="preserve"> Variable</w:t>
            </w:r>
          </w:p>
        </w:tc>
        <w:tc>
          <w:tcPr>
            <w:tcBorders>
              <w:top w:color="000000" w:space="0" w:sz="12" w:val="single"/>
              <w:bottom w:color="000000" w:space="0" w:sz="12" w:val="single"/>
            </w:tcBorders>
          </w:tcPr>
          <w:p w:rsidR="00000000" w:rsidDel="00000000" w:rsidP="00000000" w:rsidRDefault="00000000" w:rsidRPr="00000000" w14:paraId="00000130">
            <w:pPr>
              <w:jc w:val="center"/>
              <w:rPr>
                <w:b w:val="1"/>
                <w:bCs w:val="1"/>
                <w:sz w:val="22"/>
                <w:szCs w:val="22"/>
              </w:rPr>
            </w:pPr>
            <w:r w:rsidDel="00000000" w:rsidR="00000000" w:rsidRPr="00000000">
              <w:rPr>
                <w:b w:val="1"/>
                <w:bCs w:val="1"/>
                <w:sz w:val="22"/>
                <w:szCs w:val="22"/>
                <w:rtl w:val="0"/>
              </w:rPr>
              <w:t xml:space="preserve">CPR (95%CI)</w:t>
            </w:r>
          </w:p>
        </w:tc>
        <w:tc>
          <w:tcPr>
            <w:tcBorders>
              <w:top w:color="000000" w:space="0" w:sz="12" w:val="single"/>
              <w:bottom w:color="000000" w:space="0" w:sz="12" w:val="single"/>
            </w:tcBorders>
          </w:tcPr>
          <w:p w:rsidR="00000000" w:rsidDel="00000000" w:rsidP="00000000" w:rsidRDefault="00000000" w:rsidRPr="00000000" w14:paraId="00000131">
            <w:pPr>
              <w:jc w:val="center"/>
              <w:rPr>
                <w:b w:val="1"/>
                <w:bCs w:val="1"/>
                <w:sz w:val="22"/>
                <w:szCs w:val="22"/>
              </w:rPr>
            </w:pPr>
            <w:r w:rsidDel="00000000" w:rsidR="00000000" w:rsidRPr="00000000">
              <w:rPr>
                <w:b w:val="1"/>
                <w:bCs w:val="1"/>
                <w:sz w:val="22"/>
                <w:szCs w:val="22"/>
                <w:rtl w:val="0"/>
              </w:rPr>
              <w:t xml:space="preserve">P-value</w:t>
            </w:r>
          </w:p>
        </w:tc>
        <w:tc>
          <w:tcPr>
            <w:tcBorders>
              <w:top w:color="000000" w:space="0" w:sz="12" w:val="single"/>
              <w:bottom w:color="000000" w:space="0" w:sz="12" w:val="single"/>
            </w:tcBorders>
          </w:tcPr>
          <w:p w:rsidR="00000000" w:rsidDel="00000000" w:rsidP="00000000" w:rsidRDefault="00000000" w:rsidRPr="00000000" w14:paraId="00000132">
            <w:pPr>
              <w:jc w:val="center"/>
              <w:rPr>
                <w:b w:val="1"/>
                <w:bCs w:val="1"/>
                <w:sz w:val="22"/>
                <w:szCs w:val="22"/>
              </w:rPr>
            </w:pPr>
            <w:r w:rsidDel="00000000" w:rsidR="00000000" w:rsidRPr="00000000">
              <w:rPr>
                <w:b w:val="1"/>
                <w:bCs w:val="1"/>
                <w:sz w:val="22"/>
                <w:szCs w:val="22"/>
                <w:rtl w:val="0"/>
              </w:rPr>
              <w:t xml:space="preserve">APR (95%CI)</w:t>
            </w:r>
          </w:p>
        </w:tc>
        <w:tc>
          <w:tcPr>
            <w:tcBorders>
              <w:top w:color="000000" w:space="0" w:sz="12" w:val="single"/>
              <w:bottom w:color="000000" w:space="0" w:sz="12" w:val="single"/>
            </w:tcBorders>
          </w:tcPr>
          <w:p w:rsidR="00000000" w:rsidDel="00000000" w:rsidP="00000000" w:rsidRDefault="00000000" w:rsidRPr="00000000" w14:paraId="00000133">
            <w:pPr>
              <w:jc w:val="center"/>
              <w:rPr>
                <w:b w:val="1"/>
                <w:bCs w:val="1"/>
                <w:sz w:val="22"/>
                <w:szCs w:val="22"/>
              </w:rPr>
            </w:pPr>
            <w:r w:rsidDel="00000000" w:rsidR="00000000" w:rsidRPr="00000000">
              <w:rPr>
                <w:b w:val="1"/>
                <w:bCs w:val="1"/>
                <w:sz w:val="22"/>
                <w:szCs w:val="22"/>
                <w:rtl w:val="0"/>
              </w:rPr>
              <w:t xml:space="preserve">P-value</w:t>
            </w:r>
          </w:p>
        </w:tc>
      </w:tr>
      <w:tr>
        <w:trPr>
          <w:cantSplit w:val="0"/>
          <w:trHeight w:val="258" w:hRule="atLeast"/>
          <w:tblHeader w:val="0"/>
        </w:trPr>
        <w:tc>
          <w:tcPr>
            <w:tcBorders>
              <w:top w:color="000000" w:space="0" w:sz="12" w:val="single"/>
            </w:tcBorders>
            <w:vAlign w:val="bottom"/>
          </w:tcPr>
          <w:p w:rsidR="00000000" w:rsidDel="00000000" w:rsidP="00000000" w:rsidRDefault="00000000" w:rsidRPr="00000000" w14:paraId="00000134">
            <w:pPr>
              <w:rPr>
                <w:b w:val="1"/>
                <w:bCs w:val="1"/>
                <w:sz w:val="22"/>
                <w:szCs w:val="22"/>
              </w:rPr>
            </w:pPr>
            <w:r w:rsidDel="00000000" w:rsidR="00000000" w:rsidRPr="00000000">
              <w:rPr>
                <w:b w:val="1"/>
                <w:bCs w:val="1"/>
                <w:sz w:val="22"/>
                <w:szCs w:val="22"/>
                <w:rtl w:val="0"/>
              </w:rPr>
              <w:t xml:space="preserve">Sex</w:t>
            </w:r>
          </w:p>
        </w:tc>
        <w:tc>
          <w:tcPr>
            <w:tcBorders>
              <w:top w:color="000000" w:space="0" w:sz="12" w:val="single"/>
            </w:tcBorders>
          </w:tcPr>
          <w:p w:rsidR="00000000" w:rsidDel="00000000" w:rsidP="00000000" w:rsidRDefault="00000000" w:rsidRPr="00000000" w14:paraId="00000135">
            <w:pPr>
              <w:jc w:val="center"/>
              <w:rPr>
                <w:sz w:val="22"/>
                <w:szCs w:val="22"/>
              </w:rPr>
            </w:pPr>
            <w:r w:rsidDel="00000000" w:rsidR="00000000" w:rsidRPr="00000000">
              <w:rPr>
                <w:rtl w:val="0"/>
              </w:rPr>
            </w:r>
          </w:p>
        </w:tc>
        <w:tc>
          <w:tcPr>
            <w:tcBorders>
              <w:top w:color="000000" w:space="0" w:sz="12" w:val="single"/>
            </w:tcBorders>
          </w:tcPr>
          <w:p w:rsidR="00000000" w:rsidDel="00000000" w:rsidP="00000000" w:rsidRDefault="00000000" w:rsidRPr="00000000" w14:paraId="00000136">
            <w:pPr>
              <w:jc w:val="center"/>
              <w:rPr>
                <w:sz w:val="22"/>
                <w:szCs w:val="22"/>
              </w:rPr>
            </w:pPr>
            <w:r w:rsidDel="00000000" w:rsidR="00000000" w:rsidRPr="00000000">
              <w:rPr>
                <w:rtl w:val="0"/>
              </w:rPr>
            </w:r>
          </w:p>
        </w:tc>
        <w:tc>
          <w:tcPr>
            <w:tcBorders>
              <w:top w:color="000000" w:space="0" w:sz="12" w:val="single"/>
            </w:tcBorders>
          </w:tcPr>
          <w:p w:rsidR="00000000" w:rsidDel="00000000" w:rsidP="00000000" w:rsidRDefault="00000000" w:rsidRPr="00000000" w14:paraId="00000137">
            <w:pPr>
              <w:jc w:val="center"/>
              <w:rPr>
                <w:sz w:val="22"/>
                <w:szCs w:val="22"/>
              </w:rPr>
            </w:pPr>
            <w:r w:rsidDel="00000000" w:rsidR="00000000" w:rsidRPr="00000000">
              <w:rPr>
                <w:rtl w:val="0"/>
              </w:rPr>
            </w:r>
          </w:p>
        </w:tc>
        <w:tc>
          <w:tcPr>
            <w:tcBorders>
              <w:top w:color="000000" w:space="0" w:sz="12" w:val="single"/>
            </w:tcBorders>
          </w:tcPr>
          <w:p w:rsidR="00000000" w:rsidDel="00000000" w:rsidP="00000000" w:rsidRDefault="00000000" w:rsidRPr="00000000" w14:paraId="00000138">
            <w:pPr>
              <w:jc w:val="center"/>
              <w:rPr>
                <w:sz w:val="22"/>
                <w:szCs w:val="22"/>
              </w:rPr>
            </w:pPr>
            <w:r w:rsidDel="00000000" w:rsidR="00000000" w:rsidRPr="00000000">
              <w:rPr>
                <w:rtl w:val="0"/>
              </w:rPr>
            </w:r>
          </w:p>
        </w:tc>
      </w:tr>
      <w:tr>
        <w:trPr>
          <w:cantSplit w:val="0"/>
          <w:trHeight w:val="258" w:hRule="atLeast"/>
          <w:tblHeader w:val="0"/>
        </w:trPr>
        <w:tc>
          <w:tcPr>
            <w:vAlign w:val="bottom"/>
          </w:tcPr>
          <w:p w:rsidR="00000000" w:rsidDel="00000000" w:rsidP="00000000" w:rsidRDefault="00000000" w:rsidRPr="00000000" w14:paraId="00000139">
            <w:pPr>
              <w:ind w:left="330" w:firstLine="0"/>
              <w:rPr>
                <w:sz w:val="22"/>
                <w:szCs w:val="22"/>
              </w:rPr>
            </w:pPr>
            <w:r w:rsidDel="00000000" w:rsidR="00000000" w:rsidRPr="00000000">
              <w:rPr>
                <w:sz w:val="22"/>
                <w:szCs w:val="22"/>
                <w:rtl w:val="0"/>
              </w:rPr>
              <w:t xml:space="preserve">Male</w:t>
            </w:r>
          </w:p>
        </w:tc>
        <w:tc>
          <w:tcPr/>
          <w:p w:rsidR="00000000" w:rsidDel="00000000" w:rsidP="00000000" w:rsidRDefault="00000000" w:rsidRPr="00000000" w14:paraId="0000013A">
            <w:pPr>
              <w:jc w:val="center"/>
              <w:rPr>
                <w:sz w:val="22"/>
                <w:szCs w:val="22"/>
              </w:rPr>
            </w:pPr>
            <w:r w:rsidDel="00000000" w:rsidR="00000000" w:rsidRPr="00000000">
              <w:rPr>
                <w:sz w:val="22"/>
                <w:szCs w:val="22"/>
                <w:rtl w:val="0"/>
              </w:rPr>
              <w:t xml:space="preserve">Ref</w:t>
            </w:r>
          </w:p>
        </w:tc>
        <w:tc>
          <w:tcPr/>
          <w:p w:rsidR="00000000" w:rsidDel="00000000" w:rsidP="00000000" w:rsidRDefault="00000000" w:rsidRPr="00000000" w14:paraId="0000013B">
            <w:pPr>
              <w:ind w:left="330" w:firstLine="0"/>
              <w:jc w:val="center"/>
              <w:rPr>
                <w:sz w:val="22"/>
                <w:szCs w:val="22"/>
              </w:rPr>
            </w:pPr>
            <w:r w:rsidDel="00000000" w:rsidR="00000000" w:rsidRPr="00000000">
              <w:rPr>
                <w:rtl w:val="0"/>
              </w:rPr>
            </w:r>
          </w:p>
        </w:tc>
        <w:tc>
          <w:tcPr/>
          <w:p w:rsidR="00000000" w:rsidDel="00000000" w:rsidP="00000000" w:rsidRDefault="00000000" w:rsidRPr="00000000" w14:paraId="0000013C">
            <w:pPr>
              <w:ind w:left="330" w:firstLine="0"/>
              <w:jc w:val="center"/>
              <w:rPr>
                <w:sz w:val="22"/>
                <w:szCs w:val="22"/>
              </w:rPr>
            </w:pPr>
            <w:r w:rsidDel="00000000" w:rsidR="00000000" w:rsidRPr="00000000">
              <w:rPr>
                <w:rtl w:val="0"/>
              </w:rPr>
            </w:r>
          </w:p>
        </w:tc>
        <w:tc>
          <w:tcPr/>
          <w:p w:rsidR="00000000" w:rsidDel="00000000" w:rsidP="00000000" w:rsidRDefault="00000000" w:rsidRPr="00000000" w14:paraId="0000013D">
            <w:pPr>
              <w:ind w:left="330" w:firstLine="0"/>
              <w:jc w:val="center"/>
              <w:rPr>
                <w:sz w:val="22"/>
                <w:szCs w:val="22"/>
              </w:rPr>
            </w:pPr>
            <w:r w:rsidDel="00000000" w:rsidR="00000000" w:rsidRPr="00000000">
              <w:rPr>
                <w:rtl w:val="0"/>
              </w:rPr>
            </w:r>
          </w:p>
        </w:tc>
      </w:tr>
      <w:tr>
        <w:trPr>
          <w:cantSplit w:val="0"/>
          <w:trHeight w:val="258" w:hRule="atLeast"/>
          <w:tblHeader w:val="0"/>
        </w:trPr>
        <w:tc>
          <w:tcPr>
            <w:vAlign w:val="bottom"/>
          </w:tcPr>
          <w:p w:rsidR="00000000" w:rsidDel="00000000" w:rsidP="00000000" w:rsidRDefault="00000000" w:rsidRPr="00000000" w14:paraId="0000013E">
            <w:pPr>
              <w:ind w:left="330" w:firstLine="0"/>
              <w:rPr>
                <w:sz w:val="22"/>
                <w:szCs w:val="22"/>
              </w:rPr>
            </w:pPr>
            <w:r w:rsidDel="00000000" w:rsidR="00000000" w:rsidRPr="00000000">
              <w:rPr>
                <w:sz w:val="22"/>
                <w:szCs w:val="22"/>
                <w:rtl w:val="0"/>
              </w:rPr>
              <w:t xml:space="preserve">Female</w:t>
            </w:r>
          </w:p>
        </w:tc>
        <w:tc>
          <w:tcPr/>
          <w:p w:rsidR="00000000" w:rsidDel="00000000" w:rsidP="00000000" w:rsidRDefault="00000000" w:rsidRPr="00000000" w14:paraId="0000013F">
            <w:pPr>
              <w:jc w:val="center"/>
              <w:rPr>
                <w:sz w:val="22"/>
                <w:szCs w:val="22"/>
              </w:rPr>
            </w:pPr>
            <w:r w:rsidDel="00000000" w:rsidR="00000000" w:rsidRPr="00000000">
              <w:rPr>
                <w:sz w:val="22"/>
                <w:szCs w:val="22"/>
                <w:rtl w:val="0"/>
              </w:rPr>
              <w:t xml:space="preserve">0.97 (0.79-1.19)</w:t>
            </w:r>
          </w:p>
        </w:tc>
        <w:tc>
          <w:tcPr/>
          <w:p w:rsidR="00000000" w:rsidDel="00000000" w:rsidP="00000000" w:rsidRDefault="00000000" w:rsidRPr="00000000" w14:paraId="00000140">
            <w:pPr>
              <w:jc w:val="center"/>
              <w:rPr>
                <w:sz w:val="22"/>
                <w:szCs w:val="22"/>
              </w:rPr>
            </w:pPr>
            <w:r w:rsidDel="00000000" w:rsidR="00000000" w:rsidRPr="00000000">
              <w:rPr>
                <w:sz w:val="22"/>
                <w:szCs w:val="22"/>
                <w:rtl w:val="0"/>
              </w:rPr>
              <w:t xml:space="preserve">0.821</w:t>
            </w:r>
          </w:p>
        </w:tc>
        <w:tc>
          <w:tcPr/>
          <w:p w:rsidR="00000000" w:rsidDel="00000000" w:rsidP="00000000" w:rsidRDefault="00000000" w:rsidRPr="00000000" w14:paraId="00000141">
            <w:pPr>
              <w:ind w:left="330" w:firstLine="0"/>
              <w:jc w:val="center"/>
              <w:rPr>
                <w:sz w:val="22"/>
                <w:szCs w:val="22"/>
              </w:rPr>
            </w:pPr>
            <w:r w:rsidDel="00000000" w:rsidR="00000000" w:rsidRPr="00000000">
              <w:rPr>
                <w:rtl w:val="0"/>
              </w:rPr>
            </w:r>
          </w:p>
        </w:tc>
        <w:tc>
          <w:tcPr/>
          <w:p w:rsidR="00000000" w:rsidDel="00000000" w:rsidP="00000000" w:rsidRDefault="00000000" w:rsidRPr="00000000" w14:paraId="00000142">
            <w:pPr>
              <w:ind w:left="330" w:firstLine="0"/>
              <w:jc w:val="center"/>
              <w:rPr>
                <w:sz w:val="22"/>
                <w:szCs w:val="22"/>
              </w:rPr>
            </w:pPr>
            <w:r w:rsidDel="00000000" w:rsidR="00000000" w:rsidRPr="00000000">
              <w:rPr>
                <w:rtl w:val="0"/>
              </w:rPr>
            </w:r>
          </w:p>
        </w:tc>
      </w:tr>
      <w:tr>
        <w:trPr>
          <w:cantSplit w:val="0"/>
          <w:trHeight w:val="258" w:hRule="atLeast"/>
          <w:tblHeader w:val="0"/>
        </w:trPr>
        <w:tc>
          <w:tcPr>
            <w:vAlign w:val="bottom"/>
          </w:tcPr>
          <w:p w:rsidR="00000000" w:rsidDel="00000000" w:rsidP="00000000" w:rsidRDefault="00000000" w:rsidRPr="00000000" w14:paraId="00000143">
            <w:pPr>
              <w:ind w:left="330" w:firstLine="0"/>
              <w:rPr>
                <w:sz w:val="22"/>
                <w:szCs w:val="22"/>
              </w:rPr>
            </w:pPr>
            <w:r w:rsidDel="00000000" w:rsidR="00000000" w:rsidRPr="00000000">
              <w:rPr>
                <w:sz w:val="22"/>
                <w:szCs w:val="22"/>
                <w:rtl w:val="0"/>
              </w:rPr>
              <w:t xml:space="preserve">Age</w:t>
            </w:r>
          </w:p>
        </w:tc>
        <w:tc>
          <w:tcPr/>
          <w:p w:rsidR="00000000" w:rsidDel="00000000" w:rsidP="00000000" w:rsidRDefault="00000000" w:rsidRPr="00000000" w14:paraId="00000144">
            <w:pPr>
              <w:jc w:val="center"/>
              <w:rPr>
                <w:sz w:val="22"/>
                <w:szCs w:val="22"/>
              </w:rPr>
            </w:pPr>
            <w:r w:rsidDel="00000000" w:rsidR="00000000" w:rsidRPr="00000000">
              <w:rPr>
                <w:sz w:val="22"/>
                <w:szCs w:val="22"/>
                <w:rtl w:val="0"/>
              </w:rPr>
              <w:t xml:space="preserve">1.004 (0.99-1.07)</w:t>
            </w:r>
          </w:p>
        </w:tc>
        <w:tc>
          <w:tcPr/>
          <w:p w:rsidR="00000000" w:rsidDel="00000000" w:rsidP="00000000" w:rsidRDefault="00000000" w:rsidRPr="00000000" w14:paraId="00000145">
            <w:pPr>
              <w:jc w:val="center"/>
              <w:rPr>
                <w:sz w:val="22"/>
                <w:szCs w:val="22"/>
              </w:rPr>
            </w:pPr>
            <w:r w:rsidDel="00000000" w:rsidR="00000000" w:rsidRPr="00000000">
              <w:rPr>
                <w:sz w:val="22"/>
                <w:szCs w:val="22"/>
                <w:rtl w:val="0"/>
              </w:rPr>
              <w:t xml:space="preserve">0.420</w:t>
            </w:r>
          </w:p>
        </w:tc>
        <w:tc>
          <w:tcPr/>
          <w:p w:rsidR="00000000" w:rsidDel="00000000" w:rsidP="00000000" w:rsidRDefault="00000000" w:rsidRPr="00000000" w14:paraId="00000146">
            <w:pPr>
              <w:ind w:left="330" w:firstLine="0"/>
              <w:jc w:val="center"/>
              <w:rPr>
                <w:sz w:val="22"/>
                <w:szCs w:val="22"/>
              </w:rPr>
            </w:pPr>
            <w:r w:rsidDel="00000000" w:rsidR="00000000" w:rsidRPr="00000000">
              <w:rPr>
                <w:rtl w:val="0"/>
              </w:rPr>
            </w:r>
          </w:p>
        </w:tc>
        <w:tc>
          <w:tcPr/>
          <w:p w:rsidR="00000000" w:rsidDel="00000000" w:rsidP="00000000" w:rsidRDefault="00000000" w:rsidRPr="00000000" w14:paraId="00000147">
            <w:pPr>
              <w:ind w:left="330" w:firstLine="0"/>
              <w:jc w:val="center"/>
              <w:rPr>
                <w:sz w:val="22"/>
                <w:szCs w:val="22"/>
              </w:rPr>
            </w:pPr>
            <w:r w:rsidDel="00000000" w:rsidR="00000000" w:rsidRPr="00000000">
              <w:rPr>
                <w:rtl w:val="0"/>
              </w:rPr>
            </w:r>
          </w:p>
        </w:tc>
      </w:tr>
      <w:tr>
        <w:trPr>
          <w:cantSplit w:val="0"/>
          <w:trHeight w:val="258" w:hRule="atLeast"/>
          <w:tblHeader w:val="0"/>
        </w:trPr>
        <w:tc>
          <w:tcPr>
            <w:vAlign w:val="bottom"/>
          </w:tcPr>
          <w:p w:rsidR="00000000" w:rsidDel="00000000" w:rsidP="00000000" w:rsidRDefault="00000000" w:rsidRPr="00000000" w14:paraId="00000148">
            <w:pPr>
              <w:rPr>
                <w:b w:val="1"/>
                <w:bCs w:val="1"/>
                <w:sz w:val="22"/>
                <w:szCs w:val="22"/>
              </w:rPr>
            </w:pPr>
            <w:r w:rsidDel="00000000" w:rsidR="00000000" w:rsidRPr="00000000">
              <w:rPr>
                <w:b w:val="1"/>
                <w:bCs w:val="1"/>
                <w:sz w:val="22"/>
                <w:szCs w:val="22"/>
                <w:rtl w:val="0"/>
              </w:rPr>
              <w:t xml:space="preserve">Duration of diabetic mellitus</w:t>
            </w:r>
          </w:p>
        </w:tc>
        <w:tc>
          <w:tcPr/>
          <w:p w:rsidR="00000000" w:rsidDel="00000000" w:rsidP="00000000" w:rsidRDefault="00000000" w:rsidRPr="00000000" w14:paraId="00000149">
            <w:pPr>
              <w:jc w:val="center"/>
              <w:rPr>
                <w:sz w:val="22"/>
                <w:szCs w:val="22"/>
              </w:rPr>
            </w:pPr>
            <w:r w:rsidDel="00000000" w:rsidR="00000000" w:rsidRPr="00000000">
              <w:rPr>
                <w:sz w:val="22"/>
                <w:szCs w:val="22"/>
                <w:rtl w:val="0"/>
              </w:rPr>
              <w:t xml:space="preserve">1.01 (0.99-1.02)</w:t>
            </w:r>
          </w:p>
        </w:tc>
        <w:tc>
          <w:tcPr/>
          <w:p w:rsidR="00000000" w:rsidDel="00000000" w:rsidP="00000000" w:rsidRDefault="00000000" w:rsidRPr="00000000" w14:paraId="0000014A">
            <w:pPr>
              <w:jc w:val="center"/>
              <w:rPr>
                <w:sz w:val="22"/>
                <w:szCs w:val="22"/>
              </w:rPr>
            </w:pPr>
            <w:r w:rsidDel="00000000" w:rsidR="00000000" w:rsidRPr="00000000">
              <w:rPr>
                <w:sz w:val="22"/>
                <w:szCs w:val="22"/>
                <w:rtl w:val="0"/>
              </w:rPr>
              <w:t xml:space="preserve">1.158</w:t>
            </w:r>
          </w:p>
        </w:tc>
        <w:tc>
          <w:tcPr/>
          <w:p w:rsidR="00000000" w:rsidDel="00000000" w:rsidP="00000000" w:rsidRDefault="00000000" w:rsidRPr="00000000" w14:paraId="0000014B">
            <w:pPr>
              <w:jc w:val="center"/>
              <w:rPr>
                <w:sz w:val="22"/>
                <w:szCs w:val="22"/>
              </w:rPr>
            </w:pPr>
            <w:r w:rsidDel="00000000" w:rsidR="00000000" w:rsidRPr="00000000">
              <w:rPr>
                <w:rtl w:val="0"/>
              </w:rPr>
            </w:r>
          </w:p>
        </w:tc>
        <w:tc>
          <w:tcPr/>
          <w:p w:rsidR="00000000" w:rsidDel="00000000" w:rsidP="00000000" w:rsidRDefault="00000000" w:rsidRPr="00000000" w14:paraId="0000014C">
            <w:pPr>
              <w:jc w:val="center"/>
              <w:rPr>
                <w:sz w:val="22"/>
                <w:szCs w:val="22"/>
              </w:rPr>
            </w:pPr>
            <w:r w:rsidDel="00000000" w:rsidR="00000000" w:rsidRPr="00000000">
              <w:rPr>
                <w:rtl w:val="0"/>
              </w:rPr>
            </w:r>
          </w:p>
        </w:tc>
      </w:tr>
      <w:tr>
        <w:trPr>
          <w:cantSplit w:val="0"/>
          <w:trHeight w:val="258" w:hRule="atLeast"/>
          <w:tblHeader w:val="0"/>
        </w:trPr>
        <w:tc>
          <w:tcPr>
            <w:vAlign w:val="bottom"/>
          </w:tcPr>
          <w:p w:rsidR="00000000" w:rsidDel="00000000" w:rsidP="00000000" w:rsidRDefault="00000000" w:rsidRPr="00000000" w14:paraId="0000014D">
            <w:pPr>
              <w:rPr>
                <w:b w:val="1"/>
                <w:bCs w:val="1"/>
                <w:sz w:val="22"/>
                <w:szCs w:val="22"/>
              </w:rPr>
            </w:pPr>
            <w:r w:rsidDel="00000000" w:rsidR="00000000" w:rsidRPr="00000000">
              <w:rPr>
                <w:b w:val="1"/>
                <w:bCs w:val="1"/>
                <w:sz w:val="22"/>
                <w:szCs w:val="22"/>
                <w:rtl w:val="0"/>
              </w:rPr>
              <w:t xml:space="preserve">BMI</w:t>
            </w:r>
          </w:p>
        </w:tc>
        <w:tc>
          <w:tcPr/>
          <w:p w:rsidR="00000000" w:rsidDel="00000000" w:rsidP="00000000" w:rsidRDefault="00000000" w:rsidRPr="00000000" w14:paraId="0000014E">
            <w:pPr>
              <w:jc w:val="center"/>
              <w:rPr>
                <w:sz w:val="22"/>
                <w:szCs w:val="22"/>
              </w:rPr>
            </w:pPr>
            <w:r w:rsidDel="00000000" w:rsidR="00000000" w:rsidRPr="00000000">
              <w:rPr>
                <w:sz w:val="22"/>
                <w:szCs w:val="22"/>
                <w:rtl w:val="0"/>
              </w:rPr>
              <w:t xml:space="preserve">1.11 (0.98-1.28)</w:t>
            </w:r>
          </w:p>
        </w:tc>
        <w:tc>
          <w:tcPr/>
          <w:p w:rsidR="00000000" w:rsidDel="00000000" w:rsidP="00000000" w:rsidRDefault="00000000" w:rsidRPr="00000000" w14:paraId="0000014F">
            <w:pPr>
              <w:jc w:val="center"/>
              <w:rPr>
                <w:sz w:val="22"/>
                <w:szCs w:val="22"/>
              </w:rPr>
            </w:pPr>
            <w:r w:rsidDel="00000000" w:rsidR="00000000" w:rsidRPr="00000000">
              <w:rPr>
                <w:sz w:val="22"/>
                <w:szCs w:val="22"/>
                <w:rtl w:val="0"/>
              </w:rPr>
              <w:t xml:space="preserve">0.097</w:t>
            </w:r>
          </w:p>
        </w:tc>
        <w:tc>
          <w:tcPr/>
          <w:p w:rsidR="00000000" w:rsidDel="00000000" w:rsidP="00000000" w:rsidRDefault="00000000" w:rsidRPr="00000000" w14:paraId="00000150">
            <w:pPr>
              <w:jc w:val="center"/>
              <w:rPr>
                <w:sz w:val="22"/>
                <w:szCs w:val="22"/>
              </w:rPr>
            </w:pPr>
            <w:r w:rsidDel="00000000" w:rsidR="00000000" w:rsidRPr="00000000">
              <w:rPr>
                <w:rtl w:val="0"/>
              </w:rPr>
            </w:r>
          </w:p>
        </w:tc>
        <w:tc>
          <w:tcPr/>
          <w:p w:rsidR="00000000" w:rsidDel="00000000" w:rsidP="00000000" w:rsidRDefault="00000000" w:rsidRPr="00000000" w14:paraId="00000151">
            <w:pPr>
              <w:jc w:val="center"/>
              <w:rPr>
                <w:sz w:val="22"/>
                <w:szCs w:val="22"/>
              </w:rPr>
            </w:pPr>
            <w:r w:rsidDel="00000000" w:rsidR="00000000" w:rsidRPr="00000000">
              <w:rPr>
                <w:rtl w:val="0"/>
              </w:rPr>
            </w:r>
          </w:p>
        </w:tc>
      </w:tr>
      <w:tr>
        <w:trPr>
          <w:cantSplit w:val="0"/>
          <w:trHeight w:val="258" w:hRule="atLeast"/>
          <w:tblHeader w:val="0"/>
        </w:trPr>
        <w:tc>
          <w:tcPr>
            <w:vAlign w:val="bottom"/>
          </w:tcPr>
          <w:p w:rsidR="00000000" w:rsidDel="00000000" w:rsidP="00000000" w:rsidRDefault="00000000" w:rsidRPr="00000000" w14:paraId="00000152">
            <w:pPr>
              <w:rPr>
                <w:b w:val="1"/>
                <w:bCs w:val="1"/>
                <w:sz w:val="22"/>
                <w:szCs w:val="22"/>
              </w:rPr>
            </w:pPr>
            <w:r w:rsidDel="00000000" w:rsidR="00000000" w:rsidRPr="00000000">
              <w:rPr>
                <w:b w:val="1"/>
                <w:bCs w:val="1"/>
                <w:sz w:val="22"/>
                <w:szCs w:val="22"/>
                <w:rtl w:val="0"/>
              </w:rPr>
              <w:t xml:space="preserve">Serum creatinine</w:t>
            </w:r>
          </w:p>
        </w:tc>
        <w:tc>
          <w:tcPr/>
          <w:p w:rsidR="00000000" w:rsidDel="00000000" w:rsidP="00000000" w:rsidRDefault="00000000" w:rsidRPr="00000000" w14:paraId="00000153">
            <w:pPr>
              <w:jc w:val="center"/>
              <w:rPr>
                <w:sz w:val="22"/>
                <w:szCs w:val="22"/>
              </w:rPr>
            </w:pPr>
            <w:r w:rsidDel="00000000" w:rsidR="00000000" w:rsidRPr="00000000">
              <w:rPr>
                <w:sz w:val="22"/>
                <w:szCs w:val="22"/>
                <w:rtl w:val="0"/>
              </w:rPr>
              <w:t xml:space="preserve">1.0001 (0.99-1.001)</w:t>
            </w:r>
          </w:p>
        </w:tc>
        <w:tc>
          <w:tcPr/>
          <w:p w:rsidR="00000000" w:rsidDel="00000000" w:rsidP="00000000" w:rsidRDefault="00000000" w:rsidRPr="00000000" w14:paraId="00000154">
            <w:pPr>
              <w:jc w:val="center"/>
              <w:rPr>
                <w:sz w:val="22"/>
                <w:szCs w:val="22"/>
              </w:rPr>
            </w:pPr>
            <w:r w:rsidDel="00000000" w:rsidR="00000000" w:rsidRPr="00000000">
              <w:rPr>
                <w:sz w:val="22"/>
                <w:szCs w:val="22"/>
                <w:rtl w:val="0"/>
              </w:rPr>
              <w:t xml:space="preserve">0.880</w:t>
            </w:r>
          </w:p>
        </w:tc>
        <w:tc>
          <w:tcPr/>
          <w:p w:rsidR="00000000" w:rsidDel="00000000" w:rsidP="00000000" w:rsidRDefault="00000000" w:rsidRPr="00000000" w14:paraId="00000155">
            <w:pPr>
              <w:jc w:val="center"/>
              <w:rPr>
                <w:sz w:val="22"/>
                <w:szCs w:val="22"/>
              </w:rPr>
            </w:pPr>
            <w:r w:rsidDel="00000000" w:rsidR="00000000" w:rsidRPr="00000000">
              <w:rPr>
                <w:rtl w:val="0"/>
              </w:rPr>
            </w:r>
          </w:p>
        </w:tc>
        <w:tc>
          <w:tcPr/>
          <w:p w:rsidR="00000000" w:rsidDel="00000000" w:rsidP="00000000" w:rsidRDefault="00000000" w:rsidRPr="00000000" w14:paraId="00000156">
            <w:pPr>
              <w:jc w:val="center"/>
              <w:rPr>
                <w:sz w:val="22"/>
                <w:szCs w:val="22"/>
              </w:rPr>
            </w:pPr>
            <w:r w:rsidDel="00000000" w:rsidR="00000000" w:rsidRPr="00000000">
              <w:rPr>
                <w:rtl w:val="0"/>
              </w:rPr>
            </w:r>
          </w:p>
        </w:tc>
      </w:tr>
      <w:tr>
        <w:trPr>
          <w:cantSplit w:val="0"/>
          <w:trHeight w:val="258" w:hRule="atLeast"/>
          <w:tblHeader w:val="0"/>
        </w:trPr>
        <w:tc>
          <w:tcPr>
            <w:vAlign w:val="bottom"/>
          </w:tcPr>
          <w:p w:rsidR="00000000" w:rsidDel="00000000" w:rsidP="00000000" w:rsidRDefault="00000000" w:rsidRPr="00000000" w14:paraId="00000157">
            <w:pPr>
              <w:rPr>
                <w:b w:val="1"/>
                <w:bCs w:val="1"/>
                <w:sz w:val="22"/>
                <w:szCs w:val="22"/>
              </w:rPr>
            </w:pPr>
            <w:r w:rsidDel="00000000" w:rsidR="00000000" w:rsidRPr="00000000">
              <w:rPr>
                <w:b w:val="1"/>
                <w:bCs w:val="1"/>
                <w:sz w:val="22"/>
                <w:szCs w:val="22"/>
                <w:rtl w:val="0"/>
              </w:rPr>
              <w:t xml:space="preserve">Serum cholesterol </w:t>
            </w:r>
          </w:p>
        </w:tc>
        <w:tc>
          <w:tcPr/>
          <w:p w:rsidR="00000000" w:rsidDel="00000000" w:rsidP="00000000" w:rsidRDefault="00000000" w:rsidRPr="00000000" w14:paraId="00000158">
            <w:pPr>
              <w:jc w:val="center"/>
              <w:rPr>
                <w:sz w:val="22"/>
                <w:szCs w:val="22"/>
              </w:rPr>
            </w:pPr>
            <w:r w:rsidDel="00000000" w:rsidR="00000000" w:rsidRPr="00000000">
              <w:rPr>
                <w:rtl w:val="0"/>
              </w:rPr>
            </w:r>
          </w:p>
        </w:tc>
        <w:tc>
          <w:tcPr/>
          <w:p w:rsidR="00000000" w:rsidDel="00000000" w:rsidP="00000000" w:rsidRDefault="00000000" w:rsidRPr="00000000" w14:paraId="00000159">
            <w:pPr>
              <w:jc w:val="center"/>
              <w:rPr>
                <w:sz w:val="22"/>
                <w:szCs w:val="22"/>
              </w:rPr>
            </w:pPr>
            <w:r w:rsidDel="00000000" w:rsidR="00000000" w:rsidRPr="00000000">
              <w:rPr>
                <w:rtl w:val="0"/>
              </w:rPr>
            </w:r>
          </w:p>
        </w:tc>
        <w:tc>
          <w:tcPr/>
          <w:p w:rsidR="00000000" w:rsidDel="00000000" w:rsidP="00000000" w:rsidRDefault="00000000" w:rsidRPr="00000000" w14:paraId="0000015A">
            <w:pPr>
              <w:jc w:val="center"/>
              <w:rPr>
                <w:sz w:val="22"/>
                <w:szCs w:val="22"/>
              </w:rPr>
            </w:pPr>
            <w:r w:rsidDel="00000000" w:rsidR="00000000" w:rsidRPr="00000000">
              <w:rPr>
                <w:rtl w:val="0"/>
              </w:rPr>
            </w:r>
          </w:p>
        </w:tc>
        <w:tc>
          <w:tcPr/>
          <w:p w:rsidR="00000000" w:rsidDel="00000000" w:rsidP="00000000" w:rsidRDefault="00000000" w:rsidRPr="00000000" w14:paraId="0000015B">
            <w:pPr>
              <w:jc w:val="center"/>
              <w:rPr>
                <w:sz w:val="22"/>
                <w:szCs w:val="22"/>
              </w:rPr>
            </w:pPr>
            <w:r w:rsidDel="00000000" w:rsidR="00000000" w:rsidRPr="00000000">
              <w:rPr>
                <w:rtl w:val="0"/>
              </w:rPr>
            </w:r>
          </w:p>
        </w:tc>
      </w:tr>
      <w:tr>
        <w:trPr>
          <w:cantSplit w:val="0"/>
          <w:trHeight w:val="258" w:hRule="atLeast"/>
          <w:tblHeader w:val="0"/>
        </w:trPr>
        <w:tc>
          <w:tcPr>
            <w:vAlign w:val="bottom"/>
          </w:tcPr>
          <w:p w:rsidR="00000000" w:rsidDel="00000000" w:rsidP="00000000" w:rsidRDefault="00000000" w:rsidRPr="00000000" w14:paraId="0000015C">
            <w:pPr>
              <w:ind w:left="330" w:firstLine="0"/>
              <w:rPr>
                <w:sz w:val="22"/>
                <w:szCs w:val="22"/>
              </w:rPr>
            </w:pPr>
            <w:r w:rsidDel="00000000" w:rsidR="00000000" w:rsidRPr="00000000">
              <w:rPr>
                <w:sz w:val="22"/>
                <w:szCs w:val="22"/>
                <w:rtl w:val="0"/>
              </w:rPr>
              <w:t xml:space="preserve">Normal</w:t>
            </w:r>
          </w:p>
        </w:tc>
        <w:tc>
          <w:tcPr/>
          <w:p w:rsidR="00000000" w:rsidDel="00000000" w:rsidP="00000000" w:rsidRDefault="00000000" w:rsidRPr="00000000" w14:paraId="0000015D">
            <w:pPr>
              <w:ind w:left="330" w:firstLine="0"/>
              <w:jc w:val="center"/>
              <w:rPr>
                <w:sz w:val="22"/>
                <w:szCs w:val="22"/>
              </w:rPr>
            </w:pPr>
            <w:r w:rsidDel="00000000" w:rsidR="00000000" w:rsidRPr="00000000">
              <w:rPr>
                <w:sz w:val="22"/>
                <w:szCs w:val="22"/>
                <w:rtl w:val="0"/>
              </w:rPr>
              <w:t xml:space="preserve">Ref</w:t>
            </w:r>
          </w:p>
        </w:tc>
        <w:tc>
          <w:tcPr/>
          <w:p w:rsidR="00000000" w:rsidDel="00000000" w:rsidP="00000000" w:rsidRDefault="00000000" w:rsidRPr="00000000" w14:paraId="0000015E">
            <w:pPr>
              <w:ind w:left="330" w:firstLine="0"/>
              <w:jc w:val="center"/>
              <w:rPr>
                <w:sz w:val="22"/>
                <w:szCs w:val="22"/>
              </w:rPr>
            </w:pPr>
            <w:r w:rsidDel="00000000" w:rsidR="00000000" w:rsidRPr="00000000">
              <w:rPr>
                <w:rtl w:val="0"/>
              </w:rPr>
            </w:r>
          </w:p>
        </w:tc>
        <w:tc>
          <w:tcPr/>
          <w:p w:rsidR="00000000" w:rsidDel="00000000" w:rsidP="00000000" w:rsidRDefault="00000000" w:rsidRPr="00000000" w14:paraId="0000015F">
            <w:pPr>
              <w:ind w:left="330" w:firstLine="0"/>
              <w:jc w:val="center"/>
              <w:rPr>
                <w:sz w:val="22"/>
                <w:szCs w:val="22"/>
              </w:rPr>
            </w:pPr>
            <w:r w:rsidDel="00000000" w:rsidR="00000000" w:rsidRPr="00000000">
              <w:rPr>
                <w:sz w:val="22"/>
                <w:szCs w:val="22"/>
                <w:rtl w:val="0"/>
              </w:rPr>
              <w:t xml:space="preserve">Ref</w:t>
            </w:r>
          </w:p>
        </w:tc>
        <w:tc>
          <w:tcPr/>
          <w:p w:rsidR="00000000" w:rsidDel="00000000" w:rsidP="00000000" w:rsidRDefault="00000000" w:rsidRPr="00000000" w14:paraId="00000160">
            <w:pPr>
              <w:ind w:left="330" w:firstLine="0"/>
              <w:jc w:val="center"/>
              <w:rPr>
                <w:sz w:val="22"/>
                <w:szCs w:val="22"/>
              </w:rPr>
            </w:pPr>
            <w:r w:rsidDel="00000000" w:rsidR="00000000" w:rsidRPr="00000000">
              <w:rPr>
                <w:rtl w:val="0"/>
              </w:rPr>
            </w:r>
          </w:p>
        </w:tc>
      </w:tr>
      <w:tr>
        <w:trPr>
          <w:cantSplit w:val="0"/>
          <w:trHeight w:val="258" w:hRule="atLeast"/>
          <w:tblHeader w:val="0"/>
        </w:trPr>
        <w:tc>
          <w:tcPr>
            <w:vAlign w:val="bottom"/>
          </w:tcPr>
          <w:p w:rsidR="00000000" w:rsidDel="00000000" w:rsidP="00000000" w:rsidRDefault="00000000" w:rsidRPr="00000000" w14:paraId="00000161">
            <w:pPr>
              <w:ind w:left="330" w:firstLine="0"/>
              <w:rPr>
                <w:sz w:val="22"/>
                <w:szCs w:val="22"/>
              </w:rPr>
            </w:pPr>
            <w:r w:rsidDel="00000000" w:rsidR="00000000" w:rsidRPr="00000000">
              <w:rPr>
                <w:sz w:val="22"/>
                <w:szCs w:val="22"/>
                <w:rtl w:val="0"/>
              </w:rPr>
              <w:t xml:space="preserve">High cholesterol</w:t>
            </w:r>
          </w:p>
        </w:tc>
        <w:tc>
          <w:tcPr/>
          <w:p w:rsidR="00000000" w:rsidDel="00000000" w:rsidP="00000000" w:rsidRDefault="00000000" w:rsidRPr="00000000" w14:paraId="00000162">
            <w:pPr>
              <w:jc w:val="center"/>
              <w:rPr>
                <w:sz w:val="22"/>
                <w:szCs w:val="22"/>
              </w:rPr>
            </w:pPr>
            <w:r w:rsidDel="00000000" w:rsidR="00000000" w:rsidRPr="00000000">
              <w:rPr>
                <w:sz w:val="22"/>
                <w:szCs w:val="22"/>
                <w:rtl w:val="0"/>
              </w:rPr>
              <w:t xml:space="preserve">1.26 (1.03-1.55)</w:t>
            </w:r>
          </w:p>
        </w:tc>
        <w:tc>
          <w:tcPr/>
          <w:p w:rsidR="00000000" w:rsidDel="00000000" w:rsidP="00000000" w:rsidRDefault="00000000" w:rsidRPr="00000000" w14:paraId="00000163">
            <w:pPr>
              <w:jc w:val="center"/>
              <w:rPr>
                <w:b w:val="1"/>
                <w:bCs w:val="1"/>
                <w:sz w:val="22"/>
                <w:szCs w:val="22"/>
              </w:rPr>
            </w:pPr>
            <w:r w:rsidDel="00000000" w:rsidR="00000000" w:rsidRPr="00000000">
              <w:rPr>
                <w:b w:val="1"/>
                <w:bCs w:val="1"/>
                <w:sz w:val="22"/>
                <w:szCs w:val="22"/>
                <w:rtl w:val="0"/>
              </w:rPr>
              <w:t xml:space="preserve">0.023</w:t>
            </w:r>
          </w:p>
        </w:tc>
        <w:tc>
          <w:tcPr/>
          <w:p w:rsidR="00000000" w:rsidDel="00000000" w:rsidP="00000000" w:rsidRDefault="00000000" w:rsidRPr="00000000" w14:paraId="00000164">
            <w:pPr>
              <w:jc w:val="center"/>
              <w:rPr>
                <w:sz w:val="22"/>
                <w:szCs w:val="22"/>
              </w:rPr>
            </w:pPr>
            <w:r w:rsidDel="00000000" w:rsidR="00000000" w:rsidRPr="00000000">
              <w:rPr>
                <w:sz w:val="22"/>
                <w:szCs w:val="22"/>
                <w:rtl w:val="0"/>
              </w:rPr>
              <w:t xml:space="preserve">1.09 (0.89-1.38)</w:t>
            </w:r>
          </w:p>
        </w:tc>
        <w:tc>
          <w:tcPr/>
          <w:p w:rsidR="00000000" w:rsidDel="00000000" w:rsidP="00000000" w:rsidRDefault="00000000" w:rsidRPr="00000000" w14:paraId="00000165">
            <w:pPr>
              <w:jc w:val="center"/>
              <w:rPr>
                <w:sz w:val="22"/>
                <w:szCs w:val="22"/>
              </w:rPr>
            </w:pPr>
            <w:r w:rsidDel="00000000" w:rsidR="00000000" w:rsidRPr="00000000">
              <w:rPr>
                <w:sz w:val="22"/>
                <w:szCs w:val="22"/>
                <w:rtl w:val="0"/>
              </w:rPr>
              <w:t xml:space="preserve">0.343</w:t>
            </w:r>
          </w:p>
        </w:tc>
      </w:tr>
      <w:tr>
        <w:trPr>
          <w:cantSplit w:val="0"/>
          <w:trHeight w:val="258" w:hRule="atLeast"/>
          <w:tblHeader w:val="0"/>
        </w:trPr>
        <w:tc>
          <w:tcPr>
            <w:vAlign w:val="bottom"/>
          </w:tcPr>
          <w:p w:rsidR="00000000" w:rsidDel="00000000" w:rsidP="00000000" w:rsidRDefault="00000000" w:rsidRPr="00000000" w14:paraId="00000166">
            <w:pPr>
              <w:rPr>
                <w:b w:val="1"/>
                <w:bCs w:val="1"/>
                <w:sz w:val="22"/>
                <w:szCs w:val="22"/>
              </w:rPr>
            </w:pPr>
            <w:r w:rsidDel="00000000" w:rsidR="00000000" w:rsidRPr="00000000">
              <w:rPr>
                <w:b w:val="1"/>
                <w:bCs w:val="1"/>
                <w:sz w:val="22"/>
                <w:szCs w:val="22"/>
                <w:rtl w:val="0"/>
              </w:rPr>
              <w:t xml:space="preserve">Serum triglycerides </w:t>
            </w:r>
          </w:p>
        </w:tc>
        <w:tc>
          <w:tcPr/>
          <w:p w:rsidR="00000000" w:rsidDel="00000000" w:rsidP="00000000" w:rsidRDefault="00000000" w:rsidRPr="00000000" w14:paraId="00000167">
            <w:pPr>
              <w:jc w:val="center"/>
              <w:rPr>
                <w:sz w:val="22"/>
                <w:szCs w:val="22"/>
              </w:rPr>
            </w:pPr>
            <w:r w:rsidDel="00000000" w:rsidR="00000000" w:rsidRPr="00000000">
              <w:rPr>
                <w:rtl w:val="0"/>
              </w:rPr>
            </w:r>
          </w:p>
        </w:tc>
        <w:tc>
          <w:tcPr/>
          <w:p w:rsidR="00000000" w:rsidDel="00000000" w:rsidP="00000000" w:rsidRDefault="00000000" w:rsidRPr="00000000" w14:paraId="00000168">
            <w:pPr>
              <w:jc w:val="center"/>
              <w:rPr>
                <w:sz w:val="22"/>
                <w:szCs w:val="22"/>
              </w:rPr>
            </w:pPr>
            <w:r w:rsidDel="00000000" w:rsidR="00000000" w:rsidRPr="00000000">
              <w:rPr>
                <w:rtl w:val="0"/>
              </w:rPr>
            </w:r>
          </w:p>
        </w:tc>
        <w:tc>
          <w:tcPr/>
          <w:p w:rsidR="00000000" w:rsidDel="00000000" w:rsidP="00000000" w:rsidRDefault="00000000" w:rsidRPr="00000000" w14:paraId="00000169">
            <w:pPr>
              <w:jc w:val="center"/>
              <w:rPr>
                <w:sz w:val="22"/>
                <w:szCs w:val="22"/>
              </w:rPr>
            </w:pPr>
            <w:r w:rsidDel="00000000" w:rsidR="00000000" w:rsidRPr="00000000">
              <w:rPr>
                <w:rtl w:val="0"/>
              </w:rPr>
            </w:r>
          </w:p>
        </w:tc>
        <w:tc>
          <w:tcPr/>
          <w:p w:rsidR="00000000" w:rsidDel="00000000" w:rsidP="00000000" w:rsidRDefault="00000000" w:rsidRPr="00000000" w14:paraId="0000016A">
            <w:pPr>
              <w:jc w:val="center"/>
              <w:rPr>
                <w:sz w:val="22"/>
                <w:szCs w:val="22"/>
              </w:rPr>
            </w:pPr>
            <w:r w:rsidDel="00000000" w:rsidR="00000000" w:rsidRPr="00000000">
              <w:rPr>
                <w:rtl w:val="0"/>
              </w:rPr>
            </w:r>
          </w:p>
        </w:tc>
      </w:tr>
      <w:tr>
        <w:trPr>
          <w:cantSplit w:val="0"/>
          <w:trHeight w:val="258" w:hRule="atLeast"/>
          <w:tblHeader w:val="0"/>
        </w:trPr>
        <w:tc>
          <w:tcPr>
            <w:vAlign w:val="bottom"/>
          </w:tcPr>
          <w:p w:rsidR="00000000" w:rsidDel="00000000" w:rsidP="00000000" w:rsidRDefault="00000000" w:rsidRPr="00000000" w14:paraId="0000016B">
            <w:pPr>
              <w:ind w:left="330" w:firstLine="0"/>
              <w:rPr>
                <w:sz w:val="22"/>
                <w:szCs w:val="22"/>
              </w:rPr>
            </w:pPr>
            <w:r w:rsidDel="00000000" w:rsidR="00000000" w:rsidRPr="00000000">
              <w:rPr>
                <w:sz w:val="22"/>
                <w:szCs w:val="22"/>
                <w:rtl w:val="0"/>
              </w:rPr>
              <w:t xml:space="preserve">Normal</w:t>
            </w:r>
          </w:p>
        </w:tc>
        <w:tc>
          <w:tcPr/>
          <w:p w:rsidR="00000000" w:rsidDel="00000000" w:rsidP="00000000" w:rsidRDefault="00000000" w:rsidRPr="00000000" w14:paraId="0000016C">
            <w:pPr>
              <w:ind w:left="330" w:firstLine="0"/>
              <w:jc w:val="center"/>
              <w:rPr>
                <w:sz w:val="22"/>
                <w:szCs w:val="22"/>
              </w:rPr>
            </w:pPr>
            <w:r w:rsidDel="00000000" w:rsidR="00000000" w:rsidRPr="00000000">
              <w:rPr>
                <w:sz w:val="22"/>
                <w:szCs w:val="22"/>
                <w:rtl w:val="0"/>
              </w:rPr>
              <w:t xml:space="preserve">Ref</w:t>
            </w:r>
          </w:p>
        </w:tc>
        <w:tc>
          <w:tcPr/>
          <w:p w:rsidR="00000000" w:rsidDel="00000000" w:rsidP="00000000" w:rsidRDefault="00000000" w:rsidRPr="00000000" w14:paraId="0000016D">
            <w:pPr>
              <w:ind w:left="330" w:firstLine="0"/>
              <w:jc w:val="center"/>
              <w:rPr>
                <w:sz w:val="22"/>
                <w:szCs w:val="22"/>
              </w:rPr>
            </w:pPr>
            <w:r w:rsidDel="00000000" w:rsidR="00000000" w:rsidRPr="00000000">
              <w:rPr>
                <w:rtl w:val="0"/>
              </w:rPr>
            </w:r>
          </w:p>
        </w:tc>
        <w:tc>
          <w:tcPr/>
          <w:p w:rsidR="00000000" w:rsidDel="00000000" w:rsidP="00000000" w:rsidRDefault="00000000" w:rsidRPr="00000000" w14:paraId="0000016E">
            <w:pPr>
              <w:ind w:left="330" w:firstLine="0"/>
              <w:jc w:val="center"/>
              <w:rPr>
                <w:sz w:val="22"/>
                <w:szCs w:val="22"/>
              </w:rPr>
            </w:pPr>
            <w:r w:rsidDel="00000000" w:rsidR="00000000" w:rsidRPr="00000000">
              <w:rPr>
                <w:sz w:val="22"/>
                <w:szCs w:val="22"/>
                <w:rtl w:val="0"/>
              </w:rPr>
              <w:t xml:space="preserve">Ref</w:t>
            </w:r>
          </w:p>
        </w:tc>
        <w:tc>
          <w:tcPr/>
          <w:p w:rsidR="00000000" w:rsidDel="00000000" w:rsidP="00000000" w:rsidRDefault="00000000" w:rsidRPr="00000000" w14:paraId="0000016F">
            <w:pPr>
              <w:ind w:left="330" w:firstLine="0"/>
              <w:jc w:val="center"/>
              <w:rPr>
                <w:sz w:val="22"/>
                <w:szCs w:val="22"/>
              </w:rPr>
            </w:pPr>
            <w:r w:rsidDel="00000000" w:rsidR="00000000" w:rsidRPr="00000000">
              <w:rPr>
                <w:rtl w:val="0"/>
              </w:rPr>
            </w:r>
          </w:p>
        </w:tc>
      </w:tr>
      <w:tr>
        <w:trPr>
          <w:cantSplit w:val="0"/>
          <w:trHeight w:val="258" w:hRule="atLeast"/>
          <w:tblHeader w:val="0"/>
        </w:trPr>
        <w:tc>
          <w:tcPr>
            <w:vAlign w:val="bottom"/>
          </w:tcPr>
          <w:p w:rsidR="00000000" w:rsidDel="00000000" w:rsidP="00000000" w:rsidRDefault="00000000" w:rsidRPr="00000000" w14:paraId="00000170">
            <w:pPr>
              <w:ind w:left="330" w:firstLine="0"/>
              <w:rPr>
                <w:sz w:val="22"/>
                <w:szCs w:val="22"/>
              </w:rPr>
            </w:pPr>
            <w:r w:rsidDel="00000000" w:rsidR="00000000" w:rsidRPr="00000000">
              <w:rPr>
                <w:sz w:val="22"/>
                <w:szCs w:val="22"/>
                <w:rtl w:val="0"/>
              </w:rPr>
              <w:t xml:space="preserve">High triglyceride</w:t>
            </w:r>
          </w:p>
        </w:tc>
        <w:tc>
          <w:tcPr/>
          <w:p w:rsidR="00000000" w:rsidDel="00000000" w:rsidP="00000000" w:rsidRDefault="00000000" w:rsidRPr="00000000" w14:paraId="00000171">
            <w:pPr>
              <w:jc w:val="center"/>
              <w:rPr>
                <w:sz w:val="22"/>
                <w:szCs w:val="22"/>
              </w:rPr>
            </w:pPr>
            <w:r w:rsidDel="00000000" w:rsidR="00000000" w:rsidRPr="00000000">
              <w:rPr>
                <w:sz w:val="22"/>
                <w:szCs w:val="22"/>
                <w:rtl w:val="0"/>
              </w:rPr>
              <w:t xml:space="preserve">1.55 (1.27-1.89)</w:t>
            </w:r>
          </w:p>
        </w:tc>
        <w:tc>
          <w:tcPr/>
          <w:p w:rsidR="00000000" w:rsidDel="00000000" w:rsidP="00000000" w:rsidRDefault="00000000" w:rsidRPr="00000000" w14:paraId="00000172">
            <w:pPr>
              <w:jc w:val="center"/>
              <w:rPr>
                <w:b w:val="1"/>
                <w:bCs w:val="1"/>
                <w:sz w:val="22"/>
                <w:szCs w:val="22"/>
              </w:rPr>
            </w:pPr>
            <w:r w:rsidDel="00000000" w:rsidR="00000000" w:rsidRPr="00000000">
              <w:rPr>
                <w:b w:val="1"/>
                <w:bCs w:val="1"/>
                <w:sz w:val="22"/>
                <w:szCs w:val="22"/>
                <w:rtl w:val="0"/>
              </w:rPr>
              <w:t xml:space="preserve">&lt; 0.001</w:t>
            </w:r>
          </w:p>
        </w:tc>
        <w:tc>
          <w:tcPr/>
          <w:p w:rsidR="00000000" w:rsidDel="00000000" w:rsidP="00000000" w:rsidRDefault="00000000" w:rsidRPr="00000000" w14:paraId="00000173">
            <w:pPr>
              <w:jc w:val="center"/>
              <w:rPr>
                <w:sz w:val="22"/>
                <w:szCs w:val="22"/>
              </w:rPr>
            </w:pPr>
            <w:r w:rsidDel="00000000" w:rsidR="00000000" w:rsidRPr="00000000">
              <w:rPr>
                <w:sz w:val="22"/>
                <w:szCs w:val="22"/>
                <w:rtl w:val="0"/>
              </w:rPr>
              <w:t xml:space="preserve">1.40 (1.13-1.74)</w:t>
            </w:r>
          </w:p>
        </w:tc>
        <w:tc>
          <w:tcPr/>
          <w:p w:rsidR="00000000" w:rsidDel="00000000" w:rsidP="00000000" w:rsidRDefault="00000000" w:rsidRPr="00000000" w14:paraId="00000174">
            <w:pPr>
              <w:jc w:val="center"/>
              <w:rPr>
                <w:b w:val="1"/>
                <w:bCs w:val="1"/>
                <w:sz w:val="22"/>
                <w:szCs w:val="22"/>
              </w:rPr>
            </w:pPr>
            <w:r w:rsidDel="00000000" w:rsidR="00000000" w:rsidRPr="00000000">
              <w:rPr>
                <w:b w:val="1"/>
                <w:bCs w:val="1"/>
                <w:sz w:val="22"/>
                <w:szCs w:val="22"/>
                <w:rtl w:val="0"/>
              </w:rPr>
              <w:t xml:space="preserve">0.002</w:t>
            </w:r>
          </w:p>
        </w:tc>
      </w:tr>
      <w:tr>
        <w:trPr>
          <w:cantSplit w:val="0"/>
          <w:trHeight w:val="258" w:hRule="atLeast"/>
          <w:tblHeader w:val="0"/>
        </w:trPr>
        <w:tc>
          <w:tcPr>
            <w:vAlign w:val="bottom"/>
          </w:tcPr>
          <w:p w:rsidR="00000000" w:rsidDel="00000000" w:rsidP="00000000" w:rsidRDefault="00000000" w:rsidRPr="00000000" w14:paraId="00000175">
            <w:pPr>
              <w:rPr>
                <w:b w:val="1"/>
                <w:bCs w:val="1"/>
                <w:sz w:val="22"/>
                <w:szCs w:val="22"/>
              </w:rPr>
            </w:pPr>
            <w:r w:rsidDel="00000000" w:rsidR="00000000" w:rsidRPr="00000000">
              <w:rPr>
                <w:b w:val="1"/>
                <w:bCs w:val="1"/>
                <w:sz w:val="22"/>
                <w:szCs w:val="22"/>
                <w:rtl w:val="0"/>
              </w:rPr>
              <w:t xml:space="preserve">Serum HDL </w:t>
            </w:r>
          </w:p>
        </w:tc>
        <w:tc>
          <w:tcPr/>
          <w:p w:rsidR="00000000" w:rsidDel="00000000" w:rsidP="00000000" w:rsidRDefault="00000000" w:rsidRPr="00000000" w14:paraId="00000176">
            <w:pPr>
              <w:jc w:val="center"/>
              <w:rPr>
                <w:sz w:val="22"/>
                <w:szCs w:val="22"/>
              </w:rPr>
            </w:pPr>
            <w:r w:rsidDel="00000000" w:rsidR="00000000" w:rsidRPr="00000000">
              <w:rPr>
                <w:rtl w:val="0"/>
              </w:rPr>
            </w:r>
          </w:p>
        </w:tc>
        <w:tc>
          <w:tcPr/>
          <w:p w:rsidR="00000000" w:rsidDel="00000000" w:rsidP="00000000" w:rsidRDefault="00000000" w:rsidRPr="00000000" w14:paraId="00000177">
            <w:pPr>
              <w:jc w:val="center"/>
              <w:rPr>
                <w:sz w:val="22"/>
                <w:szCs w:val="22"/>
              </w:rPr>
            </w:pPr>
            <w:r w:rsidDel="00000000" w:rsidR="00000000" w:rsidRPr="00000000">
              <w:rPr>
                <w:rtl w:val="0"/>
              </w:rPr>
            </w:r>
          </w:p>
        </w:tc>
        <w:tc>
          <w:tcPr/>
          <w:p w:rsidR="00000000" w:rsidDel="00000000" w:rsidP="00000000" w:rsidRDefault="00000000" w:rsidRPr="00000000" w14:paraId="00000178">
            <w:pPr>
              <w:jc w:val="center"/>
              <w:rPr>
                <w:sz w:val="22"/>
                <w:szCs w:val="22"/>
              </w:rPr>
            </w:pPr>
            <w:r w:rsidDel="00000000" w:rsidR="00000000" w:rsidRPr="00000000">
              <w:rPr>
                <w:rtl w:val="0"/>
              </w:rPr>
            </w:r>
          </w:p>
        </w:tc>
        <w:tc>
          <w:tcPr/>
          <w:p w:rsidR="00000000" w:rsidDel="00000000" w:rsidP="00000000" w:rsidRDefault="00000000" w:rsidRPr="00000000" w14:paraId="00000179">
            <w:pPr>
              <w:jc w:val="center"/>
              <w:rPr>
                <w:sz w:val="22"/>
                <w:szCs w:val="22"/>
              </w:rPr>
            </w:pPr>
            <w:r w:rsidDel="00000000" w:rsidR="00000000" w:rsidRPr="00000000">
              <w:rPr>
                <w:rtl w:val="0"/>
              </w:rPr>
            </w:r>
          </w:p>
        </w:tc>
      </w:tr>
      <w:tr>
        <w:trPr>
          <w:cantSplit w:val="0"/>
          <w:trHeight w:val="258" w:hRule="atLeast"/>
          <w:tblHeader w:val="0"/>
        </w:trPr>
        <w:tc>
          <w:tcPr>
            <w:vAlign w:val="bottom"/>
          </w:tcPr>
          <w:p w:rsidR="00000000" w:rsidDel="00000000" w:rsidP="00000000" w:rsidRDefault="00000000" w:rsidRPr="00000000" w14:paraId="0000017A">
            <w:pPr>
              <w:ind w:left="330" w:firstLine="0"/>
              <w:rPr>
                <w:sz w:val="22"/>
                <w:szCs w:val="22"/>
              </w:rPr>
            </w:pPr>
            <w:r w:rsidDel="00000000" w:rsidR="00000000" w:rsidRPr="00000000">
              <w:rPr>
                <w:sz w:val="22"/>
                <w:szCs w:val="22"/>
                <w:rtl w:val="0"/>
              </w:rPr>
              <w:t xml:space="preserve">Low HDL</w:t>
            </w:r>
          </w:p>
        </w:tc>
        <w:tc>
          <w:tcPr/>
          <w:p w:rsidR="00000000" w:rsidDel="00000000" w:rsidP="00000000" w:rsidRDefault="00000000" w:rsidRPr="00000000" w14:paraId="0000017B">
            <w:pPr>
              <w:jc w:val="center"/>
              <w:rPr>
                <w:sz w:val="22"/>
                <w:szCs w:val="22"/>
              </w:rPr>
            </w:pPr>
            <w:r w:rsidDel="00000000" w:rsidR="00000000" w:rsidRPr="00000000">
              <w:rPr>
                <w:sz w:val="22"/>
                <w:szCs w:val="22"/>
                <w:rtl w:val="0"/>
              </w:rPr>
              <w:t xml:space="preserve">1.08 (0.88-1.32)</w:t>
            </w:r>
          </w:p>
        </w:tc>
        <w:tc>
          <w:tcPr/>
          <w:p w:rsidR="00000000" w:rsidDel="00000000" w:rsidP="00000000" w:rsidRDefault="00000000" w:rsidRPr="00000000" w14:paraId="0000017C">
            <w:pPr>
              <w:jc w:val="center"/>
              <w:rPr>
                <w:sz w:val="22"/>
                <w:szCs w:val="22"/>
              </w:rPr>
            </w:pPr>
            <w:r w:rsidDel="00000000" w:rsidR="00000000" w:rsidRPr="00000000">
              <w:rPr>
                <w:sz w:val="22"/>
                <w:szCs w:val="22"/>
                <w:rtl w:val="0"/>
              </w:rPr>
              <w:t xml:space="preserve">0.449</w:t>
            </w:r>
          </w:p>
        </w:tc>
        <w:tc>
          <w:tcPr/>
          <w:p w:rsidR="00000000" w:rsidDel="00000000" w:rsidP="00000000" w:rsidRDefault="00000000" w:rsidRPr="00000000" w14:paraId="0000017D">
            <w:pPr>
              <w:jc w:val="center"/>
              <w:rPr>
                <w:sz w:val="22"/>
                <w:szCs w:val="22"/>
              </w:rPr>
            </w:pPr>
            <w:r w:rsidDel="00000000" w:rsidR="00000000" w:rsidRPr="00000000">
              <w:rPr>
                <w:sz w:val="22"/>
                <w:szCs w:val="22"/>
                <w:rtl w:val="0"/>
              </w:rPr>
              <w:t xml:space="preserve">1.04 (0.85-1.26)</w:t>
            </w:r>
          </w:p>
        </w:tc>
        <w:tc>
          <w:tcPr/>
          <w:p w:rsidR="00000000" w:rsidDel="00000000" w:rsidP="00000000" w:rsidRDefault="00000000" w:rsidRPr="00000000" w14:paraId="0000017E">
            <w:pPr>
              <w:jc w:val="center"/>
              <w:rPr>
                <w:sz w:val="22"/>
                <w:szCs w:val="22"/>
              </w:rPr>
            </w:pPr>
            <w:r w:rsidDel="00000000" w:rsidR="00000000" w:rsidRPr="00000000">
              <w:rPr>
                <w:sz w:val="22"/>
                <w:szCs w:val="22"/>
                <w:rtl w:val="0"/>
              </w:rPr>
              <w:t xml:space="preserve">0.736</w:t>
            </w:r>
          </w:p>
        </w:tc>
      </w:tr>
      <w:tr>
        <w:trPr>
          <w:cantSplit w:val="0"/>
          <w:trHeight w:val="258" w:hRule="atLeast"/>
          <w:tblHeader w:val="0"/>
        </w:trPr>
        <w:tc>
          <w:tcPr>
            <w:vAlign w:val="bottom"/>
          </w:tcPr>
          <w:p w:rsidR="00000000" w:rsidDel="00000000" w:rsidP="00000000" w:rsidRDefault="00000000" w:rsidRPr="00000000" w14:paraId="0000017F">
            <w:pPr>
              <w:ind w:left="330" w:firstLine="0"/>
              <w:rPr>
                <w:sz w:val="22"/>
                <w:szCs w:val="22"/>
              </w:rPr>
            </w:pPr>
            <w:r w:rsidDel="00000000" w:rsidR="00000000" w:rsidRPr="00000000">
              <w:rPr>
                <w:sz w:val="22"/>
                <w:szCs w:val="22"/>
                <w:rtl w:val="0"/>
              </w:rPr>
              <w:t xml:space="preserve">Normal</w:t>
            </w:r>
          </w:p>
        </w:tc>
        <w:tc>
          <w:tcPr/>
          <w:p w:rsidR="00000000" w:rsidDel="00000000" w:rsidP="00000000" w:rsidRDefault="00000000" w:rsidRPr="00000000" w14:paraId="00000180">
            <w:pPr>
              <w:ind w:left="330" w:firstLine="0"/>
              <w:jc w:val="center"/>
              <w:rPr>
                <w:sz w:val="22"/>
                <w:szCs w:val="22"/>
              </w:rPr>
            </w:pPr>
            <w:r w:rsidDel="00000000" w:rsidR="00000000" w:rsidRPr="00000000">
              <w:rPr>
                <w:sz w:val="22"/>
                <w:szCs w:val="22"/>
                <w:rtl w:val="0"/>
              </w:rPr>
              <w:t xml:space="preserve">Ref</w:t>
            </w:r>
          </w:p>
        </w:tc>
        <w:tc>
          <w:tcPr/>
          <w:p w:rsidR="00000000" w:rsidDel="00000000" w:rsidP="00000000" w:rsidRDefault="00000000" w:rsidRPr="00000000" w14:paraId="00000181">
            <w:pPr>
              <w:ind w:left="330" w:firstLine="0"/>
              <w:jc w:val="center"/>
              <w:rPr>
                <w:sz w:val="22"/>
                <w:szCs w:val="22"/>
              </w:rPr>
            </w:pPr>
            <w:r w:rsidDel="00000000" w:rsidR="00000000" w:rsidRPr="00000000">
              <w:rPr>
                <w:rtl w:val="0"/>
              </w:rPr>
            </w:r>
          </w:p>
        </w:tc>
        <w:tc>
          <w:tcPr/>
          <w:p w:rsidR="00000000" w:rsidDel="00000000" w:rsidP="00000000" w:rsidRDefault="00000000" w:rsidRPr="00000000" w14:paraId="00000182">
            <w:pPr>
              <w:ind w:left="330" w:firstLine="0"/>
              <w:jc w:val="center"/>
              <w:rPr>
                <w:sz w:val="22"/>
                <w:szCs w:val="22"/>
              </w:rPr>
            </w:pPr>
            <w:r w:rsidDel="00000000" w:rsidR="00000000" w:rsidRPr="00000000">
              <w:rPr>
                <w:sz w:val="22"/>
                <w:szCs w:val="22"/>
                <w:rtl w:val="0"/>
              </w:rPr>
              <w:t xml:space="preserve">Ref</w:t>
            </w:r>
          </w:p>
        </w:tc>
        <w:tc>
          <w:tcPr/>
          <w:p w:rsidR="00000000" w:rsidDel="00000000" w:rsidP="00000000" w:rsidRDefault="00000000" w:rsidRPr="00000000" w14:paraId="00000183">
            <w:pPr>
              <w:ind w:left="330" w:firstLine="0"/>
              <w:jc w:val="center"/>
              <w:rPr>
                <w:sz w:val="22"/>
                <w:szCs w:val="22"/>
              </w:rPr>
            </w:pPr>
            <w:r w:rsidDel="00000000" w:rsidR="00000000" w:rsidRPr="00000000">
              <w:rPr>
                <w:rtl w:val="0"/>
              </w:rPr>
            </w:r>
          </w:p>
        </w:tc>
      </w:tr>
      <w:tr>
        <w:trPr>
          <w:cantSplit w:val="0"/>
          <w:trHeight w:val="258" w:hRule="atLeast"/>
          <w:tblHeader w:val="0"/>
        </w:trPr>
        <w:tc>
          <w:tcPr>
            <w:vAlign w:val="bottom"/>
          </w:tcPr>
          <w:p w:rsidR="00000000" w:rsidDel="00000000" w:rsidP="00000000" w:rsidRDefault="00000000" w:rsidRPr="00000000" w14:paraId="00000184">
            <w:pPr>
              <w:rPr>
                <w:b w:val="1"/>
                <w:bCs w:val="1"/>
                <w:sz w:val="22"/>
                <w:szCs w:val="22"/>
              </w:rPr>
            </w:pPr>
            <w:r w:rsidDel="00000000" w:rsidR="00000000" w:rsidRPr="00000000">
              <w:rPr>
                <w:b w:val="1"/>
                <w:bCs w:val="1"/>
                <w:sz w:val="22"/>
                <w:szCs w:val="22"/>
                <w:rtl w:val="0"/>
              </w:rPr>
              <w:t xml:space="preserve">Serum LDL </w:t>
            </w:r>
          </w:p>
        </w:tc>
        <w:tc>
          <w:tcPr/>
          <w:p w:rsidR="00000000" w:rsidDel="00000000" w:rsidP="00000000" w:rsidRDefault="00000000" w:rsidRPr="00000000" w14:paraId="00000185">
            <w:pPr>
              <w:jc w:val="center"/>
              <w:rPr>
                <w:sz w:val="22"/>
                <w:szCs w:val="22"/>
              </w:rPr>
            </w:pPr>
            <w:r w:rsidDel="00000000" w:rsidR="00000000" w:rsidRPr="00000000">
              <w:rPr>
                <w:rtl w:val="0"/>
              </w:rPr>
            </w:r>
          </w:p>
        </w:tc>
        <w:tc>
          <w:tcPr/>
          <w:p w:rsidR="00000000" w:rsidDel="00000000" w:rsidP="00000000" w:rsidRDefault="00000000" w:rsidRPr="00000000" w14:paraId="00000186">
            <w:pPr>
              <w:jc w:val="center"/>
              <w:rPr>
                <w:sz w:val="22"/>
                <w:szCs w:val="22"/>
              </w:rPr>
            </w:pPr>
            <w:r w:rsidDel="00000000" w:rsidR="00000000" w:rsidRPr="00000000">
              <w:rPr>
                <w:rtl w:val="0"/>
              </w:rPr>
            </w:r>
          </w:p>
        </w:tc>
        <w:tc>
          <w:tcPr/>
          <w:p w:rsidR="00000000" w:rsidDel="00000000" w:rsidP="00000000" w:rsidRDefault="00000000" w:rsidRPr="00000000" w14:paraId="00000187">
            <w:pPr>
              <w:jc w:val="center"/>
              <w:rPr>
                <w:sz w:val="22"/>
                <w:szCs w:val="22"/>
              </w:rPr>
            </w:pPr>
            <w:r w:rsidDel="00000000" w:rsidR="00000000" w:rsidRPr="00000000">
              <w:rPr>
                <w:rtl w:val="0"/>
              </w:rPr>
            </w:r>
          </w:p>
        </w:tc>
        <w:tc>
          <w:tcPr/>
          <w:p w:rsidR="00000000" w:rsidDel="00000000" w:rsidP="00000000" w:rsidRDefault="00000000" w:rsidRPr="00000000" w14:paraId="00000188">
            <w:pPr>
              <w:jc w:val="center"/>
              <w:rPr>
                <w:sz w:val="22"/>
                <w:szCs w:val="22"/>
              </w:rPr>
            </w:pPr>
            <w:r w:rsidDel="00000000" w:rsidR="00000000" w:rsidRPr="00000000">
              <w:rPr>
                <w:rtl w:val="0"/>
              </w:rPr>
            </w:r>
          </w:p>
        </w:tc>
      </w:tr>
      <w:tr>
        <w:trPr>
          <w:cantSplit w:val="0"/>
          <w:trHeight w:val="258" w:hRule="atLeast"/>
          <w:tblHeader w:val="0"/>
        </w:trPr>
        <w:tc>
          <w:tcPr>
            <w:vAlign w:val="bottom"/>
          </w:tcPr>
          <w:p w:rsidR="00000000" w:rsidDel="00000000" w:rsidP="00000000" w:rsidRDefault="00000000" w:rsidRPr="00000000" w14:paraId="00000189">
            <w:pPr>
              <w:ind w:left="330" w:firstLine="0"/>
              <w:rPr>
                <w:sz w:val="22"/>
                <w:szCs w:val="22"/>
              </w:rPr>
            </w:pPr>
            <w:r w:rsidDel="00000000" w:rsidR="00000000" w:rsidRPr="00000000">
              <w:rPr>
                <w:sz w:val="22"/>
                <w:szCs w:val="22"/>
                <w:rtl w:val="0"/>
              </w:rPr>
              <w:t xml:space="preserve">Normal</w:t>
            </w:r>
          </w:p>
        </w:tc>
        <w:tc>
          <w:tcPr/>
          <w:p w:rsidR="00000000" w:rsidDel="00000000" w:rsidP="00000000" w:rsidRDefault="00000000" w:rsidRPr="00000000" w14:paraId="0000018A">
            <w:pPr>
              <w:ind w:left="330" w:firstLine="0"/>
              <w:jc w:val="center"/>
              <w:rPr>
                <w:sz w:val="22"/>
                <w:szCs w:val="22"/>
              </w:rPr>
            </w:pPr>
            <w:r w:rsidDel="00000000" w:rsidR="00000000" w:rsidRPr="00000000">
              <w:rPr>
                <w:sz w:val="22"/>
                <w:szCs w:val="22"/>
                <w:rtl w:val="0"/>
              </w:rPr>
              <w:t xml:space="preserve">Ref</w:t>
            </w:r>
          </w:p>
        </w:tc>
        <w:tc>
          <w:tcPr/>
          <w:p w:rsidR="00000000" w:rsidDel="00000000" w:rsidP="00000000" w:rsidRDefault="00000000" w:rsidRPr="00000000" w14:paraId="0000018B">
            <w:pPr>
              <w:ind w:left="330" w:firstLine="0"/>
              <w:jc w:val="center"/>
              <w:rPr>
                <w:sz w:val="22"/>
                <w:szCs w:val="22"/>
              </w:rPr>
            </w:pPr>
            <w:r w:rsidDel="00000000" w:rsidR="00000000" w:rsidRPr="00000000">
              <w:rPr>
                <w:rtl w:val="0"/>
              </w:rPr>
            </w:r>
          </w:p>
        </w:tc>
        <w:tc>
          <w:tcPr/>
          <w:p w:rsidR="00000000" w:rsidDel="00000000" w:rsidP="00000000" w:rsidRDefault="00000000" w:rsidRPr="00000000" w14:paraId="0000018C">
            <w:pPr>
              <w:ind w:left="330" w:firstLine="0"/>
              <w:jc w:val="center"/>
              <w:rPr>
                <w:sz w:val="22"/>
                <w:szCs w:val="22"/>
              </w:rPr>
            </w:pPr>
            <w:r w:rsidDel="00000000" w:rsidR="00000000" w:rsidRPr="00000000">
              <w:rPr>
                <w:sz w:val="22"/>
                <w:szCs w:val="22"/>
                <w:rtl w:val="0"/>
              </w:rPr>
              <w:t xml:space="preserve">Ref</w:t>
            </w:r>
          </w:p>
        </w:tc>
        <w:tc>
          <w:tcPr/>
          <w:p w:rsidR="00000000" w:rsidDel="00000000" w:rsidP="00000000" w:rsidRDefault="00000000" w:rsidRPr="00000000" w14:paraId="0000018D">
            <w:pPr>
              <w:ind w:left="330" w:firstLine="0"/>
              <w:jc w:val="center"/>
              <w:rPr>
                <w:sz w:val="22"/>
                <w:szCs w:val="22"/>
              </w:rPr>
            </w:pPr>
            <w:r w:rsidDel="00000000" w:rsidR="00000000" w:rsidRPr="00000000">
              <w:rPr>
                <w:rtl w:val="0"/>
              </w:rPr>
            </w:r>
          </w:p>
        </w:tc>
      </w:tr>
      <w:tr>
        <w:trPr>
          <w:cantSplit w:val="0"/>
          <w:trHeight w:val="258" w:hRule="atLeast"/>
          <w:tblHeader w:val="0"/>
        </w:trPr>
        <w:tc>
          <w:tcPr>
            <w:vAlign w:val="bottom"/>
          </w:tcPr>
          <w:p w:rsidR="00000000" w:rsidDel="00000000" w:rsidP="00000000" w:rsidRDefault="00000000" w:rsidRPr="00000000" w14:paraId="0000018E">
            <w:pPr>
              <w:ind w:left="330" w:firstLine="0"/>
              <w:rPr>
                <w:sz w:val="22"/>
                <w:szCs w:val="22"/>
              </w:rPr>
            </w:pPr>
            <w:r w:rsidDel="00000000" w:rsidR="00000000" w:rsidRPr="00000000">
              <w:rPr>
                <w:sz w:val="22"/>
                <w:szCs w:val="22"/>
                <w:rtl w:val="0"/>
              </w:rPr>
              <w:t xml:space="preserve">High LDL</w:t>
            </w:r>
          </w:p>
        </w:tc>
        <w:tc>
          <w:tcPr/>
          <w:p w:rsidR="00000000" w:rsidDel="00000000" w:rsidP="00000000" w:rsidRDefault="00000000" w:rsidRPr="00000000" w14:paraId="0000018F">
            <w:pPr>
              <w:jc w:val="center"/>
              <w:rPr>
                <w:sz w:val="22"/>
                <w:szCs w:val="22"/>
              </w:rPr>
            </w:pPr>
            <w:r w:rsidDel="00000000" w:rsidR="00000000" w:rsidRPr="00000000">
              <w:rPr>
                <w:sz w:val="22"/>
                <w:szCs w:val="22"/>
                <w:rtl w:val="0"/>
              </w:rPr>
              <w:t xml:space="preserve">1.27 (1.05-1.55)</w:t>
            </w:r>
          </w:p>
        </w:tc>
        <w:tc>
          <w:tcPr/>
          <w:p w:rsidR="00000000" w:rsidDel="00000000" w:rsidP="00000000" w:rsidRDefault="00000000" w:rsidRPr="00000000" w14:paraId="00000190">
            <w:pPr>
              <w:jc w:val="center"/>
              <w:rPr>
                <w:b w:val="1"/>
                <w:bCs w:val="1"/>
                <w:sz w:val="22"/>
                <w:szCs w:val="22"/>
              </w:rPr>
            </w:pPr>
            <w:r w:rsidDel="00000000" w:rsidR="00000000" w:rsidRPr="00000000">
              <w:rPr>
                <w:b w:val="1"/>
                <w:bCs w:val="1"/>
                <w:sz w:val="22"/>
                <w:szCs w:val="22"/>
                <w:rtl w:val="0"/>
              </w:rPr>
              <w:t xml:space="preserve">0.015</w:t>
            </w:r>
          </w:p>
        </w:tc>
        <w:tc>
          <w:tcPr/>
          <w:p w:rsidR="00000000" w:rsidDel="00000000" w:rsidP="00000000" w:rsidRDefault="00000000" w:rsidRPr="00000000" w14:paraId="00000191">
            <w:pPr>
              <w:jc w:val="center"/>
              <w:rPr>
                <w:sz w:val="22"/>
                <w:szCs w:val="22"/>
              </w:rPr>
            </w:pPr>
            <w:r w:rsidDel="00000000" w:rsidR="00000000" w:rsidRPr="00000000">
              <w:rPr>
                <w:sz w:val="22"/>
                <w:szCs w:val="22"/>
                <w:rtl w:val="0"/>
              </w:rPr>
              <w:t xml:space="preserve">1.17 (0.95-1.44)</w:t>
            </w:r>
          </w:p>
        </w:tc>
        <w:tc>
          <w:tcPr/>
          <w:p w:rsidR="00000000" w:rsidDel="00000000" w:rsidP="00000000" w:rsidRDefault="00000000" w:rsidRPr="00000000" w14:paraId="00000192">
            <w:pPr>
              <w:jc w:val="center"/>
              <w:rPr>
                <w:sz w:val="22"/>
                <w:szCs w:val="22"/>
              </w:rPr>
            </w:pPr>
            <w:r w:rsidDel="00000000" w:rsidR="00000000" w:rsidRPr="00000000">
              <w:rPr>
                <w:sz w:val="22"/>
                <w:szCs w:val="22"/>
                <w:rtl w:val="0"/>
              </w:rPr>
              <w:t xml:space="preserve">0.138</w:t>
            </w:r>
          </w:p>
        </w:tc>
      </w:tr>
      <w:tr>
        <w:trPr>
          <w:cantSplit w:val="0"/>
          <w:trHeight w:val="258" w:hRule="atLeast"/>
          <w:tblHeader w:val="0"/>
        </w:trPr>
        <w:tc>
          <w:tcPr>
            <w:vAlign w:val="bottom"/>
          </w:tcPr>
          <w:p w:rsidR="00000000" w:rsidDel="00000000" w:rsidP="00000000" w:rsidRDefault="00000000" w:rsidRPr="00000000" w14:paraId="00000193">
            <w:pPr>
              <w:rPr>
                <w:b w:val="1"/>
                <w:bCs w:val="1"/>
                <w:sz w:val="22"/>
                <w:szCs w:val="22"/>
              </w:rPr>
            </w:pPr>
            <w:r w:rsidDel="00000000" w:rsidR="00000000" w:rsidRPr="00000000">
              <w:rPr>
                <w:b w:val="1"/>
                <w:bCs w:val="1"/>
                <w:sz w:val="22"/>
                <w:szCs w:val="22"/>
                <w:rtl w:val="0"/>
              </w:rPr>
              <w:t xml:space="preserve">Urinalysis protein</w:t>
            </w:r>
          </w:p>
        </w:tc>
        <w:tc>
          <w:tcPr/>
          <w:p w:rsidR="00000000" w:rsidDel="00000000" w:rsidP="00000000" w:rsidRDefault="00000000" w:rsidRPr="00000000" w14:paraId="00000194">
            <w:pPr>
              <w:jc w:val="center"/>
              <w:rPr>
                <w:sz w:val="22"/>
                <w:szCs w:val="22"/>
              </w:rPr>
            </w:pPr>
            <w:r w:rsidDel="00000000" w:rsidR="00000000" w:rsidRPr="00000000">
              <w:rPr>
                <w:rtl w:val="0"/>
              </w:rPr>
            </w:r>
          </w:p>
        </w:tc>
        <w:tc>
          <w:tcPr/>
          <w:p w:rsidR="00000000" w:rsidDel="00000000" w:rsidP="00000000" w:rsidRDefault="00000000" w:rsidRPr="00000000" w14:paraId="00000195">
            <w:pPr>
              <w:jc w:val="center"/>
              <w:rPr>
                <w:sz w:val="22"/>
                <w:szCs w:val="22"/>
              </w:rPr>
            </w:pPr>
            <w:r w:rsidDel="00000000" w:rsidR="00000000" w:rsidRPr="00000000">
              <w:rPr>
                <w:rtl w:val="0"/>
              </w:rPr>
            </w:r>
          </w:p>
        </w:tc>
        <w:tc>
          <w:tcPr/>
          <w:p w:rsidR="00000000" w:rsidDel="00000000" w:rsidP="00000000" w:rsidRDefault="00000000" w:rsidRPr="00000000" w14:paraId="00000196">
            <w:pPr>
              <w:jc w:val="center"/>
              <w:rPr>
                <w:sz w:val="22"/>
                <w:szCs w:val="22"/>
              </w:rPr>
            </w:pPr>
            <w:r w:rsidDel="00000000" w:rsidR="00000000" w:rsidRPr="00000000">
              <w:rPr>
                <w:rtl w:val="0"/>
              </w:rPr>
            </w:r>
          </w:p>
        </w:tc>
        <w:tc>
          <w:tcPr/>
          <w:p w:rsidR="00000000" w:rsidDel="00000000" w:rsidP="00000000" w:rsidRDefault="00000000" w:rsidRPr="00000000" w14:paraId="00000197">
            <w:pPr>
              <w:jc w:val="center"/>
              <w:rPr>
                <w:sz w:val="22"/>
                <w:szCs w:val="22"/>
              </w:rPr>
            </w:pPr>
            <w:r w:rsidDel="00000000" w:rsidR="00000000" w:rsidRPr="00000000">
              <w:rPr>
                <w:rtl w:val="0"/>
              </w:rPr>
            </w:r>
          </w:p>
        </w:tc>
      </w:tr>
      <w:tr>
        <w:trPr>
          <w:cantSplit w:val="0"/>
          <w:trHeight w:val="258" w:hRule="atLeast"/>
          <w:tblHeader w:val="0"/>
        </w:trPr>
        <w:tc>
          <w:tcPr>
            <w:vAlign w:val="bottom"/>
          </w:tcPr>
          <w:p w:rsidR="00000000" w:rsidDel="00000000" w:rsidP="00000000" w:rsidRDefault="00000000" w:rsidRPr="00000000" w14:paraId="00000198">
            <w:pPr>
              <w:ind w:left="330" w:firstLine="0"/>
              <w:rPr>
                <w:sz w:val="22"/>
                <w:szCs w:val="22"/>
              </w:rPr>
            </w:pPr>
            <w:r w:rsidDel="00000000" w:rsidR="00000000" w:rsidRPr="00000000">
              <w:rPr>
                <w:sz w:val="22"/>
                <w:szCs w:val="22"/>
                <w:rtl w:val="0"/>
              </w:rPr>
              <w:t xml:space="preserve">Normal</w:t>
            </w:r>
          </w:p>
        </w:tc>
        <w:tc>
          <w:tcPr/>
          <w:p w:rsidR="00000000" w:rsidDel="00000000" w:rsidP="00000000" w:rsidRDefault="00000000" w:rsidRPr="00000000" w14:paraId="00000199">
            <w:pPr>
              <w:ind w:left="330" w:firstLine="0"/>
              <w:jc w:val="center"/>
              <w:rPr>
                <w:sz w:val="22"/>
                <w:szCs w:val="22"/>
              </w:rPr>
            </w:pPr>
            <w:r w:rsidDel="00000000" w:rsidR="00000000" w:rsidRPr="00000000">
              <w:rPr>
                <w:sz w:val="22"/>
                <w:szCs w:val="22"/>
                <w:rtl w:val="0"/>
              </w:rPr>
              <w:t xml:space="preserve">Ref</w:t>
            </w:r>
          </w:p>
        </w:tc>
        <w:tc>
          <w:tcPr/>
          <w:p w:rsidR="00000000" w:rsidDel="00000000" w:rsidP="00000000" w:rsidRDefault="00000000" w:rsidRPr="00000000" w14:paraId="0000019A">
            <w:pPr>
              <w:ind w:left="330" w:firstLine="0"/>
              <w:jc w:val="center"/>
              <w:rPr>
                <w:sz w:val="22"/>
                <w:szCs w:val="22"/>
              </w:rPr>
            </w:pPr>
            <w:r w:rsidDel="00000000" w:rsidR="00000000" w:rsidRPr="00000000">
              <w:rPr>
                <w:rtl w:val="0"/>
              </w:rPr>
            </w:r>
          </w:p>
        </w:tc>
        <w:tc>
          <w:tcPr/>
          <w:p w:rsidR="00000000" w:rsidDel="00000000" w:rsidP="00000000" w:rsidRDefault="00000000" w:rsidRPr="00000000" w14:paraId="0000019B">
            <w:pPr>
              <w:ind w:left="330" w:firstLine="0"/>
              <w:jc w:val="center"/>
              <w:rPr>
                <w:sz w:val="22"/>
                <w:szCs w:val="22"/>
              </w:rPr>
            </w:pPr>
            <w:r w:rsidDel="00000000" w:rsidR="00000000" w:rsidRPr="00000000">
              <w:rPr>
                <w:sz w:val="22"/>
                <w:szCs w:val="22"/>
                <w:rtl w:val="0"/>
              </w:rPr>
              <w:t xml:space="preserve">Ref</w:t>
            </w:r>
          </w:p>
        </w:tc>
        <w:tc>
          <w:tcPr/>
          <w:p w:rsidR="00000000" w:rsidDel="00000000" w:rsidP="00000000" w:rsidRDefault="00000000" w:rsidRPr="00000000" w14:paraId="0000019C">
            <w:pPr>
              <w:ind w:left="330" w:firstLine="0"/>
              <w:jc w:val="center"/>
              <w:rPr>
                <w:sz w:val="22"/>
                <w:szCs w:val="22"/>
              </w:rPr>
            </w:pPr>
            <w:r w:rsidDel="00000000" w:rsidR="00000000" w:rsidRPr="00000000">
              <w:rPr>
                <w:rtl w:val="0"/>
              </w:rPr>
            </w:r>
          </w:p>
        </w:tc>
      </w:tr>
      <w:tr>
        <w:trPr>
          <w:cantSplit w:val="0"/>
          <w:trHeight w:val="258" w:hRule="atLeast"/>
          <w:tblHeader w:val="0"/>
        </w:trPr>
        <w:tc>
          <w:tcPr>
            <w:vAlign w:val="bottom"/>
          </w:tcPr>
          <w:p w:rsidR="00000000" w:rsidDel="00000000" w:rsidP="00000000" w:rsidRDefault="00000000" w:rsidRPr="00000000" w14:paraId="0000019D">
            <w:pPr>
              <w:ind w:left="330" w:firstLine="0"/>
              <w:rPr>
                <w:sz w:val="22"/>
                <w:szCs w:val="22"/>
              </w:rPr>
            </w:pPr>
            <w:r w:rsidDel="00000000" w:rsidR="00000000" w:rsidRPr="00000000">
              <w:rPr>
                <w:sz w:val="22"/>
                <w:szCs w:val="22"/>
                <w:rtl w:val="0"/>
              </w:rPr>
              <w:t xml:space="preserve">Abnormal</w:t>
            </w:r>
          </w:p>
        </w:tc>
        <w:tc>
          <w:tcPr/>
          <w:p w:rsidR="00000000" w:rsidDel="00000000" w:rsidP="00000000" w:rsidRDefault="00000000" w:rsidRPr="00000000" w14:paraId="0000019E">
            <w:pPr>
              <w:jc w:val="center"/>
              <w:rPr>
                <w:sz w:val="22"/>
                <w:szCs w:val="22"/>
              </w:rPr>
            </w:pPr>
            <w:r w:rsidDel="00000000" w:rsidR="00000000" w:rsidRPr="00000000">
              <w:rPr>
                <w:sz w:val="22"/>
                <w:szCs w:val="22"/>
                <w:rtl w:val="0"/>
              </w:rPr>
              <w:t xml:space="preserve">1.21 (1.02-1.44)</w:t>
            </w:r>
          </w:p>
        </w:tc>
        <w:tc>
          <w:tcPr/>
          <w:p w:rsidR="00000000" w:rsidDel="00000000" w:rsidP="00000000" w:rsidRDefault="00000000" w:rsidRPr="00000000" w14:paraId="0000019F">
            <w:pPr>
              <w:jc w:val="center"/>
              <w:rPr>
                <w:b w:val="1"/>
                <w:bCs w:val="1"/>
                <w:sz w:val="22"/>
                <w:szCs w:val="22"/>
              </w:rPr>
            </w:pPr>
            <w:r w:rsidDel="00000000" w:rsidR="00000000" w:rsidRPr="00000000">
              <w:rPr>
                <w:b w:val="1"/>
                <w:bCs w:val="1"/>
                <w:sz w:val="22"/>
                <w:szCs w:val="22"/>
                <w:rtl w:val="0"/>
              </w:rPr>
              <w:t xml:space="preserve">0.028</w:t>
            </w:r>
          </w:p>
        </w:tc>
        <w:tc>
          <w:tcPr/>
          <w:p w:rsidR="00000000" w:rsidDel="00000000" w:rsidP="00000000" w:rsidRDefault="00000000" w:rsidRPr="00000000" w14:paraId="000001A0">
            <w:pPr>
              <w:jc w:val="center"/>
              <w:rPr>
                <w:sz w:val="22"/>
                <w:szCs w:val="22"/>
              </w:rPr>
            </w:pPr>
            <w:r w:rsidDel="00000000" w:rsidR="00000000" w:rsidRPr="00000000">
              <w:rPr>
                <w:sz w:val="22"/>
                <w:szCs w:val="22"/>
                <w:rtl w:val="0"/>
              </w:rPr>
              <w:t xml:space="preserve">1.14 (0.94-1.39)</w:t>
            </w:r>
          </w:p>
        </w:tc>
        <w:tc>
          <w:tcPr/>
          <w:p w:rsidR="00000000" w:rsidDel="00000000" w:rsidP="00000000" w:rsidRDefault="00000000" w:rsidRPr="00000000" w14:paraId="000001A1">
            <w:pPr>
              <w:jc w:val="center"/>
              <w:rPr>
                <w:sz w:val="22"/>
                <w:szCs w:val="22"/>
              </w:rPr>
            </w:pPr>
            <w:r w:rsidDel="00000000" w:rsidR="00000000" w:rsidRPr="00000000">
              <w:rPr>
                <w:sz w:val="22"/>
                <w:szCs w:val="22"/>
                <w:rtl w:val="0"/>
              </w:rPr>
              <w:t xml:space="preserve">0.188</w:t>
            </w:r>
          </w:p>
        </w:tc>
      </w:tr>
      <w:tr>
        <w:trPr>
          <w:cantSplit w:val="0"/>
          <w:trHeight w:val="258" w:hRule="atLeast"/>
          <w:tblHeader w:val="0"/>
        </w:trPr>
        <w:tc>
          <w:tcPr>
            <w:tcBorders>
              <w:bottom w:color="000000" w:space="0" w:sz="12" w:val="single"/>
            </w:tcBorders>
            <w:vAlign w:val="bottom"/>
          </w:tcPr>
          <w:p w:rsidR="00000000" w:rsidDel="00000000" w:rsidP="00000000" w:rsidRDefault="00000000" w:rsidRPr="00000000" w14:paraId="000001A2">
            <w:pPr>
              <w:rPr>
                <w:sz w:val="22"/>
                <w:szCs w:val="22"/>
              </w:rPr>
            </w:pPr>
            <w:r w:rsidDel="00000000" w:rsidR="00000000" w:rsidRPr="00000000">
              <w:rPr>
                <w:b w:val="1"/>
                <w:bCs w:val="1"/>
                <w:sz w:val="22"/>
                <w:szCs w:val="22"/>
                <w:rtl w:val="0"/>
              </w:rPr>
              <w:t xml:space="preserve">HBA1C</w:t>
            </w:r>
            <w:r w:rsidDel="00000000" w:rsidR="00000000" w:rsidRPr="00000000">
              <w:rPr>
                <w:rtl w:val="0"/>
              </w:rPr>
            </w:r>
          </w:p>
        </w:tc>
        <w:tc>
          <w:tcPr>
            <w:tcBorders>
              <w:bottom w:color="000000" w:space="0" w:sz="12" w:val="single"/>
            </w:tcBorders>
          </w:tcPr>
          <w:p w:rsidR="00000000" w:rsidDel="00000000" w:rsidP="00000000" w:rsidRDefault="00000000" w:rsidRPr="00000000" w14:paraId="000001A3">
            <w:pPr>
              <w:jc w:val="center"/>
              <w:rPr>
                <w:sz w:val="22"/>
                <w:szCs w:val="22"/>
              </w:rPr>
            </w:pPr>
            <w:r w:rsidDel="00000000" w:rsidR="00000000" w:rsidRPr="00000000">
              <w:rPr>
                <w:sz w:val="22"/>
                <w:szCs w:val="22"/>
                <w:rtl w:val="0"/>
              </w:rPr>
              <w:t xml:space="preserve">0.99(0.97-1.02)</w:t>
            </w:r>
          </w:p>
        </w:tc>
        <w:tc>
          <w:tcPr>
            <w:tcBorders>
              <w:bottom w:color="000000" w:space="0" w:sz="12" w:val="single"/>
            </w:tcBorders>
          </w:tcPr>
          <w:p w:rsidR="00000000" w:rsidDel="00000000" w:rsidP="00000000" w:rsidRDefault="00000000" w:rsidRPr="00000000" w14:paraId="000001A4">
            <w:pPr>
              <w:jc w:val="center"/>
              <w:rPr>
                <w:sz w:val="22"/>
                <w:szCs w:val="22"/>
              </w:rPr>
            </w:pPr>
            <w:r w:rsidDel="00000000" w:rsidR="00000000" w:rsidRPr="00000000">
              <w:rPr>
                <w:sz w:val="22"/>
                <w:szCs w:val="22"/>
                <w:rtl w:val="0"/>
              </w:rPr>
              <w:t xml:space="preserve">0.999</w:t>
            </w:r>
          </w:p>
        </w:tc>
        <w:tc>
          <w:tcPr>
            <w:tcBorders>
              <w:bottom w:color="000000" w:space="0" w:sz="12" w:val="single"/>
            </w:tcBorders>
          </w:tcPr>
          <w:p w:rsidR="00000000" w:rsidDel="00000000" w:rsidP="00000000" w:rsidRDefault="00000000" w:rsidRPr="00000000" w14:paraId="000001A5">
            <w:pPr>
              <w:jc w:val="center"/>
              <w:rPr>
                <w:sz w:val="22"/>
                <w:szCs w:val="22"/>
              </w:rPr>
            </w:pPr>
            <w:r w:rsidDel="00000000" w:rsidR="00000000" w:rsidRPr="00000000">
              <w:rPr>
                <w:rtl w:val="0"/>
              </w:rPr>
            </w:r>
          </w:p>
        </w:tc>
        <w:tc>
          <w:tcPr>
            <w:tcBorders>
              <w:bottom w:color="000000" w:space="0" w:sz="12" w:val="single"/>
            </w:tcBorders>
          </w:tcPr>
          <w:p w:rsidR="00000000" w:rsidDel="00000000" w:rsidP="00000000" w:rsidRDefault="00000000" w:rsidRPr="00000000" w14:paraId="000001A6">
            <w:pPr>
              <w:ind w:left="330" w:firstLine="0"/>
              <w:jc w:val="center"/>
              <w:rPr>
                <w:sz w:val="22"/>
                <w:szCs w:val="22"/>
              </w:rPr>
            </w:pPr>
            <w:r w:rsidDel="00000000" w:rsidR="00000000" w:rsidRPr="00000000">
              <w:rPr>
                <w:rtl w:val="0"/>
              </w:rPr>
            </w:r>
          </w:p>
        </w:tc>
      </w:tr>
    </w:tbl>
    <w:p w:rsidR="00000000" w:rsidDel="00000000" w:rsidP="00000000" w:rsidRDefault="00000000" w:rsidRPr="00000000" w14:paraId="000001A7">
      <w:pPr>
        <w:spacing w:before="240" w:lineRule="auto"/>
        <w:jc w:val="both"/>
        <w:rPr/>
      </w:pPr>
      <w:r w:rsidDel="00000000" w:rsidR="00000000" w:rsidRPr="00000000">
        <w:rPr>
          <w:rtl w:val="0"/>
        </w:rPr>
      </w:r>
    </w:p>
    <w:p w:rsidR="00000000" w:rsidDel="00000000" w:rsidP="00000000" w:rsidRDefault="00000000" w:rsidRPr="00000000" w14:paraId="000001A8">
      <w:pPr>
        <w:rPr>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A9">
      <w:pPr>
        <w:pStyle w:val="Heading2"/>
        <w:rPr>
          <w:color w:val="000000"/>
        </w:rPr>
      </w:pPr>
      <w:r w:rsidDel="00000000" w:rsidR="00000000" w:rsidRPr="00000000">
        <w:rPr>
          <w:rtl w:val="0"/>
        </w:rPr>
      </w:r>
    </w:p>
    <w:p w:rsidR="00000000" w:rsidDel="00000000" w:rsidP="00000000" w:rsidRDefault="00000000" w:rsidRPr="00000000" w14:paraId="000001AA">
      <w:pPr>
        <w:spacing w:line="360" w:lineRule="auto"/>
        <w:jc w:val="both"/>
        <w:rPr/>
      </w:pPr>
      <w:r w:rsidDel="00000000" w:rsidR="00000000" w:rsidRPr="00000000">
        <w:rPr>
          <w:rtl w:val="0"/>
        </w:rPr>
        <w:t xml:space="preserve">Abnormal lipid profiles were highly prevalent, with nearly half of participants demonstrating elevated total cholesterol, highlighting a substantial burden of abnormal lipids in the study population. This pattern may reflect sedentary lifestyles, unhealthy dietary habits, and limited access to healthcare services. Similar observations were reported in Kishanganj, India, where elevated cholesterol, triglycerides, and low HDL were observed in 34%, 26%, and 26% of patients, respectively (Mandal, Kumari, and Mukherjee, 2015). Higher prevalence’s were documented in Bangladesh 52% for cholesterol, 58% for triglycerides, 50% for low HDL, and 74% for LDL abnormalities (Ahmmed et al., 2021) while Rwanda reported a lower prevalence of 19% (Niyibizi et al., 2018). These variations may reflect genetic influences, including APOE, PCSK9, and LPL gene differences, alongside environmental and lifestyle factors across populations.</w:t>
      </w:r>
    </w:p>
    <w:p w:rsidR="00000000" w:rsidDel="00000000" w:rsidP="00000000" w:rsidRDefault="00000000" w:rsidRPr="00000000" w14:paraId="000001AB">
      <w:pPr>
        <w:spacing w:line="360" w:lineRule="auto"/>
        <w:jc w:val="both"/>
        <w:rPr/>
      </w:pPr>
      <w:r w:rsidDel="00000000" w:rsidR="00000000" w:rsidRPr="00000000">
        <w:rPr>
          <w:rtl w:val="0"/>
        </w:rPr>
      </w:r>
    </w:p>
    <w:p w:rsidR="00000000" w:rsidDel="00000000" w:rsidP="00000000" w:rsidRDefault="00000000" w:rsidRPr="00000000" w14:paraId="000001AC">
      <w:pPr>
        <w:spacing w:line="360" w:lineRule="auto"/>
        <w:jc w:val="both"/>
        <w:rPr/>
      </w:pPr>
      <w:r w:rsidDel="00000000" w:rsidR="00000000" w:rsidRPr="00000000">
        <w:rPr>
          <w:rtl w:val="0"/>
        </w:rPr>
        <w:t xml:space="preserve">This study identified a significant proportion of macular edema at 56.4% (167 out of 296), possibly due to advanced stages of diabetic retinopathy and longer durations of diabetes among our participants. In contrast, a study conducted in Mexico (Graue-Hernandez </w:t>
      </w:r>
      <w:r w:rsidDel="00000000" w:rsidR="00000000" w:rsidRPr="00000000">
        <w:rPr>
          <w:i w:val="1"/>
          <w:iCs w:val="1"/>
          <w:rtl w:val="0"/>
        </w:rPr>
        <w:t xml:space="preserve">et al.</w:t>
      </w:r>
      <w:r w:rsidDel="00000000" w:rsidR="00000000" w:rsidRPr="00000000">
        <w:rPr>
          <w:rtl w:val="0"/>
        </w:rPr>
        <w:t xml:space="preserve">, 2020) reported a much lower proportion of 6.6% for macular edema. The variation can be attributed to the shorter duration of diabetes (less than 5 years) among the participants in the Mexican study.</w:t>
      </w:r>
    </w:p>
    <w:p w:rsidR="00000000" w:rsidDel="00000000" w:rsidP="00000000" w:rsidRDefault="00000000" w:rsidRPr="00000000" w14:paraId="000001AD">
      <w:pPr>
        <w:spacing w:line="360" w:lineRule="auto"/>
        <w:jc w:val="both"/>
        <w:rPr/>
      </w:pPr>
      <w:r w:rsidDel="00000000" w:rsidR="00000000" w:rsidRPr="00000000">
        <w:rPr>
          <w:rtl w:val="0"/>
        </w:rPr>
      </w:r>
    </w:p>
    <w:p w:rsidR="00000000" w:rsidDel="00000000" w:rsidP="00000000" w:rsidRDefault="00000000" w:rsidRPr="00000000" w14:paraId="000001AE">
      <w:pPr>
        <w:spacing w:line="360" w:lineRule="auto"/>
        <w:jc w:val="both"/>
        <w:rPr/>
      </w:pPr>
      <w:r w:rsidDel="00000000" w:rsidR="00000000" w:rsidRPr="00000000">
        <w:rPr>
          <w:rtl w:val="0"/>
        </w:rPr>
        <w:t xml:space="preserve">In finding the relationship between abnormal lipids and macular edema, the study highlights that elevated serum cholesterol, triglycerides, and LDL levels were significantly associated with macular edema. Even after adjustment, serum triglycerides remained significantly associated with 40% higher risk on the occurrence of macular edema. This could be attributed to the fact that elevated lipid levels in retinal capillaries promote the production of pro-inflammatory cytokines, leading to chronic inflammation and the formation of reactive oxygen species (ROS) which damages the endothelial cells lining retinal blood vessels, contributing to increased capillary leakage and consequently macular edema formation. </w:t>
      </w:r>
    </w:p>
    <w:p w:rsidR="00000000" w:rsidDel="00000000" w:rsidP="00000000" w:rsidRDefault="00000000" w:rsidRPr="00000000" w14:paraId="000001AF">
      <w:pPr>
        <w:spacing w:line="360" w:lineRule="auto"/>
        <w:jc w:val="both"/>
        <w:rPr/>
      </w:pPr>
      <w:r w:rsidDel="00000000" w:rsidR="00000000" w:rsidRPr="00000000">
        <w:rPr>
          <w:rtl w:val="0"/>
        </w:rPr>
      </w:r>
    </w:p>
    <w:p w:rsidR="00000000" w:rsidDel="00000000" w:rsidP="00000000" w:rsidRDefault="00000000" w:rsidRPr="00000000" w14:paraId="000001B0">
      <w:pPr>
        <w:spacing w:line="360" w:lineRule="auto"/>
        <w:jc w:val="both"/>
        <w:rPr/>
      </w:pPr>
      <w:r w:rsidDel="00000000" w:rsidR="00000000" w:rsidRPr="00000000">
        <w:rPr>
          <w:rtl w:val="0"/>
        </w:rPr>
        <w:t xml:space="preserve">These findings were consistent with the study by (Kolli, Endreddy and Reddy, 2015) in India but differed from the study by (Cetin </w:t>
      </w:r>
      <w:r w:rsidDel="00000000" w:rsidR="00000000" w:rsidRPr="00000000">
        <w:rPr>
          <w:i w:val="1"/>
          <w:iCs w:val="1"/>
          <w:rtl w:val="0"/>
        </w:rPr>
        <w:t xml:space="preserve">et al.</w:t>
      </w:r>
      <w:r w:rsidDel="00000000" w:rsidR="00000000" w:rsidRPr="00000000">
        <w:rPr>
          <w:rtl w:val="0"/>
        </w:rPr>
        <w:t xml:space="preserve">, 2013) in Turkey, which found no link between abnormal lipids and macular edema. The variations may be due to the fact that most patients in the Turkish study were normotensive as compared to our study, which also incorporates the concept of metabolic syndrome in the progression of diabetic retinopathy. Furthermore, our study involved a larger sample size compared to the Turkish study.</w:t>
      </w:r>
    </w:p>
    <w:p w:rsidR="00000000" w:rsidDel="00000000" w:rsidP="00000000" w:rsidRDefault="00000000" w:rsidRPr="00000000" w14:paraId="000001B1">
      <w:pPr>
        <w:spacing w:line="360" w:lineRule="auto"/>
        <w:jc w:val="both"/>
        <w:rPr/>
      </w:pPr>
      <w:r w:rsidDel="00000000" w:rsidR="00000000" w:rsidRPr="00000000">
        <w:rPr>
          <w:rtl w:val="0"/>
        </w:rPr>
      </w:r>
    </w:p>
    <w:p w:rsidR="00000000" w:rsidDel="00000000" w:rsidP="00000000" w:rsidRDefault="00000000" w:rsidRPr="00000000" w14:paraId="000001B2">
      <w:pPr>
        <w:spacing w:line="360" w:lineRule="auto"/>
        <w:jc w:val="both"/>
        <w:rPr/>
      </w:pPr>
      <w:r w:rsidDel="00000000" w:rsidR="00000000" w:rsidRPr="00000000">
        <w:rPr>
          <w:rtl w:val="0"/>
        </w:rPr>
        <w:t xml:space="preserve">A key limitation in this study is that being hospital-based, the study's sample may not represent the broader population of type 2 diabetic patients, potentially overestimating the prevalence of severe diabetic retinopathy and abnormal lipids due to a higher concentration of patients with more advanced disease or complications seeking treatment at hospitals.</w:t>
      </w:r>
    </w:p>
    <w:p w:rsidR="00000000" w:rsidDel="00000000" w:rsidP="00000000" w:rsidRDefault="00000000" w:rsidRPr="00000000" w14:paraId="000001B3">
      <w:pPr>
        <w:pStyle w:val="Heading2"/>
        <w:rPr/>
      </w:pPr>
      <w:bookmarkStart w:colFirst="0" w:colLast="0" w:name="_heading=h.vbdrdw3m4ghz" w:id="8"/>
      <w:bookmarkEnd w:id="8"/>
      <w:r w:rsidDel="00000000" w:rsidR="00000000" w:rsidRPr="00000000">
        <w:rPr>
          <w:rtl w:val="0"/>
        </w:rPr>
        <w:t xml:space="preserve">5. CONCLUSION</w:t>
      </w:r>
    </w:p>
    <w:p w:rsidR="00000000" w:rsidDel="00000000" w:rsidP="00000000" w:rsidRDefault="00000000" w:rsidRPr="00000000" w14:paraId="000001B4">
      <w:pPr>
        <w:spacing w:line="360" w:lineRule="auto"/>
        <w:jc w:val="both"/>
        <w:rPr>
          <w:highlight w:val="white"/>
        </w:rPr>
      </w:pPr>
      <w:r w:rsidDel="00000000" w:rsidR="00000000" w:rsidRPr="00000000">
        <w:rPr>
          <w:highlight w:val="white"/>
          <w:rtl w:val="0"/>
        </w:rPr>
        <w:t xml:space="preserve">The study demonstrated a significant association between abnormal lipid levels and macular edema. The findings highlight the importance of early intervention and lifestyle modification in the management of diabetes and its related complications. They also underscore the need for strengthened screening programs and improved patient education to help reduce the occurrence and progression of macular edema.</w:t>
      </w:r>
    </w:p>
    <w:p w:rsidR="00000000" w:rsidDel="00000000" w:rsidP="00000000" w:rsidRDefault="00000000" w:rsidRPr="00000000" w14:paraId="000001B5">
      <w:pPr>
        <w:spacing w:line="360" w:lineRule="auto"/>
        <w:jc w:val="both"/>
        <w:rPr>
          <w:highlight w:val="white"/>
        </w:rPr>
      </w:pPr>
      <w:r w:rsidDel="00000000" w:rsidR="00000000" w:rsidRPr="00000000">
        <w:rPr>
          <w:rtl w:val="0"/>
        </w:rPr>
      </w:r>
    </w:p>
    <w:p w:rsidR="00000000" w:rsidDel="00000000" w:rsidP="00000000" w:rsidRDefault="00000000" w:rsidRPr="00000000" w14:paraId="000001B6">
      <w:pPr>
        <w:spacing w:line="360" w:lineRule="auto"/>
        <w:jc w:val="both"/>
        <w:rPr>
          <w:b w:val="1"/>
          <w:bCs w:val="1"/>
          <w:highlight w:val="white"/>
        </w:rPr>
      </w:pPr>
      <w:r w:rsidDel="00000000" w:rsidR="00000000" w:rsidRPr="00000000">
        <w:rPr>
          <w:b w:val="1"/>
          <w:bCs w:val="1"/>
          <w:highlight w:val="white"/>
          <w:rtl w:val="0"/>
        </w:rPr>
        <w:t xml:space="preserve">6.</w:t>
      </w:r>
      <w:r w:rsidDel="00000000" w:rsidR="00000000" w:rsidRPr="00000000">
        <w:rPr>
          <w:b w:val="1"/>
          <w:bCs w:val="1"/>
          <w:rtl w:val="0"/>
        </w:rPr>
        <w:t xml:space="preserve"> RECOMMENDATIONS</w:t>
      </w:r>
      <w:r w:rsidDel="00000000" w:rsidR="00000000" w:rsidRPr="00000000">
        <w:rPr>
          <w:rtl w:val="0"/>
        </w:rPr>
      </w:r>
    </w:p>
    <w:p w:rsidR="00000000" w:rsidDel="00000000" w:rsidP="00000000" w:rsidRDefault="00000000" w:rsidRPr="00000000" w14:paraId="000001B7">
      <w:pPr>
        <w:spacing w:line="360" w:lineRule="auto"/>
        <w:jc w:val="both"/>
        <w:rPr/>
      </w:pPr>
      <w:r w:rsidDel="00000000" w:rsidR="00000000" w:rsidRPr="00000000">
        <w:rPr>
          <w:rtl w:val="0"/>
        </w:rPr>
        <w:t xml:space="preserve">Future studies should emphasize large, methodologically robust investigations, including case control and prospective study designs, to more clearly determine the causal link between abnormal lipids and the progression of macula edema. In clinical practice, integrating routine lipid assessment, patient counseling, and lifestyle modification into diabetes management is essential. Enhanced multidisciplinary collaboration, together with supportive national health policies, is equally important to promote early identification, optimal lipid control, and prevention of vision threatening diabetic complications.</w:t>
      </w:r>
    </w:p>
    <w:p w:rsidR="00000000" w:rsidDel="00000000" w:rsidP="00000000" w:rsidRDefault="00000000" w:rsidRPr="00000000" w14:paraId="000001B8">
      <w:pPr>
        <w:spacing w:line="360" w:lineRule="auto"/>
        <w:jc w:val="both"/>
        <w:rPr/>
      </w:pPr>
      <w:r w:rsidDel="00000000" w:rsidR="00000000" w:rsidRPr="00000000">
        <w:rPr>
          <w:rtl w:val="0"/>
        </w:rPr>
      </w:r>
    </w:p>
    <w:p w:rsidR="00000000" w:rsidDel="00000000" w:rsidP="00000000" w:rsidRDefault="00000000" w:rsidRPr="00000000" w14:paraId="000001B9">
      <w:pPr>
        <w:spacing w:line="360" w:lineRule="auto"/>
        <w:jc w:val="both"/>
        <w:rPr>
          <w:b w:val="1"/>
          <w:bCs w:val="1"/>
        </w:rPr>
      </w:pPr>
      <w:r w:rsidDel="00000000" w:rsidR="00000000" w:rsidRPr="00000000">
        <w:rPr>
          <w:b w:val="1"/>
          <w:bCs w:val="1"/>
          <w:rtl w:val="0"/>
        </w:rPr>
        <w:t xml:space="preserve">ETHICAL APPROVAL AND CONSENT</w:t>
      </w:r>
    </w:p>
    <w:p w:rsidR="00000000" w:rsidDel="00000000" w:rsidP="00000000" w:rsidRDefault="00000000" w:rsidRPr="00000000" w14:paraId="000001BA">
      <w:pPr>
        <w:spacing w:line="360" w:lineRule="auto"/>
        <w:jc w:val="both"/>
        <w:rPr/>
      </w:pPr>
      <w:r w:rsidDel="00000000" w:rsidR="00000000" w:rsidRPr="00000000">
        <w:rPr>
          <w:rtl w:val="0"/>
        </w:rPr>
        <w:t xml:space="preserve">Ethical approval was obtained from the Kilimanjaro Christian Medical University College Research and Ethics Review Committee (Ref: PG 89/2023), with institutional clearance granted via the Ophthalmology Department at KCMC. All participants were informed about the study’s purpose, and written consent was obtained. Participant confidentiality and data protection were maintained throughout.</w:t>
      </w:r>
    </w:p>
    <w:p w:rsidR="00000000" w:rsidDel="00000000" w:rsidP="00000000" w:rsidRDefault="00000000" w:rsidRPr="00000000" w14:paraId="000001BB">
      <w:pPr>
        <w:spacing w:line="360" w:lineRule="auto"/>
        <w:jc w:val="both"/>
        <w:rPr/>
      </w:pPr>
      <w:r w:rsidDel="00000000" w:rsidR="00000000" w:rsidRPr="00000000">
        <w:rPr>
          <w:rtl w:val="0"/>
        </w:rPr>
      </w:r>
    </w:p>
    <w:p w:rsidR="00000000" w:rsidDel="00000000" w:rsidP="00000000" w:rsidRDefault="00000000" w:rsidRPr="00000000" w14:paraId="000001BC">
      <w:pPr>
        <w:spacing w:line="360" w:lineRule="auto"/>
        <w:jc w:val="both"/>
        <w:rPr/>
      </w:pPr>
      <w:r w:rsidDel="00000000" w:rsidR="00000000" w:rsidRPr="00000000">
        <w:rPr>
          <w:rtl w:val="0"/>
        </w:rPr>
      </w:r>
    </w:p>
    <w:p w:rsidR="00000000" w:rsidDel="00000000" w:rsidP="00000000" w:rsidRDefault="00000000" w:rsidRPr="00000000" w14:paraId="000001BD">
      <w:pPr>
        <w:spacing w:line="360" w:lineRule="auto"/>
        <w:jc w:val="both"/>
        <w:rPr/>
      </w:pPr>
      <w:r w:rsidDel="00000000" w:rsidR="00000000" w:rsidRPr="00000000">
        <w:rPr>
          <w:rtl w:val="0"/>
        </w:rPr>
      </w:r>
    </w:p>
    <w:p w:rsidR="00000000" w:rsidDel="00000000" w:rsidP="00000000" w:rsidRDefault="00000000" w:rsidRPr="00000000" w14:paraId="000001BE">
      <w:pPr>
        <w:spacing w:line="360" w:lineRule="auto"/>
        <w:jc w:val="both"/>
        <w:rPr/>
      </w:pPr>
      <w:r w:rsidDel="00000000" w:rsidR="00000000" w:rsidRPr="00000000">
        <w:rPr>
          <w:rtl w:val="0"/>
        </w:rPr>
      </w:r>
    </w:p>
    <w:p w:rsidR="00000000" w:rsidDel="00000000" w:rsidP="00000000" w:rsidRDefault="00000000" w:rsidRPr="00000000" w14:paraId="000001BF">
      <w:pPr>
        <w:spacing w:line="360" w:lineRule="auto"/>
        <w:jc w:val="both"/>
        <w:rPr>
          <w:b w:val="1"/>
          <w:bCs w:val="1"/>
        </w:rPr>
      </w:pPr>
      <w:r w:rsidDel="00000000" w:rsidR="00000000" w:rsidRPr="00000000">
        <w:rPr>
          <w:b w:val="1"/>
          <w:bCs w:val="1"/>
          <w:rtl w:val="0"/>
        </w:rPr>
        <w:t xml:space="preserve">DISCLAIMER (ARTIFICIAL INTELLIGENCE)</w:t>
      </w:r>
    </w:p>
    <w:p w:rsidR="00000000" w:rsidDel="00000000" w:rsidP="00000000" w:rsidRDefault="00000000" w:rsidRPr="00000000" w14:paraId="000001C0">
      <w:pPr>
        <w:pStyle w:val="Heading1"/>
        <w:jc w:val="left"/>
        <w:rPr>
          <w:b w:val="0"/>
          <w:bCs w:val="0"/>
        </w:rPr>
      </w:pPr>
      <w:bookmarkStart w:colFirst="0" w:colLast="0" w:name="_heading=h.wjn4e0wtoxy7" w:id="9"/>
      <w:bookmarkEnd w:id="9"/>
      <w:r w:rsidDel="00000000" w:rsidR="00000000" w:rsidRPr="00000000">
        <w:rPr>
          <w:b w:val="0"/>
          <w:bCs w:val="0"/>
          <w:rtl w:val="0"/>
        </w:rPr>
        <w:t xml:space="preserve">The authors hereby declare that no artificial intelligence tools, including large language models or text-to-image generators, were used at any stage of the preparation, writing, or editing of this manuscript. The work presented represents the authors’ independent and original research.</w:t>
      </w:r>
    </w:p>
    <w:p w:rsidR="00000000" w:rsidDel="00000000" w:rsidP="00000000" w:rsidRDefault="00000000" w:rsidRPr="00000000" w14:paraId="000001C1">
      <w:pPr>
        <w:spacing w:line="360" w:lineRule="auto"/>
        <w:jc w:val="both"/>
        <w:rPr/>
      </w:pPr>
      <w:r w:rsidDel="00000000" w:rsidR="00000000" w:rsidRPr="00000000">
        <w:rPr>
          <w:rtl w:val="0"/>
        </w:rPr>
      </w:r>
    </w:p>
    <w:p w:rsidR="00000000" w:rsidDel="00000000" w:rsidP="00000000" w:rsidRDefault="00000000" w:rsidRPr="00000000" w14:paraId="000001C2">
      <w:pPr>
        <w:spacing w:line="360" w:lineRule="auto"/>
        <w:jc w:val="both"/>
        <w:rPr>
          <w:b w:val="1"/>
          <w:bCs w:val="1"/>
        </w:rPr>
      </w:pPr>
      <w:r w:rsidDel="00000000" w:rsidR="00000000" w:rsidRPr="00000000">
        <w:rPr>
          <w:b w:val="1"/>
          <w:bCs w:val="1"/>
          <w:rtl w:val="0"/>
        </w:rPr>
        <w:t xml:space="preserve">COMPETING INTEREST</w:t>
      </w:r>
    </w:p>
    <w:p w:rsidR="00000000" w:rsidDel="00000000" w:rsidP="00000000" w:rsidRDefault="00000000" w:rsidRPr="00000000" w14:paraId="000001C3">
      <w:pPr>
        <w:spacing w:line="360" w:lineRule="auto"/>
        <w:jc w:val="both"/>
        <w:rPr/>
      </w:pPr>
      <w:r w:rsidDel="00000000" w:rsidR="00000000" w:rsidRPr="00000000">
        <w:rPr>
          <w:rtl w:val="0"/>
        </w:rPr>
        <w:t xml:space="preserve">The authors declare that they have no conflict of interest.</w:t>
      </w:r>
    </w:p>
    <w:p w:rsidR="00000000" w:rsidDel="00000000" w:rsidP="00000000" w:rsidRDefault="00000000" w:rsidRPr="00000000" w14:paraId="000001C4">
      <w:pPr>
        <w:spacing w:line="360" w:lineRule="auto"/>
        <w:jc w:val="both"/>
        <w:rPr/>
      </w:pPr>
      <w:r w:rsidDel="00000000" w:rsidR="00000000" w:rsidRPr="00000000">
        <w:rPr>
          <w:rtl w:val="0"/>
        </w:rPr>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6">
      <w:pPr>
        <w:spacing w:before="240" w:line="360" w:lineRule="auto"/>
        <w:jc w:val="both"/>
        <w:rPr/>
      </w:pPr>
      <w:r w:rsidDel="00000000" w:rsidR="00000000" w:rsidRPr="00000000">
        <w:rPr>
          <w:rtl w:val="0"/>
        </w:rPr>
      </w:r>
    </w:p>
    <w:p w:rsidR="00000000" w:rsidDel="00000000" w:rsidP="00000000" w:rsidRDefault="00000000" w:rsidRPr="00000000" w14:paraId="000001C7">
      <w:pPr>
        <w:jc w:val="both"/>
        <w:rPr/>
      </w:pPr>
      <w:r w:rsidDel="00000000" w:rsidR="00000000" w:rsidRPr="00000000">
        <w:rPr>
          <w:rtl w:val="0"/>
        </w:rPr>
      </w:r>
    </w:p>
    <w:p w:rsidR="00000000" w:rsidDel="00000000" w:rsidP="00000000" w:rsidRDefault="00000000" w:rsidRPr="00000000" w14:paraId="000001C8">
      <w:pPr>
        <w:jc w:val="both"/>
        <w:rPr/>
      </w:pPr>
      <w:r w:rsidDel="00000000" w:rsidR="00000000" w:rsidRPr="00000000">
        <w:rPr>
          <w:rtl w:val="0"/>
        </w:rPr>
      </w:r>
    </w:p>
    <w:p w:rsidR="00000000" w:rsidDel="00000000" w:rsidP="00000000" w:rsidRDefault="00000000" w:rsidRPr="00000000" w14:paraId="000001C9">
      <w:pPr>
        <w:jc w:val="both"/>
        <w:rPr/>
      </w:pPr>
      <w:r w:rsidDel="00000000" w:rsidR="00000000" w:rsidRPr="00000000">
        <w:rPr>
          <w:rtl w:val="0"/>
        </w:rPr>
      </w:r>
    </w:p>
    <w:p w:rsidR="00000000" w:rsidDel="00000000" w:rsidP="00000000" w:rsidRDefault="00000000" w:rsidRPr="00000000" w14:paraId="000001CA">
      <w:pPr>
        <w:jc w:val="both"/>
        <w:rPr/>
      </w:pPr>
      <w:r w:rsidDel="00000000" w:rsidR="00000000" w:rsidRPr="00000000">
        <w:rPr>
          <w:rtl w:val="0"/>
        </w:rPr>
      </w:r>
    </w:p>
    <w:p w:rsidR="00000000" w:rsidDel="00000000" w:rsidP="00000000" w:rsidRDefault="00000000" w:rsidRPr="00000000" w14:paraId="000001CB">
      <w:pPr>
        <w:jc w:val="both"/>
        <w:rPr/>
      </w:pPr>
      <w:r w:rsidDel="00000000" w:rsidR="00000000" w:rsidRPr="00000000">
        <w:rPr>
          <w:rtl w:val="0"/>
        </w:rPr>
      </w:r>
    </w:p>
    <w:p w:rsidR="00000000" w:rsidDel="00000000" w:rsidP="00000000" w:rsidRDefault="00000000" w:rsidRPr="00000000" w14:paraId="000001CC">
      <w:pPr>
        <w:jc w:val="both"/>
        <w:rPr/>
      </w:pPr>
      <w:r w:rsidDel="00000000" w:rsidR="00000000" w:rsidRPr="00000000">
        <w:rPr>
          <w:rtl w:val="0"/>
        </w:rPr>
      </w:r>
    </w:p>
    <w:p w:rsidR="00000000" w:rsidDel="00000000" w:rsidP="00000000" w:rsidRDefault="00000000" w:rsidRPr="00000000" w14:paraId="000001CD">
      <w:pPr>
        <w:jc w:val="both"/>
        <w:rPr>
          <w:b w:val="1"/>
          <w:bCs w:val="1"/>
        </w:rPr>
      </w:pPr>
      <w:r w:rsidDel="00000000" w:rsidR="00000000" w:rsidRPr="00000000">
        <w:rPr>
          <w:rtl w:val="0"/>
        </w:rPr>
      </w:r>
    </w:p>
    <w:p w:rsidR="00000000" w:rsidDel="00000000" w:rsidP="00000000" w:rsidRDefault="00000000" w:rsidRPr="00000000" w14:paraId="000001CE">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1CF">
      <w:pPr>
        <w:pStyle w:val="Heading1"/>
        <w:rPr/>
      </w:pPr>
      <w:bookmarkStart w:colFirst="0" w:colLast="0" w:name="_heading=h.dh22o2y7f95z" w:id="10"/>
      <w:bookmarkEnd w:id="10"/>
      <w:r w:rsidDel="00000000" w:rsidR="00000000" w:rsidRPr="00000000">
        <w:rPr>
          <w:rtl w:val="0"/>
        </w:rPr>
        <w:t xml:space="preserve">REFERENCES</w:t>
      </w:r>
    </w:p>
    <w:p w:rsidR="00000000" w:rsidDel="00000000" w:rsidP="00000000" w:rsidRDefault="00000000" w:rsidRPr="00000000" w14:paraId="000001D0">
      <w:pPr>
        <w:widowControl w:val="0"/>
        <w:spacing w:line="360" w:lineRule="auto"/>
        <w:rPr/>
      </w:pPr>
      <w:r w:rsidDel="00000000" w:rsidR="00000000" w:rsidRPr="00000000">
        <w:rPr>
          <w:rtl w:val="0"/>
        </w:rPr>
        <w:t xml:space="preserve">A, E., BR, A.E. and SE, A.Z. (2019) ‘Association between Dyslipidemia and Diabetic Retinopathy in Type 2 Diabetic Patients’, </w:t>
      </w:r>
      <w:r w:rsidDel="00000000" w:rsidR="00000000" w:rsidRPr="00000000">
        <w:rPr>
          <w:i w:val="1"/>
          <w:iCs w:val="1"/>
          <w:rtl w:val="0"/>
        </w:rPr>
        <w:t xml:space="preserve">Journal of Ophthalmic Studies</w:t>
      </w:r>
      <w:r w:rsidDel="00000000" w:rsidR="00000000" w:rsidRPr="00000000">
        <w:rPr>
          <w:rtl w:val="0"/>
        </w:rPr>
        <w:t xml:space="preserve">, 2(1), pp. 1–6. Available at: https://doi.org/10.16966/2639-152x.111.</w:t>
      </w:r>
    </w:p>
    <w:p w:rsidR="00000000" w:rsidDel="00000000" w:rsidP="00000000" w:rsidRDefault="00000000" w:rsidRPr="00000000" w14:paraId="000001D1">
      <w:pPr>
        <w:widowControl w:val="0"/>
        <w:spacing w:line="360" w:lineRule="auto"/>
        <w:rPr/>
      </w:pPr>
      <w:r w:rsidDel="00000000" w:rsidR="00000000" w:rsidRPr="00000000">
        <w:rPr>
          <w:rtl w:val="0"/>
        </w:rPr>
        <w:t xml:space="preserve">Acan, D. </w:t>
      </w:r>
      <w:r w:rsidDel="00000000" w:rsidR="00000000" w:rsidRPr="00000000">
        <w:rPr>
          <w:i w:val="1"/>
          <w:iCs w:val="1"/>
          <w:rtl w:val="0"/>
        </w:rPr>
        <w:t xml:space="preserve">et al.</w:t>
      </w:r>
      <w:r w:rsidDel="00000000" w:rsidR="00000000" w:rsidRPr="00000000">
        <w:rPr>
          <w:rtl w:val="0"/>
        </w:rPr>
        <w:t xml:space="preserve"> (2018) ‘The prevalence and systemic risk factors of diabetic macular edema : a cross-sectional study from Turkey’, pp. 1–8.</w:t>
      </w:r>
    </w:p>
    <w:p w:rsidR="00000000" w:rsidDel="00000000" w:rsidP="00000000" w:rsidRDefault="00000000" w:rsidRPr="00000000" w14:paraId="000001D2">
      <w:pPr>
        <w:widowControl w:val="0"/>
        <w:spacing w:line="360" w:lineRule="auto"/>
        <w:rPr/>
      </w:pPr>
      <w:r w:rsidDel="00000000" w:rsidR="00000000" w:rsidRPr="00000000">
        <w:rPr>
          <w:rtl w:val="0"/>
        </w:rPr>
        <w:t xml:space="preserve">Agroiya, P. </w:t>
      </w:r>
      <w:r w:rsidDel="00000000" w:rsidR="00000000" w:rsidRPr="00000000">
        <w:rPr>
          <w:i w:val="1"/>
          <w:iCs w:val="1"/>
          <w:rtl w:val="0"/>
        </w:rPr>
        <w:t xml:space="preserve">et al.</w:t>
      </w:r>
      <w:r w:rsidDel="00000000" w:rsidR="00000000" w:rsidRPr="00000000">
        <w:rPr>
          <w:rtl w:val="0"/>
        </w:rPr>
        <w:t xml:space="preserve"> (2013) ‘Association of serum lipids with diabetic retinopathy in type 2 diabetes’, </w:t>
      </w:r>
      <w:r w:rsidDel="00000000" w:rsidR="00000000" w:rsidRPr="00000000">
        <w:rPr>
          <w:i w:val="1"/>
          <w:iCs w:val="1"/>
          <w:rtl w:val="0"/>
        </w:rPr>
        <w:t xml:space="preserve">Indian Journal of Endocrinology and Metabolism</w:t>
      </w:r>
      <w:r w:rsidDel="00000000" w:rsidR="00000000" w:rsidRPr="00000000">
        <w:rPr>
          <w:rtl w:val="0"/>
        </w:rPr>
        <w:t xml:space="preserve">, 17(7), p. 335. Available at: https://doi.org/10.4103/2230-8210.119637.</w:t>
      </w:r>
    </w:p>
    <w:p w:rsidR="00000000" w:rsidDel="00000000" w:rsidP="00000000" w:rsidRDefault="00000000" w:rsidRPr="00000000" w14:paraId="000001D3">
      <w:pPr>
        <w:widowControl w:val="0"/>
        <w:spacing w:line="360" w:lineRule="auto"/>
        <w:rPr/>
      </w:pPr>
      <w:r w:rsidDel="00000000" w:rsidR="00000000" w:rsidRPr="00000000">
        <w:rPr>
          <w:rtl w:val="0"/>
        </w:rPr>
        <w:t xml:space="preserve">Ahmed, A.M. </w:t>
      </w:r>
      <w:r w:rsidDel="00000000" w:rsidR="00000000" w:rsidRPr="00000000">
        <w:rPr>
          <w:i w:val="1"/>
          <w:iCs w:val="1"/>
          <w:rtl w:val="0"/>
        </w:rPr>
        <w:t xml:space="preserve">et al.</w:t>
      </w:r>
      <w:r w:rsidDel="00000000" w:rsidR="00000000" w:rsidRPr="00000000">
        <w:rPr>
          <w:rtl w:val="0"/>
        </w:rPr>
        <w:t xml:space="preserve"> (2021) ‘Dyslipidemia Among Type 2 Diabetes Mellitus Patients Attending AdenAbdulle Hospital in Mogadishu Somalia’, </w:t>
      </w:r>
      <w:r w:rsidDel="00000000" w:rsidR="00000000" w:rsidRPr="00000000">
        <w:rPr>
          <w:i w:val="1"/>
          <w:iCs w:val="1"/>
          <w:rtl w:val="0"/>
        </w:rPr>
        <w:t xml:space="preserve">European Journal of Medicine and Veterinary Sciences-Novus  </w:t>
      </w:r>
      <w:r w:rsidDel="00000000" w:rsidR="00000000" w:rsidRPr="00000000">
        <w:rPr>
          <w:rtl w:val="0"/>
        </w:rPr>
        <w:t xml:space="preserve">, e-ISSN: 27(01(01)).</w:t>
      </w:r>
    </w:p>
    <w:p w:rsidR="00000000" w:rsidDel="00000000" w:rsidP="00000000" w:rsidRDefault="00000000" w:rsidRPr="00000000" w14:paraId="000001D4">
      <w:pPr>
        <w:widowControl w:val="0"/>
        <w:spacing w:line="360" w:lineRule="auto"/>
        <w:rPr/>
      </w:pPr>
      <w:r w:rsidDel="00000000" w:rsidR="00000000" w:rsidRPr="00000000">
        <w:rPr>
          <w:rtl w:val="0"/>
        </w:rPr>
        <w:t xml:space="preserve">Amin, Z.A., Ul Islam, Q. and Mehboob, M.A. (2016) ‘Comparison of serum lipid profile in Type-2 Diabetics with and without retinopathy in Pakistani population’, </w:t>
      </w:r>
      <w:r w:rsidDel="00000000" w:rsidR="00000000" w:rsidRPr="00000000">
        <w:rPr>
          <w:i w:val="1"/>
          <w:iCs w:val="1"/>
          <w:rtl w:val="0"/>
        </w:rPr>
        <w:t xml:space="preserve">Pakistan Journal of Medical Sciences</w:t>
      </w:r>
      <w:r w:rsidDel="00000000" w:rsidR="00000000" w:rsidRPr="00000000">
        <w:rPr>
          <w:rtl w:val="0"/>
        </w:rPr>
        <w:t xml:space="preserve">, 32(6), pp. 1349–1353. Available at: https://doi.org/10.12669/pjms.326.11056.</w:t>
      </w:r>
    </w:p>
    <w:p w:rsidR="00000000" w:rsidDel="00000000" w:rsidP="00000000" w:rsidRDefault="00000000" w:rsidRPr="00000000" w14:paraId="000001D5">
      <w:pPr>
        <w:widowControl w:val="0"/>
        <w:spacing w:line="360" w:lineRule="auto"/>
        <w:rPr/>
      </w:pPr>
      <w:r w:rsidDel="00000000" w:rsidR="00000000" w:rsidRPr="00000000">
        <w:rPr>
          <w:rtl w:val="0"/>
        </w:rPr>
        <w:t xml:space="preserve">Article, O. (2015) ‘Determination of serum lipid profile in patients with diabetic macular edema that referred to Shahid Beheshti and Ayatollah Rouhani Hospitals, Babol during 2011-2012’, (Md).</w:t>
      </w:r>
    </w:p>
    <w:p w:rsidR="00000000" w:rsidDel="00000000" w:rsidP="00000000" w:rsidRDefault="00000000" w:rsidRPr="00000000" w14:paraId="000001D6">
      <w:pPr>
        <w:widowControl w:val="0"/>
        <w:spacing w:line="360" w:lineRule="auto"/>
        <w:rPr/>
      </w:pPr>
      <w:r w:rsidDel="00000000" w:rsidR="00000000" w:rsidRPr="00000000">
        <w:rPr>
          <w:rtl w:val="0"/>
        </w:rPr>
        <w:t xml:space="preserve">Benarous, R. </w:t>
      </w:r>
      <w:r w:rsidDel="00000000" w:rsidR="00000000" w:rsidRPr="00000000">
        <w:rPr>
          <w:i w:val="1"/>
          <w:iCs w:val="1"/>
          <w:rtl w:val="0"/>
        </w:rPr>
        <w:t xml:space="preserve">et al.</w:t>
      </w:r>
      <w:r w:rsidDel="00000000" w:rsidR="00000000" w:rsidRPr="00000000">
        <w:rPr>
          <w:rtl w:val="0"/>
        </w:rPr>
        <w:t xml:space="preserve"> (2011) ‘Differential association of serum lipids with diabetic retinopathy and diabetic macular edema’, </w:t>
      </w:r>
      <w:r w:rsidDel="00000000" w:rsidR="00000000" w:rsidRPr="00000000">
        <w:rPr>
          <w:i w:val="1"/>
          <w:iCs w:val="1"/>
          <w:rtl w:val="0"/>
        </w:rPr>
        <w:t xml:space="preserve">Investigative Ophthalmology and Visual Science</w:t>
      </w:r>
      <w:r w:rsidDel="00000000" w:rsidR="00000000" w:rsidRPr="00000000">
        <w:rPr>
          <w:rtl w:val="0"/>
        </w:rPr>
        <w:t xml:space="preserve">, 52(10), pp. 7464–7469. Available at: https://doi.org/10.1167/iovs.11-7598.</w:t>
      </w:r>
    </w:p>
    <w:p w:rsidR="00000000" w:rsidDel="00000000" w:rsidP="00000000" w:rsidRDefault="00000000" w:rsidRPr="00000000" w14:paraId="000001D7">
      <w:pPr>
        <w:widowControl w:val="0"/>
        <w:spacing w:line="360" w:lineRule="auto"/>
        <w:rPr/>
      </w:pPr>
      <w:r w:rsidDel="00000000" w:rsidR="00000000" w:rsidRPr="00000000">
        <w:rPr>
          <w:rtl w:val="0"/>
        </w:rPr>
        <w:t xml:space="preserve">Cardoza, N.J. </w:t>
      </w:r>
      <w:r w:rsidDel="00000000" w:rsidR="00000000" w:rsidRPr="00000000">
        <w:rPr>
          <w:i w:val="1"/>
          <w:iCs w:val="1"/>
          <w:rtl w:val="0"/>
        </w:rPr>
        <w:t xml:space="preserve">et al.</w:t>
      </w:r>
      <w:r w:rsidDel="00000000" w:rsidR="00000000" w:rsidRPr="00000000">
        <w:rPr>
          <w:rtl w:val="0"/>
        </w:rPr>
        <w:t xml:space="preserve"> (2021) ‘Association of serum lipid levels and social factors with diabetic retinopathy in patients with type 2 diabetes mellitus: Study from tertiary care center of Western Maharashtra’, </w:t>
      </w:r>
      <w:r w:rsidDel="00000000" w:rsidR="00000000" w:rsidRPr="00000000">
        <w:rPr>
          <w:i w:val="1"/>
          <w:iCs w:val="1"/>
          <w:rtl w:val="0"/>
        </w:rPr>
        <w:t xml:space="preserve">Indian Journal of Clinical and Experimental Ophthalmology</w:t>
      </w:r>
      <w:r w:rsidDel="00000000" w:rsidR="00000000" w:rsidRPr="00000000">
        <w:rPr>
          <w:rtl w:val="0"/>
        </w:rPr>
        <w:t xml:space="preserve">, 7(1), pp. 218–223. Available at: https://doi.org/10.18231/j.ijceo.2021.045.</w:t>
      </w:r>
    </w:p>
    <w:p w:rsidR="00000000" w:rsidDel="00000000" w:rsidP="00000000" w:rsidRDefault="00000000" w:rsidRPr="00000000" w14:paraId="000001D8">
      <w:pPr>
        <w:widowControl w:val="0"/>
        <w:spacing w:line="360" w:lineRule="auto"/>
        <w:rPr/>
      </w:pPr>
      <w:r w:rsidDel="00000000" w:rsidR="00000000" w:rsidRPr="00000000">
        <w:rPr>
          <w:rtl w:val="0"/>
        </w:rPr>
        <w:t xml:space="preserve">Cetin, E.N. </w:t>
      </w:r>
      <w:r w:rsidDel="00000000" w:rsidR="00000000" w:rsidRPr="00000000">
        <w:rPr>
          <w:i w:val="1"/>
          <w:iCs w:val="1"/>
          <w:rtl w:val="0"/>
        </w:rPr>
        <w:t xml:space="preserve">et al.</w:t>
      </w:r>
      <w:r w:rsidDel="00000000" w:rsidR="00000000" w:rsidRPr="00000000">
        <w:rPr>
          <w:rtl w:val="0"/>
        </w:rPr>
        <w:t xml:space="preserve"> (2013) ‘Association of serum lipid levels with diabetic retinopathy’, </w:t>
      </w:r>
      <w:r w:rsidDel="00000000" w:rsidR="00000000" w:rsidRPr="00000000">
        <w:rPr>
          <w:i w:val="1"/>
          <w:iCs w:val="1"/>
          <w:rtl w:val="0"/>
        </w:rPr>
        <w:t xml:space="preserve">International Journal of Ophthalmology</w:t>
      </w:r>
      <w:r w:rsidDel="00000000" w:rsidR="00000000" w:rsidRPr="00000000">
        <w:rPr>
          <w:rtl w:val="0"/>
        </w:rPr>
        <w:t xml:space="preserve">, 6(3), pp. 346–349. Available at: https://doi.org/10.3980/j.issn.2222-3959.2013.03.17.</w:t>
      </w:r>
    </w:p>
    <w:p w:rsidR="00000000" w:rsidDel="00000000" w:rsidP="00000000" w:rsidRDefault="00000000" w:rsidRPr="00000000" w14:paraId="000001D9">
      <w:pPr>
        <w:widowControl w:val="0"/>
        <w:spacing w:line="360" w:lineRule="auto"/>
        <w:rPr/>
      </w:pPr>
      <w:r w:rsidDel="00000000" w:rsidR="00000000" w:rsidRPr="00000000">
        <w:rPr>
          <w:rtl w:val="0"/>
        </w:rPr>
        <w:t xml:space="preserve">Cleland, C.R. </w:t>
      </w:r>
      <w:r w:rsidDel="00000000" w:rsidR="00000000" w:rsidRPr="00000000">
        <w:rPr>
          <w:i w:val="1"/>
          <w:iCs w:val="1"/>
          <w:rtl w:val="0"/>
        </w:rPr>
        <w:t xml:space="preserve">et al.</w:t>
      </w:r>
      <w:r w:rsidDel="00000000" w:rsidR="00000000" w:rsidRPr="00000000">
        <w:rPr>
          <w:rtl w:val="0"/>
        </w:rPr>
        <w:t xml:space="preserve"> (2016) ‘Diabetic retinopathy in Tanzania : prevalence and risk factors at entry into a regional screening programme’, 21(3), pp. 417–426. Available at: https://doi.org/10.1111/tmi.12652.</w:t>
      </w:r>
    </w:p>
    <w:p w:rsidR="00000000" w:rsidDel="00000000" w:rsidP="00000000" w:rsidRDefault="00000000" w:rsidRPr="00000000" w14:paraId="000001DA">
      <w:pPr>
        <w:widowControl w:val="0"/>
        <w:spacing w:line="360" w:lineRule="auto"/>
        <w:rPr/>
      </w:pPr>
      <w:r w:rsidDel="00000000" w:rsidR="00000000" w:rsidRPr="00000000">
        <w:rPr>
          <w:rtl w:val="0"/>
        </w:rPr>
        <w:t xml:space="preserve">Gallagher, M. and Laouri, M. (2010) ‘Review Burden of illness of diabetic macular edema : literature review No op Un t yr au fo ig th r ht di or S sp ize a la d le © vi e o an roh Co 0 I nf d p ibi m t a . Au e m si th rc a U ng or i a le is co ed l D K L py us is i fo ers tr mi r p c i t er an bu ed so d na ow tio l u nl’, 26(7), pp. 1587–1597. Available at: https://doi.org/10.1185/03007995.2010.482503.</w:t>
      </w:r>
    </w:p>
    <w:p w:rsidR="00000000" w:rsidDel="00000000" w:rsidP="00000000" w:rsidRDefault="00000000" w:rsidRPr="00000000" w14:paraId="000001DB">
      <w:pPr>
        <w:widowControl w:val="0"/>
        <w:spacing w:line="360" w:lineRule="auto"/>
        <w:rPr/>
      </w:pPr>
      <w:r w:rsidDel="00000000" w:rsidR="00000000" w:rsidRPr="00000000">
        <w:rPr>
          <w:rtl w:val="0"/>
        </w:rPr>
        <w:t xml:space="preserve">Graue-Hernandez, E.O. </w:t>
      </w:r>
      <w:r w:rsidDel="00000000" w:rsidR="00000000" w:rsidRPr="00000000">
        <w:rPr>
          <w:i w:val="1"/>
          <w:iCs w:val="1"/>
          <w:rtl w:val="0"/>
        </w:rPr>
        <w:t xml:space="preserve">et al.</w:t>
      </w:r>
      <w:r w:rsidDel="00000000" w:rsidR="00000000" w:rsidRPr="00000000">
        <w:rPr>
          <w:rtl w:val="0"/>
        </w:rPr>
        <w:t xml:space="preserve"> (2020) ‘Prevalence and associated risk factors of diabetic retinopathy and macular oedema in patients recently diagnosed with type 2 diabetes’, </w:t>
      </w:r>
      <w:r w:rsidDel="00000000" w:rsidR="00000000" w:rsidRPr="00000000">
        <w:rPr>
          <w:i w:val="1"/>
          <w:iCs w:val="1"/>
          <w:rtl w:val="0"/>
        </w:rPr>
        <w:t xml:space="preserve">BMJ Open Ophthalmology</w:t>
      </w:r>
      <w:r w:rsidDel="00000000" w:rsidR="00000000" w:rsidRPr="00000000">
        <w:rPr>
          <w:rtl w:val="0"/>
        </w:rPr>
        <w:t xml:space="preserve">, 5(1), pp. 1–11. Available at: https://doi.org/10.1136/bmjophth-2019-000304.</w:t>
      </w:r>
    </w:p>
    <w:p w:rsidR="00000000" w:rsidDel="00000000" w:rsidP="00000000" w:rsidRDefault="00000000" w:rsidRPr="00000000" w14:paraId="000001DC">
      <w:pPr>
        <w:widowControl w:val="0"/>
        <w:spacing w:line="360" w:lineRule="auto"/>
        <w:rPr/>
      </w:pPr>
      <w:r w:rsidDel="00000000" w:rsidR="00000000" w:rsidRPr="00000000">
        <w:rPr>
          <w:rtl w:val="0"/>
        </w:rPr>
        <w:t xml:space="preserve">Kaštelan, S. </w:t>
      </w:r>
      <w:r w:rsidDel="00000000" w:rsidR="00000000" w:rsidRPr="00000000">
        <w:rPr>
          <w:i w:val="1"/>
          <w:iCs w:val="1"/>
          <w:rtl w:val="0"/>
        </w:rPr>
        <w:t xml:space="preserve">et al.</w:t>
      </w:r>
      <w:r w:rsidDel="00000000" w:rsidR="00000000" w:rsidRPr="00000000">
        <w:rPr>
          <w:rtl w:val="0"/>
        </w:rPr>
        <w:t xml:space="preserve"> (2013) ‘Body mass index: A risk factor for retinopathy in type 2 diabetic patients’, </w:t>
      </w:r>
      <w:r w:rsidDel="00000000" w:rsidR="00000000" w:rsidRPr="00000000">
        <w:rPr>
          <w:i w:val="1"/>
          <w:iCs w:val="1"/>
          <w:rtl w:val="0"/>
        </w:rPr>
        <w:t xml:space="preserve">Mediators of Inflammation</w:t>
      </w:r>
      <w:r w:rsidDel="00000000" w:rsidR="00000000" w:rsidRPr="00000000">
        <w:rPr>
          <w:rtl w:val="0"/>
        </w:rPr>
        <w:t xml:space="preserve">, 2013. Available at: https://doi.org/10.1155/2013/436329.</w:t>
      </w:r>
    </w:p>
    <w:p w:rsidR="00000000" w:rsidDel="00000000" w:rsidP="00000000" w:rsidRDefault="00000000" w:rsidRPr="00000000" w14:paraId="000001DD">
      <w:pPr>
        <w:widowControl w:val="0"/>
        <w:spacing w:line="360" w:lineRule="auto"/>
        <w:rPr/>
      </w:pPr>
      <w:r w:rsidDel="00000000" w:rsidR="00000000" w:rsidRPr="00000000">
        <w:rPr>
          <w:rtl w:val="0"/>
        </w:rPr>
        <w:t xml:space="preserve">Kolli, S., Endreddy, A.R. and Reddy, V. (2015) ‘Study of Association of Diabetic Maculopathy With Hyperlipidemia’, </w:t>
      </w:r>
      <w:r w:rsidDel="00000000" w:rsidR="00000000" w:rsidRPr="00000000">
        <w:rPr>
          <w:i w:val="1"/>
          <w:iCs w:val="1"/>
          <w:rtl w:val="0"/>
        </w:rPr>
        <w:t xml:space="preserve">Journal of Evolution of Medical and Dental Sciences</w:t>
      </w:r>
      <w:r w:rsidDel="00000000" w:rsidR="00000000" w:rsidRPr="00000000">
        <w:rPr>
          <w:rtl w:val="0"/>
        </w:rPr>
        <w:t xml:space="preserve">, 4(100), pp. 16506–16509. Available at: https://doi.org/10.14260/jemds/2015/2454.</w:t>
      </w:r>
    </w:p>
    <w:p w:rsidR="00000000" w:rsidDel="00000000" w:rsidP="00000000" w:rsidRDefault="00000000" w:rsidRPr="00000000" w14:paraId="000001DE">
      <w:pPr>
        <w:widowControl w:val="0"/>
        <w:spacing w:line="360" w:lineRule="auto"/>
        <w:rPr/>
      </w:pPr>
      <w:r w:rsidDel="00000000" w:rsidR="00000000" w:rsidRPr="00000000">
        <w:rPr>
          <w:rtl w:val="0"/>
        </w:rPr>
        <w:t xml:space="preserve">Pandey, N. (2021) ‘Influence of serum lipids on clinically significant macular edema in type 2 diabetic retinopathy cases’, 7(1), pp. 82–88.</w:t>
      </w:r>
    </w:p>
    <w:p w:rsidR="00000000" w:rsidDel="00000000" w:rsidP="00000000" w:rsidRDefault="00000000" w:rsidRPr="00000000" w14:paraId="000001DF">
      <w:pPr>
        <w:widowControl w:val="0"/>
        <w:spacing w:line="360" w:lineRule="auto"/>
        <w:rPr/>
      </w:pPr>
      <w:r w:rsidDel="00000000" w:rsidR="00000000" w:rsidRPr="00000000">
        <w:rPr>
          <w:rtl w:val="0"/>
        </w:rPr>
        <w:t xml:space="preserve">Parveen, N. </w:t>
      </w:r>
      <w:r w:rsidDel="00000000" w:rsidR="00000000" w:rsidRPr="00000000">
        <w:rPr>
          <w:i w:val="1"/>
          <w:iCs w:val="1"/>
          <w:rtl w:val="0"/>
        </w:rPr>
        <w:t xml:space="preserve">et al.</w:t>
      </w:r>
      <w:r w:rsidDel="00000000" w:rsidR="00000000" w:rsidRPr="00000000">
        <w:rPr>
          <w:rtl w:val="0"/>
        </w:rPr>
        <w:t xml:space="preserve"> (2021) ‘Association of diabetic retinopathy with dyslipidemia : a multicenter study Association of diabetic retinopathy with dyslipidemia : a multicenter study’, (June).</w:t>
      </w:r>
    </w:p>
    <w:p w:rsidR="00000000" w:rsidDel="00000000" w:rsidP="00000000" w:rsidRDefault="00000000" w:rsidRPr="00000000" w14:paraId="000001E0">
      <w:pPr>
        <w:widowControl w:val="0"/>
        <w:spacing w:line="360" w:lineRule="auto"/>
        <w:rPr/>
      </w:pPr>
      <w:r w:rsidDel="00000000" w:rsidR="00000000" w:rsidRPr="00000000">
        <w:rPr>
          <w:rtl w:val="0"/>
        </w:rPr>
        <w:t xml:space="preserve">Raman, R. </w:t>
      </w:r>
      <w:r w:rsidDel="00000000" w:rsidR="00000000" w:rsidRPr="00000000">
        <w:rPr>
          <w:i w:val="1"/>
          <w:iCs w:val="1"/>
          <w:rtl w:val="0"/>
        </w:rPr>
        <w:t xml:space="preserve">et al.</w:t>
      </w:r>
      <w:r w:rsidDel="00000000" w:rsidR="00000000" w:rsidRPr="00000000">
        <w:rPr>
          <w:rtl w:val="0"/>
        </w:rPr>
        <w:t xml:space="preserve"> (2025) ‘Diabetic macular oedema (DMO): an introduction’, 37(125). Available at: https://doi.org/10.1159/000508335.2.</w:t>
      </w:r>
    </w:p>
    <w:p w:rsidR="00000000" w:rsidDel="00000000" w:rsidP="00000000" w:rsidRDefault="00000000" w:rsidRPr="00000000" w14:paraId="000001E1">
      <w:pPr>
        <w:widowControl w:val="0"/>
        <w:spacing w:line="360" w:lineRule="auto"/>
        <w:rPr/>
      </w:pPr>
      <w:r w:rsidDel="00000000" w:rsidR="00000000" w:rsidRPr="00000000">
        <w:rPr>
          <w:rtl w:val="0"/>
        </w:rPr>
        <w:t xml:space="preserve">S, K.S., S.S, B. and M.K., B. (2021) ‘An Observational Study on the Association between Diabetic Retinopathy and Serum Lipid Levels in a Tertiary Centre in Thiruvananthapuram’, </w:t>
      </w:r>
      <w:r w:rsidDel="00000000" w:rsidR="00000000" w:rsidRPr="00000000">
        <w:rPr>
          <w:i w:val="1"/>
          <w:iCs w:val="1"/>
          <w:rtl w:val="0"/>
        </w:rPr>
        <w:t xml:space="preserve">Journal of Evidence Based Medicine and Healthcare</w:t>
      </w:r>
      <w:r w:rsidDel="00000000" w:rsidR="00000000" w:rsidRPr="00000000">
        <w:rPr>
          <w:rtl w:val="0"/>
        </w:rPr>
        <w:t xml:space="preserve">, 8(03), pp. 131–135. Available at: https://doi.org/10.18410/jebmh/2021/25.</w:t>
      </w:r>
    </w:p>
    <w:p w:rsidR="00000000" w:rsidDel="00000000" w:rsidP="00000000" w:rsidRDefault="00000000" w:rsidRPr="00000000" w14:paraId="000001E2">
      <w:pPr>
        <w:widowControl w:val="0"/>
        <w:spacing w:line="360" w:lineRule="auto"/>
        <w:rPr/>
      </w:pPr>
      <w:r w:rsidDel="00000000" w:rsidR="00000000" w:rsidRPr="00000000">
        <w:rPr>
          <w:rtl w:val="0"/>
        </w:rPr>
        <w:t xml:space="preserve">Sajjan, N. and Shamsuddin, M. (2016) ‘A study of serum magnesium and dyslipidemia in type 2 diabetes mellitus patients’, </w:t>
      </w:r>
      <w:r w:rsidDel="00000000" w:rsidR="00000000" w:rsidRPr="00000000">
        <w:rPr>
          <w:i w:val="1"/>
          <w:iCs w:val="1"/>
          <w:rtl w:val="0"/>
        </w:rPr>
        <w:t xml:space="preserve">International Journal of Clinical Biochemistry and Research</w:t>
      </w:r>
      <w:r w:rsidDel="00000000" w:rsidR="00000000" w:rsidRPr="00000000">
        <w:rPr>
          <w:rtl w:val="0"/>
        </w:rPr>
        <w:t xml:space="preserve">, 3(1), p. 36. Available at: https://doi.org/10.5958/2394-6377.2016.00007.1.</w:t>
      </w:r>
    </w:p>
    <w:p w:rsidR="00000000" w:rsidDel="00000000" w:rsidP="00000000" w:rsidRDefault="00000000" w:rsidRPr="00000000" w14:paraId="000001E3">
      <w:pPr>
        <w:widowControl w:val="0"/>
        <w:spacing w:line="360" w:lineRule="auto"/>
        <w:rPr/>
      </w:pPr>
      <w:r w:rsidDel="00000000" w:rsidR="00000000" w:rsidRPr="00000000">
        <w:rPr>
          <w:rtl w:val="0"/>
        </w:rPr>
        <w:t xml:space="preserve">Syndrome, M. </w:t>
      </w:r>
      <w:r w:rsidDel="00000000" w:rsidR="00000000" w:rsidRPr="00000000">
        <w:rPr>
          <w:i w:val="1"/>
          <w:iCs w:val="1"/>
          <w:rtl w:val="0"/>
        </w:rPr>
        <w:t xml:space="preserve">et al.</w:t>
      </w:r>
      <w:r w:rsidDel="00000000" w:rsidR="00000000" w:rsidRPr="00000000">
        <w:rPr>
          <w:rtl w:val="0"/>
        </w:rPr>
        <w:t xml:space="preserve"> (2020) ‘Prevalence of Diabetic Retinopathy and Its Associated Factors among Diabetic Patients at Debre Markos Referral Hospital , Northwest Study’, pp. 2179–2187.</w:t>
      </w:r>
    </w:p>
    <w:p w:rsidR="00000000" w:rsidDel="00000000" w:rsidP="00000000" w:rsidRDefault="00000000" w:rsidRPr="00000000" w14:paraId="000001E4">
      <w:pPr>
        <w:widowControl w:val="0"/>
        <w:spacing w:line="360" w:lineRule="auto"/>
        <w:rPr/>
      </w:pPr>
      <w:r w:rsidDel="00000000" w:rsidR="00000000" w:rsidRPr="00000000">
        <w:rPr>
          <w:rtl w:val="0"/>
        </w:rPr>
      </w:r>
    </w:p>
    <w:p w:rsidR="00000000" w:rsidDel="00000000" w:rsidP="00000000" w:rsidRDefault="00000000" w:rsidRPr="00000000" w14:paraId="000001E5">
      <w:pPr>
        <w:spacing w:line="360" w:lineRule="auto"/>
        <w:jc w:val="both"/>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9" w:w="11907"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Gungsuh"/>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ict>
        <v:shape id="PowerPlusWaterMarkObject3" style="position:absolute;width:571.7999212598424pt;height:64.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Times New Roman&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ict>
        <v:shape id="PowerPlusWaterMarkObject1" style="position:absolute;width:571.7999212598424pt;height:64.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Times New Roman&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ict>
        <v:shape id="PowerPlusWaterMarkObject2" style="position:absolute;width:571.7999212598424pt;height:64.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Times New Roman&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360" w:lineRule="auto"/>
      <w:jc w:val="center"/>
    </w:pPr>
    <w:rPr>
      <w:b w:val="1"/>
      <w:bCs w:val="1"/>
    </w:rPr>
  </w:style>
  <w:style w:type="paragraph" w:styleId="Heading2">
    <w:name w:val="heading 2"/>
    <w:basedOn w:val="Normal"/>
    <w:next w:val="Normal"/>
    <w:pPr>
      <w:keepNext w:val="1"/>
      <w:keepLines w:val="1"/>
      <w:spacing w:before="240" w:line="360" w:lineRule="auto"/>
      <w:jc w:val="both"/>
    </w:pPr>
    <w:rPr>
      <w:b w:val="1"/>
      <w:bCs w:val="1"/>
      <w:color w:val="000000"/>
    </w:rPr>
  </w:style>
  <w:style w:type="paragraph" w:styleId="Heading3">
    <w:name w:val="heading 3"/>
    <w:basedOn w:val="Normal"/>
    <w:next w:val="Normal"/>
    <w:pPr>
      <w:keepNext w:val="1"/>
      <w:keepLines w:val="1"/>
      <w:spacing w:before="240" w:line="360" w:lineRule="auto"/>
      <w:jc w:val="both"/>
    </w:pPr>
    <w:rPr>
      <w:b w:val="1"/>
      <w:bCs w:val="1"/>
      <w:color w:val="000000"/>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A2" w:customStyle="1">
    <w:name w:val="A2"/>
    <w:uiPriority w:val="99"/>
    <w:rsid w:val="00B9575B"/>
    <w:rPr>
      <w:rFonts w:cs="Minion Pro"/>
      <w:color w:val="000000"/>
      <w:sz w:val="18"/>
      <w:szCs w:val="18"/>
    </w:rPr>
  </w:style>
  <w:style w:type="paragraph" w:styleId="BalloonText">
    <w:name w:val="Balloon Text"/>
    <w:basedOn w:val="Normal"/>
    <w:link w:val="BalloonTextChar"/>
    <w:uiPriority w:val="99"/>
    <w:semiHidden w:val="1"/>
    <w:unhideWhenUsed w:val="1"/>
    <w:rsid w:val="00B13BC1"/>
    <w:rPr>
      <w:sz w:val="18"/>
      <w:szCs w:val="18"/>
      <w:lang w:eastAsia="en-GB"/>
    </w:rPr>
  </w:style>
  <w:style w:type="character" w:styleId="BalloonTextChar" w:customStyle="1">
    <w:name w:val="Balloon Text Char"/>
    <w:basedOn w:val="DefaultParagraphFont"/>
    <w:link w:val="BalloonText"/>
    <w:uiPriority w:val="99"/>
    <w:semiHidden w:val="1"/>
    <w:rsid w:val="00B13BC1"/>
    <w:rPr>
      <w:rFonts w:ascii="Times New Roman" w:cs="Times New Roman" w:hAnsi="Times New Roman"/>
      <w:sz w:val="18"/>
      <w:szCs w:val="18"/>
    </w:rPr>
  </w:style>
  <w:style w:type="paragraph" w:styleId="Default" w:customStyle="1">
    <w:name w:val="Default"/>
    <w:rsid w:val="00087A17"/>
    <w:pPr>
      <w:autoSpaceDE w:val="0"/>
      <w:autoSpaceDN w:val="0"/>
      <w:adjustRightInd w:val="0"/>
    </w:pPr>
    <w:rPr>
      <w:rFonts w:ascii="Helvetica" w:cs="Helvetica" w:hAnsi="Helvetica"/>
      <w:color w:val="000000"/>
      <w:lang w:val="en-GB"/>
    </w:rPr>
  </w:style>
  <w:style w:type="paragraph" w:styleId="ListParagraph">
    <w:name w:val="List Paragraph"/>
    <w:basedOn w:val="Normal"/>
    <w:uiPriority w:val="34"/>
    <w:qFormat w:val="1"/>
    <w:rsid w:val="00D167D2"/>
    <w:pPr>
      <w:ind w:left="720"/>
      <w:contextualSpacing w:val="1"/>
    </w:pPr>
    <w:rPr>
      <w:lang w:eastAsia="en-GB"/>
    </w:rPr>
  </w:style>
  <w:style w:type="paragraph" w:styleId="NoSpacing">
    <w:name w:val="No Spacing"/>
    <w:uiPriority w:val="1"/>
    <w:qFormat w:val="1"/>
    <w:rsid w:val="00B04AE3"/>
    <w:rPr>
      <w:sz w:val="22"/>
      <w:szCs w:val="22"/>
    </w:rPr>
  </w:style>
  <w:style w:type="character" w:styleId="Heading1Char" w:customStyle="1">
    <w:name w:val="Heading 1 Char"/>
    <w:basedOn w:val="DefaultParagraphFont"/>
    <w:link w:val="Heading1"/>
    <w:uiPriority w:val="9"/>
    <w:rsid w:val="00035DBF"/>
    <w:rPr>
      <w:rFonts w:ascii="Times New Roman" w:cs="Times New Roman" w:eastAsia="Times New Roman" w:hAnsi="Times New Roman"/>
      <w:b w:val="1"/>
      <w:bCs w:val="1"/>
      <w:lang w:eastAsia="en-GB" w:val="en-US"/>
    </w:rPr>
  </w:style>
  <w:style w:type="character" w:styleId="A0" w:customStyle="1">
    <w:name w:val="A0"/>
    <w:uiPriority w:val="99"/>
    <w:rsid w:val="00BA7AC9"/>
    <w:rPr>
      <w:color w:val="000000"/>
      <w:sz w:val="17"/>
      <w:szCs w:val="17"/>
    </w:rPr>
  </w:style>
  <w:style w:type="character" w:styleId="A3" w:customStyle="1">
    <w:name w:val="A3"/>
    <w:uiPriority w:val="99"/>
    <w:rsid w:val="00DE0E5B"/>
    <w:rPr>
      <w:b w:val="1"/>
      <w:bCs w:val="1"/>
      <w:color w:val="000000"/>
      <w:sz w:val="32"/>
      <w:szCs w:val="32"/>
    </w:rPr>
  </w:style>
  <w:style w:type="character" w:styleId="A4" w:customStyle="1">
    <w:name w:val="A4"/>
    <w:uiPriority w:val="99"/>
    <w:rsid w:val="005E7320"/>
    <w:rPr>
      <w:color w:val="000000"/>
      <w:sz w:val="36"/>
      <w:szCs w:val="36"/>
    </w:rPr>
  </w:style>
  <w:style w:type="character" w:styleId="A8" w:customStyle="1">
    <w:name w:val="A8"/>
    <w:uiPriority w:val="99"/>
    <w:rsid w:val="005E7320"/>
    <w:rPr>
      <w:rFonts w:ascii="Calibri" w:cs="Calibri" w:hAnsi="Calibri"/>
      <w:b w:val="1"/>
      <w:bCs w:val="1"/>
      <w:color w:val="000000"/>
      <w:sz w:val="17"/>
      <w:szCs w:val="17"/>
    </w:rPr>
  </w:style>
  <w:style w:type="character" w:styleId="Heading2Char" w:customStyle="1">
    <w:name w:val="Heading 2 Char"/>
    <w:basedOn w:val="DefaultParagraphFont"/>
    <w:link w:val="Heading2"/>
    <w:uiPriority w:val="9"/>
    <w:rsid w:val="008A4DE1"/>
    <w:rPr>
      <w:rFonts w:ascii="Times New Roman" w:cs="Times New Roman" w:eastAsia="Calibri" w:hAnsi="Times New Roman"/>
      <w:b w:val="1"/>
      <w:bCs w:val="1"/>
      <w:color w:val="000000" w:themeColor="text1"/>
      <w:lang w:eastAsia="en-GB" w:val="en-US"/>
    </w:rPr>
  </w:style>
  <w:style w:type="character" w:styleId="Heading3Char" w:customStyle="1">
    <w:name w:val="Heading 3 Char"/>
    <w:basedOn w:val="DefaultParagraphFont"/>
    <w:link w:val="Heading3"/>
    <w:uiPriority w:val="9"/>
    <w:rsid w:val="00035DBF"/>
    <w:rPr>
      <w:rFonts w:ascii="Times New Roman" w:cs="Times New Roman" w:eastAsia="Calibri" w:hAnsi="Times New Roman"/>
      <w:b w:val="1"/>
      <w:bCs w:val="1"/>
      <w:color w:val="000000" w:themeColor="text1"/>
      <w:lang w:eastAsia="en-GB" w:val="en-US"/>
    </w:rPr>
  </w:style>
  <w:style w:type="character" w:styleId="multisyn" w:customStyle="1">
    <w:name w:val="multi_syn"/>
    <w:basedOn w:val="DefaultParagraphFont"/>
    <w:rsid w:val="001F24FB"/>
  </w:style>
  <w:style w:type="character" w:styleId="singlesyn" w:customStyle="1">
    <w:name w:val="single_syn"/>
    <w:basedOn w:val="DefaultParagraphFont"/>
    <w:rsid w:val="001F24FB"/>
  </w:style>
  <w:style w:type="paragraph" w:styleId="z-TopofForm">
    <w:name w:val="HTML Top of Form"/>
    <w:basedOn w:val="Normal"/>
    <w:next w:val="Normal"/>
    <w:link w:val="z-TopofFormChar"/>
    <w:hidden w:val="1"/>
    <w:uiPriority w:val="99"/>
    <w:semiHidden w:val="1"/>
    <w:unhideWhenUsed w:val="1"/>
    <w:rsid w:val="0053309F"/>
    <w:pPr>
      <w:pBdr>
        <w:bottom w:color="auto" w:space="1" w:sz="6" w:val="single"/>
      </w:pBdr>
      <w:jc w:val="center"/>
    </w:pPr>
    <w:rPr>
      <w:rFonts w:ascii="Arial" w:cs="Arial" w:hAnsi="Arial"/>
      <w:vanish w:val="1"/>
      <w:sz w:val="16"/>
      <w:szCs w:val="16"/>
      <w:lang w:eastAsia="en-GB"/>
    </w:rPr>
  </w:style>
  <w:style w:type="character" w:styleId="z-TopofFormChar" w:customStyle="1">
    <w:name w:val="z-Top of Form Char"/>
    <w:basedOn w:val="DefaultParagraphFont"/>
    <w:link w:val="z-TopofForm"/>
    <w:uiPriority w:val="99"/>
    <w:semiHidden w:val="1"/>
    <w:rsid w:val="0053309F"/>
    <w:rPr>
      <w:rFonts w:ascii="Arial" w:cs="Arial" w:eastAsia="Times New Roman" w:hAnsi="Arial"/>
      <w:vanish w:val="1"/>
      <w:sz w:val="16"/>
      <w:szCs w:val="16"/>
      <w:lang w:eastAsia="en-GB"/>
    </w:rPr>
  </w:style>
  <w:style w:type="character" w:styleId="Emphasis">
    <w:name w:val="Emphasis"/>
    <w:basedOn w:val="DefaultParagraphFont"/>
    <w:uiPriority w:val="20"/>
    <w:qFormat w:val="1"/>
    <w:rsid w:val="0053309F"/>
    <w:rPr>
      <w:i w:val="1"/>
      <w:iCs w:val="1"/>
    </w:rPr>
  </w:style>
  <w:style w:type="paragraph" w:styleId="z-BottomofForm">
    <w:name w:val="HTML Bottom of Form"/>
    <w:basedOn w:val="Normal"/>
    <w:next w:val="Normal"/>
    <w:link w:val="z-BottomofFormChar"/>
    <w:hidden w:val="1"/>
    <w:uiPriority w:val="99"/>
    <w:semiHidden w:val="1"/>
    <w:unhideWhenUsed w:val="1"/>
    <w:rsid w:val="0053309F"/>
    <w:pPr>
      <w:pBdr>
        <w:top w:color="auto" w:space="1" w:sz="6" w:val="single"/>
      </w:pBdr>
      <w:jc w:val="center"/>
    </w:pPr>
    <w:rPr>
      <w:rFonts w:ascii="Arial" w:cs="Arial" w:hAnsi="Arial"/>
      <w:vanish w:val="1"/>
      <w:sz w:val="16"/>
      <w:szCs w:val="16"/>
      <w:lang w:eastAsia="en-GB"/>
    </w:rPr>
  </w:style>
  <w:style w:type="character" w:styleId="z-BottomofFormChar" w:customStyle="1">
    <w:name w:val="z-Bottom of Form Char"/>
    <w:basedOn w:val="DefaultParagraphFont"/>
    <w:link w:val="z-BottomofForm"/>
    <w:uiPriority w:val="99"/>
    <w:semiHidden w:val="1"/>
    <w:rsid w:val="0053309F"/>
    <w:rPr>
      <w:rFonts w:ascii="Arial" w:cs="Arial" w:eastAsia="Times New Roman" w:hAnsi="Arial"/>
      <w:vanish w:val="1"/>
      <w:sz w:val="16"/>
      <w:szCs w:val="16"/>
      <w:lang w:eastAsia="en-GB"/>
    </w:rPr>
  </w:style>
  <w:style w:type="character" w:styleId="sw" w:customStyle="1">
    <w:name w:val="sw"/>
    <w:basedOn w:val="DefaultParagraphFont"/>
    <w:rsid w:val="0053309F"/>
  </w:style>
  <w:style w:type="character" w:styleId="words" w:customStyle="1">
    <w:name w:val="words"/>
    <w:basedOn w:val="DefaultParagraphFont"/>
    <w:rsid w:val="00F23625"/>
  </w:style>
  <w:style w:type="table" w:styleId="TableGrid">
    <w:name w:val="Table Grid"/>
    <w:basedOn w:val="TableNormal"/>
    <w:uiPriority w:val="39"/>
    <w:rsid w:val="00164923"/>
    <w:rPr>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1029B7"/>
    <w:rPr>
      <w:color w:val="808080"/>
    </w:rPr>
  </w:style>
  <w:style w:type="paragraph" w:styleId="Header">
    <w:name w:val="header"/>
    <w:basedOn w:val="Normal"/>
    <w:link w:val="HeaderChar"/>
    <w:uiPriority w:val="99"/>
    <w:unhideWhenUsed w:val="1"/>
    <w:rsid w:val="004B78A7"/>
    <w:pPr>
      <w:tabs>
        <w:tab w:val="center" w:pos="4513"/>
        <w:tab w:val="right" w:pos="9026"/>
      </w:tabs>
    </w:pPr>
    <w:rPr>
      <w:lang w:eastAsia="en-GB"/>
    </w:rPr>
  </w:style>
  <w:style w:type="character" w:styleId="HeaderChar" w:customStyle="1">
    <w:name w:val="Header Char"/>
    <w:basedOn w:val="DefaultParagraphFont"/>
    <w:link w:val="Header"/>
    <w:uiPriority w:val="99"/>
    <w:rsid w:val="004B78A7"/>
    <w:rPr>
      <w:rFonts w:ascii="Times New Roman" w:cs="Times New Roman" w:eastAsia="Times New Roman" w:hAnsi="Times New Roman"/>
      <w:lang w:eastAsia="en-GB"/>
    </w:rPr>
  </w:style>
  <w:style w:type="paragraph" w:styleId="Footer">
    <w:name w:val="footer"/>
    <w:basedOn w:val="Normal"/>
    <w:link w:val="FooterChar"/>
    <w:uiPriority w:val="99"/>
    <w:unhideWhenUsed w:val="1"/>
    <w:rsid w:val="004B78A7"/>
    <w:pPr>
      <w:tabs>
        <w:tab w:val="center" w:pos="4513"/>
        <w:tab w:val="right" w:pos="9026"/>
      </w:tabs>
    </w:pPr>
    <w:rPr>
      <w:lang w:eastAsia="en-GB"/>
    </w:rPr>
  </w:style>
  <w:style w:type="character" w:styleId="FooterChar" w:customStyle="1">
    <w:name w:val="Footer Char"/>
    <w:basedOn w:val="DefaultParagraphFont"/>
    <w:link w:val="Footer"/>
    <w:uiPriority w:val="99"/>
    <w:rsid w:val="004B78A7"/>
    <w:rPr>
      <w:rFonts w:ascii="Times New Roman" w:cs="Times New Roman" w:eastAsia="Times New Roman" w:hAnsi="Times New Roman"/>
      <w:lang w:eastAsia="en-GB"/>
    </w:rPr>
  </w:style>
  <w:style w:type="character" w:styleId="PageNumber">
    <w:name w:val="page number"/>
    <w:basedOn w:val="DefaultParagraphFont"/>
    <w:uiPriority w:val="99"/>
    <w:semiHidden w:val="1"/>
    <w:unhideWhenUsed w:val="1"/>
    <w:rsid w:val="004B78A7"/>
  </w:style>
  <w:style w:type="paragraph" w:styleId="TOCHeading">
    <w:name w:val="TOC Heading"/>
    <w:basedOn w:val="Heading1"/>
    <w:next w:val="Normal"/>
    <w:uiPriority w:val="39"/>
    <w:unhideWhenUsed w:val="1"/>
    <w:qFormat w:val="1"/>
    <w:rsid w:val="00236F22"/>
    <w:pPr>
      <w:keepNext w:val="1"/>
      <w:keepLines w:val="1"/>
      <w:spacing w:before="480" w:line="276" w:lineRule="auto"/>
      <w:jc w:val="left"/>
      <w:outlineLvl w:val="9"/>
    </w:pPr>
    <w:rPr>
      <w:rFonts w:asciiTheme="majorHAnsi" w:cstheme="majorBidi" w:eastAsiaTheme="majorEastAsia" w:hAnsiTheme="majorHAnsi"/>
      <w:color w:val="2f5496" w:themeColor="accent1" w:themeShade="0000BF"/>
      <w:sz w:val="28"/>
      <w:szCs w:val="28"/>
      <w:lang w:eastAsia="en-US"/>
    </w:rPr>
  </w:style>
  <w:style w:type="paragraph" w:styleId="TOC1">
    <w:name w:val="toc 1"/>
    <w:basedOn w:val="Normal"/>
    <w:next w:val="Normal"/>
    <w:autoRedefine w:val="1"/>
    <w:uiPriority w:val="39"/>
    <w:unhideWhenUsed w:val="1"/>
    <w:rsid w:val="00236F22"/>
    <w:pPr>
      <w:spacing w:before="120"/>
    </w:pPr>
    <w:rPr>
      <w:rFonts w:asciiTheme="minorHAnsi" w:hAnsiTheme="minorHAnsi"/>
      <w:b w:val="1"/>
      <w:bCs w:val="1"/>
      <w:i w:val="1"/>
      <w:iCs w:val="1"/>
      <w:lang w:eastAsia="en-GB"/>
    </w:rPr>
  </w:style>
  <w:style w:type="paragraph" w:styleId="TOC2">
    <w:name w:val="toc 2"/>
    <w:basedOn w:val="Normal"/>
    <w:next w:val="Normal"/>
    <w:autoRedefine w:val="1"/>
    <w:uiPriority w:val="39"/>
    <w:unhideWhenUsed w:val="1"/>
    <w:rsid w:val="00236F22"/>
    <w:pPr>
      <w:spacing w:before="120"/>
      <w:ind w:left="240"/>
    </w:pPr>
    <w:rPr>
      <w:rFonts w:asciiTheme="minorHAnsi" w:hAnsiTheme="minorHAnsi"/>
      <w:b w:val="1"/>
      <w:bCs w:val="1"/>
      <w:sz w:val="22"/>
      <w:szCs w:val="22"/>
      <w:lang w:eastAsia="en-GB"/>
    </w:rPr>
  </w:style>
  <w:style w:type="paragraph" w:styleId="TOC3">
    <w:name w:val="toc 3"/>
    <w:basedOn w:val="Normal"/>
    <w:next w:val="Normal"/>
    <w:autoRedefine w:val="1"/>
    <w:uiPriority w:val="39"/>
    <w:unhideWhenUsed w:val="1"/>
    <w:rsid w:val="00236F22"/>
    <w:pPr>
      <w:ind w:left="480"/>
    </w:pPr>
    <w:rPr>
      <w:rFonts w:asciiTheme="minorHAnsi" w:hAnsiTheme="minorHAnsi"/>
      <w:sz w:val="20"/>
      <w:szCs w:val="20"/>
      <w:lang w:eastAsia="en-GB"/>
    </w:rPr>
  </w:style>
  <w:style w:type="character" w:styleId="Hyperlink">
    <w:name w:val="Hyperlink"/>
    <w:basedOn w:val="DefaultParagraphFont"/>
    <w:uiPriority w:val="99"/>
    <w:unhideWhenUsed w:val="1"/>
    <w:rsid w:val="00236F22"/>
    <w:rPr>
      <w:color w:val="0563c1" w:themeColor="hyperlink"/>
      <w:u w:val="single"/>
    </w:rPr>
  </w:style>
  <w:style w:type="paragraph" w:styleId="TOC4">
    <w:name w:val="toc 4"/>
    <w:basedOn w:val="Normal"/>
    <w:next w:val="Normal"/>
    <w:autoRedefine w:val="1"/>
    <w:uiPriority w:val="39"/>
    <w:semiHidden w:val="1"/>
    <w:unhideWhenUsed w:val="1"/>
    <w:rsid w:val="00236F22"/>
    <w:pPr>
      <w:ind w:left="720"/>
    </w:pPr>
    <w:rPr>
      <w:rFonts w:asciiTheme="minorHAnsi" w:hAnsiTheme="minorHAnsi"/>
      <w:sz w:val="20"/>
      <w:szCs w:val="20"/>
      <w:lang w:eastAsia="en-GB"/>
    </w:rPr>
  </w:style>
  <w:style w:type="paragraph" w:styleId="TOC5">
    <w:name w:val="toc 5"/>
    <w:basedOn w:val="Normal"/>
    <w:next w:val="Normal"/>
    <w:autoRedefine w:val="1"/>
    <w:uiPriority w:val="39"/>
    <w:semiHidden w:val="1"/>
    <w:unhideWhenUsed w:val="1"/>
    <w:rsid w:val="00236F22"/>
    <w:pPr>
      <w:ind w:left="960"/>
    </w:pPr>
    <w:rPr>
      <w:rFonts w:asciiTheme="minorHAnsi" w:hAnsiTheme="minorHAnsi"/>
      <w:sz w:val="20"/>
      <w:szCs w:val="20"/>
      <w:lang w:eastAsia="en-GB"/>
    </w:rPr>
  </w:style>
  <w:style w:type="paragraph" w:styleId="TOC6">
    <w:name w:val="toc 6"/>
    <w:basedOn w:val="Normal"/>
    <w:next w:val="Normal"/>
    <w:autoRedefine w:val="1"/>
    <w:uiPriority w:val="39"/>
    <w:semiHidden w:val="1"/>
    <w:unhideWhenUsed w:val="1"/>
    <w:rsid w:val="00236F22"/>
    <w:pPr>
      <w:ind w:left="1200"/>
    </w:pPr>
    <w:rPr>
      <w:rFonts w:asciiTheme="minorHAnsi" w:hAnsiTheme="minorHAnsi"/>
      <w:sz w:val="20"/>
      <w:szCs w:val="20"/>
      <w:lang w:eastAsia="en-GB"/>
    </w:rPr>
  </w:style>
  <w:style w:type="paragraph" w:styleId="TOC7">
    <w:name w:val="toc 7"/>
    <w:basedOn w:val="Normal"/>
    <w:next w:val="Normal"/>
    <w:autoRedefine w:val="1"/>
    <w:uiPriority w:val="39"/>
    <w:semiHidden w:val="1"/>
    <w:unhideWhenUsed w:val="1"/>
    <w:rsid w:val="00236F22"/>
    <w:pPr>
      <w:ind w:left="1440"/>
    </w:pPr>
    <w:rPr>
      <w:rFonts w:asciiTheme="minorHAnsi" w:hAnsiTheme="minorHAnsi"/>
      <w:sz w:val="20"/>
      <w:szCs w:val="20"/>
      <w:lang w:eastAsia="en-GB"/>
    </w:rPr>
  </w:style>
  <w:style w:type="paragraph" w:styleId="TOC8">
    <w:name w:val="toc 8"/>
    <w:basedOn w:val="Normal"/>
    <w:next w:val="Normal"/>
    <w:autoRedefine w:val="1"/>
    <w:uiPriority w:val="39"/>
    <w:semiHidden w:val="1"/>
    <w:unhideWhenUsed w:val="1"/>
    <w:rsid w:val="00236F22"/>
    <w:pPr>
      <w:ind w:left="1680"/>
    </w:pPr>
    <w:rPr>
      <w:rFonts w:asciiTheme="minorHAnsi" w:hAnsiTheme="minorHAnsi"/>
      <w:sz w:val="20"/>
      <w:szCs w:val="20"/>
      <w:lang w:eastAsia="en-GB"/>
    </w:rPr>
  </w:style>
  <w:style w:type="paragraph" w:styleId="TOC9">
    <w:name w:val="toc 9"/>
    <w:basedOn w:val="Normal"/>
    <w:next w:val="Normal"/>
    <w:autoRedefine w:val="1"/>
    <w:uiPriority w:val="39"/>
    <w:semiHidden w:val="1"/>
    <w:unhideWhenUsed w:val="1"/>
    <w:rsid w:val="00236F22"/>
    <w:pPr>
      <w:ind w:left="1920"/>
    </w:pPr>
    <w:rPr>
      <w:rFonts w:asciiTheme="minorHAnsi" w:hAnsiTheme="minorHAnsi"/>
      <w:sz w:val="20"/>
      <w:szCs w:val="20"/>
      <w:lang w:eastAsia="en-GB"/>
    </w:rPr>
  </w:style>
  <w:style w:type="character" w:styleId="multisentence" w:customStyle="1">
    <w:name w:val="multisentence"/>
    <w:basedOn w:val="DefaultParagraphFont"/>
    <w:rsid w:val="00D87A62"/>
  </w:style>
  <w:style w:type="paragraph" w:styleId="NormalWeb">
    <w:name w:val="Normal (Web)"/>
    <w:basedOn w:val="Normal"/>
    <w:uiPriority w:val="99"/>
    <w:semiHidden w:val="1"/>
    <w:unhideWhenUsed w:val="1"/>
    <w:rsid w:val="00EE59E9"/>
    <w:pPr>
      <w:spacing w:after="100" w:afterAutospacing="1" w:before="100" w:beforeAutospacing="1"/>
    </w:pPr>
    <w:rPr>
      <w:lang w:eastAsia="en-GB"/>
    </w:rPr>
  </w:style>
  <w:style w:type="paragraph" w:styleId="Caption">
    <w:name w:val="caption"/>
    <w:basedOn w:val="Normal"/>
    <w:next w:val="Normal"/>
    <w:uiPriority w:val="35"/>
    <w:unhideWhenUsed w:val="1"/>
    <w:qFormat w:val="1"/>
    <w:rsid w:val="00D92CD9"/>
    <w:pPr>
      <w:spacing w:before="240" w:line="360" w:lineRule="auto"/>
    </w:pPr>
    <w:rPr>
      <w:b w:val="1"/>
      <w:bCs w:val="1"/>
      <w:szCs w:val="18"/>
      <w:lang w:eastAsia="en-GB"/>
    </w:rPr>
  </w:style>
  <w:style w:type="paragraph" w:styleId="TableofFigures">
    <w:name w:val="table of figures"/>
    <w:basedOn w:val="Normal"/>
    <w:next w:val="Normal"/>
    <w:uiPriority w:val="99"/>
    <w:unhideWhenUsed w:val="1"/>
    <w:rsid w:val="00094CBA"/>
    <w:rPr>
      <w:lang w:eastAsia="en-GB"/>
    </w:rPr>
  </w:style>
  <w:style w:type="character" w:styleId="UnresolvedMention">
    <w:name w:val="Unresolved Mention"/>
    <w:basedOn w:val="DefaultParagraphFont"/>
    <w:uiPriority w:val="99"/>
    <w:semiHidden w:val="1"/>
    <w:unhideWhenUsed w:val="1"/>
    <w:rsid w:val="00865ABC"/>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68HFfdW9MmQphSj5eOqnYsecCA==">CgMxLjAaFAoBMBIPCg0IB0IJEgdHdW5nc3VoGhQKATESDwoNCAdCCRIHR3VuZ3N1aBoUCgEyEg8KDQgHQgkSB0d1bmdzdWgaFAoBMxIPCg0IB0IJEgdHdW5nc3VoGhQKATQSDwoNCAdCCRIHR3VuZ3N1aDIOaC52czN0NjkzcGJ0c2kyDmguOTQzaTl5YTEwYXk3Mg5oLnNmazE2dzc2YWtvejIOaC5tcHIzNXNoMHV4Y2oyDmgubng4aXZpN2lxOHl4Mg5oLmdqNTZtNG5rbDY1NzIOaC42a2dqa2FpM254bHoyDmguaW9wb2Z5ejZ2d3IwMg5oLnZiZHJkdzNtNGdoejIOaC53am40ZTB3dG94eTcyDmguZGgyMm8yeTdmOTV6OAByITFOQnJVSFpXNXBxcDR0OXdqSUJsbWRZeWhyMEJTY2lp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2025-11-04T20:23:00Z</dcterms:created>
  <dc:creator>muhidini huud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0cfa7b44-b360-3777-9119-c732110650db</vt:lpwstr>
  </property>
  <property fmtid="{D5CDD505-2E9C-101B-9397-08002B2CF9AE}" pid="4" name="Mendeley Citation Style_1">
    <vt:lpwstr>http://www.zotero.org/styles/harvard1</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6th/7th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12th edition - Harvard</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4th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