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707E0" w14:textId="42DD72D4" w:rsidR="00A258C3" w:rsidRDefault="001E334A" w:rsidP="00441B6F">
      <w:pPr>
        <w:pStyle w:val="Author"/>
        <w:spacing w:line="240" w:lineRule="auto"/>
        <w:jc w:val="both"/>
      </w:pPr>
      <w:r w:rsidRPr="001E334A">
        <w:t>Knowledge and Treatment Adherence among Moroccan Glaucoma Patients: A Cross-Sectional Study of 400 Cases</w:t>
      </w:r>
    </w:p>
    <w:p w14:paraId="4F4FE5F9" w14:textId="6FF3E030" w:rsidR="006D3981" w:rsidRPr="00DF400D" w:rsidRDefault="00591F72" w:rsidP="00591F72">
      <w:pPr>
        <w:pStyle w:val="Author"/>
        <w:spacing w:line="240" w:lineRule="auto"/>
        <w:ind w:firstLine="720"/>
        <w:jc w:val="both"/>
        <w:rPr>
          <w:rFonts w:ascii="Arial" w:hAnsi="Arial" w:cs="Arial"/>
          <w:b w:val="0"/>
          <w:bCs/>
          <w:szCs w:val="24"/>
        </w:rPr>
      </w:pPr>
      <w:r w:rsidRPr="00DF400D">
        <w:rPr>
          <w:rFonts w:ascii="Arial" w:hAnsi="Arial" w:cs="Arial"/>
          <w:b w:val="0"/>
          <w:bCs/>
          <w:szCs w:val="24"/>
        </w:rPr>
        <w:t>Article Type: Original Research Article</w:t>
      </w:r>
    </w:p>
    <w:p w14:paraId="6D735829" w14:textId="1E3CB38D" w:rsidR="00790ADA" w:rsidRDefault="00790ADA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19C0E54B" w14:textId="77777777" w:rsidR="006570A4" w:rsidRDefault="006570A4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06E30714" w14:textId="426BBA78" w:rsidR="00B01FCD" w:rsidRPr="00FB3A86" w:rsidRDefault="00355A22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5248EC">
          <w:headerReference w:type="even" r:id="rId8"/>
          <w:headerReference w:type="default" r:id="rId9"/>
          <w:headerReference w:type="first" r:id="rId10"/>
          <w:footerReference w:type="first" r:id="rId11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F674792" wp14:editId="671F9A34">
                <wp:extent cx="5303520" cy="635"/>
                <wp:effectExtent l="11430" t="17145" r="9525" b="11430"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CB3B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" strokeweight="1.5pt">
                <w10:anchorlock/>
              </v:shape>
            </w:pict>
          </mc:Fallback>
        </mc:AlternateContent>
      </w:r>
      <w:r w:rsidR="00FB3A86">
        <w:rPr>
          <w:rFonts w:ascii="Arial" w:hAnsi="Arial" w:cs="Arial"/>
        </w:rPr>
        <w:t>.</w:t>
      </w:r>
    </w:p>
    <w:p w14:paraId="4E933FD7" w14:textId="6EECA5D6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</w:p>
    <w:p w14:paraId="0204F014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296529" w:rsidRPr="001E44FE" w14:paraId="3AF68AAB" w14:textId="77777777" w:rsidTr="00002694">
        <w:trPr>
          <w:trHeight w:val="558"/>
        </w:trPr>
        <w:tc>
          <w:tcPr>
            <w:tcW w:w="9576" w:type="dxa"/>
            <w:shd w:val="clear" w:color="auto" w:fill="F2F2F2"/>
          </w:tcPr>
          <w:p w14:paraId="5BE4D232" w14:textId="107927A8" w:rsidR="001E334A" w:rsidRPr="001E334A" w:rsidRDefault="006D3981" w:rsidP="001E334A">
            <w:pPr>
              <w:pStyle w:val="Body"/>
              <w:spacing w:after="0"/>
              <w:jc w:val="left"/>
            </w:pPr>
            <w:r>
              <w:br/>
            </w:r>
            <w:proofErr w:type="spellStart"/>
            <w:r w:rsidR="001E334A" w:rsidRPr="001E334A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Purpose</w:t>
            </w:r>
            <w:proofErr w:type="spellEnd"/>
          </w:p>
          <w:p w14:paraId="7460A572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chronic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progressive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optic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neuropathy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represents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one of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leading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causes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irreversible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blindness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worldwide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Because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frequently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asymptomatic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early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stages, long-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term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management relies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heavily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on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to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regular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follow-up.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Adequate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knowledge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plays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 crucial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role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maintaining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preventing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progression.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aim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this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study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to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evaluate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level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knowledge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among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Moroccan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patients and to highlight the importance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therapeutic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improving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management.</w:t>
            </w:r>
          </w:p>
          <w:p w14:paraId="3AB80C16" w14:textId="77777777" w:rsidR="001E334A" w:rsidRPr="001E334A" w:rsidRDefault="001E334A" w:rsidP="001E334A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</w:pPr>
            <w:r w:rsidRPr="001E334A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Methods</w:t>
            </w:r>
          </w:p>
          <w:p w14:paraId="41B483A1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This cross-sectional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study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included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400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previously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diagnosed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with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followed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at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Adult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Ophthalmology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Department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20 August 1953 Hospital, Ibn Rochd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University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Hospital Center, Casablanca. Data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collected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over an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eight-month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period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between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May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December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2022.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interviewed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using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structured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questionnaire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administered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clinic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waiting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room. The questionnaire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evaluated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demographic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characteristics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educational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level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knowledge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awareness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lifelong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necessity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perception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blindness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risk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knowledge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prescribed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medication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experience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side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effects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physician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involvement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Data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analyzed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using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Microsoft Excel.</w:t>
            </w:r>
          </w:p>
          <w:p w14:paraId="452A96F2" w14:textId="77777777" w:rsidR="001E334A" w:rsidRPr="001E334A" w:rsidRDefault="001E334A" w:rsidP="001E334A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Results</w:t>
            </w:r>
            <w:proofErr w:type="spellEnd"/>
          </w:p>
          <w:p w14:paraId="0DEDAB7E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mean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64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years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(range 23–92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years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).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most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represented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group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between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60 and 80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years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Women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accounted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for 57% of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study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population and men for 43%.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Regarding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educational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level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28% of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illiterate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31.5%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had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primary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25.5%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secondary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and 15%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had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attended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university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.</w:t>
            </w:r>
          </w:p>
          <w:p w14:paraId="71D8B1A0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Most patients (70.5%)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aware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that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must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continued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lifelong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However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22.5%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uncertain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about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duration and 7%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believed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that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could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cured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Additionally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80% of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knew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that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untreated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could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lead to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blindness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.</w:t>
            </w:r>
          </w:p>
          <w:p w14:paraId="21233173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Only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50.25% of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knew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name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their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medication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although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75.5%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aware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dosing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schedule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In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terms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52.5%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reported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never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forgetting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their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while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lastRenderedPageBreak/>
              <w:t xml:space="preserve">25%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admitted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occasional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forgetfulness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22.5%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reported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frequent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non-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half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patients (47.5%)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reported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receiving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instructions on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proper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eye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drop instillation technique.</w:t>
            </w:r>
          </w:p>
          <w:p w14:paraId="5E2CD906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Furthermore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65% of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reported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experiencing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bothersome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side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effects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such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ocular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redness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dryness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or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allergic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reactions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Physician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involvement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perceived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low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by 9% of patients,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average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by 42%, and good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49%.</w:t>
            </w:r>
          </w:p>
          <w:p w14:paraId="798EA99F" w14:textId="77777777" w:rsidR="001E334A" w:rsidRPr="001E334A" w:rsidRDefault="001E334A" w:rsidP="001E334A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</w:pPr>
            <w:r w:rsidRPr="001E334A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Conclusion</w:t>
            </w:r>
          </w:p>
          <w:p w14:paraId="710E2EEC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Although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Moroccan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demonstrate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relatively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good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awareness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severity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remains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suboptimal.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Structured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therapeutic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programs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may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significantly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improve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understanding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autonomy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to long-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term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.</w:t>
            </w:r>
          </w:p>
          <w:p w14:paraId="482AFECF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gram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Keywords:</w:t>
            </w:r>
            <w:proofErr w:type="gram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;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;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;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therapeutic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; Morocco</w:t>
            </w:r>
          </w:p>
          <w:p w14:paraId="62C6F3BD" w14:textId="77777777" w:rsidR="00B9706E" w:rsidRDefault="00B9706E" w:rsidP="00A35637">
            <w:pPr>
              <w:pStyle w:val="NormalWeb"/>
            </w:pPr>
          </w:p>
          <w:p w14:paraId="57F05B97" w14:textId="274E484F" w:rsidR="00B76A23" w:rsidRPr="00BA1B01" w:rsidRDefault="00B76A23" w:rsidP="00B76A23">
            <w:pPr>
              <w:pStyle w:val="Body"/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1F32A1A8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19270EB7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72BF7F48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3782EFFB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353D4FB8" w14:textId="4D6630EC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</w:p>
    <w:p w14:paraId="68887581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chronic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progressive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optic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neuropathy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characterized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degeneration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retinal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ganglion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cells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corresponding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field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loss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It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currently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one of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leading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causes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irreversible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blindness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worldwide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represents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 major public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health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concern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The global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prevalence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continues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increase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population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aging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particularly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developing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countries.</w:t>
      </w:r>
    </w:p>
    <w:p w14:paraId="5610C67B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Unlike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many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other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often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asymptomatic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during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its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early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stages. As a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result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patients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remain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unaware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until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significant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field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damage has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occurred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Effective management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therefore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relies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primarily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early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detection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regular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follow-up, and strict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long-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aimed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controlling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intraocular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pressure.</w:t>
      </w:r>
    </w:p>
    <w:p w14:paraId="5C9B36BF" w14:textId="0B0A56EF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Topical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hypotensive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remains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mainstay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However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maintaining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long-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daily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drop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can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challenging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many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patients.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Several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studies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have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demonstrated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poor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 major cause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inadequate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intraocular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pressure control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Pr="001E334A">
        <w:rPr>
          <w:rFonts w:ascii="Arial" w:hAnsi="Arial" w:cs="Arial"/>
          <w:sz w:val="22"/>
          <w:szCs w:val="22"/>
          <w:lang w:val="fr-FR"/>
        </w:rPr>
        <w:t>progression</w:t>
      </w:r>
      <w:r w:rsidR="00ED05BB" w:rsidRPr="00ED05BB">
        <w:rPr>
          <w:rFonts w:ascii="Arial" w:hAnsi="Arial" w:cs="Arial"/>
          <w:sz w:val="22"/>
          <w:szCs w:val="22"/>
          <w:lang w:val="fr-FR"/>
        </w:rPr>
        <w:t>(</w:t>
      </w:r>
      <w:proofErr w:type="gramEnd"/>
      <w:r w:rsidR="00ED05BB" w:rsidRPr="00ED05BB">
        <w:rPr>
          <w:rFonts w:ascii="Arial" w:hAnsi="Arial" w:cs="Arial"/>
          <w:sz w:val="22"/>
          <w:szCs w:val="22"/>
          <w:lang w:val="fr-FR"/>
        </w:rPr>
        <w:t>Chen et al., 2022)</w:t>
      </w:r>
      <w:r w:rsidRPr="001E334A">
        <w:rPr>
          <w:rFonts w:ascii="Arial" w:hAnsi="Arial" w:cs="Arial"/>
          <w:sz w:val="22"/>
          <w:szCs w:val="22"/>
          <w:lang w:val="fr-FR"/>
        </w:rPr>
        <w:t>.</w:t>
      </w:r>
    </w:p>
    <w:p w14:paraId="499023F7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E334A">
        <w:rPr>
          <w:rFonts w:ascii="Arial" w:hAnsi="Arial" w:cs="Arial"/>
          <w:sz w:val="22"/>
          <w:szCs w:val="22"/>
          <w:lang w:val="fr-FR"/>
        </w:rPr>
        <w:t xml:space="preserve">Multiple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factors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influence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patients.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include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understanding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goals,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level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complexity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regimens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side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effects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medications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quality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communication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between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physicians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patients.</w:t>
      </w:r>
    </w:p>
    <w:p w14:paraId="39C087C2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Therapeutic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education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has been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increasingly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recognized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as an essential component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chronic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management.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interventions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help patients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better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understand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condition,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improve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actively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participate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own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care.</w:t>
      </w:r>
    </w:p>
    <w:p w14:paraId="2A24ECD4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E334A">
        <w:rPr>
          <w:rFonts w:ascii="Arial" w:hAnsi="Arial" w:cs="Arial"/>
          <w:sz w:val="22"/>
          <w:szCs w:val="22"/>
          <w:lang w:val="fr-FR"/>
        </w:rPr>
        <w:t xml:space="preserve">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developing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countries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such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as Morocco,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limited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health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literacy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socioeconomic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constraints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further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affect patients’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ability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long-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Evaluating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behavior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therefore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essential 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order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identify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gaps in care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develop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appropriate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strategies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>.</w:t>
      </w:r>
    </w:p>
    <w:p w14:paraId="659E4234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E334A"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aim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study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assess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level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among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Moroccan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followed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at a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tertiary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ophthalmology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center and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identify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factors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influence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>.</w:t>
      </w:r>
    </w:p>
    <w:p w14:paraId="7DE5C172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723B2E91" w14:textId="207AD623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material</w:t>
      </w:r>
      <w:r w:rsidR="00FB240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method</w:t>
      </w:r>
      <w:r w:rsidR="00000F8F">
        <w:rPr>
          <w:rFonts w:ascii="Arial" w:hAnsi="Arial" w:cs="Arial"/>
        </w:rPr>
        <w:t>s</w:t>
      </w:r>
    </w:p>
    <w:p w14:paraId="7966E355" w14:textId="77777777" w:rsidR="001E334A" w:rsidRDefault="001E334A" w:rsidP="001E334A">
      <w:pPr>
        <w:pStyle w:val="NormalWeb"/>
      </w:pPr>
      <w:r>
        <w:t xml:space="preserve">This cross-sectional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at the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Ophthalmology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the 20 August 1953 Hospital, Ibn Rochd </w:t>
      </w:r>
      <w:proofErr w:type="spellStart"/>
      <w:r>
        <w:t>University</w:t>
      </w:r>
      <w:proofErr w:type="spellEnd"/>
      <w:r>
        <w:t xml:space="preserve"> Hospital Center in Casablanca.</w:t>
      </w:r>
    </w:p>
    <w:p w14:paraId="7B2C1A74" w14:textId="77777777" w:rsidR="001E334A" w:rsidRDefault="001E334A" w:rsidP="001E334A">
      <w:pPr>
        <w:pStyle w:val="NormalWeb"/>
      </w:pPr>
      <w:r>
        <w:t xml:space="preserve">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400 patients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and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in the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. Data collection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over an </w:t>
      </w:r>
      <w:proofErr w:type="spellStart"/>
      <w:r>
        <w:t>eight-month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May 1 and </w:t>
      </w:r>
      <w:proofErr w:type="spellStart"/>
      <w:r>
        <w:t>December</w:t>
      </w:r>
      <w:proofErr w:type="spellEnd"/>
      <w:r>
        <w:t xml:space="preserve"> 31, 2022.</w:t>
      </w:r>
    </w:p>
    <w:p w14:paraId="65FFC79A" w14:textId="77777777" w:rsidR="001E334A" w:rsidRDefault="001E334A" w:rsidP="001E334A">
      <w:pPr>
        <w:pStyle w:val="NormalWeb"/>
      </w:pPr>
      <w:r>
        <w:t xml:space="preserve">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interviewed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in the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 </w:t>
      </w:r>
      <w:proofErr w:type="spellStart"/>
      <w:r>
        <w:t>waiting</w:t>
      </w:r>
      <w:proofErr w:type="spellEnd"/>
      <w:r>
        <w:t xml:space="preserve"> room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structured</w:t>
      </w:r>
      <w:proofErr w:type="spellEnd"/>
      <w:r>
        <w:t xml:space="preserve"> questionnaire </w:t>
      </w:r>
      <w:proofErr w:type="spellStart"/>
      <w:r>
        <w:t>administered</w:t>
      </w:r>
      <w:proofErr w:type="spellEnd"/>
      <w:r>
        <w:t xml:space="preserve"> by </w:t>
      </w:r>
      <w:proofErr w:type="spellStart"/>
      <w:r>
        <w:t>trained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. The questionnaire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aspects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adherence</w:t>
      </w:r>
      <w:proofErr w:type="spellEnd"/>
      <w:r>
        <w:t>.</w:t>
      </w:r>
    </w:p>
    <w:p w14:paraId="20995BB4" w14:textId="77777777" w:rsidR="001E334A" w:rsidRDefault="001E334A" w:rsidP="001E334A">
      <w:pPr>
        <w:pStyle w:val="NormalWeb"/>
      </w:pPr>
      <w:r>
        <w:t xml:space="preserve">The </w:t>
      </w:r>
      <w:proofErr w:type="spellStart"/>
      <w:r>
        <w:t>collected</w:t>
      </w:r>
      <w:proofErr w:type="spellEnd"/>
      <w:r>
        <w:t xml:space="preserve"> variables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demographic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sex</w:t>
      </w:r>
      <w:proofErr w:type="spellEnd"/>
      <w:r>
        <w:t xml:space="preserve">, and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The questionnaire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 patients’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glaucoma</w:t>
      </w:r>
      <w:proofErr w:type="spellEnd"/>
      <w:r>
        <w:t xml:space="preserve">, </w:t>
      </w:r>
      <w:proofErr w:type="spellStart"/>
      <w:r>
        <w:t>awareness</w:t>
      </w:r>
      <w:proofErr w:type="spellEnd"/>
      <w:r>
        <w:t xml:space="preserve"> of the </w:t>
      </w:r>
      <w:proofErr w:type="spellStart"/>
      <w:r>
        <w:t>chronic</w:t>
      </w:r>
      <w:proofErr w:type="spellEnd"/>
      <w:r>
        <w:t xml:space="preserve"> nature of the </w:t>
      </w:r>
      <w:proofErr w:type="spellStart"/>
      <w:r>
        <w:t>disease</w:t>
      </w:r>
      <w:proofErr w:type="spellEnd"/>
      <w:r>
        <w:t xml:space="preserve">, perception of the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blindness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medications</w:t>
      </w:r>
      <w:proofErr w:type="spellEnd"/>
      <w:r>
        <w:t xml:space="preserve">, </w:t>
      </w:r>
      <w:proofErr w:type="spellStart"/>
      <w:r>
        <w:t>adherence</w:t>
      </w:r>
      <w:proofErr w:type="spellEnd"/>
      <w:r>
        <w:t xml:space="preserve"> to </w:t>
      </w:r>
      <w:proofErr w:type="spellStart"/>
      <w:r>
        <w:t>treatment</w:t>
      </w:r>
      <w:proofErr w:type="spellEnd"/>
      <w:r>
        <w:t xml:space="preserve">,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and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physician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patient care.</w:t>
      </w:r>
    </w:p>
    <w:p w14:paraId="365FCC6D" w14:textId="77777777" w:rsidR="001E334A" w:rsidRDefault="001E334A" w:rsidP="001E334A">
      <w:pPr>
        <w:pStyle w:val="NormalWeb"/>
      </w:pPr>
      <w:r>
        <w:t xml:space="preserve">All data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standardized</w:t>
      </w:r>
      <w:proofErr w:type="spellEnd"/>
      <w:r>
        <w:t xml:space="preserve"> data collection </w:t>
      </w:r>
      <w:proofErr w:type="spellStart"/>
      <w:r>
        <w:t>form</w:t>
      </w:r>
      <w:proofErr w:type="spellEnd"/>
      <w:r>
        <w:t xml:space="preserve"> and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Microsoft Excel.</w:t>
      </w:r>
      <w:bookmarkStart w:id="0" w:name="_GoBack"/>
      <w:bookmarkEnd w:id="0"/>
    </w:p>
    <w:p w14:paraId="143248BE" w14:textId="77777777" w:rsidR="001E334A" w:rsidRDefault="001E334A" w:rsidP="001E334A">
      <w:pPr>
        <w:pStyle w:val="NormalWeb"/>
      </w:pPr>
      <w:proofErr w:type="spellStart"/>
      <w:r>
        <w:t>Ethical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of the 20 August 1953 Hospital, Ibn Rochd </w:t>
      </w:r>
      <w:proofErr w:type="spellStart"/>
      <w:r>
        <w:t>University</w:t>
      </w:r>
      <w:proofErr w:type="spellEnd"/>
      <w:r>
        <w:t xml:space="preserve"> Hospital Center, Casablanca.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consent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all participants </w:t>
      </w:r>
      <w:proofErr w:type="spellStart"/>
      <w:r>
        <w:t>prior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inclusion in the </w:t>
      </w:r>
      <w:proofErr w:type="spellStart"/>
      <w:r>
        <w:t>study</w:t>
      </w:r>
      <w:proofErr w:type="spellEnd"/>
      <w:r>
        <w:t>.</w:t>
      </w:r>
    </w:p>
    <w:p w14:paraId="3DEA7717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12F2F52A" w14:textId="007931D5" w:rsidR="00A264E6" w:rsidRDefault="00000F8F" w:rsidP="00A264E6">
      <w:pPr>
        <w:pStyle w:val="Body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 w:rsidR="00A264E6" w:rsidRPr="00A264E6">
        <w:rPr>
          <w:rFonts w:ascii="Arial" w:hAnsi="Arial" w:cs="Arial"/>
          <w:sz w:val="22"/>
        </w:rPr>
        <w:t>RESULTS</w:t>
      </w:r>
      <w:r w:rsidR="00A264E6">
        <w:rPr>
          <w:rFonts w:ascii="Arial" w:hAnsi="Arial" w:cs="Arial"/>
        </w:rPr>
        <w:t xml:space="preserve"> &amp;</w:t>
      </w:r>
      <w:r w:rsidR="00A264E6">
        <w:rPr>
          <w:rFonts w:ascii="Arial" w:hAnsi="Arial" w:cs="Arial"/>
        </w:rPr>
        <w:t>DISCUSSION</w:t>
      </w:r>
    </w:p>
    <w:p w14:paraId="66E793C8" w14:textId="0DEB84C7" w:rsidR="00902823" w:rsidRDefault="00902823" w:rsidP="00441B6F">
      <w:pPr>
        <w:pStyle w:val="Head1"/>
        <w:spacing w:after="0"/>
        <w:jc w:val="both"/>
        <w:rPr>
          <w:rFonts w:ascii="Arial" w:hAnsi="Arial" w:cs="Arial"/>
        </w:rPr>
      </w:pPr>
    </w:p>
    <w:p w14:paraId="5F9E21EF" w14:textId="77777777" w:rsidR="006A2B43" w:rsidRDefault="006A2B43" w:rsidP="00441B6F">
      <w:pPr>
        <w:pStyle w:val="Head1"/>
        <w:spacing w:after="0"/>
        <w:jc w:val="both"/>
        <w:rPr>
          <w:rFonts w:ascii="Arial" w:hAnsi="Arial" w:cs="Arial"/>
        </w:rPr>
      </w:pPr>
    </w:p>
    <w:p w14:paraId="14E7B65A" w14:textId="656E2ECE" w:rsidR="001E334A" w:rsidRDefault="001E334A" w:rsidP="001E334A">
      <w:pPr>
        <w:pStyle w:val="NormalWeb"/>
      </w:pPr>
      <w:r>
        <w:t xml:space="preserve">A total of 400 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the </w:t>
      </w:r>
      <w:proofErr w:type="spellStart"/>
      <w:r>
        <w:t>study</w:t>
      </w:r>
      <w:proofErr w:type="spellEnd"/>
      <w:r>
        <w:t xml:space="preserve">. The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the </w:t>
      </w:r>
      <w:proofErr w:type="spellStart"/>
      <w:r>
        <w:t>study</w:t>
      </w:r>
      <w:proofErr w:type="spellEnd"/>
      <w:r>
        <w:t xml:space="preserve"> population </w:t>
      </w:r>
      <w:proofErr w:type="spellStart"/>
      <w:r>
        <w:t>was</w:t>
      </w:r>
      <w:proofErr w:type="spellEnd"/>
      <w:r>
        <w:t xml:space="preserve"> 64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ages</w:t>
      </w:r>
      <w:proofErr w:type="spellEnd"/>
      <w:r>
        <w:t xml:space="preserve"> </w:t>
      </w:r>
      <w:proofErr w:type="spellStart"/>
      <w:r>
        <w:t>ranging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23 to 92 </w:t>
      </w:r>
      <w:proofErr w:type="spellStart"/>
      <w:r>
        <w:t>years</w:t>
      </w:r>
      <w:proofErr w:type="spellEnd"/>
      <w:r>
        <w:t xml:space="preserve">. The </w:t>
      </w:r>
      <w:proofErr w:type="spellStart"/>
      <w:r>
        <w:t>age</w:t>
      </w:r>
      <w:proofErr w:type="spellEnd"/>
      <w:r>
        <w:t xml:space="preserve"> group </w:t>
      </w:r>
      <w:proofErr w:type="spellStart"/>
      <w:r>
        <w:t>between</w:t>
      </w:r>
      <w:proofErr w:type="spellEnd"/>
      <w:r>
        <w:t xml:space="preserve"> 60 and 80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represented</w:t>
      </w:r>
      <w:proofErr w:type="spellEnd"/>
      <w:r>
        <w:t xml:space="preserve"> the </w:t>
      </w:r>
      <w:proofErr w:type="spellStart"/>
      <w:r>
        <w:t>largest</w:t>
      </w:r>
      <w:proofErr w:type="spellEnd"/>
      <w:r>
        <w:t xml:space="preserve"> proportion of patients.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represented</w:t>
      </w:r>
      <w:proofErr w:type="spellEnd"/>
      <w:r>
        <w:t xml:space="preserve"> 57% of the </w:t>
      </w:r>
      <w:proofErr w:type="spellStart"/>
      <w:r>
        <w:t>study</w:t>
      </w:r>
      <w:proofErr w:type="spellEnd"/>
      <w:r>
        <w:t xml:space="preserve"> population, </w:t>
      </w:r>
      <w:proofErr w:type="spellStart"/>
      <w:r>
        <w:t>while</w:t>
      </w:r>
      <w:proofErr w:type="spellEnd"/>
      <w:r>
        <w:t xml:space="preserve"> men </w:t>
      </w:r>
      <w:proofErr w:type="spellStart"/>
      <w:r>
        <w:t>accounted</w:t>
      </w:r>
      <w:proofErr w:type="spellEnd"/>
      <w:r>
        <w:t xml:space="preserve"> for 43%.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28% of 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illiterate</w:t>
      </w:r>
      <w:proofErr w:type="spellEnd"/>
      <w:r>
        <w:t xml:space="preserve">, 31.5%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25.5%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and 15%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regard to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70.5% of 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lifelong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22.5%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about </w:t>
      </w:r>
      <w:proofErr w:type="spellStart"/>
      <w:r>
        <w:t>treatment</w:t>
      </w:r>
      <w:proofErr w:type="spellEnd"/>
      <w:r>
        <w:t xml:space="preserve"> duration and 7%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cured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80% of patients </w:t>
      </w:r>
      <w:proofErr w:type="spellStart"/>
      <w:r>
        <w:t>recognized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untreated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lead to </w:t>
      </w:r>
      <w:proofErr w:type="spellStart"/>
      <w:r>
        <w:t>blindness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17.5%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unsure</w:t>
      </w:r>
      <w:proofErr w:type="spellEnd"/>
      <w:r>
        <w:t xml:space="preserve"> and 2.5%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cause </w:t>
      </w:r>
      <w:proofErr w:type="spellStart"/>
      <w:r>
        <w:t>blindness</w:t>
      </w:r>
      <w:proofErr w:type="spellEnd"/>
      <w:r>
        <w:t xml:space="preserve">.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more </w:t>
      </w:r>
      <w:proofErr w:type="spellStart"/>
      <w:r>
        <w:t>limited</w:t>
      </w:r>
      <w:proofErr w:type="spellEnd"/>
      <w:r>
        <w:t xml:space="preserve">. </w:t>
      </w:r>
      <w:proofErr w:type="spellStart"/>
      <w:r>
        <w:t>Only</w:t>
      </w:r>
      <w:proofErr w:type="spellEnd"/>
      <w:r>
        <w:t xml:space="preserve"> 50.25% of patients </w:t>
      </w:r>
      <w:proofErr w:type="spellStart"/>
      <w:r>
        <w:t>were</w:t>
      </w:r>
      <w:proofErr w:type="spellEnd"/>
      <w:r>
        <w:t xml:space="preserve"> able to </w:t>
      </w:r>
      <w:proofErr w:type="spellStart"/>
      <w:r>
        <w:t>correctly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. </w:t>
      </w:r>
      <w:proofErr w:type="spellStart"/>
      <w:r>
        <w:t>Nevertheless</w:t>
      </w:r>
      <w:proofErr w:type="spellEnd"/>
      <w:r>
        <w:t xml:space="preserve">, 75.5% of patients </w:t>
      </w:r>
      <w:proofErr w:type="spellStart"/>
      <w:r>
        <w:t>knew</w:t>
      </w:r>
      <w:proofErr w:type="spellEnd"/>
      <w:r>
        <w:t xml:space="preserve"> the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dosing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.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adherence</w:t>
      </w:r>
      <w:proofErr w:type="spellEnd"/>
      <w:r>
        <w:t xml:space="preserve">, 52.5% of patients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forgetting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25%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occasional</w:t>
      </w:r>
      <w:proofErr w:type="spellEnd"/>
      <w:r>
        <w:t xml:space="preserve"> </w:t>
      </w:r>
      <w:proofErr w:type="spellStart"/>
      <w:r>
        <w:t>forgetfulness</w:t>
      </w:r>
      <w:proofErr w:type="spellEnd"/>
      <w:r>
        <w:t xml:space="preserve"> and 22.5%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frequent</w:t>
      </w:r>
      <w:proofErr w:type="spellEnd"/>
      <w:r>
        <w:t xml:space="preserve"> non-</w:t>
      </w:r>
      <w:proofErr w:type="spellStart"/>
      <w:r>
        <w:t>adherence</w:t>
      </w:r>
      <w:proofErr w:type="spellEnd"/>
      <w:r>
        <w:t>.</w:t>
      </w:r>
      <w:r w:rsidR="00D038D3">
        <w:t xml:space="preserve"> </w:t>
      </w:r>
      <w:r>
        <w:t xml:space="preserve"> </w:t>
      </w:r>
      <w:proofErr w:type="spellStart"/>
      <w:r w:rsidR="00D038D3" w:rsidRPr="00D038D3">
        <w:t>Treatment</w:t>
      </w:r>
      <w:proofErr w:type="spellEnd"/>
      <w:r w:rsidR="00D038D3" w:rsidRPr="00D038D3">
        <w:t xml:space="preserve"> </w:t>
      </w:r>
      <w:proofErr w:type="spellStart"/>
      <w:r w:rsidR="00D038D3" w:rsidRPr="00D038D3">
        <w:t>adherence</w:t>
      </w:r>
      <w:proofErr w:type="spellEnd"/>
      <w:r w:rsidR="00D038D3" w:rsidRPr="00D038D3">
        <w:t xml:space="preserve"> distribution </w:t>
      </w:r>
      <w:proofErr w:type="spellStart"/>
      <w:r w:rsidR="00D038D3" w:rsidRPr="00D038D3">
        <w:t>is</w:t>
      </w:r>
      <w:proofErr w:type="spellEnd"/>
      <w:r w:rsidR="00D038D3" w:rsidRPr="00D038D3">
        <w:t xml:space="preserve"> </w:t>
      </w:r>
      <w:proofErr w:type="spellStart"/>
      <w:r w:rsidR="00D038D3" w:rsidRPr="00D038D3">
        <w:t>summarized</w:t>
      </w:r>
      <w:proofErr w:type="spellEnd"/>
      <w:r w:rsidR="00D038D3" w:rsidRPr="00D038D3">
        <w:t xml:space="preserve"> in Table1.</w:t>
      </w:r>
      <w:r w:rsidR="009F1CC4">
        <w:t xml:space="preserve"> </w:t>
      </w:r>
      <w:proofErr w:type="spellStart"/>
      <w:r>
        <w:t>Another</w:t>
      </w:r>
      <w:proofErr w:type="spellEnd"/>
      <w:r>
        <w:t xml:space="preserve"> important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47.5% of patients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instructions on the correct technique for </w:t>
      </w:r>
      <w:proofErr w:type="spellStart"/>
      <w:r>
        <w:t>instilling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drops.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, 65% of patients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ocular</w:t>
      </w:r>
      <w:proofErr w:type="spellEnd"/>
      <w:r>
        <w:t xml:space="preserve"> </w:t>
      </w:r>
      <w:proofErr w:type="spellStart"/>
      <w:r>
        <w:t>redness</w:t>
      </w:r>
      <w:proofErr w:type="spellEnd"/>
      <w:r>
        <w:t xml:space="preserve">, irritation, </w:t>
      </w:r>
      <w:proofErr w:type="spellStart"/>
      <w:r>
        <w:t>dryness</w:t>
      </w:r>
      <w:proofErr w:type="spellEnd"/>
      <w:r>
        <w:t xml:space="preserve">, or </w:t>
      </w:r>
      <w:proofErr w:type="spellStart"/>
      <w:r>
        <w:t>allergic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physician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patient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perceived</w:t>
      </w:r>
      <w:proofErr w:type="spellEnd"/>
      <w:r>
        <w:t xml:space="preserve"> as </w:t>
      </w:r>
      <w:proofErr w:type="spellStart"/>
      <w:r>
        <w:t>low</w:t>
      </w:r>
      <w:proofErr w:type="spellEnd"/>
      <w:r>
        <w:t xml:space="preserve"> by 9% of patients, </w:t>
      </w:r>
      <w:proofErr w:type="spellStart"/>
      <w:r>
        <w:t>average</w:t>
      </w:r>
      <w:proofErr w:type="spellEnd"/>
      <w:r>
        <w:t xml:space="preserve"> by 42%, and good </w:t>
      </w:r>
      <w:proofErr w:type="spellStart"/>
      <w:r>
        <w:t>by</w:t>
      </w:r>
      <w:proofErr w:type="spellEnd"/>
      <w:r>
        <w:t xml:space="preserve"> 49%.</w:t>
      </w:r>
      <w:r w:rsidR="00591F72">
        <w:t xml:space="preserve"> </w:t>
      </w:r>
      <w:r w:rsidR="00591F72" w:rsidRPr="00591F72">
        <w:t xml:space="preserve">In addition, </w:t>
      </w:r>
      <w:proofErr w:type="spellStart"/>
      <w:r w:rsidR="00591F72" w:rsidRPr="00591F72">
        <w:t>treatment</w:t>
      </w:r>
      <w:proofErr w:type="spellEnd"/>
      <w:r w:rsidR="00591F72" w:rsidRPr="00591F72">
        <w:t xml:space="preserve"> </w:t>
      </w:r>
      <w:proofErr w:type="spellStart"/>
      <w:r w:rsidR="00591F72" w:rsidRPr="00591F72">
        <w:t>adherence</w:t>
      </w:r>
      <w:proofErr w:type="spellEnd"/>
      <w:r w:rsidR="00591F72" w:rsidRPr="00591F72">
        <w:t xml:space="preserve"> </w:t>
      </w:r>
      <w:proofErr w:type="spellStart"/>
      <w:r w:rsidR="00591F72" w:rsidRPr="00591F72">
        <w:t>appeared</w:t>
      </w:r>
      <w:proofErr w:type="spellEnd"/>
      <w:r w:rsidR="00591F72" w:rsidRPr="00591F72">
        <w:t xml:space="preserve"> to </w:t>
      </w:r>
      <w:proofErr w:type="spellStart"/>
      <w:r w:rsidR="00591F72" w:rsidRPr="00591F72">
        <w:t>be</w:t>
      </w:r>
      <w:proofErr w:type="spellEnd"/>
      <w:r w:rsidR="00591F72" w:rsidRPr="00591F72">
        <w:t xml:space="preserve"> </w:t>
      </w:r>
      <w:proofErr w:type="spellStart"/>
      <w:r w:rsidR="00591F72" w:rsidRPr="00591F72">
        <w:t>influenced</w:t>
      </w:r>
      <w:proofErr w:type="spellEnd"/>
      <w:r w:rsidR="00591F72" w:rsidRPr="00591F72">
        <w:t xml:space="preserve"> by patients’ </w:t>
      </w:r>
      <w:proofErr w:type="spellStart"/>
      <w:r w:rsidR="00591F72" w:rsidRPr="00591F72">
        <w:t>educational</w:t>
      </w:r>
      <w:proofErr w:type="spellEnd"/>
      <w:r w:rsidR="00591F72" w:rsidRPr="00591F72">
        <w:t xml:space="preserve"> </w:t>
      </w:r>
      <w:proofErr w:type="spellStart"/>
      <w:r w:rsidR="00591F72" w:rsidRPr="00591F72">
        <w:t>level</w:t>
      </w:r>
      <w:proofErr w:type="spellEnd"/>
      <w:r w:rsidR="00591F72" w:rsidRPr="00591F72">
        <w:t xml:space="preserve"> and </w:t>
      </w:r>
      <w:proofErr w:type="spellStart"/>
      <w:r w:rsidR="00591F72" w:rsidRPr="00591F72">
        <w:t>understanding</w:t>
      </w:r>
      <w:proofErr w:type="spellEnd"/>
      <w:r w:rsidR="00591F72" w:rsidRPr="00591F72">
        <w:t xml:space="preserve"> of </w:t>
      </w:r>
      <w:proofErr w:type="spellStart"/>
      <w:r w:rsidR="00591F72" w:rsidRPr="00591F72">
        <w:t>glaucoma</w:t>
      </w:r>
      <w:proofErr w:type="spellEnd"/>
      <w:r w:rsidR="00591F72" w:rsidRPr="00591F72">
        <w:t xml:space="preserve">. Patients </w:t>
      </w:r>
      <w:proofErr w:type="spellStart"/>
      <w:r w:rsidR="00591F72" w:rsidRPr="00591F72">
        <w:t>with</w:t>
      </w:r>
      <w:proofErr w:type="spellEnd"/>
      <w:r w:rsidR="00591F72" w:rsidRPr="00591F72">
        <w:t xml:space="preserve"> </w:t>
      </w:r>
      <w:proofErr w:type="spellStart"/>
      <w:r w:rsidR="00591F72" w:rsidRPr="00591F72">
        <w:t>higher</w:t>
      </w:r>
      <w:proofErr w:type="spellEnd"/>
      <w:r w:rsidR="00591F72" w:rsidRPr="00591F72">
        <w:t xml:space="preserve"> </w:t>
      </w:r>
      <w:proofErr w:type="spellStart"/>
      <w:r w:rsidR="00591F72" w:rsidRPr="00591F72">
        <w:t>levels</w:t>
      </w:r>
      <w:proofErr w:type="spellEnd"/>
      <w:r w:rsidR="00591F72" w:rsidRPr="00591F72">
        <w:t xml:space="preserve"> of </w:t>
      </w:r>
      <w:proofErr w:type="spellStart"/>
      <w:r w:rsidR="00591F72" w:rsidRPr="00591F72">
        <w:t>education</w:t>
      </w:r>
      <w:proofErr w:type="spellEnd"/>
      <w:r w:rsidR="00591F72" w:rsidRPr="00591F72">
        <w:t xml:space="preserve"> </w:t>
      </w:r>
      <w:proofErr w:type="spellStart"/>
      <w:r w:rsidR="00591F72" w:rsidRPr="00591F72">
        <w:t>generally</w:t>
      </w:r>
      <w:proofErr w:type="spellEnd"/>
      <w:r w:rsidR="00591F72" w:rsidRPr="00591F72">
        <w:t xml:space="preserve"> </w:t>
      </w:r>
      <w:proofErr w:type="spellStart"/>
      <w:r w:rsidR="00591F72" w:rsidRPr="00591F72">
        <w:t>demonstrated</w:t>
      </w:r>
      <w:proofErr w:type="spellEnd"/>
      <w:r w:rsidR="00591F72" w:rsidRPr="00591F72">
        <w:t xml:space="preserve"> </w:t>
      </w:r>
      <w:proofErr w:type="spellStart"/>
      <w:r w:rsidR="00591F72" w:rsidRPr="00591F72">
        <w:t>better</w:t>
      </w:r>
      <w:proofErr w:type="spellEnd"/>
      <w:r w:rsidR="00591F72" w:rsidRPr="00591F72">
        <w:t xml:space="preserve"> </w:t>
      </w:r>
      <w:proofErr w:type="spellStart"/>
      <w:r w:rsidR="00591F72" w:rsidRPr="00591F72">
        <w:t>knowledge</w:t>
      </w:r>
      <w:proofErr w:type="spellEnd"/>
      <w:r w:rsidR="00591F72" w:rsidRPr="00591F72">
        <w:t xml:space="preserve"> of the </w:t>
      </w:r>
      <w:proofErr w:type="spellStart"/>
      <w:r w:rsidR="00591F72" w:rsidRPr="00591F72">
        <w:t>chronic</w:t>
      </w:r>
      <w:proofErr w:type="spellEnd"/>
      <w:r w:rsidR="00591F72" w:rsidRPr="00591F72">
        <w:t xml:space="preserve"> nature of the </w:t>
      </w:r>
      <w:proofErr w:type="spellStart"/>
      <w:r w:rsidR="00591F72" w:rsidRPr="00591F72">
        <w:t>disease</w:t>
      </w:r>
      <w:proofErr w:type="spellEnd"/>
      <w:r w:rsidR="00591F72" w:rsidRPr="00591F72">
        <w:t xml:space="preserve"> and </w:t>
      </w:r>
      <w:proofErr w:type="spellStart"/>
      <w:r w:rsidR="00591F72" w:rsidRPr="00591F72">
        <w:t>greater</w:t>
      </w:r>
      <w:proofErr w:type="spellEnd"/>
      <w:r w:rsidR="00591F72" w:rsidRPr="00591F72">
        <w:t xml:space="preserve"> </w:t>
      </w:r>
      <w:proofErr w:type="spellStart"/>
      <w:r w:rsidR="00591F72" w:rsidRPr="00591F72">
        <w:t>adherence</w:t>
      </w:r>
      <w:proofErr w:type="spellEnd"/>
      <w:r w:rsidR="00591F72" w:rsidRPr="00591F72">
        <w:t xml:space="preserve"> to </w:t>
      </w:r>
      <w:proofErr w:type="spellStart"/>
      <w:r w:rsidR="00591F72" w:rsidRPr="00591F72">
        <w:t>treatment</w:t>
      </w:r>
      <w:proofErr w:type="spellEnd"/>
      <w:r w:rsidR="00591F72" w:rsidRPr="00591F72">
        <w:t xml:space="preserve">. </w:t>
      </w:r>
      <w:proofErr w:type="spellStart"/>
      <w:r w:rsidR="00591F72" w:rsidRPr="00591F72">
        <w:t>Conversely</w:t>
      </w:r>
      <w:proofErr w:type="spellEnd"/>
      <w:r w:rsidR="00591F72" w:rsidRPr="00591F72">
        <w:t xml:space="preserve">, patients </w:t>
      </w:r>
      <w:proofErr w:type="spellStart"/>
      <w:r w:rsidR="00591F72" w:rsidRPr="00591F72">
        <w:t>with</w:t>
      </w:r>
      <w:proofErr w:type="spellEnd"/>
      <w:r w:rsidR="00591F72" w:rsidRPr="00591F72">
        <w:t xml:space="preserve"> </w:t>
      </w:r>
      <w:proofErr w:type="spellStart"/>
      <w:r w:rsidR="00591F72" w:rsidRPr="00591F72">
        <w:t>limited</w:t>
      </w:r>
      <w:proofErr w:type="spellEnd"/>
      <w:r w:rsidR="00591F72" w:rsidRPr="00591F72">
        <w:t xml:space="preserve"> </w:t>
      </w:r>
      <w:proofErr w:type="spellStart"/>
      <w:r w:rsidR="00591F72" w:rsidRPr="00591F72">
        <w:t>health</w:t>
      </w:r>
      <w:proofErr w:type="spellEnd"/>
      <w:r w:rsidR="00591F72" w:rsidRPr="00591F72">
        <w:t xml:space="preserve"> </w:t>
      </w:r>
      <w:proofErr w:type="spellStart"/>
      <w:r w:rsidR="00591F72" w:rsidRPr="00591F72">
        <w:t>literacy</w:t>
      </w:r>
      <w:proofErr w:type="spellEnd"/>
      <w:r w:rsidR="00591F72" w:rsidRPr="00591F72">
        <w:t xml:space="preserve"> </w:t>
      </w:r>
      <w:proofErr w:type="spellStart"/>
      <w:r w:rsidR="00591F72" w:rsidRPr="00591F72">
        <w:t>reported</w:t>
      </w:r>
      <w:proofErr w:type="spellEnd"/>
      <w:r w:rsidR="00591F72" w:rsidRPr="00591F72">
        <w:t xml:space="preserve"> more </w:t>
      </w:r>
      <w:proofErr w:type="spellStart"/>
      <w:r w:rsidR="00591F72" w:rsidRPr="00591F72">
        <w:t>frequent</w:t>
      </w:r>
      <w:proofErr w:type="spellEnd"/>
      <w:r w:rsidR="00591F72" w:rsidRPr="00591F72">
        <w:t xml:space="preserve"> </w:t>
      </w:r>
      <w:proofErr w:type="spellStart"/>
      <w:r w:rsidR="00591F72" w:rsidRPr="00591F72">
        <w:t>difficulties</w:t>
      </w:r>
      <w:proofErr w:type="spellEnd"/>
      <w:r w:rsidR="00591F72" w:rsidRPr="00591F72">
        <w:t xml:space="preserve"> </w:t>
      </w:r>
      <w:proofErr w:type="spellStart"/>
      <w:r w:rsidR="00591F72" w:rsidRPr="00591F72">
        <w:t>with</w:t>
      </w:r>
      <w:proofErr w:type="spellEnd"/>
      <w:r w:rsidR="00591F72" w:rsidRPr="00591F72">
        <w:t xml:space="preserve"> </w:t>
      </w:r>
      <w:proofErr w:type="spellStart"/>
      <w:r w:rsidR="00591F72" w:rsidRPr="00591F72">
        <w:t>medication</w:t>
      </w:r>
      <w:proofErr w:type="spellEnd"/>
      <w:r w:rsidR="00591F72" w:rsidRPr="00591F72">
        <w:t xml:space="preserve"> use and </w:t>
      </w:r>
      <w:proofErr w:type="spellStart"/>
      <w:r w:rsidR="00591F72" w:rsidRPr="00591F72">
        <w:t>eye</w:t>
      </w:r>
      <w:proofErr w:type="spellEnd"/>
      <w:r w:rsidR="00591F72" w:rsidRPr="00591F72">
        <w:t xml:space="preserve"> </w:t>
      </w:r>
      <w:r w:rsidR="00591F72" w:rsidRPr="00591F72">
        <w:lastRenderedPageBreak/>
        <w:t xml:space="preserve">drop instillation techniques. </w:t>
      </w:r>
      <w:proofErr w:type="spellStart"/>
      <w:r w:rsidR="00591F72" w:rsidRPr="00591F72">
        <w:t>These</w:t>
      </w:r>
      <w:proofErr w:type="spellEnd"/>
      <w:r w:rsidR="00591F72" w:rsidRPr="00591F72">
        <w:t xml:space="preserve"> </w:t>
      </w:r>
      <w:proofErr w:type="spellStart"/>
      <w:r w:rsidR="00591F72" w:rsidRPr="00591F72">
        <w:t>findings</w:t>
      </w:r>
      <w:proofErr w:type="spellEnd"/>
      <w:r w:rsidR="00591F72" w:rsidRPr="00591F72">
        <w:t xml:space="preserve"> </w:t>
      </w:r>
      <w:proofErr w:type="spellStart"/>
      <w:r w:rsidR="00591F72" w:rsidRPr="00591F72">
        <w:t>suggest</w:t>
      </w:r>
      <w:proofErr w:type="spellEnd"/>
      <w:r w:rsidR="00591F72" w:rsidRPr="00591F72">
        <w:t xml:space="preserve"> </w:t>
      </w:r>
      <w:proofErr w:type="spellStart"/>
      <w:r w:rsidR="00591F72" w:rsidRPr="00591F72">
        <w:t>that</w:t>
      </w:r>
      <w:proofErr w:type="spellEnd"/>
      <w:r w:rsidR="00591F72" w:rsidRPr="00591F72">
        <w:t xml:space="preserve"> patient </w:t>
      </w:r>
      <w:proofErr w:type="spellStart"/>
      <w:r w:rsidR="00591F72" w:rsidRPr="00591F72">
        <w:t>education</w:t>
      </w:r>
      <w:proofErr w:type="spellEnd"/>
      <w:r w:rsidR="00591F72" w:rsidRPr="00591F72">
        <w:t xml:space="preserve"> and </w:t>
      </w:r>
      <w:proofErr w:type="spellStart"/>
      <w:r w:rsidR="00591F72" w:rsidRPr="00591F72">
        <w:t>clear</w:t>
      </w:r>
      <w:proofErr w:type="spellEnd"/>
      <w:r w:rsidR="00591F72" w:rsidRPr="00591F72">
        <w:t xml:space="preserve"> </w:t>
      </w:r>
      <w:proofErr w:type="spellStart"/>
      <w:r w:rsidR="00591F72" w:rsidRPr="00591F72">
        <w:t>physician</w:t>
      </w:r>
      <w:proofErr w:type="spellEnd"/>
      <w:r w:rsidR="00591F72" w:rsidRPr="00591F72">
        <w:t xml:space="preserve">–patient communication </w:t>
      </w:r>
      <w:proofErr w:type="spellStart"/>
      <w:r w:rsidR="00591F72" w:rsidRPr="00591F72">
        <w:t>may</w:t>
      </w:r>
      <w:proofErr w:type="spellEnd"/>
      <w:r w:rsidR="00591F72" w:rsidRPr="00591F72">
        <w:t xml:space="preserve"> </w:t>
      </w:r>
      <w:proofErr w:type="spellStart"/>
      <w:r w:rsidR="00591F72" w:rsidRPr="00591F72">
        <w:t>play</w:t>
      </w:r>
      <w:proofErr w:type="spellEnd"/>
      <w:r w:rsidR="00591F72" w:rsidRPr="00591F72">
        <w:t xml:space="preserve"> a crucial </w:t>
      </w:r>
      <w:proofErr w:type="spellStart"/>
      <w:r w:rsidR="00591F72" w:rsidRPr="00591F72">
        <w:t>role</w:t>
      </w:r>
      <w:proofErr w:type="spellEnd"/>
      <w:r w:rsidR="00591F72" w:rsidRPr="00591F72">
        <w:t xml:space="preserve"> in </w:t>
      </w:r>
      <w:proofErr w:type="spellStart"/>
      <w:r w:rsidR="00591F72" w:rsidRPr="00591F72">
        <w:t>improving</w:t>
      </w:r>
      <w:proofErr w:type="spellEnd"/>
      <w:r w:rsidR="00591F72" w:rsidRPr="00591F72">
        <w:t xml:space="preserve"> long-</w:t>
      </w:r>
      <w:proofErr w:type="spellStart"/>
      <w:r w:rsidR="00591F72" w:rsidRPr="00591F72">
        <w:t>term</w:t>
      </w:r>
      <w:proofErr w:type="spellEnd"/>
      <w:r w:rsidR="00591F72" w:rsidRPr="00591F72">
        <w:t xml:space="preserve"> </w:t>
      </w:r>
      <w:proofErr w:type="spellStart"/>
      <w:r w:rsidR="00591F72" w:rsidRPr="00591F72">
        <w:t>treatment</w:t>
      </w:r>
      <w:proofErr w:type="spellEnd"/>
      <w:r w:rsidR="00591F72" w:rsidRPr="00591F72">
        <w:t xml:space="preserve"> </w:t>
      </w:r>
      <w:proofErr w:type="spellStart"/>
      <w:r w:rsidR="00591F72" w:rsidRPr="00591F72">
        <w:t>adherence</w:t>
      </w:r>
      <w:proofErr w:type="spellEnd"/>
      <w:r w:rsidR="00591F72" w:rsidRPr="00591F72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325"/>
        <w:gridCol w:w="30"/>
        <w:gridCol w:w="715"/>
      </w:tblGrid>
      <w:tr w:rsidR="00591F72" w:rsidRPr="00591F72" w14:paraId="236FBC5A" w14:textId="77777777" w:rsidTr="00591F72">
        <w:trPr>
          <w:gridAfter w:val="2"/>
          <w:wAfter w:w="700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577706" w14:textId="6F1EAFFF" w:rsidR="00591F72" w:rsidRPr="00591F72" w:rsidRDefault="00591F72" w:rsidP="00591F72">
            <w:pPr>
              <w:pStyle w:val="Normal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37DFD6A" w14:textId="75D847E2" w:rsidR="00591F72" w:rsidRPr="00591F72" w:rsidRDefault="00591F72" w:rsidP="00591F72">
            <w:pPr>
              <w:pStyle w:val="NormalWeb"/>
              <w:rPr>
                <w:b/>
                <w:bCs/>
              </w:rPr>
            </w:pPr>
          </w:p>
        </w:tc>
      </w:tr>
      <w:tr w:rsidR="00591F72" w:rsidRPr="00591F72" w14:paraId="29682C97" w14:textId="77777777" w:rsidTr="00591F72">
        <w:trPr>
          <w:gridAfter w:val="2"/>
          <w:wAfter w:w="700" w:type="dxa"/>
          <w:tblCellSpacing w:w="15" w:type="dxa"/>
        </w:trPr>
        <w:tc>
          <w:tcPr>
            <w:tcW w:w="0" w:type="auto"/>
            <w:vAlign w:val="center"/>
            <w:hideMark/>
          </w:tcPr>
          <w:p w14:paraId="1099914E" w14:textId="44EDE6B4" w:rsidR="00591F72" w:rsidRPr="00591F72" w:rsidRDefault="00591F72" w:rsidP="00591F72">
            <w:pPr>
              <w:pStyle w:val="NormalWeb"/>
            </w:pPr>
          </w:p>
        </w:tc>
        <w:tc>
          <w:tcPr>
            <w:tcW w:w="0" w:type="auto"/>
            <w:vAlign w:val="center"/>
            <w:hideMark/>
          </w:tcPr>
          <w:p w14:paraId="6E68112F" w14:textId="71589AA9" w:rsidR="00591F72" w:rsidRPr="00591F72" w:rsidRDefault="00591F72" w:rsidP="00591F72">
            <w:pPr>
              <w:pStyle w:val="NormalWeb"/>
            </w:pPr>
          </w:p>
        </w:tc>
      </w:tr>
      <w:tr w:rsidR="00591F72" w:rsidRPr="00591F72" w14:paraId="3378573F" w14:textId="77777777" w:rsidTr="00591F72">
        <w:trPr>
          <w:tblCellSpacing w:w="15" w:type="dxa"/>
        </w:trPr>
        <w:tc>
          <w:tcPr>
            <w:tcW w:w="2649" w:type="dxa"/>
            <w:gridSpan w:val="3"/>
            <w:vAlign w:val="center"/>
            <w:hideMark/>
          </w:tcPr>
          <w:p w14:paraId="1C8361B8" w14:textId="7BA559B1" w:rsidR="00591F72" w:rsidRPr="00591F72" w:rsidRDefault="00591F72" w:rsidP="00591F72">
            <w:pPr>
              <w:pStyle w:val="NormalWeb"/>
            </w:pPr>
          </w:p>
        </w:tc>
        <w:tc>
          <w:tcPr>
            <w:tcW w:w="621" w:type="dxa"/>
            <w:vAlign w:val="center"/>
            <w:hideMark/>
          </w:tcPr>
          <w:p w14:paraId="7748808B" w14:textId="40735952" w:rsidR="00591F72" w:rsidRPr="00591F72" w:rsidRDefault="00591F72" w:rsidP="00591F72">
            <w:pPr>
              <w:pStyle w:val="NormalWeb"/>
            </w:pPr>
          </w:p>
        </w:tc>
      </w:tr>
      <w:tr w:rsidR="00591F72" w:rsidRPr="00591F72" w14:paraId="6BA4CBE1" w14:textId="77777777" w:rsidTr="00591F72">
        <w:trPr>
          <w:tblCellSpacing w:w="15" w:type="dxa"/>
        </w:trPr>
        <w:tc>
          <w:tcPr>
            <w:tcW w:w="2649" w:type="dxa"/>
            <w:gridSpan w:val="3"/>
            <w:vAlign w:val="center"/>
          </w:tcPr>
          <w:p w14:paraId="2AB7E461" w14:textId="06F619B8" w:rsidR="00591F72" w:rsidRPr="00591F72" w:rsidRDefault="00591F72" w:rsidP="00591F72">
            <w:pPr>
              <w:pStyle w:val="NormalWeb"/>
            </w:pPr>
          </w:p>
        </w:tc>
        <w:tc>
          <w:tcPr>
            <w:tcW w:w="621" w:type="dxa"/>
            <w:vAlign w:val="center"/>
            <w:hideMark/>
          </w:tcPr>
          <w:p w14:paraId="6BC12491" w14:textId="6DB4615E" w:rsidR="00591F72" w:rsidRPr="00591F72" w:rsidRDefault="00591F72" w:rsidP="00591F72">
            <w:pPr>
              <w:pStyle w:val="NormalWeb"/>
            </w:pPr>
          </w:p>
        </w:tc>
      </w:tr>
    </w:tbl>
    <w:p w14:paraId="3B040D3A" w14:textId="393C4C1E" w:rsidR="00591F72" w:rsidRPr="00DF400D" w:rsidRDefault="00CB07F8" w:rsidP="001E334A">
      <w:pPr>
        <w:pStyle w:val="NormalWeb"/>
        <w:rPr>
          <w:b/>
          <w:bCs/>
        </w:rPr>
      </w:pPr>
      <w:r>
        <w:rPr>
          <w:b/>
          <w:bCs/>
        </w:rPr>
        <w:t>Table</w:t>
      </w:r>
      <w:r w:rsidR="00591F72" w:rsidRPr="00DF400D">
        <w:rPr>
          <w:b/>
          <w:bCs/>
        </w:rPr>
        <w:t xml:space="preserve"> 1. </w:t>
      </w:r>
      <w:proofErr w:type="spellStart"/>
      <w:r w:rsidR="00591F72" w:rsidRPr="00DF400D">
        <w:rPr>
          <w:b/>
          <w:bCs/>
        </w:rPr>
        <w:t>Treatment</w:t>
      </w:r>
      <w:proofErr w:type="spellEnd"/>
      <w:r w:rsidR="00591F72" w:rsidRPr="00DF400D">
        <w:rPr>
          <w:b/>
          <w:bCs/>
        </w:rPr>
        <w:t xml:space="preserve"> </w:t>
      </w:r>
      <w:proofErr w:type="spellStart"/>
      <w:r w:rsidR="00591F72" w:rsidRPr="00DF400D">
        <w:rPr>
          <w:b/>
          <w:bCs/>
        </w:rPr>
        <w:t>adherence</w:t>
      </w:r>
      <w:proofErr w:type="spellEnd"/>
      <w:r w:rsidR="00591F72" w:rsidRPr="00DF400D">
        <w:rPr>
          <w:b/>
          <w:bCs/>
        </w:rPr>
        <w:t xml:space="preserve"> </w:t>
      </w:r>
      <w:proofErr w:type="spellStart"/>
      <w:r w:rsidR="00591F72" w:rsidRPr="00DF400D">
        <w:rPr>
          <w:b/>
          <w:bCs/>
        </w:rPr>
        <w:t>among</w:t>
      </w:r>
      <w:proofErr w:type="spellEnd"/>
      <w:r w:rsidR="00591F72" w:rsidRPr="00DF400D">
        <w:rPr>
          <w:b/>
          <w:bCs/>
        </w:rPr>
        <w:t xml:space="preserve"> </w:t>
      </w:r>
      <w:proofErr w:type="spellStart"/>
      <w:r w:rsidR="00591F72" w:rsidRPr="00DF400D">
        <w:rPr>
          <w:b/>
          <w:bCs/>
        </w:rPr>
        <w:t>glaucoma</w:t>
      </w:r>
      <w:proofErr w:type="spellEnd"/>
      <w:r w:rsidR="00591F72" w:rsidRPr="00DF400D">
        <w:rPr>
          <w:b/>
          <w:bCs/>
        </w:rPr>
        <w:t xml:space="preserve">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</w:tblGrid>
      <w:tr w:rsidR="00591F72" w14:paraId="2E1FD634" w14:textId="77777777" w:rsidTr="00D038D3">
        <w:tc>
          <w:tcPr>
            <w:tcW w:w="3256" w:type="dxa"/>
          </w:tcPr>
          <w:p w14:paraId="620C4E19" w14:textId="0752B670" w:rsidR="00591F72" w:rsidRPr="00D038D3" w:rsidRDefault="00591F72" w:rsidP="00D038D3">
            <w:pPr>
              <w:pStyle w:val="NormalWeb"/>
              <w:jc w:val="center"/>
              <w:rPr>
                <w:rFonts w:ascii="Arial" w:hAnsi="Arial" w:cs="Arial"/>
              </w:rPr>
            </w:pPr>
            <w:proofErr w:type="spellStart"/>
            <w:r w:rsidRPr="00D038D3">
              <w:rPr>
                <w:rFonts w:ascii="Arial" w:hAnsi="Arial" w:cs="Arial"/>
                <w:b/>
                <w:bCs/>
              </w:rPr>
              <w:t>Adherence</w:t>
            </w:r>
            <w:proofErr w:type="spellEnd"/>
            <w:r w:rsidRPr="00D038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38D3">
              <w:rPr>
                <w:rFonts w:ascii="Arial" w:hAnsi="Arial" w:cs="Arial"/>
                <w:b/>
                <w:bCs/>
              </w:rPr>
              <w:t>category</w:t>
            </w:r>
            <w:proofErr w:type="spellEnd"/>
          </w:p>
        </w:tc>
        <w:tc>
          <w:tcPr>
            <w:tcW w:w="1842" w:type="dxa"/>
          </w:tcPr>
          <w:p w14:paraId="0D1D0A46" w14:textId="054AA94F" w:rsidR="00591F72" w:rsidRPr="00D038D3" w:rsidRDefault="00591F72" w:rsidP="00D038D3">
            <w:pPr>
              <w:pStyle w:val="NormalWeb"/>
              <w:jc w:val="center"/>
              <w:rPr>
                <w:rFonts w:ascii="Arial" w:hAnsi="Arial" w:cs="Arial"/>
              </w:rPr>
            </w:pPr>
            <w:r w:rsidRPr="00D038D3">
              <w:rPr>
                <w:rFonts w:ascii="Arial" w:hAnsi="Arial" w:cs="Arial"/>
                <w:b/>
                <w:bCs/>
              </w:rPr>
              <w:t>Percentage</w:t>
            </w:r>
          </w:p>
        </w:tc>
      </w:tr>
      <w:tr w:rsidR="00591F72" w14:paraId="5FE7630D" w14:textId="77777777" w:rsidTr="00D038D3">
        <w:tc>
          <w:tcPr>
            <w:tcW w:w="3256" w:type="dxa"/>
          </w:tcPr>
          <w:p w14:paraId="16695A44" w14:textId="75B866B2" w:rsidR="00591F72" w:rsidRPr="00D038D3" w:rsidRDefault="00591F72" w:rsidP="00D038D3">
            <w:pPr>
              <w:pStyle w:val="NormalWeb"/>
              <w:jc w:val="center"/>
              <w:rPr>
                <w:rFonts w:ascii="Arial" w:hAnsi="Arial" w:cs="Arial"/>
              </w:rPr>
            </w:pPr>
            <w:r w:rsidRPr="00D038D3">
              <w:rPr>
                <w:rFonts w:ascii="Arial" w:hAnsi="Arial" w:cs="Arial"/>
              </w:rPr>
              <w:t xml:space="preserve">Never </w:t>
            </w:r>
            <w:proofErr w:type="spellStart"/>
            <w:r w:rsidRPr="00D038D3">
              <w:rPr>
                <w:rFonts w:ascii="Arial" w:hAnsi="Arial" w:cs="Arial"/>
              </w:rPr>
              <w:t>forget</w:t>
            </w:r>
            <w:proofErr w:type="spellEnd"/>
            <w:r w:rsidRPr="00D038D3">
              <w:rPr>
                <w:rFonts w:ascii="Arial" w:hAnsi="Arial" w:cs="Arial"/>
              </w:rPr>
              <w:t xml:space="preserve"> </w:t>
            </w:r>
            <w:proofErr w:type="spellStart"/>
            <w:r w:rsidRPr="00D038D3">
              <w:rPr>
                <w:rFonts w:ascii="Arial" w:hAnsi="Arial" w:cs="Arial"/>
              </w:rPr>
              <w:t>medication</w:t>
            </w:r>
            <w:proofErr w:type="spellEnd"/>
          </w:p>
        </w:tc>
        <w:tc>
          <w:tcPr>
            <w:tcW w:w="1842" w:type="dxa"/>
          </w:tcPr>
          <w:p w14:paraId="62B8A038" w14:textId="6F3245BF" w:rsidR="00591F72" w:rsidRPr="00D038D3" w:rsidRDefault="00591F72" w:rsidP="00D038D3">
            <w:pPr>
              <w:pStyle w:val="NormalWeb"/>
              <w:jc w:val="center"/>
              <w:rPr>
                <w:rFonts w:ascii="Arial" w:hAnsi="Arial" w:cs="Arial"/>
              </w:rPr>
            </w:pPr>
            <w:r w:rsidRPr="00D038D3">
              <w:rPr>
                <w:rFonts w:ascii="Arial" w:hAnsi="Arial" w:cs="Arial"/>
              </w:rPr>
              <w:t>52.5%</w:t>
            </w:r>
          </w:p>
        </w:tc>
      </w:tr>
      <w:tr w:rsidR="00591F72" w14:paraId="226427B3" w14:textId="77777777" w:rsidTr="00D038D3">
        <w:tc>
          <w:tcPr>
            <w:tcW w:w="3256" w:type="dxa"/>
          </w:tcPr>
          <w:p w14:paraId="4ACFDA57" w14:textId="116ECE18" w:rsidR="00591F72" w:rsidRPr="00D038D3" w:rsidRDefault="00591F72" w:rsidP="00D038D3">
            <w:pPr>
              <w:pStyle w:val="NormalWeb"/>
              <w:jc w:val="center"/>
              <w:rPr>
                <w:rFonts w:ascii="Arial" w:hAnsi="Arial" w:cs="Arial"/>
              </w:rPr>
            </w:pPr>
            <w:proofErr w:type="spellStart"/>
            <w:r w:rsidRPr="00D038D3">
              <w:rPr>
                <w:rFonts w:ascii="Arial" w:hAnsi="Arial" w:cs="Arial"/>
              </w:rPr>
              <w:t>Occasional</w:t>
            </w:r>
            <w:proofErr w:type="spellEnd"/>
            <w:r w:rsidRPr="00D038D3">
              <w:rPr>
                <w:rFonts w:ascii="Arial" w:hAnsi="Arial" w:cs="Arial"/>
              </w:rPr>
              <w:t xml:space="preserve"> </w:t>
            </w:r>
            <w:proofErr w:type="spellStart"/>
            <w:r w:rsidRPr="00D038D3">
              <w:rPr>
                <w:rFonts w:ascii="Arial" w:hAnsi="Arial" w:cs="Arial"/>
              </w:rPr>
              <w:t>forgetfulness</w:t>
            </w:r>
            <w:proofErr w:type="spellEnd"/>
          </w:p>
        </w:tc>
        <w:tc>
          <w:tcPr>
            <w:tcW w:w="1842" w:type="dxa"/>
          </w:tcPr>
          <w:p w14:paraId="22F815AC" w14:textId="24367123" w:rsidR="00591F72" w:rsidRPr="00D038D3" w:rsidRDefault="00591F72" w:rsidP="00D038D3">
            <w:pPr>
              <w:pStyle w:val="NormalWeb"/>
              <w:jc w:val="center"/>
              <w:rPr>
                <w:rFonts w:ascii="Arial" w:hAnsi="Arial" w:cs="Arial"/>
              </w:rPr>
            </w:pPr>
            <w:r w:rsidRPr="00D038D3">
              <w:rPr>
                <w:rFonts w:ascii="Arial" w:hAnsi="Arial" w:cs="Arial"/>
              </w:rPr>
              <w:t>25%</w:t>
            </w:r>
          </w:p>
        </w:tc>
      </w:tr>
      <w:tr w:rsidR="00591F72" w14:paraId="28A134F4" w14:textId="77777777" w:rsidTr="00D038D3">
        <w:tc>
          <w:tcPr>
            <w:tcW w:w="3256" w:type="dxa"/>
            <w:vAlign w:val="center"/>
          </w:tcPr>
          <w:p w14:paraId="7753CB0D" w14:textId="2B0A7831" w:rsidR="00591F72" w:rsidRPr="00D038D3" w:rsidRDefault="00591F72" w:rsidP="00D038D3">
            <w:pPr>
              <w:pStyle w:val="NormalWeb"/>
              <w:jc w:val="center"/>
              <w:rPr>
                <w:rFonts w:ascii="Arial" w:hAnsi="Arial" w:cs="Arial"/>
              </w:rPr>
            </w:pPr>
            <w:proofErr w:type="spellStart"/>
            <w:r w:rsidRPr="00D038D3">
              <w:rPr>
                <w:rFonts w:ascii="Arial" w:hAnsi="Arial" w:cs="Arial"/>
              </w:rPr>
              <w:t>Frequent</w:t>
            </w:r>
            <w:proofErr w:type="spellEnd"/>
            <w:r w:rsidRPr="00D038D3">
              <w:rPr>
                <w:rFonts w:ascii="Arial" w:hAnsi="Arial" w:cs="Arial"/>
              </w:rPr>
              <w:t xml:space="preserve"> non-</w:t>
            </w:r>
            <w:proofErr w:type="spellStart"/>
            <w:r w:rsidRPr="00D038D3">
              <w:rPr>
                <w:rFonts w:ascii="Arial" w:hAnsi="Arial" w:cs="Arial"/>
              </w:rPr>
              <w:t>adherence</w:t>
            </w:r>
            <w:proofErr w:type="spellEnd"/>
          </w:p>
        </w:tc>
        <w:tc>
          <w:tcPr>
            <w:tcW w:w="1842" w:type="dxa"/>
          </w:tcPr>
          <w:p w14:paraId="64A1A76F" w14:textId="3C08457E" w:rsidR="00591F72" w:rsidRPr="00D038D3" w:rsidRDefault="00DF400D" w:rsidP="00D038D3">
            <w:pPr>
              <w:pStyle w:val="NormalWeb"/>
              <w:jc w:val="center"/>
              <w:rPr>
                <w:rFonts w:ascii="Arial" w:hAnsi="Arial" w:cs="Arial"/>
              </w:rPr>
            </w:pPr>
            <w:r w:rsidRPr="00D038D3">
              <w:rPr>
                <w:rFonts w:ascii="Arial" w:hAnsi="Arial" w:cs="Arial"/>
              </w:rPr>
              <w:t>22.5%</w:t>
            </w:r>
          </w:p>
        </w:tc>
      </w:tr>
    </w:tbl>
    <w:p w14:paraId="08114EBB" w14:textId="18817F79" w:rsidR="00591F72" w:rsidRDefault="00591F72" w:rsidP="001E334A">
      <w:pPr>
        <w:pStyle w:val="NormalWeb"/>
      </w:pPr>
    </w:p>
    <w:p w14:paraId="3DB09352" w14:textId="0EB3DF86" w:rsidR="001E334A" w:rsidRPr="001E334A" w:rsidRDefault="001E334A" w:rsidP="001E334A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remains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 major cause of </w:t>
      </w:r>
      <w:proofErr w:type="spellStart"/>
      <w:r w:rsidRPr="001E334A">
        <w:rPr>
          <w:rFonts w:ascii="Arial" w:hAnsi="Arial" w:cs="Arial"/>
          <w:sz w:val="22"/>
          <w:szCs w:val="22"/>
        </w:rPr>
        <w:t>irreversible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blindness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worldwide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</w:rPr>
        <w:t>requires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lifelong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</w:rPr>
        <w:t>regular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monitoring. </w:t>
      </w:r>
      <w:proofErr w:type="spellStart"/>
      <w:r w:rsidRPr="001E334A">
        <w:rPr>
          <w:rFonts w:ascii="Arial" w:hAnsi="Arial" w:cs="Arial"/>
          <w:sz w:val="22"/>
          <w:szCs w:val="22"/>
        </w:rPr>
        <w:t>Because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often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asymptomatic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its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early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stages, patient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essential to </w:t>
      </w:r>
      <w:proofErr w:type="spellStart"/>
      <w:r w:rsidRPr="001E334A">
        <w:rPr>
          <w:rFonts w:ascii="Arial" w:hAnsi="Arial" w:cs="Arial"/>
          <w:sz w:val="22"/>
          <w:szCs w:val="22"/>
        </w:rPr>
        <w:t>prevent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progression.</w:t>
      </w:r>
      <w:r>
        <w:rPr>
          <w:rFonts w:ascii="Arial" w:hAnsi="Arial" w:cs="Arial"/>
          <w:sz w:val="22"/>
          <w:szCs w:val="22"/>
        </w:rPr>
        <w:t> </w:t>
      </w:r>
      <w:r w:rsidRPr="001E334A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1E334A">
        <w:rPr>
          <w:rFonts w:ascii="Arial" w:hAnsi="Arial" w:cs="Arial"/>
          <w:sz w:val="22"/>
          <w:szCs w:val="22"/>
        </w:rPr>
        <w:t>our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1E334A">
        <w:rPr>
          <w:rFonts w:ascii="Arial" w:hAnsi="Arial" w:cs="Arial"/>
          <w:sz w:val="22"/>
          <w:szCs w:val="22"/>
        </w:rPr>
        <w:t>majority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patients </w:t>
      </w:r>
      <w:proofErr w:type="spellStart"/>
      <w:r w:rsidRPr="001E334A">
        <w:rPr>
          <w:rFonts w:ascii="Arial" w:hAnsi="Arial" w:cs="Arial"/>
          <w:sz w:val="22"/>
          <w:szCs w:val="22"/>
        </w:rPr>
        <w:t>were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aware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</w:rPr>
        <w:t>chronic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nature of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the </w:t>
      </w:r>
      <w:proofErr w:type="spellStart"/>
      <w:r w:rsidRPr="001E334A">
        <w:rPr>
          <w:rFonts w:ascii="Arial" w:hAnsi="Arial" w:cs="Arial"/>
          <w:sz w:val="22"/>
          <w:szCs w:val="22"/>
        </w:rPr>
        <w:t>necessity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lifelong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This </w:t>
      </w:r>
      <w:proofErr w:type="spellStart"/>
      <w:r w:rsidRPr="001E334A">
        <w:rPr>
          <w:rFonts w:ascii="Arial" w:hAnsi="Arial" w:cs="Arial"/>
          <w:sz w:val="22"/>
          <w:szCs w:val="22"/>
        </w:rPr>
        <w:t>level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awareness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comparable to </w:t>
      </w:r>
      <w:proofErr w:type="spellStart"/>
      <w:r w:rsidRPr="001E334A">
        <w:rPr>
          <w:rFonts w:ascii="Arial" w:hAnsi="Arial" w:cs="Arial"/>
          <w:sz w:val="22"/>
          <w:szCs w:val="22"/>
        </w:rPr>
        <w:t>findings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reported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previous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studies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evaluating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However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</w:rPr>
        <w:t>despite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satisfactory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awareness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severity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remains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suboptimal. </w:t>
      </w:r>
      <w:proofErr w:type="spellStart"/>
      <w:r w:rsidRPr="001E334A">
        <w:rPr>
          <w:rFonts w:ascii="Arial" w:hAnsi="Arial" w:cs="Arial"/>
          <w:sz w:val="22"/>
          <w:szCs w:val="22"/>
        </w:rPr>
        <w:t>Nearly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one quarter of patients </w:t>
      </w:r>
      <w:proofErr w:type="spellStart"/>
      <w:r w:rsidRPr="001E334A">
        <w:rPr>
          <w:rFonts w:ascii="Arial" w:hAnsi="Arial" w:cs="Arial"/>
          <w:sz w:val="22"/>
          <w:szCs w:val="22"/>
        </w:rPr>
        <w:t>reported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frequent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forgetfulness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regarding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</w:rPr>
        <w:t>Similar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observations have been </w:t>
      </w:r>
      <w:proofErr w:type="spellStart"/>
      <w:r w:rsidRPr="001E334A">
        <w:rPr>
          <w:rFonts w:ascii="Arial" w:hAnsi="Arial" w:cs="Arial"/>
          <w:sz w:val="22"/>
          <w:szCs w:val="22"/>
        </w:rPr>
        <w:t>reported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several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studies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investigating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E334A">
        <w:rPr>
          <w:rFonts w:ascii="Arial" w:hAnsi="Arial" w:cs="Arial"/>
          <w:sz w:val="22"/>
          <w:szCs w:val="22"/>
        </w:rPr>
        <w:t xml:space="preserve">One of the </w:t>
      </w:r>
      <w:proofErr w:type="spellStart"/>
      <w:r w:rsidRPr="001E334A">
        <w:rPr>
          <w:rFonts w:ascii="Arial" w:hAnsi="Arial" w:cs="Arial"/>
          <w:sz w:val="22"/>
          <w:szCs w:val="22"/>
        </w:rPr>
        <w:t>factors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contribute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poor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our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population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1E334A">
        <w:rPr>
          <w:rFonts w:ascii="Arial" w:hAnsi="Arial" w:cs="Arial"/>
          <w:sz w:val="22"/>
          <w:szCs w:val="22"/>
        </w:rPr>
        <w:t>relatively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low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level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many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patients. </w:t>
      </w:r>
      <w:proofErr w:type="spellStart"/>
      <w:r w:rsidRPr="001E334A">
        <w:rPr>
          <w:rFonts w:ascii="Arial" w:hAnsi="Arial" w:cs="Arial"/>
          <w:sz w:val="22"/>
          <w:szCs w:val="22"/>
        </w:rPr>
        <w:t>Nearly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one </w:t>
      </w:r>
      <w:proofErr w:type="spellStart"/>
      <w:r w:rsidRPr="001E334A">
        <w:rPr>
          <w:rFonts w:ascii="Arial" w:hAnsi="Arial" w:cs="Arial"/>
          <w:sz w:val="22"/>
          <w:szCs w:val="22"/>
        </w:rPr>
        <w:t>third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patients in </w:t>
      </w:r>
      <w:proofErr w:type="spellStart"/>
      <w:r w:rsidRPr="001E334A">
        <w:rPr>
          <w:rFonts w:ascii="Arial" w:hAnsi="Arial" w:cs="Arial"/>
          <w:sz w:val="22"/>
          <w:szCs w:val="22"/>
        </w:rPr>
        <w:t>our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were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illiterate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Limited </w:t>
      </w:r>
      <w:proofErr w:type="spellStart"/>
      <w:r w:rsidRPr="001E334A">
        <w:rPr>
          <w:rFonts w:ascii="Arial" w:hAnsi="Arial" w:cs="Arial"/>
          <w:sz w:val="22"/>
          <w:szCs w:val="22"/>
        </w:rPr>
        <w:t>health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literacy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affect patients’ </w:t>
      </w:r>
      <w:proofErr w:type="spellStart"/>
      <w:r w:rsidRPr="001E334A">
        <w:rPr>
          <w:rFonts w:ascii="Arial" w:hAnsi="Arial" w:cs="Arial"/>
          <w:sz w:val="22"/>
          <w:szCs w:val="22"/>
        </w:rPr>
        <w:t>ability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understand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instructions and </w:t>
      </w:r>
      <w:proofErr w:type="spellStart"/>
      <w:r w:rsidRPr="001E334A">
        <w:rPr>
          <w:rFonts w:ascii="Arial" w:hAnsi="Arial" w:cs="Arial"/>
          <w:sz w:val="22"/>
          <w:szCs w:val="22"/>
        </w:rPr>
        <w:t>recognize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the importance of strict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therapy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Another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important </w:t>
      </w:r>
      <w:proofErr w:type="spellStart"/>
      <w:r w:rsidRPr="001E334A">
        <w:rPr>
          <w:rFonts w:ascii="Arial" w:hAnsi="Arial" w:cs="Arial"/>
          <w:sz w:val="22"/>
          <w:szCs w:val="22"/>
        </w:rPr>
        <w:t>finding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fewer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half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patients </w:t>
      </w:r>
      <w:proofErr w:type="spellStart"/>
      <w:r w:rsidRPr="001E334A">
        <w:rPr>
          <w:rFonts w:ascii="Arial" w:hAnsi="Arial" w:cs="Arial"/>
          <w:sz w:val="22"/>
          <w:szCs w:val="22"/>
        </w:rPr>
        <w:t>reported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receiving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instructions on the correct technique for </w:t>
      </w:r>
      <w:proofErr w:type="spellStart"/>
      <w:r w:rsidRPr="001E334A">
        <w:rPr>
          <w:rFonts w:ascii="Arial" w:hAnsi="Arial" w:cs="Arial"/>
          <w:sz w:val="22"/>
          <w:szCs w:val="22"/>
        </w:rPr>
        <w:t>instilling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eye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drops. </w:t>
      </w:r>
      <w:proofErr w:type="spellStart"/>
      <w:r w:rsidRPr="001E334A">
        <w:rPr>
          <w:rFonts w:ascii="Arial" w:hAnsi="Arial" w:cs="Arial"/>
          <w:sz w:val="22"/>
          <w:szCs w:val="22"/>
        </w:rPr>
        <w:t>Improper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eye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drop instillation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reduce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efficacy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</w:rPr>
        <w:t>contribute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poor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intraocular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pressure control.</w:t>
      </w:r>
      <w:r>
        <w:rPr>
          <w:rFonts w:ascii="Arial" w:hAnsi="Arial" w:cs="Arial"/>
          <w:sz w:val="22"/>
          <w:szCs w:val="22"/>
        </w:rPr>
        <w:t xml:space="preserve"> </w:t>
      </w:r>
      <w:r w:rsidRPr="001E334A">
        <w:rPr>
          <w:rFonts w:ascii="Arial" w:hAnsi="Arial" w:cs="Arial"/>
          <w:sz w:val="22"/>
          <w:szCs w:val="22"/>
        </w:rPr>
        <w:t xml:space="preserve">Effective communication </w:t>
      </w:r>
      <w:proofErr w:type="spellStart"/>
      <w:r w:rsidRPr="001E334A">
        <w:rPr>
          <w:rFonts w:ascii="Arial" w:hAnsi="Arial" w:cs="Arial"/>
          <w:sz w:val="22"/>
          <w:szCs w:val="22"/>
        </w:rPr>
        <w:t>between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physicians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patients </w:t>
      </w:r>
      <w:proofErr w:type="spellStart"/>
      <w:r w:rsidRPr="001E334A">
        <w:rPr>
          <w:rFonts w:ascii="Arial" w:hAnsi="Arial" w:cs="Arial"/>
          <w:sz w:val="22"/>
          <w:szCs w:val="22"/>
        </w:rPr>
        <w:t>plays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E334A">
        <w:rPr>
          <w:rFonts w:ascii="Arial" w:hAnsi="Arial" w:cs="Arial"/>
          <w:sz w:val="22"/>
          <w:szCs w:val="22"/>
        </w:rPr>
        <w:t>critical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role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improving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>. Patient-</w:t>
      </w:r>
      <w:proofErr w:type="spellStart"/>
      <w:r w:rsidRPr="001E334A">
        <w:rPr>
          <w:rFonts w:ascii="Arial" w:hAnsi="Arial" w:cs="Arial"/>
          <w:sz w:val="22"/>
          <w:szCs w:val="22"/>
        </w:rPr>
        <w:t>centered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communication </w:t>
      </w:r>
      <w:proofErr w:type="spellStart"/>
      <w:r w:rsidRPr="001E334A">
        <w:rPr>
          <w:rFonts w:ascii="Arial" w:hAnsi="Arial" w:cs="Arial"/>
          <w:sz w:val="22"/>
          <w:szCs w:val="22"/>
        </w:rPr>
        <w:t>strategies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can help </w:t>
      </w:r>
      <w:proofErr w:type="spellStart"/>
      <w:r w:rsidRPr="001E334A">
        <w:rPr>
          <w:rFonts w:ascii="Arial" w:hAnsi="Arial" w:cs="Arial"/>
          <w:sz w:val="22"/>
          <w:szCs w:val="22"/>
        </w:rPr>
        <w:t>ensure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patients </w:t>
      </w:r>
      <w:proofErr w:type="spellStart"/>
      <w:r w:rsidRPr="001E334A">
        <w:rPr>
          <w:rFonts w:ascii="Arial" w:hAnsi="Arial" w:cs="Arial"/>
          <w:sz w:val="22"/>
          <w:szCs w:val="22"/>
        </w:rPr>
        <w:t>understand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the nature of </w:t>
      </w:r>
      <w:proofErr w:type="spellStart"/>
      <w:r w:rsidRPr="001E334A">
        <w:rPr>
          <w:rFonts w:ascii="Arial" w:hAnsi="Arial" w:cs="Arial"/>
          <w:sz w:val="22"/>
          <w:szCs w:val="22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the importance of long-</w:t>
      </w:r>
      <w:proofErr w:type="spellStart"/>
      <w:r w:rsidRPr="001E334A">
        <w:rPr>
          <w:rFonts w:ascii="Arial" w:hAnsi="Arial" w:cs="Arial"/>
          <w:sz w:val="22"/>
          <w:szCs w:val="22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Several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studies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have </w:t>
      </w:r>
      <w:proofErr w:type="spellStart"/>
      <w:r w:rsidRPr="001E334A">
        <w:rPr>
          <w:rFonts w:ascii="Arial" w:hAnsi="Arial" w:cs="Arial"/>
          <w:sz w:val="22"/>
          <w:szCs w:val="22"/>
        </w:rPr>
        <w:t>demonstrated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structured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therapeutic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education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programs can </w:t>
      </w:r>
      <w:proofErr w:type="spellStart"/>
      <w:r w:rsidRPr="001E334A">
        <w:rPr>
          <w:rFonts w:ascii="Arial" w:hAnsi="Arial" w:cs="Arial"/>
          <w:sz w:val="22"/>
          <w:szCs w:val="22"/>
        </w:rPr>
        <w:t>significantly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improve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interventions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include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demonstration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proper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eye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drop instillation techniques, </w:t>
      </w:r>
      <w:proofErr w:type="spellStart"/>
      <w:r w:rsidRPr="001E334A">
        <w:rPr>
          <w:rFonts w:ascii="Arial" w:hAnsi="Arial" w:cs="Arial"/>
          <w:sz w:val="22"/>
          <w:szCs w:val="22"/>
        </w:rPr>
        <w:t>simplified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instructions, and </w:t>
      </w:r>
      <w:proofErr w:type="spellStart"/>
      <w:r w:rsidRPr="001E334A">
        <w:rPr>
          <w:rFonts w:ascii="Arial" w:hAnsi="Arial" w:cs="Arial"/>
          <w:sz w:val="22"/>
          <w:szCs w:val="22"/>
        </w:rPr>
        <w:t>regular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reinforcement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goals.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Such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programs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also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empower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patients to </w:t>
      </w:r>
      <w:proofErr w:type="spellStart"/>
      <w:r w:rsidRPr="001E334A">
        <w:rPr>
          <w:rFonts w:ascii="Arial" w:hAnsi="Arial" w:cs="Arial"/>
          <w:sz w:val="22"/>
          <w:szCs w:val="22"/>
        </w:rPr>
        <w:t>become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1E334A">
        <w:rPr>
          <w:rFonts w:ascii="Arial" w:hAnsi="Arial" w:cs="Arial"/>
          <w:sz w:val="22"/>
          <w:szCs w:val="22"/>
        </w:rPr>
        <w:t>actively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involved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own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care, </w:t>
      </w:r>
      <w:proofErr w:type="spellStart"/>
      <w:r w:rsidRPr="001E334A">
        <w:rPr>
          <w:rFonts w:ascii="Arial" w:hAnsi="Arial" w:cs="Arial"/>
          <w:sz w:val="22"/>
          <w:szCs w:val="22"/>
        </w:rPr>
        <w:t>ultimately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improving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long-</w:t>
      </w:r>
      <w:proofErr w:type="spellStart"/>
      <w:r w:rsidRPr="001E334A">
        <w:rPr>
          <w:rFonts w:ascii="Arial" w:hAnsi="Arial" w:cs="Arial"/>
          <w:sz w:val="22"/>
          <w:szCs w:val="22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outcomes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  <w:r w:rsidR="00591F72">
        <w:rPr>
          <w:rFonts w:ascii="Arial" w:hAnsi="Arial" w:cs="Arial"/>
          <w:sz w:val="22"/>
          <w:szCs w:val="22"/>
        </w:rPr>
        <w:t xml:space="preserve"> </w:t>
      </w:r>
      <w:r w:rsidR="00591F72" w:rsidRPr="00591F72">
        <w:rPr>
          <w:rFonts w:ascii="Arial" w:hAnsi="Arial" w:cs="Arial"/>
          <w:sz w:val="22"/>
          <w:szCs w:val="22"/>
        </w:rPr>
        <w:t xml:space="preserve">Our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findings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highlight the importance of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therapeutic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patient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education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improving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glaucoma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management.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Several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studies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have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demonstrated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that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structured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educational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interventions can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significantly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enhance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patients’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understanding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disease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improve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adherence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topical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therapy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Educational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programs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may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include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demonstration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of correct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eye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drop instillation techniques,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simplified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treatment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instructions, and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reinforcement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of the importance of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regular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follow-up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visits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Such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interventions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may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empower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patients to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actively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participate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their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care and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contribute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better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long-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term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control of </w:t>
      </w:r>
      <w:proofErr w:type="spellStart"/>
      <w:r w:rsidR="00591F72" w:rsidRPr="00591F72">
        <w:rPr>
          <w:rFonts w:ascii="Arial" w:hAnsi="Arial" w:cs="Arial"/>
          <w:sz w:val="22"/>
          <w:szCs w:val="22"/>
        </w:rPr>
        <w:t>intraocular</w:t>
      </w:r>
      <w:proofErr w:type="spellEnd"/>
      <w:r w:rsidR="00591F72" w:rsidRPr="00591F72">
        <w:rPr>
          <w:rFonts w:ascii="Arial" w:hAnsi="Arial" w:cs="Arial"/>
          <w:sz w:val="22"/>
          <w:szCs w:val="22"/>
        </w:rPr>
        <w:t xml:space="preserve"> pressure.</w:t>
      </w:r>
    </w:p>
    <w:p w14:paraId="66368204" w14:textId="092B08E3" w:rsidR="006D3981" w:rsidRDefault="006D3981" w:rsidP="006D3981">
      <w:pPr>
        <w:pStyle w:val="NormalWeb"/>
      </w:pPr>
    </w:p>
    <w:p w14:paraId="1CC3D1C6" w14:textId="77777777" w:rsidR="00D60B50" w:rsidRDefault="00D60B50" w:rsidP="00D60B50">
      <w:pPr>
        <w:pStyle w:val="Body"/>
        <w:rPr>
          <w:rFonts w:ascii="Arial" w:hAnsi="Arial" w:cs="Arial"/>
        </w:rPr>
      </w:pPr>
    </w:p>
    <w:p w14:paraId="67517664" w14:textId="17B24D37" w:rsidR="006D3981" w:rsidRDefault="00D60B50" w:rsidP="00D60B50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6D3981">
        <w:rPr>
          <w:rFonts w:ascii="Arial" w:hAnsi="Arial" w:cs="Arial"/>
        </w:rPr>
        <w:t>LIMITATIONS</w:t>
      </w:r>
    </w:p>
    <w:p w14:paraId="2E48E73C" w14:textId="01CC8468" w:rsidR="006D3981" w:rsidRPr="001E334A" w:rsidRDefault="001E334A" w:rsidP="00D60B50">
      <w:pPr>
        <w:pStyle w:val="Body"/>
        <w:rPr>
          <w:rFonts w:ascii="Arial" w:hAnsi="Arial" w:cs="Arial"/>
          <w:sz w:val="22"/>
          <w:szCs w:val="22"/>
        </w:rPr>
      </w:pPr>
      <w:r w:rsidRPr="001E334A">
        <w:rPr>
          <w:rFonts w:ascii="Arial" w:hAnsi="Arial" w:cs="Arial"/>
          <w:sz w:val="22"/>
          <w:szCs w:val="22"/>
        </w:rPr>
        <w:t>This study has several limitations. First, it was conducted at a single tertiary center, which may limit the generalizability of the results. Second, treatment adherence was self-reported by patients and may therefore be subject to reporting bias.</w:t>
      </w:r>
    </w:p>
    <w:p w14:paraId="6F34E4F8" w14:textId="636A40AD" w:rsidR="00D60B50" w:rsidRDefault="006D3981" w:rsidP="00D60B50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D60B50">
        <w:rPr>
          <w:rFonts w:ascii="Arial" w:hAnsi="Arial" w:cs="Arial"/>
        </w:rPr>
        <w:t xml:space="preserve"> CONCLUSION</w:t>
      </w:r>
    </w:p>
    <w:p w14:paraId="20248DF2" w14:textId="30B10583" w:rsidR="001E334A" w:rsidRDefault="001E334A" w:rsidP="001E334A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E334A">
        <w:rPr>
          <w:rFonts w:ascii="Arial" w:hAnsi="Arial" w:cs="Arial"/>
          <w:sz w:val="22"/>
          <w:szCs w:val="22"/>
        </w:rPr>
        <w:lastRenderedPageBreak/>
        <w:t>Moroccan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patients </w:t>
      </w:r>
      <w:proofErr w:type="spellStart"/>
      <w:r w:rsidRPr="001E334A">
        <w:rPr>
          <w:rFonts w:ascii="Arial" w:hAnsi="Arial" w:cs="Arial"/>
          <w:sz w:val="22"/>
          <w:szCs w:val="22"/>
        </w:rPr>
        <w:t>demonstrate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relatively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good </w:t>
      </w:r>
      <w:proofErr w:type="spellStart"/>
      <w:r w:rsidRPr="001E334A">
        <w:rPr>
          <w:rFonts w:ascii="Arial" w:hAnsi="Arial" w:cs="Arial"/>
          <w:sz w:val="22"/>
          <w:szCs w:val="22"/>
        </w:rPr>
        <w:t>awareness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</w:rPr>
        <w:t>potential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severity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</w:rPr>
        <w:t>However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remains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suboptimal due to </w:t>
      </w:r>
      <w:proofErr w:type="spellStart"/>
      <w:r w:rsidRPr="001E334A">
        <w:rPr>
          <w:rFonts w:ascii="Arial" w:hAnsi="Arial" w:cs="Arial"/>
          <w:sz w:val="22"/>
          <w:szCs w:val="22"/>
        </w:rPr>
        <w:t>insufficient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use and </w:t>
      </w:r>
      <w:proofErr w:type="spellStart"/>
      <w:r w:rsidRPr="001E334A">
        <w:rPr>
          <w:rFonts w:ascii="Arial" w:hAnsi="Arial" w:cs="Arial"/>
          <w:sz w:val="22"/>
          <w:szCs w:val="22"/>
        </w:rPr>
        <w:t>eye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drop instillation techniques.</w:t>
      </w:r>
      <w:r w:rsidR="00DA0257">
        <w:rPr>
          <w:rFonts w:ascii="Arial" w:hAnsi="Arial" w:cs="Arial"/>
          <w:sz w:val="22"/>
          <w:szCs w:val="22"/>
        </w:rPr>
        <w:t xml:space="preserve"> </w:t>
      </w:r>
      <w:r w:rsidRPr="001E334A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1E334A">
        <w:rPr>
          <w:rFonts w:ascii="Arial" w:hAnsi="Arial" w:cs="Arial"/>
          <w:sz w:val="22"/>
          <w:szCs w:val="22"/>
        </w:rPr>
        <w:t>implementation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structured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therapeutic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education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programs </w:t>
      </w:r>
      <w:proofErr w:type="spellStart"/>
      <w:r w:rsidRPr="001E334A">
        <w:rPr>
          <w:rFonts w:ascii="Arial" w:hAnsi="Arial" w:cs="Arial"/>
          <w:sz w:val="22"/>
          <w:szCs w:val="22"/>
        </w:rPr>
        <w:t>could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significantly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improve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>, and long-</w:t>
      </w:r>
      <w:proofErr w:type="spellStart"/>
      <w:r w:rsidRPr="001E334A">
        <w:rPr>
          <w:rFonts w:ascii="Arial" w:hAnsi="Arial" w:cs="Arial"/>
          <w:sz w:val="22"/>
          <w:szCs w:val="22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control.</w:t>
      </w:r>
    </w:p>
    <w:p w14:paraId="122D4337" w14:textId="6D78598A" w:rsidR="00D15BBD" w:rsidRDefault="00D15BBD" w:rsidP="001E334A">
      <w:pPr>
        <w:pStyle w:val="NormalWeb"/>
        <w:rPr>
          <w:rFonts w:ascii="Arial" w:hAnsi="Arial" w:cs="Arial"/>
          <w:sz w:val="22"/>
          <w:szCs w:val="22"/>
        </w:rPr>
      </w:pPr>
    </w:p>
    <w:p w14:paraId="25C520F6" w14:textId="77777777" w:rsidR="00D15BBD" w:rsidRPr="00005ED1" w:rsidRDefault="00D15BBD" w:rsidP="00D15BBD">
      <w:pPr>
        <w:pStyle w:val="NoSpacing"/>
        <w:rPr>
          <w:rFonts w:ascii="Arial" w:hAnsi="Arial" w:cs="Arial"/>
          <w:highlight w:val="yellow"/>
        </w:rPr>
      </w:pPr>
      <w:bookmarkStart w:id="1" w:name="_Hlk219284361"/>
      <w:bookmarkStart w:id="2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14:paraId="168E3BDC" w14:textId="77777777" w:rsidR="00D15BBD" w:rsidRPr="00005ED1" w:rsidRDefault="00D15BBD" w:rsidP="00D15BBD">
      <w:pPr>
        <w:pStyle w:val="NoSpacing"/>
        <w:rPr>
          <w:rFonts w:ascii="Arial" w:hAnsi="Arial" w:cs="Arial"/>
          <w:highlight w:val="yellow"/>
        </w:rPr>
      </w:pPr>
    </w:p>
    <w:p w14:paraId="699B2D21" w14:textId="77777777" w:rsidR="00D15BBD" w:rsidRPr="00005ED1" w:rsidRDefault="00D15BBD" w:rsidP="00D15BBD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>, COPILOT, etc.) and text-to-image generators have been used during the writing or editing of this manuscript</w:t>
      </w:r>
      <w:bookmarkEnd w:id="1"/>
      <w:r w:rsidRPr="00005ED1">
        <w:rPr>
          <w:rFonts w:ascii="Arial" w:hAnsi="Arial" w:cs="Arial"/>
          <w:highlight w:val="yellow"/>
        </w:rPr>
        <w:t xml:space="preserve">. </w:t>
      </w:r>
    </w:p>
    <w:bookmarkEnd w:id="2"/>
    <w:p w14:paraId="3D0FE4B1" w14:textId="77777777" w:rsidR="00D15BBD" w:rsidRPr="001E334A" w:rsidRDefault="00D15BBD" w:rsidP="001E334A">
      <w:pPr>
        <w:pStyle w:val="NormalWeb"/>
        <w:rPr>
          <w:rFonts w:ascii="Arial" w:hAnsi="Arial" w:cs="Arial"/>
          <w:sz w:val="22"/>
          <w:szCs w:val="22"/>
        </w:rPr>
      </w:pPr>
    </w:p>
    <w:p w14:paraId="11FB821E" w14:textId="77777777" w:rsidR="00696340" w:rsidRDefault="00696340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3B311AE" w14:textId="77777777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624182AE" w14:textId="69E2DC87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Dugast P, Thiboust P, Blumen-Ohana E, Nordmann JP. Is therapeutic education needed for patients with open-angle glaucoma? Preliminary survey of patients’ knowledge and treatment adherence. J Fr Ophtalmol. 2016;39(6):527-534.</w:t>
      </w:r>
    </w:p>
    <w:p w14:paraId="43F73F49" w14:textId="487A797F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 xml:space="preserve">Welge-Luessen U, Weise S, Yu AL. Assessing the adherence behavior of glaucoma patients to topical eye drops. Patient Prefer Adherence. </w:t>
      </w:r>
      <w:proofErr w:type="gramStart"/>
      <w:r w:rsidRPr="001E334A">
        <w:rPr>
          <w:rFonts w:ascii="Arial" w:hAnsi="Arial" w:cs="Arial"/>
          <w:b w:val="0"/>
          <w:sz w:val="20"/>
        </w:rPr>
        <w:t>2014;9:17</w:t>
      </w:r>
      <w:proofErr w:type="gramEnd"/>
      <w:r w:rsidRPr="001E334A">
        <w:rPr>
          <w:rFonts w:ascii="Arial" w:hAnsi="Arial" w:cs="Arial"/>
          <w:b w:val="0"/>
          <w:sz w:val="20"/>
        </w:rPr>
        <w:t>-23.</w:t>
      </w:r>
    </w:p>
    <w:p w14:paraId="6286B248" w14:textId="37D16664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Hahn SR. Patient-centered communication to assess and enhance patient adherence to glaucoma medication. Ophthalmology. 2009;116(11 Suppl</w:t>
      </w:r>
      <w:proofErr w:type="gramStart"/>
      <w:r w:rsidRPr="001E334A">
        <w:rPr>
          <w:rFonts w:ascii="Arial" w:hAnsi="Arial" w:cs="Arial"/>
          <w:b w:val="0"/>
          <w:sz w:val="20"/>
        </w:rPr>
        <w:t>):S</w:t>
      </w:r>
      <w:proofErr w:type="gramEnd"/>
      <w:r w:rsidRPr="001E334A">
        <w:rPr>
          <w:rFonts w:ascii="Arial" w:hAnsi="Arial" w:cs="Arial"/>
          <w:b w:val="0"/>
          <w:sz w:val="20"/>
        </w:rPr>
        <w:t>37-S42.</w:t>
      </w:r>
    </w:p>
    <w:p w14:paraId="12EFE13D" w14:textId="5F402EB1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World Health Organization Regional Office for Europe. Therapeutic patient education: continuing education programmes for health care providers in the field of chronic disease. Copenhagen: WHO Regional Office for Europe; 1998.</w:t>
      </w:r>
    </w:p>
    <w:p w14:paraId="0872ABDF" w14:textId="7110745D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Quaranta L, Riva I, Floriani I, Galli F, Katsanos A, Konstas AGP. Adherence and persistence to medical therapy in glaucoma: an overview. Eye (Lond). 2023.</w:t>
      </w:r>
    </w:p>
    <w:p w14:paraId="31D83EE1" w14:textId="00F03D45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Moore SG, Vernon SA. Factors affecting glaucoma medication adherence and interventions to improve compliance. Adv Ther. 2023.</w:t>
      </w:r>
    </w:p>
    <w:p w14:paraId="4FF0FC74" w14:textId="5D8BA337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Okeke CO, Quigley HA, Jampel HD, Ying GS, Plyler RJ, Jiang Y, et al. Adherence with topical glaucoma medication monitored electronically. Ophthalmology. 2009;116(2):191-199.</w:t>
      </w:r>
    </w:p>
    <w:p w14:paraId="6B11C940" w14:textId="77777777" w:rsidR="001E334A" w:rsidRPr="001E334A" w:rsidRDefault="001E334A" w:rsidP="001E334A">
      <w:pPr>
        <w:pStyle w:val="Appendix"/>
        <w:jc w:val="both"/>
        <w:rPr>
          <w:rFonts w:ascii="Arial" w:hAnsi="Arial" w:cs="Arial"/>
          <w:b w:val="0"/>
          <w:sz w:val="20"/>
        </w:rPr>
      </w:pPr>
    </w:p>
    <w:p w14:paraId="246297A9" w14:textId="604A6E4D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Friedman DS, Hahn SR, Gelb L, Tan J, Shah SN, Kim EE, et al. Doctor–patient communication, health-related beliefs, and adherence in glaucoma. Ophthalmology. 2008;115(8):1320-1327.</w:t>
      </w:r>
    </w:p>
    <w:p w14:paraId="7560E829" w14:textId="77777777" w:rsidR="001E334A" w:rsidRPr="001E334A" w:rsidRDefault="001E334A" w:rsidP="001E334A">
      <w:pPr>
        <w:pStyle w:val="Appendix"/>
        <w:jc w:val="both"/>
        <w:rPr>
          <w:rFonts w:ascii="Arial" w:hAnsi="Arial" w:cs="Arial"/>
          <w:b w:val="0"/>
          <w:sz w:val="20"/>
        </w:rPr>
      </w:pPr>
    </w:p>
    <w:p w14:paraId="21B76ED3" w14:textId="59D89D36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Newman-Casey PA, Robin AL, Blachley T, Farris K, Heisler M, Resnicow K, et al. The most common barriers to glaucoma medication adherence: a cross-sectional survey. Ophthalmology. 2015;122(7):1308-1316.</w:t>
      </w:r>
    </w:p>
    <w:p w14:paraId="152346EF" w14:textId="77777777" w:rsidR="001E334A" w:rsidRPr="001E334A" w:rsidRDefault="001E334A" w:rsidP="001E334A">
      <w:pPr>
        <w:pStyle w:val="Appendix"/>
        <w:jc w:val="both"/>
        <w:rPr>
          <w:rFonts w:ascii="Arial" w:hAnsi="Arial" w:cs="Arial"/>
          <w:b w:val="0"/>
          <w:sz w:val="20"/>
        </w:rPr>
      </w:pPr>
    </w:p>
    <w:p w14:paraId="5EE557D4" w14:textId="2592E070" w:rsidR="00B01FCD" w:rsidRDefault="001E334A" w:rsidP="00C36656">
      <w:pPr>
        <w:pStyle w:val="Appendix"/>
        <w:numPr>
          <w:ilvl w:val="0"/>
          <w:numId w:val="36"/>
        </w:numPr>
        <w:spacing w:after="0"/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Abaidoo B, Govender-Poonsamy P, Mashige KP. Short- and long-term effectiveness of interventions for improving adherence to glaucoma medications. Afr Vision Eye Health. 2025.</w:t>
      </w:r>
    </w:p>
    <w:p w14:paraId="6708103A" w14:textId="77777777" w:rsidR="00591F72" w:rsidRDefault="00591F72" w:rsidP="00591F72">
      <w:pPr>
        <w:pStyle w:val="ListParagraph"/>
        <w:rPr>
          <w:rFonts w:ascii="Arial" w:hAnsi="Arial" w:cs="Arial"/>
          <w:b/>
        </w:rPr>
      </w:pPr>
    </w:p>
    <w:p w14:paraId="11BF02E1" w14:textId="03886AD3" w:rsidR="00591F72" w:rsidRPr="00591F72" w:rsidRDefault="00591F72" w:rsidP="00591F72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591F72">
        <w:rPr>
          <w:rFonts w:ascii="Arial" w:hAnsi="Arial" w:cs="Arial"/>
          <w:b w:val="0"/>
          <w:sz w:val="20"/>
        </w:rPr>
        <w:lastRenderedPageBreak/>
        <w:t>Rathi S, Andrews CA, Greenfield DS. Medication adherence in glaucoma. Curr Opin Ophthalmol. 2020;31(2):116-121.</w:t>
      </w:r>
    </w:p>
    <w:p w14:paraId="020340CB" w14:textId="07FE13A5" w:rsidR="00591F72" w:rsidRPr="00CB07F8" w:rsidRDefault="00591F72" w:rsidP="00CB07F8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591F72">
        <w:rPr>
          <w:rFonts w:ascii="Arial" w:hAnsi="Arial" w:cs="Arial"/>
          <w:b w:val="0"/>
          <w:sz w:val="20"/>
        </w:rPr>
        <w:t xml:space="preserve"> Sleath B, Blalock SJ, Stone JL, et al. Patient adherence to glaucoma medications. JAMA Ophthalmol. 2018;136(3):259-266</w:t>
      </w:r>
      <w:r w:rsidRPr="00CB07F8">
        <w:rPr>
          <w:rFonts w:ascii="Arial" w:hAnsi="Arial" w:cs="Arial"/>
          <w:b w:val="0"/>
          <w:sz w:val="20"/>
        </w:rPr>
        <w:t>.</w:t>
      </w:r>
    </w:p>
    <w:p w14:paraId="1AA58534" w14:textId="3D899559" w:rsidR="00591F72" w:rsidRPr="00591F72" w:rsidRDefault="00591F72" w:rsidP="00591F72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591F72">
        <w:rPr>
          <w:rFonts w:ascii="Arial" w:hAnsi="Arial" w:cs="Arial"/>
          <w:b w:val="0"/>
          <w:sz w:val="20"/>
        </w:rPr>
        <w:t xml:space="preserve"> Tsai JC. A comprehensive perspective on patient adherence to topical glaucoma therapy. Ophthalmology. 2009;</w:t>
      </w:r>
      <w:proofErr w:type="gramStart"/>
      <w:r w:rsidRPr="00591F72">
        <w:rPr>
          <w:rFonts w:ascii="Arial" w:hAnsi="Arial" w:cs="Arial"/>
          <w:b w:val="0"/>
          <w:sz w:val="20"/>
        </w:rPr>
        <w:t>116:S</w:t>
      </w:r>
      <w:proofErr w:type="gramEnd"/>
      <w:r w:rsidRPr="00591F72">
        <w:rPr>
          <w:rFonts w:ascii="Arial" w:hAnsi="Arial" w:cs="Arial"/>
          <w:b w:val="0"/>
          <w:sz w:val="20"/>
        </w:rPr>
        <w:t>30-S36.</w:t>
      </w:r>
    </w:p>
    <w:p w14:paraId="0EB8EA7A" w14:textId="26B5CA52" w:rsidR="00591F72" w:rsidRDefault="00591F72" w:rsidP="00591F72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591F72">
        <w:rPr>
          <w:rFonts w:ascii="Arial" w:hAnsi="Arial" w:cs="Arial"/>
          <w:b w:val="0"/>
          <w:sz w:val="20"/>
        </w:rPr>
        <w:t xml:space="preserve"> Lacey J, Cate H, Broadway DC. Barriers to adherence in glaucoma. Eye. </w:t>
      </w:r>
      <w:proofErr w:type="gramStart"/>
      <w:r w:rsidRPr="00591F72">
        <w:rPr>
          <w:rFonts w:ascii="Arial" w:hAnsi="Arial" w:cs="Arial"/>
          <w:b w:val="0"/>
          <w:sz w:val="20"/>
        </w:rPr>
        <w:t>2009;23:924</w:t>
      </w:r>
      <w:proofErr w:type="gramEnd"/>
      <w:r w:rsidRPr="00591F72">
        <w:rPr>
          <w:rFonts w:ascii="Arial" w:hAnsi="Arial" w:cs="Arial"/>
          <w:b w:val="0"/>
          <w:sz w:val="20"/>
        </w:rPr>
        <w:t>-933.</w:t>
      </w:r>
    </w:p>
    <w:p w14:paraId="271F67CF" w14:textId="7EFB77B5" w:rsidR="00ED05BB" w:rsidRPr="00ED05BB" w:rsidRDefault="00ED05BB" w:rsidP="00ED05BB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ED05BB">
        <w:rPr>
          <w:rFonts w:ascii="Arial" w:hAnsi="Arial" w:cs="Arial"/>
          <w:b w:val="0"/>
          <w:sz w:val="20"/>
        </w:rPr>
        <w:t>Chen X, Zhong YL, Chen Q, Tao YJ, Yang WY, Niu ZQ, et al.</w:t>
      </w:r>
      <w:r>
        <w:rPr>
          <w:rFonts w:ascii="Arial" w:hAnsi="Arial" w:cs="Arial"/>
          <w:b w:val="0"/>
          <w:sz w:val="20"/>
        </w:rPr>
        <w:t xml:space="preserve"> </w:t>
      </w:r>
      <w:r w:rsidRPr="00ED05BB">
        <w:rPr>
          <w:rFonts w:ascii="Arial" w:hAnsi="Arial" w:cs="Arial"/>
          <w:b w:val="0"/>
          <w:sz w:val="20"/>
        </w:rPr>
        <w:t xml:space="preserve">Knowledge of glaucoma and associated factors among primary glaucoma patients in Kunming, China. BMC Ophthalmology. </w:t>
      </w:r>
      <w:proofErr w:type="gramStart"/>
      <w:r w:rsidRPr="00ED05BB">
        <w:rPr>
          <w:rFonts w:ascii="Arial" w:hAnsi="Arial" w:cs="Arial"/>
          <w:b w:val="0"/>
          <w:sz w:val="20"/>
        </w:rPr>
        <w:t>2022;22:95</w:t>
      </w:r>
      <w:proofErr w:type="gramEnd"/>
      <w:r w:rsidRPr="00ED05BB">
        <w:rPr>
          <w:rFonts w:ascii="Arial" w:hAnsi="Arial" w:cs="Arial"/>
          <w:b w:val="0"/>
          <w:sz w:val="20"/>
        </w:rPr>
        <w:t>.</w:t>
      </w:r>
    </w:p>
    <w:sectPr w:rsidR="00ED05BB" w:rsidRPr="00ED05BB" w:rsidSect="005248EC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AA81A" w14:textId="77777777" w:rsidR="000B4C1D" w:rsidRDefault="000B4C1D" w:rsidP="00C37E61">
      <w:r>
        <w:separator/>
      </w:r>
    </w:p>
  </w:endnote>
  <w:endnote w:type="continuationSeparator" w:id="0">
    <w:p w14:paraId="28869B29" w14:textId="77777777" w:rsidR="000B4C1D" w:rsidRDefault="000B4C1D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625C5" w14:textId="77777777" w:rsidR="009E048A" w:rsidRDefault="009E048A">
    <w:pPr>
      <w:pStyle w:val="Footer"/>
      <w:rPr>
        <w:rFonts w:ascii="Arial" w:hAnsi="Arial" w:cs="Arial"/>
        <w:sz w:val="16"/>
      </w:rPr>
    </w:pPr>
  </w:p>
  <w:p w14:paraId="5C83C1B8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45AB90CD" w14:textId="77777777" w:rsidR="009E048A" w:rsidRDefault="009E048A">
    <w:pPr>
      <w:pStyle w:val="Footer"/>
      <w:rPr>
        <w:rFonts w:ascii="Arial" w:hAnsi="Arial" w:cs="Arial"/>
        <w:sz w:val="16"/>
      </w:rPr>
    </w:pPr>
  </w:p>
  <w:p w14:paraId="61DEE3F5" w14:textId="3F519CD6" w:rsidR="00754C9A" w:rsidRPr="009E048A" w:rsidRDefault="00754C9A">
    <w:pPr>
      <w:pStyle w:val="Footer"/>
      <w:rPr>
        <w:rFonts w:ascii="Arial" w:hAnsi="Arial" w:cs="Arial"/>
        <w:i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66749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CB36D" w14:textId="77777777" w:rsidR="000B4C1D" w:rsidRDefault="000B4C1D" w:rsidP="00C37E61">
      <w:r>
        <w:separator/>
      </w:r>
    </w:p>
  </w:footnote>
  <w:footnote w:type="continuationSeparator" w:id="0">
    <w:p w14:paraId="3EA74F1F" w14:textId="77777777" w:rsidR="000B4C1D" w:rsidRDefault="000B4C1D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FD07A" w14:textId="25D8EB07" w:rsidR="006F5913" w:rsidRDefault="000B4C1D">
    <w:pPr>
      <w:pStyle w:val="Header"/>
    </w:pPr>
    <w:r>
      <w:rPr>
        <w:noProof/>
      </w:rPr>
      <w:pict w14:anchorId="5B534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6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BF9B" w14:textId="6A5CEC6F" w:rsidR="006F5913" w:rsidRDefault="000B4C1D">
    <w:pPr>
      <w:pStyle w:val="Header"/>
    </w:pPr>
    <w:r>
      <w:rPr>
        <w:noProof/>
      </w:rPr>
      <w:pict w14:anchorId="6E69C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7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3941C" w14:textId="72555EC9" w:rsidR="00296529" w:rsidRPr="00296529" w:rsidRDefault="000B4C1D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30B031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5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2EE5F7E0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47631009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3E6B03EF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2A82B96C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741036A7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2D0D9D61" w14:textId="77777777" w:rsidR="00296529" w:rsidRDefault="00754C9A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7DE05" w14:textId="76BC3BB5" w:rsidR="006F5913" w:rsidRDefault="000B4C1D">
    <w:pPr>
      <w:pStyle w:val="Header"/>
    </w:pPr>
    <w:r>
      <w:rPr>
        <w:noProof/>
      </w:rPr>
      <w:pict w14:anchorId="096B5C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9" o:spid="_x0000_s2053" type="#_x0000_t136" style="position:absolute;margin-left:0;margin-top:0;width:520.65pt;height:57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C79F" w14:textId="678A29D1" w:rsidR="006F5913" w:rsidRDefault="000B4C1D">
    <w:pPr>
      <w:pStyle w:val="Header"/>
    </w:pPr>
    <w:r>
      <w:rPr>
        <w:noProof/>
      </w:rPr>
      <w:pict w14:anchorId="5105D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20" o:spid="_x0000_s2054" type="#_x0000_t136" style="position:absolute;margin-left:0;margin-top:0;width:520.65pt;height:57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8AB17" w14:textId="28751190" w:rsidR="006F5913" w:rsidRDefault="000B4C1D">
    <w:pPr>
      <w:pStyle w:val="Header"/>
    </w:pPr>
    <w:r>
      <w:rPr>
        <w:noProof/>
      </w:rPr>
      <w:pict w14:anchorId="1E8D2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8" o:spid="_x0000_s2052" type="#_x0000_t136" style="position:absolute;margin-left:0;margin-top:0;width:520.65pt;height:57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2FE3B3E"/>
    <w:multiLevelType w:val="multilevel"/>
    <w:tmpl w:val="D94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1028C"/>
    <w:multiLevelType w:val="multilevel"/>
    <w:tmpl w:val="BC38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7" w15:restartNumberingAfterBreak="0">
    <w:nsid w:val="3E784202"/>
    <w:multiLevelType w:val="multilevel"/>
    <w:tmpl w:val="036E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227E5"/>
    <w:multiLevelType w:val="hybridMultilevel"/>
    <w:tmpl w:val="EAC2BF5C"/>
    <w:lvl w:ilvl="0" w:tplc="E3ACF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44BF0"/>
    <w:multiLevelType w:val="multilevel"/>
    <w:tmpl w:val="EFE0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3" w15:restartNumberingAfterBreak="0">
    <w:nsid w:val="6163526B"/>
    <w:multiLevelType w:val="multilevel"/>
    <w:tmpl w:val="2756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9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2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29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8"/>
  </w:num>
  <w:num w:numId="6">
    <w:abstractNumId w:val="6"/>
  </w:num>
  <w:num w:numId="7">
    <w:abstractNumId w:val="1"/>
  </w:num>
  <w:num w:numId="8">
    <w:abstractNumId w:val="14"/>
  </w:num>
  <w:num w:numId="9">
    <w:abstractNumId w:val="31"/>
  </w:num>
  <w:num w:numId="10">
    <w:abstractNumId w:val="2"/>
  </w:num>
  <w:num w:numId="11">
    <w:abstractNumId w:val="24"/>
  </w:num>
  <w:num w:numId="12">
    <w:abstractNumId w:val="3"/>
  </w:num>
  <w:num w:numId="13">
    <w:abstractNumId w:val="22"/>
  </w:num>
  <w:num w:numId="14">
    <w:abstractNumId w:val="9"/>
  </w:num>
  <w:num w:numId="15">
    <w:abstractNumId w:val="27"/>
  </w:num>
  <w:num w:numId="16">
    <w:abstractNumId w:val="5"/>
  </w:num>
  <w:num w:numId="17">
    <w:abstractNumId w:val="28"/>
  </w:num>
  <w:num w:numId="18">
    <w:abstractNumId w:val="16"/>
  </w:num>
  <w:num w:numId="19">
    <w:abstractNumId w:val="34"/>
  </w:num>
  <w:num w:numId="20">
    <w:abstractNumId w:val="13"/>
  </w:num>
  <w:num w:numId="21">
    <w:abstractNumId w:val="10"/>
  </w:num>
  <w:num w:numId="22">
    <w:abstractNumId w:val="15"/>
  </w:num>
  <w:num w:numId="23">
    <w:abstractNumId w:val="25"/>
  </w:num>
  <w:num w:numId="24">
    <w:abstractNumId w:val="32"/>
  </w:num>
  <w:num w:numId="25">
    <w:abstractNumId w:val="4"/>
  </w:num>
  <w:num w:numId="26">
    <w:abstractNumId w:val="20"/>
  </w:num>
  <w:num w:numId="27">
    <w:abstractNumId w:val="26"/>
  </w:num>
  <w:num w:numId="28">
    <w:abstractNumId w:val="33"/>
  </w:num>
  <w:num w:numId="29">
    <w:abstractNumId w:val="30"/>
  </w:num>
  <w:num w:numId="30">
    <w:abstractNumId w:val="11"/>
  </w:num>
  <w:num w:numId="31">
    <w:abstractNumId w:val="23"/>
  </w:num>
  <w:num w:numId="32">
    <w:abstractNumId w:val="17"/>
  </w:num>
  <w:num w:numId="33">
    <w:abstractNumId w:val="12"/>
  </w:num>
  <w:num w:numId="34">
    <w:abstractNumId w:val="21"/>
  </w:num>
  <w:num w:numId="35">
    <w:abstractNumId w:val="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F8F"/>
    <w:rsid w:val="00002694"/>
    <w:rsid w:val="00030174"/>
    <w:rsid w:val="0004579C"/>
    <w:rsid w:val="000A47FA"/>
    <w:rsid w:val="000A65D3"/>
    <w:rsid w:val="000B1E33"/>
    <w:rsid w:val="000B4C1D"/>
    <w:rsid w:val="000D6822"/>
    <w:rsid w:val="000D689F"/>
    <w:rsid w:val="000D6E17"/>
    <w:rsid w:val="000E7B7B"/>
    <w:rsid w:val="000E7D62"/>
    <w:rsid w:val="000F0C19"/>
    <w:rsid w:val="00101F33"/>
    <w:rsid w:val="00103357"/>
    <w:rsid w:val="00123C9F"/>
    <w:rsid w:val="00126190"/>
    <w:rsid w:val="00130F17"/>
    <w:rsid w:val="001320BF"/>
    <w:rsid w:val="001571AF"/>
    <w:rsid w:val="00163BC4"/>
    <w:rsid w:val="00176A8C"/>
    <w:rsid w:val="00191062"/>
    <w:rsid w:val="00192B72"/>
    <w:rsid w:val="001A29D8"/>
    <w:rsid w:val="001A5CAA"/>
    <w:rsid w:val="001B0427"/>
    <w:rsid w:val="001B1C34"/>
    <w:rsid w:val="001D3A51"/>
    <w:rsid w:val="001E10D2"/>
    <w:rsid w:val="001E25B4"/>
    <w:rsid w:val="001E334A"/>
    <w:rsid w:val="001E44FE"/>
    <w:rsid w:val="00200595"/>
    <w:rsid w:val="00204835"/>
    <w:rsid w:val="00231920"/>
    <w:rsid w:val="0023195C"/>
    <w:rsid w:val="0024282C"/>
    <w:rsid w:val="002460DC"/>
    <w:rsid w:val="00250985"/>
    <w:rsid w:val="002556F6"/>
    <w:rsid w:val="00283105"/>
    <w:rsid w:val="00283C6C"/>
    <w:rsid w:val="00284C4C"/>
    <w:rsid w:val="00287E68"/>
    <w:rsid w:val="00296529"/>
    <w:rsid w:val="002B27FB"/>
    <w:rsid w:val="002B685A"/>
    <w:rsid w:val="002C261A"/>
    <w:rsid w:val="002C57D2"/>
    <w:rsid w:val="002E0D56"/>
    <w:rsid w:val="0031219E"/>
    <w:rsid w:val="00315186"/>
    <w:rsid w:val="0033343E"/>
    <w:rsid w:val="003512C2"/>
    <w:rsid w:val="00355A22"/>
    <w:rsid w:val="00371FB6"/>
    <w:rsid w:val="003763C1"/>
    <w:rsid w:val="00376BBE"/>
    <w:rsid w:val="0039224F"/>
    <w:rsid w:val="003A43A4"/>
    <w:rsid w:val="003A7E18"/>
    <w:rsid w:val="003B00D2"/>
    <w:rsid w:val="003B7E32"/>
    <w:rsid w:val="003C4C86"/>
    <w:rsid w:val="003C6258"/>
    <w:rsid w:val="003E2904"/>
    <w:rsid w:val="00401927"/>
    <w:rsid w:val="004051E6"/>
    <w:rsid w:val="0041027F"/>
    <w:rsid w:val="00412475"/>
    <w:rsid w:val="00423789"/>
    <w:rsid w:val="00440F43"/>
    <w:rsid w:val="00441B6F"/>
    <w:rsid w:val="00446221"/>
    <w:rsid w:val="00450E62"/>
    <w:rsid w:val="004539DB"/>
    <w:rsid w:val="00471A80"/>
    <w:rsid w:val="00475329"/>
    <w:rsid w:val="004D305E"/>
    <w:rsid w:val="004D4277"/>
    <w:rsid w:val="00502516"/>
    <w:rsid w:val="00505F06"/>
    <w:rsid w:val="00506828"/>
    <w:rsid w:val="005073C6"/>
    <w:rsid w:val="005248EC"/>
    <w:rsid w:val="0053056E"/>
    <w:rsid w:val="00544722"/>
    <w:rsid w:val="00554FDA"/>
    <w:rsid w:val="005707A7"/>
    <w:rsid w:val="00577A0F"/>
    <w:rsid w:val="00591F72"/>
    <w:rsid w:val="005C784C"/>
    <w:rsid w:val="005D17F6"/>
    <w:rsid w:val="005E5539"/>
    <w:rsid w:val="00602BF5"/>
    <w:rsid w:val="00617FDD"/>
    <w:rsid w:val="00633614"/>
    <w:rsid w:val="00633F68"/>
    <w:rsid w:val="00636EB2"/>
    <w:rsid w:val="006375B8"/>
    <w:rsid w:val="006570A4"/>
    <w:rsid w:val="0066510A"/>
    <w:rsid w:val="00673F9F"/>
    <w:rsid w:val="00686953"/>
    <w:rsid w:val="00687DEA"/>
    <w:rsid w:val="00687E67"/>
    <w:rsid w:val="00696340"/>
    <w:rsid w:val="006967F7"/>
    <w:rsid w:val="006A250C"/>
    <w:rsid w:val="006A2B43"/>
    <w:rsid w:val="006B21D3"/>
    <w:rsid w:val="006B57D0"/>
    <w:rsid w:val="006D30FF"/>
    <w:rsid w:val="006D3981"/>
    <w:rsid w:val="006D6940"/>
    <w:rsid w:val="006F11EC"/>
    <w:rsid w:val="006F5913"/>
    <w:rsid w:val="0070082C"/>
    <w:rsid w:val="007369E6"/>
    <w:rsid w:val="00746E59"/>
    <w:rsid w:val="00754C9A"/>
    <w:rsid w:val="0075599A"/>
    <w:rsid w:val="0075772B"/>
    <w:rsid w:val="0076003F"/>
    <w:rsid w:val="00761D52"/>
    <w:rsid w:val="0077749E"/>
    <w:rsid w:val="00790ADA"/>
    <w:rsid w:val="007D2288"/>
    <w:rsid w:val="007E088F"/>
    <w:rsid w:val="007F7B32"/>
    <w:rsid w:val="00804BC2"/>
    <w:rsid w:val="0081431A"/>
    <w:rsid w:val="0083216F"/>
    <w:rsid w:val="00860000"/>
    <w:rsid w:val="00861C24"/>
    <w:rsid w:val="00863BD3"/>
    <w:rsid w:val="008641ED"/>
    <w:rsid w:val="00866D66"/>
    <w:rsid w:val="008671C6"/>
    <w:rsid w:val="00875803"/>
    <w:rsid w:val="008A64A6"/>
    <w:rsid w:val="008B459E"/>
    <w:rsid w:val="008B4C7C"/>
    <w:rsid w:val="008D6869"/>
    <w:rsid w:val="008E13AE"/>
    <w:rsid w:val="008E1506"/>
    <w:rsid w:val="008E710C"/>
    <w:rsid w:val="008F69D6"/>
    <w:rsid w:val="00902823"/>
    <w:rsid w:val="009049BA"/>
    <w:rsid w:val="00915CA6"/>
    <w:rsid w:val="00927834"/>
    <w:rsid w:val="009500A6"/>
    <w:rsid w:val="00957C18"/>
    <w:rsid w:val="0096457A"/>
    <w:rsid w:val="009659BA"/>
    <w:rsid w:val="00983040"/>
    <w:rsid w:val="009B3FB9"/>
    <w:rsid w:val="009C2465"/>
    <w:rsid w:val="009D35A0"/>
    <w:rsid w:val="009D7EB7"/>
    <w:rsid w:val="009E048A"/>
    <w:rsid w:val="009E08E9"/>
    <w:rsid w:val="009E3DB9"/>
    <w:rsid w:val="009E6E35"/>
    <w:rsid w:val="009F0EDA"/>
    <w:rsid w:val="009F1CC4"/>
    <w:rsid w:val="00A03B96"/>
    <w:rsid w:val="00A05B19"/>
    <w:rsid w:val="00A1134E"/>
    <w:rsid w:val="00A24E7E"/>
    <w:rsid w:val="00A258C3"/>
    <w:rsid w:val="00A264E6"/>
    <w:rsid w:val="00A347C0"/>
    <w:rsid w:val="00A35637"/>
    <w:rsid w:val="00A51431"/>
    <w:rsid w:val="00A539AD"/>
    <w:rsid w:val="00A87D8B"/>
    <w:rsid w:val="00A94063"/>
    <w:rsid w:val="00AA6219"/>
    <w:rsid w:val="00AA74E0"/>
    <w:rsid w:val="00AB703F"/>
    <w:rsid w:val="00AC6BB8"/>
    <w:rsid w:val="00AE008F"/>
    <w:rsid w:val="00AE65F2"/>
    <w:rsid w:val="00B01FCD"/>
    <w:rsid w:val="00B1776C"/>
    <w:rsid w:val="00B52583"/>
    <w:rsid w:val="00B52896"/>
    <w:rsid w:val="00B6665A"/>
    <w:rsid w:val="00B71074"/>
    <w:rsid w:val="00B76A23"/>
    <w:rsid w:val="00B95236"/>
    <w:rsid w:val="00B96BD9"/>
    <w:rsid w:val="00B9706E"/>
    <w:rsid w:val="00BA0B83"/>
    <w:rsid w:val="00BA1B01"/>
    <w:rsid w:val="00BA2641"/>
    <w:rsid w:val="00BB37AA"/>
    <w:rsid w:val="00BC53A0"/>
    <w:rsid w:val="00BE62AD"/>
    <w:rsid w:val="00BF121F"/>
    <w:rsid w:val="00BF1F80"/>
    <w:rsid w:val="00C03FEB"/>
    <w:rsid w:val="00C166EF"/>
    <w:rsid w:val="00C17EB0"/>
    <w:rsid w:val="00C27F5F"/>
    <w:rsid w:val="00C30A0F"/>
    <w:rsid w:val="00C36656"/>
    <w:rsid w:val="00C37E61"/>
    <w:rsid w:val="00C608B9"/>
    <w:rsid w:val="00C70F1B"/>
    <w:rsid w:val="00C71A47"/>
    <w:rsid w:val="00C7464C"/>
    <w:rsid w:val="00C85588"/>
    <w:rsid w:val="00CA3984"/>
    <w:rsid w:val="00CB07F8"/>
    <w:rsid w:val="00CD6755"/>
    <w:rsid w:val="00CD6856"/>
    <w:rsid w:val="00CE0089"/>
    <w:rsid w:val="00CE793C"/>
    <w:rsid w:val="00CF193C"/>
    <w:rsid w:val="00D038D3"/>
    <w:rsid w:val="00D06804"/>
    <w:rsid w:val="00D15BBD"/>
    <w:rsid w:val="00D173F1"/>
    <w:rsid w:val="00D60B50"/>
    <w:rsid w:val="00D74CB0"/>
    <w:rsid w:val="00D8295D"/>
    <w:rsid w:val="00DA0257"/>
    <w:rsid w:val="00DC2A65"/>
    <w:rsid w:val="00DD508B"/>
    <w:rsid w:val="00DE15F0"/>
    <w:rsid w:val="00DE5663"/>
    <w:rsid w:val="00DE78AA"/>
    <w:rsid w:val="00DF400D"/>
    <w:rsid w:val="00E053D0"/>
    <w:rsid w:val="00E15994"/>
    <w:rsid w:val="00E3114E"/>
    <w:rsid w:val="00E31A70"/>
    <w:rsid w:val="00E35B02"/>
    <w:rsid w:val="00E64980"/>
    <w:rsid w:val="00E66496"/>
    <w:rsid w:val="00E66B35"/>
    <w:rsid w:val="00E66E10"/>
    <w:rsid w:val="00E769F6"/>
    <w:rsid w:val="00E8407C"/>
    <w:rsid w:val="00E84F3C"/>
    <w:rsid w:val="00E91CB7"/>
    <w:rsid w:val="00EA012C"/>
    <w:rsid w:val="00EC6A55"/>
    <w:rsid w:val="00ED0288"/>
    <w:rsid w:val="00ED05BB"/>
    <w:rsid w:val="00EE52CB"/>
    <w:rsid w:val="00EF581D"/>
    <w:rsid w:val="00EF7FD8"/>
    <w:rsid w:val="00F06F59"/>
    <w:rsid w:val="00F17988"/>
    <w:rsid w:val="00F21387"/>
    <w:rsid w:val="00F469F0"/>
    <w:rsid w:val="00F53273"/>
    <w:rsid w:val="00F566DA"/>
    <w:rsid w:val="00F61EA8"/>
    <w:rsid w:val="00F755E4"/>
    <w:rsid w:val="00F77D02"/>
    <w:rsid w:val="00FB2401"/>
    <w:rsid w:val="00FB3A86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9D38554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49BA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39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33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2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6D3981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6D39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E33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D15BB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9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6AFB-A87A-4E1C-B2BE-B1BA766C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4</TotalTime>
  <Pages>6</Pages>
  <Words>2306</Words>
  <Characters>13147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Template</vt:lpstr>
      <vt:lpstr>Paper Template</vt:lpstr>
    </vt:vector>
  </TitlesOfParts>
  <Company>aaaa</Company>
  <LinksUpToDate>false</LinksUpToDate>
  <CharactersWithSpaces>15423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1022</cp:lastModifiedBy>
  <cp:revision>4</cp:revision>
  <cp:lastPrinted>1999-07-06T11:00:00Z</cp:lastPrinted>
  <dcterms:created xsi:type="dcterms:W3CDTF">2026-03-15T20:36:00Z</dcterms:created>
  <dcterms:modified xsi:type="dcterms:W3CDTF">2026-03-16T09:58:00Z</dcterms:modified>
</cp:coreProperties>
</file>