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pStyle w:val="Title"/>
        <w:spacing w:after="0" w:lineRule="auto"/>
        <w:jc w:val="both"/>
        <w:rPr>
          <w:rFonts w:ascii="Arial" w:cs="Arial" w:eastAsia="Arial" w:hAnsi="Arial"/>
        </w:rPr>
      </w:pPr>
      <w:r w:rsidDel="00000000" w:rsidR="00000000" w:rsidRPr="00000000">
        <w:rPr>
          <w:rFonts w:ascii="Arial" w:cs="Arial" w:eastAsia="Arial" w:hAnsi="Arial"/>
          <w:rtl w:val="0"/>
        </w:rPr>
        <w:t xml:space="preserve">Original Research Article</w:t>
      </w:r>
    </w:p>
    <w:p w:rsidR="00000000" w:rsidDel="00000000" w:rsidP="00000000" w:rsidRDefault="00000000" w:rsidRPr="00000000" w14:paraId="00000003">
      <w:pPr>
        <w:pStyle w:val="Title"/>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pStyle w:val="Title"/>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Secondhand Smoke Knowledge, Attitude, and Avoidance Behavior in a Highly Urbanized Area in Iloi</w:t>
      </w:r>
      <w:r w:rsidDel="00000000" w:rsidR="00000000" w:rsidRPr="00000000">
        <w:rPr>
          <w:rFonts w:ascii="Arial" w:cs="Arial" w:eastAsia="Arial" w:hAnsi="Arial"/>
          <w:b w:val="1"/>
          <w:bCs w:val="1"/>
          <w:sz w:val="36"/>
          <w:szCs w:val="36"/>
          <w:rtl w:val="0"/>
        </w:rPr>
        <w:t xml:space="preserve">lo City</w:t>
      </w:r>
      <w:r w:rsidDel="00000000" w:rsidR="00000000" w:rsidRPr="00000000">
        <w:rPr>
          <w:rFonts w:ascii="Arial" w:cs="Arial" w:eastAsia="Arial" w:hAnsi="Arial"/>
          <w:b w:val="1"/>
          <w:bCs w:val="1"/>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016" w:top="1440" w:left="2016" w:right="2016" w:header="720" w:footer="1296"/>
          <w:pgNumType w:start="1"/>
        </w:sect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mc:AlternateContent>
          <mc:Choice Requires="wps">
            <w:drawing>
              <wp:inline distB="0" distT="0" distL="0" distR="0">
                <wp:extent cx="635" cy="19050"/>
                <wp:effectExtent b="0" l="0" r="0" t="0"/>
                <wp:docPr id="1627068065" name=""/>
                <a:graphic>
                  <a:graphicData uri="http://schemas.microsoft.com/office/word/2010/wordprocessingShape">
                    <wps:wsp>
                      <wps:cNvCnPr/>
                      <wps:spPr>
                        <a:xfrm>
                          <a:off x="2694240" y="3780000"/>
                          <a:ext cx="530352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0" distT="0" distL="0" distR="0">
                <wp:extent cx="635" cy="19050"/>
                <wp:effectExtent b="0" l="0" r="0" t="0"/>
                <wp:docPr id="1627068065"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635" cy="19050"/>
                        </a:xfrm>
                        <a:prstGeom prst="rect"/>
                        <a:ln/>
                      </pic:spPr>
                    </pic:pic>
                  </a:graphicData>
                </a:graphic>
              </wp:inline>
            </w:drawing>
          </mc:Fallback>
        </mc:AlternateConten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ABSTRACT</w:t>
      </w:r>
    </w:p>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tbl>
      <w:tblPr>
        <w:tblStyle w:val="Table1"/>
        <w:tblW w:w="8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98"/>
        <w:tblGridChange w:id="0">
          <w:tblGrid>
            <w:gridCol w:w="8198"/>
          </w:tblGrid>
        </w:tblGridChange>
      </w:tblGrid>
      <w:tr>
        <w:trPr>
          <w:cantSplit w:val="0"/>
          <w:tblHeader w:val="0"/>
        </w:trPr>
        <w:tc>
          <w:tcPr>
            <w:shd w:fill="f2f2f2"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Aims: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study aimed to determine the level of knowledge, attitudes, and avoidance behaviors regarding secondhand smoke exposure among household heads in a highly urbanized area in Iloilo City. Specifically, the study sought to describe the respondents’ demographic profile and examine the relationships among knowledge, attitudes, and avoidance behaviors toward secondhand smoke exposure.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Study </w:t>
            </w:r>
            <w:r w:rsidDel="00000000" w:rsidR="00000000" w:rsidRPr="00000000">
              <w:rPr>
                <w:rFonts w:ascii="Arial" w:cs="Arial" w:eastAsia="Arial" w:hAnsi="Arial"/>
                <w:b w:val="1"/>
                <w:bCs w:val="1"/>
                <w:rtl w:val="0"/>
              </w:rPr>
              <w:t xml:space="preserve">D</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esign: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This study utilized a descriptive-correlational research design.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Place and Duration of Study: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The study was conducted in </w:t>
            </w:r>
            <w:r w:rsidDel="00000000" w:rsidR="00000000" w:rsidRPr="00000000">
              <w:rPr>
                <w:rFonts w:ascii="Arial" w:cs="Arial" w:eastAsia="Arial" w:hAnsi="Arial"/>
                <w:rtl w:val="0"/>
              </w:rPr>
              <w:t xml:space="preserve">a selected barangay in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Iloilo City, Philippines, a highly urbanized area characterized by densely populated households. Data collection was conducted between January and February 2026.</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Methodology: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The study included </w:t>
            </w:r>
            <w:r w:rsidDel="00000000" w:rsidR="00000000" w:rsidRPr="00000000">
              <w:rPr>
                <w:rFonts w:ascii="Arial" w:cs="Arial" w:eastAsia="Arial" w:hAnsi="Arial"/>
                <w:rtl w:val="0"/>
              </w:rPr>
              <w:t xml:space="preserve">361 household heads aged 18 years and above in a highly urbanized barangay in Iloilo City, Philippines, using convenience sampling to ensure geographical representation. Data collection was carried out from January 2025 to February 2026, with all targeted respondents completing the survey (100% response rate).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The instruments underwent validation by three expert validators, and reliability testing showed acceptable to excellent internal consistency. Signed informed consent and </w:t>
            </w:r>
            <w:r w:rsidDel="00000000" w:rsidR="00000000" w:rsidRPr="00000000">
              <w:rPr>
                <w:rFonts w:ascii="Arial" w:cs="Arial" w:eastAsia="Arial" w:hAnsi="Arial"/>
                <w:rtl w:val="0"/>
              </w:rPr>
              <w:t xml:space="preserve">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thical clearance was obtained prior to data collection.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Results: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 total of 361 respondents participated in the study. The majority of respondents were female (65.1%), aged 18–25 years (37.1%), and had college-level education (40.2%). </w:t>
            </w:r>
            <w:sdt>
              <w:sdtPr>
                <w:id w:val="-7455660"/>
                <w:tag w:val="goog_rdk_0"/>
              </w:sdtPr>
              <w:sdtContent>
                <w:r w:rsidDel="00000000" w:rsidR="00000000" w:rsidRPr="00000000">
                  <w:rPr>
                    <w:rFonts w:ascii="Arial Unicode MS" w:cs="Arial Unicode MS" w:eastAsia="Arial Unicode MS" w:hAnsi="Arial Unicode MS"/>
                    <w:rtl w:val="0"/>
                  </w:rPr>
                  <w:t xml:space="preserve">Respondents demonstrated favorable knowledge regarding SHS health risks (M = 13.88/16, 86.74%), supportive attitudes toward preventing exposure (M = 4.09/5), and consistent avoidance behaviors in several situations (M = 2.95/4). Spearman’s rho analysis showed a significant but very weak positive correlation between knowledge and attitude (rs = 0.175, p &lt; 0.001), no significant relationship between knowledge and avoidance (rs = −0.045, p = 0.397), and a weak positive correlation between attitude and avoidance behavior (rs = 0.398, p &lt; 0.001).</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Conclusion: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Household heads generally showed favorable knowledge of the health risks of secondhand smoke exposure, though avoidance behaviors varied across households. Strengthening health education and community interventions may help improve consistent avoidance practices. Further studies in different settings are recommended to enhance the generalizability of the findings.</w:t>
            </w:r>
          </w:p>
        </w:tc>
      </w:tr>
    </w:tb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Keywords: </w:t>
      </w:r>
      <w:r w:rsidDel="00000000" w:rsidR="00000000" w:rsidRPr="00000000">
        <w:rPr>
          <w:rFonts w:ascii="Arial" w:cs="Arial" w:eastAsia="Arial" w:hAnsi="Arial"/>
          <w:i w:val="1"/>
          <w:iCs w:val="1"/>
          <w:rtl w:val="0"/>
        </w:rPr>
        <w:t xml:space="preserve">attitudes, avoidance behaviors, highly urbanized households, knowledge,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secondhand smoke,</w:t>
      </w:r>
    </w:p>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1. INTRODUCTION</w:t>
      </w:r>
    </w:p>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Secondhand smoke (SHS) is a combination of smoke emitted by cigars and cigarettes and the smoke exhaled by a smoker (US EPA, 2021). SHS </w:t>
      </w:r>
      <w:r w:rsidDel="00000000" w:rsidR="00000000" w:rsidRPr="00000000">
        <w:rPr>
          <w:rFonts w:ascii="Arial" w:cs="Arial" w:eastAsia="Arial" w:hAnsi="Arial"/>
          <w:rtl w:val="0"/>
        </w:rPr>
        <w:t xml:space="preserve">contains approximately 7,000 chemicals, including 70 known carcinogens, and</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increases the risk of serious health problems among children, pregnant women, and adults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(World Health Organization [WHO], 2025). In the Philippines, 21.8%, or approximately 16.8 million, individuals were constantly exposed to secondhand smoke in their homes, making households a substantial cause of exposure despite existing smoke-free mandates (Global Adult Tobacco Survey Philippine 2021, 2022). This indicate</w:t>
      </w:r>
      <w:r w:rsidDel="00000000" w:rsidR="00000000" w:rsidRPr="00000000">
        <w:rPr>
          <w:rFonts w:ascii="Arial" w:cs="Arial" w:eastAsia="Arial" w:hAnsi="Arial"/>
          <w:rtl w:val="0"/>
        </w:rPr>
        <w:t xml:space="preserve">s that while smoke-free policies exist, exposure within private households remains a persistent public health concern.</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Studies from different countries show that although individuals may have adequate knowledge about SHS, it does not always translate into avoidance behaviors. For example, in India, almost three-fourths of teenagers had sufficient knowledge, yet half were still exposed to SHS, while studies in Bangladesh demonstrated moderate knowledge and attitudes influenced by demographic factors (Arikrishnan et al., 2020; Islam et al., 2025). Similarly, exposure of children to SHS was significantly increased due to the existence of a smoker in a household (Robin et al., 2020). In the Philippine context, tobacco control policies such as Republic Act 9211 and Executive Order No. 26 have strengthened smoke-free environments in public places, yet these regulations have limited reach within private households, where exposure to SHS is prevalent. Local findings further support this concern, as a study in Iloilo reported that awareness campaigns did not consistently lead to avoidance behaviors, yet they affected attitudes towards smoking and SHS, underlining the significance of further examining household-level knowledge and avoidance behaviors regarding SHS (Tupas &amp; Agreda, 2020).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Despite existing studies, there is still limited data assessing how knowledge, attitudes, and avoidance behavior toward secondhand smoke interact at the household level in densely populated urban communities. High-density areas, such as Barangay Calumpang, present unique challenges, including limited space, close living proximity, and increased likelihood of shared exposure, making them important settings for exploration. Understanding these factors is significant, as household behaviors directly influence SHS exposure, particularly among vulnerable populations.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Addressing this gap is vital for nursing and public health practice, as nurses play a key role in health education, community interventions, and behavior change strategies aimed at reducing SHS exposure. This study therefore examined the knowledge, attitudes, and avoidance behaviors related to secondhand smoke among households in a congested urban community. The findings aim to support the development of targeted, community-based interventions that promote smoke-free household surroundings and contribute to improved population health outcomes.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2. material and methods </w:t>
      </w:r>
    </w:p>
    <w:p w:rsidR="00000000" w:rsidDel="00000000" w:rsidP="00000000" w:rsidRDefault="00000000" w:rsidRPr="00000000" w14:paraId="0000002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2.1 Research Design</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study utilized a descriptive-correlational research design which aims to assess and describe the relationship between variables without establishing a cause-and-effect relationship. It allowed  researchers to measure the degree of relationship between two or more variables and identify patterns or relationships that may be present among them (Clarete et al., 2023). In this study, the design was used to assess the knowledge, attitudes, and avoidance behaviors regarding secondhand smoke exposure among household heads. Furthermore, it  allowed the researchers to examine the relationships among the variables and describe patterns within the selected community.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2.2 Study Setting</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study was conducted in</w:t>
      </w:r>
      <w:r w:rsidDel="00000000" w:rsidR="00000000" w:rsidRPr="00000000">
        <w:rPr>
          <w:rFonts w:ascii="Arial" w:cs="Arial" w:eastAsia="Arial" w:hAnsi="Arial"/>
          <w:rtl w:val="0"/>
        </w:rPr>
        <w:t xml:space="preserve"> a selected barangay in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Iloilo City, Philippines, a highly urbanized area characterized by densely populated households. The setting was applicable for the study because crowded households with poor ventilation significantly raised secondhand smoke exposure indoors (Tan et al., 2022). Highly populated and poorly ventilated areas raise the risk of secondhand smoke exposure, and may eventually lead to major health problems (Boey et al., 2022). Similarly, poorly ventilated and densely populated environments have been known to exacerbate air quality indoors and strengthen inhalation risks from air pollutants such as secondhand smoke (Derikvand et al., 2023).</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2.3 Population and Sampling</w:t>
      </w:r>
      <w:r w:rsidDel="00000000" w:rsidR="00000000" w:rsidRPr="00000000">
        <w:rPr>
          <w:rtl w:val="0"/>
        </w:rPr>
      </w:r>
    </w:p>
    <w:p w:rsidR="00000000" w:rsidDel="00000000" w:rsidP="00000000" w:rsidRDefault="00000000" w:rsidRPr="00000000" w14:paraId="0000002A">
      <w:pPr>
        <w:spacing w:after="240" w:lineRule="auto"/>
        <w:jc w:val="both"/>
        <w:rPr>
          <w:rFonts w:ascii="Arial" w:cs="Arial" w:eastAsia="Arial" w:hAnsi="Arial"/>
        </w:rPr>
      </w:pPr>
      <w:r w:rsidDel="00000000" w:rsidR="00000000" w:rsidRPr="00000000">
        <w:rPr>
          <w:rFonts w:ascii="Arial" w:cs="Arial" w:eastAsia="Arial" w:hAnsi="Arial"/>
          <w:rtl w:val="0"/>
        </w:rPr>
        <w:t xml:space="preserve">The study focused on households located in a highly urbanized area in Iloilo City. Household heads serve as respondents, as they are usually familiar with their family’s daily routine, health habits, and how they respond to smoking (Lim et al., 2025). In cases where the household head was unavailable during the visit, the next adult who is recognized as the secondary decision-maker in the household was asked to respond instead. There are a total of 5,857 households and 9 zones in the selected barangay. The study used a Raosoft sample size calculator to determine a statistically adequate minimum number of respondents necessary to support stable and reliable analysis, rather than to claim strict population representatives. With the total population and the parameters set at a 5% margin of error, a 95% confidence level, and a 50% response distribution, the recommended number of respondents was 361, shown in figure 1.</w:t>
      </w:r>
    </w:p>
    <w:p w:rsidR="00000000" w:rsidDel="00000000" w:rsidP="00000000" w:rsidRDefault="00000000" w:rsidRPr="00000000" w14:paraId="0000002B">
      <w:pPr>
        <w:spacing w:after="240" w:lineRule="auto"/>
        <w:jc w:val="both"/>
        <w:rPr>
          <w:rFonts w:ascii="Arial" w:cs="Arial" w:eastAsia="Arial" w:hAnsi="Arial"/>
        </w:rPr>
      </w:pPr>
      <w:r w:rsidDel="00000000" w:rsidR="00000000" w:rsidRPr="00000000">
        <w:rPr>
          <w:rFonts w:ascii="Arial" w:cs="Arial" w:eastAsia="Arial" w:hAnsi="Arial"/>
          <w:rtl w:val="0"/>
        </w:rPr>
        <w:t xml:space="preserve">In this study, an official list of household heads was required to implement probability sampling techniques. However, in compliance with the Data Privacy Act of 2012 (Republic Act No. 10173), barangay officials were not authorized to release official names and a list of households. As a result, a complete sampling frame was not available. In the absence of a sampling frame, probability-based random selection procedures could not be carried out. Furthermore, the barangay is situated in a highly urbanized area, as classified by the Philippine Statistics Authority 2024, where high residential mobility, gated communities, and restricted households' access presented additional logistical challenges in identifying and reaching eligible respondents.</w:t>
      </w:r>
    </w:p>
    <w:p w:rsidR="00000000" w:rsidDel="00000000" w:rsidP="00000000" w:rsidRDefault="00000000" w:rsidRPr="00000000" w14:paraId="0000002C">
      <w:pPr>
        <w:spacing w:after="240" w:lineRule="auto"/>
        <w:jc w:val="both"/>
        <w:rPr>
          <w:rFonts w:ascii="Arial" w:cs="Arial" w:eastAsia="Arial" w:hAnsi="Arial"/>
        </w:rPr>
      </w:pPr>
      <w:r w:rsidDel="00000000" w:rsidR="00000000" w:rsidRPr="00000000">
        <w:rPr>
          <w:rFonts w:ascii="Arial" w:cs="Arial" w:eastAsia="Arial" w:hAnsi="Arial"/>
          <w:rtl w:val="0"/>
        </w:rPr>
        <w:t xml:space="preserve">Given these ethical and logistical constraints, the researchers adopted convenience sampling. Although this method is non-probability in nature, respondents were obtained from all zones of the barangay to ensure geographical representation while addressing the absence of a sampling frame and existing access limitations (Etikan et al., 2016).</w:t>
      </w:r>
    </w:p>
    <w:p w:rsidR="00000000" w:rsidDel="00000000" w:rsidP="00000000" w:rsidRDefault="00000000" w:rsidRPr="00000000" w14:paraId="0000002D">
      <w:pPr>
        <w:spacing w:after="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Inclusion criteria:</w:t>
      </w:r>
    </w:p>
    <w:p w:rsidR="00000000" w:rsidDel="00000000" w:rsidP="00000000" w:rsidRDefault="00000000" w:rsidRPr="00000000" w14:paraId="0000002E">
      <w:pPr>
        <w:numPr>
          <w:ilvl w:val="0"/>
          <w:numId w:val="1"/>
        </w:numPr>
        <w:spacing w:after="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The participants were required to satisfy the following conditions:</w:t>
      </w:r>
    </w:p>
    <w:p w:rsidR="00000000" w:rsidDel="00000000" w:rsidP="00000000" w:rsidRDefault="00000000" w:rsidRPr="00000000" w14:paraId="0000002F">
      <w:pPr>
        <w:numPr>
          <w:ilvl w:val="0"/>
          <w:numId w:val="1"/>
        </w:numPr>
        <w:spacing w:after="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Must be a household head or the recognized secondary decision-maker of the household</w:t>
      </w:r>
    </w:p>
    <w:p w:rsidR="00000000" w:rsidDel="00000000" w:rsidP="00000000" w:rsidRDefault="00000000" w:rsidRPr="00000000" w14:paraId="00000030">
      <w:pPr>
        <w:numPr>
          <w:ilvl w:val="0"/>
          <w:numId w:val="1"/>
        </w:numPr>
        <w:spacing w:after="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Age 18 years old and above</w:t>
      </w:r>
    </w:p>
    <w:p w:rsidR="00000000" w:rsidDel="00000000" w:rsidP="00000000" w:rsidRDefault="00000000" w:rsidRPr="00000000" w14:paraId="00000031">
      <w:pPr>
        <w:numPr>
          <w:ilvl w:val="0"/>
          <w:numId w:val="1"/>
        </w:numPr>
        <w:spacing w:after="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Must be a current resident of the selected barangay at the time of data collection</w:t>
      </w:r>
    </w:p>
    <w:p w:rsidR="00000000" w:rsidDel="00000000" w:rsidP="00000000" w:rsidRDefault="00000000" w:rsidRPr="00000000" w14:paraId="00000032">
      <w:pPr>
        <w:spacing w:after="0" w:lineRule="auto"/>
        <w:jc w:val="both"/>
        <w:rPr>
          <w:rFonts w:ascii="Arial" w:cs="Arial" w:eastAsia="Arial" w:hAnsi="Arial"/>
          <w:i w:val="1"/>
          <w:iCs w:val="1"/>
        </w:rPr>
      </w:pPr>
      <w:r w:rsidDel="00000000" w:rsidR="00000000" w:rsidRPr="00000000">
        <w:rPr>
          <w:rFonts w:ascii="Arial" w:cs="Arial" w:eastAsia="Arial" w:hAnsi="Arial"/>
          <w:i w:val="1"/>
          <w:iCs w:val="1"/>
          <w:rtl w:val="0"/>
        </w:rPr>
        <w:t xml:space="preserve">Exclusion criteria:</w:t>
      </w:r>
    </w:p>
    <w:p w:rsidR="00000000" w:rsidDel="00000000" w:rsidP="00000000" w:rsidRDefault="00000000" w:rsidRPr="00000000" w14:paraId="00000033">
      <w:pPr>
        <w:numPr>
          <w:ilvl w:val="0"/>
          <w:numId w:val="2"/>
        </w:numPr>
        <w:spacing w:after="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Participants were excluded if they:</w:t>
      </w:r>
    </w:p>
    <w:p w:rsidR="00000000" w:rsidDel="00000000" w:rsidP="00000000" w:rsidRDefault="00000000" w:rsidRPr="00000000" w14:paraId="00000034">
      <w:pPr>
        <w:numPr>
          <w:ilvl w:val="0"/>
          <w:numId w:val="2"/>
        </w:numPr>
        <w:spacing w:after="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Those who had mental or cognitive impairments that could affect their capacity to understand and respond to the questions.</w:t>
      </w:r>
    </w:p>
    <w:p w:rsidR="00000000" w:rsidDel="00000000" w:rsidP="00000000" w:rsidRDefault="00000000" w:rsidRPr="00000000" w14:paraId="00000035">
      <w:pPr>
        <w:numPr>
          <w:ilvl w:val="0"/>
          <w:numId w:val="2"/>
        </w:numPr>
        <w:spacing w:after="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Those who were unwilling or unable to provide informed consent.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5207000" cy="2489200"/>
            <wp:effectExtent b="0" l="0" r="0" t="0"/>
            <wp:docPr id="1627068066"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207000" cy="24892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Fig. 1. Result of Raosoft Sample Size Calculator</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2.4 Instrumentation</w:t>
      </w:r>
      <w:r w:rsidDel="00000000" w:rsidR="00000000" w:rsidRPr="00000000">
        <w:rPr>
          <w:rtl w:val="0"/>
        </w:rPr>
      </w:r>
    </w:p>
    <w:p w:rsidR="00000000" w:rsidDel="00000000" w:rsidP="00000000" w:rsidRDefault="00000000" w:rsidRPr="00000000" w14:paraId="0000003A">
      <w:pPr>
        <w:spacing w:after="240" w:lineRule="auto"/>
        <w:jc w:val="both"/>
        <w:rPr>
          <w:rFonts w:ascii="Arial" w:cs="Arial" w:eastAsia="Arial" w:hAnsi="Arial"/>
        </w:rPr>
      </w:pPr>
      <w:r w:rsidDel="00000000" w:rsidR="00000000" w:rsidRPr="00000000">
        <w:rPr>
          <w:rFonts w:ascii="Arial" w:cs="Arial" w:eastAsia="Arial" w:hAnsi="Arial"/>
          <w:rtl w:val="0"/>
        </w:rPr>
        <w:t xml:space="preserve">The instrument was written in English, and translated into Hiligaynon (Ilonggo), the local vernacular, to ensure that respondents could fully understand the items, printed and self-administered. Completion time was approximately 15–20 minutes. The questionnaire consisted of four parts. Part I gathered demographic information, including sex, age, educational attainment, and relationship to the smoker, using a checklist format. Part II assessed knowledge on secondhand smoke exposure and included 16 dichotomous items (correct = 1, incorrect = 0) adopted from Nor Afiah et al. (2017). Part III measured attitudes toward secondhand smoke exposure with 12 items on a 5-point Likert scale (1 = Strongly Disagree, 5 = Strongly Agree), also adopted from Nor Afiah et al. (2017), with selected items reverse-scored to maintain consistency. Part IV evaluated avoidance behavior toward secondhand smoke exposure using 19 items adopted from Gharaibeh et al. (2011), rated on a 4-point frequency Likert scale (1 = Almost Never True, 2 = Usually Not True, 3 = Usually True, 4 = Almost Always True), with certain items reverse-scored.</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The validity and reliability of the research instrument were carefully established to ensure it accurately and consistently measured household heads’ knowledge, attitudes, and avoidance behaviors toward secondhand smoke (SHS). Validity included multiple approaches: face validity, content validity, construct validity, criterion validity, and criterion-related validity, with evaluations conducted by three registered nurse faculty members with master’s or doctoral degrees. Knowledge and attitude items were adopted from Nor Afiah et al. (2017), and avoidance items from Gharaibeh et al. (2011). Validity was assessed using Good and Scates’ 13 criteria, and the knowledge, attitude, and avoidance sections achieved overall mean scores of 4.49, 4.46, and 4.44, respectively, resulting in a combined mean of 4.46, indicating high validity. Reliability, which reflects measurement consistency across time and items, was assessed using the Kuder–Richardson Formula 20 (KR-20) for the 16-item knowledge section (KR-20 = 0.60, acceptable) and Cronbach’s alpha for the 12-item attitude section (α = 0.93, excellent) and 19-item avoidance section (α = 0.81, good). These results demonstrate strong internal consistency across all sections, supporting the appropriateness and dependability of the instrument for the study.</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2.6 Data Gathering Procedure</w:t>
      </w:r>
      <w:r w:rsidDel="00000000" w:rsidR="00000000" w:rsidRPr="00000000">
        <w:rPr>
          <w:rtl w:val="0"/>
        </w:rPr>
      </w:r>
    </w:p>
    <w:p w:rsidR="00000000" w:rsidDel="00000000" w:rsidP="00000000" w:rsidRDefault="00000000" w:rsidRPr="00000000" w14:paraId="0000003D">
      <w:pPr>
        <w:spacing w:after="240" w:lineRule="auto"/>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Data collection commenced after obtaining ethical clearance from the Iloilo Doctors’ Institutional Research Ethics Committee (IDIREC). Permission to conduct the study was secured from the Office of Student and Alumni Affairs, Dean of Students, Dean of Academic Affairs, and the Dean of the College of Nursing. Approval was also obtained from the barangay officials of the selected community in Iloilo City. The researchers coordinated with barangay leaders to schedule the distribution of questionnaires and conduct data collection within the community during the second semester of Academic Year 2025–2026. The questionnaire was self-administered, written in English, and translated into Hiligaynon, the local vernacular, to ensure that respondents could fully understand the items. Data collection was conducted house-to-house by the researchers, facilitated by the research adviser. Respondents completed the questionnaire independently, and all responses were anonymous to maintain confidentiality. The researchers ensured consistent administration, ethical conduct, and provided clarification to respondents if needed, without influencing their answers.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2.7 Data Analysis Procedure</w:t>
      </w:r>
      <w:r w:rsidDel="00000000" w:rsidR="00000000" w:rsidRPr="00000000">
        <w:rPr>
          <w:rtl w:val="0"/>
        </w:rPr>
      </w:r>
    </w:p>
    <w:p w:rsidR="00000000" w:rsidDel="00000000" w:rsidP="00000000" w:rsidRDefault="00000000" w:rsidRPr="00000000" w14:paraId="0000003F">
      <w:pPr>
        <w:spacing w:after="240" w:lineRule="auto"/>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The encoded data were analyzed using Jamovi (Version 2.7) to perform both descriptive and inferential statistics. Descriptive statistics, including mean and standard deviation, were used to determine the central tendency and variability of respondents’ knowledge, attitudes, and avoidance behaviors regarding secondhand smoke exposure, while frequency and percentage summarized demographic profiles (sex, age, educational attainment, and relationship to the smoker). The Kolmogorov–Smirnov test assessed data normality, with p &lt; 0.05 indicating non-normal distribution. As the data were non-normally distributed, Spearman’s rho correlation was applied to determine the strength and significance of relationships among knowledge, attitudes, and avoidance behaviors.</w:t>
      </w:r>
      <w:r w:rsidDel="00000000" w:rsidR="00000000" w:rsidRPr="00000000">
        <w:rPr>
          <w:rtl w:val="0"/>
        </w:rPr>
      </w:r>
    </w:p>
    <w:p w:rsidR="00000000" w:rsidDel="00000000" w:rsidP="00000000" w:rsidRDefault="00000000" w:rsidRPr="00000000" w14:paraId="0000004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3. results and discussion</w:t>
      </w:r>
    </w:p>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spacing w:after="240" w:lineRule="auto"/>
        <w:jc w:val="both"/>
        <w:rPr>
          <w:rFonts w:ascii="Arial" w:cs="Arial" w:eastAsia="Arial" w:hAnsi="Arial"/>
        </w:rPr>
      </w:pPr>
      <w:r w:rsidDel="00000000" w:rsidR="00000000" w:rsidRPr="00000000">
        <w:rPr>
          <w:rFonts w:ascii="Arial" w:cs="Arial" w:eastAsia="Arial" w:hAnsi="Arial"/>
          <w:b w:val="1"/>
          <w:bCs w:val="1"/>
          <w:sz w:val="22"/>
          <w:szCs w:val="22"/>
          <w:rtl w:val="0"/>
        </w:rPr>
        <w:t xml:space="preserve">3.1 Demographic Profile of the Respondents</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Among the 361 respondents who participated in the study, female respondents had the greater percentage of the sample at 65.1% (235 respondents), while male respondents had a number of 34.9% (126 respondents). Age distribution showed that the respondents aged 18-25 years old formed the largest age group, representing 37.1% of the total population. This group was followed by respondents aged 46 years old and above, who made up 32.7% of the sample. The remaining respondents belonged to the 26-35 (17.7%) and 36-45 years old (12.5%) age groups.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Regarding educational attainment, most respondents reported reaching college level (40.2%), suggesting a higher level of educational exposure among participants. College graduates made up 25.5% of the respondents, followed by high school graduates with 21.1%, while those at the high school level accounted for 10.2%. Only a small fraction reported being elementary graduates at 2.8% and 0.6% at the elementary level.</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Considering the respondents' relationship to the smoker, the most common exposure was being a neighbor, reported by 30.5% of the participants. Other relatives followed at 24.4%, showing that exposure to smokers often extends beyond the immediate household. Respondents who identified themselves as smokers comprised 12.7%, while spouses accounted for 10.8%. Smaller proportions were observed among siblings (8.6%), parents (6.9%), and son or daughter (6.1%). Table 1 shows the demographic characteristics of the respondents.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Table 1.</w:t>
        <w:tab/>
        <w:t xml:space="preserve">Demographics of respondents according to sex, age, educational attainment, and relationship to the smoker (n = 361)</w:t>
      </w:r>
      <w:r w:rsidDel="00000000" w:rsidR="00000000" w:rsidRPr="00000000">
        <w:rPr>
          <w:rtl w:val="0"/>
        </w:rPr>
      </w:r>
    </w:p>
    <w:tbl>
      <w:tblPr>
        <w:tblStyle w:val="Table2"/>
        <w:tblW w:w="8188.000000000001" w:type="dxa"/>
        <w:jc w:val="left"/>
        <w:tblLayout w:type="fixed"/>
        <w:tblLook w:val="0400"/>
      </w:tblPr>
      <w:tblGrid>
        <w:gridCol w:w="6775"/>
        <w:gridCol w:w="706"/>
        <w:gridCol w:w="707"/>
        <w:tblGridChange w:id="0">
          <w:tblGrid>
            <w:gridCol w:w="6775"/>
            <w:gridCol w:w="706"/>
            <w:gridCol w:w="707"/>
          </w:tblGrid>
        </w:tblGridChange>
      </w:tblGrid>
      <w:tr>
        <w:trPr>
          <w:cantSplit w:val="0"/>
          <w:trHeight w:val="317" w:hRule="atLeast"/>
          <w:tblHeader w:val="0"/>
        </w:trPr>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Variables</w:t>
            </w:r>
          </w:p>
        </w:tc>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f</w:t>
            </w: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317" w:hRule="atLeast"/>
          <w:tblHeader w:val="0"/>
        </w:trPr>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Sex</w:t>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7"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Male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34.9</w:t>
            </w:r>
          </w:p>
        </w:tc>
      </w:tr>
      <w:tr>
        <w:trPr>
          <w:cantSplit w:val="0"/>
          <w:trHeight w:val="317" w:hRule="atLeast"/>
          <w:tblHeader w:val="0"/>
        </w:trPr>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Female</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235</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65.1</w:t>
            </w:r>
          </w:p>
        </w:tc>
      </w:tr>
      <w:tr>
        <w:trPr>
          <w:cantSplit w:val="0"/>
          <w:trHeight w:val="317" w:hRule="atLeast"/>
          <w:tblHeader w:val="0"/>
        </w:trPr>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Age </w:t>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7"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18–25 years old</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134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37.1</w:t>
            </w:r>
          </w:p>
        </w:tc>
      </w:tr>
      <w:tr>
        <w:trPr>
          <w:cantSplit w:val="0"/>
          <w:trHeight w:val="317"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26–35 years old</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17.7</w:t>
            </w:r>
          </w:p>
        </w:tc>
      </w:tr>
      <w:tr>
        <w:trPr>
          <w:cantSplit w:val="0"/>
          <w:trHeight w:val="317"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36–45 years old</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12.5</w:t>
            </w:r>
          </w:p>
        </w:tc>
      </w:tr>
      <w:tr>
        <w:trPr>
          <w:cantSplit w:val="0"/>
          <w:trHeight w:val="317" w:hRule="atLeast"/>
          <w:tblHeader w:val="0"/>
        </w:trPr>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46 years old and above</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118</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32.7</w:t>
            </w:r>
          </w:p>
        </w:tc>
      </w:tr>
      <w:tr>
        <w:trPr>
          <w:cantSplit w:val="0"/>
          <w:trHeight w:val="317" w:hRule="atLeast"/>
          <w:tblHeader w:val="0"/>
        </w:trPr>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Educational Attainment</w:t>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7"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Elementary Level</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0.6</w:t>
            </w:r>
          </w:p>
        </w:tc>
      </w:tr>
      <w:tr>
        <w:trPr>
          <w:cantSplit w:val="0"/>
          <w:trHeight w:val="317"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Elementary Graduate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2.8</w:t>
            </w:r>
          </w:p>
        </w:tc>
      </w:tr>
      <w:tr>
        <w:trPr>
          <w:cantSplit w:val="0"/>
          <w:trHeight w:val="317"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High School Level</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37</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10.2</w:t>
            </w:r>
          </w:p>
        </w:tc>
      </w:tr>
      <w:tr>
        <w:trPr>
          <w:cantSplit w:val="0"/>
          <w:trHeight w:val="317"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High School Graduate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21.1</w:t>
            </w:r>
          </w:p>
        </w:tc>
      </w:tr>
      <w:tr>
        <w:trPr>
          <w:cantSplit w:val="0"/>
          <w:trHeight w:val="317"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College Level</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145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40.2</w:t>
            </w:r>
          </w:p>
        </w:tc>
      </w:tr>
      <w:tr>
        <w:trPr>
          <w:cantSplit w:val="0"/>
          <w:trHeight w:val="317" w:hRule="atLeast"/>
          <w:tblHeader w:val="0"/>
        </w:trPr>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College Graduate</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91</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25.2</w:t>
            </w:r>
          </w:p>
        </w:tc>
      </w:tr>
      <w:tr>
        <w:trPr>
          <w:cantSplit w:val="0"/>
          <w:trHeight w:val="317" w:hRule="atLeast"/>
          <w:tblHeader w:val="0"/>
        </w:trPr>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Relationship to the Smoker</w:t>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7"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Self</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12.7</w:t>
            </w:r>
          </w:p>
        </w:tc>
      </w:tr>
      <w:tr>
        <w:trPr>
          <w:cantSplit w:val="0"/>
          <w:trHeight w:val="317"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Spouse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10.8</w:t>
            </w:r>
          </w:p>
        </w:tc>
      </w:tr>
      <w:tr>
        <w:trPr>
          <w:cantSplit w:val="0"/>
          <w:trHeight w:val="317"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Siblings</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8.6</w:t>
            </w:r>
          </w:p>
        </w:tc>
      </w:tr>
      <w:tr>
        <w:trPr>
          <w:cantSplit w:val="0"/>
          <w:trHeight w:val="317"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Parent</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6.9</w:t>
            </w:r>
          </w:p>
        </w:tc>
      </w:tr>
      <w:tr>
        <w:trPr>
          <w:cantSplit w:val="0"/>
          <w:trHeight w:val="317"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Son/Daughter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6.1</w:t>
            </w:r>
          </w:p>
        </w:tc>
      </w:tr>
      <w:tr>
        <w:trPr>
          <w:cantSplit w:val="0"/>
          <w:trHeight w:val="317"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Other Relatives</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24.4</w:t>
            </w:r>
          </w:p>
        </w:tc>
      </w:tr>
      <w:tr>
        <w:trPr>
          <w:cantSplit w:val="0"/>
          <w:trHeight w:val="317" w:hRule="atLeast"/>
          <w:tblHeader w:val="0"/>
        </w:trPr>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Neighbor</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110</w:t>
            </w:r>
          </w:p>
        </w:tc>
        <w:tc>
          <w:tcPr>
            <w:tcBorders>
              <w:top w:color="ffffff" w:space="0" w:sz="8" w:val="single"/>
              <w:left w:color="ffffff" w:space="0" w:sz="8" w:val="single"/>
              <w:bottom w:color="0d0d0d" w:space="0" w:sz="8" w:val="single"/>
              <w:right w:color="ffffff" w:space="0" w:sz="8" w:val="single"/>
            </w:tcBorders>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30.5</w:t>
            </w:r>
          </w:p>
        </w:tc>
      </w:tr>
      <w:tr>
        <w:trPr>
          <w:cantSplit w:val="0"/>
          <w:trHeight w:val="317" w:hRule="atLeast"/>
          <w:tblHeader w:val="0"/>
        </w:trPr>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Total</w:t>
            </w:r>
          </w:p>
        </w:tc>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361</w:t>
            </w:r>
          </w:p>
        </w:tc>
        <w:tc>
          <w:tcPr>
            <w:tcBorders>
              <w:top w:color="0d0d0d" w:space="0" w:sz="8" w:val="single"/>
              <w:left w:color="ffffff" w:space="0" w:sz="8" w:val="single"/>
              <w:bottom w:color="0d0d0d" w:space="0" w:sz="8" w:val="single"/>
              <w:right w:color="ffffff" w:space="0" w:sz="8" w:val="single"/>
            </w:tcBorders>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100</w:t>
            </w:r>
          </w:p>
        </w:tc>
      </w:tr>
    </w:tb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b w:val="1"/>
          <w:bCs w:val="1"/>
          <w:sz w:val="22"/>
          <w:szCs w:val="22"/>
          <w:rtl w:val="0"/>
        </w:rPr>
        <w:t xml:space="preserve">2</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Level of Knowledge on Secondhand Smoke Exposure</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Presented in table 2 are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the mean responses to the specific indicators assessing respondents' knowledge of secondhand smoke exposure. The findings indicated that most respondents answered correctly for the knowledge. The computed mean score of 13.88 out of 16 was equivalent to 86.74% of the total possible score, showing that most of the indicators were correctly answered. The KR-20 coefficient for the knowledge section was 0.60, which is on the lower end of acceptability. This may slightly limit the internal consistency and reliability of the knowledge measure, suggesting that some items could be refined in future studies to better discriminate between different levels of knowledge.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majority of the correct responses were observed for the indicator stating that asthmatic children living with smokers were more likely to experience an asthma attack, with 98.81%. Similarly, most respondents correctly identified that long-term exposure to secondhand smoke had harmful effects on health (98.34%) and that secondhand smoke had a toxic mixture consisting of carcinogenic substances (97.51%). These findings showed that most of the respondents correctly identified the health risks associated with secondhand smoke, particularly on children and long-term exposure.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contrast, lower proportions of correct responses were observed for indicators related to the composition and indirect exposure of secondhand smoke. Only 60.94% correctly identified that secondhand smoke contains nicotine. Similarly, 69.81% correctly recognized that secondhand smoke originated from the side stream of the cigarette, while 64.82% acknowledged that a lit cigarette burning in an ashtray can affect the health of the people nearby.</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These findings have been consistent with a study from Saudi Arabia among medical students, which found that while many students correctly identified certain health risks of secondhand smoke, such as lung cancer and asthma, a proportion still demonstrated incomplete overall knowledge (Alzahrani, 2020). Table 2 presents the corresponding data.</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Table 2. Level of knowledge regarding secondhand smoke exposure among household heads (n=361)</w:t>
      </w:r>
      <w:r w:rsidDel="00000000" w:rsidR="00000000" w:rsidRPr="00000000">
        <w:rPr>
          <w:rtl w:val="0"/>
        </w:rPr>
      </w:r>
    </w:p>
    <w:tbl>
      <w:tblPr>
        <w:tblStyle w:val="Table3"/>
        <w:tblW w:w="8188.000000000001" w:type="dxa"/>
        <w:jc w:val="left"/>
        <w:tblLayout w:type="fixed"/>
        <w:tblLook w:val="0400"/>
      </w:tblPr>
      <w:tblGrid>
        <w:gridCol w:w="6401"/>
        <w:gridCol w:w="1090"/>
        <w:gridCol w:w="697"/>
        <w:tblGridChange w:id="0">
          <w:tblGrid>
            <w:gridCol w:w="6401"/>
            <w:gridCol w:w="1090"/>
            <w:gridCol w:w="697"/>
          </w:tblGrid>
        </w:tblGridChange>
      </w:tblGrid>
      <w:tr>
        <w:trPr>
          <w:cantSplit w:val="0"/>
          <w:tblHeader w:val="0"/>
        </w:trPr>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Level of Knowledge</w:t>
            </w:r>
          </w:p>
        </w:tc>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Correct Answer</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f</w:t>
            </w: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Correct</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Answer</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431" w:hRule="atLeast"/>
          <w:tblHeader w:val="0"/>
        </w:trPr>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Asthmatic children living with smokers are more likely to have asthma attack</w:t>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356</w:t>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98.61</w:t>
            </w:r>
          </w:p>
        </w:tc>
      </w:tr>
      <w:tr>
        <w:trPr>
          <w:cantSplit w:val="0"/>
          <w:trHeight w:val="49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Long-term exposure to second-hand smoke will not be harmful to my health</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355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98.34</w:t>
            </w:r>
          </w:p>
        </w:tc>
      </w:tr>
      <w:tr>
        <w:trPr>
          <w:cantSplit w:val="0"/>
          <w:trHeight w:val="308"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Second-hand smoke is a toxic mixture consisting of carcinogens.</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352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97.51</w:t>
            </w:r>
          </w:p>
        </w:tc>
      </w:tr>
      <w:tr>
        <w:trPr>
          <w:cantSplit w:val="0"/>
          <w:trHeight w:val="308"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Bus passengers are prohibited to smoke in the bus.</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348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96.40</w:t>
            </w:r>
          </w:p>
        </w:tc>
      </w:tr>
      <w:tr>
        <w:trPr>
          <w:cantSplit w:val="0"/>
          <w:trHeight w:val="308"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Passive smokers are more likely to have heart disease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348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96.40</w:t>
            </w:r>
          </w:p>
        </w:tc>
      </w:tr>
      <w:tr>
        <w:trPr>
          <w:cantSplit w:val="0"/>
          <w:trHeight w:val="49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Second-hand smoke comes from the exhaled mainstream (the smoke puffed out by smokers) of cigarettes</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346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95.84</w:t>
            </w:r>
          </w:p>
        </w:tc>
      </w:tr>
      <w:tr>
        <w:trPr>
          <w:cantSplit w:val="0"/>
          <w:trHeight w:val="49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Long-term exposure to second-hand smoke contributes to a high incidence of lung cancer among second-hand smokers</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345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95.57</w:t>
            </w:r>
          </w:p>
        </w:tc>
      </w:tr>
      <w:tr>
        <w:trPr>
          <w:cantSplit w:val="0"/>
          <w:trHeight w:val="49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one is a current smoker, one's spouse has a higher risk of developing lung cancer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333</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92.24</w:t>
            </w:r>
          </w:p>
        </w:tc>
      </w:tr>
      <w:tr>
        <w:trPr>
          <w:cantSplit w:val="0"/>
          <w:trHeight w:val="308"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Smoking in the home affects children's health</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332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91.97</w:t>
            </w:r>
          </w:p>
        </w:tc>
      </w:tr>
      <w:tr>
        <w:trPr>
          <w:cantSplit w:val="0"/>
          <w:trHeight w:val="49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Long-term exposure to second-hand smoke exposure during pregnancy contributes to low birth weight</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323</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89.47</w:t>
            </w:r>
          </w:p>
        </w:tc>
      </w:tr>
      <w:tr>
        <w:trPr>
          <w:cantSplit w:val="0"/>
          <w:trHeight w:val="49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Long-term exposure to second-hand smoke decreases lung function among second-hand smokers</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310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85.87</w:t>
            </w:r>
          </w:p>
        </w:tc>
      </w:tr>
      <w:tr>
        <w:trPr>
          <w:cantSplit w:val="0"/>
          <w:trHeight w:val="49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Smokers do not have to worry about damage to another person's health from second-hand smoke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279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77.29</w:t>
            </w:r>
          </w:p>
        </w:tc>
      </w:tr>
      <w:tr>
        <w:trPr>
          <w:cantSplit w:val="0"/>
          <w:trHeight w:val="49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the husband is a current smoker, the wife has a higher risk of developing cervical cancer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277</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76.73</w:t>
            </w:r>
          </w:p>
        </w:tc>
      </w:tr>
      <w:tr>
        <w:trPr>
          <w:cantSplit w:val="0"/>
          <w:trHeight w:val="49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Second-hand smoke comes from the side-stream (the burning end) of a cigarette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252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69.81</w:t>
            </w:r>
          </w:p>
        </w:tc>
      </w:tr>
      <w:tr>
        <w:trPr>
          <w:cantSplit w:val="0"/>
          <w:trHeight w:val="49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lit cigarette burning in an ashtray will not affect the health of people nearby</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234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64.82</w:t>
            </w:r>
          </w:p>
        </w:tc>
      </w:tr>
      <w:tr>
        <w:trPr>
          <w:cantSplit w:val="0"/>
          <w:trHeight w:val="308" w:hRule="atLeast"/>
          <w:tblHeader w:val="0"/>
        </w:trPr>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Second Hand Smoke does not contain nicotine</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220</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60.94</w:t>
            </w:r>
          </w:p>
        </w:tc>
      </w:tr>
      <w:tr>
        <w:trPr>
          <w:cantSplit w:val="0"/>
          <w:trHeight w:val="255" w:hRule="atLeast"/>
          <w:tblHeader w:val="0"/>
        </w:trPr>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Total</w:t>
            </w:r>
          </w:p>
        </w:tc>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86.74</w:t>
            </w:r>
          </w:p>
        </w:tc>
      </w:tr>
      <w:tr>
        <w:trPr>
          <w:cantSplit w:val="0"/>
          <w:trHeight w:val="255" w:hRule="atLeast"/>
          <w:tblHeader w:val="0"/>
        </w:trPr>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Overall Mean </w:t>
            </w:r>
          </w:p>
        </w:tc>
        <w:tc>
          <w:tcPr>
            <w:gridSpan w:val="2"/>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13.88 / 16 </w:t>
            </w:r>
          </w:p>
        </w:tc>
      </w:tr>
    </w:tb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b w:val="1"/>
          <w:bCs w:val="1"/>
          <w:sz w:val="22"/>
          <w:szCs w:val="22"/>
          <w:rtl w:val="0"/>
        </w:rPr>
        <w:t xml:space="preserve">3</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Level of Attitude on Secondhand Smoke Exposure</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Mean scores for each attitude indicator were analyzed to determine respondents’ attitudes regarding secondhand smoke exposure among household heads. The overall mean score was 4.09 out of 5.00, indicating that the majority of respondents agreed or strongly agreed with statements supporting preventive measures against secondhand smoke exposure.</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highest mean score was observed for the statement that parents have no right to smoke around children (M = 4.34). This was closely followed by the belief that selling cigarettes to minors should be prohibited (M = 4.33) and that banning smoking in public places helps protect the health of non-smokers (M = 4.26). The majority of respondents also acknowledged the harmful effects of cigarette smoke on one’s health and supported the placement of smoking bans in public places.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Findings also revealed that many respondents tried to avoid secondhand smoke. Most agreed that they avoided friends who smoke, refused to dine in establishments that allowed smoking, and asked others to put down their cigarettes, with mean scores ranging from 3.79 to 3.99. These findings suggest that respondents are willing to take active steps to limit their exposure to secondhand smoke in social settings.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These findings have been consistent with a recent study conducted in China, which reported that the majority of participants held positive attitudes toward smoke-free public places and protecting others from secondhand smoke exposure (Wang et al., 2024). Table 3 presents the data.</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Table 3. Level of attitude regarding secondhand smoke exposure among household heads (n=361)</w:t>
      </w:r>
      <w:r w:rsidDel="00000000" w:rsidR="00000000" w:rsidRPr="00000000">
        <w:rPr>
          <w:rtl w:val="0"/>
        </w:rPr>
      </w:r>
    </w:p>
    <w:tbl>
      <w:tblPr>
        <w:tblStyle w:val="Table4"/>
        <w:tblW w:w="8238.0" w:type="dxa"/>
        <w:jc w:val="left"/>
        <w:tblLayout w:type="fixed"/>
        <w:tblLook w:val="0400"/>
      </w:tblPr>
      <w:tblGrid>
        <w:gridCol w:w="6536"/>
        <w:gridCol w:w="709"/>
        <w:gridCol w:w="993"/>
        <w:tblGridChange w:id="0">
          <w:tblGrid>
            <w:gridCol w:w="6536"/>
            <w:gridCol w:w="709"/>
            <w:gridCol w:w="993"/>
          </w:tblGrid>
        </w:tblGridChange>
      </w:tblGrid>
      <w:tr>
        <w:trPr>
          <w:cantSplit w:val="0"/>
          <w:trHeight w:val="308" w:hRule="atLeast"/>
          <w:tblHeader w:val="0"/>
        </w:trPr>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Level of attitude</w:t>
            </w:r>
          </w:p>
        </w:tc>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Mean</w:t>
            </w:r>
          </w:p>
        </w:tc>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Standard Deviation</w:t>
            </w:r>
          </w:p>
        </w:tc>
      </w:tr>
      <w:tr>
        <w:trPr>
          <w:cantSplit w:val="0"/>
          <w:trHeight w:val="180" w:hRule="atLeast"/>
          <w:tblHeader w:val="0"/>
        </w:trPr>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Parents have no right to smoke around children.</w:t>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4.34</w:t>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1.111</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act of selling cigarettes to minors (18 years old and below) should be banned.</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4.33</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1.183</w:t>
            </w:r>
          </w:p>
        </w:tc>
      </w:tr>
      <w:tr>
        <w:trPr>
          <w:cantSplit w:val="0"/>
          <w:trHeight w:val="291"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Banning smoking in public places will protect the health of non-smokers.</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4.26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1.205</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Smoke from other people's cigarettes will shorten my life.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4.25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1.071</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let visitors smoke in my house*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4.15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1.042</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Smoking should be banned in all public places.</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4.14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1.284</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cigarette advertisements should be banned.</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4.04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1.166</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will not go near to my friends when they are smoking.</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3.99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1.136</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will not go to restaurants that allow smoking.</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3.96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1.163</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dislike my friends smoking around me.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3.94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1.206</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ask people to put their cigarettes out when they are talking to me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3.87</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1.237</w:t>
            </w:r>
          </w:p>
        </w:tc>
      </w:tr>
      <w:tr>
        <w:trPr>
          <w:cantSplit w:val="0"/>
          <w:trHeight w:val="180" w:hRule="atLeast"/>
          <w:tblHeader w:val="0"/>
        </w:trPr>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do not chat with friends while they are smoking.</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3.79</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1.179</w:t>
            </w:r>
          </w:p>
        </w:tc>
      </w:tr>
      <w:tr>
        <w:trPr>
          <w:cantSplit w:val="0"/>
          <w:trHeight w:val="240" w:hRule="atLeast"/>
          <w:tblHeader w:val="0"/>
        </w:trPr>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Overall Mean </w:t>
            </w:r>
          </w:p>
        </w:tc>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4.09</w:t>
            </w:r>
          </w:p>
        </w:tc>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0.853</w:t>
            </w:r>
          </w:p>
        </w:tc>
      </w:tr>
    </w:tbl>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Items were reverse scored</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b w:val="1"/>
          <w:bCs w:val="1"/>
          <w:sz w:val="22"/>
          <w:szCs w:val="22"/>
          <w:rtl w:val="0"/>
        </w:rPr>
        <w:t xml:space="preserve">4</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Extent of Avoidance Behavior on Secondhand Smoke Exposure</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Avoidance behavior related to SHS exposure was evaluated by examining the mean scores of the indicators presented in Table 4. These indicators reflect the extent to which household heads actively avoid exposure to cigarette smoke in various settings. The overall mean score of 2.95 out of 4.00 showed that respondents engaged in avoidance behaviors in many instances, though not consistently across all situations.</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majority of the respondents reported that they almost always distance themselves from smokers to avoid exposure (M = 3.45). This was followed by expressing discomfort around secondhand smoke (M = 3.32) and avoiding outdoor activities where smoking is present, whether from cigarettes (M = 3.26) or water pipe (M = 3.24), reflecting that these behaviors are usually practiced. Other avoidance behaviors, such as requesting drivers not to smoke, asking others to refrain from smoking, choosing non-smoking sections, and washing clothes after exposure, were generally reported as being performed usually to almost always.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Behaviors such as remaining in smoking sections when no alternative seating was available (M = 2.58), staying with friends or relatives who were smoking (M = 2.64), and continuing to stay in groups where someone began to smoke (M = 2.70) indicated that respondents did not consistently avoid exposure in social situations. Similarly, allowing smoking in private spaces such as the home or care, frequenting places where smoking has been prevalent, and associating with smokers obtained mean scores ranging from 2.79 to 2.83. These results suggest that respondents usually engage in these behaviors. However, their avoidance of secondhand smoke was less consistent in settings influenced by social interactions or personal routines.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These findings have been supported by a cross-sectional study in Japan, which reported that nearly six out of ten participants always tried to avoid secondhand smoke, although some still experienced unavoidable exposure in certain environments (Odani &amp; Tabuchi, 2023). Table 4 shows the corresponding data.</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Table 4. Extent of avoidance behavior regarding secondhand smoke exposure among household heads (n=361)</w:t>
      </w:r>
      <w:r w:rsidDel="00000000" w:rsidR="00000000" w:rsidRPr="00000000">
        <w:rPr>
          <w:rtl w:val="0"/>
        </w:rPr>
      </w:r>
    </w:p>
    <w:tbl>
      <w:tblPr>
        <w:tblStyle w:val="Table5"/>
        <w:tblW w:w="8188.0" w:type="dxa"/>
        <w:jc w:val="left"/>
        <w:tblLayout w:type="fixed"/>
        <w:tblLook w:val="0400"/>
      </w:tblPr>
      <w:tblGrid>
        <w:gridCol w:w="6382"/>
        <w:gridCol w:w="813"/>
        <w:gridCol w:w="993"/>
        <w:tblGridChange w:id="0">
          <w:tblGrid>
            <w:gridCol w:w="6382"/>
            <w:gridCol w:w="813"/>
            <w:gridCol w:w="993"/>
          </w:tblGrid>
        </w:tblGridChange>
      </w:tblGrid>
      <w:tr>
        <w:trPr>
          <w:cantSplit w:val="0"/>
          <w:trHeight w:val="308" w:hRule="atLeast"/>
          <w:tblHeader w:val="0"/>
        </w:trPr>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Extent of avoidance behavior</w:t>
            </w:r>
          </w:p>
        </w:tc>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Mean</w:t>
            </w:r>
          </w:p>
        </w:tc>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Standard Deviation</w:t>
            </w:r>
          </w:p>
        </w:tc>
      </w:tr>
      <w:tr>
        <w:trPr>
          <w:cantSplit w:val="0"/>
          <w:trHeight w:val="180" w:hRule="atLeast"/>
          <w:tblHeader w:val="0"/>
        </w:trPr>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When I encounter someone who is smoking, I distance myself to ensure that I will not be exposed to smoke.</w:t>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3.45</w:t>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0.748</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find it unpleasant to be around secondhand smoke.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3.32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0.934</w:t>
            </w:r>
          </w:p>
        </w:tc>
      </w:tr>
      <w:tr>
        <w:trPr>
          <w:cantSplit w:val="0"/>
          <w:trHeight w:val="291"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When an outdoor function where smoking is present, I will move away to avoid it.</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3.26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0.916</w:t>
            </w:r>
          </w:p>
        </w:tc>
      </w:tr>
      <w:tr>
        <w:trPr>
          <w:cantSplit w:val="0"/>
          <w:trHeight w:val="291"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When an outdoor function where water pipe smoking is present, I will move away to avoid it.</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3.24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0.944</w:t>
            </w:r>
          </w:p>
        </w:tc>
      </w:tr>
      <w:tr>
        <w:trPr>
          <w:cantSplit w:val="0"/>
          <w:trHeight w:val="291"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When I trip by taxi I will ask the driver not to smoke.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3.18</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0.973</w:t>
            </w:r>
          </w:p>
        </w:tc>
      </w:tr>
      <w:tr>
        <w:trPr>
          <w:cantSplit w:val="0"/>
          <w:trHeight w:val="291"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I am with people who are smoking and I cannot leave, I will ask them to refine from smoking.</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3.07</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0.923</w:t>
            </w:r>
          </w:p>
        </w:tc>
      </w:tr>
      <w:tr>
        <w:trPr>
          <w:cantSplit w:val="0"/>
          <w:trHeight w:val="291"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When eating out, I always sit in the nonsmoking section.</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3.05</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0.95</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When exposed to secondhand smoke, I wash my clothes solely to remove the smell of smoke from them even if they are otherwise clean.</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3.04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0.945</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my husband, or friends or relatives are gathering in a designated smoking area to smoke, I will join them rather than be alone.*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2.91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1.158</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do not find secondhand smoke offensive.*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2.86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1.174</w:t>
            </w:r>
          </w:p>
        </w:tc>
      </w:tr>
      <w:tr>
        <w:trPr>
          <w:cantSplit w:val="0"/>
          <w:trHeight w:val="52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When I am in public place such as restaurant or offices or clinic, I will leave if unable to sit in the nonsmoking section.</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2.84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1.008</w:t>
            </w:r>
          </w:p>
        </w:tc>
      </w:tr>
      <w:tr>
        <w:trPr>
          <w:cantSplit w:val="0"/>
          <w:trHeight w:val="33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routinely associate with people who smoke.*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2.83</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1.092</w:t>
            </w:r>
          </w:p>
        </w:tc>
      </w:tr>
      <w:tr>
        <w:trPr>
          <w:cantSplit w:val="0"/>
          <w:trHeight w:val="33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frequently go to places where smoking is prevalent.*</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2.82</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1.167</w:t>
            </w:r>
          </w:p>
        </w:tc>
      </w:tr>
      <w:tr>
        <w:trPr>
          <w:cantSplit w:val="0"/>
          <w:trHeight w:val="33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allow people smoking in my car.*</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2.81</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1.268</w:t>
            </w:r>
          </w:p>
        </w:tc>
      </w:tr>
      <w:tr>
        <w:trPr>
          <w:cantSplit w:val="0"/>
          <w:trHeight w:val="33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allow people to smoke in my home.*</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2.79</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1.17</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When I trip by bus, or any other public transportation I would request a nonsmoking seat.</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2.76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0.973</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I am with a group of people, and someone begins to smoke, I will remain with the group.*</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2.70</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1.026</w:t>
            </w:r>
          </w:p>
        </w:tc>
      </w:tr>
      <w:tr>
        <w:trPr>
          <w:cantSplit w:val="0"/>
          <w:trHeight w:val="180"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I encounter a friend or relative who is smoking, I will sit and talk with him/her while he/she is smoking.*</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2.64</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1.079</w:t>
            </w:r>
          </w:p>
        </w:tc>
      </w:tr>
      <w:tr>
        <w:trPr>
          <w:cantSplit w:val="0"/>
          <w:trHeight w:val="180" w:hRule="atLeast"/>
          <w:tblHeader w:val="0"/>
        </w:trPr>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will sit in the smoking section of a public place or bus station if there are no seats available elsewhere.*</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2.58</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1.044</w:t>
            </w:r>
          </w:p>
        </w:tc>
      </w:tr>
      <w:tr>
        <w:trPr>
          <w:cantSplit w:val="0"/>
          <w:trHeight w:val="240" w:hRule="atLeast"/>
          <w:tblHeader w:val="0"/>
        </w:trPr>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Overall Mean</w:t>
            </w:r>
          </w:p>
        </w:tc>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2.95</w:t>
            </w:r>
          </w:p>
        </w:tc>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0.543</w:t>
            </w:r>
          </w:p>
        </w:tc>
      </w:tr>
    </w:tbl>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*Items were reverse scored</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b w:val="1"/>
          <w:bCs w:val="1"/>
          <w:sz w:val="22"/>
          <w:szCs w:val="22"/>
          <w:rtl w:val="0"/>
        </w:rPr>
        <w:t xml:space="preserve">5</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Relationship of the Variables</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Tables 5–7 present the relationships among knowledge, attitude, and avoidance behavior regarding secondhand smoke exposure among household heads. Spearman’s rho analysis revealed a significant relationship between knowledge and attitude (rs = 0.175,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&lt; .001), indicating a very weak positive correlation, suggesting that higher knowledge levels were associated with more favorable attitudes toward secondhand smoke exposure. This finding corroborates the study of Malik et al. (2025), which reported that individuals with greater knowledge tend to develop more favorable attitudes toward smoke-free environments.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sdt>
        <w:sdtPr>
          <w:id w:val="-441052402"/>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In contrast, no significant relationship was found between knowledge and avoidance behavior (rs = −0.045, </w:t>
          </w:r>
        </w:sdtContent>
      </w:sdt>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.397), indicating that higher knowledge did not necessarily translate into greater avoidance of secondhand smoke exposure. This result is consistent with the findings of Chen et al. (2020), which showed that awareness of the dangers of secondhand smoke alone may not be sufficient to reduce exposure.</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However, a significant relationship was observed between attitude and avoidance behavior (rs = 0.398,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&lt; .001), demonstrating a weak positive correlation, suggesting that respondents with more favorable attitudes toward preventing secondhand smoke exposure were more likely to practice avoidance behaviors. This finding supports the study of Ambawarti et al. (2025), which reported that individuals with more positive attitudes were significantly more likely to avoid passive smoking. These results indicate that while knowledge contributes to shaping attitudes, attitudes appear to play a more influential role in encouraging avoidance behaviors toward secondhand smoke exposure.</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Table 5. Relationship between the level of knowledge and level of attitude regarding secondhand smoke exposure among household heads (n=361)</w:t>
      </w:r>
      <w:r w:rsidDel="00000000" w:rsidR="00000000" w:rsidRPr="00000000">
        <w:rPr>
          <w:rtl w:val="0"/>
        </w:rPr>
      </w:r>
    </w:p>
    <w:tbl>
      <w:tblPr>
        <w:tblStyle w:val="Table6"/>
        <w:tblW w:w="8228.0" w:type="dxa"/>
        <w:jc w:val="left"/>
        <w:tblLayout w:type="fixed"/>
        <w:tblLook w:val="0400"/>
      </w:tblPr>
      <w:tblGrid>
        <w:gridCol w:w="2621"/>
        <w:gridCol w:w="2472"/>
        <w:gridCol w:w="3135"/>
        <w:tblGridChange w:id="0">
          <w:tblGrid>
            <w:gridCol w:w="2621"/>
            <w:gridCol w:w="2472"/>
            <w:gridCol w:w="3135"/>
          </w:tblGrid>
        </w:tblGridChange>
      </w:tblGrid>
      <w:tr>
        <w:trPr>
          <w:cantSplit w:val="0"/>
          <w:trHeight w:val="222" w:hRule="atLeast"/>
          <w:tblHeader w:val="0"/>
        </w:trPr>
        <w:tc>
          <w:tcPr>
            <w:tcBorders>
              <w:top w:color="000000" w:space="0" w:sz="4" w:val="single"/>
              <w:left w:color="ffffff" w:space="0" w:sz="8" w:val="single"/>
              <w:bottom w:color="ffffff" w:space="0" w:sz="8" w:val="single"/>
              <w:right w:color="ffffff" w:space="0" w:sz="8" w:val="single"/>
            </w:tcBorders>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ffffff" w:space="0" w:sz="8" w:val="single"/>
              <w:bottom w:color="000000" w:space="0" w:sz="4" w:val="single"/>
              <w:right w:color="ffffff" w:space="0" w:sz="8" w:val="single"/>
            </w:tcBorders>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Attitude</w:t>
            </w:r>
          </w:p>
        </w:tc>
      </w:tr>
      <w:tr>
        <w:trPr>
          <w:cantSplit w:val="0"/>
          <w:trHeight w:val="222" w:hRule="atLeast"/>
          <w:tblHeader w:val="0"/>
        </w:trPr>
        <w:tc>
          <w:tcPr>
            <w:tcBorders>
              <w:top w:color="ffffff" w:space="0" w:sz="8" w:val="single"/>
              <w:left w:color="ffffff" w:space="0" w:sz="8" w:val="single"/>
              <w:bottom w:color="000000" w:space="0" w:sz="4" w:val="single"/>
              <w:right w:color="ffffff" w:space="0" w:sz="8" w:val="single"/>
            </w:tcBorders>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ffffff" w:space="0" w:sz="8" w:val="single"/>
              <w:bottom w:color="ffffff" w:space="0" w:sz="8" w:val="single"/>
              <w:right w:color="ffffff" w:space="0" w:sz="8" w:val="single"/>
            </w:tcBorders>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r-value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subscript"/>
                <w:rtl w:val="0"/>
              </w:rPr>
              <w:t xml:space="preserve">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tc>
        <w:tc>
          <w:tcPr>
            <w:tcBorders>
              <w:top w:color="000000" w:space="0" w:sz="4" w:val="single"/>
              <w:left w:color="ffffff" w:space="0" w:sz="8" w:val="single"/>
              <w:bottom w:color="ffffff" w:space="0" w:sz="8" w:val="single"/>
              <w:right w:color="ffffff" w:space="0" w:sz="8" w:val="single"/>
            </w:tcBorders>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Sig. (2-tailed)</w:t>
            </w:r>
          </w:p>
        </w:tc>
      </w:tr>
      <w:tr>
        <w:trPr>
          <w:cantSplit w:val="0"/>
          <w:trHeight w:val="222" w:hRule="atLeast"/>
          <w:tblHeader w:val="0"/>
        </w:trPr>
        <w:tc>
          <w:tcPr>
            <w:tcBorders>
              <w:top w:color="000000" w:space="0" w:sz="4" w:val="single"/>
              <w:left w:color="ffffff" w:space="0" w:sz="8" w:val="single"/>
              <w:bottom w:color="000000" w:space="0" w:sz="4" w:val="single"/>
              <w:right w:color="ffffff" w:space="0" w:sz="8" w:val="single"/>
            </w:tcBorders>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Knowledge</w:t>
            </w:r>
          </w:p>
        </w:tc>
        <w:tc>
          <w:tcPr>
            <w:tcBorders>
              <w:top w:color="ffffff" w:space="0" w:sz="8" w:val="single"/>
              <w:left w:color="ffffff" w:space="0" w:sz="8" w:val="single"/>
              <w:bottom w:color="000000" w:space="0" w:sz="4" w:val="single"/>
              <w:right w:color="ffffff" w:space="0" w:sz="8" w:val="single"/>
            </w:tcBorders>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0.175***</w:t>
            </w:r>
          </w:p>
        </w:tc>
        <w:tc>
          <w:tcPr>
            <w:tcBorders>
              <w:top w:color="ffffff" w:space="0" w:sz="8" w:val="single"/>
              <w:left w:color="ffffff" w:space="0" w:sz="8" w:val="single"/>
              <w:bottom w:color="000000" w:space="0" w:sz="4" w:val="single"/>
              <w:right w:color="ffffff" w:space="0" w:sz="8" w:val="single"/>
            </w:tcBorders>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&lt; 0.001</w:t>
            </w:r>
          </w:p>
        </w:tc>
      </w:tr>
    </w:tbl>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*Sig at 0.05</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Table 6. Relationship between the level of knowledge and extent of avoidance behavior regarding secondhand smoke exposure among household heads (n=361)</w:t>
      </w:r>
      <w:r w:rsidDel="00000000" w:rsidR="00000000" w:rsidRPr="00000000">
        <w:rPr>
          <w:rtl w:val="0"/>
        </w:rPr>
      </w:r>
    </w:p>
    <w:tbl>
      <w:tblPr>
        <w:tblStyle w:val="Table7"/>
        <w:tblW w:w="8213.0" w:type="dxa"/>
        <w:jc w:val="left"/>
        <w:tblLayout w:type="fixed"/>
        <w:tblLook w:val="0400"/>
      </w:tblPr>
      <w:tblGrid>
        <w:gridCol w:w="2617"/>
        <w:gridCol w:w="2467"/>
        <w:gridCol w:w="3129"/>
        <w:tblGridChange w:id="0">
          <w:tblGrid>
            <w:gridCol w:w="2617"/>
            <w:gridCol w:w="2467"/>
            <w:gridCol w:w="3129"/>
          </w:tblGrid>
        </w:tblGridChange>
      </w:tblGrid>
      <w:tr>
        <w:trPr>
          <w:cantSplit w:val="0"/>
          <w:trHeight w:val="261" w:hRule="atLeast"/>
          <w:tblHeader w:val="0"/>
        </w:trPr>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Avoidance</w:t>
            </w:r>
          </w:p>
        </w:tc>
      </w:tr>
      <w:tr>
        <w:trPr>
          <w:cantSplit w:val="0"/>
          <w:trHeight w:val="261" w:hRule="atLeast"/>
          <w:tblHeader w:val="0"/>
        </w:trPr>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r-value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subscript"/>
                <w:rtl w:val="0"/>
              </w:rPr>
              <w:t xml:space="preserve">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Sig. (2-tailed)</w:t>
            </w:r>
          </w:p>
        </w:tc>
      </w:tr>
      <w:tr>
        <w:trPr>
          <w:cantSplit w:val="0"/>
          <w:trHeight w:val="261" w:hRule="atLeast"/>
          <w:tblHeader w:val="0"/>
        </w:trPr>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Knowledge</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0.045</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&lt; 0.397</w:t>
            </w:r>
          </w:p>
        </w:tc>
      </w:tr>
    </w:tbl>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*Sig at 0.05</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Table 7. Relationship between the level of attitude and extent of avoidance behavior regarding secondhand smoke exposure among household heads (n=361)</w:t>
      </w:r>
      <w:r w:rsidDel="00000000" w:rsidR="00000000" w:rsidRPr="00000000">
        <w:rPr>
          <w:rtl w:val="0"/>
        </w:rPr>
      </w:r>
    </w:p>
    <w:tbl>
      <w:tblPr>
        <w:tblStyle w:val="Table8"/>
        <w:tblW w:w="8218.0" w:type="dxa"/>
        <w:jc w:val="left"/>
        <w:tblLayout w:type="fixed"/>
        <w:tblLook w:val="0400"/>
      </w:tblPr>
      <w:tblGrid>
        <w:gridCol w:w="2015"/>
        <w:gridCol w:w="2735"/>
        <w:gridCol w:w="3468"/>
        <w:tblGridChange w:id="0">
          <w:tblGrid>
            <w:gridCol w:w="2015"/>
            <w:gridCol w:w="2735"/>
            <w:gridCol w:w="3468"/>
          </w:tblGrid>
        </w:tblGridChange>
      </w:tblGrid>
      <w:tr>
        <w:trPr>
          <w:cantSplit w:val="0"/>
          <w:trHeight w:val="239" w:hRule="atLeast"/>
          <w:tblHeader w:val="0"/>
        </w:trPr>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Avoidance</w:t>
            </w:r>
          </w:p>
        </w:tc>
      </w:tr>
      <w:tr>
        <w:trPr>
          <w:cantSplit w:val="0"/>
          <w:trHeight w:val="239" w:hRule="atLeast"/>
          <w:tblHeader w:val="0"/>
        </w:trPr>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8" w:val="single"/>
              <w:left w:color="ffffff" w:space="0" w:sz="8" w:val="single"/>
              <w:bottom w:color="ffffff" w:space="0" w:sz="8" w:val="single"/>
              <w:right w:color="ffffff" w:space="0" w:sz="8" w:val="single"/>
            </w:tcBorders>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r-value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r</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subscript"/>
                <w:rtl w:val="0"/>
              </w:rPr>
              <w:t xml:space="preserve">s</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tc>
        <w:tc>
          <w:tcPr>
            <w:tcBorders>
              <w:top w:color="000000" w:space="0" w:sz="4" w:val="single"/>
              <w:left w:color="ffffff" w:space="0" w:sz="8" w:val="single"/>
              <w:bottom w:color="ffffff" w:space="0" w:sz="8" w:val="single"/>
              <w:right w:color="ffffff" w:space="0" w:sz="8" w:val="single"/>
            </w:tcBorders>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Sig. (2-tailed)</w:t>
            </w:r>
          </w:p>
        </w:tc>
      </w:tr>
      <w:tr>
        <w:trPr>
          <w:cantSplit w:val="0"/>
          <w:trHeight w:val="239" w:hRule="atLeast"/>
          <w:tblHeader w:val="0"/>
        </w:trPr>
        <w:tc>
          <w:tcPr>
            <w:tcBorders>
              <w:top w:color="000000" w:space="0" w:sz="8" w:val="single"/>
              <w:left w:color="ffffff" w:space="0" w:sz="8" w:val="single"/>
              <w:bottom w:color="000000" w:space="0" w:sz="8" w:val="single"/>
              <w:right w:color="ffffff" w:space="0" w:sz="8" w:val="single"/>
            </w:tcBorders>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Attitude</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0.398***</w:t>
            </w:r>
          </w:p>
        </w:tc>
        <w:tc>
          <w:tcPr>
            <w:tcBorders>
              <w:top w:color="ffffff" w:space="0" w:sz="8" w:val="single"/>
              <w:left w:color="ffffff" w:space="0" w:sz="8" w:val="single"/>
              <w:bottom w:color="000000" w:space="0" w:sz="8" w:val="single"/>
              <w:right w:color="ffffff" w:space="0" w:sz="8" w:val="single"/>
            </w:tcBorders>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&lt; 0.001</w:t>
            </w:r>
          </w:p>
        </w:tc>
      </w:tr>
    </w:tbl>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*Sig at 0.05</w:t>
      </w:r>
      <w:r w:rsidDel="00000000" w:rsidR="00000000" w:rsidRPr="00000000">
        <w:rPr>
          <w:rtl w:val="0"/>
        </w:rPr>
      </w:r>
    </w:p>
    <w:p w:rsidR="00000000" w:rsidDel="00000000" w:rsidP="00000000" w:rsidRDefault="00000000" w:rsidRPr="00000000" w14:paraId="0000017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4. Conclusion</w:t>
      </w:r>
    </w:p>
    <w:p w:rsidR="00000000" w:rsidDel="00000000" w:rsidP="00000000" w:rsidRDefault="00000000" w:rsidRPr="00000000" w14:paraId="0000017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Major findings revealed that the majority of the respondents were female, aged 18–25, generally had college-level education. Most of the smokers were neighbors of the respondents.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terms of the level of knowledge, most respondents answered the majority of the knowledge items correctly, especially regarding its health risks and impact on children, although fewer were able to accurately identify details related to its composition and specific sources of exposure. Similarly, the majority of respondents agreed or strongly agreed with statements supporting preventive measures against secondhand smoke exposure attitude toward preventing secondhand smoke exposure</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Meanwhile, respondents demonstrated avoidance behaviors to a certain extent, actively practicing situational and personal avoidance behaviors but showing limited avoidance in settings with limited control and moderate tolerance in certain social and private situations.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Certainly, the inferential analysis revealed a significant but very weak positive correlation between knowledge and attitude, no significant relationship between knowledge and avoidance, and a significant weak positive correlation between attitude and avoidance, indicating that while greater knowledge is associated with more favorable attitudes, only supportive attitudes are linked to increased avoidance of secondhand smoke exposure.</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However, these findings should be interpreted with caution due to the limited and homogeneous sample, which may not represent other populations. Based on this, interventions are recommended to focus not only on increasing knowledge but also on strengthening attitudes and practical avoidance skills. Future studies should include more diverse populations and use intervention and longitudinal designs to better determine how behavior can be influenced.</w:t>
      </w:r>
      <w:r w:rsidDel="00000000" w:rsidR="00000000" w:rsidRPr="00000000">
        <w:rPr>
          <w:rtl w:val="0"/>
        </w:rPr>
      </w:r>
    </w:p>
    <w:p w:rsidR="00000000" w:rsidDel="00000000" w:rsidP="00000000" w:rsidRDefault="00000000" w:rsidRPr="00000000" w14:paraId="0000017D">
      <w:pPr>
        <w:rPr>
          <w:b w:val="1"/>
          <w:bCs w:val="1"/>
          <w:highlight w:val="yellow"/>
        </w:rPr>
      </w:pPr>
      <w:r w:rsidDel="00000000" w:rsidR="00000000" w:rsidRPr="00000000">
        <w:rPr>
          <w:rtl w:val="0"/>
        </w:rPr>
      </w:r>
    </w:p>
    <w:p w:rsidR="00000000" w:rsidDel="00000000" w:rsidP="00000000" w:rsidRDefault="00000000" w:rsidRPr="00000000" w14:paraId="0000017E">
      <w:pPr>
        <w:rPr>
          <w:rFonts w:ascii="Arial" w:cs="Arial" w:eastAsia="Arial" w:hAnsi="Arial"/>
          <w:b w:val="1"/>
          <w:bCs w:val="1"/>
        </w:rPr>
      </w:pPr>
      <w:r w:rsidDel="00000000" w:rsidR="00000000" w:rsidRPr="00000000">
        <w:rPr>
          <w:rFonts w:ascii="Arial" w:cs="Arial" w:eastAsia="Arial" w:hAnsi="Arial"/>
          <w:b w:val="1"/>
          <w:bCs w:val="1"/>
          <w:rtl w:val="0"/>
        </w:rPr>
        <w:t xml:space="preserve">Disclaimer (Artificial intelligence)</w:t>
      </w:r>
    </w:p>
    <w:p w:rsidR="00000000" w:rsidDel="00000000" w:rsidP="00000000" w:rsidRDefault="00000000" w:rsidRPr="00000000" w14:paraId="0000017F">
      <w:pPr>
        <w:rPr>
          <w:rFonts w:ascii="Arial" w:cs="Arial" w:eastAsia="Arial" w:hAnsi="Arial"/>
        </w:rPr>
      </w:pPr>
      <w:r w:rsidDel="00000000" w:rsidR="00000000" w:rsidRPr="00000000">
        <w:rPr>
          <w:rFonts w:ascii="Arial" w:cs="Arial" w:eastAsia="Arial" w:hAnsi="Arial"/>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lb2x5leot4qy" w:id="0"/>
      <w:bookmarkEnd w:id="0"/>
      <w:r w:rsidDel="00000000" w:rsidR="00000000" w:rsidRPr="00000000">
        <w:rPr>
          <w:rtl w:val="0"/>
        </w:rPr>
      </w:r>
    </w:p>
    <w:p w:rsidR="00000000" w:rsidDel="00000000" w:rsidP="00000000" w:rsidRDefault="00000000" w:rsidRPr="00000000" w14:paraId="0000018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color w:val="000000"/>
          <w:sz w:val="22"/>
          <w:szCs w:val="22"/>
          <w:u w:val="none"/>
          <w:shd w:fill="auto" w:val="clear"/>
          <w:vertAlign w:val="baseline"/>
          <w:rtl w:val="0"/>
        </w:rPr>
        <w:t xml:space="preserve">References</w:t>
      </w:r>
    </w:p>
    <w:p w:rsidR="00000000" w:rsidDel="00000000" w:rsidP="00000000" w:rsidRDefault="00000000" w:rsidRPr="00000000" w14:paraId="0000018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Arikrishnan, K., Sarveswaran, G., Krishnamoorthy, Y., Sakthivel, M., Majella, M. G., &amp; Lakshminarayanan, S. (2020). Prevalence and factors related to second-hand smoking exposure, knowledge and response among adolescents in rural Puducherry.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International Journal of Adolescent Medicine and Health</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hyperlink r:id="rId15">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 https://doi.org/10.1515/ijamh-2019-0014</w:t>
        </w:r>
      </w:hyperlink>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Boey, C. P. H., Quaye, S. E. D., Cook, A. R., Seow, W. J., &amp; van der Eijk, Y. (2022). Secondhand smoke in the densely populated urban setting: A cross-sectional survey of exposure, knowledge, attitudes, and respiratory symptoms.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Indoor Air, 32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w:t>
      </w:r>
      <w:hyperlink r:id="rId16">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 https://doi.org/10.1111/ina.13069</w:t>
        </w:r>
      </w:hyperlink>
      <w:r w:rsidDel="00000000" w:rsidR="00000000" w:rsidRPr="00000000">
        <w:rPr>
          <w:rtl w:val="0"/>
        </w:rPr>
      </w:r>
    </w:p>
    <w:p w:rsidR="00000000" w:rsidDel="00000000" w:rsidP="00000000" w:rsidRDefault="00000000" w:rsidRPr="00000000" w14:paraId="00000186">
      <w:pPr>
        <w:spacing w:after="240" w:lineRule="auto"/>
        <w:jc w:val="both"/>
        <w:rPr>
          <w:rFonts w:ascii="Arial" w:cs="Arial" w:eastAsia="Arial" w:hAnsi="Arial"/>
        </w:rPr>
      </w:pPr>
      <w:r w:rsidDel="00000000" w:rsidR="00000000" w:rsidRPr="00000000">
        <w:rPr>
          <w:rFonts w:ascii="Arial" w:cs="Arial" w:eastAsia="Arial" w:hAnsi="Arial"/>
          <w:rtl w:val="0"/>
        </w:rPr>
        <w:t xml:space="preserve">Chen, J., Li, X., &amp; Fang, P. (2020). Influence of family resources on secondhand smoking in pregnant women: A cross-sectional study in the border and minority urban areas of Northwest China. BMC Pregnancy and Childbirth, 20(1), 642. https://doi.org/10.1186/s12884-020-03251-w</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Clarete, P. M. D., Mondejar, M. A. D., Quimba, N. R. L., &amp; Carlos, J. G. (2023). A Descriptive-Correlational Study on Personality Traits and Entrepreneurial Intentions of Senior High School Learners.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International Journal of Multidisciplinary: Applied Business and Education Research</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4(12), 4460–4472. https://doi.org/10.11594/ijmaber.04.12.22</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Derikvand, A., Taherkhani, A., Hassanvand, M. S., Naddafi, K., Nabizadeh, R., Shamsipour, M., Niazi, S., Heidari, M., Mokammel, A., &amp; Faridi, S. (2023). Indoor air quality in the most crowded public places of Tehran: An inhalation health risk assessment.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Atmosphere, 14</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1080.</w:t>
      </w:r>
      <w:hyperlink r:id="rId17">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 https://doi.org/10.3390/atmos14071080</w:t>
        </w:r>
      </w:hyperlink>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Etikan, I. (2016). Comparison of convenience sampling and purposive sampling. </w:t>
      </w:r>
      <w:r w:rsidDel="00000000" w:rsidR="00000000" w:rsidRPr="00000000">
        <w:rPr>
          <w:rFonts w:ascii="Arial" w:cs="Arial" w:eastAsia="Arial" w:hAnsi="Arial"/>
          <w:i w:val="1"/>
          <w:iCs w:val="1"/>
          <w:rtl w:val="0"/>
        </w:rPr>
        <w:t xml:space="preserve">American Journal of Theoretical and Applied Statistics</w:t>
      </w:r>
      <w:r w:rsidDel="00000000" w:rsidR="00000000" w:rsidRPr="00000000">
        <w:rPr>
          <w:rFonts w:ascii="Arial" w:cs="Arial" w:eastAsia="Arial" w:hAnsi="Arial"/>
          <w:rtl w:val="0"/>
        </w:rPr>
        <w:t xml:space="preserve">, 5(1), 1-4. https://doi.org/10.11648/j.ajtas.20160501.11</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Global Adult Tobacco Survey, &amp; Centers for Disease Control and Prevention. (2015).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Global adult tobacco survey: Philippines country report 2015</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hyperlink r:id="rId18">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 https://cdn.who.int/media/docs/default-source/ncds/ncd-surveillance/data-reporting/philippines/gats/phl-country-report-2015-gats.pdf</w:t>
        </w:r>
      </w:hyperlink>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Gharaibeh, H., Haddad, L., Alzyoud, S., El-Shahawy, O., Baker, N. A., &amp; Umlauf, M. (2011). Knowledge, attitudes, and behavior in avoiding secondhand smoke exposure among non-smoking employed women with higher education in Jordan.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International Journal of Environmental Research and Public Health, 8</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 4207–4219.</w:t>
      </w:r>
      <w:hyperlink r:id="rId19">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 https://doi.org/10.3390/ijerph8114207</w:t>
        </w:r>
      </w:hyperlink>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Islam, M. M., Al-Mamun, F., Almerab, M. M., Moonajilin, M. S., &amp; Mamun, M. A. (2025). Factors influencing knowledge and attitudes towards second-hand smoking exposure among university students: An exploratory study.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INQUIRY: The Journal of Health Care Organization, Provision, and Financing, 62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hyperlink r:id="rId20">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 https://doi.org/10.1177/00469580251314783</w:t>
        </w:r>
      </w:hyperlink>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Lim, K. H., Cheong, Y. L., Lim, J. H., Ghazali, S. M., Cheong, K. C., Teh, C. H., Heng, P. P., Marine, A. A., Hashim, M. H. M., &amp; Lim, H. L. (2025). Unravelling sociodemographic inequities in household secondhand smoke exposure among non-smokers in Malaysia: A secondary analysis of National Health and Morbidity Survey (NHMS) 2019. Tobacco Induced Diseases, 23, 1-12. </w:t>
      </w:r>
      <w:hyperlink r:id="rId21">
        <w:r w:rsidDel="00000000" w:rsidR="00000000" w:rsidRPr="00000000">
          <w:rPr>
            <w:rFonts w:ascii="Arial" w:cs="Arial" w:eastAsia="Arial" w:hAnsi="Arial"/>
            <w:u w:val="single"/>
            <w:rtl w:val="0"/>
          </w:rPr>
          <w:t xml:space="preserve">https://doi.org/10.18332/tid/208714</w:t>
        </w:r>
      </w:hyperlink>
      <w:r w:rsidDel="00000000" w:rsidR="00000000" w:rsidRPr="00000000">
        <w:rPr>
          <w:rFonts w:ascii="Arial" w:cs="Arial" w:eastAsia="Arial" w:hAnsi="Arial"/>
          <w:rtl w:val="0"/>
        </w:rPr>
        <w:t xml:space="preserve">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Malik, M., Hussain, A., &amp; Hashmi, A. (2025). Exploring the relationship between knowledge, attitudes, and ENDS use among youth in Pakistan: Implications for effective tobacco control strategies. medRiv. https://doi.org/10.1101/2025.04.13.25325758</w:t>
      </w: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Nor Afiah, M. Z., Suriani, I., Hf, R. A., &amp; Ar, M. (2017). Knowledge, attitude and perceptions on second-hand smoke (SHS) exposure among undergraduate students contribute to avoidance of second-hand smoke.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Odani, S., &amp; Tabuchi, T. (2023). Unavoidable exposure to secondhand smoke in indoor places: A cross-sectional comparison to the Health Japan 21 (second term) objectives, 2022. </w:t>
      </w:r>
      <w:r w:rsidDel="00000000" w:rsidR="00000000" w:rsidRPr="00000000">
        <w:rPr>
          <w:rFonts w:ascii="Arial" w:cs="Arial" w:eastAsia="Arial" w:hAnsi="Arial"/>
          <w:i w:val="1"/>
          <w:iCs w:val="1"/>
          <w:rtl w:val="0"/>
        </w:rPr>
        <w:t xml:space="preserve">Environmental Health and Preventive Medicine,</w:t>
      </w:r>
      <w:r w:rsidDel="00000000" w:rsidR="00000000" w:rsidRPr="00000000">
        <w:rPr>
          <w:rFonts w:ascii="Arial" w:cs="Arial" w:eastAsia="Arial" w:hAnsi="Arial"/>
          <w:rtl w:val="0"/>
        </w:rPr>
        <w:t xml:space="preserve"> 28, 45. </w:t>
      </w:r>
      <w:hyperlink r:id="rId22">
        <w:r w:rsidDel="00000000" w:rsidR="00000000" w:rsidRPr="00000000">
          <w:rPr>
            <w:rFonts w:ascii="Arial" w:cs="Arial" w:eastAsia="Arial" w:hAnsi="Arial"/>
            <w:u w:val="single"/>
            <w:rtl w:val="0"/>
          </w:rPr>
          <w:t xml:space="preserve">https://doi.org/10.1265/ehpm.23-00055</w:t>
        </w:r>
      </w:hyperlink>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Robin, R. C., Noosorn, N., &amp; Alif, S. M. (2020). Secondhand smoking among children in rural households: A community-based cross-sectional study in Bangladesh. </w:t>
      </w:r>
      <w:r w:rsidDel="00000000" w:rsidR="00000000" w:rsidRPr="00000000">
        <w:rPr>
          <w:rFonts w:ascii="Arial" w:cs="Arial" w:eastAsia="Arial" w:hAnsi="Arial"/>
          <w:i w:val="1"/>
          <w:iCs w:val="1"/>
          <w:rtl w:val="0"/>
        </w:rPr>
        <w:t xml:space="preserve">Osong Public Health and Research Perspectives</w:t>
      </w:r>
      <w:r w:rsidDel="00000000" w:rsidR="00000000" w:rsidRPr="00000000">
        <w:rPr>
          <w:rFonts w:ascii="Arial" w:cs="Arial" w:eastAsia="Arial" w:hAnsi="Arial"/>
          <w:rtl w:val="0"/>
        </w:rPr>
        <w:t xml:space="preserve">, (4), 201-208.</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https://doi.org/10.24171/j.phrp.2020.11.4.09</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Tan, G. P. P., Teo, O., &amp; van der Eijk, Y. (2022). Residential secondhand smoke in a densely populated urban setting: A qualitative exploration of psychosocial impacts, views and experiences.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BMC Public Health, 22</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w:t>
      </w:r>
      <w:hyperlink r:id="rId23">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 https://doi.org/10.1186/s12889-022-13561-7</w:t>
        </w:r>
      </w:hyperlink>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Tupas, F. P., &amp; Agreda, I. V. (2020). How to stop before it starts: The case of an anti-smoking campaign for high schools in the Philippines.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Journal of Educational and Social Research, 10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85–94.</w:t>
      </w:r>
      <w:hyperlink r:id="rId24">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 https://doi.org/10.36941/jesr-2020-0048</w:t>
        </w:r>
      </w:hyperlink>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 EPA, O. (2021, March 17).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Secondhand Tobacco Smoke and Indoor Air Quality.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Www.epa.gov. </w:t>
      </w:r>
      <w:hyperlink r:id="rId25">
        <w:r w:rsidDel="00000000" w:rsidR="00000000" w:rsidRPr="00000000">
          <w:rPr>
            <w:rFonts w:ascii="Arial" w:cs="Arial" w:eastAsia="Arial" w:hAnsi="Arial"/>
            <w:b w:val="0"/>
            <w:bCs w:val="0"/>
            <w:i w:val="0"/>
            <w:iCs w:val="0"/>
            <w:smallCaps w:val="0"/>
            <w:strike w:val="0"/>
            <w:sz w:val="20"/>
            <w:szCs w:val="20"/>
            <w:u w:val="single"/>
            <w:shd w:fill="auto" w:val="clear"/>
            <w:vertAlign w:val="baseline"/>
            <w:rtl w:val="0"/>
          </w:rPr>
          <w:t xml:space="preserve">https://www.epa.gov/indoor-air-quality-iaq/secondhand-tobacco-smoke-and-indoor-air-quality</w:t>
        </w:r>
      </w:hyperlink>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Wang, X., Zou, W., Zhang, X., Yang, N., Zheng, Y., Meng, R., &amp; Ma, H. (2024). A cross-sectional study on exposure to secondhand smoke in indoor public places and attitudes of residents towards the smoke control ordinance in public places. </w:t>
      </w:r>
      <w:r w:rsidDel="00000000" w:rsidR="00000000" w:rsidRPr="00000000">
        <w:rPr>
          <w:rFonts w:ascii="Arial" w:cs="Arial" w:eastAsia="Arial" w:hAnsi="Arial"/>
          <w:i w:val="1"/>
          <w:iCs w:val="1"/>
          <w:rtl w:val="0"/>
        </w:rPr>
        <w:t xml:space="preserve">Tobacco Induced Diseases</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22, 1-10. https://doi.org/10.18332/tid/196676</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sectPr>
          <w:headerReference r:id="rId26" w:type="default"/>
          <w:headerReference r:id="rId27" w:type="first"/>
          <w:headerReference r:id="rId28" w:type="even"/>
          <w:footerReference r:id="rId29" w:type="default"/>
          <w:type w:val="continuous"/>
          <w:pgSz w:h="15840" w:w="12240" w:orient="portrait"/>
          <w:pgMar w:bottom="2016" w:top="1440" w:left="2016" w:right="2016" w:header="720" w:footer="1123"/>
        </w:sect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World Health Organization. (2025, June 25).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Tobacco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hyperlink r:id="rId30">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https://www.who.int/news-room/fact-sheets/detail/tobacco</w:t>
        </w:r>
      </w:hyperlink>
      <w:r w:rsidDel="00000000" w:rsidR="00000000" w:rsidRPr="00000000">
        <w:rPr>
          <w:rtl w:val="0"/>
        </w:rPr>
      </w:r>
    </w:p>
    <w:p w:rsidR="00000000" w:rsidDel="00000000" w:rsidP="00000000" w:rsidRDefault="00000000" w:rsidRPr="00000000" w14:paraId="0000019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1"/>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6"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4"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ind w:left="2160" w:firstLine="0"/>
      <w:jc w:val="center"/>
      <w:rPr>
        <w:rFonts w:ascii="Times New Roman" w:cs="Times New Roman" w:eastAsia="Times New Roman" w:hAnsi="Times New Roman"/>
        <w:i w:val="1"/>
        <w:iCs w:val="1"/>
        <w:sz w:val="18"/>
        <w:szCs w:val="18"/>
      </w:rPr>
    </w:pPr>
    <w:r w:rsidDel="00000000" w:rsidR="00000000" w:rsidRPr="00000000">
      <w:rPr/>
      <w:pict>
        <v:shape id="PowerPlusWaterMarkObject5"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p w:rsidR="00000000" w:rsidDel="00000000" w:rsidP="00000000" w:rsidRDefault="00000000" w:rsidRPr="00000000" w14:paraId="0000019C">
    <w:pPr>
      <w:ind w:left="4320" w:firstLine="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9D">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w:t>
    </w:r>
  </w:p>
  <w:p w:rsidR="00000000" w:rsidDel="00000000" w:rsidP="00000000" w:rsidRDefault="00000000" w:rsidRPr="00000000" w14:paraId="0000019E">
    <w:pPr>
      <w:spacing w:after="200" w:lineRule="auto"/>
      <w:jc w:val="center"/>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              . </w:t>
    </w:r>
  </w:p>
  <w:p w:rsidR="00000000" w:rsidDel="00000000" w:rsidP="00000000" w:rsidRDefault="00000000" w:rsidRPr="00000000" w14:paraId="0000019F">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A0">
    <w:pPr>
      <w:tabs>
        <w:tab w:val="left" w:leader="none" w:pos="2145"/>
      </w:tabs>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ab/>
      <w:t xml:space="preserve">.</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2"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3"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1"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PH"/>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60" w:lineRule="auto"/>
      <w:jc w:val="right"/>
    </w:pPr>
    <w:rPr>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uthor" w:customStyle="1">
    <w:name w:val="Author"/>
    <w:basedOn w:val="Normal"/>
    <w:rsid w:val="00423789"/>
    <w:pPr>
      <w:spacing w:line="280" w:lineRule="exact"/>
      <w:jc w:val="right"/>
    </w:pPr>
    <w:rPr>
      <w:b w:val="1"/>
      <w:sz w:val="24"/>
    </w:rPr>
  </w:style>
  <w:style w:type="paragraph" w:styleId="Affiliation" w:customStyle="1">
    <w:name w:val="Affiliation"/>
    <w:basedOn w:val="Normal"/>
    <w:rsid w:val="00423789"/>
    <w:pPr>
      <w:spacing w:after="240" w:line="240" w:lineRule="exact"/>
      <w:jc w:val="right"/>
    </w:pPr>
  </w:style>
  <w:style w:type="paragraph" w:styleId="Body" w:customStyle="1">
    <w:name w:val="Body"/>
    <w:basedOn w:val="Normal"/>
    <w:rsid w:val="00423789"/>
    <w:pPr>
      <w:spacing w:after="240"/>
      <w:jc w:val="both"/>
    </w:pPr>
  </w:style>
  <w:style w:type="paragraph" w:styleId="AbstHead" w:customStyle="1">
    <w:name w:val="Abst Head"/>
    <w:basedOn w:val="MainHead"/>
    <w:rsid w:val="00423789"/>
    <w:rPr>
      <w:sz w:val="22"/>
    </w:rPr>
  </w:style>
  <w:style w:type="paragraph" w:styleId="IntroHead" w:customStyle="1">
    <w:name w:val="Intro Head"/>
    <w:basedOn w:val="MainHead"/>
    <w:rsid w:val="00423789"/>
    <w:rPr>
      <w:sz w:val="22"/>
    </w:rPr>
  </w:style>
  <w:style w:type="paragraph" w:styleId="PaperNumber" w:customStyle="1">
    <w:name w:val="Paper Number"/>
    <w:basedOn w:val="Normal"/>
    <w:rsid w:val="00423789"/>
    <w:pPr>
      <w:spacing w:after="280" w:line="280" w:lineRule="exact"/>
      <w:jc w:val="right"/>
    </w:pPr>
    <w:rPr>
      <w:b w:val="1"/>
      <w:sz w:val="28"/>
    </w:rPr>
  </w:style>
  <w:style w:type="paragraph" w:styleId="ConcHead" w:customStyle="1">
    <w:name w:val="Conc Head"/>
    <w:basedOn w:val="MainHead"/>
    <w:rsid w:val="00423789"/>
    <w:rPr>
      <w:sz w:val="22"/>
    </w:rPr>
  </w:style>
  <w:style w:type="paragraph" w:styleId="AcknHead" w:customStyle="1">
    <w:name w:val="Ackn Head"/>
    <w:basedOn w:val="MainHead"/>
    <w:rsid w:val="00423789"/>
    <w:rPr>
      <w:sz w:val="22"/>
    </w:rPr>
  </w:style>
  <w:style w:type="paragraph" w:styleId="ReferHead" w:customStyle="1">
    <w:name w:val="Refer Head"/>
    <w:basedOn w:val="MainHead"/>
    <w:rsid w:val="00423789"/>
    <w:rPr>
      <w:sz w:val="22"/>
    </w:rPr>
  </w:style>
  <w:style w:type="paragraph" w:styleId="AddSrcHead" w:customStyle="1">
    <w:name w:val="AddSrc Head"/>
    <w:basedOn w:val="MainHead"/>
    <w:rsid w:val="00423789"/>
    <w:rPr>
      <w:sz w:val="22"/>
    </w:rPr>
  </w:style>
  <w:style w:type="paragraph" w:styleId="DefAcrHead" w:customStyle="1">
    <w:name w:val="DefAcrHead"/>
    <w:basedOn w:val="MainHead"/>
    <w:rsid w:val="00423789"/>
    <w:rPr>
      <w:sz w:val="22"/>
    </w:rPr>
  </w:style>
  <w:style w:type="paragraph" w:styleId="Copyright" w:customStyle="1">
    <w:name w:val="Copyright"/>
    <w:basedOn w:val="Normal"/>
    <w:rsid w:val="00423789"/>
    <w:pPr>
      <w:spacing w:after="960" w:line="200" w:lineRule="exact"/>
    </w:pPr>
    <w:rPr>
      <w:sz w:val="16"/>
    </w:rPr>
  </w:style>
  <w:style w:type="paragraph" w:styleId="Reference" w:customStyle="1">
    <w:name w:val="Reference"/>
    <w:basedOn w:val="Body"/>
    <w:rsid w:val="00423789"/>
    <w:pPr>
      <w:numPr>
        <w:numId w:val="23"/>
      </w:numPr>
      <w:spacing w:after="0" w:line="240" w:lineRule="exact"/>
    </w:pPr>
  </w:style>
  <w:style w:type="paragraph" w:styleId="Head1" w:customStyle="1">
    <w:name w:val="Head1"/>
    <w:basedOn w:val="MainHead"/>
    <w:rsid w:val="00423789"/>
    <w:rPr>
      <w:sz w:val="22"/>
    </w:rPr>
  </w:style>
  <w:style w:type="paragraph" w:styleId="ContactHead" w:customStyle="1">
    <w:name w:val="Contact Head"/>
    <w:basedOn w:val="MainHead"/>
    <w:rsid w:val="00423789"/>
    <w:rPr>
      <w:sz w:val="22"/>
    </w:rPr>
  </w:style>
  <w:style w:type="paragraph" w:styleId="Head3" w:customStyle="1">
    <w:name w:val="Head3"/>
    <w:basedOn w:val="Head2"/>
    <w:rsid w:val="00423789"/>
    <w:rPr>
      <w:caps w:val="0"/>
      <w:u w:val="single"/>
    </w:rPr>
  </w:style>
  <w:style w:type="paragraph" w:styleId="Head4" w:customStyle="1">
    <w:name w:val="Head4"/>
    <w:basedOn w:val="Head3"/>
    <w:rsid w:val="00423789"/>
    <w:rPr>
      <w:u w:val="none"/>
    </w:rPr>
  </w:style>
  <w:style w:type="paragraph" w:styleId="UnordList" w:customStyle="1">
    <w:name w:val="Unord List"/>
    <w:basedOn w:val="Body"/>
    <w:rsid w:val="00423789"/>
    <w:pPr>
      <w:spacing w:after="0"/>
      <w:ind w:left="360" w:hanging="360"/>
    </w:pPr>
  </w:style>
  <w:style w:type="paragraph" w:styleId="OrdList" w:customStyle="1">
    <w:name w:val="Ord List"/>
    <w:basedOn w:val="UnordList"/>
    <w:rsid w:val="00423789"/>
    <w:pPr>
      <w:jc w:val="left"/>
    </w:pPr>
  </w:style>
  <w:style w:type="paragraph" w:styleId="Appendix" w:customStyle="1">
    <w:name w:val="Appendix"/>
    <w:basedOn w:val="MainHead"/>
    <w:rsid w:val="00423789"/>
    <w:rPr>
      <w:sz w:val="22"/>
    </w:rPr>
  </w:style>
  <w:style w:type="paragraph" w:styleId="Term" w:customStyle="1">
    <w:name w:val="Term"/>
    <w:basedOn w:val="Body"/>
    <w:rsid w:val="00423789"/>
    <w:pPr>
      <w:spacing w:after="0"/>
    </w:pPr>
    <w:rPr>
      <w:b w:val="1"/>
    </w:rPr>
  </w:style>
  <w:style w:type="paragraph" w:styleId="Definition" w:customStyle="1">
    <w:name w:val="Definition"/>
    <w:basedOn w:val="Body"/>
    <w:rsid w:val="00423789"/>
  </w:style>
  <w:style w:type="paragraph" w:styleId="Head2" w:customStyle="1">
    <w:name w:val="Head2"/>
    <w:basedOn w:val="Normal"/>
    <w:next w:val="Body"/>
    <w:rsid w:val="00423789"/>
    <w:pPr>
      <w:keepNext w:val="1"/>
      <w:spacing w:after="240"/>
    </w:pPr>
    <w:rPr>
      <w:caps w:val="1"/>
    </w:rPr>
  </w:style>
  <w:style w:type="character" w:styleId="Bold" w:customStyle="1">
    <w:name w:val="Bold"/>
    <w:rsid w:val="00423789"/>
    <w:rPr>
      <w:b w:val="1"/>
    </w:rPr>
  </w:style>
  <w:style w:type="character" w:styleId="Italic" w:customStyle="1">
    <w:name w:val="Italic"/>
    <w:rsid w:val="00423789"/>
    <w:rPr>
      <w:i w:val="1"/>
    </w:rPr>
  </w:style>
  <w:style w:type="character" w:styleId="Underline" w:customStyle="1">
    <w:name w:val="Underline"/>
    <w:rsid w:val="00423789"/>
    <w:rPr>
      <w:u w:val="single"/>
    </w:rPr>
  </w:style>
  <w:style w:type="paragraph" w:styleId="MainHead" w:customStyle="1">
    <w:name w:val="Main Head"/>
    <w:basedOn w:val="Normal"/>
    <w:rsid w:val="00423789"/>
    <w:pPr>
      <w:keepNext w:val="1"/>
      <w:spacing w:after="240"/>
    </w:pPr>
    <w:rPr>
      <w:b w:val="1"/>
      <w:caps w:val="1"/>
    </w:rPr>
  </w:style>
  <w:style w:type="paragraph" w:styleId="Equation" w:customStyle="1">
    <w:name w:val="Equation"/>
    <w:basedOn w:val="Body"/>
    <w:rsid w:val="0053056E"/>
  </w:style>
  <w:style w:type="paragraph" w:styleId="Figure" w:customStyle="1">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styleId="Head40" w:customStyle="1">
    <w:name w:val="Head 4"/>
    <w:basedOn w:val="Head3"/>
    <w:rsid w:val="00423789"/>
    <w:rPr>
      <w:u w:val="none"/>
    </w:rPr>
  </w:style>
  <w:style w:type="paragraph" w:styleId="Header">
    <w:name w:val="header"/>
    <w:basedOn w:val="Normal"/>
    <w:rsid w:val="00423789"/>
    <w:pPr>
      <w:tabs>
        <w:tab w:val="center" w:pos="4320"/>
        <w:tab w:val="right" w:pos="8640"/>
      </w:tabs>
    </w:pPr>
  </w:style>
  <w:style w:type="paragraph" w:styleId="Paper" w:customStyle="1">
    <w:name w:val="Paper"/>
    <w:basedOn w:val="Normal"/>
    <w:rsid w:val="00423789"/>
    <w:pPr>
      <w:spacing w:after="360" w:line="440" w:lineRule="exact"/>
      <w:jc w:val="right"/>
    </w:pPr>
    <w:rPr>
      <w:b w:val="1"/>
      <w:sz w:val="36"/>
    </w:rPr>
  </w:style>
  <w:style w:type="paragraph" w:styleId="Signature">
    <w:name w:val="Signature"/>
    <w:basedOn w:val="Normal"/>
    <w:rsid w:val="00423789"/>
    <w:pPr>
      <w:ind w:left="4320"/>
    </w:pPr>
  </w:style>
  <w:style w:type="character" w:styleId="Subscript" w:customStyle="1">
    <w:name w:val="Subscript"/>
    <w:rsid w:val="00423789"/>
    <w:rPr>
      <w:vertAlign w:val="subscript"/>
    </w:rPr>
  </w:style>
  <w:style w:type="character" w:styleId="Superscript" w:customStyle="1">
    <w:name w:val="Superscript"/>
    <w:rsid w:val="00423789"/>
    <w:rPr>
      <w:vertAlign w:val="superscript"/>
    </w:rPr>
  </w:style>
  <w:style w:type="character" w:styleId="Symbol" w:customStyle="1">
    <w:name w:val="Symbol"/>
    <w:rsid w:val="00423789"/>
    <w:rPr>
      <w:rFonts w:ascii="Symbol" w:hAnsi="Symbol"/>
    </w:rPr>
  </w:style>
  <w:style w:type="paragraph" w:styleId="SymbolP" w:customStyle="1">
    <w:name w:val="Symbol P"/>
    <w:basedOn w:val="Body"/>
    <w:rsid w:val="00423789"/>
    <w:pPr>
      <w:tabs>
        <w:tab w:val="left" w:pos="720"/>
        <w:tab w:val="left" w:pos="3780"/>
      </w:tabs>
      <w:spacing w:after="0"/>
    </w:pPr>
    <w:rPr>
      <w:sz w:val="24"/>
    </w:rPr>
  </w:style>
  <w:style w:type="character" w:styleId="BoldItal" w:customStyle="1">
    <w:name w:val="BoldItal"/>
    <w:basedOn w:val="DefaultParagraphFont"/>
    <w:rsid w:val="00423789"/>
    <w:rPr>
      <w:b w:val="1"/>
      <w:i w:val="1"/>
    </w:rPr>
  </w:style>
  <w:style w:type="character" w:styleId="SubItal" w:customStyle="1">
    <w:name w:val="SubItal"/>
    <w:rsid w:val="00423789"/>
    <w:rPr>
      <w:i w:val="1"/>
      <w:vertAlign w:val="subscript"/>
    </w:rPr>
  </w:style>
  <w:style w:type="character" w:styleId="SuperItal" w:customStyle="1">
    <w:name w:val="SuperItal"/>
    <w:rsid w:val="00423789"/>
    <w:rPr>
      <w:i w:val="1"/>
      <w:vertAlign w:val="superscript"/>
    </w:rPr>
  </w:style>
  <w:style w:type="character" w:styleId="SymItal" w:customStyle="1">
    <w:name w:val="SymItal"/>
    <w:rsid w:val="00423789"/>
    <w:rPr>
      <w:rFonts w:ascii="Symbol" w:hAnsi="Symbol"/>
      <w:i w:val="1"/>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odyText2">
    <w:name w:val="Body Text 2"/>
    <w:basedOn w:val="Normal"/>
    <w:link w:val="BodyText2Char"/>
    <w:rsid w:val="00EF7FD8"/>
    <w:pPr>
      <w:spacing w:after="120" w:line="480" w:lineRule="auto"/>
    </w:pPr>
  </w:style>
  <w:style w:type="character" w:styleId="BodyText2Char" w:customStyle="1">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val="1"/>
    <w:rsid w:val="00746E59"/>
    <w:rPr>
      <w:sz w:val="16"/>
      <w:szCs w:val="16"/>
    </w:rPr>
  </w:style>
  <w:style w:type="paragraph" w:styleId="CommentText">
    <w:name w:val="annotation text"/>
    <w:basedOn w:val="Normal"/>
    <w:link w:val="CommentTextChar"/>
    <w:uiPriority w:val="99"/>
    <w:unhideWhenUsed w:val="1"/>
    <w:rsid w:val="00746E59"/>
    <w:rPr>
      <w:rFonts w:ascii="Times New Roman" w:hAnsi="Times New Roman"/>
      <w:lang w:eastAsia="nb-NO" w:val="nb-NO"/>
    </w:rPr>
  </w:style>
  <w:style w:type="character" w:styleId="CommentTextChar" w:customStyle="1">
    <w:name w:val="Comment Text Char"/>
    <w:basedOn w:val="DefaultParagraphFont"/>
    <w:link w:val="CommentText"/>
    <w:uiPriority w:val="99"/>
    <w:rsid w:val="00746E59"/>
    <w:rPr>
      <w:lang w:eastAsia="nb-NO" w:val="nb-NO"/>
    </w:rPr>
  </w:style>
  <w:style w:type="paragraph" w:styleId="BalloonText">
    <w:name w:val="Balloon Text"/>
    <w:basedOn w:val="Normal"/>
    <w:link w:val="BalloonTextChar"/>
    <w:rsid w:val="00746E59"/>
    <w:rPr>
      <w:rFonts w:ascii="Tahoma" w:cs="Tahoma" w:hAnsi="Tahoma"/>
      <w:sz w:val="16"/>
      <w:szCs w:val="16"/>
    </w:rPr>
  </w:style>
  <w:style w:type="character" w:styleId="BalloonTextChar" w:customStyle="1">
    <w:name w:val="Balloon Text Char"/>
    <w:basedOn w:val="DefaultParagraphFont"/>
    <w:link w:val="BalloonText"/>
    <w:rsid w:val="00746E59"/>
    <w:rPr>
      <w:rFonts w:ascii="Tahoma" w:cs="Tahoma" w:hAnsi="Tahoma"/>
      <w:sz w:val="16"/>
      <w:szCs w:val="16"/>
    </w:rPr>
  </w:style>
  <w:style w:type="paragraph" w:styleId="BodyText3">
    <w:name w:val="Body Text 3"/>
    <w:basedOn w:val="Normal"/>
    <w:link w:val="BodyText3Char"/>
    <w:rsid w:val="00231920"/>
    <w:pPr>
      <w:spacing w:after="120"/>
    </w:pPr>
    <w:rPr>
      <w:sz w:val="16"/>
      <w:szCs w:val="16"/>
    </w:rPr>
  </w:style>
  <w:style w:type="character" w:styleId="BodyText3Char" w:customStyle="1">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val="1"/>
    <w:rsid w:val="0024282C"/>
    <w:rPr>
      <w:i w:val="1"/>
      <w:iCs w:val="1"/>
    </w:rPr>
  </w:style>
  <w:style w:type="character" w:styleId="UnresolvedMention">
    <w:name w:val="Unresolved Mention"/>
    <w:basedOn w:val="DefaultParagraphFont"/>
    <w:uiPriority w:val="99"/>
    <w:semiHidden w:val="1"/>
    <w:unhideWhenUsed w:val="1"/>
    <w:rsid w:val="00287E6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177/00469580251314783" TargetMode="External"/><Relationship Id="rId22" Type="http://schemas.openxmlformats.org/officeDocument/2006/relationships/hyperlink" Target="https://doi.org/10.1265/ehpm.23-00055" TargetMode="External"/><Relationship Id="rId21" Type="http://schemas.openxmlformats.org/officeDocument/2006/relationships/hyperlink" Target="https://doi.org/10.18332/tid/208714" TargetMode="External"/><Relationship Id="rId24" Type="http://schemas.openxmlformats.org/officeDocument/2006/relationships/hyperlink" Target="https://doi.org/10.36941/jesr-2020-0048" TargetMode="External"/><Relationship Id="rId23" Type="http://schemas.openxmlformats.org/officeDocument/2006/relationships/hyperlink" Target="https://doi.org/10.1186/s12889-022-13561-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6" Type="http://schemas.openxmlformats.org/officeDocument/2006/relationships/header" Target="header5.xml"/><Relationship Id="rId25" Type="http://schemas.openxmlformats.org/officeDocument/2006/relationships/hyperlink" Target="https://www.epa.gov/indoor-air-quality-iaq/secondhand-tobacco-smoke-and-indoor-air-quality" TargetMode="External"/><Relationship Id="rId28" Type="http://schemas.openxmlformats.org/officeDocument/2006/relationships/header" Target="header4.xml"/><Relationship Id="rId27" Type="http://schemas.openxmlformats.org/officeDocument/2006/relationships/header" Target="header6.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30" Type="http://schemas.openxmlformats.org/officeDocument/2006/relationships/hyperlink" Target="https://www.who.int/news-room/fact-sheets/detail/tobacco" TargetMode="External"/><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2.png"/><Relationship Id="rId12" Type="http://schemas.openxmlformats.org/officeDocument/2006/relationships/footer" Target="footer1.xml"/><Relationship Id="rId15" Type="http://schemas.openxmlformats.org/officeDocument/2006/relationships/hyperlink" Target="https://doi.org/10.1515/ijamh-2019-0014" TargetMode="External"/><Relationship Id="rId14" Type="http://schemas.openxmlformats.org/officeDocument/2006/relationships/image" Target="media/image1.png"/><Relationship Id="rId17" Type="http://schemas.openxmlformats.org/officeDocument/2006/relationships/hyperlink" Target="https://doi.org/10.3390/atmos14071080" TargetMode="External"/><Relationship Id="rId16" Type="http://schemas.openxmlformats.org/officeDocument/2006/relationships/hyperlink" Target="https://doi.org/10.1111/ina.13069" TargetMode="External"/><Relationship Id="rId19" Type="http://schemas.openxmlformats.org/officeDocument/2006/relationships/hyperlink" Target="https://doi.org/10.3390/ijerph8114207" TargetMode="External"/><Relationship Id="rId18" Type="http://schemas.openxmlformats.org/officeDocument/2006/relationships/hyperlink" Target="https://cdn.who.int/media/docs/default-source/ncds/ncd-surveillance/data-reporting/philippines/gats/phl-country-report-2015-gat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Z3Jmxe1kaS1Ff0jQGh73D+ir8g==">CgMxLjAaJAoBMBIfCh0IB0IZCgVBcmlhbBIQQXJpYWwgVW5pY29kZSBNUxokCgExEh8KHQgHQhkKBUFyaWFsEhBBcmlhbCBVbmljb2RlIE1TMg5oLmxiMng1bGVvdDRxeTgAciExX2kxYk0tNW9KVTFpZkRFQXl5UWdvaFNPclRzVXhXUjg=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2026-03-14T15:25:00Z</dcterms:created>
  <dc:creator>SDI</dc:creator>
</cp:coreProperties>
</file>