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44" w:rsidRPr="00442FB7" w:rsidRDefault="00C75DC8" w:rsidP="00C75DC8">
      <w:pPr>
        <w:spacing w:line="240" w:lineRule="auto"/>
        <w:jc w:val="both"/>
        <w:rPr>
          <w:rFonts w:ascii="Times New Roman" w:hAnsi="Times New Roman" w:cs="Times New Roman"/>
          <w:b/>
          <w:sz w:val="24"/>
          <w:szCs w:val="24"/>
        </w:rPr>
      </w:pPr>
      <w:r w:rsidRPr="00442FB7">
        <w:rPr>
          <w:rFonts w:ascii="Times New Roman" w:hAnsi="Times New Roman" w:cs="Times New Roman"/>
          <w:b/>
          <w:sz w:val="24"/>
          <w:szCs w:val="24"/>
        </w:rPr>
        <w:t>Yellow Fever Vaccination in North East Nigeria: Coverage, Uptake, and Barriers to Achieving Optimal Immunization Rates</w:t>
      </w:r>
    </w:p>
    <w:p w:rsidR="003B3FF9" w:rsidRPr="00442FB7" w:rsidRDefault="003B3FF9" w:rsidP="00DA070A">
      <w:pPr>
        <w:spacing w:line="240" w:lineRule="auto"/>
        <w:jc w:val="both"/>
        <w:rPr>
          <w:rFonts w:ascii="Times New Roman" w:hAnsi="Times New Roman" w:cs="Times New Roman"/>
          <w:sz w:val="24"/>
          <w:szCs w:val="24"/>
        </w:rPr>
      </w:pPr>
    </w:p>
    <w:p w:rsidR="003E5BCA" w:rsidRPr="00442FB7" w:rsidRDefault="003E5BCA" w:rsidP="003E5BC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Abstract</w:t>
      </w:r>
    </w:p>
    <w:p w:rsidR="003E5BCA" w:rsidRPr="00442FB7" w:rsidRDefault="003E5BCA" w:rsidP="003E5BC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Background</w:t>
      </w:r>
    </w:p>
    <w:p w:rsidR="003E5BCA" w:rsidRPr="00442FB7" w:rsidRDefault="003E5BCA" w:rsidP="003E5BCA">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Yellow fever remains a significant public health threat in Nigeria’s North East, with recurrent outbreaks driven largely by suboptimal vaccination coverage. The World Health Organization (WHO) recommends at least </w:t>
      </w:r>
      <w:r w:rsidRPr="00442FB7">
        <w:rPr>
          <w:rFonts w:ascii="Times New Roman" w:eastAsia="Times New Roman" w:hAnsi="Times New Roman" w:cs="Times New Roman"/>
          <w:b/>
          <w:bCs/>
          <w:sz w:val="24"/>
          <w:szCs w:val="24"/>
        </w:rPr>
        <w:t>80% population coverage</w:t>
      </w:r>
      <w:r w:rsidRPr="00442FB7">
        <w:rPr>
          <w:rFonts w:ascii="Times New Roman" w:eastAsia="Times New Roman" w:hAnsi="Times New Roman" w:cs="Times New Roman"/>
          <w:sz w:val="24"/>
          <w:szCs w:val="24"/>
        </w:rPr>
        <w:t xml:space="preserve"> to prevent yellow fever transmission; however, coverage in conflict-affected regions remains inadequate. Understanding vaccination uptake and context-specific barriers is essential for designing effective immunization strategies.</w:t>
      </w:r>
    </w:p>
    <w:p w:rsidR="003E5BCA" w:rsidRPr="00442FB7" w:rsidRDefault="003E5BCA" w:rsidP="003E5BC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Objective</w:t>
      </w:r>
    </w:p>
    <w:p w:rsidR="003E5BCA" w:rsidRPr="00442FB7" w:rsidRDefault="00643CC8" w:rsidP="003E5B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w:t>
      </w:r>
      <w:r w:rsidR="003E5BCA" w:rsidRPr="00442FB7">
        <w:rPr>
          <w:rFonts w:ascii="Times New Roman" w:eastAsia="Times New Roman" w:hAnsi="Times New Roman" w:cs="Times New Roman"/>
          <w:sz w:val="24"/>
          <w:szCs w:val="24"/>
        </w:rPr>
        <w:t xml:space="preserve"> asses</w:t>
      </w:r>
      <w:r>
        <w:rPr>
          <w:rFonts w:ascii="Times New Roman" w:eastAsia="Times New Roman" w:hAnsi="Times New Roman" w:cs="Times New Roman"/>
          <w:sz w:val="24"/>
          <w:szCs w:val="24"/>
        </w:rPr>
        <w:t>se</w:t>
      </w:r>
      <w:r w:rsidR="003E5BCA" w:rsidRPr="00442FB7">
        <w:rPr>
          <w:rFonts w:ascii="Times New Roman" w:eastAsia="Times New Roman" w:hAnsi="Times New Roman" w:cs="Times New Roman"/>
          <w:sz w:val="24"/>
          <w:szCs w:val="24"/>
        </w:rPr>
        <w:t xml:space="preserve">s yellow fever vaccination coverage and uptake in North East Nigeria and </w:t>
      </w:r>
      <w:r>
        <w:rPr>
          <w:rFonts w:ascii="Times New Roman" w:eastAsia="Times New Roman" w:hAnsi="Times New Roman" w:cs="Times New Roman"/>
          <w:sz w:val="24"/>
          <w:szCs w:val="24"/>
        </w:rPr>
        <w:t>identifies</w:t>
      </w:r>
      <w:r w:rsidR="003E5BCA" w:rsidRPr="00442FB7">
        <w:rPr>
          <w:rFonts w:ascii="Times New Roman" w:eastAsia="Times New Roman" w:hAnsi="Times New Roman" w:cs="Times New Roman"/>
          <w:sz w:val="24"/>
          <w:szCs w:val="24"/>
        </w:rPr>
        <w:t xml:space="preserve"> barriers hindering achievement of the WHO-recommended coverage threshold.</w:t>
      </w:r>
    </w:p>
    <w:p w:rsidR="003E5BCA" w:rsidRPr="00442FB7" w:rsidRDefault="003E5BCA" w:rsidP="003E5BC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Methods</w:t>
      </w:r>
    </w:p>
    <w:p w:rsidR="003E5BCA" w:rsidRPr="00442FB7" w:rsidRDefault="003E5BCA" w:rsidP="003E5BCA">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A community-based cross-sectional study was conducted using a </w:t>
      </w:r>
      <w:r w:rsidRPr="00442FB7">
        <w:rPr>
          <w:rFonts w:ascii="Times New Roman" w:eastAsia="Times New Roman" w:hAnsi="Times New Roman" w:cs="Times New Roman"/>
          <w:b/>
          <w:bCs/>
          <w:sz w:val="24"/>
          <w:szCs w:val="24"/>
        </w:rPr>
        <w:t>multistage cluster sampling technique</w:t>
      </w:r>
      <w:r w:rsidRPr="00442FB7">
        <w:rPr>
          <w:rFonts w:ascii="Times New Roman" w:eastAsia="Times New Roman" w:hAnsi="Times New Roman" w:cs="Times New Roman"/>
          <w:sz w:val="24"/>
          <w:szCs w:val="24"/>
        </w:rPr>
        <w:t xml:space="preserve"> across six states (Adamawa, Bauchi, </w:t>
      </w:r>
      <w:proofErr w:type="spellStart"/>
      <w:r w:rsidRPr="00442FB7">
        <w:rPr>
          <w:rFonts w:ascii="Times New Roman" w:eastAsia="Times New Roman" w:hAnsi="Times New Roman" w:cs="Times New Roman"/>
          <w:sz w:val="24"/>
          <w:szCs w:val="24"/>
        </w:rPr>
        <w:t>Borno</w:t>
      </w:r>
      <w:proofErr w:type="spellEnd"/>
      <w:r w:rsidRPr="00442FB7">
        <w:rPr>
          <w:rFonts w:ascii="Times New Roman" w:eastAsia="Times New Roman" w:hAnsi="Times New Roman" w:cs="Times New Roman"/>
          <w:sz w:val="24"/>
          <w:szCs w:val="24"/>
        </w:rPr>
        <w:t xml:space="preserve">, Gombe, Taraba, and </w:t>
      </w:r>
      <w:proofErr w:type="spellStart"/>
      <w:r w:rsidRPr="00442FB7">
        <w:rPr>
          <w:rFonts w:ascii="Times New Roman" w:eastAsia="Times New Roman" w:hAnsi="Times New Roman" w:cs="Times New Roman"/>
          <w:sz w:val="24"/>
          <w:szCs w:val="24"/>
        </w:rPr>
        <w:t>Yobe</w:t>
      </w:r>
      <w:proofErr w:type="spellEnd"/>
      <w:r w:rsidRPr="00442FB7">
        <w:rPr>
          <w:rFonts w:ascii="Times New Roman" w:eastAsia="Times New Roman" w:hAnsi="Times New Roman" w:cs="Times New Roman"/>
          <w:sz w:val="24"/>
          <w:szCs w:val="24"/>
        </w:rPr>
        <w:t xml:space="preserve">). Of the </w:t>
      </w:r>
      <w:r w:rsidRPr="00442FB7">
        <w:rPr>
          <w:rFonts w:ascii="Times New Roman" w:eastAsia="Times New Roman" w:hAnsi="Times New Roman" w:cs="Times New Roman"/>
          <w:b/>
          <w:bCs/>
          <w:sz w:val="24"/>
          <w:szCs w:val="24"/>
        </w:rPr>
        <w:t>650 adults initially selected</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b/>
          <w:bCs/>
          <w:sz w:val="24"/>
          <w:szCs w:val="24"/>
        </w:rPr>
        <w:t>563 respondents</w:t>
      </w:r>
      <w:r w:rsidRPr="00442FB7">
        <w:rPr>
          <w:rFonts w:ascii="Times New Roman" w:eastAsia="Times New Roman" w:hAnsi="Times New Roman" w:cs="Times New Roman"/>
          <w:sz w:val="24"/>
          <w:szCs w:val="24"/>
        </w:rPr>
        <w:t xml:space="preserve"> completed the survey and were included in the final analysis. Data were collected using structured questionnaires capturing vaccination status, awareness of vaccination services, and perceived barriers to uptake. Descriptive statistics summarized coverage levels, while inferential analyses examined associations between socio-demographic variables and vaccination status. Statistical significance was set at </w:t>
      </w:r>
      <w:r w:rsidRPr="00442FB7">
        <w:rPr>
          <w:rFonts w:ascii="Times New Roman" w:eastAsia="Times New Roman" w:hAnsi="Times New Roman" w:cs="Times New Roman"/>
          <w:i/>
          <w:iCs/>
          <w:sz w:val="24"/>
          <w:szCs w:val="24"/>
        </w:rPr>
        <w:t>p</w:t>
      </w:r>
      <w:r w:rsidRPr="00442FB7">
        <w:rPr>
          <w:rFonts w:ascii="Times New Roman" w:eastAsia="Times New Roman" w:hAnsi="Times New Roman" w:cs="Times New Roman"/>
          <w:sz w:val="24"/>
          <w:szCs w:val="24"/>
        </w:rPr>
        <w:t xml:space="preserve"> &lt; 0.05.</w:t>
      </w:r>
    </w:p>
    <w:p w:rsidR="003E5BCA" w:rsidRPr="00442FB7" w:rsidRDefault="003E5BCA" w:rsidP="003E5BC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Results</w:t>
      </w:r>
    </w:p>
    <w:p w:rsidR="003E5BCA" w:rsidRPr="00442FB7" w:rsidRDefault="003E5BCA" w:rsidP="003E5BCA">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Overall, </w:t>
      </w:r>
      <w:r w:rsidRPr="00643CC8">
        <w:rPr>
          <w:rFonts w:ascii="Times New Roman" w:eastAsia="Times New Roman" w:hAnsi="Times New Roman" w:cs="Times New Roman"/>
          <w:bCs/>
          <w:sz w:val="24"/>
          <w:szCs w:val="24"/>
        </w:rPr>
        <w:t>57% of respondents reported being vaccinated</w:t>
      </w:r>
      <w:r w:rsidRPr="00643CC8">
        <w:rPr>
          <w:rFonts w:ascii="Times New Roman" w:eastAsia="Times New Roman" w:hAnsi="Times New Roman" w:cs="Times New Roman"/>
          <w:sz w:val="24"/>
          <w:szCs w:val="24"/>
        </w:rPr>
        <w:t xml:space="preserve">, substantially below the WHO-recommended </w:t>
      </w:r>
      <w:r w:rsidRPr="00643CC8">
        <w:rPr>
          <w:rFonts w:ascii="Times New Roman" w:eastAsia="Times New Roman" w:hAnsi="Times New Roman" w:cs="Times New Roman"/>
          <w:bCs/>
          <w:sz w:val="24"/>
          <w:szCs w:val="24"/>
        </w:rPr>
        <w:t>80% coverage threshold</w:t>
      </w:r>
      <w:r w:rsidRPr="00643CC8">
        <w:rPr>
          <w:rFonts w:ascii="Times New Roman" w:eastAsia="Times New Roman" w:hAnsi="Times New Roman" w:cs="Times New Roman"/>
          <w:sz w:val="24"/>
          <w:szCs w:val="24"/>
        </w:rPr>
        <w:t>, leaving 43% unvaccinated. Vaccination uptake was significantly higher among respondents with tertiary education and regular access to healthcare services (</w:t>
      </w:r>
      <w:r w:rsidRPr="00643CC8">
        <w:rPr>
          <w:rFonts w:ascii="Times New Roman" w:eastAsia="Times New Roman" w:hAnsi="Times New Roman" w:cs="Times New Roman"/>
          <w:i/>
          <w:iCs/>
          <w:sz w:val="24"/>
          <w:szCs w:val="24"/>
        </w:rPr>
        <w:t>p</w:t>
      </w:r>
      <w:r w:rsidRPr="00643CC8">
        <w:rPr>
          <w:rFonts w:ascii="Times New Roman" w:eastAsia="Times New Roman" w:hAnsi="Times New Roman" w:cs="Times New Roman"/>
          <w:sz w:val="24"/>
          <w:szCs w:val="24"/>
        </w:rPr>
        <w:t xml:space="preserve"> &lt; 0.05). Major barriers to vaccination included lack of awareness of vaccination sites (38%), long distances to health facilities (34%), fear of vaccine side effects (22%), and </w:t>
      </w:r>
      <w:r w:rsidRPr="00643CC8">
        <w:rPr>
          <w:rFonts w:ascii="Times New Roman" w:eastAsia="Times New Roman" w:hAnsi="Times New Roman" w:cs="Times New Roman"/>
          <w:bCs/>
          <w:sz w:val="24"/>
          <w:szCs w:val="24"/>
        </w:rPr>
        <w:t>conflict-related insecurity and population displacement</w:t>
      </w:r>
      <w:r w:rsidRPr="00643CC8">
        <w:rPr>
          <w:rFonts w:ascii="Times New Roman" w:eastAsia="Times New Roman" w:hAnsi="Times New Roman" w:cs="Times New Roman"/>
          <w:sz w:val="24"/>
          <w:szCs w:val="24"/>
        </w:rPr>
        <w:t xml:space="preserve"> (16%). Lower</w:t>
      </w:r>
      <w:r w:rsidRPr="00442FB7">
        <w:rPr>
          <w:rFonts w:ascii="Times New Roman" w:eastAsia="Times New Roman" w:hAnsi="Times New Roman" w:cs="Times New Roman"/>
          <w:sz w:val="24"/>
          <w:szCs w:val="24"/>
        </w:rPr>
        <w:t xml:space="preserve"> income and limited educational attainment were significantly associated with reduced vaccination uptake.</w:t>
      </w:r>
    </w:p>
    <w:p w:rsidR="003E5BCA" w:rsidRPr="00442FB7" w:rsidRDefault="003E5BCA" w:rsidP="003E5BC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Conclusion</w:t>
      </w:r>
    </w:p>
    <w:p w:rsidR="003E5BCA" w:rsidRPr="00442FB7" w:rsidRDefault="003E5BCA" w:rsidP="003E5BCA">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Yellow fever vaccination coverage in North East Nigeria remains critically below the WHO-recommended level required for effective disease control. Limited awareness, access barriers, vaccine hesitancy, socioeconomic constraints, and conflict-related displacement continue to impede optimal uptake. Strengthening routine immunization, improving risk communication, and </w:t>
      </w:r>
      <w:r w:rsidRPr="00442FB7">
        <w:rPr>
          <w:rFonts w:ascii="Times New Roman" w:eastAsia="Times New Roman" w:hAnsi="Times New Roman" w:cs="Times New Roman"/>
          <w:sz w:val="24"/>
          <w:szCs w:val="24"/>
        </w:rPr>
        <w:lastRenderedPageBreak/>
        <w:t>implementing targeted strategies for conflict-affected and hard-to-reach populations are essential to achieving herd immunity and preventing future outbreaks.</w:t>
      </w:r>
    </w:p>
    <w:p w:rsidR="0070118D" w:rsidRPr="00442FB7" w:rsidRDefault="0070118D" w:rsidP="00DA070A">
      <w:pPr>
        <w:pStyle w:val="NormalWeb"/>
        <w:jc w:val="both"/>
        <w:rPr>
          <w:i/>
        </w:rPr>
      </w:pPr>
      <w:r w:rsidRPr="00442FB7">
        <w:rPr>
          <w:rStyle w:val="Strong"/>
          <w:rFonts w:eastAsiaTheme="majorEastAsia"/>
          <w:i/>
        </w:rPr>
        <w:t>Keywords:</w:t>
      </w:r>
      <w:r w:rsidRPr="00442FB7">
        <w:rPr>
          <w:i/>
        </w:rPr>
        <w:t xml:space="preserve"> Yellow fever; vaccination coverage; uptake; barriers; North East Nigeria; immunization</w:t>
      </w:r>
    </w:p>
    <w:p w:rsidR="00D17244" w:rsidRPr="00442FB7" w:rsidRDefault="00D17244" w:rsidP="00DA070A">
      <w:pPr>
        <w:pStyle w:val="Heading2"/>
        <w:spacing w:line="240" w:lineRule="auto"/>
        <w:jc w:val="both"/>
        <w:rPr>
          <w:rFonts w:ascii="Times New Roman" w:hAnsi="Times New Roman" w:cs="Times New Roman"/>
          <w:color w:val="auto"/>
          <w:sz w:val="24"/>
          <w:szCs w:val="24"/>
        </w:rPr>
      </w:pPr>
      <w:r w:rsidRPr="00442FB7">
        <w:rPr>
          <w:rStyle w:val="Strong"/>
          <w:rFonts w:ascii="Times New Roman" w:hAnsi="Times New Roman" w:cs="Times New Roman"/>
          <w:bCs w:val="0"/>
          <w:color w:val="auto"/>
          <w:sz w:val="24"/>
          <w:szCs w:val="24"/>
        </w:rPr>
        <w:t>Introduction</w:t>
      </w:r>
    </w:p>
    <w:p w:rsidR="00D17244" w:rsidRPr="00442FB7" w:rsidRDefault="00D17244" w:rsidP="00DA070A">
      <w:pPr>
        <w:pStyle w:val="NormalWeb"/>
        <w:jc w:val="both"/>
      </w:pPr>
      <w:r w:rsidRPr="00442FB7">
        <w:t xml:space="preserve">Yellow fever is an acute viral hemorrhagic disease caused by the yellow fever virus (YFV), a mosquito-borne flavivirus primarily transmitted by </w:t>
      </w:r>
      <w:r w:rsidRPr="00442FB7">
        <w:rPr>
          <w:rStyle w:val="Emphasis"/>
        </w:rPr>
        <w:t>Aedes aegypti</w:t>
      </w:r>
      <w:r w:rsidRPr="00442FB7">
        <w:t xml:space="preserve"> in urban and peri-urban areas, and by sylvatic vectors in forest and savannah environments. Although a safe and highly effective live-attenuated vaccine has been available for decades, yellow fever continues to pose a major public health threat in sub-Saharan Africa, including Nigeria. The World Health Organization (WHO) estimates that yellow fever causes tens of thousands of deaths annually, and outbreaks in endemic regions highlight persistent gaps in population immunity, surveillance capacity, and preventive measures</w:t>
      </w:r>
      <w:r w:rsidR="00655A23" w:rsidRPr="00442FB7">
        <w:t xml:space="preserve"> [1]</w:t>
      </w:r>
      <w:r w:rsidRPr="00442FB7">
        <w:t>.</w:t>
      </w:r>
      <w:r w:rsidR="00655A23" w:rsidRPr="00442FB7">
        <w:t xml:space="preserve"> </w:t>
      </w:r>
      <w:r w:rsidRPr="00442FB7">
        <w:t>Vaccination remains the most effective strategy for preventing yellow fever. Routine immunization for infants, supplemented by periodic mass campaigns targeting unvaccinated populations, is critical to achieving herd immunity and interrupting transmission. WHO recommends a coverage threshold of at least 80% to ensure population-level protection. However, achieving and maintaining high coverage is challenging in many endemic regions, particularly in resource-constrained and conflict-affected areas. Barriers such as limited access to healthcare, low awareness of vaccination schedules, misinformation, and sociocultural factors often result in suboptimal uptake, leaving communities vulnerable to outbreaks</w:t>
      </w:r>
      <w:r w:rsidR="00655A23" w:rsidRPr="00442FB7">
        <w:t xml:space="preserve"> [2-3]</w:t>
      </w:r>
      <w:r w:rsidRPr="00442FB7">
        <w:t>.</w:t>
      </w:r>
    </w:p>
    <w:p w:rsidR="00D17244" w:rsidRPr="00442FB7" w:rsidRDefault="00D17244" w:rsidP="00DA070A">
      <w:pPr>
        <w:pStyle w:val="NormalWeb"/>
        <w:jc w:val="both"/>
      </w:pPr>
      <w:r w:rsidRPr="00442FB7">
        <w:t xml:space="preserve">Nigeria bears one of the highest burdens of yellow fever in Africa, with recurrent outbreaks reported across multiple states, especially in the North East geopolitical region. The North East, comprising Adamawa, Bauchi, </w:t>
      </w:r>
      <w:proofErr w:type="spellStart"/>
      <w:r w:rsidRPr="00442FB7">
        <w:t>Borno</w:t>
      </w:r>
      <w:proofErr w:type="spellEnd"/>
      <w:r w:rsidRPr="00442FB7">
        <w:t xml:space="preserve">, Gombe, Taraba, and </w:t>
      </w:r>
      <w:proofErr w:type="spellStart"/>
      <w:r w:rsidRPr="00442FB7">
        <w:t>Yobe</w:t>
      </w:r>
      <w:proofErr w:type="spellEnd"/>
      <w:r w:rsidRPr="00442FB7">
        <w:t xml:space="preserve"> States, is characterized by ecological diversity that favors vector proliferation, including urban settlements, peri-urban clusters, and rural areas with abundant breeding sites. Seasonal rainfall patterns, high temperatures, and poor water and waste management create environments conducive to </w:t>
      </w:r>
      <w:r w:rsidRPr="00442FB7">
        <w:rPr>
          <w:rStyle w:val="Emphasis"/>
        </w:rPr>
        <w:t>Aedes</w:t>
      </w:r>
      <w:r w:rsidRPr="00442FB7">
        <w:t xml:space="preserve"> mosquito breeding. In addition, protracted insecurity and conflict in parts of the region have resulted in large-scale population displacement and disruption of health services, further limiting access to vaccination programs and routine healthcare</w:t>
      </w:r>
      <w:r w:rsidR="00655A23" w:rsidRPr="00442FB7">
        <w:t xml:space="preserve"> [4-5]</w:t>
      </w:r>
      <w:r w:rsidRPr="00442FB7">
        <w:t>.</w:t>
      </w:r>
      <w:r w:rsidR="00655A23" w:rsidRPr="00442FB7">
        <w:t xml:space="preserve"> </w:t>
      </w:r>
      <w:r w:rsidRPr="00442FB7">
        <w:t xml:space="preserve">Socioeconomic factors, including poverty, low levels of formal education, and limited health literacy, also influence vaccination uptake. Communities with </w:t>
      </w:r>
      <w:r w:rsidR="00643CC8">
        <w:t xml:space="preserve">a </w:t>
      </w:r>
      <w:r w:rsidRPr="00442FB7">
        <w:t>limited understanding of the importance of vaccination, or those subject to misinformation and cultural misconceptions, may delay or refuse immunization. Structural barriers such as long distances to health facilities, lack of mobile vaccination outreach, and inadequate cold chain infrastructure exacerbate these challenges. Consequently, gaps in vaccination coverage contribute to continued susceptibility to yellow fever outbreaks and undermine broader disease control strategies</w:t>
      </w:r>
      <w:r w:rsidR="00655A23" w:rsidRPr="00442FB7">
        <w:t xml:space="preserve"> [6-7]</w:t>
      </w:r>
      <w:r w:rsidRPr="00442FB7">
        <w:t>.</w:t>
      </w:r>
      <w:r w:rsidR="00655A23" w:rsidRPr="00442FB7">
        <w:t xml:space="preserve"> </w:t>
      </w:r>
      <w:r w:rsidRPr="00442FB7">
        <w:t xml:space="preserve">Most existing reports focus on outbreak surveillance or national-level coverage estimates, providing little insight into community-level challenges and perceptions. </w:t>
      </w:r>
      <w:r w:rsidR="00655A23" w:rsidRPr="00442FB7">
        <w:t xml:space="preserve"> </w:t>
      </w:r>
      <w:r w:rsidRPr="00442FB7">
        <w:t>Against this backdrop, the present study aims to assess yellow fever vaccination coverage and uptake among residents of North East Nigeria and to identify barriers that impede optimal vaccination</w:t>
      </w:r>
      <w:r w:rsidR="00442FB7">
        <w:t xml:space="preserve"> [15,16]</w:t>
      </w:r>
      <w:r w:rsidRPr="00442FB7">
        <w:t xml:space="preserve">. By elucidating the structural, socioeconomic, and behavioral determinants of vaccination, this study provides actionable evidence to guide public health strategies aimed at </w:t>
      </w:r>
      <w:r w:rsidRPr="00442FB7">
        <w:lastRenderedPageBreak/>
        <w:t>achieving sustained herd immunity and preventing future yellow fever outbreaks in this high-risk region.</w:t>
      </w:r>
    </w:p>
    <w:p w:rsidR="00CD0850" w:rsidRPr="00442FB7" w:rsidRDefault="00CD0850" w:rsidP="00CD085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Research Methodology</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Research Design</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This study employed a </w:t>
      </w:r>
      <w:r w:rsidRPr="00442FB7">
        <w:rPr>
          <w:rFonts w:ascii="Times New Roman" w:eastAsia="Times New Roman" w:hAnsi="Times New Roman" w:cs="Times New Roman"/>
          <w:bCs/>
          <w:sz w:val="24"/>
          <w:szCs w:val="24"/>
        </w:rPr>
        <w:t>community-based cross-sectional descriptive survey design</w:t>
      </w:r>
      <w:r w:rsidRPr="00442FB7">
        <w:rPr>
          <w:rFonts w:ascii="Times New Roman" w:eastAsia="Times New Roman" w:hAnsi="Times New Roman" w:cs="Times New Roman"/>
          <w:sz w:val="24"/>
          <w:szCs w:val="24"/>
        </w:rPr>
        <w:t xml:space="preserve"> to assess knowledge of yellow fever symptoms, transmission pathways, and prevention practices among residents of North East Nigeria. The cross-sectional approach enabled the collection of data at a single point in time from a large and geographically dispersed population, allowing for estimation of knowledge levels and examination of associations between socio-demographic factors and knowledge outcomes. This design was appropriate because the study aimed to evaluate awareness and perceptions rather than measure incidence, prevalence, or epidemiological transmission dynamics.</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Study Area</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The study was conducted in the </w:t>
      </w:r>
      <w:r w:rsidRPr="00442FB7">
        <w:rPr>
          <w:rFonts w:ascii="Times New Roman" w:eastAsia="Times New Roman" w:hAnsi="Times New Roman" w:cs="Times New Roman"/>
          <w:bCs/>
          <w:sz w:val="24"/>
          <w:szCs w:val="24"/>
        </w:rPr>
        <w:t>North East geopolitical zone of Nigeria</w:t>
      </w:r>
      <w:r w:rsidRPr="00442FB7">
        <w:rPr>
          <w:rFonts w:ascii="Times New Roman" w:eastAsia="Times New Roman" w:hAnsi="Times New Roman" w:cs="Times New Roman"/>
          <w:sz w:val="24"/>
          <w:szCs w:val="24"/>
        </w:rPr>
        <w:t xml:space="preserve">, comprising Adamawa, Bauchi, </w:t>
      </w:r>
      <w:proofErr w:type="spellStart"/>
      <w:r w:rsidRPr="00442FB7">
        <w:rPr>
          <w:rFonts w:ascii="Times New Roman" w:eastAsia="Times New Roman" w:hAnsi="Times New Roman" w:cs="Times New Roman"/>
          <w:sz w:val="24"/>
          <w:szCs w:val="24"/>
        </w:rPr>
        <w:t>Borno</w:t>
      </w:r>
      <w:proofErr w:type="spellEnd"/>
      <w:r w:rsidRPr="00442FB7">
        <w:rPr>
          <w:rFonts w:ascii="Times New Roman" w:eastAsia="Times New Roman" w:hAnsi="Times New Roman" w:cs="Times New Roman"/>
          <w:sz w:val="24"/>
          <w:szCs w:val="24"/>
        </w:rPr>
        <w:t xml:space="preserve">, Gombe, Taraba, and </w:t>
      </w:r>
      <w:proofErr w:type="spellStart"/>
      <w:r w:rsidRPr="00442FB7">
        <w:rPr>
          <w:rFonts w:ascii="Times New Roman" w:eastAsia="Times New Roman" w:hAnsi="Times New Roman" w:cs="Times New Roman"/>
          <w:sz w:val="24"/>
          <w:szCs w:val="24"/>
        </w:rPr>
        <w:t>Yobe</w:t>
      </w:r>
      <w:proofErr w:type="spellEnd"/>
      <w:r w:rsidRPr="00442FB7">
        <w:rPr>
          <w:rFonts w:ascii="Times New Roman" w:eastAsia="Times New Roman" w:hAnsi="Times New Roman" w:cs="Times New Roman"/>
          <w:sz w:val="24"/>
          <w:szCs w:val="24"/>
        </w:rPr>
        <w:t xml:space="preserve"> States. The region was selected due to:</w:t>
      </w:r>
    </w:p>
    <w:p w:rsidR="00CD0850" w:rsidRPr="00442FB7" w:rsidRDefault="00CD0850" w:rsidP="00CD085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Recurrent yellow fever outbreaks in recent years</w:t>
      </w:r>
    </w:p>
    <w:p w:rsidR="00CD0850" w:rsidRPr="00442FB7" w:rsidRDefault="00CD0850" w:rsidP="00CD085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Ecological conditions favorable to </w:t>
      </w:r>
      <w:r w:rsidRPr="00442FB7">
        <w:rPr>
          <w:rFonts w:ascii="Times New Roman" w:eastAsia="Times New Roman" w:hAnsi="Times New Roman" w:cs="Times New Roman"/>
          <w:i/>
          <w:iCs/>
          <w:sz w:val="24"/>
          <w:szCs w:val="24"/>
        </w:rPr>
        <w:t>Aedes</w:t>
      </w:r>
      <w:r w:rsidRPr="00442FB7">
        <w:rPr>
          <w:rFonts w:ascii="Times New Roman" w:eastAsia="Times New Roman" w:hAnsi="Times New Roman" w:cs="Times New Roman"/>
          <w:sz w:val="24"/>
          <w:szCs w:val="24"/>
        </w:rPr>
        <w:t xml:space="preserve"> mosquito vectors</w:t>
      </w:r>
    </w:p>
    <w:p w:rsidR="00CD0850" w:rsidRPr="00442FB7" w:rsidRDefault="00CD0850" w:rsidP="00CD085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Gaps in vaccination coverage</w:t>
      </w:r>
    </w:p>
    <w:p w:rsidR="00CD0850" w:rsidRPr="00442FB7" w:rsidRDefault="00CD0850" w:rsidP="00CD085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Structural health system challenges, including insecurity and population displacement</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These characteristics make the region epidemiologically relevant for assessing community knowledge related to yellow fever prevention and control.</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Population of the Study</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The target population comprised adult residents (≥18 years) living in the North East geopolitical zone. According to the National Population Commission (2020), the projected population of the region is approximately </w:t>
      </w:r>
      <w:r w:rsidRPr="00442FB7">
        <w:rPr>
          <w:rFonts w:ascii="Times New Roman" w:eastAsia="Times New Roman" w:hAnsi="Times New Roman" w:cs="Times New Roman"/>
          <w:bCs/>
          <w:sz w:val="24"/>
          <w:szCs w:val="24"/>
        </w:rPr>
        <w:t>26 million</w:t>
      </w:r>
      <w:r w:rsidRPr="00442FB7">
        <w:rPr>
          <w:rFonts w:ascii="Times New Roman" w:eastAsia="Times New Roman" w:hAnsi="Times New Roman" w:cs="Times New Roman"/>
          <w:sz w:val="24"/>
          <w:szCs w:val="24"/>
        </w:rPr>
        <w:t>. Eligible participants were individuals who had resided in the selected communities for at least six months prior to the study. Health professionals were excluded to minimize professional knowledge bias.</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Sampling Technique</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A </w:t>
      </w:r>
      <w:r w:rsidRPr="00442FB7">
        <w:rPr>
          <w:rFonts w:ascii="Times New Roman" w:eastAsia="Times New Roman" w:hAnsi="Times New Roman" w:cs="Times New Roman"/>
          <w:b/>
          <w:bCs/>
          <w:sz w:val="24"/>
          <w:szCs w:val="24"/>
        </w:rPr>
        <w:t>multistage cluster sampling technique</w:t>
      </w:r>
      <w:r w:rsidRPr="00442FB7">
        <w:rPr>
          <w:rFonts w:ascii="Times New Roman" w:eastAsia="Times New Roman" w:hAnsi="Times New Roman" w:cs="Times New Roman"/>
          <w:sz w:val="24"/>
          <w:szCs w:val="24"/>
        </w:rPr>
        <w:t xml:space="preserve"> was employed:</w:t>
      </w:r>
    </w:p>
    <w:p w:rsidR="00CD0850" w:rsidRPr="00442FB7" w:rsidRDefault="00CD0850" w:rsidP="00CD085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Stage 1 – State Selection:</w:t>
      </w:r>
      <w:r w:rsidRPr="00442FB7">
        <w:rPr>
          <w:rFonts w:ascii="Times New Roman" w:eastAsia="Times New Roman" w:hAnsi="Times New Roman" w:cs="Times New Roman"/>
          <w:sz w:val="24"/>
          <w:szCs w:val="24"/>
        </w:rPr>
        <w:t xml:space="preserve"> All six states in the North East zone were included to ensure regional representation.</w:t>
      </w:r>
    </w:p>
    <w:p w:rsidR="00CD0850" w:rsidRPr="00442FB7" w:rsidRDefault="00CD0850" w:rsidP="00CD085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Stage 2 – Local Government Area (LGA) Selection:</w:t>
      </w:r>
      <w:r w:rsidRPr="00442FB7">
        <w:rPr>
          <w:rFonts w:ascii="Times New Roman" w:eastAsia="Times New Roman" w:hAnsi="Times New Roman" w:cs="Times New Roman"/>
          <w:sz w:val="24"/>
          <w:szCs w:val="24"/>
        </w:rPr>
        <w:t xml:space="preserve"> LGAs were stratified based on reported yellow fever exposure history and security accessibility. From each state, selected LGAs were chosen using simple random sampling.</w:t>
      </w:r>
    </w:p>
    <w:p w:rsidR="00CD0850" w:rsidRPr="00442FB7" w:rsidRDefault="00CD0850" w:rsidP="00CD085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lastRenderedPageBreak/>
        <w:t>Stage 3 – Community Selection:</w:t>
      </w:r>
      <w:r w:rsidRPr="00442FB7">
        <w:rPr>
          <w:rFonts w:ascii="Times New Roman" w:eastAsia="Times New Roman" w:hAnsi="Times New Roman" w:cs="Times New Roman"/>
          <w:sz w:val="24"/>
          <w:szCs w:val="24"/>
        </w:rPr>
        <w:t xml:space="preserve"> Communities within selected LGAs were randomly sampled.</w:t>
      </w:r>
    </w:p>
    <w:p w:rsidR="00CD0850" w:rsidRPr="00442FB7" w:rsidRDefault="00CD0850" w:rsidP="00CD085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Stage 4 – Household and Participant Selection:</w:t>
      </w:r>
      <w:r w:rsidRPr="00442FB7">
        <w:rPr>
          <w:rFonts w:ascii="Times New Roman" w:eastAsia="Times New Roman" w:hAnsi="Times New Roman" w:cs="Times New Roman"/>
          <w:sz w:val="24"/>
          <w:szCs w:val="24"/>
        </w:rPr>
        <w:t xml:space="preserve"> Households were selected using systematic sampling. Within each household, one eligible adult respondent was selected using simple random selection.</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This approach enhanced representativeness while maintaining logistical feasibility in a region with security constraints.</w:t>
      </w:r>
    </w:p>
    <w:p w:rsidR="00CD0850" w:rsidRPr="00442FB7" w:rsidRDefault="00CD0850" w:rsidP="00CD0850">
      <w:pPr>
        <w:spacing w:line="240" w:lineRule="auto"/>
        <w:jc w:val="both"/>
        <w:rPr>
          <w:rFonts w:ascii="Times New Roman" w:hAnsi="Times New Roman" w:cs="Times New Roman"/>
          <w:b/>
          <w:sz w:val="24"/>
          <w:szCs w:val="24"/>
        </w:rPr>
      </w:pPr>
      <w:r w:rsidRPr="00442FB7">
        <w:rPr>
          <w:rFonts w:ascii="Times New Roman" w:hAnsi="Times New Roman" w:cs="Times New Roman"/>
          <w:b/>
          <w:sz w:val="24"/>
          <w:szCs w:val="24"/>
        </w:rPr>
        <w:t>Sample Size Determination</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hAnsi="Times New Roman" w:cs="Times New Roman"/>
          <w:b/>
          <w:sz w:val="24"/>
          <w:szCs w:val="24"/>
        </w:rPr>
        <w:br/>
      </w:r>
      <w:r w:rsidRPr="00442FB7">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442FB7">
        <w:rPr>
          <w:rFonts w:ascii="Times New Roman" w:hAnsi="Times New Roman" w:cs="Times New Roman"/>
          <w:sz w:val="24"/>
          <w:szCs w:val="24"/>
        </w:rPr>
        <w:br/>
        <w:t>n = N / 1 + N(e)²</w:t>
      </w:r>
      <w:r w:rsidRPr="00442FB7">
        <w:rPr>
          <w:rFonts w:ascii="Times New Roman" w:hAnsi="Times New Roman" w:cs="Times New Roman"/>
          <w:sz w:val="24"/>
          <w:szCs w:val="24"/>
        </w:rPr>
        <w:br/>
        <w:t xml:space="preserve">Using N = 26,000,000 and e = 0.05, the calculated sample size was approximately 65,000. </w:t>
      </w:r>
      <w:r w:rsidRPr="00442FB7">
        <w:rPr>
          <w:rFonts w:ascii="Times New Roman" w:eastAsia="Times New Roman" w:hAnsi="Times New Roman" w:cs="Times New Roman"/>
          <w:sz w:val="24"/>
          <w:szCs w:val="24"/>
        </w:rPr>
        <w:t xml:space="preserve">The adjusted sample size was approximately </w:t>
      </w:r>
      <w:r w:rsidRPr="00442FB7">
        <w:rPr>
          <w:rFonts w:ascii="Times New Roman" w:eastAsia="Times New Roman" w:hAnsi="Times New Roman" w:cs="Times New Roman"/>
          <w:bCs/>
          <w:sz w:val="24"/>
          <w:szCs w:val="24"/>
        </w:rPr>
        <w:t>634</w:t>
      </w:r>
      <w:r w:rsidRPr="00442FB7">
        <w:rPr>
          <w:rFonts w:ascii="Times New Roman" w:eastAsia="Times New Roman" w:hAnsi="Times New Roman" w:cs="Times New Roman"/>
          <w:sz w:val="24"/>
          <w:szCs w:val="24"/>
        </w:rPr>
        <w:t xml:space="preserve">, which was rounded up to </w:t>
      </w:r>
      <w:r w:rsidRPr="00442FB7">
        <w:rPr>
          <w:rFonts w:ascii="Times New Roman" w:eastAsia="Times New Roman" w:hAnsi="Times New Roman" w:cs="Times New Roman"/>
          <w:bCs/>
          <w:sz w:val="24"/>
          <w:szCs w:val="24"/>
        </w:rPr>
        <w:t>650</w:t>
      </w:r>
      <w:r w:rsidRPr="00442FB7">
        <w:rPr>
          <w:rFonts w:ascii="Times New Roman" w:eastAsia="Times New Roman" w:hAnsi="Times New Roman" w:cs="Times New Roman"/>
          <w:sz w:val="24"/>
          <w:szCs w:val="24"/>
        </w:rPr>
        <w:t xml:space="preserve"> to improve statistical power and ensure proportional allocation across states. A total of </w:t>
      </w:r>
      <w:r w:rsidRPr="00442FB7">
        <w:rPr>
          <w:rFonts w:ascii="Times New Roman" w:eastAsia="Times New Roman" w:hAnsi="Times New Roman" w:cs="Times New Roman"/>
          <w:bCs/>
          <w:sz w:val="24"/>
          <w:szCs w:val="24"/>
        </w:rPr>
        <w:t>563 completed responses</w:t>
      </w:r>
      <w:r w:rsidRPr="00442FB7">
        <w:rPr>
          <w:rFonts w:ascii="Times New Roman" w:eastAsia="Times New Roman" w:hAnsi="Times New Roman" w:cs="Times New Roman"/>
          <w:sz w:val="24"/>
          <w:szCs w:val="24"/>
        </w:rPr>
        <w:t xml:space="preserve"> were obtained and included in the final analysis, representing an adequate response rate for inferential analysis.</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Data Collection Instrument</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Data were collected using a structured questionnaire comprising four sections:</w:t>
      </w:r>
    </w:p>
    <w:p w:rsidR="00CD0850" w:rsidRPr="00442FB7" w:rsidRDefault="00CD0850" w:rsidP="00CD085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Socio-demographic characteristics</w:t>
      </w:r>
    </w:p>
    <w:p w:rsidR="00CD0850" w:rsidRPr="00442FB7" w:rsidRDefault="00CD0850" w:rsidP="00CD085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Knowledge of yellow fever symptoms</w:t>
      </w:r>
    </w:p>
    <w:p w:rsidR="00CD0850" w:rsidRPr="00442FB7" w:rsidRDefault="00CD0850" w:rsidP="00CD085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Knowledge of transmission pathways</w:t>
      </w:r>
    </w:p>
    <w:p w:rsidR="00CD0850" w:rsidRPr="00442FB7" w:rsidRDefault="00CD0850" w:rsidP="00CD085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Prevention practices</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The instrument contained </w:t>
      </w:r>
      <w:r w:rsidRPr="00442FB7">
        <w:rPr>
          <w:rFonts w:ascii="Times New Roman" w:eastAsia="Times New Roman" w:hAnsi="Times New Roman" w:cs="Times New Roman"/>
          <w:bCs/>
          <w:sz w:val="24"/>
          <w:szCs w:val="24"/>
        </w:rPr>
        <w:t>18 knowledge-related items</w:t>
      </w:r>
      <w:r w:rsidRPr="00442FB7">
        <w:rPr>
          <w:rFonts w:ascii="Times New Roman" w:eastAsia="Times New Roman" w:hAnsi="Times New Roman" w:cs="Times New Roman"/>
          <w:sz w:val="24"/>
          <w:szCs w:val="24"/>
        </w:rPr>
        <w:t xml:space="preserve">. Responses were assessed using a </w:t>
      </w:r>
      <w:r w:rsidRPr="00442FB7">
        <w:rPr>
          <w:rFonts w:ascii="Times New Roman" w:eastAsia="Times New Roman" w:hAnsi="Times New Roman" w:cs="Times New Roman"/>
          <w:bCs/>
          <w:sz w:val="24"/>
          <w:szCs w:val="24"/>
        </w:rPr>
        <w:t>5-point Likert scale</w:t>
      </w:r>
      <w:r w:rsidRPr="00442FB7">
        <w:rPr>
          <w:rFonts w:ascii="Times New Roman" w:eastAsia="Times New Roman" w:hAnsi="Times New Roman" w:cs="Times New Roman"/>
          <w:sz w:val="24"/>
          <w:szCs w:val="24"/>
        </w:rPr>
        <w:t xml:space="preserve"> (1 = strongly disagree to 5 = strongly agree).</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Knowledge scores were summed and converted to percentages, then categorized as:</w:t>
      </w:r>
    </w:p>
    <w:p w:rsidR="00CD0850" w:rsidRPr="00442FB7" w:rsidRDefault="00CD0850" w:rsidP="00CD0850">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Good knowledge:</w:t>
      </w:r>
      <w:r w:rsidRPr="00442FB7">
        <w:rPr>
          <w:rFonts w:ascii="Times New Roman" w:eastAsia="Times New Roman" w:hAnsi="Times New Roman" w:cs="Times New Roman"/>
          <w:sz w:val="24"/>
          <w:szCs w:val="24"/>
        </w:rPr>
        <w:t xml:space="preserve"> ≥75%</w:t>
      </w:r>
    </w:p>
    <w:p w:rsidR="00CD0850" w:rsidRPr="00442FB7" w:rsidRDefault="00CD0850" w:rsidP="00CD0850">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Moderate knowledge:</w:t>
      </w:r>
      <w:r w:rsidRPr="00442FB7">
        <w:rPr>
          <w:rFonts w:ascii="Times New Roman" w:eastAsia="Times New Roman" w:hAnsi="Times New Roman" w:cs="Times New Roman"/>
          <w:sz w:val="24"/>
          <w:szCs w:val="24"/>
        </w:rPr>
        <w:t xml:space="preserve"> 50–74%</w:t>
      </w:r>
    </w:p>
    <w:p w:rsidR="00CD0850" w:rsidRPr="00442FB7" w:rsidRDefault="00CD0850" w:rsidP="00CD0850">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b/>
          <w:bCs/>
          <w:sz w:val="24"/>
          <w:szCs w:val="24"/>
        </w:rPr>
        <w:t>Poor knowledge:</w:t>
      </w:r>
      <w:r w:rsidRPr="00442FB7">
        <w:rPr>
          <w:rFonts w:ascii="Times New Roman" w:eastAsia="Times New Roman" w:hAnsi="Times New Roman" w:cs="Times New Roman"/>
          <w:sz w:val="24"/>
          <w:szCs w:val="24"/>
        </w:rPr>
        <w:t xml:space="preserve"> &lt;50%</w:t>
      </w:r>
    </w:p>
    <w:p w:rsidR="00CD0850" w:rsidRPr="00442FB7" w:rsidRDefault="00CD0850" w:rsidP="00CD085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Validity and Reliability</w:t>
      </w:r>
    </w:p>
    <w:p w:rsidR="00CD0850" w:rsidRPr="00442FB7" w:rsidRDefault="00CD0850" w:rsidP="00CD0850">
      <w:pPr>
        <w:spacing w:before="100" w:beforeAutospacing="1" w:after="100" w:afterAutospacing="1"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The questionnaire underwent expert review for content validity. A pilot study was conducted in a neighboring community outside the study area. Internal consistency reliability was assessed using </w:t>
      </w:r>
      <w:r w:rsidRPr="00442FB7">
        <w:rPr>
          <w:rFonts w:ascii="Times New Roman" w:eastAsia="Times New Roman" w:hAnsi="Times New Roman" w:cs="Times New Roman"/>
          <w:bCs/>
          <w:sz w:val="24"/>
          <w:szCs w:val="24"/>
        </w:rPr>
        <w:t>Cronbach’s alpha</w:t>
      </w:r>
      <w:r w:rsidRPr="00442FB7">
        <w:rPr>
          <w:rFonts w:ascii="Times New Roman" w:eastAsia="Times New Roman" w:hAnsi="Times New Roman" w:cs="Times New Roman"/>
          <w:sz w:val="24"/>
          <w:szCs w:val="24"/>
        </w:rPr>
        <w:t xml:space="preserve">, yielding a coefficient of </w:t>
      </w:r>
      <w:r w:rsidRPr="00442FB7">
        <w:rPr>
          <w:rFonts w:ascii="Times New Roman" w:eastAsia="Times New Roman" w:hAnsi="Times New Roman" w:cs="Times New Roman"/>
          <w:bCs/>
          <w:sz w:val="24"/>
          <w:szCs w:val="24"/>
        </w:rPr>
        <w:t>0.82</w:t>
      </w:r>
      <w:r w:rsidRPr="00442FB7">
        <w:rPr>
          <w:rFonts w:ascii="Times New Roman" w:eastAsia="Times New Roman" w:hAnsi="Times New Roman" w:cs="Times New Roman"/>
          <w:sz w:val="24"/>
          <w:szCs w:val="24"/>
        </w:rPr>
        <w:t>, indicating good reliability.</w:t>
      </w:r>
    </w:p>
    <w:p w:rsidR="00CD0850" w:rsidRPr="00442FB7" w:rsidRDefault="00CD0850" w:rsidP="00CD0850">
      <w:pPr>
        <w:spacing w:line="240" w:lineRule="auto"/>
        <w:jc w:val="both"/>
        <w:rPr>
          <w:rFonts w:ascii="Times New Roman" w:hAnsi="Times New Roman" w:cs="Times New Roman"/>
          <w:b/>
          <w:sz w:val="24"/>
          <w:szCs w:val="24"/>
        </w:rPr>
      </w:pPr>
      <w:r w:rsidRPr="00442FB7">
        <w:rPr>
          <w:rFonts w:ascii="Times New Roman" w:hAnsi="Times New Roman" w:cs="Times New Roman"/>
          <w:b/>
          <w:sz w:val="24"/>
          <w:szCs w:val="24"/>
        </w:rPr>
        <w:lastRenderedPageBreak/>
        <w:t>Method of Data Presentation and Analysis</w:t>
      </w:r>
    </w:p>
    <w:p w:rsidR="00D17244" w:rsidRPr="00442FB7" w:rsidRDefault="00CD0850" w:rsidP="00CD0850">
      <w:pPr>
        <w:pStyle w:val="Heading2"/>
        <w:spacing w:line="240" w:lineRule="auto"/>
        <w:jc w:val="both"/>
        <w:rPr>
          <w:rStyle w:val="Strong"/>
          <w:rFonts w:ascii="Times New Roman" w:hAnsi="Times New Roman" w:cs="Times New Roman"/>
          <w:b w:val="0"/>
          <w:bCs w:val="0"/>
          <w:color w:val="auto"/>
          <w:sz w:val="24"/>
          <w:szCs w:val="24"/>
        </w:rPr>
      </w:pPr>
      <w:r w:rsidRPr="00442FB7">
        <w:rPr>
          <w:rFonts w:ascii="Times New Roman" w:hAnsi="Times New Roman" w:cs="Times New Roman"/>
          <w:b/>
          <w:color w:val="auto"/>
          <w:sz w:val="24"/>
          <w:szCs w:val="24"/>
        </w:rPr>
        <w:br/>
      </w:r>
      <w:r w:rsidRPr="00442FB7">
        <w:rPr>
          <w:rFonts w:ascii="Times New Roman" w:hAnsi="Times New Roman" w:cs="Times New Roman"/>
          <w:color w:val="auto"/>
          <w:sz w:val="24"/>
          <w:szCs w:val="24"/>
        </w:rPr>
        <w:t>Data were analyzed using frequencies, percentages, means, and standard deviations. SPSS software was used, and hypotheses were tested using t-test statistics at 0.05 significance level.</w:t>
      </w:r>
      <w:r w:rsidRPr="00442FB7">
        <w:rPr>
          <w:rFonts w:ascii="Times New Roman" w:hAnsi="Times New Roman" w:cs="Times New Roman"/>
          <w:color w:val="auto"/>
          <w:sz w:val="24"/>
          <w:szCs w:val="24"/>
        </w:rPr>
        <w:br/>
      </w:r>
    </w:p>
    <w:p w:rsidR="00D17244" w:rsidRPr="00442FB7" w:rsidRDefault="00D17244" w:rsidP="00DA070A">
      <w:pPr>
        <w:pStyle w:val="Heading2"/>
        <w:spacing w:line="240" w:lineRule="auto"/>
        <w:jc w:val="both"/>
        <w:rPr>
          <w:rFonts w:ascii="Times New Roman" w:hAnsi="Times New Roman" w:cs="Times New Roman"/>
          <w:color w:val="auto"/>
          <w:sz w:val="24"/>
          <w:szCs w:val="24"/>
        </w:rPr>
      </w:pPr>
      <w:r w:rsidRPr="00442FB7">
        <w:rPr>
          <w:rStyle w:val="Strong"/>
          <w:rFonts w:ascii="Times New Roman" w:hAnsi="Times New Roman" w:cs="Times New Roman"/>
          <w:bCs w:val="0"/>
          <w:color w:val="auto"/>
          <w:sz w:val="24"/>
          <w:szCs w:val="24"/>
        </w:rPr>
        <w:t>Results</w:t>
      </w:r>
    </w:p>
    <w:p w:rsidR="00D17244" w:rsidRPr="00442FB7" w:rsidRDefault="00D17244" w:rsidP="00DA070A">
      <w:pPr>
        <w:pStyle w:val="NormalWeb"/>
        <w:jc w:val="both"/>
      </w:pPr>
      <w:r w:rsidRPr="00442FB7">
        <w:t>Analysis of respondents’ perceptions revealed that yellow fever vaccination coverage in North East Nigeria is perceived to be low. As shown in Table 1, a majority of respondents agreed that coverage in their communities is insufficient, with 290 strongly agreeing and 186 agreeing, yielding a mean score of 2.80 (SD = 0.844). This indicates a widespread recognition of suboptimal vaccination levels, which may contribute to continued vulnerability to outbreaks. Regarding awareness of vaccination sites, most respondents reported limited knowledge of where to access yellow fever vaccines. Specifically, 292 respondents strongly agreed and 180 agreed that they were unaware of vaccination points in their area (mean = 2.85, SD = 0.848). This suggests that lack of information about vaccine availability is a key barrier to uptake. Geographical access was also highlighted as a significant obstacle. A total of 296 respondents strongly agreed and 181 agreed that long distances to vaccination centers hindered uptake (mean = 2.86, SD = 0.863). This finding reflects infrastructural and logistical challenges in the region, particularly in rural and conflict-affected areas where health facilities are sparse. Concerns about vaccine safety were reported by many participants as a barrier to immunization. Approximately 454 respondents agreed or strongly agreed that fear of side effects discourages vaccination (mean = 2.70, SD = 0.753), indicating that vaccine hesitancy contributes to suboptimal coverage alongside logistical constraints. Table 2 presents the results of the statistical analysis assessing whether logistical challenges, vaccine hesitancy, and lack of public awareness significantly limit the effectiveness of the yellow fever vaccination program. The findings indicate that insufficient coverage and barriers to vaccination are statistically significant (t = 21.2, p = 0.017, X̄ = 2.78, SD = 0.732), confirming that the program has not achieved optimal reach. Challenges such as lack of public awareness, logistical limitations, and fear of side effects (X̄ = 2.25, SD = 0.291) are significant contributors to low uptake at the community level (p &lt; 0.05).</w:t>
      </w:r>
    </w:p>
    <w:p w:rsidR="00D17244" w:rsidRPr="00442FB7" w:rsidRDefault="00D17244" w:rsidP="00DA070A">
      <w:pPr>
        <w:pStyle w:val="z-BottomofForm"/>
        <w:jc w:val="both"/>
        <w:rPr>
          <w:rFonts w:ascii="Times New Roman" w:hAnsi="Times New Roman" w:cs="Times New Roman"/>
          <w:sz w:val="24"/>
          <w:szCs w:val="24"/>
        </w:rPr>
      </w:pPr>
      <w:r w:rsidRPr="00442FB7">
        <w:rPr>
          <w:rFonts w:ascii="Times New Roman" w:hAnsi="Times New Roman" w:cs="Times New Roman"/>
          <w:sz w:val="24"/>
          <w:szCs w:val="24"/>
        </w:rPr>
        <w:t>Bottom of Form</w:t>
      </w:r>
    </w:p>
    <w:p w:rsidR="00D17244" w:rsidRPr="00442FB7" w:rsidRDefault="00D17244" w:rsidP="00DA070A">
      <w:pPr>
        <w:spacing w:after="0" w:line="240" w:lineRule="auto"/>
        <w:jc w:val="both"/>
        <w:rPr>
          <w:rFonts w:ascii="Times New Roman" w:hAnsi="Times New Roman" w:cs="Times New Roman"/>
          <w:sz w:val="24"/>
          <w:szCs w:val="24"/>
        </w:rPr>
      </w:pPr>
    </w:p>
    <w:p w:rsidR="00D17244" w:rsidRPr="00442FB7" w:rsidRDefault="00D17244" w:rsidP="00DA070A">
      <w:pPr>
        <w:spacing w:after="0" w:line="240" w:lineRule="auto"/>
        <w:jc w:val="both"/>
        <w:rPr>
          <w:rFonts w:ascii="Times New Roman" w:eastAsia="Calibri" w:hAnsi="Times New Roman" w:cs="Times New Roman"/>
          <w:b/>
          <w:sz w:val="24"/>
          <w:szCs w:val="24"/>
        </w:rPr>
      </w:pPr>
      <w:r w:rsidRPr="00442FB7">
        <w:rPr>
          <w:rFonts w:ascii="Times New Roman" w:eastAsia="Times New Roman" w:hAnsi="Times New Roman" w:cs="Times New Roman"/>
          <w:b/>
          <w:spacing w:val="2"/>
          <w:sz w:val="24"/>
          <w:szCs w:val="24"/>
        </w:rPr>
        <w:t xml:space="preserve">Table 1: </w:t>
      </w:r>
      <w:bookmarkStart w:id="0" w:name="_Hlk221733404"/>
      <w:r w:rsidRPr="00442FB7">
        <w:rPr>
          <w:rFonts w:ascii="Times New Roman" w:eastAsia="Calibri" w:hAnsi="Times New Roman" w:cs="Times New Roman"/>
          <w:b/>
          <w:sz w:val="24"/>
          <w:szCs w:val="24"/>
        </w:rPr>
        <w:t>Coverage and uptake of yellow fever vaccination in North East region, and the barriers to achieving optimal vaccination rates</w:t>
      </w:r>
      <w:bookmarkEnd w:id="0"/>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442FB7" w:rsidRPr="00442FB7" w:rsidTr="00D17244">
        <w:trPr>
          <w:trHeight w:val="315"/>
        </w:trPr>
        <w:tc>
          <w:tcPr>
            <w:tcW w:w="3594" w:type="dxa"/>
          </w:tcPr>
          <w:p w:rsidR="00D17244" w:rsidRPr="00442FB7" w:rsidRDefault="00D17244" w:rsidP="00DA070A">
            <w:pPr>
              <w:jc w:val="both"/>
              <w:rPr>
                <w:rFonts w:ascii="Times New Roman" w:eastAsia="Times New Roman" w:hAnsi="Times New Roman" w:cs="Times New Roman"/>
                <w:b/>
                <w:sz w:val="24"/>
                <w:szCs w:val="24"/>
                <w:lang w:eastAsia="en-GB"/>
              </w:rPr>
            </w:pPr>
            <w:r w:rsidRPr="00442FB7">
              <w:rPr>
                <w:rFonts w:ascii="Times New Roman" w:eastAsia="Calibri" w:hAnsi="Times New Roman" w:cs="Times New Roman"/>
                <w:b/>
                <w:sz w:val="24"/>
                <w:szCs w:val="24"/>
              </w:rPr>
              <w:t xml:space="preserve">Coverage and update </w:t>
            </w:r>
          </w:p>
        </w:tc>
        <w:tc>
          <w:tcPr>
            <w:tcW w:w="814" w:type="dxa"/>
          </w:tcPr>
          <w:p w:rsidR="00D17244" w:rsidRPr="00442FB7" w:rsidRDefault="00D17244" w:rsidP="00DA070A">
            <w:pPr>
              <w:jc w:val="both"/>
              <w:rPr>
                <w:rFonts w:ascii="Times New Roman" w:eastAsia="Times New Roman" w:hAnsi="Times New Roman" w:cs="Times New Roman"/>
                <w:b/>
                <w:sz w:val="24"/>
                <w:szCs w:val="24"/>
                <w:lang w:eastAsia="en-GB"/>
              </w:rPr>
            </w:pPr>
            <w:r w:rsidRPr="00442FB7">
              <w:rPr>
                <w:rFonts w:ascii="Times New Roman" w:eastAsia="Times New Roman" w:hAnsi="Times New Roman" w:cs="Times New Roman"/>
                <w:b/>
                <w:sz w:val="24"/>
                <w:szCs w:val="24"/>
                <w:lang w:eastAsia="en-GB"/>
              </w:rPr>
              <w:t>SA</w:t>
            </w:r>
          </w:p>
        </w:tc>
        <w:tc>
          <w:tcPr>
            <w:tcW w:w="576" w:type="dxa"/>
          </w:tcPr>
          <w:p w:rsidR="00D17244" w:rsidRPr="00442FB7" w:rsidRDefault="00D17244" w:rsidP="00DA070A">
            <w:pPr>
              <w:jc w:val="both"/>
              <w:rPr>
                <w:rFonts w:ascii="Times New Roman" w:eastAsia="Times New Roman" w:hAnsi="Times New Roman" w:cs="Times New Roman"/>
                <w:b/>
                <w:sz w:val="24"/>
                <w:szCs w:val="24"/>
                <w:lang w:eastAsia="en-GB"/>
              </w:rPr>
            </w:pPr>
            <w:r w:rsidRPr="00442FB7">
              <w:rPr>
                <w:rFonts w:ascii="Times New Roman" w:eastAsia="Times New Roman" w:hAnsi="Times New Roman" w:cs="Times New Roman"/>
                <w:b/>
                <w:sz w:val="24"/>
                <w:szCs w:val="24"/>
                <w:lang w:eastAsia="en-GB"/>
              </w:rPr>
              <w:t>A</w:t>
            </w:r>
          </w:p>
        </w:tc>
        <w:tc>
          <w:tcPr>
            <w:tcW w:w="456" w:type="dxa"/>
          </w:tcPr>
          <w:p w:rsidR="00D17244" w:rsidRPr="00442FB7" w:rsidRDefault="00D17244" w:rsidP="00DA070A">
            <w:pPr>
              <w:jc w:val="both"/>
              <w:rPr>
                <w:rFonts w:ascii="Times New Roman" w:eastAsia="Times New Roman" w:hAnsi="Times New Roman" w:cs="Times New Roman"/>
                <w:b/>
                <w:sz w:val="24"/>
                <w:szCs w:val="24"/>
                <w:lang w:eastAsia="en-GB"/>
              </w:rPr>
            </w:pPr>
            <w:r w:rsidRPr="00442FB7">
              <w:rPr>
                <w:rFonts w:ascii="Times New Roman" w:eastAsia="Times New Roman" w:hAnsi="Times New Roman" w:cs="Times New Roman"/>
                <w:b/>
                <w:sz w:val="24"/>
                <w:szCs w:val="24"/>
                <w:lang w:eastAsia="en-GB"/>
              </w:rPr>
              <w:t>D</w:t>
            </w:r>
          </w:p>
        </w:tc>
        <w:tc>
          <w:tcPr>
            <w:tcW w:w="706" w:type="dxa"/>
          </w:tcPr>
          <w:p w:rsidR="00D17244" w:rsidRPr="00442FB7" w:rsidRDefault="00D17244" w:rsidP="00DA070A">
            <w:pPr>
              <w:jc w:val="both"/>
              <w:rPr>
                <w:rFonts w:ascii="Times New Roman" w:eastAsia="Times New Roman" w:hAnsi="Times New Roman" w:cs="Times New Roman"/>
                <w:b/>
                <w:sz w:val="24"/>
                <w:szCs w:val="24"/>
                <w:lang w:eastAsia="en-GB"/>
              </w:rPr>
            </w:pPr>
            <w:r w:rsidRPr="00442FB7">
              <w:rPr>
                <w:rFonts w:ascii="Times New Roman" w:eastAsia="Times New Roman" w:hAnsi="Times New Roman" w:cs="Times New Roman"/>
                <w:b/>
                <w:sz w:val="24"/>
                <w:szCs w:val="24"/>
                <w:lang w:eastAsia="en-GB"/>
              </w:rPr>
              <w:t>SD</w:t>
            </w:r>
          </w:p>
        </w:tc>
        <w:tc>
          <w:tcPr>
            <w:tcW w:w="708" w:type="dxa"/>
          </w:tcPr>
          <w:p w:rsidR="00D17244" w:rsidRPr="00442FB7" w:rsidRDefault="00D17244" w:rsidP="00DA070A">
            <w:pPr>
              <w:jc w:val="both"/>
              <w:rPr>
                <w:rFonts w:ascii="Times New Roman" w:eastAsia="Calibri" w:hAnsi="Times New Roman" w:cs="Times New Roman"/>
                <w:b/>
                <w:sz w:val="24"/>
                <w:szCs w:val="24"/>
              </w:rPr>
            </w:pPr>
            <w:r w:rsidRPr="00442FB7">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12980B9" wp14:editId="103C1B37">
                      <wp:simplePos x="0" y="0"/>
                      <wp:positionH relativeFrom="column">
                        <wp:posOffset>79375</wp:posOffset>
                      </wp:positionH>
                      <wp:positionV relativeFrom="paragraph">
                        <wp:posOffset>8255</wp:posOffset>
                      </wp:positionV>
                      <wp:extent cx="76200" cy="0"/>
                      <wp:effectExtent l="11430" t="12700" r="762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D75EF" id="_x0000_t32" coordsize="21600,21600" o:spt="32" o:oned="t" path="m,l21600,21600e" filled="f">
                      <v:path arrowok="t" fillok="f" o:connecttype="none"/>
                      <o:lock v:ext="edit" shapetype="t"/>
                    </v:shapetype>
                    <v:shape id="Straight Arrow Connector 14"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KLJA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GKSAoskAgAASgQAAA4AAAAAAAAAAAAAAAAALgIAAGRycy9lMm9Eb2MueG1sUEsB&#10;Ai0AFAAGAAgAAAAhAJZmr4/YAAAABQEAAA8AAAAAAAAAAAAAAAAAfgQAAGRycy9kb3ducmV2Lnht&#10;bFBLBQYAAAAABAAEAPMAAACDBQAAAAA=&#10;"/>
                  </w:pict>
                </mc:Fallback>
              </mc:AlternateContent>
            </w:r>
            <w:r w:rsidRPr="00442FB7">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CECD6EF" wp14:editId="54FE7361">
                      <wp:simplePos x="0" y="0"/>
                      <wp:positionH relativeFrom="column">
                        <wp:posOffset>107315</wp:posOffset>
                      </wp:positionH>
                      <wp:positionV relativeFrom="paragraph">
                        <wp:posOffset>24130</wp:posOffset>
                      </wp:positionV>
                      <wp:extent cx="76200" cy="635"/>
                      <wp:effectExtent l="10795" t="9525" r="8255" b="889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43E42B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CjMTArmAQAAugMAAA4AAAAAAAAAAAAAAAAALgIAAGRycy9lMm9Eb2MueG1sUEsBAi0AFAAG&#10;AAgAAAAhAKl4pqvXAAAABQEAAA8AAAAAAAAAAAAAAAAAQAQAAGRycy9kb3ducmV2LnhtbFBLBQYA&#10;AAAABAAEAPMAAABEBQAAAAA=&#10;"/>
                  </w:pict>
                </mc:Fallback>
              </mc:AlternateContent>
            </w:r>
            <w:r w:rsidRPr="00442FB7">
              <w:rPr>
                <w:rFonts w:ascii="Times New Roman" w:eastAsia="Calibri" w:hAnsi="Times New Roman" w:cs="Times New Roman"/>
                <w:b/>
                <w:sz w:val="24"/>
                <w:szCs w:val="24"/>
              </w:rPr>
              <w:t>X</w:t>
            </w:r>
          </w:p>
        </w:tc>
        <w:tc>
          <w:tcPr>
            <w:tcW w:w="760" w:type="dxa"/>
          </w:tcPr>
          <w:p w:rsidR="00D17244" w:rsidRPr="00442FB7" w:rsidRDefault="00D17244" w:rsidP="00DA070A">
            <w:pPr>
              <w:jc w:val="both"/>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Sd</w:t>
            </w:r>
          </w:p>
        </w:tc>
        <w:tc>
          <w:tcPr>
            <w:tcW w:w="1083" w:type="dxa"/>
          </w:tcPr>
          <w:p w:rsidR="00D17244" w:rsidRPr="00442FB7" w:rsidRDefault="00D17244" w:rsidP="00DA070A">
            <w:pPr>
              <w:jc w:val="both"/>
              <w:rPr>
                <w:rFonts w:ascii="Times New Roman" w:eastAsia="Times New Roman" w:hAnsi="Times New Roman" w:cs="Times New Roman"/>
                <w:b/>
                <w:bCs/>
                <w:sz w:val="24"/>
                <w:szCs w:val="24"/>
              </w:rPr>
            </w:pPr>
            <w:r w:rsidRPr="00442FB7">
              <w:rPr>
                <w:rFonts w:ascii="Times New Roman" w:eastAsia="Times New Roman" w:hAnsi="Times New Roman" w:cs="Times New Roman"/>
                <w:b/>
                <w:bCs/>
                <w:sz w:val="24"/>
                <w:szCs w:val="24"/>
              </w:rPr>
              <w:t>Decision</w:t>
            </w:r>
          </w:p>
        </w:tc>
      </w:tr>
      <w:tr w:rsidR="00442FB7" w:rsidRPr="00442FB7" w:rsidTr="00D17244">
        <w:trPr>
          <w:trHeight w:val="315"/>
        </w:trPr>
        <w:tc>
          <w:tcPr>
            <w:tcW w:w="3594" w:type="dxa"/>
          </w:tcPr>
          <w:p w:rsidR="00D17244" w:rsidRPr="00442FB7" w:rsidRDefault="00D17244" w:rsidP="00DA070A">
            <w:pPr>
              <w:jc w:val="both"/>
              <w:rPr>
                <w:rFonts w:ascii="Times New Roman" w:eastAsia="Calibri" w:hAnsi="Times New Roman" w:cs="Times New Roman"/>
                <w:sz w:val="24"/>
                <w:szCs w:val="24"/>
              </w:rPr>
            </w:pPr>
            <w:r w:rsidRPr="00442FB7">
              <w:rPr>
                <w:rFonts w:ascii="Times New Roman" w:eastAsia="Times New Roman" w:hAnsi="Times New Roman" w:cs="Times New Roman"/>
                <w:sz w:val="24"/>
                <w:szCs w:val="24"/>
              </w:rPr>
              <w:t>Yellow fever vaccination coverage in my community is low</w:t>
            </w:r>
            <w:r w:rsidRPr="00442FB7">
              <w:rPr>
                <w:rFonts w:ascii="Times New Roman" w:eastAsia="Calibri" w:hAnsi="Times New Roman" w:cs="Times New Roman"/>
                <w:sz w:val="24"/>
                <w:szCs w:val="24"/>
              </w:rPr>
              <w:t xml:space="preserve">. </w:t>
            </w:r>
          </w:p>
          <w:p w:rsidR="00D17244" w:rsidRPr="00442FB7" w:rsidRDefault="00D17244" w:rsidP="00DA070A">
            <w:pPr>
              <w:jc w:val="both"/>
              <w:rPr>
                <w:rFonts w:ascii="Times New Roman" w:eastAsia="Calibri" w:hAnsi="Times New Roman" w:cs="Times New Roman"/>
                <w:sz w:val="24"/>
                <w:szCs w:val="24"/>
              </w:rPr>
            </w:pPr>
          </w:p>
        </w:tc>
        <w:tc>
          <w:tcPr>
            <w:tcW w:w="814"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290</w:t>
            </w:r>
          </w:p>
        </w:tc>
        <w:tc>
          <w:tcPr>
            <w:tcW w:w="57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186</w:t>
            </w:r>
          </w:p>
        </w:tc>
        <w:tc>
          <w:tcPr>
            <w:tcW w:w="45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64</w:t>
            </w:r>
          </w:p>
        </w:tc>
        <w:tc>
          <w:tcPr>
            <w:tcW w:w="70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23</w:t>
            </w:r>
          </w:p>
        </w:tc>
        <w:tc>
          <w:tcPr>
            <w:tcW w:w="708"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2.80</w:t>
            </w:r>
          </w:p>
        </w:tc>
        <w:tc>
          <w:tcPr>
            <w:tcW w:w="760" w:type="dxa"/>
            <w:hideMark/>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eastAsia="en-GB"/>
              </w:rPr>
              <w:t>0.844</w:t>
            </w:r>
          </w:p>
        </w:tc>
        <w:tc>
          <w:tcPr>
            <w:tcW w:w="1083"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Agree</w:t>
            </w:r>
          </w:p>
        </w:tc>
      </w:tr>
      <w:tr w:rsidR="00442FB7" w:rsidRPr="00442FB7" w:rsidTr="00D17244">
        <w:trPr>
          <w:trHeight w:val="315"/>
        </w:trPr>
        <w:tc>
          <w:tcPr>
            <w:tcW w:w="3594" w:type="dxa"/>
          </w:tcPr>
          <w:p w:rsidR="00D17244" w:rsidRPr="00442FB7" w:rsidRDefault="00D17244" w:rsidP="00DA070A">
            <w:pPr>
              <w:jc w:val="both"/>
              <w:rPr>
                <w:rFonts w:ascii="Times New Roman" w:eastAsia="Calibri" w:hAnsi="Times New Roman" w:cs="Times New Roman"/>
                <w:sz w:val="24"/>
                <w:szCs w:val="24"/>
              </w:rPr>
            </w:pPr>
            <w:r w:rsidRPr="00442FB7">
              <w:rPr>
                <w:rFonts w:ascii="Times New Roman" w:eastAsia="Times New Roman" w:hAnsi="Times New Roman" w:cs="Times New Roman"/>
                <w:sz w:val="24"/>
                <w:szCs w:val="24"/>
              </w:rPr>
              <w:t>I am not aware of where to get yellow fever vaccination in my area</w:t>
            </w:r>
            <w:r w:rsidRPr="00442FB7">
              <w:rPr>
                <w:rFonts w:ascii="Times New Roman" w:eastAsia="Calibri" w:hAnsi="Times New Roman" w:cs="Times New Roman"/>
                <w:sz w:val="24"/>
                <w:szCs w:val="24"/>
              </w:rPr>
              <w:t xml:space="preserve"> </w:t>
            </w:r>
          </w:p>
        </w:tc>
        <w:tc>
          <w:tcPr>
            <w:tcW w:w="814"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292</w:t>
            </w:r>
          </w:p>
        </w:tc>
        <w:tc>
          <w:tcPr>
            <w:tcW w:w="57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180</w:t>
            </w:r>
          </w:p>
        </w:tc>
        <w:tc>
          <w:tcPr>
            <w:tcW w:w="45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56</w:t>
            </w:r>
          </w:p>
        </w:tc>
        <w:tc>
          <w:tcPr>
            <w:tcW w:w="70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35</w:t>
            </w:r>
          </w:p>
        </w:tc>
        <w:tc>
          <w:tcPr>
            <w:tcW w:w="708"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2.85</w:t>
            </w:r>
          </w:p>
        </w:tc>
        <w:tc>
          <w:tcPr>
            <w:tcW w:w="760" w:type="dxa"/>
            <w:hideMark/>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eastAsia="en-GB"/>
              </w:rPr>
              <w:t>0.848</w:t>
            </w:r>
          </w:p>
        </w:tc>
        <w:tc>
          <w:tcPr>
            <w:tcW w:w="1083"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Agree</w:t>
            </w:r>
          </w:p>
        </w:tc>
      </w:tr>
      <w:tr w:rsidR="00442FB7" w:rsidRPr="00442FB7" w:rsidTr="00D17244">
        <w:trPr>
          <w:trHeight w:val="315"/>
        </w:trPr>
        <w:tc>
          <w:tcPr>
            <w:tcW w:w="3594" w:type="dxa"/>
          </w:tcPr>
          <w:p w:rsidR="00D17244" w:rsidRPr="00442FB7" w:rsidRDefault="00D17244" w:rsidP="00DA070A">
            <w:pPr>
              <w:jc w:val="both"/>
              <w:rPr>
                <w:rFonts w:ascii="Times New Roman" w:eastAsia="Calibri" w:hAnsi="Times New Roman" w:cs="Times New Roman"/>
                <w:sz w:val="24"/>
                <w:szCs w:val="24"/>
              </w:rPr>
            </w:pPr>
            <w:r w:rsidRPr="00442FB7">
              <w:rPr>
                <w:rFonts w:ascii="Times New Roman" w:eastAsia="Times New Roman" w:hAnsi="Times New Roman" w:cs="Times New Roman"/>
                <w:sz w:val="24"/>
                <w:szCs w:val="24"/>
              </w:rPr>
              <w:t>Long distances to vaccination centers are a significant barrier to getting vaccinated</w:t>
            </w:r>
            <w:r w:rsidRPr="00442FB7">
              <w:rPr>
                <w:rFonts w:ascii="Times New Roman" w:eastAsia="Calibri" w:hAnsi="Times New Roman" w:cs="Times New Roman"/>
                <w:sz w:val="24"/>
                <w:szCs w:val="24"/>
              </w:rPr>
              <w:t>.</w:t>
            </w:r>
          </w:p>
          <w:p w:rsidR="00D17244" w:rsidRPr="00442FB7" w:rsidRDefault="00D17244" w:rsidP="00DA070A">
            <w:pPr>
              <w:jc w:val="both"/>
              <w:rPr>
                <w:rFonts w:ascii="Times New Roman" w:eastAsia="Calibri" w:hAnsi="Times New Roman" w:cs="Times New Roman"/>
                <w:sz w:val="24"/>
                <w:szCs w:val="24"/>
              </w:rPr>
            </w:pPr>
          </w:p>
        </w:tc>
        <w:tc>
          <w:tcPr>
            <w:tcW w:w="814"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296</w:t>
            </w:r>
          </w:p>
        </w:tc>
        <w:tc>
          <w:tcPr>
            <w:tcW w:w="57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181</w:t>
            </w:r>
          </w:p>
        </w:tc>
        <w:tc>
          <w:tcPr>
            <w:tcW w:w="45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46</w:t>
            </w:r>
          </w:p>
        </w:tc>
        <w:tc>
          <w:tcPr>
            <w:tcW w:w="70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50</w:t>
            </w:r>
          </w:p>
        </w:tc>
        <w:tc>
          <w:tcPr>
            <w:tcW w:w="708"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2.86</w:t>
            </w:r>
          </w:p>
        </w:tc>
        <w:tc>
          <w:tcPr>
            <w:tcW w:w="760" w:type="dxa"/>
            <w:hideMark/>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0.863</w:t>
            </w:r>
          </w:p>
        </w:tc>
        <w:tc>
          <w:tcPr>
            <w:tcW w:w="1083"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Agree</w:t>
            </w:r>
          </w:p>
        </w:tc>
      </w:tr>
      <w:tr w:rsidR="00D17244" w:rsidRPr="00442FB7" w:rsidTr="00D17244">
        <w:trPr>
          <w:trHeight w:val="315"/>
        </w:trPr>
        <w:tc>
          <w:tcPr>
            <w:tcW w:w="3594" w:type="dxa"/>
          </w:tcPr>
          <w:p w:rsidR="00D17244" w:rsidRPr="00442FB7" w:rsidRDefault="00D17244" w:rsidP="00DA070A">
            <w:pPr>
              <w:jc w:val="both"/>
              <w:rPr>
                <w:rFonts w:ascii="Times New Roman" w:eastAsia="Calibri" w:hAnsi="Times New Roman" w:cs="Times New Roman"/>
                <w:sz w:val="24"/>
                <w:szCs w:val="24"/>
              </w:rPr>
            </w:pPr>
            <w:r w:rsidRPr="00442FB7">
              <w:rPr>
                <w:rFonts w:ascii="Times New Roman" w:eastAsia="Times New Roman" w:hAnsi="Times New Roman" w:cs="Times New Roman"/>
                <w:sz w:val="24"/>
                <w:szCs w:val="24"/>
              </w:rPr>
              <w:lastRenderedPageBreak/>
              <w:t>Fear of vaccine side effects discourages people from getting vaccinated against yellow fever</w:t>
            </w:r>
          </w:p>
        </w:tc>
        <w:tc>
          <w:tcPr>
            <w:tcW w:w="814"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269</w:t>
            </w:r>
          </w:p>
        </w:tc>
        <w:tc>
          <w:tcPr>
            <w:tcW w:w="57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185</w:t>
            </w:r>
          </w:p>
        </w:tc>
        <w:tc>
          <w:tcPr>
            <w:tcW w:w="45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63</w:t>
            </w:r>
          </w:p>
        </w:tc>
        <w:tc>
          <w:tcPr>
            <w:tcW w:w="706"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46</w:t>
            </w:r>
          </w:p>
        </w:tc>
        <w:tc>
          <w:tcPr>
            <w:tcW w:w="708"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val="en-GB" w:eastAsia="en-GB"/>
              </w:rPr>
              <w:t>2.70</w:t>
            </w:r>
          </w:p>
        </w:tc>
        <w:tc>
          <w:tcPr>
            <w:tcW w:w="760" w:type="dxa"/>
            <w:hideMark/>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Times New Roman" w:hAnsi="Times New Roman" w:cs="Times New Roman"/>
                <w:sz w:val="24"/>
                <w:szCs w:val="24"/>
                <w:lang w:eastAsia="en-GB"/>
              </w:rPr>
              <w:t>0.753</w:t>
            </w:r>
          </w:p>
        </w:tc>
        <w:tc>
          <w:tcPr>
            <w:tcW w:w="1083" w:type="dxa"/>
          </w:tcPr>
          <w:p w:rsidR="00D17244" w:rsidRPr="00442FB7" w:rsidRDefault="00D17244" w:rsidP="00DA070A">
            <w:pPr>
              <w:jc w:val="both"/>
              <w:rPr>
                <w:rFonts w:ascii="Times New Roman" w:eastAsia="Times New Roman" w:hAnsi="Times New Roman" w:cs="Times New Roman"/>
                <w:sz w:val="24"/>
                <w:szCs w:val="24"/>
                <w:lang w:val="en-GB" w:eastAsia="en-GB"/>
              </w:rPr>
            </w:pPr>
            <w:r w:rsidRPr="00442FB7">
              <w:rPr>
                <w:rFonts w:ascii="Times New Roman" w:eastAsia="Calibri" w:hAnsi="Times New Roman" w:cs="Times New Roman"/>
                <w:sz w:val="24"/>
                <w:szCs w:val="24"/>
              </w:rPr>
              <w:t>Agree</w:t>
            </w:r>
          </w:p>
        </w:tc>
      </w:tr>
    </w:tbl>
    <w:p w:rsidR="00D17244" w:rsidRPr="00442FB7" w:rsidRDefault="00D17244" w:rsidP="00DA070A">
      <w:pPr>
        <w:spacing w:line="240" w:lineRule="auto"/>
        <w:jc w:val="both"/>
        <w:rPr>
          <w:rFonts w:ascii="Times New Roman" w:hAnsi="Times New Roman" w:cs="Times New Roman"/>
          <w:sz w:val="24"/>
          <w:szCs w:val="24"/>
        </w:rPr>
      </w:pPr>
    </w:p>
    <w:p w:rsidR="00D17244" w:rsidRPr="00442FB7" w:rsidRDefault="00D17244" w:rsidP="00DA070A">
      <w:pPr>
        <w:spacing w:line="240" w:lineRule="auto"/>
        <w:jc w:val="both"/>
        <w:rPr>
          <w:rFonts w:ascii="Times New Roman" w:hAnsi="Times New Roman" w:cs="Times New Roman"/>
          <w:sz w:val="24"/>
          <w:szCs w:val="24"/>
        </w:rPr>
      </w:pPr>
    </w:p>
    <w:p w:rsidR="00D17244" w:rsidRPr="00442FB7" w:rsidRDefault="00D17244" w:rsidP="00DA070A">
      <w:pPr>
        <w:spacing w:after="200" w:line="240" w:lineRule="auto"/>
        <w:jc w:val="both"/>
        <w:rPr>
          <w:rFonts w:ascii="Times New Roman" w:eastAsia="Calibri" w:hAnsi="Times New Roman" w:cs="Times New Roman"/>
          <w:b/>
          <w:sz w:val="24"/>
          <w:szCs w:val="24"/>
        </w:rPr>
      </w:pPr>
      <w:r w:rsidRPr="00442FB7">
        <w:rPr>
          <w:rFonts w:ascii="Times New Roman" w:eastAsia="Times New Roman" w:hAnsi="Times New Roman" w:cs="Times New Roman"/>
          <w:b/>
          <w:spacing w:val="2"/>
          <w:sz w:val="24"/>
          <w:szCs w:val="24"/>
        </w:rPr>
        <w:t xml:space="preserve">Table 2: Test of </w:t>
      </w:r>
      <w:r w:rsidRPr="00442FB7">
        <w:rPr>
          <w:rFonts w:ascii="Times New Roman" w:eastAsia="Calibri" w:hAnsi="Times New Roman" w:cs="Times New Roman"/>
          <w:b/>
          <w:sz w:val="24"/>
          <w:szCs w:val="24"/>
        </w:rPr>
        <w:t xml:space="preserve">significance of the current yellow fever vaccination </w:t>
      </w:r>
      <w:proofErr w:type="spellStart"/>
      <w:r w:rsidRPr="00442FB7">
        <w:rPr>
          <w:rFonts w:ascii="Times New Roman" w:eastAsia="Calibri" w:hAnsi="Times New Roman" w:cs="Times New Roman"/>
          <w:b/>
          <w:sz w:val="24"/>
          <w:szCs w:val="24"/>
        </w:rPr>
        <w:t>programme</w:t>
      </w:r>
      <w:proofErr w:type="spellEnd"/>
      <w:r w:rsidRPr="00442FB7">
        <w:rPr>
          <w:rFonts w:ascii="Times New Roman" w:eastAsia="Calibri" w:hAnsi="Times New Roman" w:cs="Times New Roman"/>
          <w:b/>
          <w:sz w:val="24"/>
          <w:szCs w:val="24"/>
        </w:rPr>
        <w:t xml:space="preserve"> in North East geopolitical region has not achieved sufficient coverage and effectiveness due to logistical challenges, vaccine hesitancy, and lack of public awareness</w:t>
      </w:r>
    </w:p>
    <w:tbl>
      <w:tblPr>
        <w:tblStyle w:val="TableGridLight"/>
        <w:tblW w:w="0" w:type="auto"/>
        <w:tblLook w:val="04A0" w:firstRow="1" w:lastRow="0" w:firstColumn="1" w:lastColumn="0" w:noHBand="0" w:noVBand="1"/>
      </w:tblPr>
      <w:tblGrid>
        <w:gridCol w:w="1343"/>
        <w:gridCol w:w="816"/>
        <w:gridCol w:w="727"/>
        <w:gridCol w:w="851"/>
        <w:gridCol w:w="709"/>
        <w:gridCol w:w="850"/>
        <w:gridCol w:w="1134"/>
        <w:gridCol w:w="1276"/>
      </w:tblGrid>
      <w:tr w:rsidR="00442FB7" w:rsidRPr="00442FB7" w:rsidTr="00D17244">
        <w:tc>
          <w:tcPr>
            <w:tcW w:w="1150"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Yellow fever</w:t>
            </w:r>
          </w:p>
        </w:tc>
        <w:tc>
          <w:tcPr>
            <w:tcW w:w="816"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N</w:t>
            </w:r>
          </w:p>
        </w:tc>
        <w:tc>
          <w:tcPr>
            <w:tcW w:w="727"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40B054C6" wp14:editId="47B114C8">
                      <wp:simplePos x="0" y="0"/>
                      <wp:positionH relativeFrom="column">
                        <wp:posOffset>79375</wp:posOffset>
                      </wp:positionH>
                      <wp:positionV relativeFrom="paragraph">
                        <wp:posOffset>8255</wp:posOffset>
                      </wp:positionV>
                      <wp:extent cx="76200" cy="0"/>
                      <wp:effectExtent l="6985" t="5080" r="1206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16BC8" id="Straight Arrow Connector 5"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JJ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H6c4dEr4zZOw7BZmrPOfJbQkGDl11yp6+mlM&#10;wo4vzgdSLLsFhJwa1qppohgaTbqcziejSQxw0CgRnOGYs/td0VhyZEFO8YkVouf+mIWDFhGslkys&#10;rrZnqrnYmLzRAQ/LQjpX66KXH/PhfDVbzcaD8Wi6GoyHZTl4XhfjwXSdPk7KT2VRlOnPQC0dZ7US&#10;QurA7qbddPx32rjeoovqevX2bUjeo8d+IdnbO5KOcw2jvIhiB+K8sbd5o1zj4evVCvfhfo/2/Q9g&#10;+Qs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AujXJJIgIAAEgEAAAOAAAAAAAAAAAAAAAAAC4CAABkcnMvZTJvRG9jLnhtbFBLAQIt&#10;ABQABgAIAAAAIQCWZq+P2AAAAAUBAAAPAAAAAAAAAAAAAAAAAHwEAABkcnMvZG93bnJldi54bWxQ&#10;SwUGAAAAAAQABADzAAAAgQUAAAAA&#10;"/>
                  </w:pict>
                </mc:Fallback>
              </mc:AlternateContent>
            </w:r>
            <w:r w:rsidRPr="00442FB7">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6F77293A" wp14:editId="4975777A">
                      <wp:simplePos x="0" y="0"/>
                      <wp:positionH relativeFrom="column">
                        <wp:posOffset>107315</wp:posOffset>
                      </wp:positionH>
                      <wp:positionV relativeFrom="paragraph">
                        <wp:posOffset>24130</wp:posOffset>
                      </wp:positionV>
                      <wp:extent cx="76200" cy="635"/>
                      <wp:effectExtent l="6350" t="11430" r="12700" b="698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C73ABC3" id="Elbow Connector 6"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"/>
                  </w:pict>
                </mc:Fallback>
              </mc:AlternateContent>
            </w:r>
            <w:r w:rsidRPr="00442FB7">
              <w:rPr>
                <w:rFonts w:ascii="Times New Roman" w:eastAsia="Calibri" w:hAnsi="Times New Roman" w:cs="Times New Roman"/>
                <w:b/>
                <w:sz w:val="24"/>
                <w:szCs w:val="24"/>
              </w:rPr>
              <w:t xml:space="preserve">  X</w:t>
            </w:r>
          </w:p>
        </w:tc>
        <w:tc>
          <w:tcPr>
            <w:tcW w:w="851" w:type="dxa"/>
          </w:tcPr>
          <w:p w:rsidR="00D17244" w:rsidRPr="00442FB7" w:rsidRDefault="00D17244" w:rsidP="00DA070A">
            <w:pPr>
              <w:spacing w:after="200"/>
              <w:jc w:val="both"/>
              <w:rPr>
                <w:rFonts w:ascii="Times New Roman" w:eastAsia="Times New Roman" w:hAnsi="Times New Roman" w:cs="Times New Roman"/>
                <w:b/>
                <w:sz w:val="24"/>
                <w:szCs w:val="24"/>
              </w:rPr>
            </w:pPr>
            <w:r w:rsidRPr="00442FB7">
              <w:rPr>
                <w:rFonts w:ascii="Times New Roman" w:eastAsia="Times New Roman" w:hAnsi="Times New Roman" w:cs="Times New Roman"/>
                <w:b/>
                <w:sz w:val="24"/>
                <w:szCs w:val="24"/>
              </w:rPr>
              <w:t>Sd</w:t>
            </w:r>
          </w:p>
        </w:tc>
        <w:tc>
          <w:tcPr>
            <w:tcW w:w="709"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df</w:t>
            </w:r>
          </w:p>
        </w:tc>
        <w:tc>
          <w:tcPr>
            <w:tcW w:w="850"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T</w:t>
            </w:r>
          </w:p>
        </w:tc>
        <w:tc>
          <w:tcPr>
            <w:tcW w:w="1134"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*p-value</w:t>
            </w:r>
          </w:p>
        </w:tc>
        <w:tc>
          <w:tcPr>
            <w:tcW w:w="1276" w:type="dxa"/>
          </w:tcPr>
          <w:p w:rsidR="00D17244" w:rsidRPr="00442FB7" w:rsidRDefault="00D17244" w:rsidP="00DA070A">
            <w:pPr>
              <w:spacing w:after="200"/>
              <w:jc w:val="both"/>
              <w:rPr>
                <w:rFonts w:ascii="Times New Roman" w:eastAsia="Calibri" w:hAnsi="Times New Roman" w:cs="Times New Roman"/>
                <w:b/>
                <w:sz w:val="24"/>
                <w:szCs w:val="24"/>
              </w:rPr>
            </w:pPr>
            <w:r w:rsidRPr="00442FB7">
              <w:rPr>
                <w:rFonts w:ascii="Times New Roman" w:eastAsia="Calibri" w:hAnsi="Times New Roman" w:cs="Times New Roman"/>
                <w:b/>
                <w:sz w:val="24"/>
                <w:szCs w:val="24"/>
              </w:rPr>
              <w:t>Decision</w:t>
            </w:r>
          </w:p>
        </w:tc>
      </w:tr>
      <w:tr w:rsidR="00442FB7" w:rsidRPr="00442FB7" w:rsidTr="00D17244">
        <w:tc>
          <w:tcPr>
            <w:tcW w:w="1150"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Coverage</w:t>
            </w:r>
          </w:p>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16"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347</w:t>
            </w:r>
          </w:p>
        </w:tc>
        <w:tc>
          <w:tcPr>
            <w:tcW w:w="727"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2.78</w:t>
            </w:r>
          </w:p>
        </w:tc>
        <w:tc>
          <w:tcPr>
            <w:tcW w:w="851"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0.732</w:t>
            </w:r>
          </w:p>
        </w:tc>
        <w:tc>
          <w:tcPr>
            <w:tcW w:w="709" w:type="dxa"/>
          </w:tcPr>
          <w:p w:rsidR="00D17244" w:rsidRPr="00442FB7" w:rsidRDefault="00D17244" w:rsidP="00DA070A">
            <w:pPr>
              <w:spacing w:after="200"/>
              <w:jc w:val="both"/>
              <w:rPr>
                <w:rFonts w:ascii="Times New Roman" w:eastAsia="Calibri" w:hAnsi="Times New Roman" w:cs="Times New Roman"/>
                <w:b/>
                <w:sz w:val="24"/>
                <w:szCs w:val="24"/>
              </w:rPr>
            </w:pPr>
          </w:p>
        </w:tc>
        <w:tc>
          <w:tcPr>
            <w:tcW w:w="850" w:type="dxa"/>
          </w:tcPr>
          <w:p w:rsidR="00D17244" w:rsidRPr="00442FB7" w:rsidRDefault="00D17244" w:rsidP="00DA070A">
            <w:pPr>
              <w:spacing w:after="200"/>
              <w:jc w:val="both"/>
              <w:rPr>
                <w:rFonts w:ascii="Times New Roman" w:eastAsia="Calibri" w:hAnsi="Times New Roman" w:cs="Times New Roman"/>
                <w:b/>
                <w:sz w:val="24"/>
                <w:szCs w:val="24"/>
              </w:rPr>
            </w:pPr>
          </w:p>
        </w:tc>
        <w:tc>
          <w:tcPr>
            <w:tcW w:w="1134" w:type="dxa"/>
          </w:tcPr>
          <w:p w:rsidR="00D17244" w:rsidRPr="00442FB7" w:rsidRDefault="00D17244" w:rsidP="00DA070A">
            <w:pPr>
              <w:spacing w:after="200"/>
              <w:jc w:val="both"/>
              <w:rPr>
                <w:rFonts w:ascii="Times New Roman" w:eastAsia="Calibri" w:hAnsi="Times New Roman" w:cs="Times New Roman"/>
                <w:b/>
                <w:sz w:val="24"/>
                <w:szCs w:val="24"/>
              </w:rPr>
            </w:pPr>
          </w:p>
        </w:tc>
        <w:tc>
          <w:tcPr>
            <w:tcW w:w="1276" w:type="dxa"/>
          </w:tcPr>
          <w:p w:rsidR="00D17244" w:rsidRPr="00442FB7" w:rsidRDefault="00D17244" w:rsidP="00DA070A">
            <w:pPr>
              <w:spacing w:after="200"/>
              <w:jc w:val="both"/>
              <w:rPr>
                <w:rFonts w:ascii="Times New Roman" w:eastAsia="Calibri" w:hAnsi="Times New Roman" w:cs="Times New Roman"/>
                <w:b/>
                <w:sz w:val="24"/>
                <w:szCs w:val="24"/>
              </w:rPr>
            </w:pPr>
          </w:p>
        </w:tc>
      </w:tr>
      <w:tr w:rsidR="00442FB7" w:rsidRPr="00442FB7" w:rsidTr="00D17244">
        <w:tc>
          <w:tcPr>
            <w:tcW w:w="1150"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16"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727"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51"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709" w:type="dxa"/>
          </w:tcPr>
          <w:p w:rsidR="00D17244" w:rsidRPr="00442FB7" w:rsidRDefault="00D17244" w:rsidP="00DA070A">
            <w:pPr>
              <w:spacing w:after="20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31</w:t>
            </w:r>
          </w:p>
        </w:tc>
        <w:tc>
          <w:tcPr>
            <w:tcW w:w="850" w:type="dxa"/>
          </w:tcPr>
          <w:p w:rsidR="00D17244" w:rsidRPr="00442FB7" w:rsidRDefault="00D17244" w:rsidP="00DA070A">
            <w:pPr>
              <w:spacing w:after="20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21.2</w:t>
            </w:r>
          </w:p>
        </w:tc>
        <w:tc>
          <w:tcPr>
            <w:tcW w:w="1134" w:type="dxa"/>
          </w:tcPr>
          <w:p w:rsidR="00D17244" w:rsidRPr="00442FB7" w:rsidRDefault="00D17244" w:rsidP="00DA070A">
            <w:pPr>
              <w:spacing w:after="20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0.017</w:t>
            </w:r>
          </w:p>
        </w:tc>
        <w:tc>
          <w:tcPr>
            <w:tcW w:w="1276" w:type="dxa"/>
          </w:tcPr>
          <w:p w:rsidR="00D17244" w:rsidRPr="00442FB7" w:rsidRDefault="00D17244" w:rsidP="00DA070A">
            <w:pPr>
              <w:spacing w:after="20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 xml:space="preserve"> Significant</w:t>
            </w:r>
          </w:p>
        </w:tc>
      </w:tr>
      <w:tr w:rsidR="00442FB7" w:rsidRPr="00442FB7" w:rsidTr="00D17244">
        <w:tc>
          <w:tcPr>
            <w:tcW w:w="1150"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Challenges</w:t>
            </w:r>
          </w:p>
        </w:tc>
        <w:tc>
          <w:tcPr>
            <w:tcW w:w="816"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216</w:t>
            </w:r>
          </w:p>
        </w:tc>
        <w:tc>
          <w:tcPr>
            <w:tcW w:w="727"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2.25</w:t>
            </w:r>
          </w:p>
        </w:tc>
        <w:tc>
          <w:tcPr>
            <w:tcW w:w="851" w:type="dxa"/>
          </w:tcPr>
          <w:p w:rsidR="00D17244" w:rsidRPr="00442FB7" w:rsidRDefault="00D17244" w:rsidP="00DA070A">
            <w:pPr>
              <w:autoSpaceDE w:val="0"/>
              <w:adjustRightInd w:val="0"/>
              <w:spacing w:after="200"/>
              <w:ind w:right="60"/>
              <w:jc w:val="both"/>
              <w:rPr>
                <w:rFonts w:ascii="Times New Roman" w:eastAsia="Calibri" w:hAnsi="Times New Roman" w:cs="Times New Roman"/>
                <w:sz w:val="24"/>
                <w:szCs w:val="24"/>
              </w:rPr>
            </w:pPr>
            <w:r w:rsidRPr="00442FB7">
              <w:rPr>
                <w:rFonts w:ascii="Times New Roman" w:eastAsia="Calibri" w:hAnsi="Times New Roman" w:cs="Times New Roman"/>
                <w:sz w:val="24"/>
                <w:szCs w:val="24"/>
              </w:rPr>
              <w:t>0.291</w:t>
            </w:r>
          </w:p>
        </w:tc>
        <w:tc>
          <w:tcPr>
            <w:tcW w:w="709" w:type="dxa"/>
          </w:tcPr>
          <w:p w:rsidR="00D17244" w:rsidRPr="00442FB7" w:rsidRDefault="00D17244" w:rsidP="00DA070A">
            <w:pPr>
              <w:spacing w:after="200"/>
              <w:jc w:val="both"/>
              <w:rPr>
                <w:rFonts w:ascii="Times New Roman" w:eastAsia="Calibri" w:hAnsi="Times New Roman" w:cs="Times New Roman"/>
                <w:b/>
                <w:sz w:val="24"/>
                <w:szCs w:val="24"/>
              </w:rPr>
            </w:pPr>
          </w:p>
        </w:tc>
        <w:tc>
          <w:tcPr>
            <w:tcW w:w="850" w:type="dxa"/>
          </w:tcPr>
          <w:p w:rsidR="00D17244" w:rsidRPr="00442FB7" w:rsidRDefault="00D17244" w:rsidP="00DA070A">
            <w:pPr>
              <w:spacing w:after="200"/>
              <w:jc w:val="both"/>
              <w:rPr>
                <w:rFonts w:ascii="Times New Roman" w:eastAsia="Calibri" w:hAnsi="Times New Roman" w:cs="Times New Roman"/>
                <w:b/>
                <w:sz w:val="24"/>
                <w:szCs w:val="24"/>
              </w:rPr>
            </w:pPr>
          </w:p>
        </w:tc>
        <w:tc>
          <w:tcPr>
            <w:tcW w:w="1134" w:type="dxa"/>
          </w:tcPr>
          <w:p w:rsidR="00D17244" w:rsidRPr="00442FB7" w:rsidRDefault="00D17244" w:rsidP="00DA070A">
            <w:pPr>
              <w:spacing w:after="200"/>
              <w:jc w:val="both"/>
              <w:rPr>
                <w:rFonts w:ascii="Times New Roman" w:eastAsia="Calibri" w:hAnsi="Times New Roman" w:cs="Times New Roman"/>
                <w:b/>
                <w:sz w:val="24"/>
                <w:szCs w:val="24"/>
              </w:rPr>
            </w:pPr>
          </w:p>
        </w:tc>
        <w:tc>
          <w:tcPr>
            <w:tcW w:w="1276" w:type="dxa"/>
          </w:tcPr>
          <w:p w:rsidR="00D17244" w:rsidRPr="00442FB7" w:rsidRDefault="00D17244" w:rsidP="00DA070A">
            <w:pPr>
              <w:spacing w:after="200"/>
              <w:jc w:val="both"/>
              <w:rPr>
                <w:rFonts w:ascii="Times New Roman" w:eastAsia="Calibri" w:hAnsi="Times New Roman" w:cs="Times New Roman"/>
                <w:b/>
                <w:sz w:val="24"/>
                <w:szCs w:val="24"/>
              </w:rPr>
            </w:pPr>
          </w:p>
        </w:tc>
      </w:tr>
    </w:tbl>
    <w:p w:rsidR="00D17244" w:rsidRPr="00442FB7" w:rsidRDefault="00D17244" w:rsidP="00DA070A">
      <w:pPr>
        <w:spacing w:after="0" w:line="240" w:lineRule="auto"/>
        <w:jc w:val="both"/>
        <w:rPr>
          <w:rFonts w:ascii="Times New Roman" w:eastAsia="Calibri" w:hAnsi="Times New Roman" w:cs="Times New Roman"/>
          <w:b/>
          <w:i/>
          <w:sz w:val="24"/>
          <w:szCs w:val="24"/>
        </w:rPr>
      </w:pPr>
      <w:r w:rsidRPr="00442FB7">
        <w:rPr>
          <w:rFonts w:ascii="Times New Roman" w:eastAsia="Calibri" w:hAnsi="Times New Roman" w:cs="Times New Roman"/>
          <w:b/>
          <w:i/>
          <w:sz w:val="24"/>
          <w:szCs w:val="24"/>
        </w:rPr>
        <w:t xml:space="preserve">           (P&lt;0.05 level of significance</w:t>
      </w:r>
    </w:p>
    <w:p w:rsidR="00D17244" w:rsidRPr="00442FB7" w:rsidRDefault="00D17244" w:rsidP="00DA070A">
      <w:pPr>
        <w:spacing w:line="240" w:lineRule="auto"/>
        <w:jc w:val="both"/>
        <w:rPr>
          <w:rFonts w:ascii="Times New Roman" w:hAnsi="Times New Roman" w:cs="Times New Roman"/>
          <w:sz w:val="24"/>
          <w:szCs w:val="24"/>
        </w:rPr>
      </w:pPr>
    </w:p>
    <w:p w:rsidR="00D17244" w:rsidRPr="00442FB7" w:rsidRDefault="00D17244" w:rsidP="00DA070A">
      <w:pPr>
        <w:pStyle w:val="Heading2"/>
        <w:spacing w:line="240" w:lineRule="auto"/>
        <w:jc w:val="both"/>
        <w:rPr>
          <w:rFonts w:ascii="Times New Roman" w:hAnsi="Times New Roman" w:cs="Times New Roman"/>
          <w:color w:val="auto"/>
          <w:sz w:val="24"/>
          <w:szCs w:val="24"/>
        </w:rPr>
      </w:pPr>
      <w:r w:rsidRPr="00442FB7">
        <w:rPr>
          <w:rStyle w:val="Strong"/>
          <w:rFonts w:ascii="Times New Roman" w:hAnsi="Times New Roman" w:cs="Times New Roman"/>
          <w:bCs w:val="0"/>
          <w:color w:val="auto"/>
          <w:sz w:val="24"/>
          <w:szCs w:val="24"/>
        </w:rPr>
        <w:t>Discussion</w:t>
      </w:r>
    </w:p>
    <w:p w:rsidR="00D17244" w:rsidRPr="00442FB7" w:rsidRDefault="00D17244" w:rsidP="00DA070A">
      <w:pPr>
        <w:pStyle w:val="NormalWeb"/>
        <w:jc w:val="both"/>
      </w:pPr>
      <w:r w:rsidRPr="00442FB7">
        <w:t>The findings of this study indicate that yellow fever vaccination coverage in Nigeria’s North East geopolitical region remains suboptimal, with significant barriers limiting uptake. Respondents overwhelmingly perceived coverage as low, consistent with previous reports highlighting recurrent outbreaks and persistent immunity gaps in the region. This finding underscores a continued vulnerability to yellow fever transmission and reinforces the importance of targeted immunization strategies.</w:t>
      </w:r>
      <w:r w:rsidR="00655A23" w:rsidRPr="00442FB7">
        <w:t xml:space="preserve"> </w:t>
      </w:r>
      <w:r w:rsidRPr="00442FB7">
        <w:t>A majority of respondents reported low awareness of vaccination sites in their communities, which suggests that access to information is a critical determinant of uptake. Even when vaccines are available, community members may fail to utilize services if they do not know where or when vaccinations are offered. This aligns with global evidence indicating that knowledge gaps are a key predictor of poor vaccination coverage, particularly in resource-limited or conflict-affected settings. In the North East, prolonged insecurity, displacement, and disruption of public health infrastructure likely exacerbate these informational gaps</w:t>
      </w:r>
      <w:r w:rsidR="00655A23" w:rsidRPr="00442FB7">
        <w:t xml:space="preserve"> [8]</w:t>
      </w:r>
      <w:r w:rsidRPr="00442FB7">
        <w:t>.</w:t>
      </w:r>
      <w:r w:rsidR="00655A23" w:rsidRPr="00442FB7">
        <w:t xml:space="preserve"> </w:t>
      </w:r>
      <w:r w:rsidRPr="00442FB7">
        <w:t xml:space="preserve">Long distances to vaccination </w:t>
      </w:r>
      <w:proofErr w:type="spellStart"/>
      <w:r w:rsidRPr="00442FB7">
        <w:t>cent</w:t>
      </w:r>
      <w:r w:rsidR="00643CC8">
        <w:t>re</w:t>
      </w:r>
      <w:r w:rsidRPr="00442FB7">
        <w:t>s</w:t>
      </w:r>
      <w:proofErr w:type="spellEnd"/>
      <w:r w:rsidRPr="00442FB7">
        <w:t xml:space="preserve"> were identified as a significant barrier, confirming the influence of infrastructural and geographic constraints on vaccination behavior. Rural and peri-urban populations, which are predominant in the North East, often face challenges in accessing health facilities due to poor road networks, insecurity, or lack of transportation. These structural barriers not only limit vaccination coverage but also contribute to inequities, as marginalized and remote communities are disproportionately affected. Addressing these logistical cha</w:t>
      </w:r>
      <w:bookmarkStart w:id="1" w:name="_GoBack"/>
      <w:bookmarkEnd w:id="1"/>
      <w:r w:rsidRPr="00442FB7">
        <w:t>llenges requires innovative service delivery approaches, such as mobile clinics, outreach campaigns, and community-based vaccination programs</w:t>
      </w:r>
      <w:r w:rsidR="00655A23" w:rsidRPr="00442FB7">
        <w:t xml:space="preserve"> [9-10]]</w:t>
      </w:r>
      <w:r w:rsidRPr="00442FB7">
        <w:t>.</w:t>
      </w:r>
    </w:p>
    <w:p w:rsidR="00D17244" w:rsidRPr="00442FB7" w:rsidRDefault="00D17244" w:rsidP="00DA070A">
      <w:pPr>
        <w:pStyle w:val="NormalWeb"/>
        <w:jc w:val="both"/>
      </w:pPr>
      <w:r w:rsidRPr="00442FB7">
        <w:lastRenderedPageBreak/>
        <w:t>Fear of vaccine side effects emerged as a notable factor discouraging uptake, reflecting vaccine hesitancy in the community. Misinformation, myths about adverse effects, and mistrust of public health interventions can significantly undermine immunization programs. Even when vaccines are physically accessible, hesitancy reduces effective coverage, creating pockets of susceptibility that facilitate ongoing transmission. Public health messaging must therefore be culturally sensitive, leverage trusted local leaders, and address community-specific concerns about safety and efficacy to build confidence in vaccination programs</w:t>
      </w:r>
      <w:r w:rsidR="00655A23" w:rsidRPr="00442FB7">
        <w:t xml:space="preserve"> [11-12]</w:t>
      </w:r>
      <w:r w:rsidRPr="00442FB7">
        <w:t>.</w:t>
      </w:r>
      <w:r w:rsidR="00655A23" w:rsidRPr="00442FB7">
        <w:t xml:space="preserve"> </w:t>
      </w:r>
      <w:r w:rsidRPr="00442FB7">
        <w:t>The statistical analysis confirmed that these barriers are significant contributors to low vaccination coverage (p &lt; 0.05). Socioeconomic factors such as low income, limited education, and poor healthcare access were strongly associated with reduced uptake. This finding emphasizes that vaccination challenges in the North East are not merely logistical but are also deeply intertwined with structural inequities. Communities with fewer resources face compounded disadvantages: limited access to information, difficulty traveling to vaccination sites, and reduced capacity to act on preventive health recommendations</w:t>
      </w:r>
      <w:r w:rsidR="00655A23" w:rsidRPr="00442FB7">
        <w:t xml:space="preserve"> [13-14]</w:t>
      </w:r>
      <w:r w:rsidRPr="00442FB7">
        <w:t>.</w:t>
      </w:r>
    </w:p>
    <w:p w:rsidR="0070118D" w:rsidRPr="00442FB7" w:rsidRDefault="0070118D" w:rsidP="00DA070A">
      <w:pPr>
        <w:pStyle w:val="Heading2"/>
        <w:spacing w:line="240" w:lineRule="auto"/>
        <w:jc w:val="both"/>
        <w:rPr>
          <w:rFonts w:ascii="Times New Roman" w:hAnsi="Times New Roman" w:cs="Times New Roman"/>
          <w:color w:val="auto"/>
          <w:sz w:val="24"/>
          <w:szCs w:val="24"/>
        </w:rPr>
      </w:pPr>
      <w:r w:rsidRPr="00442FB7">
        <w:rPr>
          <w:rStyle w:val="Strong"/>
          <w:rFonts w:ascii="Times New Roman" w:hAnsi="Times New Roman" w:cs="Times New Roman"/>
          <w:bCs w:val="0"/>
          <w:color w:val="auto"/>
          <w:sz w:val="24"/>
          <w:szCs w:val="24"/>
        </w:rPr>
        <w:t>Conclusion</w:t>
      </w:r>
    </w:p>
    <w:p w:rsidR="0070118D" w:rsidRPr="00442FB7" w:rsidRDefault="0070118D" w:rsidP="00DA070A">
      <w:pPr>
        <w:pStyle w:val="NormalWeb"/>
        <w:jc w:val="both"/>
      </w:pPr>
      <w:r w:rsidRPr="00442FB7">
        <w:t>Yellow fever vaccination coverage in Nigeria’s North East remains below the recommended threshold for herd immunity, leaving communities vulnerable to outbreaks. The study identified multiple barriers to optimal uptake, including low awareness of vaccination sites, long distances to health facilities, fear of vaccine side effects, and structural challenges related to education, income, and healthcare access. These barriers highlight the multifactorial nature of suboptimal vaccination, encompassing informational, logistical, perceptual, and socioeconomic dimensions. To improve coverage, public health interventions should focus on expanding access through mobile clinics and outreach campaigns, enhancing community awareness and education, and addressing vaccine hesitancy with culturally sensitive communication strategies. Special attention should be given to vulnerable populations in remote or conflict-affected areas. Addressing these challenges is essential to increase vaccination uptake, achieve herd immunity, and prevent future yellow fever outbreaks in the North East region of Nigeria.</w:t>
      </w:r>
    </w:p>
    <w:p w:rsidR="00BF20EA" w:rsidRPr="00442FB7" w:rsidRDefault="00BF20EA" w:rsidP="00BF20EA">
      <w:pPr>
        <w:rPr>
          <w:b/>
          <w:highlight w:val="yellow"/>
        </w:rPr>
      </w:pPr>
      <w:r w:rsidRPr="00442FB7">
        <w:rPr>
          <w:b/>
          <w:highlight w:val="yellow"/>
        </w:rPr>
        <w:t>Disclaimer (Artificial intelligence)</w:t>
      </w:r>
    </w:p>
    <w:p w:rsidR="00BF20EA" w:rsidRPr="00442FB7" w:rsidRDefault="00BF20EA" w:rsidP="00BF20EA">
      <w:pPr>
        <w:rPr>
          <w:highlight w:val="yellow"/>
        </w:rPr>
      </w:pPr>
      <w:r w:rsidRPr="00442FB7">
        <w:rPr>
          <w:highlight w:val="yellow"/>
        </w:rPr>
        <w:t>Author(s) hereby declare that NO generative AI technologies such as Large Language Models (</w:t>
      </w:r>
      <w:proofErr w:type="spellStart"/>
      <w:r w:rsidRPr="00442FB7">
        <w:rPr>
          <w:highlight w:val="yellow"/>
        </w:rPr>
        <w:t>ChatGPT</w:t>
      </w:r>
      <w:proofErr w:type="spellEnd"/>
      <w:r w:rsidRPr="00442FB7">
        <w:rPr>
          <w:highlight w:val="yellow"/>
        </w:rPr>
        <w:t xml:space="preserve">, COPILOT, etc.) and text-to-image generators have been used during the writing or editing of this manuscript. </w:t>
      </w:r>
    </w:p>
    <w:p w:rsidR="00BF20EA" w:rsidRPr="00442FB7" w:rsidRDefault="00BF20EA" w:rsidP="00DA070A">
      <w:pPr>
        <w:pStyle w:val="NormalWeb"/>
        <w:jc w:val="both"/>
      </w:pPr>
    </w:p>
    <w:p w:rsidR="00655A23" w:rsidRPr="00442FB7" w:rsidRDefault="00655A23" w:rsidP="00DA070A">
      <w:pPr>
        <w:spacing w:line="240" w:lineRule="auto"/>
        <w:jc w:val="both"/>
        <w:rPr>
          <w:rFonts w:ascii="Times New Roman" w:hAnsi="Times New Roman" w:cs="Times New Roman"/>
          <w:b/>
          <w:sz w:val="24"/>
          <w:szCs w:val="24"/>
        </w:rPr>
      </w:pPr>
      <w:r w:rsidRPr="00442FB7">
        <w:rPr>
          <w:rFonts w:ascii="Times New Roman" w:hAnsi="Times New Roman" w:cs="Times New Roman"/>
          <w:b/>
          <w:sz w:val="24"/>
          <w:szCs w:val="24"/>
        </w:rPr>
        <w:t>References</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Gardner, C. L., &amp; Ryman, K. D. (2010). Yellow fever: a reemerging threat. </w:t>
      </w:r>
      <w:r w:rsidRPr="00442FB7">
        <w:rPr>
          <w:rFonts w:ascii="Times New Roman" w:eastAsia="Times New Roman" w:hAnsi="Times New Roman" w:cs="Times New Roman"/>
          <w:i/>
          <w:iCs/>
          <w:sz w:val="24"/>
          <w:szCs w:val="24"/>
        </w:rPr>
        <w:t>Clinics in laboratory medicine</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30</w:t>
      </w:r>
      <w:r w:rsidRPr="00442FB7">
        <w:rPr>
          <w:rFonts w:ascii="Times New Roman" w:eastAsia="Times New Roman" w:hAnsi="Times New Roman" w:cs="Times New Roman"/>
          <w:sz w:val="24"/>
          <w:szCs w:val="24"/>
        </w:rPr>
        <w:t xml:space="preserve">(1), 237–260. </w:t>
      </w:r>
      <w:hyperlink r:id="rId7" w:history="1">
        <w:r w:rsidRPr="00442FB7">
          <w:rPr>
            <w:rStyle w:val="Hyperlink"/>
            <w:rFonts w:ascii="Times New Roman" w:eastAsia="Times New Roman" w:hAnsi="Times New Roman" w:cs="Times New Roman"/>
            <w:color w:val="auto"/>
            <w:sz w:val="24"/>
            <w:szCs w:val="24"/>
          </w:rPr>
          <w:t>https://doi.org/10.1016/j.cll.2010.01.001</w:t>
        </w:r>
      </w:hyperlink>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Jean, K., </w:t>
      </w:r>
      <w:proofErr w:type="spellStart"/>
      <w:r w:rsidRPr="00442FB7">
        <w:rPr>
          <w:rFonts w:ascii="Times New Roman" w:eastAsia="Times New Roman" w:hAnsi="Times New Roman" w:cs="Times New Roman"/>
          <w:sz w:val="24"/>
          <w:szCs w:val="24"/>
        </w:rPr>
        <w:t>Raad</w:t>
      </w:r>
      <w:proofErr w:type="spellEnd"/>
      <w:r w:rsidRPr="00442FB7">
        <w:rPr>
          <w:rFonts w:ascii="Times New Roman" w:eastAsia="Times New Roman" w:hAnsi="Times New Roman" w:cs="Times New Roman"/>
          <w:sz w:val="24"/>
          <w:szCs w:val="24"/>
        </w:rPr>
        <w:t xml:space="preserve">, H., </w:t>
      </w:r>
      <w:proofErr w:type="spellStart"/>
      <w:r w:rsidRPr="00442FB7">
        <w:rPr>
          <w:rFonts w:ascii="Times New Roman" w:eastAsia="Times New Roman" w:hAnsi="Times New Roman" w:cs="Times New Roman"/>
          <w:sz w:val="24"/>
          <w:szCs w:val="24"/>
        </w:rPr>
        <w:t>Gaythorpe</w:t>
      </w:r>
      <w:proofErr w:type="spellEnd"/>
      <w:r w:rsidRPr="00442FB7">
        <w:rPr>
          <w:rFonts w:ascii="Times New Roman" w:eastAsia="Times New Roman" w:hAnsi="Times New Roman" w:cs="Times New Roman"/>
          <w:sz w:val="24"/>
          <w:szCs w:val="24"/>
        </w:rPr>
        <w:t xml:space="preserve">, K. A. M., Hamlet, A., Mueller, J. E., Hogan, D., Mengistu, T., Whitaker, H. J., </w:t>
      </w:r>
      <w:proofErr w:type="spellStart"/>
      <w:r w:rsidRPr="00442FB7">
        <w:rPr>
          <w:rFonts w:ascii="Times New Roman" w:eastAsia="Times New Roman" w:hAnsi="Times New Roman" w:cs="Times New Roman"/>
          <w:sz w:val="24"/>
          <w:szCs w:val="24"/>
        </w:rPr>
        <w:t>Garske</w:t>
      </w:r>
      <w:proofErr w:type="spellEnd"/>
      <w:r w:rsidRPr="00442FB7">
        <w:rPr>
          <w:rFonts w:ascii="Times New Roman" w:eastAsia="Times New Roman" w:hAnsi="Times New Roman" w:cs="Times New Roman"/>
          <w:sz w:val="24"/>
          <w:szCs w:val="24"/>
        </w:rPr>
        <w:t xml:space="preserve">, T., &amp; </w:t>
      </w:r>
      <w:proofErr w:type="spellStart"/>
      <w:r w:rsidRPr="00442FB7">
        <w:rPr>
          <w:rFonts w:ascii="Times New Roman" w:eastAsia="Times New Roman" w:hAnsi="Times New Roman" w:cs="Times New Roman"/>
          <w:sz w:val="24"/>
          <w:szCs w:val="24"/>
        </w:rPr>
        <w:t>Hocine</w:t>
      </w:r>
      <w:proofErr w:type="spellEnd"/>
      <w:r w:rsidRPr="00442FB7">
        <w:rPr>
          <w:rFonts w:ascii="Times New Roman" w:eastAsia="Times New Roman" w:hAnsi="Times New Roman" w:cs="Times New Roman"/>
          <w:sz w:val="24"/>
          <w:szCs w:val="24"/>
        </w:rPr>
        <w:t xml:space="preserve">, M. N. (2021). Assessing the impact of preventive mass vaccination campaigns on yellow fever outbreaks in Africa: A population-level self-controlled case series study. </w:t>
      </w:r>
      <w:proofErr w:type="spellStart"/>
      <w:r w:rsidRPr="00442FB7">
        <w:rPr>
          <w:rFonts w:ascii="Times New Roman" w:eastAsia="Times New Roman" w:hAnsi="Times New Roman" w:cs="Times New Roman"/>
          <w:i/>
          <w:iCs/>
          <w:sz w:val="24"/>
          <w:szCs w:val="24"/>
        </w:rPr>
        <w:t>PLoS</w:t>
      </w:r>
      <w:proofErr w:type="spellEnd"/>
      <w:r w:rsidRPr="00442FB7">
        <w:rPr>
          <w:rFonts w:ascii="Times New Roman" w:eastAsia="Times New Roman" w:hAnsi="Times New Roman" w:cs="Times New Roman"/>
          <w:i/>
          <w:iCs/>
          <w:sz w:val="24"/>
          <w:szCs w:val="24"/>
        </w:rPr>
        <w:t xml:space="preserve"> medicine</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18</w:t>
      </w:r>
      <w:r w:rsidRPr="00442FB7">
        <w:rPr>
          <w:rFonts w:ascii="Times New Roman" w:eastAsia="Times New Roman" w:hAnsi="Times New Roman" w:cs="Times New Roman"/>
          <w:sz w:val="24"/>
          <w:szCs w:val="24"/>
        </w:rPr>
        <w:t>(2), e1003523. https://doi.org/10.1371/journal.pmed.1003523</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lastRenderedPageBreak/>
        <w:t xml:space="preserve">Rasmussen A. L. (2020). Vaccination Is the Only Acceptable Path to Herd Immunity. </w:t>
      </w:r>
      <w:r w:rsidRPr="00442FB7">
        <w:rPr>
          <w:rFonts w:ascii="Times New Roman" w:eastAsia="Times New Roman" w:hAnsi="Times New Roman" w:cs="Times New Roman"/>
          <w:i/>
          <w:iCs/>
          <w:sz w:val="24"/>
          <w:szCs w:val="24"/>
        </w:rPr>
        <w:t>Med (New York, N.Y.)</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w:t>
      </w:r>
      <w:r w:rsidRPr="00442FB7">
        <w:rPr>
          <w:rFonts w:ascii="Times New Roman" w:eastAsia="Times New Roman" w:hAnsi="Times New Roman" w:cs="Times New Roman"/>
          <w:sz w:val="24"/>
          <w:szCs w:val="24"/>
        </w:rPr>
        <w:t>(1), 21–23. https://doi.org/10.1016/j.medj.2020.12.004</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Bassey, B. E., </w:t>
      </w:r>
      <w:proofErr w:type="spellStart"/>
      <w:r w:rsidRPr="00442FB7">
        <w:rPr>
          <w:rFonts w:ascii="Times New Roman" w:eastAsia="Times New Roman" w:hAnsi="Times New Roman" w:cs="Times New Roman"/>
          <w:sz w:val="24"/>
          <w:szCs w:val="24"/>
        </w:rPr>
        <w:t>Braka</w:t>
      </w:r>
      <w:proofErr w:type="spellEnd"/>
      <w:r w:rsidRPr="00442FB7">
        <w:rPr>
          <w:rFonts w:ascii="Times New Roman" w:eastAsia="Times New Roman" w:hAnsi="Times New Roman" w:cs="Times New Roman"/>
          <w:sz w:val="24"/>
          <w:szCs w:val="24"/>
        </w:rPr>
        <w:t xml:space="preserve">, F., </w:t>
      </w:r>
      <w:proofErr w:type="spellStart"/>
      <w:r w:rsidRPr="00442FB7">
        <w:rPr>
          <w:rFonts w:ascii="Times New Roman" w:eastAsia="Times New Roman" w:hAnsi="Times New Roman" w:cs="Times New Roman"/>
          <w:sz w:val="24"/>
          <w:szCs w:val="24"/>
        </w:rPr>
        <w:t>Onyibe</w:t>
      </w:r>
      <w:proofErr w:type="spellEnd"/>
      <w:r w:rsidRPr="00442FB7">
        <w:rPr>
          <w:rFonts w:ascii="Times New Roman" w:eastAsia="Times New Roman" w:hAnsi="Times New Roman" w:cs="Times New Roman"/>
          <w:sz w:val="24"/>
          <w:szCs w:val="24"/>
        </w:rPr>
        <w:t xml:space="preserve">, R., </w:t>
      </w:r>
      <w:proofErr w:type="spellStart"/>
      <w:r w:rsidRPr="00442FB7">
        <w:rPr>
          <w:rFonts w:ascii="Times New Roman" w:eastAsia="Times New Roman" w:hAnsi="Times New Roman" w:cs="Times New Roman"/>
          <w:sz w:val="24"/>
          <w:szCs w:val="24"/>
        </w:rPr>
        <w:t>Kolude</w:t>
      </w:r>
      <w:proofErr w:type="spellEnd"/>
      <w:r w:rsidRPr="00442FB7">
        <w:rPr>
          <w:rFonts w:ascii="Times New Roman" w:eastAsia="Times New Roman" w:hAnsi="Times New Roman" w:cs="Times New Roman"/>
          <w:sz w:val="24"/>
          <w:szCs w:val="24"/>
        </w:rPr>
        <w:t xml:space="preserve">, O. O., </w:t>
      </w:r>
      <w:proofErr w:type="spellStart"/>
      <w:r w:rsidRPr="00442FB7">
        <w:rPr>
          <w:rFonts w:ascii="Times New Roman" w:eastAsia="Times New Roman" w:hAnsi="Times New Roman" w:cs="Times New Roman"/>
          <w:sz w:val="24"/>
          <w:szCs w:val="24"/>
        </w:rPr>
        <w:t>Oluwadare</w:t>
      </w:r>
      <w:proofErr w:type="spellEnd"/>
      <w:r w:rsidRPr="00442FB7">
        <w:rPr>
          <w:rFonts w:ascii="Times New Roman" w:eastAsia="Times New Roman" w:hAnsi="Times New Roman" w:cs="Times New Roman"/>
          <w:sz w:val="24"/>
          <w:szCs w:val="24"/>
        </w:rPr>
        <w:t xml:space="preserve">, M., </w:t>
      </w:r>
      <w:proofErr w:type="spellStart"/>
      <w:r w:rsidRPr="00442FB7">
        <w:rPr>
          <w:rFonts w:ascii="Times New Roman" w:eastAsia="Times New Roman" w:hAnsi="Times New Roman" w:cs="Times New Roman"/>
          <w:sz w:val="24"/>
          <w:szCs w:val="24"/>
        </w:rPr>
        <w:t>Oluwabukola</w:t>
      </w:r>
      <w:proofErr w:type="spellEnd"/>
      <w:r w:rsidRPr="00442FB7">
        <w:rPr>
          <w:rFonts w:ascii="Times New Roman" w:eastAsia="Times New Roman" w:hAnsi="Times New Roman" w:cs="Times New Roman"/>
          <w:sz w:val="24"/>
          <w:szCs w:val="24"/>
        </w:rPr>
        <w:t xml:space="preserve">, A., </w:t>
      </w:r>
      <w:proofErr w:type="spellStart"/>
      <w:r w:rsidRPr="00442FB7">
        <w:rPr>
          <w:rFonts w:ascii="Times New Roman" w:eastAsia="Times New Roman" w:hAnsi="Times New Roman" w:cs="Times New Roman"/>
          <w:sz w:val="24"/>
          <w:szCs w:val="24"/>
        </w:rPr>
        <w:t>Omotunde</w:t>
      </w:r>
      <w:proofErr w:type="spellEnd"/>
      <w:r w:rsidRPr="00442FB7">
        <w:rPr>
          <w:rFonts w:ascii="Times New Roman" w:eastAsia="Times New Roman" w:hAnsi="Times New Roman" w:cs="Times New Roman"/>
          <w:sz w:val="24"/>
          <w:szCs w:val="24"/>
        </w:rPr>
        <w:t xml:space="preserve">, O., </w:t>
      </w:r>
      <w:proofErr w:type="spellStart"/>
      <w:r w:rsidRPr="00442FB7">
        <w:rPr>
          <w:rFonts w:ascii="Times New Roman" w:eastAsia="Times New Roman" w:hAnsi="Times New Roman" w:cs="Times New Roman"/>
          <w:sz w:val="24"/>
          <w:szCs w:val="24"/>
        </w:rPr>
        <w:t>Iyanda</w:t>
      </w:r>
      <w:proofErr w:type="spellEnd"/>
      <w:r w:rsidRPr="00442FB7">
        <w:rPr>
          <w:rFonts w:ascii="Times New Roman" w:eastAsia="Times New Roman" w:hAnsi="Times New Roman" w:cs="Times New Roman"/>
          <w:sz w:val="24"/>
          <w:szCs w:val="24"/>
        </w:rPr>
        <w:t xml:space="preserve">, O. A., </w:t>
      </w:r>
      <w:proofErr w:type="spellStart"/>
      <w:r w:rsidRPr="00442FB7">
        <w:rPr>
          <w:rFonts w:ascii="Times New Roman" w:eastAsia="Times New Roman" w:hAnsi="Times New Roman" w:cs="Times New Roman"/>
          <w:sz w:val="24"/>
          <w:szCs w:val="24"/>
        </w:rPr>
        <w:t>Tella</w:t>
      </w:r>
      <w:proofErr w:type="spellEnd"/>
      <w:r w:rsidRPr="00442FB7">
        <w:rPr>
          <w:rFonts w:ascii="Times New Roman" w:eastAsia="Times New Roman" w:hAnsi="Times New Roman" w:cs="Times New Roman"/>
          <w:sz w:val="24"/>
          <w:szCs w:val="24"/>
        </w:rPr>
        <w:t xml:space="preserve">, A. A., &amp; </w:t>
      </w:r>
      <w:proofErr w:type="spellStart"/>
      <w:r w:rsidRPr="00442FB7">
        <w:rPr>
          <w:rFonts w:ascii="Times New Roman" w:eastAsia="Times New Roman" w:hAnsi="Times New Roman" w:cs="Times New Roman"/>
          <w:sz w:val="24"/>
          <w:szCs w:val="24"/>
        </w:rPr>
        <w:t>Olanike</w:t>
      </w:r>
      <w:proofErr w:type="spellEnd"/>
      <w:r w:rsidRPr="00442FB7">
        <w:rPr>
          <w:rFonts w:ascii="Times New Roman" w:eastAsia="Times New Roman" w:hAnsi="Times New Roman" w:cs="Times New Roman"/>
          <w:sz w:val="24"/>
          <w:szCs w:val="24"/>
        </w:rPr>
        <w:t xml:space="preserve">, O. S. (2022). Changing epidemiology of yellow fever virus in Oyo State, Nigeria. </w:t>
      </w:r>
      <w:r w:rsidRPr="00442FB7">
        <w:rPr>
          <w:rFonts w:ascii="Times New Roman" w:eastAsia="Times New Roman" w:hAnsi="Times New Roman" w:cs="Times New Roman"/>
          <w:i/>
          <w:iCs/>
          <w:sz w:val="24"/>
          <w:szCs w:val="24"/>
        </w:rPr>
        <w:t>BMC public health</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22</w:t>
      </w:r>
      <w:r w:rsidRPr="00442FB7">
        <w:rPr>
          <w:rFonts w:ascii="Times New Roman" w:eastAsia="Times New Roman" w:hAnsi="Times New Roman" w:cs="Times New Roman"/>
          <w:sz w:val="24"/>
          <w:szCs w:val="24"/>
        </w:rPr>
        <w:t>(1), 467. https://doi.org/10.1186/s12889-022-12871-0</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Nwaiwu</w:t>
      </w:r>
      <w:proofErr w:type="spellEnd"/>
      <w:r w:rsidRPr="00442FB7">
        <w:rPr>
          <w:rFonts w:ascii="Times New Roman" w:eastAsia="Times New Roman" w:hAnsi="Times New Roman" w:cs="Times New Roman"/>
          <w:sz w:val="24"/>
          <w:szCs w:val="24"/>
        </w:rPr>
        <w:t xml:space="preserve">, A. U., </w:t>
      </w:r>
      <w:proofErr w:type="spellStart"/>
      <w:r w:rsidRPr="00442FB7">
        <w:rPr>
          <w:rFonts w:ascii="Times New Roman" w:eastAsia="Times New Roman" w:hAnsi="Times New Roman" w:cs="Times New Roman"/>
          <w:sz w:val="24"/>
          <w:szCs w:val="24"/>
        </w:rPr>
        <w:t>Musekiwa</w:t>
      </w:r>
      <w:proofErr w:type="spellEnd"/>
      <w:r w:rsidRPr="00442FB7">
        <w:rPr>
          <w:rFonts w:ascii="Times New Roman" w:eastAsia="Times New Roman" w:hAnsi="Times New Roman" w:cs="Times New Roman"/>
          <w:sz w:val="24"/>
          <w:szCs w:val="24"/>
        </w:rPr>
        <w:t xml:space="preserve">, A., </w:t>
      </w:r>
      <w:proofErr w:type="spellStart"/>
      <w:r w:rsidRPr="00442FB7">
        <w:rPr>
          <w:rFonts w:ascii="Times New Roman" w:eastAsia="Times New Roman" w:hAnsi="Times New Roman" w:cs="Times New Roman"/>
          <w:sz w:val="24"/>
          <w:szCs w:val="24"/>
        </w:rPr>
        <w:t>Tamuzi</w:t>
      </w:r>
      <w:proofErr w:type="spellEnd"/>
      <w:r w:rsidRPr="00442FB7">
        <w:rPr>
          <w:rFonts w:ascii="Times New Roman" w:eastAsia="Times New Roman" w:hAnsi="Times New Roman" w:cs="Times New Roman"/>
          <w:sz w:val="24"/>
          <w:szCs w:val="24"/>
        </w:rPr>
        <w:t xml:space="preserve">, J. L., </w:t>
      </w:r>
      <w:proofErr w:type="spellStart"/>
      <w:r w:rsidRPr="00442FB7">
        <w:rPr>
          <w:rFonts w:ascii="Times New Roman" w:eastAsia="Times New Roman" w:hAnsi="Times New Roman" w:cs="Times New Roman"/>
          <w:sz w:val="24"/>
          <w:szCs w:val="24"/>
        </w:rPr>
        <w:t>Sambala</w:t>
      </w:r>
      <w:proofErr w:type="spellEnd"/>
      <w:r w:rsidRPr="00442FB7">
        <w:rPr>
          <w:rFonts w:ascii="Times New Roman" w:eastAsia="Times New Roman" w:hAnsi="Times New Roman" w:cs="Times New Roman"/>
          <w:sz w:val="24"/>
          <w:szCs w:val="24"/>
        </w:rPr>
        <w:t xml:space="preserve">, E. Z., &amp; </w:t>
      </w:r>
      <w:proofErr w:type="spellStart"/>
      <w:r w:rsidRPr="00442FB7">
        <w:rPr>
          <w:rFonts w:ascii="Times New Roman" w:eastAsia="Times New Roman" w:hAnsi="Times New Roman" w:cs="Times New Roman"/>
          <w:sz w:val="24"/>
          <w:szCs w:val="24"/>
        </w:rPr>
        <w:t>Nyasulu</w:t>
      </w:r>
      <w:proofErr w:type="spellEnd"/>
      <w:r w:rsidRPr="00442FB7">
        <w:rPr>
          <w:rFonts w:ascii="Times New Roman" w:eastAsia="Times New Roman" w:hAnsi="Times New Roman" w:cs="Times New Roman"/>
          <w:sz w:val="24"/>
          <w:szCs w:val="24"/>
        </w:rPr>
        <w:t xml:space="preserve">, P. S. (2021). The incidence and mortality of yellow fever in Africa: a systematic review and meta-analysis. </w:t>
      </w:r>
      <w:r w:rsidRPr="00442FB7">
        <w:rPr>
          <w:rFonts w:ascii="Times New Roman" w:eastAsia="Times New Roman" w:hAnsi="Times New Roman" w:cs="Times New Roman"/>
          <w:i/>
          <w:iCs/>
          <w:sz w:val="24"/>
          <w:szCs w:val="24"/>
        </w:rPr>
        <w:t>BMC infectious diseases</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21</w:t>
      </w:r>
      <w:r w:rsidRPr="00442FB7">
        <w:rPr>
          <w:rFonts w:ascii="Times New Roman" w:eastAsia="Times New Roman" w:hAnsi="Times New Roman" w:cs="Times New Roman"/>
          <w:sz w:val="24"/>
          <w:szCs w:val="24"/>
        </w:rPr>
        <w:t>(1), 1089. https://doi.org/10.1186/s12879-021-06728-x</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Lamot</w:t>
      </w:r>
      <w:proofErr w:type="spellEnd"/>
      <w:r w:rsidRPr="00442FB7">
        <w:rPr>
          <w:rFonts w:ascii="Times New Roman" w:eastAsia="Times New Roman" w:hAnsi="Times New Roman" w:cs="Times New Roman"/>
          <w:sz w:val="24"/>
          <w:szCs w:val="24"/>
        </w:rPr>
        <w:t xml:space="preserve">, M., &amp; </w:t>
      </w:r>
      <w:proofErr w:type="spellStart"/>
      <w:r w:rsidRPr="00442FB7">
        <w:rPr>
          <w:rFonts w:ascii="Times New Roman" w:eastAsia="Times New Roman" w:hAnsi="Times New Roman" w:cs="Times New Roman"/>
          <w:sz w:val="24"/>
          <w:szCs w:val="24"/>
        </w:rPr>
        <w:t>Kirbiš</w:t>
      </w:r>
      <w:proofErr w:type="spellEnd"/>
      <w:r w:rsidRPr="00442FB7">
        <w:rPr>
          <w:rFonts w:ascii="Times New Roman" w:eastAsia="Times New Roman" w:hAnsi="Times New Roman" w:cs="Times New Roman"/>
          <w:sz w:val="24"/>
          <w:szCs w:val="24"/>
        </w:rPr>
        <w:t xml:space="preserve">, A. (2024). Understanding Vaccine Hesitancy: A Comparison of Sociodemographic and Socioeconomic Predictors with Health Literacy Dimensions. </w:t>
      </w:r>
      <w:r w:rsidRPr="00442FB7">
        <w:rPr>
          <w:rFonts w:ascii="Times New Roman" w:eastAsia="Times New Roman" w:hAnsi="Times New Roman" w:cs="Times New Roman"/>
          <w:i/>
          <w:iCs/>
          <w:sz w:val="24"/>
          <w:szCs w:val="24"/>
        </w:rPr>
        <w:t>Vaccines</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12</w:t>
      </w:r>
      <w:r w:rsidRPr="00442FB7">
        <w:rPr>
          <w:rFonts w:ascii="Times New Roman" w:eastAsia="Times New Roman" w:hAnsi="Times New Roman" w:cs="Times New Roman"/>
          <w:sz w:val="24"/>
          <w:szCs w:val="24"/>
        </w:rPr>
        <w:t>(10), 1141. https://doi.org/10.3390/vaccines12101141</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Etowa</w:t>
      </w:r>
      <w:proofErr w:type="spellEnd"/>
      <w:r w:rsidRPr="00442FB7">
        <w:rPr>
          <w:rFonts w:ascii="Times New Roman" w:eastAsia="Times New Roman" w:hAnsi="Times New Roman" w:cs="Times New Roman"/>
          <w:sz w:val="24"/>
          <w:szCs w:val="24"/>
        </w:rPr>
        <w:t xml:space="preserve">, J., Beauchamp, S., </w:t>
      </w:r>
      <w:proofErr w:type="spellStart"/>
      <w:r w:rsidRPr="00442FB7">
        <w:rPr>
          <w:rFonts w:ascii="Times New Roman" w:eastAsia="Times New Roman" w:hAnsi="Times New Roman" w:cs="Times New Roman"/>
          <w:sz w:val="24"/>
          <w:szCs w:val="24"/>
        </w:rPr>
        <w:t>Fseifes</w:t>
      </w:r>
      <w:proofErr w:type="spellEnd"/>
      <w:r w:rsidRPr="00442FB7">
        <w:rPr>
          <w:rFonts w:ascii="Times New Roman" w:eastAsia="Times New Roman" w:hAnsi="Times New Roman" w:cs="Times New Roman"/>
          <w:sz w:val="24"/>
          <w:szCs w:val="24"/>
        </w:rPr>
        <w:t xml:space="preserve">, M., </w:t>
      </w:r>
      <w:proofErr w:type="spellStart"/>
      <w:r w:rsidRPr="00442FB7">
        <w:rPr>
          <w:rFonts w:ascii="Times New Roman" w:eastAsia="Times New Roman" w:hAnsi="Times New Roman" w:cs="Times New Roman"/>
          <w:sz w:val="24"/>
          <w:szCs w:val="24"/>
        </w:rPr>
        <w:t>Osandatuwa</w:t>
      </w:r>
      <w:proofErr w:type="spellEnd"/>
      <w:r w:rsidRPr="00442FB7">
        <w:rPr>
          <w:rFonts w:ascii="Times New Roman" w:eastAsia="Times New Roman" w:hAnsi="Times New Roman" w:cs="Times New Roman"/>
          <w:sz w:val="24"/>
          <w:szCs w:val="24"/>
        </w:rPr>
        <w:t>, G., Brenneman, P., Salam-</w:t>
      </w:r>
      <w:proofErr w:type="spellStart"/>
      <w:r w:rsidRPr="00442FB7">
        <w:rPr>
          <w:rFonts w:ascii="Times New Roman" w:eastAsia="Times New Roman" w:hAnsi="Times New Roman" w:cs="Times New Roman"/>
          <w:sz w:val="24"/>
          <w:szCs w:val="24"/>
        </w:rPr>
        <w:t>Alada</w:t>
      </w:r>
      <w:proofErr w:type="spellEnd"/>
      <w:r w:rsidRPr="00442FB7">
        <w:rPr>
          <w:rFonts w:ascii="Times New Roman" w:eastAsia="Times New Roman" w:hAnsi="Times New Roman" w:cs="Times New Roman"/>
          <w:sz w:val="24"/>
          <w:szCs w:val="24"/>
        </w:rPr>
        <w:t xml:space="preserve">, K., </w:t>
      </w:r>
      <w:proofErr w:type="spellStart"/>
      <w:r w:rsidRPr="00442FB7">
        <w:rPr>
          <w:rFonts w:ascii="Times New Roman" w:eastAsia="Times New Roman" w:hAnsi="Times New Roman" w:cs="Times New Roman"/>
          <w:sz w:val="24"/>
          <w:szCs w:val="24"/>
        </w:rPr>
        <w:t>Sulaiman</w:t>
      </w:r>
      <w:proofErr w:type="spellEnd"/>
      <w:r w:rsidRPr="00442FB7">
        <w:rPr>
          <w:rFonts w:ascii="Times New Roman" w:eastAsia="Times New Roman" w:hAnsi="Times New Roman" w:cs="Times New Roman"/>
          <w:sz w:val="24"/>
          <w:szCs w:val="24"/>
        </w:rPr>
        <w:t xml:space="preserve">, R., </w:t>
      </w:r>
      <w:proofErr w:type="spellStart"/>
      <w:r w:rsidRPr="00442FB7">
        <w:rPr>
          <w:rFonts w:ascii="Times New Roman" w:eastAsia="Times New Roman" w:hAnsi="Times New Roman" w:cs="Times New Roman"/>
          <w:sz w:val="24"/>
          <w:szCs w:val="24"/>
        </w:rPr>
        <w:t>Okolie</w:t>
      </w:r>
      <w:proofErr w:type="spellEnd"/>
      <w:r w:rsidRPr="00442FB7">
        <w:rPr>
          <w:rFonts w:ascii="Times New Roman" w:eastAsia="Times New Roman" w:hAnsi="Times New Roman" w:cs="Times New Roman"/>
          <w:sz w:val="24"/>
          <w:szCs w:val="24"/>
        </w:rPr>
        <w:t xml:space="preserve">, E., </w:t>
      </w:r>
      <w:proofErr w:type="spellStart"/>
      <w:r w:rsidRPr="00442FB7">
        <w:rPr>
          <w:rFonts w:ascii="Times New Roman" w:eastAsia="Times New Roman" w:hAnsi="Times New Roman" w:cs="Times New Roman"/>
          <w:sz w:val="24"/>
          <w:szCs w:val="24"/>
        </w:rPr>
        <w:t>Dinneh</w:t>
      </w:r>
      <w:proofErr w:type="spellEnd"/>
      <w:r w:rsidRPr="00442FB7">
        <w:rPr>
          <w:rFonts w:ascii="Times New Roman" w:eastAsia="Times New Roman" w:hAnsi="Times New Roman" w:cs="Times New Roman"/>
          <w:sz w:val="24"/>
          <w:szCs w:val="24"/>
        </w:rPr>
        <w:t xml:space="preserve">, I., </w:t>
      </w:r>
      <w:proofErr w:type="spellStart"/>
      <w:r w:rsidRPr="00442FB7">
        <w:rPr>
          <w:rFonts w:ascii="Times New Roman" w:eastAsia="Times New Roman" w:hAnsi="Times New Roman" w:cs="Times New Roman"/>
          <w:sz w:val="24"/>
          <w:szCs w:val="24"/>
        </w:rPr>
        <w:t>Julmisse</w:t>
      </w:r>
      <w:proofErr w:type="spellEnd"/>
      <w:r w:rsidRPr="00442FB7">
        <w:rPr>
          <w:rFonts w:ascii="Times New Roman" w:eastAsia="Times New Roman" w:hAnsi="Times New Roman" w:cs="Times New Roman"/>
          <w:sz w:val="24"/>
          <w:szCs w:val="24"/>
        </w:rPr>
        <w:t xml:space="preserve">, S., &amp; Cole, V. (2024). Understanding Low Vaccine Uptake in the Context of Public Health in High-Income Countries: A Scoping Review. </w:t>
      </w:r>
      <w:r w:rsidRPr="00442FB7">
        <w:rPr>
          <w:rFonts w:ascii="Times New Roman" w:eastAsia="Times New Roman" w:hAnsi="Times New Roman" w:cs="Times New Roman"/>
          <w:i/>
          <w:iCs/>
          <w:sz w:val="24"/>
          <w:szCs w:val="24"/>
        </w:rPr>
        <w:t>Vaccines</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12</w:t>
      </w:r>
      <w:r w:rsidRPr="00442FB7">
        <w:rPr>
          <w:rFonts w:ascii="Times New Roman" w:eastAsia="Times New Roman" w:hAnsi="Times New Roman" w:cs="Times New Roman"/>
          <w:sz w:val="24"/>
          <w:szCs w:val="24"/>
        </w:rPr>
        <w:t>(3), 269. https://doi.org/10.3390/vaccines12030269</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Pugliese-Garcia, M., Heyerdahl, L. W., Mwamba, C., </w:t>
      </w:r>
      <w:proofErr w:type="spellStart"/>
      <w:r w:rsidRPr="00442FB7">
        <w:rPr>
          <w:rFonts w:ascii="Times New Roman" w:eastAsia="Times New Roman" w:hAnsi="Times New Roman" w:cs="Times New Roman"/>
          <w:sz w:val="24"/>
          <w:szCs w:val="24"/>
        </w:rPr>
        <w:t>Nkwemu</w:t>
      </w:r>
      <w:proofErr w:type="spellEnd"/>
      <w:r w:rsidRPr="00442FB7">
        <w:rPr>
          <w:rFonts w:ascii="Times New Roman" w:eastAsia="Times New Roman" w:hAnsi="Times New Roman" w:cs="Times New Roman"/>
          <w:sz w:val="24"/>
          <w:szCs w:val="24"/>
        </w:rPr>
        <w:t xml:space="preserve">, S., </w:t>
      </w:r>
      <w:proofErr w:type="spellStart"/>
      <w:r w:rsidRPr="00442FB7">
        <w:rPr>
          <w:rFonts w:ascii="Times New Roman" w:eastAsia="Times New Roman" w:hAnsi="Times New Roman" w:cs="Times New Roman"/>
          <w:sz w:val="24"/>
          <w:szCs w:val="24"/>
        </w:rPr>
        <w:t>Chilengi</w:t>
      </w:r>
      <w:proofErr w:type="spellEnd"/>
      <w:r w:rsidRPr="00442FB7">
        <w:rPr>
          <w:rFonts w:ascii="Times New Roman" w:eastAsia="Times New Roman" w:hAnsi="Times New Roman" w:cs="Times New Roman"/>
          <w:sz w:val="24"/>
          <w:szCs w:val="24"/>
        </w:rPr>
        <w:t xml:space="preserve">, R., </w:t>
      </w:r>
      <w:proofErr w:type="spellStart"/>
      <w:r w:rsidRPr="00442FB7">
        <w:rPr>
          <w:rFonts w:ascii="Times New Roman" w:eastAsia="Times New Roman" w:hAnsi="Times New Roman" w:cs="Times New Roman"/>
          <w:sz w:val="24"/>
          <w:szCs w:val="24"/>
        </w:rPr>
        <w:t>Demolis</w:t>
      </w:r>
      <w:proofErr w:type="spellEnd"/>
      <w:r w:rsidRPr="00442FB7">
        <w:rPr>
          <w:rFonts w:ascii="Times New Roman" w:eastAsia="Times New Roman" w:hAnsi="Times New Roman" w:cs="Times New Roman"/>
          <w:sz w:val="24"/>
          <w:szCs w:val="24"/>
        </w:rPr>
        <w:t xml:space="preserve">, R., </w:t>
      </w:r>
      <w:proofErr w:type="spellStart"/>
      <w:r w:rsidRPr="00442FB7">
        <w:rPr>
          <w:rFonts w:ascii="Times New Roman" w:eastAsia="Times New Roman" w:hAnsi="Times New Roman" w:cs="Times New Roman"/>
          <w:sz w:val="24"/>
          <w:szCs w:val="24"/>
        </w:rPr>
        <w:t>Guillermet</w:t>
      </w:r>
      <w:proofErr w:type="spellEnd"/>
      <w:r w:rsidRPr="00442FB7">
        <w:rPr>
          <w:rFonts w:ascii="Times New Roman" w:eastAsia="Times New Roman" w:hAnsi="Times New Roman" w:cs="Times New Roman"/>
          <w:sz w:val="24"/>
          <w:szCs w:val="24"/>
        </w:rPr>
        <w:t xml:space="preserve">, E., &amp; Sharma, A. (2018). Factors influencing vaccine acceptance and hesitancy in three informal settlements in Lusaka, Zambia. </w:t>
      </w:r>
      <w:r w:rsidRPr="00442FB7">
        <w:rPr>
          <w:rFonts w:ascii="Times New Roman" w:eastAsia="Times New Roman" w:hAnsi="Times New Roman" w:cs="Times New Roman"/>
          <w:i/>
          <w:iCs/>
          <w:sz w:val="24"/>
          <w:szCs w:val="24"/>
        </w:rPr>
        <w:t>Vaccine</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36</w:t>
      </w:r>
      <w:r w:rsidRPr="00442FB7">
        <w:rPr>
          <w:rFonts w:ascii="Times New Roman" w:eastAsia="Times New Roman" w:hAnsi="Times New Roman" w:cs="Times New Roman"/>
          <w:sz w:val="24"/>
          <w:szCs w:val="24"/>
        </w:rPr>
        <w:t>(37), 5617–5624. https://doi.org/10.1016/j.vaccine.2018.07.042</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Freeman, R. E., Leary, C. S., Graham, J. M., Albers, A. N., </w:t>
      </w:r>
      <w:proofErr w:type="spellStart"/>
      <w:r w:rsidRPr="00442FB7">
        <w:rPr>
          <w:rFonts w:ascii="Times New Roman" w:eastAsia="Times New Roman" w:hAnsi="Times New Roman" w:cs="Times New Roman"/>
          <w:sz w:val="24"/>
          <w:szCs w:val="24"/>
        </w:rPr>
        <w:t>Wehner</w:t>
      </w:r>
      <w:proofErr w:type="spellEnd"/>
      <w:r w:rsidRPr="00442FB7">
        <w:rPr>
          <w:rFonts w:ascii="Times New Roman" w:eastAsia="Times New Roman" w:hAnsi="Times New Roman" w:cs="Times New Roman"/>
          <w:sz w:val="24"/>
          <w:szCs w:val="24"/>
        </w:rPr>
        <w:t xml:space="preserve">, B. K., Daley, M. F., &amp; Newcomer, S. R. (2023). Geographic proximity to immunization providers and vaccine series completion among children ages 0-24 months. </w:t>
      </w:r>
      <w:r w:rsidRPr="00442FB7">
        <w:rPr>
          <w:rFonts w:ascii="Times New Roman" w:eastAsia="Times New Roman" w:hAnsi="Times New Roman" w:cs="Times New Roman"/>
          <w:i/>
          <w:iCs/>
          <w:sz w:val="24"/>
          <w:szCs w:val="24"/>
        </w:rPr>
        <w:t>Vaccine</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41</w:t>
      </w:r>
      <w:r w:rsidRPr="00442FB7">
        <w:rPr>
          <w:rFonts w:ascii="Times New Roman" w:eastAsia="Times New Roman" w:hAnsi="Times New Roman" w:cs="Times New Roman"/>
          <w:sz w:val="24"/>
          <w:szCs w:val="24"/>
        </w:rPr>
        <w:t>(17), 2773–2780. https://doi.org/10.1016/j.vaccine.2023.03.025</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Albers, A. N., </w:t>
      </w:r>
      <w:proofErr w:type="spellStart"/>
      <w:r w:rsidRPr="00442FB7">
        <w:rPr>
          <w:rFonts w:ascii="Times New Roman" w:eastAsia="Times New Roman" w:hAnsi="Times New Roman" w:cs="Times New Roman"/>
          <w:sz w:val="24"/>
          <w:szCs w:val="24"/>
        </w:rPr>
        <w:t>Thaker</w:t>
      </w:r>
      <w:proofErr w:type="spellEnd"/>
      <w:r w:rsidRPr="00442FB7">
        <w:rPr>
          <w:rFonts w:ascii="Times New Roman" w:eastAsia="Times New Roman" w:hAnsi="Times New Roman" w:cs="Times New Roman"/>
          <w:sz w:val="24"/>
          <w:szCs w:val="24"/>
        </w:rPr>
        <w:t xml:space="preserve">, J., &amp; Newcomer, S. R. (2022). Barriers to and facilitators of early childhood immunization in rural areas of the United States: A systematic review of the literature. </w:t>
      </w:r>
      <w:r w:rsidRPr="00442FB7">
        <w:rPr>
          <w:rFonts w:ascii="Times New Roman" w:eastAsia="Times New Roman" w:hAnsi="Times New Roman" w:cs="Times New Roman"/>
          <w:i/>
          <w:iCs/>
          <w:sz w:val="24"/>
          <w:szCs w:val="24"/>
        </w:rPr>
        <w:t>Preventive medicine reports</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27</w:t>
      </w:r>
      <w:r w:rsidRPr="00442FB7">
        <w:rPr>
          <w:rFonts w:ascii="Times New Roman" w:eastAsia="Times New Roman" w:hAnsi="Times New Roman" w:cs="Times New Roman"/>
          <w:sz w:val="24"/>
          <w:szCs w:val="24"/>
        </w:rPr>
        <w:t>, 101804. https://doi.org/10.1016/j.pmedr.2022.101804</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Uğrak</w:t>
      </w:r>
      <w:proofErr w:type="spellEnd"/>
      <w:r w:rsidRPr="00442FB7">
        <w:rPr>
          <w:rFonts w:ascii="Times New Roman" w:eastAsia="Times New Roman" w:hAnsi="Times New Roman" w:cs="Times New Roman"/>
          <w:sz w:val="24"/>
          <w:szCs w:val="24"/>
        </w:rPr>
        <w:t xml:space="preserve">, U., </w:t>
      </w:r>
      <w:proofErr w:type="spellStart"/>
      <w:r w:rsidRPr="00442FB7">
        <w:rPr>
          <w:rFonts w:ascii="Times New Roman" w:eastAsia="Times New Roman" w:hAnsi="Times New Roman" w:cs="Times New Roman"/>
          <w:sz w:val="24"/>
          <w:szCs w:val="24"/>
        </w:rPr>
        <w:t>Aksungur</w:t>
      </w:r>
      <w:proofErr w:type="spellEnd"/>
      <w:r w:rsidRPr="00442FB7">
        <w:rPr>
          <w:rFonts w:ascii="Times New Roman" w:eastAsia="Times New Roman" w:hAnsi="Times New Roman" w:cs="Times New Roman"/>
          <w:sz w:val="24"/>
          <w:szCs w:val="24"/>
        </w:rPr>
        <w:t xml:space="preserve">, A., </w:t>
      </w:r>
      <w:proofErr w:type="spellStart"/>
      <w:r w:rsidRPr="00442FB7">
        <w:rPr>
          <w:rFonts w:ascii="Times New Roman" w:eastAsia="Times New Roman" w:hAnsi="Times New Roman" w:cs="Times New Roman"/>
          <w:sz w:val="24"/>
          <w:szCs w:val="24"/>
        </w:rPr>
        <w:t>Akyüz</w:t>
      </w:r>
      <w:proofErr w:type="spellEnd"/>
      <w:r w:rsidRPr="00442FB7">
        <w:rPr>
          <w:rFonts w:ascii="Times New Roman" w:eastAsia="Times New Roman" w:hAnsi="Times New Roman" w:cs="Times New Roman"/>
          <w:sz w:val="24"/>
          <w:szCs w:val="24"/>
        </w:rPr>
        <w:t xml:space="preserve">, S., </w:t>
      </w:r>
      <w:proofErr w:type="spellStart"/>
      <w:r w:rsidRPr="00442FB7">
        <w:rPr>
          <w:rFonts w:ascii="Times New Roman" w:eastAsia="Times New Roman" w:hAnsi="Times New Roman" w:cs="Times New Roman"/>
          <w:sz w:val="24"/>
          <w:szCs w:val="24"/>
        </w:rPr>
        <w:t>Şen</w:t>
      </w:r>
      <w:proofErr w:type="spellEnd"/>
      <w:r w:rsidRPr="00442FB7">
        <w:rPr>
          <w:rFonts w:ascii="Times New Roman" w:eastAsia="Times New Roman" w:hAnsi="Times New Roman" w:cs="Times New Roman"/>
          <w:sz w:val="24"/>
          <w:szCs w:val="24"/>
        </w:rPr>
        <w:t xml:space="preserve">, H., &amp; </w:t>
      </w:r>
      <w:proofErr w:type="spellStart"/>
      <w:r w:rsidRPr="00442FB7">
        <w:rPr>
          <w:rFonts w:ascii="Times New Roman" w:eastAsia="Times New Roman" w:hAnsi="Times New Roman" w:cs="Times New Roman"/>
          <w:sz w:val="24"/>
          <w:szCs w:val="24"/>
        </w:rPr>
        <w:t>Seyhan</w:t>
      </w:r>
      <w:proofErr w:type="spellEnd"/>
      <w:r w:rsidRPr="00442FB7">
        <w:rPr>
          <w:rFonts w:ascii="Times New Roman" w:eastAsia="Times New Roman" w:hAnsi="Times New Roman" w:cs="Times New Roman"/>
          <w:sz w:val="24"/>
          <w:szCs w:val="24"/>
        </w:rPr>
        <w:t xml:space="preserve">, F. (2025). Understanding the rise of vaccine refusal: perceptions, fears, and influences. </w:t>
      </w:r>
      <w:r w:rsidRPr="00442FB7">
        <w:rPr>
          <w:rFonts w:ascii="Times New Roman" w:eastAsia="Times New Roman" w:hAnsi="Times New Roman" w:cs="Times New Roman"/>
          <w:i/>
          <w:iCs/>
          <w:sz w:val="24"/>
          <w:szCs w:val="24"/>
        </w:rPr>
        <w:t>BMC public health</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25</w:t>
      </w:r>
      <w:r w:rsidRPr="00442FB7">
        <w:rPr>
          <w:rFonts w:ascii="Times New Roman" w:eastAsia="Times New Roman" w:hAnsi="Times New Roman" w:cs="Times New Roman"/>
          <w:sz w:val="24"/>
          <w:szCs w:val="24"/>
        </w:rPr>
        <w:t>(1), 2574. https://doi.org/10.1186/s12889-025-23754-5</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442FB7">
        <w:rPr>
          <w:rFonts w:ascii="Times New Roman" w:eastAsia="Times New Roman" w:hAnsi="Times New Roman" w:cs="Times New Roman"/>
          <w:sz w:val="24"/>
          <w:szCs w:val="24"/>
        </w:rPr>
        <w:t xml:space="preserve">Brumbaugh, K. Q., Gellert, F., &amp; </w:t>
      </w:r>
      <w:proofErr w:type="spellStart"/>
      <w:r w:rsidRPr="00442FB7">
        <w:rPr>
          <w:rFonts w:ascii="Times New Roman" w:eastAsia="Times New Roman" w:hAnsi="Times New Roman" w:cs="Times New Roman"/>
          <w:sz w:val="24"/>
          <w:szCs w:val="24"/>
        </w:rPr>
        <w:t>Mokdad</w:t>
      </w:r>
      <w:proofErr w:type="spellEnd"/>
      <w:r w:rsidRPr="00442FB7">
        <w:rPr>
          <w:rFonts w:ascii="Times New Roman" w:eastAsia="Times New Roman" w:hAnsi="Times New Roman" w:cs="Times New Roman"/>
          <w:sz w:val="24"/>
          <w:szCs w:val="24"/>
        </w:rPr>
        <w:t xml:space="preserve">, A. H. (2025). Understanding Vaccine Hesitancy: Insights and Improvement Strategies Drawn from a Multi-Study Review. </w:t>
      </w:r>
      <w:r w:rsidRPr="00442FB7">
        <w:rPr>
          <w:rFonts w:ascii="Times New Roman" w:eastAsia="Times New Roman" w:hAnsi="Times New Roman" w:cs="Times New Roman"/>
          <w:i/>
          <w:iCs/>
          <w:sz w:val="24"/>
          <w:szCs w:val="24"/>
        </w:rPr>
        <w:t>Vaccines</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13</w:t>
      </w:r>
      <w:r w:rsidRPr="00442FB7">
        <w:rPr>
          <w:rFonts w:ascii="Times New Roman" w:eastAsia="Times New Roman" w:hAnsi="Times New Roman" w:cs="Times New Roman"/>
          <w:sz w:val="24"/>
          <w:szCs w:val="24"/>
        </w:rPr>
        <w:t>(10), 1003. https://doi.org/10.3390/vaccines13101003</w:t>
      </w:r>
    </w:p>
    <w:p w:rsidR="00655A23" w:rsidRPr="00442FB7"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Nalwanga</w:t>
      </w:r>
      <w:proofErr w:type="spellEnd"/>
      <w:r w:rsidRPr="00442FB7">
        <w:rPr>
          <w:rFonts w:ascii="Times New Roman" w:eastAsia="Times New Roman" w:hAnsi="Times New Roman" w:cs="Times New Roman"/>
          <w:sz w:val="24"/>
          <w:szCs w:val="24"/>
        </w:rPr>
        <w:t xml:space="preserve">, R., </w:t>
      </w:r>
      <w:proofErr w:type="spellStart"/>
      <w:r w:rsidRPr="00442FB7">
        <w:rPr>
          <w:rFonts w:ascii="Times New Roman" w:eastAsia="Times New Roman" w:hAnsi="Times New Roman" w:cs="Times New Roman"/>
          <w:sz w:val="24"/>
          <w:szCs w:val="24"/>
        </w:rPr>
        <w:t>Natukunda</w:t>
      </w:r>
      <w:proofErr w:type="spellEnd"/>
      <w:r w:rsidRPr="00442FB7">
        <w:rPr>
          <w:rFonts w:ascii="Times New Roman" w:eastAsia="Times New Roman" w:hAnsi="Times New Roman" w:cs="Times New Roman"/>
          <w:sz w:val="24"/>
          <w:szCs w:val="24"/>
        </w:rPr>
        <w:t xml:space="preserve">, A., </w:t>
      </w:r>
      <w:proofErr w:type="spellStart"/>
      <w:r w:rsidRPr="00442FB7">
        <w:rPr>
          <w:rFonts w:ascii="Times New Roman" w:eastAsia="Times New Roman" w:hAnsi="Times New Roman" w:cs="Times New Roman"/>
          <w:sz w:val="24"/>
          <w:szCs w:val="24"/>
        </w:rPr>
        <w:t>Zirimenya</w:t>
      </w:r>
      <w:proofErr w:type="spellEnd"/>
      <w:r w:rsidRPr="00442FB7">
        <w:rPr>
          <w:rFonts w:ascii="Times New Roman" w:eastAsia="Times New Roman" w:hAnsi="Times New Roman" w:cs="Times New Roman"/>
          <w:sz w:val="24"/>
          <w:szCs w:val="24"/>
        </w:rPr>
        <w:t xml:space="preserve">, L., Chi, P., </w:t>
      </w:r>
      <w:proofErr w:type="spellStart"/>
      <w:r w:rsidRPr="00442FB7">
        <w:rPr>
          <w:rFonts w:ascii="Times New Roman" w:eastAsia="Times New Roman" w:hAnsi="Times New Roman" w:cs="Times New Roman"/>
          <w:sz w:val="24"/>
          <w:szCs w:val="24"/>
        </w:rPr>
        <w:t>Luzze</w:t>
      </w:r>
      <w:proofErr w:type="spellEnd"/>
      <w:r w:rsidRPr="00442FB7">
        <w:rPr>
          <w:rFonts w:ascii="Times New Roman" w:eastAsia="Times New Roman" w:hAnsi="Times New Roman" w:cs="Times New Roman"/>
          <w:sz w:val="24"/>
          <w:szCs w:val="24"/>
        </w:rPr>
        <w:t xml:space="preserve">, H., Elliott, A. M., </w:t>
      </w:r>
      <w:proofErr w:type="spellStart"/>
      <w:r w:rsidRPr="00442FB7">
        <w:rPr>
          <w:rFonts w:ascii="Times New Roman" w:eastAsia="Times New Roman" w:hAnsi="Times New Roman" w:cs="Times New Roman"/>
          <w:sz w:val="24"/>
          <w:szCs w:val="24"/>
        </w:rPr>
        <w:t>Kaleebu</w:t>
      </w:r>
      <w:proofErr w:type="spellEnd"/>
      <w:r w:rsidRPr="00442FB7">
        <w:rPr>
          <w:rFonts w:ascii="Times New Roman" w:eastAsia="Times New Roman" w:hAnsi="Times New Roman" w:cs="Times New Roman"/>
          <w:sz w:val="24"/>
          <w:szCs w:val="24"/>
        </w:rPr>
        <w:t xml:space="preserve">, P., Trotter, C. L., &amp; Webb, E. L. (2025). Mapping Community Vulnerability to reduced Vaccine Impact in Uganda and Kenya: A spatial Data-driven Approach. </w:t>
      </w:r>
      <w:r w:rsidRPr="00442FB7">
        <w:rPr>
          <w:rFonts w:ascii="Times New Roman" w:eastAsia="Times New Roman" w:hAnsi="Times New Roman" w:cs="Times New Roman"/>
          <w:i/>
          <w:iCs/>
          <w:sz w:val="24"/>
          <w:szCs w:val="24"/>
        </w:rPr>
        <w:t>NIHR open research</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5</w:t>
      </w:r>
      <w:r w:rsidRPr="00442FB7">
        <w:rPr>
          <w:rFonts w:ascii="Times New Roman" w:eastAsia="Times New Roman" w:hAnsi="Times New Roman" w:cs="Times New Roman"/>
          <w:sz w:val="24"/>
          <w:szCs w:val="24"/>
        </w:rPr>
        <w:t>, 24. https://doi.org/10.3310/nihropenres.13898.3</w:t>
      </w:r>
    </w:p>
    <w:p w:rsidR="00655A23"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442FB7">
        <w:rPr>
          <w:rFonts w:ascii="Times New Roman" w:eastAsia="Times New Roman" w:hAnsi="Times New Roman" w:cs="Times New Roman"/>
          <w:sz w:val="24"/>
          <w:szCs w:val="24"/>
        </w:rPr>
        <w:t>Sacre</w:t>
      </w:r>
      <w:proofErr w:type="spellEnd"/>
      <w:r w:rsidRPr="00442FB7">
        <w:rPr>
          <w:rFonts w:ascii="Times New Roman" w:eastAsia="Times New Roman" w:hAnsi="Times New Roman" w:cs="Times New Roman"/>
          <w:sz w:val="24"/>
          <w:szCs w:val="24"/>
        </w:rPr>
        <w:t xml:space="preserve">, A., </w:t>
      </w:r>
      <w:proofErr w:type="spellStart"/>
      <w:r w:rsidRPr="00442FB7">
        <w:rPr>
          <w:rFonts w:ascii="Times New Roman" w:eastAsia="Times New Roman" w:hAnsi="Times New Roman" w:cs="Times New Roman"/>
          <w:sz w:val="24"/>
          <w:szCs w:val="24"/>
        </w:rPr>
        <w:t>Bambra</w:t>
      </w:r>
      <w:proofErr w:type="spellEnd"/>
      <w:r w:rsidRPr="00442FB7">
        <w:rPr>
          <w:rFonts w:ascii="Times New Roman" w:eastAsia="Times New Roman" w:hAnsi="Times New Roman" w:cs="Times New Roman"/>
          <w:sz w:val="24"/>
          <w:szCs w:val="24"/>
        </w:rPr>
        <w:t xml:space="preserve">, C., Wildman, J. M., Thomson, K., Bennett, N., Sowden, S., &amp; Todd, A. (2023). Socioeconomic inequalities in vaccine uptake: A global umbrella review. </w:t>
      </w:r>
      <w:proofErr w:type="spellStart"/>
      <w:r w:rsidRPr="00442FB7">
        <w:rPr>
          <w:rFonts w:ascii="Times New Roman" w:eastAsia="Times New Roman" w:hAnsi="Times New Roman" w:cs="Times New Roman"/>
          <w:i/>
          <w:iCs/>
          <w:sz w:val="24"/>
          <w:szCs w:val="24"/>
        </w:rPr>
        <w:t>PloS</w:t>
      </w:r>
      <w:proofErr w:type="spellEnd"/>
      <w:r w:rsidRPr="00442FB7">
        <w:rPr>
          <w:rFonts w:ascii="Times New Roman" w:eastAsia="Times New Roman" w:hAnsi="Times New Roman" w:cs="Times New Roman"/>
          <w:i/>
          <w:iCs/>
          <w:sz w:val="24"/>
          <w:szCs w:val="24"/>
        </w:rPr>
        <w:t xml:space="preserve"> one</w:t>
      </w:r>
      <w:r w:rsidRPr="00442FB7">
        <w:rPr>
          <w:rFonts w:ascii="Times New Roman" w:eastAsia="Times New Roman" w:hAnsi="Times New Roman" w:cs="Times New Roman"/>
          <w:sz w:val="24"/>
          <w:szCs w:val="24"/>
        </w:rPr>
        <w:t xml:space="preserve">, </w:t>
      </w:r>
      <w:r w:rsidRPr="00442FB7">
        <w:rPr>
          <w:rFonts w:ascii="Times New Roman" w:eastAsia="Times New Roman" w:hAnsi="Times New Roman" w:cs="Times New Roman"/>
          <w:i/>
          <w:iCs/>
          <w:sz w:val="24"/>
          <w:szCs w:val="24"/>
        </w:rPr>
        <w:t>18</w:t>
      </w:r>
      <w:r w:rsidRPr="00442FB7">
        <w:rPr>
          <w:rFonts w:ascii="Times New Roman" w:eastAsia="Times New Roman" w:hAnsi="Times New Roman" w:cs="Times New Roman"/>
          <w:sz w:val="24"/>
          <w:szCs w:val="24"/>
        </w:rPr>
        <w:t xml:space="preserve">(12), e0294688. </w:t>
      </w:r>
      <w:hyperlink r:id="rId8" w:history="1">
        <w:r w:rsidR="00442FB7" w:rsidRPr="002B395F">
          <w:rPr>
            <w:rStyle w:val="Hyperlink"/>
            <w:rFonts w:ascii="Times New Roman" w:eastAsia="Times New Roman" w:hAnsi="Times New Roman" w:cs="Times New Roman"/>
            <w:sz w:val="24"/>
            <w:szCs w:val="24"/>
          </w:rPr>
          <w:t>https://doi.org/10.1371/journal.pone.0294688</w:t>
        </w:r>
      </w:hyperlink>
    </w:p>
    <w:p w:rsidR="00442FB7" w:rsidRPr="00442FB7" w:rsidRDefault="00442FB7"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Akar</w:t>
      </w:r>
      <w:proofErr w:type="spellEnd"/>
      <w:r>
        <w:rPr>
          <w:rFonts w:ascii="Arial" w:hAnsi="Arial" w:cs="Arial"/>
          <w:color w:val="222222"/>
          <w:sz w:val="20"/>
          <w:szCs w:val="20"/>
          <w:shd w:val="clear" w:color="auto" w:fill="FFFFFF"/>
        </w:rPr>
        <w:t xml:space="preserve">, S. E., Nwachukwu, W., </w:t>
      </w:r>
      <w:proofErr w:type="spellStart"/>
      <w:r>
        <w:rPr>
          <w:rFonts w:ascii="Arial" w:hAnsi="Arial" w:cs="Arial"/>
          <w:color w:val="222222"/>
          <w:sz w:val="20"/>
          <w:szCs w:val="20"/>
          <w:shd w:val="clear" w:color="auto" w:fill="FFFFFF"/>
        </w:rPr>
        <w:t>Adewuyi</w:t>
      </w:r>
      <w:proofErr w:type="spellEnd"/>
      <w:r>
        <w:rPr>
          <w:rFonts w:ascii="Arial" w:hAnsi="Arial" w:cs="Arial"/>
          <w:color w:val="222222"/>
          <w:sz w:val="20"/>
          <w:szCs w:val="20"/>
          <w:shd w:val="clear" w:color="auto" w:fill="FFFFFF"/>
        </w:rPr>
        <w:t xml:space="preserve">, O. S., </w:t>
      </w:r>
      <w:proofErr w:type="spellStart"/>
      <w:r>
        <w:rPr>
          <w:rFonts w:ascii="Arial" w:hAnsi="Arial" w:cs="Arial"/>
          <w:color w:val="222222"/>
          <w:sz w:val="20"/>
          <w:szCs w:val="20"/>
          <w:shd w:val="clear" w:color="auto" w:fill="FFFFFF"/>
        </w:rPr>
        <w:t>Ahumibe</w:t>
      </w:r>
      <w:proofErr w:type="spellEnd"/>
      <w:r>
        <w:rPr>
          <w:rFonts w:ascii="Arial" w:hAnsi="Arial" w:cs="Arial"/>
          <w:color w:val="222222"/>
          <w:sz w:val="20"/>
          <w:szCs w:val="20"/>
          <w:shd w:val="clear" w:color="auto" w:fill="FFFFFF"/>
        </w:rPr>
        <w:t xml:space="preserve">, A. A., </w:t>
      </w:r>
      <w:proofErr w:type="spellStart"/>
      <w:r>
        <w:rPr>
          <w:rFonts w:ascii="Arial" w:hAnsi="Arial" w:cs="Arial"/>
          <w:color w:val="222222"/>
          <w:sz w:val="20"/>
          <w:szCs w:val="20"/>
          <w:shd w:val="clear" w:color="auto" w:fill="FFFFFF"/>
        </w:rPr>
        <w:t>Akanimo</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Okunromade</w:t>
      </w:r>
      <w:proofErr w:type="spellEnd"/>
      <w:r>
        <w:rPr>
          <w:rFonts w:ascii="Arial" w:hAnsi="Arial" w:cs="Arial"/>
          <w:color w:val="222222"/>
          <w:sz w:val="20"/>
          <w:szCs w:val="20"/>
          <w:shd w:val="clear" w:color="auto" w:fill="FFFFFF"/>
        </w:rPr>
        <w:t>, O., ... &amp; Kaneko, S. (2025). Epidemiology of Yellow Fever in Nigeria: Analysis of Climatic, Ecological, Socio-Demographic, and Clinical Factors Associated with Viral Positivity Among Suspected Cases Using National Surveillance Data, 2017–2023. </w:t>
      </w:r>
      <w:r>
        <w:rPr>
          <w:rFonts w:ascii="Arial" w:hAnsi="Arial" w:cs="Arial"/>
          <w:i/>
          <w:iCs/>
          <w:color w:val="222222"/>
          <w:sz w:val="20"/>
          <w:szCs w:val="20"/>
          <w:shd w:val="clear" w:color="auto" w:fill="FFFFFF"/>
        </w:rPr>
        <w:t>Journal of Epidemiology and Global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2.</w:t>
      </w:r>
    </w:p>
    <w:p w:rsidR="00442FB7" w:rsidRPr="00442FB7" w:rsidRDefault="00442FB7"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lastRenderedPageBreak/>
        <w:t>Nomhwange</w:t>
      </w:r>
      <w:proofErr w:type="spellEnd"/>
      <w:r>
        <w:rPr>
          <w:rFonts w:ascii="Arial" w:hAnsi="Arial" w:cs="Arial"/>
          <w:color w:val="222222"/>
          <w:sz w:val="20"/>
          <w:szCs w:val="20"/>
          <w:shd w:val="clear" w:color="auto" w:fill="FFFFFF"/>
        </w:rPr>
        <w:t xml:space="preserve">, T., Jean Baptiste, A. E., </w:t>
      </w:r>
      <w:proofErr w:type="spellStart"/>
      <w:r>
        <w:rPr>
          <w:rFonts w:ascii="Arial" w:hAnsi="Arial" w:cs="Arial"/>
          <w:color w:val="222222"/>
          <w:sz w:val="20"/>
          <w:szCs w:val="20"/>
          <w:shd w:val="clear" w:color="auto" w:fill="FFFFFF"/>
        </w:rPr>
        <w:t>Ezebilo</w:t>
      </w:r>
      <w:proofErr w:type="spellEnd"/>
      <w:r>
        <w:rPr>
          <w:rFonts w:ascii="Arial" w:hAnsi="Arial" w:cs="Arial"/>
          <w:color w:val="222222"/>
          <w:sz w:val="20"/>
          <w:szCs w:val="20"/>
          <w:shd w:val="clear" w:color="auto" w:fill="FFFFFF"/>
        </w:rPr>
        <w:t xml:space="preserve">, O., Oteri, J., Olajide, L., </w:t>
      </w:r>
      <w:proofErr w:type="spellStart"/>
      <w:r>
        <w:rPr>
          <w:rFonts w:ascii="Arial" w:hAnsi="Arial" w:cs="Arial"/>
          <w:color w:val="222222"/>
          <w:sz w:val="20"/>
          <w:szCs w:val="20"/>
          <w:shd w:val="clear" w:color="auto" w:fill="FFFFFF"/>
        </w:rPr>
        <w:t>Emelife</w:t>
      </w:r>
      <w:proofErr w:type="spellEnd"/>
      <w:r>
        <w:rPr>
          <w:rFonts w:ascii="Arial" w:hAnsi="Arial" w:cs="Arial"/>
          <w:color w:val="222222"/>
          <w:sz w:val="20"/>
          <w:szCs w:val="20"/>
          <w:shd w:val="clear" w:color="auto" w:fill="FFFFFF"/>
        </w:rPr>
        <w:t xml:space="preserve">, K., ... &amp; </w:t>
      </w:r>
      <w:proofErr w:type="spellStart"/>
      <w:r>
        <w:rPr>
          <w:rFonts w:ascii="Arial" w:hAnsi="Arial" w:cs="Arial"/>
          <w:color w:val="222222"/>
          <w:sz w:val="20"/>
          <w:szCs w:val="20"/>
          <w:shd w:val="clear" w:color="auto" w:fill="FFFFFF"/>
        </w:rPr>
        <w:t>Tomori</w:t>
      </w:r>
      <w:proofErr w:type="spellEnd"/>
      <w:r>
        <w:rPr>
          <w:rFonts w:ascii="Arial" w:hAnsi="Arial" w:cs="Arial"/>
          <w:color w:val="222222"/>
          <w:sz w:val="20"/>
          <w:szCs w:val="20"/>
          <w:shd w:val="clear" w:color="auto" w:fill="FFFFFF"/>
        </w:rPr>
        <w:t>, O. (2021). The resurgence of yellow fever outbreaks in Nigeria: a 2-year review 2017–2019. </w:t>
      </w:r>
      <w:r>
        <w:rPr>
          <w:rFonts w:ascii="Arial" w:hAnsi="Arial" w:cs="Arial"/>
          <w:i/>
          <w:iCs/>
          <w:color w:val="222222"/>
          <w:sz w:val="20"/>
          <w:szCs w:val="20"/>
          <w:shd w:val="clear" w:color="auto" w:fill="FFFFFF"/>
        </w:rPr>
        <w:t>BMC infectious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 1054.</w:t>
      </w:r>
    </w:p>
    <w:p w:rsidR="00D17244" w:rsidRPr="00442FB7" w:rsidRDefault="00D17244" w:rsidP="00DA070A">
      <w:pPr>
        <w:spacing w:line="240" w:lineRule="auto"/>
        <w:jc w:val="both"/>
        <w:rPr>
          <w:rFonts w:ascii="Times New Roman" w:hAnsi="Times New Roman" w:cs="Times New Roman"/>
          <w:sz w:val="24"/>
          <w:szCs w:val="24"/>
        </w:rPr>
      </w:pPr>
    </w:p>
    <w:sectPr w:rsidR="00D17244" w:rsidRPr="00442F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758" w:rsidRDefault="00642758" w:rsidP="00AC6A9F">
      <w:pPr>
        <w:spacing w:after="0" w:line="240" w:lineRule="auto"/>
      </w:pPr>
      <w:r>
        <w:separator/>
      </w:r>
    </w:p>
  </w:endnote>
  <w:endnote w:type="continuationSeparator" w:id="0">
    <w:p w:rsidR="00642758" w:rsidRDefault="00642758" w:rsidP="00AC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758" w:rsidRDefault="00642758" w:rsidP="00AC6A9F">
      <w:pPr>
        <w:spacing w:after="0" w:line="240" w:lineRule="auto"/>
      </w:pPr>
      <w:r>
        <w:separator/>
      </w:r>
    </w:p>
  </w:footnote>
  <w:footnote w:type="continuationSeparator" w:id="0">
    <w:p w:rsidR="00642758" w:rsidRDefault="00642758" w:rsidP="00AC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64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64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64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CEA"/>
    <w:multiLevelType w:val="multilevel"/>
    <w:tmpl w:val="0156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961F3"/>
    <w:multiLevelType w:val="multilevel"/>
    <w:tmpl w:val="0AF2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A0E11"/>
    <w:multiLevelType w:val="multilevel"/>
    <w:tmpl w:val="84A6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52B44"/>
    <w:multiLevelType w:val="hybridMultilevel"/>
    <w:tmpl w:val="468E1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9763B"/>
    <w:multiLevelType w:val="multilevel"/>
    <w:tmpl w:val="F2F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40AB2"/>
    <w:multiLevelType w:val="multilevel"/>
    <w:tmpl w:val="FD9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14357"/>
    <w:multiLevelType w:val="multilevel"/>
    <w:tmpl w:val="5F42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MTE3sTQzNjW3MDNT0lEKTi0uzszPAykwrAUA7Joz+CwAAAA="/>
  </w:docVars>
  <w:rsids>
    <w:rsidRoot w:val="00D17244"/>
    <w:rsid w:val="003B3FF9"/>
    <w:rsid w:val="003E5BCA"/>
    <w:rsid w:val="00442FB7"/>
    <w:rsid w:val="00484A4E"/>
    <w:rsid w:val="00642758"/>
    <w:rsid w:val="00643CC8"/>
    <w:rsid w:val="00655A23"/>
    <w:rsid w:val="00690F9A"/>
    <w:rsid w:val="0070118D"/>
    <w:rsid w:val="007B1195"/>
    <w:rsid w:val="007F769F"/>
    <w:rsid w:val="00893054"/>
    <w:rsid w:val="0098562A"/>
    <w:rsid w:val="009A0E8D"/>
    <w:rsid w:val="00AC6A9F"/>
    <w:rsid w:val="00BF20EA"/>
    <w:rsid w:val="00C75DC8"/>
    <w:rsid w:val="00CC7816"/>
    <w:rsid w:val="00CD0850"/>
    <w:rsid w:val="00CF52B5"/>
    <w:rsid w:val="00D17244"/>
    <w:rsid w:val="00DA070A"/>
    <w:rsid w:val="00E60CC5"/>
    <w:rsid w:val="00E86CAD"/>
    <w:rsid w:val="00F14F30"/>
    <w:rsid w:val="00F5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F9D34C"/>
  <w15:chartTrackingRefBased/>
  <w15:docId w15:val="{3A4952CC-D83F-49C1-866A-2702B256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17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72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7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D172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172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1724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17244"/>
    <w:rPr>
      <w:b/>
      <w:bCs/>
    </w:rPr>
  </w:style>
  <w:style w:type="paragraph" w:styleId="NormalWeb">
    <w:name w:val="Normal (Web)"/>
    <w:basedOn w:val="Normal"/>
    <w:uiPriority w:val="99"/>
    <w:semiHidden/>
    <w:unhideWhenUsed/>
    <w:rsid w:val="00D172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7244"/>
    <w:rPr>
      <w:i/>
      <w:iCs/>
    </w:rPr>
  </w:style>
  <w:style w:type="character" w:customStyle="1" w:styleId="Heading3Char">
    <w:name w:val="Heading 3 Char"/>
    <w:basedOn w:val="DefaultParagraphFont"/>
    <w:link w:val="Heading3"/>
    <w:uiPriority w:val="9"/>
    <w:semiHidden/>
    <w:rsid w:val="00D17244"/>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D172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72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72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7244"/>
    <w:rPr>
      <w:rFonts w:ascii="Arial" w:eastAsia="Times New Roman" w:hAnsi="Arial" w:cs="Arial"/>
      <w:vanish/>
      <w:sz w:val="16"/>
      <w:szCs w:val="16"/>
    </w:rPr>
  </w:style>
  <w:style w:type="paragraph" w:styleId="ListParagraph">
    <w:name w:val="List Paragraph"/>
    <w:basedOn w:val="Normal"/>
    <w:uiPriority w:val="34"/>
    <w:qFormat/>
    <w:rsid w:val="00655A23"/>
    <w:pPr>
      <w:ind w:left="720"/>
      <w:contextualSpacing/>
    </w:pPr>
  </w:style>
  <w:style w:type="character" w:styleId="Hyperlink">
    <w:name w:val="Hyperlink"/>
    <w:basedOn w:val="DefaultParagraphFont"/>
    <w:uiPriority w:val="99"/>
    <w:unhideWhenUsed/>
    <w:rsid w:val="00655A23"/>
    <w:rPr>
      <w:color w:val="0563C1" w:themeColor="hyperlink"/>
      <w:u w:val="single"/>
    </w:rPr>
  </w:style>
  <w:style w:type="character" w:styleId="UnresolvedMention">
    <w:name w:val="Unresolved Mention"/>
    <w:basedOn w:val="DefaultParagraphFont"/>
    <w:uiPriority w:val="99"/>
    <w:semiHidden/>
    <w:unhideWhenUsed/>
    <w:rsid w:val="00893054"/>
    <w:rPr>
      <w:color w:val="605E5C"/>
      <w:shd w:val="clear" w:color="auto" w:fill="E1DFDD"/>
    </w:rPr>
  </w:style>
  <w:style w:type="paragraph" w:styleId="Header">
    <w:name w:val="header"/>
    <w:basedOn w:val="Normal"/>
    <w:link w:val="HeaderChar"/>
    <w:uiPriority w:val="99"/>
    <w:unhideWhenUsed/>
    <w:rsid w:val="00AC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A9F"/>
  </w:style>
  <w:style w:type="paragraph" w:styleId="Footer">
    <w:name w:val="footer"/>
    <w:basedOn w:val="Normal"/>
    <w:link w:val="FooterChar"/>
    <w:uiPriority w:val="99"/>
    <w:unhideWhenUsed/>
    <w:rsid w:val="00AC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313">
      <w:bodyDiv w:val="1"/>
      <w:marLeft w:val="0"/>
      <w:marRight w:val="0"/>
      <w:marTop w:val="0"/>
      <w:marBottom w:val="0"/>
      <w:divBdr>
        <w:top w:val="none" w:sz="0" w:space="0" w:color="auto"/>
        <w:left w:val="none" w:sz="0" w:space="0" w:color="auto"/>
        <w:bottom w:val="none" w:sz="0" w:space="0" w:color="auto"/>
        <w:right w:val="none" w:sz="0" w:space="0" w:color="auto"/>
      </w:divBdr>
    </w:div>
    <w:div w:id="1122336241">
      <w:bodyDiv w:val="1"/>
      <w:marLeft w:val="0"/>
      <w:marRight w:val="0"/>
      <w:marTop w:val="0"/>
      <w:marBottom w:val="0"/>
      <w:divBdr>
        <w:top w:val="none" w:sz="0" w:space="0" w:color="auto"/>
        <w:left w:val="none" w:sz="0" w:space="0" w:color="auto"/>
        <w:bottom w:val="none" w:sz="0" w:space="0" w:color="auto"/>
        <w:right w:val="none" w:sz="0" w:space="0" w:color="auto"/>
      </w:divBdr>
      <w:divsChild>
        <w:div w:id="1795784344">
          <w:marLeft w:val="0"/>
          <w:marRight w:val="0"/>
          <w:marTop w:val="0"/>
          <w:marBottom w:val="0"/>
          <w:divBdr>
            <w:top w:val="none" w:sz="0" w:space="0" w:color="auto"/>
            <w:left w:val="none" w:sz="0" w:space="0" w:color="auto"/>
            <w:bottom w:val="none" w:sz="0" w:space="0" w:color="auto"/>
            <w:right w:val="none" w:sz="0" w:space="0" w:color="auto"/>
          </w:divBdr>
          <w:divsChild>
            <w:div w:id="1439137003">
              <w:marLeft w:val="0"/>
              <w:marRight w:val="0"/>
              <w:marTop w:val="0"/>
              <w:marBottom w:val="0"/>
              <w:divBdr>
                <w:top w:val="none" w:sz="0" w:space="0" w:color="auto"/>
                <w:left w:val="none" w:sz="0" w:space="0" w:color="auto"/>
                <w:bottom w:val="none" w:sz="0" w:space="0" w:color="auto"/>
                <w:right w:val="none" w:sz="0" w:space="0" w:color="auto"/>
              </w:divBdr>
              <w:divsChild>
                <w:div w:id="2121215772">
                  <w:marLeft w:val="0"/>
                  <w:marRight w:val="0"/>
                  <w:marTop w:val="0"/>
                  <w:marBottom w:val="0"/>
                  <w:divBdr>
                    <w:top w:val="none" w:sz="0" w:space="0" w:color="auto"/>
                    <w:left w:val="none" w:sz="0" w:space="0" w:color="auto"/>
                    <w:bottom w:val="none" w:sz="0" w:space="0" w:color="auto"/>
                    <w:right w:val="none" w:sz="0" w:space="0" w:color="auto"/>
                  </w:divBdr>
                  <w:divsChild>
                    <w:div w:id="658312913">
                      <w:marLeft w:val="0"/>
                      <w:marRight w:val="0"/>
                      <w:marTop w:val="0"/>
                      <w:marBottom w:val="0"/>
                      <w:divBdr>
                        <w:top w:val="none" w:sz="0" w:space="0" w:color="auto"/>
                        <w:left w:val="none" w:sz="0" w:space="0" w:color="auto"/>
                        <w:bottom w:val="none" w:sz="0" w:space="0" w:color="auto"/>
                        <w:right w:val="none" w:sz="0" w:space="0" w:color="auto"/>
                      </w:divBdr>
                      <w:divsChild>
                        <w:div w:id="942303580">
                          <w:marLeft w:val="0"/>
                          <w:marRight w:val="0"/>
                          <w:marTop w:val="0"/>
                          <w:marBottom w:val="0"/>
                          <w:divBdr>
                            <w:top w:val="none" w:sz="0" w:space="0" w:color="auto"/>
                            <w:left w:val="none" w:sz="0" w:space="0" w:color="auto"/>
                            <w:bottom w:val="none" w:sz="0" w:space="0" w:color="auto"/>
                            <w:right w:val="none" w:sz="0" w:space="0" w:color="auto"/>
                          </w:divBdr>
                          <w:divsChild>
                            <w:div w:id="629483554">
                              <w:marLeft w:val="0"/>
                              <w:marRight w:val="0"/>
                              <w:marTop w:val="0"/>
                              <w:marBottom w:val="0"/>
                              <w:divBdr>
                                <w:top w:val="none" w:sz="0" w:space="0" w:color="auto"/>
                                <w:left w:val="none" w:sz="0" w:space="0" w:color="auto"/>
                                <w:bottom w:val="none" w:sz="0" w:space="0" w:color="auto"/>
                                <w:right w:val="none" w:sz="0" w:space="0" w:color="auto"/>
                              </w:divBdr>
                              <w:divsChild>
                                <w:div w:id="2062944845">
                                  <w:marLeft w:val="0"/>
                                  <w:marRight w:val="0"/>
                                  <w:marTop w:val="0"/>
                                  <w:marBottom w:val="0"/>
                                  <w:divBdr>
                                    <w:top w:val="none" w:sz="0" w:space="0" w:color="auto"/>
                                    <w:left w:val="none" w:sz="0" w:space="0" w:color="auto"/>
                                    <w:bottom w:val="none" w:sz="0" w:space="0" w:color="auto"/>
                                    <w:right w:val="none" w:sz="0" w:space="0" w:color="auto"/>
                                  </w:divBdr>
                                  <w:divsChild>
                                    <w:div w:id="4809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583887">
          <w:marLeft w:val="0"/>
          <w:marRight w:val="0"/>
          <w:marTop w:val="0"/>
          <w:marBottom w:val="0"/>
          <w:divBdr>
            <w:top w:val="none" w:sz="0" w:space="0" w:color="auto"/>
            <w:left w:val="none" w:sz="0" w:space="0" w:color="auto"/>
            <w:bottom w:val="none" w:sz="0" w:space="0" w:color="auto"/>
            <w:right w:val="none" w:sz="0" w:space="0" w:color="auto"/>
          </w:divBdr>
          <w:divsChild>
            <w:div w:id="2128310963">
              <w:marLeft w:val="0"/>
              <w:marRight w:val="0"/>
              <w:marTop w:val="0"/>
              <w:marBottom w:val="0"/>
              <w:divBdr>
                <w:top w:val="none" w:sz="0" w:space="0" w:color="auto"/>
                <w:left w:val="none" w:sz="0" w:space="0" w:color="auto"/>
                <w:bottom w:val="none" w:sz="0" w:space="0" w:color="auto"/>
                <w:right w:val="none" w:sz="0" w:space="0" w:color="auto"/>
              </w:divBdr>
              <w:divsChild>
                <w:div w:id="362823190">
                  <w:marLeft w:val="0"/>
                  <w:marRight w:val="0"/>
                  <w:marTop w:val="0"/>
                  <w:marBottom w:val="0"/>
                  <w:divBdr>
                    <w:top w:val="none" w:sz="0" w:space="0" w:color="auto"/>
                    <w:left w:val="none" w:sz="0" w:space="0" w:color="auto"/>
                    <w:bottom w:val="none" w:sz="0" w:space="0" w:color="auto"/>
                    <w:right w:val="none" w:sz="0" w:space="0" w:color="auto"/>
                  </w:divBdr>
                  <w:divsChild>
                    <w:div w:id="914705133">
                      <w:marLeft w:val="0"/>
                      <w:marRight w:val="0"/>
                      <w:marTop w:val="0"/>
                      <w:marBottom w:val="0"/>
                      <w:divBdr>
                        <w:top w:val="none" w:sz="0" w:space="0" w:color="auto"/>
                        <w:left w:val="none" w:sz="0" w:space="0" w:color="auto"/>
                        <w:bottom w:val="none" w:sz="0" w:space="0" w:color="auto"/>
                        <w:right w:val="none" w:sz="0" w:space="0" w:color="auto"/>
                      </w:divBdr>
                      <w:divsChild>
                        <w:div w:id="277109281">
                          <w:marLeft w:val="0"/>
                          <w:marRight w:val="0"/>
                          <w:marTop w:val="0"/>
                          <w:marBottom w:val="0"/>
                          <w:divBdr>
                            <w:top w:val="none" w:sz="0" w:space="0" w:color="auto"/>
                            <w:left w:val="none" w:sz="0" w:space="0" w:color="auto"/>
                            <w:bottom w:val="none" w:sz="0" w:space="0" w:color="auto"/>
                            <w:right w:val="none" w:sz="0" w:space="0" w:color="auto"/>
                          </w:divBdr>
                          <w:divsChild>
                            <w:div w:id="400715531">
                              <w:marLeft w:val="0"/>
                              <w:marRight w:val="0"/>
                              <w:marTop w:val="0"/>
                              <w:marBottom w:val="0"/>
                              <w:divBdr>
                                <w:top w:val="none" w:sz="0" w:space="0" w:color="auto"/>
                                <w:left w:val="none" w:sz="0" w:space="0" w:color="auto"/>
                                <w:bottom w:val="none" w:sz="0" w:space="0" w:color="auto"/>
                                <w:right w:val="none" w:sz="0" w:space="0" w:color="auto"/>
                              </w:divBdr>
                              <w:divsChild>
                                <w:div w:id="1774865013">
                                  <w:marLeft w:val="0"/>
                                  <w:marRight w:val="0"/>
                                  <w:marTop w:val="0"/>
                                  <w:marBottom w:val="0"/>
                                  <w:divBdr>
                                    <w:top w:val="none" w:sz="0" w:space="0" w:color="auto"/>
                                    <w:left w:val="none" w:sz="0" w:space="0" w:color="auto"/>
                                    <w:bottom w:val="none" w:sz="0" w:space="0" w:color="auto"/>
                                    <w:right w:val="none" w:sz="0" w:space="0" w:color="auto"/>
                                  </w:divBdr>
                                  <w:divsChild>
                                    <w:div w:id="1239290787">
                                      <w:marLeft w:val="0"/>
                                      <w:marRight w:val="0"/>
                                      <w:marTop w:val="0"/>
                                      <w:marBottom w:val="0"/>
                                      <w:divBdr>
                                        <w:top w:val="none" w:sz="0" w:space="0" w:color="auto"/>
                                        <w:left w:val="none" w:sz="0" w:space="0" w:color="auto"/>
                                        <w:bottom w:val="none" w:sz="0" w:space="0" w:color="auto"/>
                                        <w:right w:val="none" w:sz="0" w:space="0" w:color="auto"/>
                                      </w:divBdr>
                                      <w:divsChild>
                                        <w:div w:id="11115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543484">
      <w:bodyDiv w:val="1"/>
      <w:marLeft w:val="0"/>
      <w:marRight w:val="0"/>
      <w:marTop w:val="0"/>
      <w:marBottom w:val="0"/>
      <w:divBdr>
        <w:top w:val="none" w:sz="0" w:space="0" w:color="auto"/>
        <w:left w:val="none" w:sz="0" w:space="0" w:color="auto"/>
        <w:bottom w:val="none" w:sz="0" w:space="0" w:color="auto"/>
        <w:right w:val="none" w:sz="0" w:space="0" w:color="auto"/>
      </w:divBdr>
    </w:div>
    <w:div w:id="1585843882">
      <w:bodyDiv w:val="1"/>
      <w:marLeft w:val="0"/>
      <w:marRight w:val="0"/>
      <w:marTop w:val="0"/>
      <w:marBottom w:val="0"/>
      <w:divBdr>
        <w:top w:val="none" w:sz="0" w:space="0" w:color="auto"/>
        <w:left w:val="none" w:sz="0" w:space="0" w:color="auto"/>
        <w:bottom w:val="none" w:sz="0" w:space="0" w:color="auto"/>
        <w:right w:val="none" w:sz="0" w:space="0" w:color="auto"/>
      </w:divBdr>
    </w:div>
    <w:div w:id="18044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9468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cll.2010.01.0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New 16</cp:lastModifiedBy>
  <cp:revision>6</cp:revision>
  <dcterms:created xsi:type="dcterms:W3CDTF">2026-02-19T08:09:00Z</dcterms:created>
  <dcterms:modified xsi:type="dcterms:W3CDTF">2026-02-28T09:36:00Z</dcterms:modified>
</cp:coreProperties>
</file>