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9B8B" w14:textId="0FBD91A6" w:rsidR="00B93F32" w:rsidRPr="00364063" w:rsidRDefault="00B93F32" w:rsidP="00015C2E">
      <w:pPr>
        <w:spacing w:line="240" w:lineRule="auto"/>
        <w:rPr>
          <w:rFonts w:ascii="Times New Roman" w:hAnsi="Times New Roman" w:cs="Times New Roman"/>
          <w:b/>
          <w:bCs/>
          <w:u w:val="single"/>
        </w:rPr>
      </w:pPr>
      <w:r w:rsidRPr="00364063">
        <w:rPr>
          <w:rFonts w:ascii="Times New Roman" w:hAnsi="Times New Roman" w:cs="Times New Roman"/>
          <w:b/>
          <w:bCs/>
          <w:u w:val="single"/>
        </w:rPr>
        <w:t>Original Research Article</w:t>
      </w:r>
    </w:p>
    <w:p w14:paraId="2A1B8475" w14:textId="4588B82D" w:rsidR="00742F7A" w:rsidRDefault="001D3215" w:rsidP="00015C2E">
      <w:pPr>
        <w:spacing w:line="240" w:lineRule="auto"/>
        <w:jc w:val="center"/>
        <w:rPr>
          <w:rFonts w:ascii="Times New Roman" w:hAnsi="Times New Roman" w:cs="Times New Roman"/>
          <w:b/>
          <w:bCs/>
        </w:rPr>
      </w:pPr>
      <w:r w:rsidRPr="00364063">
        <w:rPr>
          <w:rFonts w:ascii="Times New Roman" w:hAnsi="Times New Roman" w:cs="Times New Roman"/>
          <w:b/>
          <w:bCs/>
        </w:rPr>
        <w:t>Closing th</w:t>
      </w:r>
      <w:r w:rsidR="00776EDA" w:rsidRPr="00364063">
        <w:rPr>
          <w:rFonts w:ascii="Times New Roman" w:hAnsi="Times New Roman" w:cs="Times New Roman"/>
          <w:b/>
          <w:bCs/>
        </w:rPr>
        <w:t>e Gap in Retention in HIV Care a</w:t>
      </w:r>
      <w:r w:rsidRPr="00364063">
        <w:rPr>
          <w:rFonts w:ascii="Times New Roman" w:hAnsi="Times New Roman" w:cs="Times New Roman"/>
          <w:b/>
          <w:bCs/>
        </w:rPr>
        <w:t xml:space="preserve">mong Children </w:t>
      </w:r>
      <w:r w:rsidR="002D0E7A" w:rsidRPr="00364063">
        <w:rPr>
          <w:rFonts w:ascii="Times New Roman" w:hAnsi="Times New Roman" w:cs="Times New Roman"/>
          <w:b/>
          <w:bCs/>
        </w:rPr>
        <w:t xml:space="preserve">Living with HIV </w:t>
      </w:r>
      <w:r w:rsidRPr="00364063">
        <w:rPr>
          <w:rFonts w:ascii="Times New Roman" w:hAnsi="Times New Roman" w:cs="Times New Roman"/>
          <w:b/>
          <w:bCs/>
        </w:rPr>
        <w:t xml:space="preserve">and </w:t>
      </w:r>
      <w:r w:rsidR="002D0E7A" w:rsidRPr="00364063">
        <w:rPr>
          <w:rFonts w:ascii="Times New Roman" w:hAnsi="Times New Roman" w:cs="Times New Roman"/>
          <w:b/>
          <w:bCs/>
        </w:rPr>
        <w:t xml:space="preserve">their </w:t>
      </w:r>
      <w:r w:rsidRPr="00364063">
        <w:rPr>
          <w:rFonts w:ascii="Times New Roman" w:hAnsi="Times New Roman" w:cs="Times New Roman"/>
          <w:b/>
          <w:bCs/>
        </w:rPr>
        <w:t>Caregivers</w:t>
      </w:r>
      <w:r w:rsidR="002D0E7A" w:rsidRPr="00364063">
        <w:rPr>
          <w:rFonts w:ascii="Times New Roman" w:hAnsi="Times New Roman" w:cs="Times New Roman"/>
          <w:b/>
          <w:bCs/>
        </w:rPr>
        <w:t>: One-Year Post-Implementation Evidence from Taraba State, Nigeria</w:t>
      </w:r>
    </w:p>
    <w:p w14:paraId="4114ADE4" w14:textId="77777777" w:rsidR="0018071B" w:rsidRPr="00364063" w:rsidRDefault="0018071B" w:rsidP="00015C2E">
      <w:pPr>
        <w:spacing w:line="240" w:lineRule="auto"/>
        <w:jc w:val="center"/>
        <w:rPr>
          <w:rFonts w:ascii="Times New Roman" w:hAnsi="Times New Roman" w:cs="Times New Roman"/>
          <w:b/>
          <w:bCs/>
        </w:rPr>
      </w:pPr>
    </w:p>
    <w:p w14:paraId="6F56D215" w14:textId="77777777" w:rsidR="003726C7" w:rsidRPr="00364063" w:rsidRDefault="003726C7" w:rsidP="00015C2E">
      <w:pPr>
        <w:spacing w:before="100" w:beforeAutospacing="1" w:after="100" w:afterAutospacing="1" w:line="240" w:lineRule="auto"/>
        <w:jc w:val="center"/>
        <w:rPr>
          <w:rFonts w:ascii="Times New Roman" w:eastAsia="Times New Roman" w:hAnsi="Times New Roman" w:cs="Times New Roman"/>
          <w:b/>
        </w:rPr>
      </w:pPr>
      <w:r w:rsidRPr="00364063">
        <w:rPr>
          <w:rFonts w:ascii="Times New Roman" w:eastAsia="Times New Roman" w:hAnsi="Times New Roman" w:cs="Times New Roman"/>
          <w:b/>
          <w:bCs/>
        </w:rPr>
        <w:t>Abstract</w:t>
      </w:r>
    </w:p>
    <w:p w14:paraId="70C65A8D" w14:textId="756F053C" w:rsidR="003726C7" w:rsidRPr="00364063" w:rsidRDefault="003726C7" w:rsidP="00015C2E">
      <w:pPr>
        <w:spacing w:after="0" w:line="240" w:lineRule="auto"/>
        <w:jc w:val="both"/>
        <w:rPr>
          <w:rFonts w:ascii="Times New Roman" w:eastAsia="Times New Roman" w:hAnsi="Times New Roman" w:cs="Times New Roman"/>
        </w:rPr>
      </w:pPr>
      <w:r w:rsidRPr="00364063">
        <w:rPr>
          <w:rFonts w:ascii="Times New Roman" w:eastAsia="Times New Roman" w:hAnsi="Times New Roman" w:cs="Times New Roman"/>
          <w:b/>
          <w:bCs/>
        </w:rPr>
        <w:t>Background:</w:t>
      </w:r>
      <w:r w:rsidRPr="00364063">
        <w:rPr>
          <w:rFonts w:ascii="Times New Roman" w:eastAsia="Times New Roman" w:hAnsi="Times New Roman" w:cs="Times New Roman"/>
        </w:rPr>
        <w:t xml:space="preserve"> Achieving optimal retention in HIV care among c</w:t>
      </w:r>
      <w:r w:rsidR="00F72577" w:rsidRPr="00364063">
        <w:rPr>
          <w:rFonts w:ascii="Times New Roman" w:eastAsia="Times New Roman" w:hAnsi="Times New Roman" w:cs="Times New Roman"/>
        </w:rPr>
        <w:t>hildren living with HIV (CLHIV)</w:t>
      </w:r>
      <w:r w:rsidR="00F72577" w:rsidRPr="00364063">
        <w:rPr>
          <w:rFonts w:ascii="Times New Roman" w:hAnsi="Times New Roman" w:cs="Times New Roman"/>
          <w:bCs/>
        </w:rPr>
        <w:t xml:space="preserve">, Adolescent and young people (15-24years) Caregivers and general population </w:t>
      </w:r>
      <w:r w:rsidRPr="00364063">
        <w:rPr>
          <w:rFonts w:ascii="Times New Roman" w:eastAsia="Times New Roman" w:hAnsi="Times New Roman" w:cs="Times New Roman"/>
        </w:rPr>
        <w:t xml:space="preserve">remains a significant challenge in Nigeria, limiting progress toward the </w:t>
      </w:r>
      <w:r w:rsidRPr="00364063">
        <w:rPr>
          <w:rFonts w:ascii="Times New Roman" w:eastAsia="Times New Roman" w:hAnsi="Times New Roman" w:cs="Times New Roman"/>
          <w:bCs/>
        </w:rPr>
        <w:t>95–95–95 targets</w:t>
      </w:r>
      <w:r w:rsidRPr="00364063">
        <w:rPr>
          <w:rFonts w:ascii="Times New Roman" w:eastAsia="Times New Roman" w:hAnsi="Times New Roman" w:cs="Times New Roman"/>
        </w:rPr>
        <w:t xml:space="preserve"> of UNAIDS. Gaps in HIV case finding</w:t>
      </w:r>
      <w:r w:rsidR="001C68DB">
        <w:rPr>
          <w:rFonts w:ascii="Times New Roman" w:eastAsia="Times New Roman" w:hAnsi="Times New Roman" w:cs="Times New Roman"/>
        </w:rPr>
        <w:t xml:space="preserve"> among children and adolescents</w:t>
      </w:r>
      <w:r w:rsidRPr="00364063">
        <w:rPr>
          <w:rFonts w:ascii="Times New Roman" w:eastAsia="Times New Roman" w:hAnsi="Times New Roman" w:cs="Times New Roman"/>
        </w:rPr>
        <w:t>, linkage to treatment, and sustained engagement in care continue to affect treatment outcomes. This study assessed the outcomes of a community-based intervention designed to improve HIV case identification, linkage to care, retention, and viral suppression among children and their caregivers in selected communities in Taraba State, Nigeria.</w:t>
      </w:r>
    </w:p>
    <w:p w14:paraId="048CB4DC" w14:textId="3A79D6C7" w:rsidR="003726C7" w:rsidRPr="00364063" w:rsidRDefault="003726C7" w:rsidP="00015C2E">
      <w:pPr>
        <w:spacing w:after="0" w:line="240" w:lineRule="auto"/>
        <w:jc w:val="both"/>
        <w:rPr>
          <w:rFonts w:ascii="Times New Roman" w:eastAsia="Times New Roman" w:hAnsi="Times New Roman" w:cs="Times New Roman"/>
        </w:rPr>
      </w:pPr>
      <w:r w:rsidRPr="00364063">
        <w:rPr>
          <w:rFonts w:ascii="Times New Roman" w:eastAsia="Times New Roman" w:hAnsi="Times New Roman" w:cs="Times New Roman"/>
          <w:b/>
          <w:bCs/>
        </w:rPr>
        <w:t>Methods:</w:t>
      </w:r>
      <w:r w:rsidRPr="00364063">
        <w:rPr>
          <w:rFonts w:ascii="Times New Roman" w:eastAsia="Times New Roman" w:hAnsi="Times New Roman" w:cs="Times New Roman"/>
        </w:rPr>
        <w:t xml:space="preserve"> A community-based program was implemented across thre</w:t>
      </w:r>
      <w:r w:rsidR="00F72577" w:rsidRPr="00364063">
        <w:rPr>
          <w:rFonts w:ascii="Times New Roman" w:eastAsia="Times New Roman" w:hAnsi="Times New Roman" w:cs="Times New Roman"/>
        </w:rPr>
        <w:t xml:space="preserve">e Local Government Areas (LGAs) </w:t>
      </w:r>
      <w:r w:rsidRPr="00364063">
        <w:rPr>
          <w:rFonts w:ascii="Times New Roman" w:eastAsia="Times New Roman" w:hAnsi="Times New Roman" w:cs="Times New Roman"/>
        </w:rPr>
        <w:t>K</w:t>
      </w:r>
      <w:r w:rsidR="00F72577" w:rsidRPr="00364063">
        <w:rPr>
          <w:rFonts w:ascii="Times New Roman" w:eastAsia="Times New Roman" w:hAnsi="Times New Roman" w:cs="Times New Roman"/>
        </w:rPr>
        <w:t xml:space="preserve">arim Lamido, Sardauna, and </w:t>
      </w:r>
      <w:proofErr w:type="spellStart"/>
      <w:r w:rsidR="00F72577" w:rsidRPr="00364063">
        <w:rPr>
          <w:rFonts w:ascii="Times New Roman" w:eastAsia="Times New Roman" w:hAnsi="Times New Roman" w:cs="Times New Roman"/>
        </w:rPr>
        <w:t>Ussa</w:t>
      </w:r>
      <w:proofErr w:type="spellEnd"/>
      <w:r w:rsidR="00F72577" w:rsidRPr="00364063">
        <w:rPr>
          <w:rFonts w:ascii="Times New Roman" w:eastAsia="Times New Roman" w:hAnsi="Times New Roman" w:cs="Times New Roman"/>
        </w:rPr>
        <w:t xml:space="preserve"> </w:t>
      </w:r>
      <w:r w:rsidRPr="00364063">
        <w:rPr>
          <w:rFonts w:ascii="Times New Roman" w:eastAsia="Times New Roman" w:hAnsi="Times New Roman" w:cs="Times New Roman"/>
        </w:rPr>
        <w:t xml:space="preserve">to identify undiagnosed HIV cases among children and </w:t>
      </w:r>
      <w:r w:rsidR="00912AA1" w:rsidRPr="00364063">
        <w:rPr>
          <w:rFonts w:ascii="Times New Roman" w:eastAsia="Times New Roman" w:hAnsi="Times New Roman" w:cs="Times New Roman"/>
        </w:rPr>
        <w:t xml:space="preserve">their </w:t>
      </w:r>
      <w:r w:rsidRPr="00364063">
        <w:rPr>
          <w:rFonts w:ascii="Times New Roman" w:eastAsia="Times New Roman" w:hAnsi="Times New Roman" w:cs="Times New Roman"/>
        </w:rPr>
        <w:t xml:space="preserve">caregivers and support </w:t>
      </w:r>
      <w:r w:rsidR="00912AA1" w:rsidRPr="00364063">
        <w:rPr>
          <w:rFonts w:ascii="Times New Roman" w:eastAsia="Times New Roman" w:hAnsi="Times New Roman" w:cs="Times New Roman"/>
        </w:rPr>
        <w:t>them to remain</w:t>
      </w:r>
      <w:r w:rsidRPr="00364063">
        <w:rPr>
          <w:rFonts w:ascii="Times New Roman" w:eastAsia="Times New Roman" w:hAnsi="Times New Roman" w:cs="Times New Roman"/>
        </w:rPr>
        <w:t xml:space="preserve"> in care</w:t>
      </w:r>
      <w:r w:rsidR="00912AA1" w:rsidRPr="00364063">
        <w:rPr>
          <w:rFonts w:ascii="Times New Roman" w:eastAsia="Times New Roman" w:hAnsi="Times New Roman" w:cs="Times New Roman"/>
        </w:rPr>
        <w:t xml:space="preserve"> and ultima</w:t>
      </w:r>
      <w:r w:rsidR="004E60F2" w:rsidRPr="00364063">
        <w:rPr>
          <w:rFonts w:ascii="Times New Roman" w:eastAsia="Times New Roman" w:hAnsi="Times New Roman" w:cs="Times New Roman"/>
        </w:rPr>
        <w:t>tely achieve viral load suppression</w:t>
      </w:r>
      <w:r w:rsidRPr="00364063">
        <w:rPr>
          <w:rFonts w:ascii="Times New Roman" w:eastAsia="Times New Roman" w:hAnsi="Times New Roman" w:cs="Times New Roman"/>
        </w:rPr>
        <w:t xml:space="preserve">. The intervention used targeted screening, home-based HIV testing, community outreach, and promotion of HIV self-testing to increase uptake and reduce stigma. </w:t>
      </w:r>
      <w:r w:rsidR="004E60F2" w:rsidRPr="00364063">
        <w:rPr>
          <w:rFonts w:ascii="Times New Roman" w:eastAsia="Times New Roman" w:hAnsi="Times New Roman" w:cs="Times New Roman"/>
        </w:rPr>
        <w:t>Children,</w:t>
      </w:r>
      <w:r w:rsidR="0010316A" w:rsidRPr="00364063">
        <w:rPr>
          <w:rFonts w:ascii="Times New Roman" w:eastAsia="Times New Roman" w:hAnsi="Times New Roman" w:cs="Times New Roman"/>
        </w:rPr>
        <w:t xml:space="preserve"> adolescents,</w:t>
      </w:r>
      <w:r w:rsidR="004E60F2" w:rsidRPr="00364063">
        <w:rPr>
          <w:rFonts w:ascii="Times New Roman" w:eastAsia="Times New Roman" w:hAnsi="Times New Roman" w:cs="Times New Roman"/>
        </w:rPr>
        <w:t xml:space="preserve"> caregivers and some general population</w:t>
      </w:r>
      <w:r w:rsidRPr="00364063">
        <w:rPr>
          <w:rFonts w:ascii="Times New Roman" w:eastAsia="Times New Roman" w:hAnsi="Times New Roman" w:cs="Times New Roman"/>
        </w:rPr>
        <w:t xml:space="preserve"> diagnosed with HIV were linked to treatment and supported through differentiated service delivery models, including community pharmacy-based antiretroviral distribution, community antiretroviral treatment support, nurse-led community clinics, and integrated mental wellness services. Capacity-building activities were conducted for </w:t>
      </w:r>
      <w:r w:rsidR="00726407" w:rsidRPr="00364063">
        <w:rPr>
          <w:rFonts w:ascii="Times New Roman" w:eastAsia="Times New Roman" w:hAnsi="Times New Roman" w:cs="Times New Roman"/>
        </w:rPr>
        <w:t xml:space="preserve">multi-disciplinary </w:t>
      </w:r>
      <w:r w:rsidRPr="00364063">
        <w:rPr>
          <w:rFonts w:ascii="Times New Roman" w:eastAsia="Times New Roman" w:hAnsi="Times New Roman" w:cs="Times New Roman"/>
        </w:rPr>
        <w:t>healthcare workers</w:t>
      </w:r>
      <w:r w:rsidR="00726407" w:rsidRPr="00364063">
        <w:rPr>
          <w:rFonts w:ascii="Times New Roman" w:eastAsia="Times New Roman" w:hAnsi="Times New Roman" w:cs="Times New Roman"/>
        </w:rPr>
        <w:t>, case managers</w:t>
      </w:r>
      <w:r w:rsidR="000C7B90" w:rsidRPr="00364063">
        <w:rPr>
          <w:rFonts w:ascii="Times New Roman" w:eastAsia="Times New Roman" w:hAnsi="Times New Roman" w:cs="Times New Roman"/>
        </w:rPr>
        <w:t>,</w:t>
      </w:r>
      <w:r w:rsidRPr="00364063">
        <w:rPr>
          <w:rFonts w:ascii="Times New Roman" w:eastAsia="Times New Roman" w:hAnsi="Times New Roman" w:cs="Times New Roman"/>
        </w:rPr>
        <w:t xml:space="preserve"> community volunteers </w:t>
      </w:r>
      <w:r w:rsidR="000C7B90" w:rsidRPr="00364063">
        <w:rPr>
          <w:rFonts w:ascii="Times New Roman" w:eastAsia="Times New Roman" w:hAnsi="Times New Roman" w:cs="Times New Roman"/>
        </w:rPr>
        <w:t xml:space="preserve">and people with lived </w:t>
      </w:r>
      <w:proofErr w:type="spellStart"/>
      <w:r w:rsidR="000C7B90" w:rsidRPr="00364063">
        <w:rPr>
          <w:rFonts w:ascii="Times New Roman" w:eastAsia="Times New Roman" w:hAnsi="Times New Roman" w:cs="Times New Roman"/>
        </w:rPr>
        <w:t>experience</w:t>
      </w:r>
      <w:r w:rsidRPr="00364063">
        <w:rPr>
          <w:rFonts w:ascii="Times New Roman" w:eastAsia="Times New Roman" w:hAnsi="Times New Roman" w:cs="Times New Roman"/>
        </w:rPr>
        <w:t>to</w:t>
      </w:r>
      <w:proofErr w:type="spellEnd"/>
      <w:r w:rsidRPr="00364063">
        <w:rPr>
          <w:rFonts w:ascii="Times New Roman" w:eastAsia="Times New Roman" w:hAnsi="Times New Roman" w:cs="Times New Roman"/>
        </w:rPr>
        <w:t xml:space="preserve"> promote stigma-free and patient-centered care. Programmatic data collected over a one-year</w:t>
      </w:r>
      <w:r w:rsidR="00912AA1" w:rsidRPr="00364063">
        <w:rPr>
          <w:rFonts w:ascii="Times New Roman" w:eastAsia="Times New Roman" w:hAnsi="Times New Roman" w:cs="Times New Roman"/>
        </w:rPr>
        <w:t xml:space="preserve"> post</w:t>
      </w:r>
      <w:r w:rsidRPr="00364063">
        <w:rPr>
          <w:rFonts w:ascii="Times New Roman" w:eastAsia="Times New Roman" w:hAnsi="Times New Roman" w:cs="Times New Roman"/>
        </w:rPr>
        <w:t xml:space="preserve"> implementation period were analyzed to assess outcomes across the HIV care cascade: testing and case finding (first 95), linkage and retention in care (second 95), and viral suppression (third 95).</w:t>
      </w:r>
    </w:p>
    <w:p w14:paraId="2503031D" w14:textId="54B73127" w:rsidR="003726C7" w:rsidRPr="00364063" w:rsidRDefault="003726C7" w:rsidP="00015C2E">
      <w:pPr>
        <w:spacing w:after="0" w:line="240" w:lineRule="auto"/>
        <w:jc w:val="both"/>
        <w:rPr>
          <w:rFonts w:ascii="Times New Roman" w:eastAsia="Times New Roman" w:hAnsi="Times New Roman" w:cs="Times New Roman"/>
        </w:rPr>
      </w:pPr>
      <w:r w:rsidRPr="00364063">
        <w:rPr>
          <w:rFonts w:ascii="Times New Roman" w:eastAsia="Times New Roman" w:hAnsi="Times New Roman" w:cs="Times New Roman"/>
          <w:b/>
          <w:bCs/>
        </w:rPr>
        <w:t>Results:</w:t>
      </w:r>
      <w:r w:rsidRPr="00364063">
        <w:rPr>
          <w:rFonts w:ascii="Times New Roman" w:eastAsia="Times New Roman" w:hAnsi="Times New Roman" w:cs="Times New Roman"/>
        </w:rPr>
        <w:t xml:space="preserve"> A total of 8,990 </w:t>
      </w:r>
      <w:r w:rsidR="00364063">
        <w:rPr>
          <w:rFonts w:ascii="Times New Roman" w:eastAsia="Times New Roman" w:hAnsi="Times New Roman" w:cs="Times New Roman"/>
        </w:rPr>
        <w:t>Children, adolescents, caregivers and general population</w:t>
      </w:r>
      <w:r w:rsidRPr="00364063">
        <w:rPr>
          <w:rFonts w:ascii="Times New Roman" w:eastAsia="Times New Roman" w:hAnsi="Times New Roman" w:cs="Times New Roman"/>
        </w:rPr>
        <w:t xml:space="preserve">s were tested for HIV across the three LGAs, with nearly equal representation of males (49.5%) and females (50.5%). Overall, 233 </w:t>
      </w:r>
      <w:r w:rsidR="00364063">
        <w:rPr>
          <w:rFonts w:ascii="Times New Roman" w:eastAsia="Times New Roman" w:hAnsi="Times New Roman" w:cs="Times New Roman"/>
        </w:rPr>
        <w:t>Children, adolescents, caregivers and general population</w:t>
      </w:r>
      <w:r w:rsidRPr="00364063">
        <w:rPr>
          <w:rFonts w:ascii="Times New Roman" w:eastAsia="Times New Roman" w:hAnsi="Times New Roman" w:cs="Times New Roman"/>
        </w:rPr>
        <w:t xml:space="preserve">s tested HIV-positive, yielding a positivity rate of 2.6%, with females accounting for 69.5% of positive cases. Children aged 0–14 years constituted the largest group tested (2,675) but had the lowest positivity rate (0.8%), while higher positivity rates were observed among caregivers (4.7%) and the general population (4.5%). Of the 233 </w:t>
      </w:r>
      <w:r w:rsidR="00364063">
        <w:rPr>
          <w:rFonts w:ascii="Times New Roman" w:eastAsia="Times New Roman" w:hAnsi="Times New Roman" w:cs="Times New Roman"/>
        </w:rPr>
        <w:t>Children, adolescents, caregivers and general population</w:t>
      </w:r>
      <w:r w:rsidRPr="00364063">
        <w:rPr>
          <w:rFonts w:ascii="Times New Roman" w:eastAsia="Times New Roman" w:hAnsi="Times New Roman" w:cs="Times New Roman"/>
        </w:rPr>
        <w:t>s</w:t>
      </w:r>
      <w:r w:rsidR="00E04854" w:rsidRPr="00364063">
        <w:rPr>
          <w:rFonts w:ascii="Times New Roman" w:eastAsia="Times New Roman" w:hAnsi="Times New Roman" w:cs="Times New Roman"/>
        </w:rPr>
        <w:t xml:space="preserve"> </w:t>
      </w:r>
      <w:r w:rsidRPr="00364063">
        <w:rPr>
          <w:rFonts w:ascii="Times New Roman" w:eastAsia="Times New Roman" w:hAnsi="Times New Roman" w:cs="Times New Roman"/>
        </w:rPr>
        <w:t>who tested positive, 16</w:t>
      </w:r>
      <w:r w:rsidR="00E04854" w:rsidRPr="00364063">
        <w:rPr>
          <w:rFonts w:ascii="Times New Roman" w:eastAsia="Times New Roman" w:hAnsi="Times New Roman" w:cs="Times New Roman"/>
        </w:rPr>
        <w:t>8</w:t>
      </w:r>
      <w:r w:rsidRPr="00364063">
        <w:rPr>
          <w:rFonts w:ascii="Times New Roman" w:eastAsia="Times New Roman" w:hAnsi="Times New Roman" w:cs="Times New Roman"/>
        </w:rPr>
        <w:t xml:space="preserve"> were </w:t>
      </w:r>
      <w:r w:rsidR="00E04854" w:rsidRPr="00364063">
        <w:rPr>
          <w:rFonts w:ascii="Times New Roman" w:eastAsia="Times New Roman" w:hAnsi="Times New Roman" w:cs="Times New Roman"/>
        </w:rPr>
        <w:t xml:space="preserve">referred for treatment and 163 were </w:t>
      </w:r>
      <w:r w:rsidRPr="00364063">
        <w:rPr>
          <w:rFonts w:ascii="Times New Roman" w:eastAsia="Times New Roman" w:hAnsi="Times New Roman" w:cs="Times New Roman"/>
        </w:rPr>
        <w:t xml:space="preserve">successfully linked </w:t>
      </w:r>
      <w:r w:rsidR="000C7B90" w:rsidRPr="00364063">
        <w:rPr>
          <w:rFonts w:ascii="Times New Roman" w:eastAsia="Times New Roman" w:hAnsi="Times New Roman" w:cs="Times New Roman"/>
        </w:rPr>
        <w:t>and enrolled in</w:t>
      </w:r>
      <w:r w:rsidRPr="00364063">
        <w:rPr>
          <w:rFonts w:ascii="Times New Roman" w:eastAsia="Times New Roman" w:hAnsi="Times New Roman" w:cs="Times New Roman"/>
        </w:rPr>
        <w:t xml:space="preserve"> HIV treatment services, resulting in a linkage rate of 97%.</w:t>
      </w:r>
      <w:r w:rsidR="00E04854" w:rsidRPr="00364063">
        <w:rPr>
          <w:rFonts w:ascii="Times New Roman" w:eastAsia="Times New Roman" w:hAnsi="Times New Roman" w:cs="Times New Roman"/>
        </w:rPr>
        <w:t xml:space="preserve"> The remaining 65 were known HIV cases that were on treatment</w:t>
      </w:r>
      <w:r w:rsidR="00E04854" w:rsidRPr="00E67855">
        <w:rPr>
          <w:rFonts w:ascii="Times New Roman" w:eastAsia="Times New Roman" w:hAnsi="Times New Roman" w:cs="Times New Roman"/>
        </w:rPr>
        <w:t>.</w:t>
      </w:r>
      <w:r w:rsidRPr="00E67855">
        <w:rPr>
          <w:rFonts w:ascii="Times New Roman" w:eastAsia="Times New Roman" w:hAnsi="Times New Roman" w:cs="Times New Roman"/>
        </w:rPr>
        <w:t xml:space="preserve"> Among those linked</w:t>
      </w:r>
      <w:r w:rsidR="00E67855" w:rsidRPr="00E67855">
        <w:rPr>
          <w:rFonts w:ascii="Times New Roman" w:eastAsia="Times New Roman" w:hAnsi="Times New Roman" w:cs="Times New Roman"/>
        </w:rPr>
        <w:t>,</w:t>
      </w:r>
      <w:r w:rsidR="00E04854" w:rsidRPr="00E67855">
        <w:rPr>
          <w:rFonts w:ascii="Times New Roman" w:eastAsia="Times New Roman" w:hAnsi="Times New Roman" w:cs="Times New Roman"/>
        </w:rPr>
        <w:t xml:space="preserve"> </w:t>
      </w:r>
      <w:r w:rsidRPr="00E67855">
        <w:rPr>
          <w:rFonts w:ascii="Times New Roman" w:eastAsia="Times New Roman" w:hAnsi="Times New Roman" w:cs="Times New Roman"/>
        </w:rPr>
        <w:t xml:space="preserve"> 143</w:t>
      </w:r>
      <w:r w:rsidR="00015C2E" w:rsidRPr="00E67855">
        <w:rPr>
          <w:rFonts w:ascii="Times New Roman" w:eastAsia="Times New Roman" w:hAnsi="Times New Roman" w:cs="Times New Roman"/>
        </w:rPr>
        <w:t xml:space="preserve"> (14 children, 32 a</w:t>
      </w:r>
      <w:r w:rsidR="00E04854" w:rsidRPr="00E67855">
        <w:rPr>
          <w:rFonts w:ascii="Times New Roman" w:eastAsia="Times New Roman" w:hAnsi="Times New Roman" w:cs="Times New Roman"/>
        </w:rPr>
        <w:t>d</w:t>
      </w:r>
      <w:r w:rsidR="00015C2E" w:rsidRPr="00E67855">
        <w:rPr>
          <w:rFonts w:ascii="Times New Roman" w:eastAsia="Times New Roman" w:hAnsi="Times New Roman" w:cs="Times New Roman"/>
        </w:rPr>
        <w:t>olescent</w:t>
      </w:r>
      <w:r w:rsidR="00E04854" w:rsidRPr="00E67855">
        <w:rPr>
          <w:rFonts w:ascii="Times New Roman" w:eastAsia="Times New Roman" w:hAnsi="Times New Roman" w:cs="Times New Roman"/>
        </w:rPr>
        <w:t>s</w:t>
      </w:r>
      <w:r w:rsidR="00015C2E" w:rsidRPr="00E67855">
        <w:rPr>
          <w:rFonts w:ascii="Times New Roman" w:eastAsia="Times New Roman" w:hAnsi="Times New Roman" w:cs="Times New Roman"/>
        </w:rPr>
        <w:t xml:space="preserve"> and young people, 42 care givers and 55 general population)</w:t>
      </w:r>
      <w:r w:rsidRPr="00E67855">
        <w:rPr>
          <w:rFonts w:ascii="Times New Roman" w:eastAsia="Times New Roman" w:hAnsi="Times New Roman" w:cs="Times New Roman"/>
        </w:rPr>
        <w:t xml:space="preserve"> remained actively engaged in treatment, corresponding to an overall retention rate of 88%. Retention varied across LGAs, with Karim Lamido recording the</w:t>
      </w:r>
      <w:r w:rsidRPr="00364063">
        <w:rPr>
          <w:rFonts w:ascii="Times New Roman" w:eastAsia="Times New Roman" w:hAnsi="Times New Roman" w:cs="Times New Roman"/>
        </w:rPr>
        <w:t xml:space="preserve"> highest retention (95%), followed by </w:t>
      </w:r>
      <w:proofErr w:type="spellStart"/>
      <w:r w:rsidRPr="00364063">
        <w:rPr>
          <w:rFonts w:ascii="Times New Roman" w:eastAsia="Times New Roman" w:hAnsi="Times New Roman" w:cs="Times New Roman"/>
        </w:rPr>
        <w:t>Ussa</w:t>
      </w:r>
      <w:proofErr w:type="spellEnd"/>
      <w:r w:rsidRPr="00364063">
        <w:rPr>
          <w:rFonts w:ascii="Times New Roman" w:eastAsia="Times New Roman" w:hAnsi="Times New Roman" w:cs="Times New Roman"/>
        </w:rPr>
        <w:t xml:space="preserve"> (81%) and Sardauna (73%). Among </w:t>
      </w:r>
      <w:r w:rsidR="00364063">
        <w:rPr>
          <w:rFonts w:ascii="Times New Roman" w:eastAsia="Times New Roman" w:hAnsi="Times New Roman" w:cs="Times New Roman"/>
        </w:rPr>
        <w:t>Children, adolescents, caregivers and general population</w:t>
      </w:r>
      <w:r w:rsidRPr="00364063">
        <w:rPr>
          <w:rFonts w:ascii="Times New Roman" w:eastAsia="Times New Roman" w:hAnsi="Times New Roman" w:cs="Times New Roman"/>
        </w:rPr>
        <w:t>s on antiretroviral therapy, 91 had valid viral load results, and 88 achieved viral suppression, corresponding to a suppression rate of 97%.</w:t>
      </w:r>
      <w:r w:rsidR="00015C2E" w:rsidRPr="00364063">
        <w:rPr>
          <w:rFonts w:ascii="Times New Roman" w:eastAsia="Times New Roman" w:hAnsi="Times New Roman" w:cs="Times New Roman"/>
        </w:rPr>
        <w:t xml:space="preserve"> </w:t>
      </w:r>
    </w:p>
    <w:p w14:paraId="7F9B22EF" w14:textId="77777777" w:rsidR="003726C7" w:rsidRPr="00364063" w:rsidRDefault="003726C7" w:rsidP="00015C2E">
      <w:pPr>
        <w:spacing w:after="0" w:line="240" w:lineRule="auto"/>
        <w:jc w:val="both"/>
        <w:rPr>
          <w:rFonts w:ascii="Times New Roman" w:eastAsia="Times New Roman" w:hAnsi="Times New Roman" w:cs="Times New Roman"/>
        </w:rPr>
      </w:pPr>
      <w:r w:rsidRPr="00364063">
        <w:rPr>
          <w:rFonts w:ascii="Times New Roman" w:eastAsia="Times New Roman" w:hAnsi="Times New Roman" w:cs="Times New Roman"/>
          <w:b/>
          <w:bCs/>
        </w:rPr>
        <w:t>Conclusion:</w:t>
      </w:r>
      <w:r w:rsidRPr="00364063">
        <w:rPr>
          <w:rFonts w:ascii="Times New Roman" w:eastAsia="Times New Roman" w:hAnsi="Times New Roman" w:cs="Times New Roman"/>
        </w:rPr>
        <w:t xml:space="preserve"> The intervention demonstrated strong performance across the HIV care cascade, with high linkage to care, substantial retention, and excellent viral suppression outcomes among children, caregivers, and community members. Community-based case finding combined with differentiated service delivery and integrated psychosocial support can </w:t>
      </w:r>
      <w:r w:rsidRPr="00364063">
        <w:rPr>
          <w:rFonts w:ascii="Times New Roman" w:eastAsia="Times New Roman" w:hAnsi="Times New Roman" w:cs="Times New Roman"/>
        </w:rPr>
        <w:lastRenderedPageBreak/>
        <w:t>significantly improve HIV treatment outcomes in resource-limited settings. Scaling up such approaches may help close retention gaps and accelerate progress toward HIV epidemic control in Nigeria.</w:t>
      </w:r>
    </w:p>
    <w:p w14:paraId="7CF11F21" w14:textId="107D3AEF" w:rsidR="00850A80" w:rsidRPr="00364063" w:rsidRDefault="00850A80" w:rsidP="00015C2E">
      <w:pPr>
        <w:spacing w:after="0" w:line="240" w:lineRule="auto"/>
        <w:jc w:val="both"/>
        <w:rPr>
          <w:rFonts w:ascii="Times New Roman" w:eastAsia="Times New Roman" w:hAnsi="Times New Roman" w:cs="Times New Roman"/>
          <w:b/>
        </w:rPr>
      </w:pPr>
      <w:r w:rsidRPr="00364063">
        <w:rPr>
          <w:rFonts w:ascii="Times New Roman" w:hAnsi="Times New Roman" w:cs="Times New Roman"/>
          <w:b/>
        </w:rPr>
        <w:t>Keywords:</w:t>
      </w:r>
      <w:r w:rsidRPr="00364063">
        <w:rPr>
          <w:rFonts w:ascii="Times New Roman" w:hAnsi="Times New Roman" w:cs="Times New Roman"/>
        </w:rPr>
        <w:t xml:space="preserve"> HIV care cascade; Children living with HIV; Retention in HIV care; Community-based HIV testing; Viral suppression; Differentiated service delivery; Nigeria.</w:t>
      </w:r>
    </w:p>
    <w:p w14:paraId="246FF6F6" w14:textId="77777777" w:rsidR="001A097D" w:rsidRPr="00364063" w:rsidRDefault="001A097D" w:rsidP="00015C2E">
      <w:pPr>
        <w:pStyle w:val="Heading2"/>
        <w:spacing w:line="240" w:lineRule="auto"/>
        <w:rPr>
          <w:rFonts w:ascii="Times New Roman" w:hAnsi="Times New Roman" w:cs="Times New Roman"/>
          <w:color w:val="auto"/>
          <w:sz w:val="24"/>
          <w:szCs w:val="24"/>
        </w:rPr>
      </w:pPr>
      <w:r w:rsidRPr="00364063">
        <w:rPr>
          <w:rStyle w:val="Strong"/>
          <w:rFonts w:ascii="Times New Roman" w:hAnsi="Times New Roman" w:cs="Times New Roman"/>
          <w:bCs w:val="0"/>
          <w:color w:val="auto"/>
          <w:sz w:val="24"/>
          <w:szCs w:val="24"/>
        </w:rPr>
        <w:t>Introduction</w:t>
      </w:r>
    </w:p>
    <w:p w14:paraId="74DCD361" w14:textId="627890B8" w:rsidR="00485DDA" w:rsidRPr="00364063" w:rsidRDefault="00485DDA" w:rsidP="00015C2E">
      <w:pPr>
        <w:pStyle w:val="NormalWeb"/>
        <w:tabs>
          <w:tab w:val="left" w:pos="5130"/>
        </w:tabs>
        <w:jc w:val="both"/>
      </w:pPr>
      <w:r w:rsidRPr="00364063">
        <w:t xml:space="preserve">Human Immunodeficiency Virus (HIV) remains a major global public health challenge despite substantial progress in prevention, diagnosis, and treatment over the past three decades. According to the Joint United Nations </w:t>
      </w:r>
      <w:proofErr w:type="spellStart"/>
      <w:r w:rsidRPr="00364063">
        <w:t>Programme</w:t>
      </w:r>
      <w:proofErr w:type="spellEnd"/>
      <w:r w:rsidRPr="00364063">
        <w:t xml:space="preserve"> on HIV/AIDS (UNAIDS), an estimated </w:t>
      </w:r>
      <w:r w:rsidRPr="00364063">
        <w:rPr>
          <w:bCs/>
        </w:rPr>
        <w:t>39 million people were living with HIV globally in 2023</w:t>
      </w:r>
      <w:r w:rsidRPr="00364063">
        <w:t xml:space="preserve">, with approximately </w:t>
      </w:r>
      <w:r w:rsidRPr="00364063">
        <w:rPr>
          <w:bCs/>
        </w:rPr>
        <w:t>1.3 million new infections and 630,000 AIDS-related deaths recorded in the same year</w:t>
      </w:r>
      <w:r w:rsidRPr="00364063">
        <w:t xml:space="preserve"> (UNAIDS, 2024). The global expansion of antiretroviral therapy (ART) has significantly reduced HIV-related morbidity and mortality, transforming HIV into a manageable chronic condition for many </w:t>
      </w:r>
      <w:r w:rsidR="00364063">
        <w:t>Children, adolescents, caregivers and general population</w:t>
      </w:r>
      <w:r w:rsidRPr="00364063">
        <w:t xml:space="preserve">s. However, major gaps persist across the HIV care cascade, particularly in diagnosis, timely linkage to treatment, and long-term retention in care especially among children and adolescent. To accelerate progress toward ending AIDS as a public health threat by 2030, UNAIDS introduced the </w:t>
      </w:r>
      <w:r w:rsidRPr="00364063">
        <w:rPr>
          <w:bCs/>
        </w:rPr>
        <w:t>95–95–95 targets</w:t>
      </w:r>
      <w:r w:rsidRPr="00364063">
        <w:t xml:space="preserve">, which aim for 95% of people living with HIV to know their status, 95% of those diagnosed to receive sustained ART, and 95% of </w:t>
      </w:r>
      <w:r w:rsidR="00364063">
        <w:t>Children, adolescents, caregivers and general population</w:t>
      </w:r>
      <w:r w:rsidRPr="00364063">
        <w:t>s on treatment to achieve viral suppression (UNAIDS, 2021).</w:t>
      </w:r>
    </w:p>
    <w:p w14:paraId="56A636CF" w14:textId="77777777" w:rsidR="00485DDA" w:rsidRPr="00364063" w:rsidRDefault="00485DDA" w:rsidP="00015C2E">
      <w:pPr>
        <w:pStyle w:val="NormalWeb"/>
        <w:jc w:val="both"/>
      </w:pPr>
      <w:r w:rsidRPr="00364063">
        <w:t xml:space="preserve">Despite these global commitments, progress toward the HIV targets remains uneven across populations and geographic regions. Children and adolescents continue to experience significant disparities in access to HIV services. Globally, only </w:t>
      </w:r>
      <w:r w:rsidRPr="00364063">
        <w:rPr>
          <w:bCs/>
        </w:rPr>
        <w:t>57% of children aged 0–14 years living with HIV were receiving antiretroviral therapy compared with approximately 77% of adults</w:t>
      </w:r>
      <w:r w:rsidRPr="00364063">
        <w:t>, highlighting persistent gaps in pediatric HIV diagnosis and treatment coverage (World Health Organization [WHO], 2023). Adolescents and young people face additional challenges including stigma, inadequate youth-friendly services, and weak follow-up systems, which contribute to poor adherence and retention in treatment programs (UNICEF, 2023). These disparities underscore the need for targeted interventions that strengthen the HIV care continuum among vulnerable populations, particularly children and adolescents living with HIV and their caregivers.</w:t>
      </w:r>
    </w:p>
    <w:p w14:paraId="419185BB" w14:textId="0E6242E3" w:rsidR="00485DDA" w:rsidRPr="00364063" w:rsidRDefault="00485DDA" w:rsidP="00015C2E">
      <w:pPr>
        <w:pStyle w:val="NormalWeb"/>
        <w:jc w:val="both"/>
      </w:pPr>
      <w:r w:rsidRPr="00364063">
        <w:t xml:space="preserve">Sub-Saharan Africa remains the region most affected by the HIV epidemic, accounting for nearly </w:t>
      </w:r>
      <w:r w:rsidRPr="00364063">
        <w:rPr>
          <w:bCs/>
        </w:rPr>
        <w:t>two-thirds of all people living with HIV globally</w:t>
      </w:r>
      <w:r w:rsidRPr="00364063">
        <w:t xml:space="preserve"> (UNAIDS, 2024). Although substantial progress has been made in expanding HIV testing and treatment coverage across the region, gaps persist in identifying undiagnosed </w:t>
      </w:r>
      <w:r w:rsidR="00253320" w:rsidRPr="00364063">
        <w:t xml:space="preserve">children and </w:t>
      </w:r>
      <w:r w:rsidR="004E60F2" w:rsidRPr="00364063">
        <w:t>adolescents</w:t>
      </w:r>
      <w:r w:rsidRPr="00364063">
        <w:t xml:space="preserve"> and ensuring sustained engagement in care following diagnosis. Community-based HIV service delivery models have therefore become increasingly important in addressing these gaps. Approaches such as household HIV testing, index testing, and community outreach programs have demonstrated effectiveness in improving HIV case identification and early diagnosis among underserved populations (Suthar </w:t>
      </w:r>
      <w:r w:rsidR="00E67855" w:rsidRPr="00E67855">
        <w:rPr>
          <w:i/>
          <w:iCs/>
        </w:rPr>
        <w:t>et al</w:t>
      </w:r>
      <w:r w:rsidRPr="00364063">
        <w:t xml:space="preserve">., 2013; Sharma </w:t>
      </w:r>
      <w:r w:rsidR="00E67855" w:rsidRPr="00E67855">
        <w:rPr>
          <w:i/>
          <w:iCs/>
        </w:rPr>
        <w:t>et al</w:t>
      </w:r>
      <w:r w:rsidRPr="00364063">
        <w:t xml:space="preserve">., 2015). However, evidence indicates that HIV testing alone is insufficient to ensure successful outcomes across the care cascade unless accompanied by effective systems for linkage to care and long-term retention in treatment (Govindasamy </w:t>
      </w:r>
      <w:r w:rsidR="00E67855" w:rsidRPr="00E67855">
        <w:rPr>
          <w:i/>
          <w:iCs/>
        </w:rPr>
        <w:t>et al</w:t>
      </w:r>
      <w:r w:rsidRPr="00364063">
        <w:t>., 2014).</w:t>
      </w:r>
    </w:p>
    <w:p w14:paraId="06C42B4F" w14:textId="77777777" w:rsidR="00485DDA" w:rsidRPr="00364063" w:rsidRDefault="00485DDA" w:rsidP="00015C2E">
      <w:pPr>
        <w:pStyle w:val="NormalWeb"/>
        <w:jc w:val="both"/>
      </w:pPr>
      <w:r w:rsidRPr="00364063">
        <w:t xml:space="preserve">Nigeria has the largest HIV epidemic in West and Central Africa and remains one of the countries with the highest number of people living with HIV globally. The </w:t>
      </w:r>
      <w:r w:rsidRPr="00364063">
        <w:rPr>
          <w:bCs/>
        </w:rPr>
        <w:t xml:space="preserve">Nigeria HIV/AIDS </w:t>
      </w:r>
      <w:r w:rsidRPr="00364063">
        <w:rPr>
          <w:bCs/>
        </w:rPr>
        <w:lastRenderedPageBreak/>
        <w:t>Indicator and Impact Survey (NAIIS)</w:t>
      </w:r>
      <w:r w:rsidRPr="00364063">
        <w:t xml:space="preserve"> estimated that approximately </w:t>
      </w:r>
      <w:r w:rsidRPr="00364063">
        <w:rPr>
          <w:bCs/>
        </w:rPr>
        <w:t>1.9 million people were living with HIV in Nigeria</w:t>
      </w:r>
      <w:r w:rsidRPr="00364063">
        <w:t xml:space="preserve">, with a national prevalence of about </w:t>
      </w:r>
      <w:r w:rsidRPr="00364063">
        <w:rPr>
          <w:bCs/>
        </w:rPr>
        <w:t>1.4% among adults aged 15–49 years</w:t>
      </w:r>
      <w:r w:rsidRPr="00364063">
        <w:t xml:space="preserve"> (National Agency for the Control of AIDS [NACA], 2019). Although the country has made considerable progress in expanding HIV testing and treatment services in recent years, significant disparities persist across states and regions. The Nigerian HIV epidemic is highly heterogeneous, with some states experiencing substantially higher HIV prevalence and lower treatment coverage than national averages (NACA, 2021). Structural barriers such as stigma and discrimination, weak health infrastructure, long travel distances to treatment facilities, and shortages of trained healthcare workers continue to limit access to HIV services, particularly in rural and underserved and hard to reach communities.</w:t>
      </w:r>
    </w:p>
    <w:p w14:paraId="2EBE170B" w14:textId="5B74D7C5" w:rsidR="00485DDA" w:rsidRPr="00364063" w:rsidRDefault="00485DDA" w:rsidP="00015C2E">
      <w:pPr>
        <w:pStyle w:val="NormalWeb"/>
        <w:jc w:val="both"/>
      </w:pPr>
      <w:r w:rsidRPr="00364063">
        <w:t xml:space="preserve">Taraba State, located in northeastern Nigeria, represents one of the high-burden HIV settings in the country. The state has an estimated population of approximately </w:t>
      </w:r>
      <w:r w:rsidRPr="00364063">
        <w:rPr>
          <w:bCs/>
        </w:rPr>
        <w:t>three million people and an HIV prevalence of about 2.9%, which is above the national average and the highest in northeastern Nigeria</w:t>
      </w:r>
      <w:r w:rsidRPr="00364063">
        <w:t xml:space="preserve"> (NACA, 2021). It is estimated that </w:t>
      </w:r>
      <w:r w:rsidRPr="00364063">
        <w:rPr>
          <w:bCs/>
        </w:rPr>
        <w:t xml:space="preserve">89,100 people are living with HIV in the state; however, only about 35,100 </w:t>
      </w:r>
      <w:r w:rsidR="00364063">
        <w:rPr>
          <w:bCs/>
        </w:rPr>
        <w:t>Children, adolescents, caregivers and general population</w:t>
      </w:r>
      <w:r w:rsidRPr="00364063">
        <w:rPr>
          <w:bCs/>
        </w:rPr>
        <w:t>s are currently receiving antiretroviral therapy</w:t>
      </w:r>
      <w:r w:rsidRPr="00364063">
        <w:t xml:space="preserve">, leaving </w:t>
      </w:r>
      <w:r w:rsidRPr="00364063">
        <w:rPr>
          <w:bCs/>
        </w:rPr>
        <w:t xml:space="preserve">more than 50,000 </w:t>
      </w:r>
      <w:r w:rsidR="00364063">
        <w:rPr>
          <w:bCs/>
        </w:rPr>
        <w:t>Children, adolescents, caregivers and general population</w:t>
      </w:r>
      <w:r w:rsidRPr="00364063">
        <w:rPr>
          <w:bCs/>
        </w:rPr>
        <w:t>s living with HIV unidentified or not enrolled in treatment services</w:t>
      </w:r>
      <w:r w:rsidRPr="00364063">
        <w:t>. This substantial treatment gap reflects persistent challenges in HIV case identification, linkage to care, and retention in treatment services within the state.</w:t>
      </w:r>
    </w:p>
    <w:p w14:paraId="4D86D451" w14:textId="77777777" w:rsidR="00485DDA" w:rsidRPr="00364063" w:rsidRDefault="00485DDA" w:rsidP="00015C2E">
      <w:pPr>
        <w:pStyle w:val="NormalWeb"/>
        <w:jc w:val="both"/>
      </w:pPr>
      <w:r w:rsidRPr="00364063">
        <w:t xml:space="preserve">Since </w:t>
      </w:r>
      <w:r w:rsidRPr="00364063">
        <w:rPr>
          <w:bCs/>
        </w:rPr>
        <w:t>April 2015</w:t>
      </w:r>
      <w:r w:rsidRPr="00364063">
        <w:t xml:space="preserve">, when the Federal Government of Nigeria assumed responsibility for HIV program coordination through the National Agency for the Control of AIDS (NACA), Taraba State has experienced several disruptions in HIV service delivery. These disruptions include </w:t>
      </w:r>
      <w:r w:rsidRPr="00364063">
        <w:rPr>
          <w:bCs/>
        </w:rPr>
        <w:t>reduced community-based HIV testing activities, recurrent stock-outs of HIV rapid test kits and antiretroviral medicines, and inconsistent viral load diagnostic services due to limited maintenance of laboratory equipment</w:t>
      </w:r>
      <w:r w:rsidRPr="00364063">
        <w:t>. Such disruptions have weakened HIV program performance and reduced access to essential HIV services in many communities.</w:t>
      </w:r>
    </w:p>
    <w:p w14:paraId="488C00AA" w14:textId="77777777" w:rsidR="00485DDA" w:rsidRPr="00364063" w:rsidRDefault="00485DDA" w:rsidP="00015C2E">
      <w:pPr>
        <w:pStyle w:val="NormalWeb"/>
        <w:jc w:val="both"/>
      </w:pPr>
      <w:r w:rsidRPr="00364063">
        <w:t xml:space="preserve">The </w:t>
      </w:r>
      <w:r w:rsidRPr="00364063">
        <w:rPr>
          <w:bCs/>
        </w:rPr>
        <w:t>COVID-19 pandemic</w:t>
      </w:r>
      <w:r w:rsidRPr="00364063">
        <w:t xml:space="preserve"> further exacerbated these challenges by disrupting essential health services worldwide, including HIV testing and treatment programs. Globally, the pandemic significantly affected HIV service delivery, particularly in low- and middle-income countries (WHO, 2021). Programmatic assessments conducted in Taraba State during the COVID-19 lockdown revealed substantial declines in HIV testing and diagnosis among children and adolescents. Pediatric HIV testing declined by approximately </w:t>
      </w:r>
      <w:r w:rsidRPr="00364063">
        <w:rPr>
          <w:bCs/>
        </w:rPr>
        <w:t>55%</w:t>
      </w:r>
      <w:r w:rsidRPr="00364063">
        <w:t xml:space="preserve">, while pediatric HIV diagnoses declined by </w:t>
      </w:r>
      <w:r w:rsidRPr="00364063">
        <w:rPr>
          <w:bCs/>
        </w:rPr>
        <w:t>60%</w:t>
      </w:r>
      <w:r w:rsidRPr="00364063">
        <w:t xml:space="preserve"> across the state during the lockdown period. Similarly, testing and diagnoses among older adolescents declined by </w:t>
      </w:r>
      <w:r w:rsidRPr="00364063">
        <w:rPr>
          <w:bCs/>
        </w:rPr>
        <w:t>48% and 39%, respectively</w:t>
      </w:r>
      <w:r w:rsidRPr="00364063">
        <w:t>, demonstrating the significant impact of the pandemic on HIV case identification among younger populations.</w:t>
      </w:r>
    </w:p>
    <w:p w14:paraId="3E026069" w14:textId="7D34D8B6" w:rsidR="00485DDA" w:rsidRPr="00364063" w:rsidRDefault="00485DDA" w:rsidP="00015C2E">
      <w:pPr>
        <w:pStyle w:val="NormalWeb"/>
        <w:jc w:val="both"/>
      </w:pPr>
      <w:r w:rsidRPr="00364063">
        <w:t xml:space="preserve">Beyond health system disruptions, several structural and social barriers continue to undermine progress toward achieving HIV epidemic control in Taraba State. High levels of </w:t>
      </w:r>
      <w:r w:rsidRPr="00364063">
        <w:rPr>
          <w:bCs/>
        </w:rPr>
        <w:t>stigma and discrimination against people living with HIV within communities and sometimes within healthcare settings discourage caregivers and their children from seeking HIV testing and treatment services</w:t>
      </w:r>
      <w:r w:rsidRPr="00364063">
        <w:t xml:space="preserve">. HIV-related stigma has been widely documented as a major barrier to treatment uptake and retention across sub-Saharan Africa (Stangl </w:t>
      </w:r>
      <w:r w:rsidR="00E67855" w:rsidRPr="00E67855">
        <w:rPr>
          <w:i/>
          <w:iCs/>
        </w:rPr>
        <w:t>et al</w:t>
      </w:r>
      <w:r w:rsidRPr="00364063">
        <w:t>., 2013). In addition, weak follow-up systems for HIV-exposed infants contribute to missed opportunities for early infant diagnosis and confirmatory testing at 18 months, resulting in delayed treatment initiation among children living with HIV (WHO, 2023).</w:t>
      </w:r>
    </w:p>
    <w:p w14:paraId="7C397023" w14:textId="77777777" w:rsidR="00485DDA" w:rsidRPr="00364063" w:rsidRDefault="00485DDA" w:rsidP="00015C2E">
      <w:pPr>
        <w:pStyle w:val="NormalWeb"/>
        <w:jc w:val="both"/>
      </w:pPr>
      <w:r w:rsidRPr="00364063">
        <w:lastRenderedPageBreak/>
        <w:t xml:space="preserve">The absence of </w:t>
      </w:r>
      <w:r w:rsidRPr="00364063">
        <w:rPr>
          <w:bCs/>
        </w:rPr>
        <w:t>family-centered approaches to HIV care</w:t>
      </w:r>
      <w:r w:rsidRPr="00364063">
        <w:t xml:space="preserve"> in many primary healthcare facilities further contributes to fragmentation of services. Caregivers and their children are often referred to different treatment facilities, increasing the likelihood of loss to follow-up during transitions in care. Additional barriers include poor child-friendly environments in health facilities, shortages of trained healthcare workers in rural and conflict-affected communities, recurrent stock-outs of pediatric antiretroviral medicines, and long travel distances to treatment centers. These challenges disproportionately affect children living with HIV and their caregivers, who often face financial, social, and logistical constraints in accessing care.</w:t>
      </w:r>
    </w:p>
    <w:p w14:paraId="428FE04E" w14:textId="07BA8C45" w:rsidR="00485DDA" w:rsidRPr="00364063" w:rsidRDefault="00485DDA" w:rsidP="00015C2E">
      <w:pPr>
        <w:pStyle w:val="NormalWeb"/>
        <w:jc w:val="both"/>
      </w:pPr>
      <w:r w:rsidRPr="00364063">
        <w:t xml:space="preserve">Community-based HIV service delivery models have therefore emerged as critical strategies for addressing gaps in HIV diagnosis and retention in care in underserved communities. These approaches involve deploying trained community health workers, peer educators, and volunteers to deliver HIV services outside traditional healthcare facilities, including homes, schools, markets, and religious institutions. Community-based interventions have been shown to increase HIV testing uptake, improve early diagnosis, and strengthen treatment adherence and retention in care among vulnerable populations (Suthar </w:t>
      </w:r>
      <w:r w:rsidR="00E67855" w:rsidRPr="00E67855">
        <w:rPr>
          <w:i/>
          <w:iCs/>
        </w:rPr>
        <w:t>et al</w:t>
      </w:r>
      <w:r w:rsidRPr="00364063">
        <w:t xml:space="preserve">., 2013; Sharma </w:t>
      </w:r>
      <w:r w:rsidR="00E67855" w:rsidRPr="00E67855">
        <w:rPr>
          <w:i/>
          <w:iCs/>
        </w:rPr>
        <w:t>et al</w:t>
      </w:r>
      <w:r w:rsidRPr="00364063">
        <w:t>., 2015).</w:t>
      </w:r>
    </w:p>
    <w:p w14:paraId="249CF843" w14:textId="1A662FFA" w:rsidR="00485DDA" w:rsidRPr="00364063" w:rsidRDefault="00485DDA" w:rsidP="00015C2E">
      <w:pPr>
        <w:pStyle w:val="NormalWeb"/>
        <w:jc w:val="both"/>
      </w:pPr>
      <w:r w:rsidRPr="00364063">
        <w:t xml:space="preserve">However, ensuring sustained engagement in care after diagnosis remains a major challenge. Without deliberate follow-up mechanisms and adherence support systems, </w:t>
      </w:r>
      <w:r w:rsidR="00364063">
        <w:t>Children, adolescents, caregivers and general population</w:t>
      </w:r>
      <w:r w:rsidRPr="00364063">
        <w:t xml:space="preserve">s diagnosed with HIV through community testing programs may fail to initiate treatment or remain engaged in care (Govindasamy </w:t>
      </w:r>
      <w:r w:rsidR="00E67855" w:rsidRPr="00E67855">
        <w:rPr>
          <w:i/>
          <w:iCs/>
        </w:rPr>
        <w:t>et al</w:t>
      </w:r>
      <w:r w:rsidRPr="00364063">
        <w:t xml:space="preserve">., 2014). Addressing these challenges requires integrated approaches that combine community-based case finding with </w:t>
      </w:r>
      <w:r w:rsidRPr="00364063">
        <w:rPr>
          <w:bCs/>
        </w:rPr>
        <w:t>family-centered care models, active linkage strategies, and community-based adherence support mechanisms</w:t>
      </w:r>
      <w:r w:rsidRPr="00364063">
        <w:t>.</w:t>
      </w:r>
    </w:p>
    <w:p w14:paraId="34ECF9B5" w14:textId="4CA94595" w:rsidR="00485DDA" w:rsidRPr="00364063" w:rsidRDefault="00485DDA" w:rsidP="00015C2E">
      <w:pPr>
        <w:pStyle w:val="NormalWeb"/>
        <w:jc w:val="both"/>
      </w:pPr>
      <w:r w:rsidRPr="00364063">
        <w:t xml:space="preserve">In response to these gaps, a community-driven intervention was implemented by </w:t>
      </w:r>
      <w:r w:rsidR="00E8039A" w:rsidRPr="00364063">
        <w:t xml:space="preserve">the </w:t>
      </w:r>
      <w:r w:rsidRPr="00364063">
        <w:t xml:space="preserve">Centre </w:t>
      </w:r>
      <w:proofErr w:type="gramStart"/>
      <w:r w:rsidRPr="00364063">
        <w:t>For</w:t>
      </w:r>
      <w:proofErr w:type="gramEnd"/>
      <w:r w:rsidRPr="00364063">
        <w:t xml:space="preserve"> Initiative and Development (CFID) with support from </w:t>
      </w:r>
      <w:r w:rsidR="00E8039A" w:rsidRPr="00364063">
        <w:rPr>
          <w:bCs/>
        </w:rPr>
        <w:t>ViiV Positive Health Actions</w:t>
      </w:r>
      <w:r w:rsidR="00E8039A" w:rsidRPr="00364063">
        <w:t xml:space="preserve"> </w:t>
      </w:r>
      <w:r w:rsidRPr="00364063">
        <w:t xml:space="preserve">across selected communities in Taraba State to strengthen retention in HIV care among </w:t>
      </w:r>
      <w:r w:rsidRPr="00364063">
        <w:rPr>
          <w:bCs/>
        </w:rPr>
        <w:t>children living with HIV and their caregivers</w:t>
      </w:r>
      <w:r w:rsidRPr="00364063">
        <w:t xml:space="preserve">. The intervention leveraged trained community health workers, mentor mothers, and community volunteers to conduct targeted HIV case-finding and follow-up in households, schools, orphanages, markets, and religious institutions. Key strategies included differentiated service delivery, </w:t>
      </w:r>
      <w:r w:rsidRPr="00364063">
        <w:rPr>
          <w:bCs/>
        </w:rPr>
        <w:t>family-centered HIV testing, index testing of household members, follow-up of HIV-exposed infants, treatment literacy for caregivers and adolescents, and community-based adherence support</w:t>
      </w:r>
      <w:r w:rsidRPr="00364063">
        <w:t xml:space="preserve"> designed to improve long-term engagement in HIV treatment services.</w:t>
      </w:r>
    </w:p>
    <w:p w14:paraId="023466A8" w14:textId="77777777" w:rsidR="00485DDA" w:rsidRPr="00364063" w:rsidRDefault="00485DDA" w:rsidP="00015C2E">
      <w:pPr>
        <w:pStyle w:val="NormalWeb"/>
        <w:jc w:val="both"/>
      </w:pPr>
      <w:r w:rsidRPr="00364063">
        <w:t xml:space="preserve">This study therefore examines </w:t>
      </w:r>
      <w:r w:rsidRPr="00364063">
        <w:rPr>
          <w:bCs/>
        </w:rPr>
        <w:t>one-year retention in care outcomes following the implementation of community-based interventions aimed at closing the gaps in retention in HIV care among children living with HIV and their caregivers in Taraba State, Nigeria</w:t>
      </w:r>
      <w:r w:rsidRPr="00364063">
        <w:t>, providing important evidence on the effectiveness of community-driven strategies in strengthening retention in HIV care in resource-constrained settings.</w:t>
      </w:r>
    </w:p>
    <w:p w14:paraId="7A0EB8E2" w14:textId="6071CA4A" w:rsidR="0010660F" w:rsidRPr="00364063" w:rsidRDefault="0010660F" w:rsidP="00015C2E">
      <w:pPr>
        <w:pStyle w:val="NormalWeb"/>
        <w:jc w:val="both"/>
        <w:rPr>
          <w:b/>
          <w:bCs/>
        </w:rPr>
      </w:pPr>
      <w:r w:rsidRPr="00364063">
        <w:rPr>
          <w:b/>
          <w:bCs/>
        </w:rPr>
        <w:t>Methods</w:t>
      </w:r>
    </w:p>
    <w:p w14:paraId="21D7A440" w14:textId="77777777" w:rsidR="0010660F" w:rsidRPr="00364063" w:rsidRDefault="0010660F" w:rsidP="00015C2E">
      <w:pPr>
        <w:spacing w:line="240" w:lineRule="auto"/>
        <w:jc w:val="both"/>
        <w:rPr>
          <w:rFonts w:ascii="Times New Roman" w:hAnsi="Times New Roman" w:cs="Times New Roman"/>
          <w:b/>
          <w:bCs/>
        </w:rPr>
      </w:pPr>
      <w:r w:rsidRPr="00364063">
        <w:rPr>
          <w:rFonts w:ascii="Times New Roman" w:hAnsi="Times New Roman" w:cs="Times New Roman"/>
          <w:b/>
          <w:bCs/>
        </w:rPr>
        <w:t>Study Design</w:t>
      </w:r>
    </w:p>
    <w:p w14:paraId="68C4DF53" w14:textId="77777777" w:rsidR="0010660F" w:rsidRPr="00364063" w:rsidRDefault="0010660F" w:rsidP="00015C2E">
      <w:pPr>
        <w:spacing w:line="240" w:lineRule="auto"/>
        <w:jc w:val="both"/>
        <w:rPr>
          <w:rFonts w:ascii="Times New Roman" w:hAnsi="Times New Roman" w:cs="Times New Roman"/>
          <w:bCs/>
        </w:rPr>
      </w:pPr>
      <w:r w:rsidRPr="00364063">
        <w:rPr>
          <w:rFonts w:ascii="Times New Roman" w:hAnsi="Times New Roman" w:cs="Times New Roman"/>
          <w:bCs/>
        </w:rPr>
        <w:t>This study employed a retrospective programmatic cohort design to evaluate linkage to care, retention, and viral suppression outcomes following implementation of a community-based HIV testing and facilitated linkage intervention. The analysis covered a one-year post-implementation period.</w:t>
      </w:r>
    </w:p>
    <w:p w14:paraId="63B85635" w14:textId="77777777" w:rsidR="0010660F" w:rsidRPr="00364063" w:rsidRDefault="0010660F" w:rsidP="00015C2E">
      <w:pPr>
        <w:spacing w:line="240" w:lineRule="auto"/>
        <w:jc w:val="both"/>
        <w:rPr>
          <w:rFonts w:ascii="Times New Roman" w:hAnsi="Times New Roman" w:cs="Times New Roman"/>
          <w:b/>
          <w:bCs/>
        </w:rPr>
      </w:pPr>
      <w:r w:rsidRPr="00364063">
        <w:rPr>
          <w:rFonts w:ascii="Times New Roman" w:hAnsi="Times New Roman" w:cs="Times New Roman"/>
          <w:b/>
          <w:bCs/>
        </w:rPr>
        <w:lastRenderedPageBreak/>
        <w:t>Study Setting</w:t>
      </w:r>
    </w:p>
    <w:p w14:paraId="31D00E0A" w14:textId="61E57783" w:rsidR="0010660F" w:rsidRPr="00364063" w:rsidRDefault="0010660F" w:rsidP="00015C2E">
      <w:pPr>
        <w:spacing w:line="240" w:lineRule="auto"/>
        <w:jc w:val="both"/>
        <w:rPr>
          <w:rFonts w:ascii="Times New Roman" w:hAnsi="Times New Roman" w:cs="Times New Roman"/>
          <w:bCs/>
        </w:rPr>
      </w:pPr>
      <w:r w:rsidRPr="00364063">
        <w:rPr>
          <w:rFonts w:ascii="Times New Roman" w:hAnsi="Times New Roman" w:cs="Times New Roman"/>
          <w:bCs/>
        </w:rPr>
        <w:t xml:space="preserve">The intervention was conducted in three rural and hard-to-reach Local Government Areas (LGAs) of Taraba State, Nigeria: Karim-Lamido, Sardauna, and </w:t>
      </w:r>
      <w:proofErr w:type="spellStart"/>
      <w:r w:rsidRPr="00364063">
        <w:rPr>
          <w:rFonts w:ascii="Times New Roman" w:hAnsi="Times New Roman" w:cs="Times New Roman"/>
          <w:bCs/>
        </w:rPr>
        <w:t>Ussa</w:t>
      </w:r>
      <w:proofErr w:type="spellEnd"/>
      <w:r w:rsidRPr="00364063">
        <w:rPr>
          <w:rFonts w:ascii="Times New Roman" w:hAnsi="Times New Roman" w:cs="Times New Roman"/>
          <w:bCs/>
        </w:rPr>
        <w:t xml:space="preserve">. These LGAs are characterized by dispersed </w:t>
      </w:r>
      <w:r w:rsidR="0081285A" w:rsidRPr="00364063">
        <w:rPr>
          <w:rFonts w:ascii="Times New Roman" w:hAnsi="Times New Roman" w:cs="Times New Roman"/>
          <w:bCs/>
        </w:rPr>
        <w:t xml:space="preserve">and hard-to-reach </w:t>
      </w:r>
      <w:r w:rsidRPr="00364063">
        <w:rPr>
          <w:rFonts w:ascii="Times New Roman" w:hAnsi="Times New Roman" w:cs="Times New Roman"/>
          <w:bCs/>
        </w:rPr>
        <w:t>settlements, limited access to facility-based services, and documented HIV burden. Community-based HIV testing services were implemented in collaboration with local stakeholders and health facilities providing antiretroviral therapy (ART).</w:t>
      </w:r>
    </w:p>
    <w:p w14:paraId="193DE4C9" w14:textId="54764696" w:rsidR="0010660F" w:rsidRPr="00364063" w:rsidRDefault="0010660F" w:rsidP="00015C2E">
      <w:pPr>
        <w:spacing w:line="240" w:lineRule="auto"/>
        <w:jc w:val="both"/>
        <w:rPr>
          <w:rFonts w:ascii="Times New Roman" w:hAnsi="Times New Roman" w:cs="Times New Roman"/>
          <w:b/>
        </w:rPr>
      </w:pPr>
      <w:r w:rsidRPr="00364063">
        <w:rPr>
          <w:rFonts w:ascii="Times New Roman" w:hAnsi="Times New Roman" w:cs="Times New Roman"/>
          <w:b/>
          <w:noProof/>
        </w:rPr>
        <w:drawing>
          <wp:anchor distT="0" distB="0" distL="114300" distR="114300" simplePos="0" relativeHeight="251680768" behindDoc="0" locked="0" layoutInCell="1" allowOverlap="1" wp14:anchorId="571CF09B" wp14:editId="0C474400">
            <wp:simplePos x="0" y="0"/>
            <wp:positionH relativeFrom="margin">
              <wp:posOffset>0</wp:posOffset>
            </wp:positionH>
            <wp:positionV relativeFrom="paragraph">
              <wp:posOffset>304165</wp:posOffset>
            </wp:positionV>
            <wp:extent cx="2108200" cy="2314575"/>
            <wp:effectExtent l="0" t="0" r="635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2314575"/>
                    </a:xfrm>
                    <a:prstGeom prst="rect">
                      <a:avLst/>
                    </a:prstGeom>
                    <a:noFill/>
                  </pic:spPr>
                </pic:pic>
              </a:graphicData>
            </a:graphic>
          </wp:anchor>
        </w:drawing>
      </w:r>
      <w:r w:rsidR="000C61F2">
        <w:rPr>
          <w:rFonts w:ascii="Times New Roman" w:hAnsi="Times New Roman" w:cs="Times New Roman"/>
          <w:b/>
        </w:rPr>
        <w:t>Image</w:t>
      </w:r>
      <w:r w:rsidRPr="00364063">
        <w:rPr>
          <w:rFonts w:ascii="Times New Roman" w:hAnsi="Times New Roman" w:cs="Times New Roman"/>
          <w:b/>
        </w:rPr>
        <w:t xml:space="preserve"> 1: Map of Taraba State showing LGAs of Intervention </w:t>
      </w:r>
    </w:p>
    <w:p w14:paraId="767EA598" w14:textId="77777777" w:rsidR="0010660F" w:rsidRPr="00364063" w:rsidRDefault="0010660F" w:rsidP="00015C2E">
      <w:pPr>
        <w:spacing w:after="0" w:line="240" w:lineRule="auto"/>
        <w:rPr>
          <w:rFonts w:ascii="Times New Roman" w:hAnsi="Times New Roman" w:cs="Times New Roman"/>
          <w:lang w:val="en-GB"/>
        </w:rPr>
      </w:pPr>
    </w:p>
    <w:p w14:paraId="73A3A95C" w14:textId="77777777" w:rsidR="0010660F" w:rsidRPr="00364063" w:rsidRDefault="0010660F" w:rsidP="00015C2E">
      <w:pPr>
        <w:spacing w:after="0" w:line="240" w:lineRule="auto"/>
        <w:rPr>
          <w:rFonts w:ascii="Times New Roman" w:hAnsi="Times New Roman" w:cs="Times New Roman"/>
          <w:lang w:val="en-GB"/>
        </w:rPr>
      </w:pPr>
      <w:r w:rsidRPr="00364063">
        <w:rPr>
          <w:rFonts w:ascii="Times New Roman" w:hAnsi="Times New Roman" w:cs="Times New Roman"/>
          <w:noProof/>
        </w:rPr>
        <mc:AlternateContent>
          <mc:Choice Requires="wps">
            <w:drawing>
              <wp:anchor distT="45720" distB="45720" distL="114300" distR="114300" simplePos="0" relativeHeight="251678720" behindDoc="0" locked="0" layoutInCell="1" allowOverlap="1" wp14:anchorId="250877BD" wp14:editId="50E648ED">
                <wp:simplePos x="0" y="0"/>
                <wp:positionH relativeFrom="column">
                  <wp:posOffset>181952</wp:posOffset>
                </wp:positionH>
                <wp:positionV relativeFrom="paragraph">
                  <wp:posOffset>8402</wp:posOffset>
                </wp:positionV>
                <wp:extent cx="1777365" cy="477520"/>
                <wp:effectExtent l="0" t="0" r="13335" b="17780"/>
                <wp:wrapSquare wrapText="bothSides"/>
                <wp:docPr id="1626981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77520"/>
                        </a:xfrm>
                        <a:prstGeom prst="rect">
                          <a:avLst/>
                        </a:prstGeom>
                        <a:solidFill>
                          <a:srgbClr val="FFFFFF"/>
                        </a:solidFill>
                        <a:ln w="9525">
                          <a:solidFill>
                            <a:srgbClr val="000000"/>
                          </a:solidFill>
                          <a:miter lim="800000"/>
                          <a:headEnd/>
                          <a:tailEnd/>
                        </a:ln>
                      </wps:spPr>
                      <wps:txbx>
                        <w:txbxContent>
                          <w:p w14:paraId="06434D7D" w14:textId="77777777" w:rsidR="0010660F" w:rsidRPr="00EC3258" w:rsidRDefault="0010660F" w:rsidP="0010660F">
                            <w:pPr>
                              <w:spacing w:after="0"/>
                              <w:jc w:val="right"/>
                              <w:rPr>
                                <w:b/>
                                <w:bCs/>
                                <w:sz w:val="20"/>
                                <w:szCs w:val="20"/>
                              </w:rPr>
                            </w:pPr>
                            <w:r w:rsidRPr="00EC3258">
                              <w:rPr>
                                <w:b/>
                                <w:bCs/>
                                <w:sz w:val="20"/>
                                <w:szCs w:val="20"/>
                              </w:rPr>
                              <w:t>Legend</w:t>
                            </w:r>
                          </w:p>
                          <w:p w14:paraId="5F0071B3" w14:textId="77777777" w:rsidR="0010660F" w:rsidRDefault="0010660F" w:rsidP="0010660F">
                            <w:pPr>
                              <w:spacing w:line="240" w:lineRule="auto"/>
                              <w:rPr>
                                <w:sz w:val="20"/>
                                <w:szCs w:val="20"/>
                              </w:rPr>
                            </w:pPr>
                            <w:r w:rsidRPr="00EC3258">
                              <w:rPr>
                                <w:sz w:val="20"/>
                                <w:szCs w:val="20"/>
                              </w:rPr>
                              <w:t>LGAs of Intervention</w:t>
                            </w:r>
                          </w:p>
                          <w:p w14:paraId="2F16D032" w14:textId="77777777" w:rsidR="0010660F" w:rsidRPr="00EC3258" w:rsidRDefault="0010660F" w:rsidP="0010660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877BD" id="_x0000_t202" coordsize="21600,21600" o:spt="202" path="m,l,21600r21600,l21600,xe">
                <v:stroke joinstyle="miter"/>
                <v:path gradientshapeok="t" o:connecttype="rect"/>
              </v:shapetype>
              <v:shape id="Text Box 2" o:spid="_x0000_s1026" type="#_x0000_t202" style="position:absolute;margin-left:14.35pt;margin-top:.65pt;width:139.95pt;height:37.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hkEQIAAB8EAAAOAAAAZHJzL2Uyb0RvYy54bWysk81u2zAMx+8D9g6C7ouTLKlbI07Rpcsw&#10;oPsAuj0ALcuxMFnUJCV29/Sl5DQNuu0yzAdBNKm/yB+p1fXQaXaQzis0JZ9NppxJI7BWZlfy79+2&#10;by458wFMDRqNLPmD9Px6/frVqreFnGOLupaOkYjxRW9L3oZgiyzzopUd+AlaacjZoOsgkOl2We2g&#10;J/VOZ/Pp9CLr0dXWoZDe09/b0cnXSb9ppAhfmsbLwHTJKbeQVpfWKq7ZegXFzoFtlTimAf+QRQfK&#10;0KUnqVsIwPZO/SbVKeHQYxMmArsMm0YJmWqgambTF9Xct2BlqoXgeHvC5P+frPh8uLdfHQvDOxyo&#10;gakIb+9Q/PDM4KYFs5M3zmHfSqjp4llElvXWF8ejEbUvfBSp+k9YU5NhHzAJDY3rIhWqk5E6NeDh&#10;BF0OgYl4ZZ7nby+WnAnyLfJ8OU9dyaB4Om2dDx8kdixuSu6oqUkdDnc+xGygeAqJl3nUqt4qrZPh&#10;dtVGO3YAGoBt+lIBL8K0YX3Jr5bz5QjgrxLT9P1JolOBJlmrruSXpyAoIrb3pk5zFkDpcU8pa3Pk&#10;GNGNEMNQDRQYeVZYPxBRh+PE0gujTYvuF2c9TWvJ/c89OMmZ/mioK1ezxSKOdzIWy5wYMnfuqc49&#10;YARJlTxwNm43IT2JCMzgDXWvUQnscybHXGkKE+/ji4ljfm6nqOd3vX4EAAD//wMAUEsDBBQABgAI&#10;AAAAIQDgbXHA3AAAAAcBAAAPAAAAZHJzL2Rvd25yZXYueG1sTI7NTsMwEITvSLyDtUhcEHVoIAkh&#10;ToWQQHCDtoKrG2+TiHgdbDcNb89yguP8aOarVrMdxIQ+9I4UXC0SEEiNMz21Crabx8sCRIiajB4c&#10;oYJvDLCqT08qXRp3pDec1rEVPEKh1Aq6GMdSytB0aHVYuBGJs73zVkeWvpXG6yOP20EukySTVvfE&#10;D50e8aHD5nN9sAqK6+fpI7ykr+9Nth9u40U+PX15pc7P5vs7EBHn+FeGX3xGh5qZdu5AJohBwbLI&#10;ucl+CoLjNCkyEDsFeXYDsq7kf/76BwAA//8DAFBLAQItABQABgAIAAAAIQC2gziS/gAAAOEBAAAT&#10;AAAAAAAAAAAAAAAAAAAAAABbQ29udGVudF9UeXBlc10ueG1sUEsBAi0AFAAGAAgAAAAhADj9If/W&#10;AAAAlAEAAAsAAAAAAAAAAAAAAAAALwEAAF9yZWxzLy5yZWxzUEsBAi0AFAAGAAgAAAAhAFQYaGQR&#10;AgAAHwQAAA4AAAAAAAAAAAAAAAAALgIAAGRycy9lMm9Eb2MueG1sUEsBAi0AFAAGAAgAAAAhAOBt&#10;ccDcAAAABwEAAA8AAAAAAAAAAAAAAAAAawQAAGRycy9kb3ducmV2LnhtbFBLBQYAAAAABAAEAPMA&#10;AAB0BQAAAAA=&#10;">
                <v:textbox>
                  <w:txbxContent>
                    <w:p w14:paraId="06434D7D" w14:textId="77777777" w:rsidR="0010660F" w:rsidRPr="00EC3258" w:rsidRDefault="0010660F" w:rsidP="0010660F">
                      <w:pPr>
                        <w:spacing w:after="0"/>
                        <w:jc w:val="right"/>
                        <w:rPr>
                          <w:b/>
                          <w:bCs/>
                          <w:sz w:val="20"/>
                          <w:szCs w:val="20"/>
                        </w:rPr>
                      </w:pPr>
                      <w:r w:rsidRPr="00EC3258">
                        <w:rPr>
                          <w:b/>
                          <w:bCs/>
                          <w:sz w:val="20"/>
                          <w:szCs w:val="20"/>
                        </w:rPr>
                        <w:t>Legend</w:t>
                      </w:r>
                    </w:p>
                    <w:p w14:paraId="5F0071B3" w14:textId="77777777" w:rsidR="0010660F" w:rsidRDefault="0010660F" w:rsidP="0010660F">
                      <w:pPr>
                        <w:spacing w:line="240" w:lineRule="auto"/>
                        <w:rPr>
                          <w:sz w:val="20"/>
                          <w:szCs w:val="20"/>
                        </w:rPr>
                      </w:pPr>
                      <w:r w:rsidRPr="00EC3258">
                        <w:rPr>
                          <w:sz w:val="20"/>
                          <w:szCs w:val="20"/>
                        </w:rPr>
                        <w:t>LGAs of Intervention</w:t>
                      </w:r>
                    </w:p>
                    <w:p w14:paraId="2F16D032" w14:textId="77777777" w:rsidR="0010660F" w:rsidRPr="00EC3258" w:rsidRDefault="0010660F" w:rsidP="0010660F">
                      <w:pPr>
                        <w:rPr>
                          <w:sz w:val="20"/>
                          <w:szCs w:val="20"/>
                        </w:rPr>
                      </w:pPr>
                    </w:p>
                  </w:txbxContent>
                </v:textbox>
                <w10:wrap type="square"/>
              </v:shape>
            </w:pict>
          </mc:Fallback>
        </mc:AlternateContent>
      </w:r>
    </w:p>
    <w:p w14:paraId="68A5130C" w14:textId="77777777" w:rsidR="0010660F" w:rsidRPr="00364063" w:rsidRDefault="0010660F" w:rsidP="00015C2E">
      <w:pPr>
        <w:spacing w:after="0" w:line="240" w:lineRule="auto"/>
        <w:rPr>
          <w:rFonts w:ascii="Times New Roman" w:hAnsi="Times New Roman" w:cs="Times New Roman"/>
          <w:lang w:val="en-GB"/>
        </w:rPr>
      </w:pPr>
      <w:r w:rsidRPr="00364063">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D889FF0" wp14:editId="6D6C8CFB">
                <wp:simplePos x="0" y="0"/>
                <wp:positionH relativeFrom="column">
                  <wp:posOffset>1486480</wp:posOffset>
                </wp:positionH>
                <wp:positionV relativeFrom="paragraph">
                  <wp:posOffset>130451</wp:posOffset>
                </wp:positionV>
                <wp:extent cx="385281" cy="158863"/>
                <wp:effectExtent l="0" t="0" r="15240" b="12700"/>
                <wp:wrapNone/>
                <wp:docPr id="1219452920" name="Rectangle 1"/>
                <wp:cNvGraphicFramePr/>
                <a:graphic xmlns:a="http://schemas.openxmlformats.org/drawingml/2006/main">
                  <a:graphicData uri="http://schemas.microsoft.com/office/word/2010/wordprocessingShape">
                    <wps:wsp>
                      <wps:cNvSpPr/>
                      <wps:spPr>
                        <a:xfrm>
                          <a:off x="0" y="0"/>
                          <a:ext cx="385281" cy="158863"/>
                        </a:xfrm>
                        <a:prstGeom prst="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58954" id="Rectangle 1" o:spid="_x0000_s1026" style="position:absolute;margin-left:117.05pt;margin-top:10.25pt;width:30.35pt;height: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a/kQIAAHUFAAAOAAAAZHJzL2Uyb0RvYy54bWysVEtv2zAMvg/YfxB0Xx27SZcGdYqgRYYB&#10;RVu0HXpWZCkWIEsapcTJfv0o+dGgK3YYloNCmeTHhz7y6vrQaLIX4JU1Jc3PJpQIw22lzLakP17W&#10;X+aU+MBMxbQ1oqRH4en18vOnq9YtRGFrqysBBEGMX7SupHUIbpFlnteiYf7MOmFQKS00LOAVtlkF&#10;rEX0RmfFZHKRtRYqB5YL7/Hrbaeky4QvpeDhQUovAtElxdxCOiGdm3hmyyu22AJzteJ9GuwfsmiY&#10;Mhh0hLplgZEdqD+gGsXBeivDGbdNZqVUXKQasJp88q6a55o5kWrB5ng3tsn/P1h+v38Eoip8uyK/&#10;nM6KywLbZFiDb/WE3WNmqwXJY59a5xdo/uweob95FGPRBwlN/MdyyCH19jj2VhwC4fjxfD4r5jkl&#10;HFX5bD6/OI+Y2ZuzAx++CduQKJQUMHjqKNvf+dCZDiYxlrdaVWuldbrAdnOjgexZfGb8rdc9+olZ&#10;FgvoUk5SOGoRnbV5EhJbgEkWKWIinxjxGOfChLxT1awSXZh8hnGGKJGu0SNVlAAjssT0RuweYLDs&#10;QAbsrr7ePrqKxN3RefK3xDrn0SNFtiaMzo0yFj4C0FhVH7mzx/RPWhPFja2OSBCw3eR4x9cK3+eO&#10;+fDIAEcF2YLjHx7wkNq2JbW9RElt4ddH36M9Mhi1lLQ4eiX1P3cMBCX6u0FuX+bTaZzVdJnOvkZG&#10;wqlmc6oxu+bG4rMjtzC7JEb7oAdRgm1ecUusYlRUMcMxdkl5gOFyE7qVgHuGi9UqmeF8OhbuzLPj&#10;ETx2NfLv5fDKwPUkDcjuezuMKVu842pnGz2NXe2ClSoR+a2vfb9xthNx+j0Ul8fpPVm9bcvlbwAA&#10;AP//AwBQSwMEFAAGAAgAAAAhADB09ATeAAAACQEAAA8AAABkcnMvZG93bnJldi54bWxMj0FOwzAQ&#10;RfdI3MEaJHbUcUhKCXEqRNUNSEiUHmASu0nU2I5sN0lvz7CC3Yzm6c/75XYxA5u0D72zEsQqAaZt&#10;41RvWwnH7/3DBliIaBUOzmoJVx1gW93elFgoN9svPR1iyyjEhgIldDGOBeeh6bTBsHKjtnQ7OW8w&#10;0upbrjzOFG4GnibJmhvsLX3ocNRvnW7Oh4uRMM3i8+O9Fk/Xsz+h3693wvmdlPd3y+sLsKiX+AfD&#10;rz6pQ0VOtbtYFdggIX3MBKE0JDkwAtLnjLrUErI8B16V/H+D6gcAAP//AwBQSwECLQAUAAYACAAA&#10;ACEAtoM4kv4AAADhAQAAEwAAAAAAAAAAAAAAAAAAAAAAW0NvbnRlbnRfVHlwZXNdLnhtbFBLAQIt&#10;ABQABgAIAAAAIQA4/SH/1gAAAJQBAAALAAAAAAAAAAAAAAAAAC8BAABfcmVscy8ucmVsc1BLAQIt&#10;ABQABgAIAAAAIQBlhMa/kQIAAHUFAAAOAAAAAAAAAAAAAAAAAC4CAABkcnMvZTJvRG9jLnhtbFBL&#10;AQItABQABgAIAAAAIQAwdPQE3gAAAAkBAAAPAAAAAAAAAAAAAAAAAOsEAABkcnMvZG93bnJldi54&#10;bWxQSwUGAAAAAAQABADzAAAA9gUAAAAA&#10;" fillcolor="blue" strokecolor="#030e13 [484]" strokeweight="1pt"/>
            </w:pict>
          </mc:Fallback>
        </mc:AlternateContent>
      </w:r>
    </w:p>
    <w:p w14:paraId="1FD8B177" w14:textId="7B76DE25" w:rsidR="0010660F" w:rsidRPr="00364063" w:rsidRDefault="008465AA" w:rsidP="00015C2E">
      <w:pPr>
        <w:spacing w:line="240" w:lineRule="auto"/>
        <w:jc w:val="both"/>
        <w:rPr>
          <w:rFonts w:ascii="Times New Roman" w:hAnsi="Times New Roman" w:cs="Times New Roman"/>
        </w:rPr>
      </w:pPr>
      <w:r w:rsidRPr="00364063">
        <w:rPr>
          <w:rFonts w:ascii="Times New Roman" w:hAnsi="Times New Roman" w:cs="Times New Roman"/>
        </w:rPr>
        <w:t xml:space="preserve"> </w:t>
      </w:r>
    </w:p>
    <w:p w14:paraId="15B766DC" w14:textId="77777777" w:rsidR="0010660F" w:rsidRPr="00364063" w:rsidRDefault="0010660F" w:rsidP="00015C2E">
      <w:pPr>
        <w:spacing w:line="240" w:lineRule="auto"/>
        <w:jc w:val="both"/>
        <w:rPr>
          <w:rFonts w:ascii="Times New Roman" w:hAnsi="Times New Roman" w:cs="Times New Roman"/>
          <w:b/>
          <w:bCs/>
        </w:rPr>
      </w:pPr>
      <w:r w:rsidRPr="00364063">
        <w:rPr>
          <w:rFonts w:ascii="Times New Roman" w:hAnsi="Times New Roman" w:cs="Times New Roman"/>
          <w:b/>
          <w:bCs/>
        </w:rPr>
        <w:t>Study Population</w:t>
      </w:r>
    </w:p>
    <w:p w14:paraId="37F1B581" w14:textId="589C6047" w:rsidR="0010660F" w:rsidRPr="00364063" w:rsidRDefault="0010660F" w:rsidP="00015C2E">
      <w:pPr>
        <w:spacing w:line="240" w:lineRule="auto"/>
        <w:jc w:val="both"/>
        <w:rPr>
          <w:rFonts w:ascii="Times New Roman" w:hAnsi="Times New Roman" w:cs="Times New Roman"/>
          <w:bCs/>
        </w:rPr>
      </w:pPr>
      <w:r w:rsidRPr="00364063">
        <w:rPr>
          <w:rFonts w:ascii="Times New Roman" w:hAnsi="Times New Roman" w:cs="Times New Roman"/>
          <w:bCs/>
        </w:rPr>
        <w:t xml:space="preserve">The study population comprised </w:t>
      </w:r>
      <w:r w:rsidR="00C86A6A" w:rsidRPr="00364063">
        <w:rPr>
          <w:rFonts w:ascii="Times New Roman" w:hAnsi="Times New Roman" w:cs="Times New Roman"/>
          <w:bCs/>
        </w:rPr>
        <w:t>Children (0-14years), Adolescent and young people (15-24years) Caregivers and general population w</w:t>
      </w:r>
      <w:r w:rsidRPr="00364063">
        <w:rPr>
          <w:rFonts w:ascii="Times New Roman" w:hAnsi="Times New Roman" w:cs="Times New Roman"/>
          <w:bCs/>
        </w:rPr>
        <w:t xml:space="preserve">ho received HIV testing through community-based activities within the three LGAs during the implementation period. </w:t>
      </w:r>
      <w:r w:rsidR="00364063">
        <w:rPr>
          <w:rFonts w:ascii="Times New Roman" w:hAnsi="Times New Roman" w:cs="Times New Roman"/>
          <w:bCs/>
        </w:rPr>
        <w:t>Children, adolescents, caregivers and general population</w:t>
      </w:r>
      <w:r w:rsidRPr="00364063">
        <w:rPr>
          <w:rFonts w:ascii="Times New Roman" w:hAnsi="Times New Roman" w:cs="Times New Roman"/>
          <w:bCs/>
        </w:rPr>
        <w:t xml:space="preserve">s newly diagnosed with HIV through these </w:t>
      </w:r>
      <w:r w:rsidR="0081285A" w:rsidRPr="00364063">
        <w:rPr>
          <w:rFonts w:ascii="Times New Roman" w:hAnsi="Times New Roman" w:cs="Times New Roman"/>
          <w:bCs/>
        </w:rPr>
        <w:t>activities</w:t>
      </w:r>
      <w:r w:rsidRPr="00364063">
        <w:rPr>
          <w:rFonts w:ascii="Times New Roman" w:hAnsi="Times New Roman" w:cs="Times New Roman"/>
          <w:bCs/>
        </w:rPr>
        <w:t xml:space="preserve"> were included in the linkage and retention analysis. Clients previously known to be HIV-positive were excluded from new case identification but included where relevant for re-linkage documentation.</w:t>
      </w:r>
    </w:p>
    <w:p w14:paraId="4ECCD673" w14:textId="77777777" w:rsidR="0010660F" w:rsidRPr="00364063" w:rsidRDefault="0010660F" w:rsidP="00015C2E">
      <w:pPr>
        <w:spacing w:line="240" w:lineRule="auto"/>
        <w:jc w:val="both"/>
        <w:rPr>
          <w:rFonts w:ascii="Times New Roman" w:hAnsi="Times New Roman" w:cs="Times New Roman"/>
          <w:b/>
          <w:bCs/>
        </w:rPr>
      </w:pPr>
      <w:r w:rsidRPr="00364063">
        <w:rPr>
          <w:rFonts w:ascii="Times New Roman" w:hAnsi="Times New Roman" w:cs="Times New Roman"/>
          <w:b/>
          <w:bCs/>
        </w:rPr>
        <w:t>Intervention Description</w:t>
      </w:r>
    </w:p>
    <w:p w14:paraId="234BE9A6" w14:textId="77777777" w:rsidR="0010660F" w:rsidRPr="00364063" w:rsidRDefault="0010660F" w:rsidP="00015C2E">
      <w:pPr>
        <w:spacing w:line="240" w:lineRule="auto"/>
        <w:jc w:val="both"/>
        <w:rPr>
          <w:rFonts w:ascii="Times New Roman" w:hAnsi="Times New Roman" w:cs="Times New Roman"/>
          <w:bCs/>
        </w:rPr>
      </w:pPr>
      <w:r w:rsidRPr="00364063">
        <w:rPr>
          <w:rFonts w:ascii="Times New Roman" w:hAnsi="Times New Roman" w:cs="Times New Roman"/>
          <w:bCs/>
        </w:rPr>
        <w:t>The intervention package included:</w:t>
      </w:r>
    </w:p>
    <w:p w14:paraId="324F400D" w14:textId="77777777" w:rsidR="0010660F" w:rsidRPr="00364063" w:rsidRDefault="0010660F" w:rsidP="00015C2E">
      <w:pPr>
        <w:numPr>
          <w:ilvl w:val="0"/>
          <w:numId w:val="6"/>
        </w:numPr>
        <w:spacing w:line="240" w:lineRule="auto"/>
        <w:jc w:val="both"/>
        <w:rPr>
          <w:rFonts w:ascii="Times New Roman" w:hAnsi="Times New Roman" w:cs="Times New Roman"/>
          <w:bCs/>
        </w:rPr>
      </w:pPr>
      <w:r w:rsidRPr="00364063">
        <w:rPr>
          <w:rFonts w:ascii="Times New Roman" w:hAnsi="Times New Roman" w:cs="Times New Roman"/>
          <w:bCs/>
        </w:rPr>
        <w:t>Community-based HIV testing services (HTS) conducted using World Health Organization (WHO)-recommended serial testing algorithms and national guidelines, with pre- and post-test counselling.</w:t>
      </w:r>
    </w:p>
    <w:p w14:paraId="2558F5C9" w14:textId="77777777" w:rsidR="0010660F" w:rsidRPr="00364063" w:rsidRDefault="0010660F" w:rsidP="00015C2E">
      <w:pPr>
        <w:numPr>
          <w:ilvl w:val="0"/>
          <w:numId w:val="6"/>
        </w:numPr>
        <w:spacing w:line="240" w:lineRule="auto"/>
        <w:jc w:val="both"/>
        <w:rPr>
          <w:rFonts w:ascii="Times New Roman" w:hAnsi="Times New Roman" w:cs="Times New Roman"/>
          <w:bCs/>
        </w:rPr>
      </w:pPr>
      <w:r w:rsidRPr="00364063">
        <w:rPr>
          <w:rFonts w:ascii="Times New Roman" w:hAnsi="Times New Roman" w:cs="Times New Roman"/>
          <w:bCs/>
        </w:rPr>
        <w:t>Index/contact testing offered to sexual partners and household contacts of newly identified positive clients.</w:t>
      </w:r>
    </w:p>
    <w:p w14:paraId="60D9E94C" w14:textId="77777777" w:rsidR="0010660F" w:rsidRPr="00364063" w:rsidRDefault="0010660F" w:rsidP="00015C2E">
      <w:pPr>
        <w:numPr>
          <w:ilvl w:val="0"/>
          <w:numId w:val="6"/>
        </w:numPr>
        <w:spacing w:line="240" w:lineRule="auto"/>
        <w:jc w:val="both"/>
        <w:rPr>
          <w:rFonts w:ascii="Times New Roman" w:hAnsi="Times New Roman" w:cs="Times New Roman"/>
          <w:bCs/>
        </w:rPr>
      </w:pPr>
      <w:r w:rsidRPr="00364063">
        <w:rPr>
          <w:rFonts w:ascii="Times New Roman" w:hAnsi="Times New Roman" w:cs="Times New Roman"/>
          <w:bCs/>
        </w:rPr>
        <w:t>Immediate facilitated linkage to ART services, including same-day or next-day escorted referral to designated treatment facilities, or community ART initiation where permitted by national policy.</w:t>
      </w:r>
    </w:p>
    <w:p w14:paraId="22D7FB2D" w14:textId="77777777" w:rsidR="0010660F" w:rsidRPr="00364063" w:rsidRDefault="0010660F" w:rsidP="00015C2E">
      <w:pPr>
        <w:numPr>
          <w:ilvl w:val="0"/>
          <w:numId w:val="6"/>
        </w:numPr>
        <w:spacing w:line="240" w:lineRule="auto"/>
        <w:jc w:val="both"/>
        <w:rPr>
          <w:rFonts w:ascii="Times New Roman" w:hAnsi="Times New Roman" w:cs="Times New Roman"/>
          <w:bCs/>
        </w:rPr>
      </w:pPr>
      <w:r w:rsidRPr="00364063">
        <w:rPr>
          <w:rFonts w:ascii="Times New Roman" w:hAnsi="Times New Roman" w:cs="Times New Roman"/>
          <w:bCs/>
        </w:rPr>
        <w:lastRenderedPageBreak/>
        <w:t>Active follow-up by trained community volunteers and community-based organization (CBO) staff to support appointment attendance, adherence, and early retention.</w:t>
      </w:r>
    </w:p>
    <w:p w14:paraId="52CBBCC5" w14:textId="77777777" w:rsidR="0010660F" w:rsidRPr="00364063" w:rsidRDefault="0010660F" w:rsidP="00015C2E">
      <w:pPr>
        <w:spacing w:line="240" w:lineRule="auto"/>
        <w:jc w:val="both"/>
        <w:rPr>
          <w:rFonts w:ascii="Times New Roman" w:hAnsi="Times New Roman" w:cs="Times New Roman"/>
          <w:b/>
          <w:bCs/>
        </w:rPr>
      </w:pPr>
      <w:r w:rsidRPr="00364063">
        <w:rPr>
          <w:rFonts w:ascii="Times New Roman" w:hAnsi="Times New Roman" w:cs="Times New Roman"/>
          <w:b/>
          <w:bCs/>
        </w:rPr>
        <w:t>Data Sources and Variables</w:t>
      </w:r>
    </w:p>
    <w:p w14:paraId="6D15C015" w14:textId="77777777" w:rsidR="0010660F" w:rsidRPr="00364063" w:rsidRDefault="0010660F" w:rsidP="00015C2E">
      <w:pPr>
        <w:spacing w:line="240" w:lineRule="auto"/>
        <w:jc w:val="both"/>
        <w:rPr>
          <w:rFonts w:ascii="Times New Roman" w:hAnsi="Times New Roman" w:cs="Times New Roman"/>
          <w:bCs/>
        </w:rPr>
      </w:pPr>
      <w:r w:rsidRPr="00364063">
        <w:rPr>
          <w:rFonts w:ascii="Times New Roman" w:hAnsi="Times New Roman" w:cs="Times New Roman"/>
          <w:bCs/>
        </w:rPr>
        <w:t>Data were extracted from routine program registers, HTS logs, referral tracking tools, and ART clinic records. Key variables included:</w:t>
      </w:r>
    </w:p>
    <w:p w14:paraId="7676E2C2" w14:textId="77777777" w:rsidR="0010660F" w:rsidRPr="00364063" w:rsidRDefault="0010660F" w:rsidP="00015C2E">
      <w:pPr>
        <w:numPr>
          <w:ilvl w:val="0"/>
          <w:numId w:val="7"/>
        </w:numPr>
        <w:spacing w:line="240" w:lineRule="auto"/>
        <w:jc w:val="both"/>
        <w:rPr>
          <w:rFonts w:ascii="Times New Roman" w:hAnsi="Times New Roman" w:cs="Times New Roman"/>
          <w:bCs/>
        </w:rPr>
      </w:pPr>
      <w:r w:rsidRPr="00364063">
        <w:rPr>
          <w:rFonts w:ascii="Times New Roman" w:hAnsi="Times New Roman" w:cs="Times New Roman"/>
          <w:bCs/>
        </w:rPr>
        <w:t>Demographic characteristics (age, sex, LGA)</w:t>
      </w:r>
    </w:p>
    <w:p w14:paraId="49E61381" w14:textId="77777777" w:rsidR="0010660F" w:rsidRPr="00364063" w:rsidRDefault="0010660F" w:rsidP="00015C2E">
      <w:pPr>
        <w:numPr>
          <w:ilvl w:val="0"/>
          <w:numId w:val="7"/>
        </w:numPr>
        <w:spacing w:line="240" w:lineRule="auto"/>
        <w:jc w:val="both"/>
        <w:rPr>
          <w:rFonts w:ascii="Times New Roman" w:hAnsi="Times New Roman" w:cs="Times New Roman"/>
          <w:bCs/>
        </w:rPr>
      </w:pPr>
      <w:r w:rsidRPr="00364063">
        <w:rPr>
          <w:rFonts w:ascii="Times New Roman" w:hAnsi="Times New Roman" w:cs="Times New Roman"/>
          <w:bCs/>
        </w:rPr>
        <w:t>HIV test results</w:t>
      </w:r>
    </w:p>
    <w:p w14:paraId="1A870C6A" w14:textId="77777777" w:rsidR="0010660F" w:rsidRPr="00364063" w:rsidRDefault="0010660F" w:rsidP="00015C2E">
      <w:pPr>
        <w:numPr>
          <w:ilvl w:val="0"/>
          <w:numId w:val="7"/>
        </w:numPr>
        <w:spacing w:line="240" w:lineRule="auto"/>
        <w:jc w:val="both"/>
        <w:rPr>
          <w:rFonts w:ascii="Times New Roman" w:hAnsi="Times New Roman" w:cs="Times New Roman"/>
          <w:bCs/>
        </w:rPr>
      </w:pPr>
      <w:r w:rsidRPr="00364063">
        <w:rPr>
          <w:rFonts w:ascii="Times New Roman" w:hAnsi="Times New Roman" w:cs="Times New Roman"/>
          <w:bCs/>
        </w:rPr>
        <w:t>Date of HIV diagnosis</w:t>
      </w:r>
    </w:p>
    <w:p w14:paraId="49F3FC19" w14:textId="77777777" w:rsidR="0010660F" w:rsidRPr="00364063" w:rsidRDefault="0010660F" w:rsidP="00015C2E">
      <w:pPr>
        <w:numPr>
          <w:ilvl w:val="0"/>
          <w:numId w:val="7"/>
        </w:numPr>
        <w:spacing w:line="240" w:lineRule="auto"/>
        <w:jc w:val="both"/>
        <w:rPr>
          <w:rFonts w:ascii="Times New Roman" w:hAnsi="Times New Roman" w:cs="Times New Roman"/>
          <w:bCs/>
        </w:rPr>
      </w:pPr>
      <w:r w:rsidRPr="00364063">
        <w:rPr>
          <w:rFonts w:ascii="Times New Roman" w:hAnsi="Times New Roman" w:cs="Times New Roman"/>
          <w:bCs/>
        </w:rPr>
        <w:t>Date of ART initiation</w:t>
      </w:r>
    </w:p>
    <w:p w14:paraId="301B30C3" w14:textId="77777777" w:rsidR="0010660F" w:rsidRPr="00364063" w:rsidRDefault="0010660F" w:rsidP="00015C2E">
      <w:pPr>
        <w:numPr>
          <w:ilvl w:val="0"/>
          <w:numId w:val="7"/>
        </w:numPr>
        <w:spacing w:line="240" w:lineRule="auto"/>
        <w:jc w:val="both"/>
        <w:rPr>
          <w:rFonts w:ascii="Times New Roman" w:hAnsi="Times New Roman" w:cs="Times New Roman"/>
          <w:bCs/>
        </w:rPr>
      </w:pPr>
      <w:r w:rsidRPr="00364063">
        <w:rPr>
          <w:rFonts w:ascii="Times New Roman" w:hAnsi="Times New Roman" w:cs="Times New Roman"/>
          <w:bCs/>
        </w:rPr>
        <w:t>Retention status at 12 months (documented clinic attendance or ART refill within the 12-month window)</w:t>
      </w:r>
    </w:p>
    <w:p w14:paraId="1E2A6EFA" w14:textId="77777777" w:rsidR="0010660F" w:rsidRPr="00364063" w:rsidRDefault="0010660F" w:rsidP="00015C2E">
      <w:pPr>
        <w:numPr>
          <w:ilvl w:val="0"/>
          <w:numId w:val="7"/>
        </w:numPr>
        <w:spacing w:line="240" w:lineRule="auto"/>
        <w:jc w:val="both"/>
        <w:rPr>
          <w:rFonts w:ascii="Times New Roman" w:hAnsi="Times New Roman" w:cs="Times New Roman"/>
          <w:bCs/>
        </w:rPr>
      </w:pPr>
      <w:r w:rsidRPr="00364063">
        <w:rPr>
          <w:rFonts w:ascii="Times New Roman" w:hAnsi="Times New Roman" w:cs="Times New Roman"/>
          <w:bCs/>
        </w:rPr>
        <w:t>Most recent viral load result</w:t>
      </w:r>
    </w:p>
    <w:p w14:paraId="5CF020E5" w14:textId="77777777" w:rsidR="0010660F" w:rsidRPr="00364063" w:rsidRDefault="0010660F" w:rsidP="00015C2E">
      <w:pPr>
        <w:spacing w:line="240" w:lineRule="auto"/>
        <w:jc w:val="both"/>
        <w:rPr>
          <w:rFonts w:ascii="Times New Roman" w:hAnsi="Times New Roman" w:cs="Times New Roman"/>
          <w:b/>
          <w:bCs/>
        </w:rPr>
      </w:pPr>
      <w:r w:rsidRPr="00364063">
        <w:rPr>
          <w:rFonts w:ascii="Times New Roman" w:hAnsi="Times New Roman" w:cs="Times New Roman"/>
          <w:b/>
          <w:bCs/>
        </w:rPr>
        <w:t>Outcome Definitions</w:t>
      </w:r>
    </w:p>
    <w:p w14:paraId="032AD440" w14:textId="215E6F34" w:rsidR="0010660F" w:rsidRPr="00364063" w:rsidRDefault="0010660F" w:rsidP="00015C2E">
      <w:pPr>
        <w:numPr>
          <w:ilvl w:val="0"/>
          <w:numId w:val="8"/>
        </w:numPr>
        <w:spacing w:line="240" w:lineRule="auto"/>
        <w:jc w:val="both"/>
        <w:rPr>
          <w:rFonts w:ascii="Times New Roman" w:hAnsi="Times New Roman" w:cs="Times New Roman"/>
          <w:bCs/>
        </w:rPr>
      </w:pPr>
      <w:r w:rsidRPr="00364063">
        <w:rPr>
          <w:rFonts w:ascii="Times New Roman" w:hAnsi="Times New Roman" w:cs="Times New Roman"/>
          <w:bCs/>
        </w:rPr>
        <w:t xml:space="preserve">HIV positivity rate: Number of </w:t>
      </w:r>
      <w:r w:rsidR="00364063">
        <w:rPr>
          <w:rFonts w:ascii="Times New Roman" w:hAnsi="Times New Roman" w:cs="Times New Roman"/>
          <w:bCs/>
        </w:rPr>
        <w:t>Children, adolescents, caregivers and general population</w:t>
      </w:r>
      <w:r w:rsidRPr="00364063">
        <w:rPr>
          <w:rFonts w:ascii="Times New Roman" w:hAnsi="Times New Roman" w:cs="Times New Roman"/>
          <w:bCs/>
        </w:rPr>
        <w:t xml:space="preserve">s testing positive divided by total </w:t>
      </w:r>
      <w:r w:rsidR="00364063">
        <w:rPr>
          <w:rFonts w:ascii="Times New Roman" w:hAnsi="Times New Roman" w:cs="Times New Roman"/>
          <w:bCs/>
        </w:rPr>
        <w:t>Children, adolescents, caregivers and general population</w:t>
      </w:r>
      <w:r w:rsidRPr="00364063">
        <w:rPr>
          <w:rFonts w:ascii="Times New Roman" w:hAnsi="Times New Roman" w:cs="Times New Roman"/>
          <w:bCs/>
        </w:rPr>
        <w:t>s tested.</w:t>
      </w:r>
    </w:p>
    <w:p w14:paraId="1D1D53AC" w14:textId="77777777" w:rsidR="0010660F" w:rsidRPr="00364063" w:rsidRDefault="0010660F" w:rsidP="00015C2E">
      <w:pPr>
        <w:numPr>
          <w:ilvl w:val="0"/>
          <w:numId w:val="8"/>
        </w:numPr>
        <w:spacing w:line="240" w:lineRule="auto"/>
        <w:jc w:val="both"/>
        <w:rPr>
          <w:rFonts w:ascii="Times New Roman" w:hAnsi="Times New Roman" w:cs="Times New Roman"/>
          <w:bCs/>
        </w:rPr>
      </w:pPr>
      <w:r w:rsidRPr="00364063">
        <w:rPr>
          <w:rFonts w:ascii="Times New Roman" w:hAnsi="Times New Roman" w:cs="Times New Roman"/>
          <w:bCs/>
        </w:rPr>
        <w:t>Linkage to care: Initiation of ART within 30 days of HIV diagnosis.</w:t>
      </w:r>
    </w:p>
    <w:p w14:paraId="091FBEB6" w14:textId="77777777" w:rsidR="0010660F" w:rsidRPr="00364063" w:rsidRDefault="0010660F" w:rsidP="00015C2E">
      <w:pPr>
        <w:numPr>
          <w:ilvl w:val="0"/>
          <w:numId w:val="8"/>
        </w:numPr>
        <w:spacing w:line="240" w:lineRule="auto"/>
        <w:jc w:val="both"/>
        <w:rPr>
          <w:rFonts w:ascii="Times New Roman" w:hAnsi="Times New Roman" w:cs="Times New Roman"/>
          <w:bCs/>
        </w:rPr>
      </w:pPr>
      <w:r w:rsidRPr="00364063">
        <w:rPr>
          <w:rFonts w:ascii="Times New Roman" w:hAnsi="Times New Roman" w:cs="Times New Roman"/>
          <w:bCs/>
        </w:rPr>
        <w:t>Retention at 12 months: Documented evidence of continued engagement in care (clinic visit or ART refill) 12 months after ART initiation.</w:t>
      </w:r>
    </w:p>
    <w:p w14:paraId="21E412B4" w14:textId="77777777" w:rsidR="0010660F" w:rsidRPr="00364063" w:rsidRDefault="0010660F" w:rsidP="00015C2E">
      <w:pPr>
        <w:numPr>
          <w:ilvl w:val="0"/>
          <w:numId w:val="8"/>
        </w:numPr>
        <w:spacing w:line="240" w:lineRule="auto"/>
        <w:jc w:val="both"/>
        <w:rPr>
          <w:rFonts w:ascii="Times New Roman" w:hAnsi="Times New Roman" w:cs="Times New Roman"/>
          <w:bCs/>
        </w:rPr>
      </w:pPr>
      <w:r w:rsidRPr="00364063">
        <w:rPr>
          <w:rFonts w:ascii="Times New Roman" w:hAnsi="Times New Roman" w:cs="Times New Roman"/>
          <w:bCs/>
        </w:rPr>
        <w:t>Viral suppression: Viral load below the national threshold for suppression (≤1,000 copies/mL, as per national guidelines).</w:t>
      </w:r>
    </w:p>
    <w:p w14:paraId="45AE3AEA" w14:textId="77777777" w:rsidR="0010660F" w:rsidRPr="00364063" w:rsidRDefault="0010660F" w:rsidP="00015C2E">
      <w:pPr>
        <w:spacing w:line="240" w:lineRule="auto"/>
        <w:jc w:val="both"/>
        <w:rPr>
          <w:rFonts w:ascii="Times New Roman" w:hAnsi="Times New Roman" w:cs="Times New Roman"/>
          <w:b/>
          <w:bCs/>
        </w:rPr>
      </w:pPr>
      <w:r w:rsidRPr="00364063">
        <w:rPr>
          <w:rFonts w:ascii="Times New Roman" w:hAnsi="Times New Roman" w:cs="Times New Roman"/>
          <w:b/>
          <w:bCs/>
        </w:rPr>
        <w:t>Data Analysis</w:t>
      </w:r>
    </w:p>
    <w:p w14:paraId="4816ED56" w14:textId="1AAB49EC" w:rsidR="0010660F" w:rsidRPr="00364063" w:rsidRDefault="0010660F" w:rsidP="00015C2E">
      <w:pPr>
        <w:spacing w:line="240" w:lineRule="auto"/>
        <w:jc w:val="both"/>
        <w:rPr>
          <w:rFonts w:ascii="Times New Roman" w:hAnsi="Times New Roman" w:cs="Times New Roman"/>
          <w:bCs/>
        </w:rPr>
      </w:pPr>
      <w:r w:rsidRPr="00364063">
        <w:rPr>
          <w:rFonts w:ascii="Times New Roman" w:hAnsi="Times New Roman" w:cs="Times New Roman"/>
          <w:bCs/>
        </w:rPr>
        <w:t xml:space="preserve">Data were entered into Microsoft Excel and analyzed descriptively. Frequencies and proportions were calculated for HIV positivity, linkage to care within 30 days, retention at 12 months, and viral suppression among clients with </w:t>
      </w:r>
      <w:r w:rsidR="00C86A6A" w:rsidRPr="00364063">
        <w:rPr>
          <w:rFonts w:ascii="Times New Roman" w:hAnsi="Times New Roman" w:cs="Times New Roman"/>
          <w:bCs/>
        </w:rPr>
        <w:t>valid</w:t>
      </w:r>
      <w:r w:rsidRPr="00364063">
        <w:rPr>
          <w:rFonts w:ascii="Times New Roman" w:hAnsi="Times New Roman" w:cs="Times New Roman"/>
          <w:bCs/>
        </w:rPr>
        <w:t xml:space="preserve"> viral load results. Outcomes were disaggregated by LGA, sex, and population group where applicable. Given the programmatic nature of the dataset, inferential statistical testing was not conducted; analysis focused on describing service cascade performance and identifying programmatic trends.</w:t>
      </w:r>
    </w:p>
    <w:p w14:paraId="43223520" w14:textId="77777777" w:rsidR="00265A75" w:rsidRPr="00364063" w:rsidRDefault="00265A75" w:rsidP="00015C2E">
      <w:pPr>
        <w:spacing w:line="240" w:lineRule="auto"/>
        <w:jc w:val="both"/>
        <w:rPr>
          <w:rFonts w:ascii="Times New Roman" w:hAnsi="Times New Roman" w:cs="Times New Roman"/>
          <w:b/>
          <w:bCs/>
        </w:rPr>
      </w:pPr>
      <w:r w:rsidRPr="00364063">
        <w:rPr>
          <w:rFonts w:ascii="Times New Roman" w:hAnsi="Times New Roman" w:cs="Times New Roman"/>
          <w:b/>
          <w:bCs/>
        </w:rPr>
        <w:t>Intervention package</w:t>
      </w:r>
    </w:p>
    <w:p w14:paraId="125CD2E9" w14:textId="77777777" w:rsidR="00265A75" w:rsidRPr="00364063" w:rsidRDefault="00265A75" w:rsidP="00015C2E">
      <w:pPr>
        <w:spacing w:line="240" w:lineRule="auto"/>
        <w:jc w:val="both"/>
        <w:rPr>
          <w:rFonts w:ascii="Times New Roman" w:hAnsi="Times New Roman" w:cs="Times New Roman"/>
        </w:rPr>
      </w:pPr>
      <w:r w:rsidRPr="00364063">
        <w:rPr>
          <w:rFonts w:ascii="Times New Roman" w:hAnsi="Times New Roman" w:cs="Times New Roman"/>
        </w:rPr>
        <w:t>The core components included:</w:t>
      </w:r>
    </w:p>
    <w:p w14:paraId="0E13F6A9" w14:textId="77777777" w:rsidR="00265A75" w:rsidRPr="00364063" w:rsidRDefault="00265A75" w:rsidP="00015C2E">
      <w:pPr>
        <w:numPr>
          <w:ilvl w:val="0"/>
          <w:numId w:val="1"/>
        </w:numPr>
        <w:spacing w:line="240" w:lineRule="auto"/>
        <w:jc w:val="both"/>
        <w:rPr>
          <w:rFonts w:ascii="Times New Roman" w:hAnsi="Times New Roman" w:cs="Times New Roman"/>
        </w:rPr>
      </w:pPr>
      <w:r w:rsidRPr="00364063">
        <w:rPr>
          <w:rFonts w:ascii="Times New Roman" w:hAnsi="Times New Roman" w:cs="Times New Roman"/>
        </w:rPr>
        <w:t xml:space="preserve">Community-based HIV testing using WHO-recommended testing algorithms and pre/post-test counselling per national guidance. </w:t>
      </w:r>
      <w:hyperlink r:id="rId8" w:tgtFrame="_blank" w:history="1">
        <w:r w:rsidRPr="00364063">
          <w:rPr>
            <w:rStyle w:val="Hyperlink"/>
            <w:rFonts w:ascii="Times New Roman" w:hAnsi="Times New Roman" w:cs="Times New Roman"/>
          </w:rPr>
          <w:t>World Health Organization</w:t>
        </w:r>
      </w:hyperlink>
    </w:p>
    <w:p w14:paraId="2EEA65D9" w14:textId="77777777" w:rsidR="00265A75" w:rsidRPr="00364063" w:rsidRDefault="00265A75" w:rsidP="00015C2E">
      <w:pPr>
        <w:numPr>
          <w:ilvl w:val="0"/>
          <w:numId w:val="1"/>
        </w:numPr>
        <w:spacing w:line="240" w:lineRule="auto"/>
        <w:jc w:val="both"/>
        <w:rPr>
          <w:rFonts w:ascii="Times New Roman" w:hAnsi="Times New Roman" w:cs="Times New Roman"/>
        </w:rPr>
      </w:pPr>
      <w:r w:rsidRPr="00364063">
        <w:rPr>
          <w:rFonts w:ascii="Times New Roman" w:hAnsi="Times New Roman" w:cs="Times New Roman"/>
        </w:rPr>
        <w:t>Index/contact testing offered to sexual partners and household contacts.</w:t>
      </w:r>
    </w:p>
    <w:p w14:paraId="7151EF00" w14:textId="77777777" w:rsidR="00265A75" w:rsidRPr="00364063" w:rsidRDefault="00265A75" w:rsidP="00015C2E">
      <w:pPr>
        <w:numPr>
          <w:ilvl w:val="0"/>
          <w:numId w:val="1"/>
        </w:numPr>
        <w:spacing w:line="240" w:lineRule="auto"/>
        <w:jc w:val="both"/>
        <w:rPr>
          <w:rFonts w:ascii="Times New Roman" w:hAnsi="Times New Roman" w:cs="Times New Roman"/>
        </w:rPr>
      </w:pPr>
      <w:r w:rsidRPr="00364063">
        <w:rPr>
          <w:rFonts w:ascii="Times New Roman" w:hAnsi="Times New Roman" w:cs="Times New Roman"/>
        </w:rPr>
        <w:t>Immediate facilitated linkage: same-day or next-day escorted referral to a designated ART clinic, or community ART initiation where policy allowed.</w:t>
      </w:r>
    </w:p>
    <w:p w14:paraId="6F4AC38A" w14:textId="66EF10CC" w:rsidR="00265A75" w:rsidRPr="00364063" w:rsidRDefault="00265A75" w:rsidP="00015C2E">
      <w:pPr>
        <w:numPr>
          <w:ilvl w:val="0"/>
          <w:numId w:val="1"/>
        </w:numPr>
        <w:spacing w:line="240" w:lineRule="auto"/>
        <w:jc w:val="both"/>
        <w:rPr>
          <w:rFonts w:ascii="Times New Roman" w:hAnsi="Times New Roman" w:cs="Times New Roman"/>
        </w:rPr>
      </w:pPr>
      <w:r w:rsidRPr="00364063">
        <w:rPr>
          <w:rFonts w:ascii="Times New Roman" w:hAnsi="Times New Roman" w:cs="Times New Roman"/>
        </w:rPr>
        <w:t xml:space="preserve">Active follow-up </w:t>
      </w:r>
      <w:r w:rsidR="00523A96" w:rsidRPr="00364063">
        <w:rPr>
          <w:rFonts w:ascii="Times New Roman" w:hAnsi="Times New Roman" w:cs="Times New Roman"/>
        </w:rPr>
        <w:t xml:space="preserve">(phone calls and home visits) </w:t>
      </w:r>
      <w:r w:rsidRPr="00364063">
        <w:rPr>
          <w:rFonts w:ascii="Times New Roman" w:hAnsi="Times New Roman" w:cs="Times New Roman"/>
        </w:rPr>
        <w:t xml:space="preserve">by community volunteers / CBO staff to support appointment attendance and adherence. Evidence supports the role of CBOs in improving linkage and retention. </w:t>
      </w:r>
      <w:hyperlink r:id="rId9" w:tgtFrame="_blank" w:history="1">
        <w:r w:rsidRPr="00364063">
          <w:rPr>
            <w:rStyle w:val="Hyperlink"/>
            <w:rFonts w:ascii="Times New Roman" w:hAnsi="Times New Roman" w:cs="Times New Roman"/>
          </w:rPr>
          <w:t>PMC</w:t>
        </w:r>
      </w:hyperlink>
    </w:p>
    <w:p w14:paraId="223C7EBE" w14:textId="77777777" w:rsidR="00265A75" w:rsidRPr="00364063" w:rsidRDefault="00265A75" w:rsidP="00015C2E">
      <w:pPr>
        <w:spacing w:line="240" w:lineRule="auto"/>
        <w:jc w:val="both"/>
        <w:rPr>
          <w:rFonts w:ascii="Times New Roman" w:hAnsi="Times New Roman" w:cs="Times New Roman"/>
          <w:b/>
          <w:bCs/>
        </w:rPr>
      </w:pPr>
      <w:r w:rsidRPr="00364063">
        <w:rPr>
          <w:rFonts w:ascii="Times New Roman" w:hAnsi="Times New Roman" w:cs="Times New Roman"/>
          <w:b/>
          <w:bCs/>
        </w:rPr>
        <w:lastRenderedPageBreak/>
        <w:t>Data collection and outcomes</w:t>
      </w:r>
    </w:p>
    <w:p w14:paraId="05D71160" w14:textId="77777777" w:rsidR="00265A75" w:rsidRPr="00364063" w:rsidRDefault="00265A75" w:rsidP="00015C2E">
      <w:pPr>
        <w:spacing w:line="240" w:lineRule="auto"/>
        <w:jc w:val="both"/>
        <w:rPr>
          <w:rFonts w:ascii="Times New Roman" w:hAnsi="Times New Roman" w:cs="Times New Roman"/>
        </w:rPr>
      </w:pPr>
      <w:r w:rsidRPr="00364063">
        <w:rPr>
          <w:rFonts w:ascii="Times New Roman" w:hAnsi="Times New Roman" w:cs="Times New Roman"/>
        </w:rPr>
        <w:t>Routine program registers and patient records were used to extract: date of diagnosis, date of ART initiation, documented retention at 12 months (clinic visit/ART pickup within the 12-month window), and most recent viral load result. Linkage was defined as ART initiation within 30 days of diagnosis. Viral suppression was defined per national guidelines and WHO definitions (e.g., &lt;1,000 copies/mL or as per national cutoff; many programs use &lt;200 or &lt;1,000—program definition recorded in patient files). Ethical approvals and informed consent for program data use were obtained per local norms.</w:t>
      </w:r>
    </w:p>
    <w:p w14:paraId="1B3C653A" w14:textId="77777777" w:rsidR="00265A75" w:rsidRPr="00364063" w:rsidRDefault="00265A75" w:rsidP="00015C2E">
      <w:pPr>
        <w:spacing w:line="240" w:lineRule="auto"/>
        <w:jc w:val="both"/>
        <w:rPr>
          <w:rFonts w:ascii="Times New Roman" w:hAnsi="Times New Roman" w:cs="Times New Roman"/>
          <w:b/>
          <w:bCs/>
        </w:rPr>
      </w:pPr>
      <w:r w:rsidRPr="00364063">
        <w:rPr>
          <w:rFonts w:ascii="Times New Roman" w:hAnsi="Times New Roman" w:cs="Times New Roman"/>
          <w:b/>
          <w:bCs/>
        </w:rPr>
        <w:t>Results</w:t>
      </w:r>
    </w:p>
    <w:p w14:paraId="636D66A2" w14:textId="266A2271" w:rsidR="007C473C" w:rsidRPr="00364063" w:rsidRDefault="00C86A6A" w:rsidP="00015C2E">
      <w:pPr>
        <w:spacing w:line="240" w:lineRule="auto"/>
        <w:jc w:val="both"/>
        <w:rPr>
          <w:rFonts w:ascii="Times New Roman" w:hAnsi="Times New Roman" w:cs="Times New Roman"/>
          <w:b/>
          <w:bCs/>
          <w:u w:val="single"/>
          <w:lang w:val="en-GB"/>
        </w:rPr>
      </w:pPr>
      <w:r w:rsidRPr="00364063">
        <w:rPr>
          <w:rFonts w:ascii="Times New Roman" w:hAnsi="Times New Roman" w:cs="Times New Roman"/>
          <w:b/>
          <w:bCs/>
          <w:u w:val="single"/>
          <w:lang w:val="en-GB"/>
        </w:rPr>
        <w:t>First 95: Case finding</w:t>
      </w:r>
    </w:p>
    <w:p w14:paraId="42CDC848" w14:textId="0AE3D743" w:rsidR="001F1C16" w:rsidRPr="00364063" w:rsidRDefault="001F1C16" w:rsidP="00015C2E">
      <w:pPr>
        <w:spacing w:line="240" w:lineRule="auto"/>
        <w:jc w:val="both"/>
        <w:rPr>
          <w:rFonts w:ascii="Times New Roman" w:hAnsi="Times New Roman" w:cs="Times New Roman"/>
          <w:b/>
          <w:bCs/>
        </w:rPr>
      </w:pPr>
      <w:r w:rsidRPr="00364063">
        <w:rPr>
          <w:rFonts w:ascii="Times New Roman" w:hAnsi="Times New Roman" w:cs="Times New Roman"/>
          <w:b/>
          <w:bCs/>
        </w:rPr>
        <w:t>Table 1: HIV Testing and Positivity by Sex and Local Government Area</w:t>
      </w:r>
      <w:r w:rsidR="007E5956" w:rsidRPr="00364063">
        <w:rPr>
          <w:rFonts w:ascii="Times New Roman" w:hAnsi="Times New Roman" w:cs="Times New Roman"/>
          <w:b/>
          <w:bCs/>
        </w:rPr>
        <w: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2"/>
        <w:gridCol w:w="1126"/>
        <w:gridCol w:w="1247"/>
        <w:gridCol w:w="66"/>
        <w:gridCol w:w="1300"/>
        <w:gridCol w:w="1398"/>
        <w:gridCol w:w="66"/>
        <w:gridCol w:w="1145"/>
        <w:gridCol w:w="1265"/>
        <w:gridCol w:w="81"/>
      </w:tblGrid>
      <w:tr w:rsidR="00C86A6A" w:rsidRPr="00364063" w14:paraId="64C94503" w14:textId="77777777" w:rsidTr="00C86A6A">
        <w:trPr>
          <w:tblHeader/>
          <w:tblCellSpacing w:w="15" w:type="dxa"/>
        </w:trPr>
        <w:tc>
          <w:tcPr>
            <w:tcW w:w="0" w:type="auto"/>
            <w:tcBorders>
              <w:top w:val="single" w:sz="4" w:space="0" w:color="auto"/>
            </w:tcBorders>
            <w:vAlign w:val="center"/>
            <w:hideMark/>
          </w:tcPr>
          <w:p w14:paraId="0F95FA5B" w14:textId="77777777" w:rsidR="00C86A6A" w:rsidRPr="00364063" w:rsidRDefault="00C86A6A" w:rsidP="00015C2E">
            <w:pPr>
              <w:spacing w:after="0" w:line="240" w:lineRule="auto"/>
              <w:jc w:val="center"/>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LGA</w:t>
            </w:r>
          </w:p>
        </w:tc>
        <w:tc>
          <w:tcPr>
            <w:tcW w:w="0" w:type="auto"/>
            <w:tcBorders>
              <w:top w:val="single" w:sz="4" w:space="0" w:color="auto"/>
            </w:tcBorders>
            <w:vAlign w:val="center"/>
            <w:hideMark/>
          </w:tcPr>
          <w:p w14:paraId="07B21EF3" w14:textId="77777777"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Male Tested</w:t>
            </w:r>
          </w:p>
        </w:tc>
        <w:tc>
          <w:tcPr>
            <w:tcW w:w="0" w:type="auto"/>
            <w:tcBorders>
              <w:top w:val="single" w:sz="4" w:space="0" w:color="auto"/>
            </w:tcBorders>
            <w:vAlign w:val="center"/>
            <w:hideMark/>
          </w:tcPr>
          <w:p w14:paraId="5759F1FE" w14:textId="77777777"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Male Positive</w:t>
            </w:r>
          </w:p>
        </w:tc>
        <w:tc>
          <w:tcPr>
            <w:tcW w:w="0" w:type="auto"/>
            <w:tcBorders>
              <w:top w:val="single" w:sz="4" w:space="0" w:color="auto"/>
            </w:tcBorders>
            <w:vAlign w:val="center"/>
          </w:tcPr>
          <w:p w14:paraId="30A59370" w14:textId="1B1A22AA"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p>
        </w:tc>
        <w:tc>
          <w:tcPr>
            <w:tcW w:w="0" w:type="auto"/>
            <w:tcBorders>
              <w:top w:val="single" w:sz="4" w:space="0" w:color="auto"/>
            </w:tcBorders>
            <w:vAlign w:val="center"/>
            <w:hideMark/>
          </w:tcPr>
          <w:p w14:paraId="5B15F452" w14:textId="77777777"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Female Tested</w:t>
            </w:r>
          </w:p>
        </w:tc>
        <w:tc>
          <w:tcPr>
            <w:tcW w:w="0" w:type="auto"/>
            <w:tcBorders>
              <w:top w:val="single" w:sz="4" w:space="0" w:color="auto"/>
            </w:tcBorders>
            <w:vAlign w:val="center"/>
            <w:hideMark/>
          </w:tcPr>
          <w:p w14:paraId="744AD650" w14:textId="77777777"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Female Positive</w:t>
            </w:r>
          </w:p>
        </w:tc>
        <w:tc>
          <w:tcPr>
            <w:tcW w:w="0" w:type="auto"/>
            <w:tcBorders>
              <w:top w:val="single" w:sz="4" w:space="0" w:color="auto"/>
            </w:tcBorders>
            <w:vAlign w:val="center"/>
          </w:tcPr>
          <w:p w14:paraId="760CA3CF" w14:textId="1E50F2DE"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p>
        </w:tc>
        <w:tc>
          <w:tcPr>
            <w:tcW w:w="0" w:type="auto"/>
            <w:tcBorders>
              <w:top w:val="single" w:sz="4" w:space="0" w:color="auto"/>
            </w:tcBorders>
            <w:vAlign w:val="center"/>
            <w:hideMark/>
          </w:tcPr>
          <w:p w14:paraId="5DF53A01" w14:textId="77777777"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Total Tested</w:t>
            </w:r>
          </w:p>
        </w:tc>
        <w:tc>
          <w:tcPr>
            <w:tcW w:w="0" w:type="auto"/>
            <w:tcBorders>
              <w:top w:val="single" w:sz="4" w:space="0" w:color="auto"/>
            </w:tcBorders>
            <w:vAlign w:val="center"/>
            <w:hideMark/>
          </w:tcPr>
          <w:p w14:paraId="23BF114E" w14:textId="77777777"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Total Positive</w:t>
            </w:r>
          </w:p>
        </w:tc>
        <w:tc>
          <w:tcPr>
            <w:tcW w:w="0" w:type="auto"/>
            <w:tcBorders>
              <w:top w:val="single" w:sz="4" w:space="0" w:color="auto"/>
            </w:tcBorders>
            <w:vAlign w:val="center"/>
          </w:tcPr>
          <w:p w14:paraId="7407A81D" w14:textId="4C692099" w:rsidR="00C86A6A" w:rsidRPr="00364063" w:rsidRDefault="00C86A6A" w:rsidP="00015C2E">
            <w:pPr>
              <w:spacing w:after="0" w:line="240" w:lineRule="auto"/>
              <w:jc w:val="right"/>
              <w:rPr>
                <w:rFonts w:ascii="Times New Roman" w:eastAsia="Times New Roman" w:hAnsi="Times New Roman" w:cs="Times New Roman"/>
                <w:b/>
                <w:bCs/>
                <w:kern w:val="0"/>
                <w14:ligatures w14:val="none"/>
              </w:rPr>
            </w:pPr>
          </w:p>
        </w:tc>
      </w:tr>
      <w:tr w:rsidR="00C86A6A" w:rsidRPr="00364063" w14:paraId="6D195748" w14:textId="77777777" w:rsidTr="00C86A6A">
        <w:trPr>
          <w:tblCellSpacing w:w="15" w:type="dxa"/>
        </w:trPr>
        <w:tc>
          <w:tcPr>
            <w:tcW w:w="0" w:type="auto"/>
            <w:tcBorders>
              <w:top w:val="single" w:sz="4" w:space="0" w:color="auto"/>
            </w:tcBorders>
            <w:vAlign w:val="center"/>
            <w:hideMark/>
          </w:tcPr>
          <w:p w14:paraId="18697443" w14:textId="77777777" w:rsidR="00C86A6A" w:rsidRPr="00364063" w:rsidRDefault="00C86A6A" w:rsidP="00015C2E">
            <w:pPr>
              <w:spacing w:after="0" w:line="240" w:lineRule="auto"/>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Karim-Lamido</w:t>
            </w:r>
          </w:p>
        </w:tc>
        <w:tc>
          <w:tcPr>
            <w:tcW w:w="0" w:type="auto"/>
            <w:tcBorders>
              <w:top w:val="single" w:sz="4" w:space="0" w:color="auto"/>
            </w:tcBorders>
            <w:vAlign w:val="center"/>
            <w:hideMark/>
          </w:tcPr>
          <w:p w14:paraId="209DDE99"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1,263</w:t>
            </w:r>
          </w:p>
        </w:tc>
        <w:tc>
          <w:tcPr>
            <w:tcW w:w="0" w:type="auto"/>
            <w:tcBorders>
              <w:top w:val="single" w:sz="4" w:space="0" w:color="auto"/>
            </w:tcBorders>
            <w:vAlign w:val="center"/>
            <w:hideMark/>
          </w:tcPr>
          <w:p w14:paraId="63714628"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36</w:t>
            </w:r>
          </w:p>
        </w:tc>
        <w:tc>
          <w:tcPr>
            <w:tcW w:w="0" w:type="auto"/>
            <w:tcBorders>
              <w:top w:val="single" w:sz="4" w:space="0" w:color="auto"/>
            </w:tcBorders>
            <w:vAlign w:val="center"/>
          </w:tcPr>
          <w:p w14:paraId="0B9D5DAD" w14:textId="54B08369"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tcBorders>
              <w:top w:val="single" w:sz="4" w:space="0" w:color="auto"/>
            </w:tcBorders>
            <w:vAlign w:val="center"/>
            <w:hideMark/>
          </w:tcPr>
          <w:p w14:paraId="2F1F73F7"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1,194</w:t>
            </w:r>
          </w:p>
        </w:tc>
        <w:tc>
          <w:tcPr>
            <w:tcW w:w="0" w:type="auto"/>
            <w:tcBorders>
              <w:top w:val="single" w:sz="4" w:space="0" w:color="auto"/>
            </w:tcBorders>
            <w:vAlign w:val="center"/>
            <w:hideMark/>
          </w:tcPr>
          <w:p w14:paraId="64B09475"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98</w:t>
            </w:r>
          </w:p>
        </w:tc>
        <w:tc>
          <w:tcPr>
            <w:tcW w:w="0" w:type="auto"/>
            <w:tcBorders>
              <w:top w:val="single" w:sz="4" w:space="0" w:color="auto"/>
            </w:tcBorders>
            <w:vAlign w:val="center"/>
          </w:tcPr>
          <w:p w14:paraId="653C4284" w14:textId="2281E353"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tcBorders>
              <w:top w:val="single" w:sz="4" w:space="0" w:color="auto"/>
            </w:tcBorders>
            <w:vAlign w:val="center"/>
            <w:hideMark/>
          </w:tcPr>
          <w:p w14:paraId="53D09F03"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2,457</w:t>
            </w:r>
          </w:p>
        </w:tc>
        <w:tc>
          <w:tcPr>
            <w:tcW w:w="0" w:type="auto"/>
            <w:tcBorders>
              <w:top w:val="single" w:sz="4" w:space="0" w:color="auto"/>
            </w:tcBorders>
            <w:vAlign w:val="center"/>
            <w:hideMark/>
          </w:tcPr>
          <w:p w14:paraId="057126DC"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134</w:t>
            </w:r>
          </w:p>
        </w:tc>
        <w:tc>
          <w:tcPr>
            <w:tcW w:w="0" w:type="auto"/>
            <w:tcBorders>
              <w:top w:val="single" w:sz="4" w:space="0" w:color="auto"/>
            </w:tcBorders>
            <w:vAlign w:val="center"/>
          </w:tcPr>
          <w:p w14:paraId="60EC878F" w14:textId="78146505"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r>
      <w:tr w:rsidR="00C86A6A" w:rsidRPr="00364063" w14:paraId="68D68C10" w14:textId="77777777" w:rsidTr="00C86A6A">
        <w:trPr>
          <w:tblCellSpacing w:w="15" w:type="dxa"/>
        </w:trPr>
        <w:tc>
          <w:tcPr>
            <w:tcW w:w="0" w:type="auto"/>
            <w:vAlign w:val="center"/>
            <w:hideMark/>
          </w:tcPr>
          <w:p w14:paraId="0036594D" w14:textId="77777777" w:rsidR="00C86A6A" w:rsidRPr="00364063" w:rsidRDefault="00C86A6A" w:rsidP="00015C2E">
            <w:pPr>
              <w:spacing w:after="0" w:line="240" w:lineRule="auto"/>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Sardauna</w:t>
            </w:r>
          </w:p>
        </w:tc>
        <w:tc>
          <w:tcPr>
            <w:tcW w:w="0" w:type="auto"/>
            <w:vAlign w:val="center"/>
            <w:hideMark/>
          </w:tcPr>
          <w:p w14:paraId="400C8111"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1,721</w:t>
            </w:r>
          </w:p>
        </w:tc>
        <w:tc>
          <w:tcPr>
            <w:tcW w:w="0" w:type="auto"/>
            <w:vAlign w:val="center"/>
            <w:hideMark/>
          </w:tcPr>
          <w:p w14:paraId="3AC03574"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27</w:t>
            </w:r>
          </w:p>
        </w:tc>
        <w:tc>
          <w:tcPr>
            <w:tcW w:w="0" w:type="auto"/>
            <w:vAlign w:val="center"/>
          </w:tcPr>
          <w:p w14:paraId="7ACF87EA" w14:textId="12AE4111"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vAlign w:val="center"/>
            <w:hideMark/>
          </w:tcPr>
          <w:p w14:paraId="069E27FA"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1,765</w:t>
            </w:r>
          </w:p>
        </w:tc>
        <w:tc>
          <w:tcPr>
            <w:tcW w:w="0" w:type="auto"/>
            <w:vAlign w:val="center"/>
            <w:hideMark/>
          </w:tcPr>
          <w:p w14:paraId="7C7060FB"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43</w:t>
            </w:r>
          </w:p>
        </w:tc>
        <w:tc>
          <w:tcPr>
            <w:tcW w:w="0" w:type="auto"/>
            <w:vAlign w:val="center"/>
          </w:tcPr>
          <w:p w14:paraId="7E45821A" w14:textId="6BFAB53A"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vAlign w:val="center"/>
            <w:hideMark/>
          </w:tcPr>
          <w:p w14:paraId="4B9D28A3"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3,486</w:t>
            </w:r>
          </w:p>
        </w:tc>
        <w:tc>
          <w:tcPr>
            <w:tcW w:w="0" w:type="auto"/>
            <w:vAlign w:val="center"/>
            <w:hideMark/>
          </w:tcPr>
          <w:p w14:paraId="672CE588"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70</w:t>
            </w:r>
          </w:p>
        </w:tc>
        <w:tc>
          <w:tcPr>
            <w:tcW w:w="0" w:type="auto"/>
            <w:vAlign w:val="center"/>
          </w:tcPr>
          <w:p w14:paraId="406E76F6" w14:textId="4174700B"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r>
      <w:tr w:rsidR="00C86A6A" w:rsidRPr="00364063" w14:paraId="1D22563E" w14:textId="77777777" w:rsidTr="00C86A6A">
        <w:trPr>
          <w:tblCellSpacing w:w="15" w:type="dxa"/>
        </w:trPr>
        <w:tc>
          <w:tcPr>
            <w:tcW w:w="0" w:type="auto"/>
            <w:vAlign w:val="center"/>
            <w:hideMark/>
          </w:tcPr>
          <w:p w14:paraId="09C833B5" w14:textId="77777777" w:rsidR="00C86A6A" w:rsidRPr="00364063" w:rsidRDefault="00C86A6A" w:rsidP="00015C2E">
            <w:pPr>
              <w:spacing w:after="0" w:line="240" w:lineRule="auto"/>
              <w:rPr>
                <w:rFonts w:ascii="Times New Roman" w:eastAsia="Times New Roman" w:hAnsi="Times New Roman" w:cs="Times New Roman"/>
                <w:kern w:val="0"/>
                <w14:ligatures w14:val="none"/>
              </w:rPr>
            </w:pPr>
            <w:proofErr w:type="spellStart"/>
            <w:r w:rsidRPr="00364063">
              <w:rPr>
                <w:rFonts w:ascii="Times New Roman" w:eastAsia="Times New Roman" w:hAnsi="Times New Roman" w:cs="Times New Roman"/>
                <w:kern w:val="0"/>
                <w14:ligatures w14:val="none"/>
              </w:rPr>
              <w:t>Ussa</w:t>
            </w:r>
            <w:proofErr w:type="spellEnd"/>
          </w:p>
        </w:tc>
        <w:tc>
          <w:tcPr>
            <w:tcW w:w="0" w:type="auto"/>
            <w:vAlign w:val="center"/>
            <w:hideMark/>
          </w:tcPr>
          <w:p w14:paraId="60745DD3"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1,462</w:t>
            </w:r>
          </w:p>
        </w:tc>
        <w:tc>
          <w:tcPr>
            <w:tcW w:w="0" w:type="auto"/>
            <w:vAlign w:val="center"/>
            <w:hideMark/>
          </w:tcPr>
          <w:p w14:paraId="6B4054E5"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8</w:t>
            </w:r>
          </w:p>
        </w:tc>
        <w:tc>
          <w:tcPr>
            <w:tcW w:w="0" w:type="auto"/>
            <w:vAlign w:val="center"/>
          </w:tcPr>
          <w:p w14:paraId="1E05CEF4" w14:textId="4202EE8F"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vAlign w:val="center"/>
            <w:hideMark/>
          </w:tcPr>
          <w:p w14:paraId="5FE1208F"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1,585</w:t>
            </w:r>
          </w:p>
        </w:tc>
        <w:tc>
          <w:tcPr>
            <w:tcW w:w="0" w:type="auto"/>
            <w:vAlign w:val="center"/>
            <w:hideMark/>
          </w:tcPr>
          <w:p w14:paraId="5AAAF772"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21</w:t>
            </w:r>
          </w:p>
        </w:tc>
        <w:tc>
          <w:tcPr>
            <w:tcW w:w="0" w:type="auto"/>
            <w:vAlign w:val="center"/>
          </w:tcPr>
          <w:p w14:paraId="6BE3C706" w14:textId="0C075641"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vAlign w:val="center"/>
            <w:hideMark/>
          </w:tcPr>
          <w:p w14:paraId="1C571FA0"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3,047</w:t>
            </w:r>
          </w:p>
        </w:tc>
        <w:tc>
          <w:tcPr>
            <w:tcW w:w="0" w:type="auto"/>
            <w:vAlign w:val="center"/>
            <w:hideMark/>
          </w:tcPr>
          <w:p w14:paraId="55650D13"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29</w:t>
            </w:r>
          </w:p>
        </w:tc>
        <w:tc>
          <w:tcPr>
            <w:tcW w:w="0" w:type="auto"/>
            <w:vAlign w:val="center"/>
          </w:tcPr>
          <w:p w14:paraId="20B3647A" w14:textId="2AFB4052"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r>
      <w:tr w:rsidR="00C86A6A" w:rsidRPr="00364063" w14:paraId="12A69120" w14:textId="77777777" w:rsidTr="00C86A6A">
        <w:trPr>
          <w:tblCellSpacing w:w="15" w:type="dxa"/>
        </w:trPr>
        <w:tc>
          <w:tcPr>
            <w:tcW w:w="0" w:type="auto"/>
            <w:tcBorders>
              <w:bottom w:val="single" w:sz="4" w:space="0" w:color="auto"/>
            </w:tcBorders>
            <w:vAlign w:val="center"/>
            <w:hideMark/>
          </w:tcPr>
          <w:p w14:paraId="49534BA9" w14:textId="77777777" w:rsidR="00C86A6A" w:rsidRPr="00364063" w:rsidRDefault="00C86A6A" w:rsidP="00015C2E">
            <w:pPr>
              <w:spacing w:after="0" w:line="240" w:lineRule="auto"/>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Total</w:t>
            </w:r>
          </w:p>
        </w:tc>
        <w:tc>
          <w:tcPr>
            <w:tcW w:w="0" w:type="auto"/>
            <w:tcBorders>
              <w:bottom w:val="single" w:sz="4" w:space="0" w:color="auto"/>
            </w:tcBorders>
            <w:vAlign w:val="center"/>
            <w:hideMark/>
          </w:tcPr>
          <w:p w14:paraId="1B8A62A5"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4,446</w:t>
            </w:r>
          </w:p>
        </w:tc>
        <w:tc>
          <w:tcPr>
            <w:tcW w:w="0" w:type="auto"/>
            <w:tcBorders>
              <w:bottom w:val="single" w:sz="4" w:space="0" w:color="auto"/>
            </w:tcBorders>
            <w:vAlign w:val="center"/>
            <w:hideMark/>
          </w:tcPr>
          <w:p w14:paraId="26F71C06"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71</w:t>
            </w:r>
          </w:p>
        </w:tc>
        <w:tc>
          <w:tcPr>
            <w:tcW w:w="0" w:type="auto"/>
            <w:tcBorders>
              <w:bottom w:val="single" w:sz="4" w:space="0" w:color="auto"/>
            </w:tcBorders>
            <w:vAlign w:val="center"/>
          </w:tcPr>
          <w:p w14:paraId="70FAE1FA" w14:textId="0586C56F"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tcBorders>
              <w:bottom w:val="single" w:sz="4" w:space="0" w:color="auto"/>
            </w:tcBorders>
            <w:vAlign w:val="center"/>
            <w:hideMark/>
          </w:tcPr>
          <w:p w14:paraId="63BC1ED1"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4,544</w:t>
            </w:r>
          </w:p>
        </w:tc>
        <w:tc>
          <w:tcPr>
            <w:tcW w:w="0" w:type="auto"/>
            <w:tcBorders>
              <w:bottom w:val="single" w:sz="4" w:space="0" w:color="auto"/>
            </w:tcBorders>
            <w:vAlign w:val="center"/>
            <w:hideMark/>
          </w:tcPr>
          <w:p w14:paraId="42F72073"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162</w:t>
            </w:r>
          </w:p>
        </w:tc>
        <w:tc>
          <w:tcPr>
            <w:tcW w:w="0" w:type="auto"/>
            <w:tcBorders>
              <w:bottom w:val="single" w:sz="4" w:space="0" w:color="auto"/>
            </w:tcBorders>
            <w:vAlign w:val="center"/>
          </w:tcPr>
          <w:p w14:paraId="1DA4C488" w14:textId="1084A98C"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c>
          <w:tcPr>
            <w:tcW w:w="0" w:type="auto"/>
            <w:tcBorders>
              <w:bottom w:val="single" w:sz="4" w:space="0" w:color="auto"/>
            </w:tcBorders>
            <w:vAlign w:val="center"/>
            <w:hideMark/>
          </w:tcPr>
          <w:p w14:paraId="55144655"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8,990</w:t>
            </w:r>
          </w:p>
        </w:tc>
        <w:tc>
          <w:tcPr>
            <w:tcW w:w="0" w:type="auto"/>
            <w:tcBorders>
              <w:bottom w:val="single" w:sz="4" w:space="0" w:color="auto"/>
            </w:tcBorders>
            <w:vAlign w:val="center"/>
            <w:hideMark/>
          </w:tcPr>
          <w:p w14:paraId="05DB1C2D" w14:textId="77777777" w:rsidR="00C86A6A" w:rsidRPr="00364063" w:rsidRDefault="00C86A6A" w:rsidP="00015C2E">
            <w:pPr>
              <w:spacing w:after="0" w:line="240" w:lineRule="auto"/>
              <w:jc w:val="right"/>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233</w:t>
            </w:r>
          </w:p>
        </w:tc>
        <w:tc>
          <w:tcPr>
            <w:tcW w:w="0" w:type="auto"/>
            <w:tcBorders>
              <w:bottom w:val="single" w:sz="4" w:space="0" w:color="auto"/>
            </w:tcBorders>
            <w:vAlign w:val="center"/>
          </w:tcPr>
          <w:p w14:paraId="41D49009" w14:textId="03DF59F7" w:rsidR="00C86A6A" w:rsidRPr="00364063" w:rsidRDefault="00C86A6A" w:rsidP="00015C2E">
            <w:pPr>
              <w:spacing w:after="0" w:line="240" w:lineRule="auto"/>
              <w:jc w:val="right"/>
              <w:rPr>
                <w:rFonts w:ascii="Times New Roman" w:eastAsia="Times New Roman" w:hAnsi="Times New Roman" w:cs="Times New Roman"/>
                <w:kern w:val="0"/>
                <w14:ligatures w14:val="none"/>
              </w:rPr>
            </w:pPr>
          </w:p>
        </w:tc>
      </w:tr>
    </w:tbl>
    <w:p w14:paraId="585352A2" w14:textId="77777777" w:rsidR="00C86A6A" w:rsidRPr="00364063" w:rsidRDefault="00C86A6A" w:rsidP="00015C2E">
      <w:pPr>
        <w:spacing w:line="240" w:lineRule="auto"/>
        <w:jc w:val="both"/>
        <w:rPr>
          <w:rFonts w:ascii="Times New Roman" w:hAnsi="Times New Roman" w:cs="Times New Roman"/>
          <w:b/>
          <w:bCs/>
        </w:rPr>
      </w:pPr>
    </w:p>
    <w:p w14:paraId="38AAD229" w14:textId="48537AEE" w:rsidR="001F1C16" w:rsidRPr="00364063" w:rsidRDefault="001F1C16" w:rsidP="00015C2E">
      <w:pPr>
        <w:spacing w:line="240" w:lineRule="auto"/>
        <w:rPr>
          <w:rFonts w:ascii="Times New Roman" w:hAnsi="Times New Roman" w:cs="Times New Roman"/>
          <w:b/>
        </w:rPr>
      </w:pPr>
      <w:r w:rsidRPr="00364063">
        <w:rPr>
          <w:rFonts w:ascii="Times New Roman" w:hAnsi="Times New Roman" w:cs="Times New Roman"/>
          <w:b/>
        </w:rPr>
        <w:t xml:space="preserve">Table 2: Distribution of </w:t>
      </w:r>
      <w:r w:rsidR="00DD056D" w:rsidRPr="00364063">
        <w:rPr>
          <w:rFonts w:ascii="Times New Roman" w:hAnsi="Times New Roman" w:cs="Times New Roman"/>
          <w:b/>
        </w:rPr>
        <w:t>Clients</w:t>
      </w:r>
      <w:r w:rsidRPr="00364063">
        <w:rPr>
          <w:rFonts w:ascii="Times New Roman" w:hAnsi="Times New Roman" w:cs="Times New Roman"/>
          <w:b/>
        </w:rPr>
        <w:t xml:space="preserve"> Tested by target groups</w:t>
      </w:r>
    </w:p>
    <w:tbl>
      <w:tblPr>
        <w:tblStyle w:val="TableGrid"/>
        <w:tblW w:w="0" w:type="auto"/>
        <w:tblLook w:val="04A0" w:firstRow="1" w:lastRow="0" w:firstColumn="1" w:lastColumn="0" w:noHBand="0" w:noVBand="1"/>
      </w:tblPr>
      <w:tblGrid>
        <w:gridCol w:w="1716"/>
        <w:gridCol w:w="1343"/>
        <w:gridCol w:w="2309"/>
        <w:gridCol w:w="1756"/>
      </w:tblGrid>
      <w:tr w:rsidR="001F1C16" w:rsidRPr="00364063" w14:paraId="7B361FD4" w14:textId="77777777" w:rsidTr="00B45076">
        <w:tc>
          <w:tcPr>
            <w:tcW w:w="0" w:type="auto"/>
          </w:tcPr>
          <w:p w14:paraId="0C4D51CE"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Population</w:t>
            </w:r>
          </w:p>
        </w:tc>
        <w:tc>
          <w:tcPr>
            <w:tcW w:w="0" w:type="auto"/>
          </w:tcPr>
          <w:p w14:paraId="0D47F653"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Total tested</w:t>
            </w:r>
          </w:p>
        </w:tc>
        <w:tc>
          <w:tcPr>
            <w:tcW w:w="0" w:type="auto"/>
          </w:tcPr>
          <w:p w14:paraId="1CC18142"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Frequency of positive</w:t>
            </w:r>
          </w:p>
        </w:tc>
        <w:tc>
          <w:tcPr>
            <w:tcW w:w="0" w:type="auto"/>
          </w:tcPr>
          <w:p w14:paraId="46886FCF"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Percent positive</w:t>
            </w:r>
          </w:p>
        </w:tc>
      </w:tr>
      <w:tr w:rsidR="001F1C16" w:rsidRPr="00364063" w14:paraId="12542DF2" w14:textId="77777777" w:rsidTr="00B45076">
        <w:tc>
          <w:tcPr>
            <w:tcW w:w="0" w:type="auto"/>
          </w:tcPr>
          <w:p w14:paraId="666FFABB" w14:textId="34287467" w:rsidR="001F1C16" w:rsidRPr="00364063" w:rsidRDefault="00EB7A41" w:rsidP="00015C2E">
            <w:pPr>
              <w:rPr>
                <w:rFonts w:ascii="Times New Roman" w:hAnsi="Times New Roman" w:cs="Times New Roman"/>
                <w:sz w:val="24"/>
                <w:szCs w:val="24"/>
              </w:rPr>
            </w:pPr>
            <w:r w:rsidRPr="00364063">
              <w:rPr>
                <w:rFonts w:ascii="Times New Roman" w:hAnsi="Times New Roman" w:cs="Times New Roman"/>
                <w:sz w:val="24"/>
                <w:szCs w:val="24"/>
              </w:rPr>
              <w:t>Children (</w:t>
            </w:r>
            <w:r w:rsidR="001F1C16" w:rsidRPr="00364063">
              <w:rPr>
                <w:rFonts w:ascii="Times New Roman" w:hAnsi="Times New Roman" w:cs="Times New Roman"/>
                <w:sz w:val="24"/>
                <w:szCs w:val="24"/>
              </w:rPr>
              <w:t>0-14)</w:t>
            </w:r>
          </w:p>
        </w:tc>
        <w:tc>
          <w:tcPr>
            <w:tcW w:w="0" w:type="auto"/>
          </w:tcPr>
          <w:p w14:paraId="70F2B55E"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2675</w:t>
            </w:r>
          </w:p>
        </w:tc>
        <w:tc>
          <w:tcPr>
            <w:tcW w:w="0" w:type="auto"/>
          </w:tcPr>
          <w:p w14:paraId="2A24C465"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22</w:t>
            </w:r>
          </w:p>
        </w:tc>
        <w:tc>
          <w:tcPr>
            <w:tcW w:w="0" w:type="auto"/>
          </w:tcPr>
          <w:p w14:paraId="5F8F2A3C"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0.8%</w:t>
            </w:r>
          </w:p>
        </w:tc>
      </w:tr>
      <w:tr w:rsidR="001F1C16" w:rsidRPr="00364063" w14:paraId="0C16388E" w14:textId="77777777" w:rsidTr="00B45076">
        <w:tc>
          <w:tcPr>
            <w:tcW w:w="0" w:type="auto"/>
          </w:tcPr>
          <w:p w14:paraId="427350D7"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AYP (15-24)</w:t>
            </w:r>
          </w:p>
        </w:tc>
        <w:tc>
          <w:tcPr>
            <w:tcW w:w="0" w:type="auto"/>
          </w:tcPr>
          <w:p w14:paraId="5CF11D39"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2591</w:t>
            </w:r>
          </w:p>
        </w:tc>
        <w:tc>
          <w:tcPr>
            <w:tcW w:w="0" w:type="auto"/>
          </w:tcPr>
          <w:p w14:paraId="28FAFABC"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40</w:t>
            </w:r>
          </w:p>
        </w:tc>
        <w:tc>
          <w:tcPr>
            <w:tcW w:w="0" w:type="auto"/>
          </w:tcPr>
          <w:p w14:paraId="3F71CEC5"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1.5%</w:t>
            </w:r>
          </w:p>
        </w:tc>
      </w:tr>
      <w:tr w:rsidR="001F1C16" w:rsidRPr="00364063" w14:paraId="729AC05B" w14:textId="77777777" w:rsidTr="00B45076">
        <w:tc>
          <w:tcPr>
            <w:tcW w:w="0" w:type="auto"/>
          </w:tcPr>
          <w:p w14:paraId="4B846305"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Caregivers</w:t>
            </w:r>
          </w:p>
        </w:tc>
        <w:tc>
          <w:tcPr>
            <w:tcW w:w="0" w:type="auto"/>
          </w:tcPr>
          <w:p w14:paraId="30D7A2F0"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1509</w:t>
            </w:r>
          </w:p>
        </w:tc>
        <w:tc>
          <w:tcPr>
            <w:tcW w:w="0" w:type="auto"/>
          </w:tcPr>
          <w:p w14:paraId="5B92AF25"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71</w:t>
            </w:r>
          </w:p>
        </w:tc>
        <w:tc>
          <w:tcPr>
            <w:tcW w:w="0" w:type="auto"/>
          </w:tcPr>
          <w:p w14:paraId="2556161B"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4.7%</w:t>
            </w:r>
          </w:p>
        </w:tc>
      </w:tr>
      <w:tr w:rsidR="001F1C16" w:rsidRPr="00364063" w14:paraId="65E9D507" w14:textId="77777777" w:rsidTr="00B45076">
        <w:tc>
          <w:tcPr>
            <w:tcW w:w="0" w:type="auto"/>
          </w:tcPr>
          <w:p w14:paraId="35D245E4"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Gen. pop</w:t>
            </w:r>
          </w:p>
        </w:tc>
        <w:tc>
          <w:tcPr>
            <w:tcW w:w="0" w:type="auto"/>
          </w:tcPr>
          <w:p w14:paraId="5ED005C8"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2215</w:t>
            </w:r>
          </w:p>
        </w:tc>
        <w:tc>
          <w:tcPr>
            <w:tcW w:w="0" w:type="auto"/>
          </w:tcPr>
          <w:p w14:paraId="6D7AAE35"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100</w:t>
            </w:r>
          </w:p>
        </w:tc>
        <w:tc>
          <w:tcPr>
            <w:tcW w:w="0" w:type="auto"/>
          </w:tcPr>
          <w:p w14:paraId="167A1E51" w14:textId="77777777" w:rsidR="001F1C16" w:rsidRPr="00364063" w:rsidRDefault="001F1C16" w:rsidP="00015C2E">
            <w:pPr>
              <w:rPr>
                <w:rFonts w:ascii="Times New Roman" w:hAnsi="Times New Roman" w:cs="Times New Roman"/>
                <w:sz w:val="24"/>
                <w:szCs w:val="24"/>
              </w:rPr>
            </w:pPr>
            <w:r w:rsidRPr="00364063">
              <w:rPr>
                <w:rFonts w:ascii="Times New Roman" w:hAnsi="Times New Roman" w:cs="Times New Roman"/>
                <w:sz w:val="24"/>
                <w:szCs w:val="24"/>
              </w:rPr>
              <w:t>4.5%</w:t>
            </w:r>
          </w:p>
        </w:tc>
      </w:tr>
      <w:tr w:rsidR="001F1C16" w:rsidRPr="00364063" w14:paraId="7A1BA2BB" w14:textId="77777777" w:rsidTr="00B45076">
        <w:tc>
          <w:tcPr>
            <w:tcW w:w="0" w:type="auto"/>
          </w:tcPr>
          <w:p w14:paraId="569E51F2" w14:textId="77777777" w:rsidR="001F1C16" w:rsidRPr="00364063" w:rsidRDefault="001F1C16" w:rsidP="00015C2E">
            <w:pPr>
              <w:rPr>
                <w:rFonts w:ascii="Times New Roman" w:hAnsi="Times New Roman" w:cs="Times New Roman"/>
                <w:b/>
                <w:sz w:val="24"/>
                <w:szCs w:val="24"/>
              </w:rPr>
            </w:pPr>
            <w:r w:rsidRPr="00364063">
              <w:rPr>
                <w:rFonts w:ascii="Times New Roman" w:hAnsi="Times New Roman" w:cs="Times New Roman"/>
                <w:b/>
                <w:sz w:val="24"/>
                <w:szCs w:val="24"/>
              </w:rPr>
              <w:t>Overall</w:t>
            </w:r>
          </w:p>
        </w:tc>
        <w:tc>
          <w:tcPr>
            <w:tcW w:w="0" w:type="auto"/>
          </w:tcPr>
          <w:p w14:paraId="12BA9A0B" w14:textId="77777777" w:rsidR="001F1C16" w:rsidRPr="00364063" w:rsidRDefault="001F1C16" w:rsidP="00015C2E">
            <w:pPr>
              <w:rPr>
                <w:rFonts w:ascii="Times New Roman" w:hAnsi="Times New Roman" w:cs="Times New Roman"/>
                <w:b/>
                <w:sz w:val="24"/>
                <w:szCs w:val="24"/>
              </w:rPr>
            </w:pPr>
            <w:r w:rsidRPr="00364063">
              <w:rPr>
                <w:rFonts w:ascii="Times New Roman" w:hAnsi="Times New Roman" w:cs="Times New Roman"/>
                <w:b/>
                <w:sz w:val="24"/>
                <w:szCs w:val="24"/>
              </w:rPr>
              <w:t>8990</w:t>
            </w:r>
          </w:p>
        </w:tc>
        <w:tc>
          <w:tcPr>
            <w:tcW w:w="0" w:type="auto"/>
          </w:tcPr>
          <w:p w14:paraId="1BB44568" w14:textId="77777777" w:rsidR="001F1C16" w:rsidRPr="00364063" w:rsidRDefault="001F1C16" w:rsidP="00015C2E">
            <w:pPr>
              <w:rPr>
                <w:rFonts w:ascii="Times New Roman" w:hAnsi="Times New Roman" w:cs="Times New Roman"/>
                <w:b/>
                <w:sz w:val="24"/>
                <w:szCs w:val="24"/>
              </w:rPr>
            </w:pPr>
            <w:r w:rsidRPr="00364063">
              <w:rPr>
                <w:rFonts w:ascii="Times New Roman" w:hAnsi="Times New Roman" w:cs="Times New Roman"/>
                <w:b/>
                <w:sz w:val="24"/>
                <w:szCs w:val="24"/>
              </w:rPr>
              <w:t>233</w:t>
            </w:r>
          </w:p>
        </w:tc>
        <w:tc>
          <w:tcPr>
            <w:tcW w:w="0" w:type="auto"/>
          </w:tcPr>
          <w:p w14:paraId="6DD75D1A" w14:textId="77777777" w:rsidR="001F1C16" w:rsidRPr="00364063" w:rsidRDefault="001F1C16" w:rsidP="00015C2E">
            <w:pPr>
              <w:rPr>
                <w:rFonts w:ascii="Times New Roman" w:hAnsi="Times New Roman" w:cs="Times New Roman"/>
                <w:b/>
                <w:sz w:val="24"/>
                <w:szCs w:val="24"/>
              </w:rPr>
            </w:pPr>
            <w:r w:rsidRPr="00364063">
              <w:rPr>
                <w:rFonts w:ascii="Times New Roman" w:hAnsi="Times New Roman" w:cs="Times New Roman"/>
                <w:b/>
                <w:sz w:val="24"/>
                <w:szCs w:val="24"/>
              </w:rPr>
              <w:t>2.6%</w:t>
            </w:r>
          </w:p>
        </w:tc>
      </w:tr>
    </w:tbl>
    <w:p w14:paraId="52665054" w14:textId="77777777" w:rsidR="001F1C16" w:rsidRPr="00364063" w:rsidRDefault="001F1C16" w:rsidP="00015C2E">
      <w:pPr>
        <w:spacing w:line="240" w:lineRule="auto"/>
        <w:jc w:val="both"/>
        <w:rPr>
          <w:rFonts w:ascii="Times New Roman" w:hAnsi="Times New Roman" w:cs="Times New Roman"/>
          <w:b/>
          <w:bCs/>
        </w:rPr>
      </w:pPr>
    </w:p>
    <w:p w14:paraId="2493BDC9" w14:textId="4B2151C3" w:rsidR="001F1C16" w:rsidRPr="00364063" w:rsidRDefault="001F1C16" w:rsidP="00015C2E">
      <w:pPr>
        <w:spacing w:line="240" w:lineRule="auto"/>
        <w:rPr>
          <w:rFonts w:ascii="Times New Roman" w:hAnsi="Times New Roman" w:cs="Times New Roman"/>
          <w:b/>
          <w:bCs/>
        </w:rPr>
      </w:pPr>
      <w:r w:rsidRPr="00364063">
        <w:rPr>
          <w:rFonts w:ascii="Times New Roman" w:hAnsi="Times New Roman" w:cs="Times New Roman"/>
          <w:noProof/>
        </w:rPr>
        <w:lastRenderedPageBreak/>
        <w:drawing>
          <wp:anchor distT="0" distB="0" distL="114300" distR="114300" simplePos="0" relativeHeight="251682816" behindDoc="0" locked="0" layoutInCell="1" allowOverlap="1" wp14:anchorId="3D3A8301" wp14:editId="08C0817A">
            <wp:simplePos x="0" y="0"/>
            <wp:positionH relativeFrom="margin">
              <wp:align>left</wp:align>
            </wp:positionH>
            <wp:positionV relativeFrom="paragraph">
              <wp:posOffset>304800</wp:posOffset>
            </wp:positionV>
            <wp:extent cx="4888865" cy="3009900"/>
            <wp:effectExtent l="0" t="0" r="6985" b="0"/>
            <wp:wrapTopAndBottom/>
            <wp:docPr id="128461654" name="Chart 1">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5A6C8E29" w14:textId="11969F9A" w:rsidR="007F3FAA" w:rsidRPr="00364063" w:rsidRDefault="007F3FAA" w:rsidP="00015C2E">
      <w:pPr>
        <w:spacing w:line="240" w:lineRule="auto"/>
        <w:rPr>
          <w:rFonts w:ascii="Times New Roman" w:hAnsi="Times New Roman" w:cs="Times New Roman"/>
        </w:rPr>
      </w:pPr>
      <w:r w:rsidRPr="00364063">
        <w:rPr>
          <w:rFonts w:ascii="Times New Roman" w:hAnsi="Times New Roman" w:cs="Times New Roman"/>
        </w:rPr>
        <w:t>Figure 1: HTS Contribution by LGAs</w:t>
      </w:r>
    </w:p>
    <w:p w14:paraId="7ECE2B88" w14:textId="3A29A7D4" w:rsidR="001F1C16" w:rsidRPr="00364063" w:rsidRDefault="007E5956" w:rsidP="00015C2E">
      <w:pPr>
        <w:spacing w:line="240" w:lineRule="auto"/>
        <w:rPr>
          <w:rFonts w:ascii="Times New Roman" w:hAnsi="Times New Roman" w:cs="Times New Roman"/>
        </w:rPr>
      </w:pPr>
      <w:r w:rsidRPr="00364063">
        <w:rPr>
          <w:rFonts w:ascii="Times New Roman" w:hAnsi="Times New Roman" w:cs="Times New Roman"/>
        </w:rPr>
        <w:t xml:space="preserve">31%, 25% and 44% in Karim, </w:t>
      </w:r>
      <w:proofErr w:type="spellStart"/>
      <w:r w:rsidRPr="00364063">
        <w:rPr>
          <w:rFonts w:ascii="Times New Roman" w:hAnsi="Times New Roman" w:cs="Times New Roman"/>
        </w:rPr>
        <w:t>Ussa</w:t>
      </w:r>
      <w:proofErr w:type="spellEnd"/>
      <w:r w:rsidRPr="00364063">
        <w:rPr>
          <w:rFonts w:ascii="Times New Roman" w:hAnsi="Times New Roman" w:cs="Times New Roman"/>
        </w:rPr>
        <w:t xml:space="preserve"> and Sardauna with proportion of positives across LGAs </w:t>
      </w:r>
      <w:proofErr w:type="gramStart"/>
      <w:r w:rsidRPr="00364063">
        <w:rPr>
          <w:rFonts w:ascii="Times New Roman" w:hAnsi="Times New Roman" w:cs="Times New Roman"/>
        </w:rPr>
        <w:t>as  0.3</w:t>
      </w:r>
      <w:proofErr w:type="gramEnd"/>
      <w:r w:rsidRPr="00364063">
        <w:rPr>
          <w:rFonts w:ascii="Times New Roman" w:hAnsi="Times New Roman" w:cs="Times New Roman"/>
        </w:rPr>
        <w:t xml:space="preserve">%, 1.5% and 0.8% in Karim, </w:t>
      </w:r>
      <w:proofErr w:type="spellStart"/>
      <w:r w:rsidRPr="00364063">
        <w:rPr>
          <w:rFonts w:ascii="Times New Roman" w:hAnsi="Times New Roman" w:cs="Times New Roman"/>
        </w:rPr>
        <w:t>Ussa</w:t>
      </w:r>
      <w:proofErr w:type="spellEnd"/>
      <w:r w:rsidRPr="00364063">
        <w:rPr>
          <w:rFonts w:ascii="Times New Roman" w:hAnsi="Times New Roman" w:cs="Times New Roman"/>
        </w:rPr>
        <w:t xml:space="preserve"> and Sardauna respectively</w:t>
      </w:r>
    </w:p>
    <w:p w14:paraId="4668F106" w14:textId="10B47C5C" w:rsidR="001F1C16" w:rsidRPr="00364063" w:rsidRDefault="007F3FAA" w:rsidP="00015C2E">
      <w:pPr>
        <w:spacing w:line="240" w:lineRule="auto"/>
        <w:rPr>
          <w:rFonts w:ascii="Times New Roman" w:hAnsi="Times New Roman" w:cs="Times New Roman"/>
        </w:rPr>
      </w:pPr>
      <w:r w:rsidRPr="00364063">
        <w:rPr>
          <w:rFonts w:ascii="Times New Roman" w:hAnsi="Times New Roman" w:cs="Times New Roman"/>
        </w:rPr>
        <w:t>Figure 2: Proportion of Positives across LGAs</w:t>
      </w:r>
      <w:r w:rsidRPr="00364063">
        <w:rPr>
          <w:rFonts w:ascii="Times New Roman" w:hAnsi="Times New Roman" w:cs="Times New Roman"/>
          <w:noProof/>
        </w:rPr>
        <w:t xml:space="preserve"> </w:t>
      </w:r>
      <w:r w:rsidR="001F1C16" w:rsidRPr="00364063">
        <w:rPr>
          <w:rFonts w:ascii="Times New Roman" w:hAnsi="Times New Roman" w:cs="Times New Roman"/>
          <w:noProof/>
        </w:rPr>
        <w:drawing>
          <wp:anchor distT="0" distB="0" distL="114300" distR="114300" simplePos="0" relativeHeight="251684864" behindDoc="0" locked="0" layoutInCell="1" allowOverlap="1" wp14:anchorId="42F34D52" wp14:editId="0AEA09F9">
            <wp:simplePos x="0" y="0"/>
            <wp:positionH relativeFrom="column">
              <wp:posOffset>0</wp:posOffset>
            </wp:positionH>
            <wp:positionV relativeFrom="paragraph">
              <wp:posOffset>-2540</wp:posOffset>
            </wp:positionV>
            <wp:extent cx="5727700" cy="3105150"/>
            <wp:effectExtent l="0" t="0" r="6350" b="0"/>
            <wp:wrapTopAndBottom/>
            <wp:docPr id="1863503881" name="Chart 1">
              <a:extLst xmlns:a="http://schemas.openxmlformats.org/drawingml/2006/main">
                <a:ext uri="{FF2B5EF4-FFF2-40B4-BE49-F238E27FC236}">
                  <a16:creationId xmlns:a16="http://schemas.microsoft.com/office/drawing/2014/main" id="{C6478D47-DDA2-ABC4-0774-09FC14C57D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6FCB10" w14:textId="77777777" w:rsidR="001F1C16" w:rsidRPr="00364063" w:rsidRDefault="001F1C16" w:rsidP="00015C2E">
      <w:pPr>
        <w:spacing w:line="240" w:lineRule="auto"/>
        <w:jc w:val="both"/>
        <w:rPr>
          <w:rFonts w:ascii="Times New Roman" w:hAnsi="Times New Roman" w:cs="Times New Roman"/>
          <w:b/>
          <w:bCs/>
        </w:rPr>
      </w:pPr>
    </w:p>
    <w:p w14:paraId="254DE730" w14:textId="77777777" w:rsidR="001F1C16" w:rsidRPr="00364063" w:rsidRDefault="001F1C16" w:rsidP="00015C2E">
      <w:pPr>
        <w:spacing w:line="240" w:lineRule="auto"/>
        <w:jc w:val="both"/>
        <w:rPr>
          <w:rFonts w:ascii="Times New Roman" w:hAnsi="Times New Roman" w:cs="Times New Roman"/>
          <w:b/>
          <w:bCs/>
        </w:rPr>
      </w:pPr>
    </w:p>
    <w:p w14:paraId="4D0A3118" w14:textId="71DEF0B4" w:rsidR="00865DB5" w:rsidRPr="00364063" w:rsidRDefault="00865DB5" w:rsidP="00015C2E">
      <w:pPr>
        <w:spacing w:line="240" w:lineRule="auto"/>
        <w:rPr>
          <w:rFonts w:ascii="Times New Roman" w:hAnsi="Times New Roman" w:cs="Times New Roman"/>
        </w:rPr>
      </w:pPr>
      <w:r w:rsidRPr="00364063">
        <w:rPr>
          <w:rFonts w:ascii="Times New Roman" w:hAnsi="Times New Roman" w:cs="Times New Roman"/>
          <w:noProof/>
        </w:rPr>
        <w:lastRenderedPageBreak/>
        <w:drawing>
          <wp:anchor distT="0" distB="0" distL="114300" distR="114300" simplePos="0" relativeHeight="251676672" behindDoc="0" locked="0" layoutInCell="1" allowOverlap="1" wp14:anchorId="3F894D15" wp14:editId="115EF1E1">
            <wp:simplePos x="0" y="0"/>
            <wp:positionH relativeFrom="margin">
              <wp:posOffset>0</wp:posOffset>
            </wp:positionH>
            <wp:positionV relativeFrom="paragraph">
              <wp:posOffset>304165</wp:posOffset>
            </wp:positionV>
            <wp:extent cx="5955527" cy="3586039"/>
            <wp:effectExtent l="0" t="0" r="7620" b="14605"/>
            <wp:wrapTopAndBottom/>
            <wp:docPr id="851664758" name="Chart 1">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5DA6E1" w14:textId="4B973F48" w:rsidR="007F3FAA" w:rsidRPr="00364063" w:rsidRDefault="007F3FAA" w:rsidP="00015C2E">
      <w:pPr>
        <w:spacing w:line="240" w:lineRule="auto"/>
        <w:rPr>
          <w:rFonts w:ascii="Times New Roman" w:hAnsi="Times New Roman" w:cs="Times New Roman"/>
        </w:rPr>
      </w:pPr>
      <w:r w:rsidRPr="00364063">
        <w:rPr>
          <w:rFonts w:ascii="Times New Roman" w:hAnsi="Times New Roman" w:cs="Times New Roman"/>
        </w:rPr>
        <w:t>Figure 3: Summary of HTS</w:t>
      </w:r>
    </w:p>
    <w:p w14:paraId="5067DF39" w14:textId="11A2B27A" w:rsidR="00254F89" w:rsidRPr="00364063" w:rsidRDefault="001D3215" w:rsidP="00015C2E">
      <w:pPr>
        <w:spacing w:line="240" w:lineRule="auto"/>
        <w:jc w:val="both"/>
        <w:rPr>
          <w:rFonts w:ascii="Times New Roman" w:hAnsi="Times New Roman" w:cs="Times New Roman"/>
          <w:b/>
          <w:bCs/>
          <w:u w:val="single"/>
          <w:lang w:val="en-GB"/>
        </w:rPr>
      </w:pPr>
      <w:r w:rsidRPr="00364063">
        <w:rPr>
          <w:rFonts w:ascii="Times New Roman" w:hAnsi="Times New Roman" w:cs="Times New Roman"/>
          <w:b/>
          <w:bCs/>
          <w:u w:val="single"/>
          <w:lang w:val="en-GB"/>
        </w:rPr>
        <w:t>Second</w:t>
      </w:r>
      <w:r w:rsidR="00254F89" w:rsidRPr="00364063">
        <w:rPr>
          <w:rFonts w:ascii="Times New Roman" w:hAnsi="Times New Roman" w:cs="Times New Roman"/>
          <w:b/>
          <w:bCs/>
          <w:u w:val="single"/>
          <w:lang w:val="en-GB"/>
        </w:rPr>
        <w:t xml:space="preserve"> 95: Linkage to Care</w:t>
      </w:r>
    </w:p>
    <w:p w14:paraId="3D8F4894" w14:textId="4270D87A" w:rsidR="001D3215" w:rsidRPr="00364063" w:rsidRDefault="007F3FAA" w:rsidP="00015C2E">
      <w:pPr>
        <w:spacing w:line="240" w:lineRule="auto"/>
        <w:rPr>
          <w:rFonts w:ascii="Times New Roman" w:hAnsi="Times New Roman" w:cs="Times New Roman"/>
        </w:rPr>
      </w:pPr>
      <w:r w:rsidRPr="00364063">
        <w:rPr>
          <w:rFonts w:ascii="Times New Roman" w:hAnsi="Times New Roman" w:cs="Times New Roman"/>
        </w:rPr>
        <w:t xml:space="preserve">Table 3: </w:t>
      </w:r>
      <w:r w:rsidR="001D3215" w:rsidRPr="00364063">
        <w:rPr>
          <w:rFonts w:ascii="Times New Roman" w:hAnsi="Times New Roman" w:cs="Times New Roman"/>
        </w:rPr>
        <w:t>Segregation of positive clients</w:t>
      </w:r>
    </w:p>
    <w:tbl>
      <w:tblPr>
        <w:tblW w:w="9410" w:type="dxa"/>
        <w:tblLook w:val="04A0" w:firstRow="1" w:lastRow="0" w:firstColumn="1" w:lastColumn="0" w:noHBand="0" w:noVBand="1"/>
      </w:tblPr>
      <w:tblGrid>
        <w:gridCol w:w="1818"/>
        <w:gridCol w:w="1721"/>
        <w:gridCol w:w="1595"/>
        <w:gridCol w:w="1665"/>
        <w:gridCol w:w="1304"/>
        <w:gridCol w:w="1307"/>
      </w:tblGrid>
      <w:tr w:rsidR="001D3215" w:rsidRPr="00364063" w14:paraId="375644E2" w14:textId="77777777" w:rsidTr="001D3215">
        <w:trPr>
          <w:trHeight w:val="597"/>
        </w:trPr>
        <w:tc>
          <w:tcPr>
            <w:tcW w:w="1818" w:type="dxa"/>
            <w:tcBorders>
              <w:top w:val="single" w:sz="4" w:space="0" w:color="auto"/>
              <w:left w:val="single" w:sz="4" w:space="0" w:color="auto"/>
              <w:bottom w:val="single" w:sz="4" w:space="0" w:color="auto"/>
              <w:right w:val="single" w:sz="4" w:space="0" w:color="auto"/>
            </w:tcBorders>
            <w:vAlign w:val="bottom"/>
            <w:hideMark/>
          </w:tcPr>
          <w:p w14:paraId="3CE01B60" w14:textId="77777777" w:rsidR="001D3215" w:rsidRPr="00364063" w:rsidRDefault="001D3215" w:rsidP="00015C2E">
            <w:pPr>
              <w:spacing w:after="0" w:line="240" w:lineRule="auto"/>
              <w:rPr>
                <w:rFonts w:ascii="Times New Roman" w:eastAsia="Times New Roman" w:hAnsi="Times New Roman" w:cs="Times New Roman"/>
                <w:b/>
                <w:bCs/>
                <w:color w:val="000000"/>
                <w:kern w:val="0"/>
                <w14:ligatures w14:val="none"/>
              </w:rPr>
            </w:pPr>
            <w:r w:rsidRPr="00364063">
              <w:rPr>
                <w:rFonts w:ascii="Times New Roman" w:eastAsia="Times New Roman" w:hAnsi="Times New Roman" w:cs="Times New Roman"/>
                <w:b/>
                <w:bCs/>
                <w:color w:val="000000"/>
                <w:kern w:val="0"/>
                <w14:ligatures w14:val="none"/>
              </w:rPr>
              <w:t>Linkage rate</w:t>
            </w:r>
          </w:p>
        </w:tc>
        <w:tc>
          <w:tcPr>
            <w:tcW w:w="1721" w:type="dxa"/>
            <w:tcBorders>
              <w:top w:val="single" w:sz="4" w:space="0" w:color="auto"/>
              <w:left w:val="nil"/>
              <w:bottom w:val="single" w:sz="4" w:space="0" w:color="auto"/>
              <w:right w:val="single" w:sz="4" w:space="0" w:color="auto"/>
            </w:tcBorders>
            <w:vAlign w:val="bottom"/>
            <w:hideMark/>
          </w:tcPr>
          <w:p w14:paraId="7C8701E5" w14:textId="057164BB" w:rsidR="001D3215" w:rsidRPr="00364063" w:rsidRDefault="001D3215" w:rsidP="00015C2E">
            <w:pPr>
              <w:spacing w:after="0" w:line="240" w:lineRule="auto"/>
              <w:rPr>
                <w:rFonts w:ascii="Times New Roman" w:eastAsia="Times New Roman" w:hAnsi="Times New Roman" w:cs="Times New Roman"/>
                <w:b/>
                <w:bCs/>
                <w:color w:val="000000"/>
                <w:kern w:val="0"/>
                <w14:ligatures w14:val="none"/>
              </w:rPr>
            </w:pPr>
            <w:r w:rsidRPr="00364063">
              <w:rPr>
                <w:rFonts w:ascii="Times New Roman" w:eastAsia="Times New Roman" w:hAnsi="Times New Roman" w:cs="Times New Roman"/>
                <w:b/>
                <w:bCs/>
                <w:color w:val="000000"/>
                <w:kern w:val="0"/>
                <w14:ligatures w14:val="none"/>
              </w:rPr>
              <w:t>Total Positive cases identified</w:t>
            </w:r>
          </w:p>
        </w:tc>
        <w:tc>
          <w:tcPr>
            <w:tcW w:w="1595" w:type="dxa"/>
            <w:tcBorders>
              <w:top w:val="single" w:sz="4" w:space="0" w:color="auto"/>
              <w:left w:val="nil"/>
              <w:bottom w:val="single" w:sz="4" w:space="0" w:color="auto"/>
              <w:right w:val="single" w:sz="4" w:space="0" w:color="auto"/>
            </w:tcBorders>
            <w:vAlign w:val="bottom"/>
            <w:hideMark/>
          </w:tcPr>
          <w:p w14:paraId="6260AE18" w14:textId="77777777" w:rsidR="001D3215" w:rsidRPr="00364063" w:rsidRDefault="001D3215" w:rsidP="00015C2E">
            <w:pPr>
              <w:spacing w:after="0" w:line="240" w:lineRule="auto"/>
              <w:rPr>
                <w:rFonts w:ascii="Times New Roman" w:eastAsia="Times New Roman" w:hAnsi="Times New Roman" w:cs="Times New Roman"/>
                <w:b/>
                <w:bCs/>
                <w:kern w:val="0"/>
                <w14:ligatures w14:val="none"/>
              </w:rPr>
            </w:pPr>
            <w:r w:rsidRPr="00364063">
              <w:rPr>
                <w:rFonts w:ascii="Times New Roman" w:eastAsia="Times New Roman" w:hAnsi="Times New Roman" w:cs="Times New Roman"/>
                <w:b/>
                <w:bCs/>
                <w:kern w:val="0"/>
                <w14:ligatures w14:val="none"/>
              </w:rPr>
              <w:t>Know cases on treatment</w:t>
            </w:r>
          </w:p>
        </w:tc>
        <w:tc>
          <w:tcPr>
            <w:tcW w:w="1665" w:type="dxa"/>
            <w:tcBorders>
              <w:top w:val="single" w:sz="4" w:space="0" w:color="auto"/>
              <w:left w:val="nil"/>
              <w:bottom w:val="single" w:sz="4" w:space="0" w:color="auto"/>
              <w:right w:val="single" w:sz="4" w:space="0" w:color="auto"/>
            </w:tcBorders>
            <w:vAlign w:val="bottom"/>
            <w:hideMark/>
          </w:tcPr>
          <w:p w14:paraId="3203AAF5" w14:textId="77777777" w:rsidR="001D3215" w:rsidRPr="00364063" w:rsidRDefault="001D3215" w:rsidP="00015C2E">
            <w:pPr>
              <w:spacing w:after="0" w:line="240" w:lineRule="auto"/>
              <w:rPr>
                <w:rFonts w:ascii="Times New Roman" w:eastAsia="Times New Roman" w:hAnsi="Times New Roman" w:cs="Times New Roman"/>
                <w:b/>
                <w:bCs/>
                <w:color w:val="000000"/>
                <w:kern w:val="0"/>
                <w14:ligatures w14:val="none"/>
              </w:rPr>
            </w:pPr>
            <w:r w:rsidRPr="00364063">
              <w:rPr>
                <w:rFonts w:ascii="Times New Roman" w:eastAsia="Times New Roman" w:hAnsi="Times New Roman" w:cs="Times New Roman"/>
                <w:b/>
                <w:bCs/>
                <w:color w:val="000000"/>
                <w:kern w:val="0"/>
                <w14:ligatures w14:val="none"/>
              </w:rPr>
              <w:t>Know cases not on Treatment</w:t>
            </w:r>
          </w:p>
        </w:tc>
        <w:tc>
          <w:tcPr>
            <w:tcW w:w="1304" w:type="dxa"/>
            <w:tcBorders>
              <w:top w:val="single" w:sz="4" w:space="0" w:color="auto"/>
              <w:left w:val="nil"/>
              <w:bottom w:val="single" w:sz="4" w:space="0" w:color="auto"/>
              <w:right w:val="single" w:sz="4" w:space="0" w:color="auto"/>
            </w:tcBorders>
            <w:vAlign w:val="bottom"/>
            <w:hideMark/>
          </w:tcPr>
          <w:p w14:paraId="51C2437B" w14:textId="77777777" w:rsidR="001D3215" w:rsidRPr="00364063" w:rsidRDefault="001D3215" w:rsidP="00015C2E">
            <w:pPr>
              <w:spacing w:after="0" w:line="240" w:lineRule="auto"/>
              <w:rPr>
                <w:rFonts w:ascii="Times New Roman" w:eastAsia="Times New Roman" w:hAnsi="Times New Roman" w:cs="Times New Roman"/>
                <w:b/>
                <w:bCs/>
                <w:color w:val="000000"/>
                <w:kern w:val="0"/>
                <w14:ligatures w14:val="none"/>
              </w:rPr>
            </w:pPr>
            <w:r w:rsidRPr="00364063">
              <w:rPr>
                <w:rFonts w:ascii="Times New Roman" w:eastAsia="Times New Roman" w:hAnsi="Times New Roman" w:cs="Times New Roman"/>
                <w:b/>
                <w:bCs/>
                <w:color w:val="000000"/>
                <w:kern w:val="0"/>
                <w14:ligatures w14:val="none"/>
              </w:rPr>
              <w:t>New HIV cases</w:t>
            </w:r>
          </w:p>
        </w:tc>
        <w:tc>
          <w:tcPr>
            <w:tcW w:w="1307" w:type="dxa"/>
            <w:tcBorders>
              <w:top w:val="single" w:sz="4" w:space="0" w:color="auto"/>
              <w:left w:val="nil"/>
              <w:bottom w:val="single" w:sz="4" w:space="0" w:color="auto"/>
              <w:right w:val="single" w:sz="4" w:space="0" w:color="auto"/>
            </w:tcBorders>
            <w:vAlign w:val="bottom"/>
            <w:hideMark/>
          </w:tcPr>
          <w:p w14:paraId="24A3B4A8" w14:textId="77777777" w:rsidR="001D3215" w:rsidRPr="00364063" w:rsidRDefault="001D3215" w:rsidP="00015C2E">
            <w:pPr>
              <w:spacing w:after="0" w:line="240" w:lineRule="auto"/>
              <w:rPr>
                <w:rFonts w:ascii="Times New Roman" w:eastAsia="Times New Roman" w:hAnsi="Times New Roman" w:cs="Times New Roman"/>
                <w:b/>
                <w:bCs/>
                <w:color w:val="000000"/>
                <w:kern w:val="0"/>
                <w14:ligatures w14:val="none"/>
              </w:rPr>
            </w:pPr>
            <w:r w:rsidRPr="00364063">
              <w:rPr>
                <w:rFonts w:ascii="Times New Roman" w:eastAsia="Times New Roman" w:hAnsi="Times New Roman" w:cs="Times New Roman"/>
                <w:b/>
                <w:bCs/>
                <w:color w:val="000000"/>
                <w:kern w:val="0"/>
                <w14:ligatures w14:val="none"/>
              </w:rPr>
              <w:t>Eligible for linking</w:t>
            </w:r>
          </w:p>
        </w:tc>
      </w:tr>
      <w:tr w:rsidR="00835B45" w:rsidRPr="00364063" w14:paraId="0D764AD7" w14:textId="77777777" w:rsidTr="00B33A05">
        <w:trPr>
          <w:trHeight w:val="338"/>
        </w:trPr>
        <w:tc>
          <w:tcPr>
            <w:tcW w:w="1818" w:type="dxa"/>
            <w:tcBorders>
              <w:top w:val="nil"/>
              <w:left w:val="single" w:sz="4" w:space="0" w:color="auto"/>
              <w:bottom w:val="single" w:sz="4" w:space="0" w:color="auto"/>
              <w:right w:val="single" w:sz="4" w:space="0" w:color="auto"/>
            </w:tcBorders>
            <w:noWrap/>
            <w:vAlign w:val="bottom"/>
            <w:hideMark/>
          </w:tcPr>
          <w:p w14:paraId="039D6041" w14:textId="77777777" w:rsidR="00835B45" w:rsidRPr="00364063" w:rsidRDefault="00835B45" w:rsidP="00015C2E">
            <w:pPr>
              <w:spacing w:after="0" w:line="240" w:lineRule="auto"/>
              <w:rPr>
                <w:rFonts w:ascii="Times New Roman" w:eastAsia="Times New Roman" w:hAnsi="Times New Roman" w:cs="Times New Roman"/>
                <w:color w:val="000000"/>
                <w:kern w:val="0"/>
                <w14:ligatures w14:val="none"/>
              </w:rPr>
            </w:pPr>
            <w:r w:rsidRPr="00364063">
              <w:rPr>
                <w:rFonts w:ascii="Times New Roman" w:eastAsia="Times New Roman" w:hAnsi="Times New Roman" w:cs="Times New Roman"/>
                <w:color w:val="000000"/>
                <w:kern w:val="0"/>
                <w14:ligatures w14:val="none"/>
              </w:rPr>
              <w:t>Karim Lamido</w:t>
            </w:r>
          </w:p>
        </w:tc>
        <w:tc>
          <w:tcPr>
            <w:tcW w:w="1721" w:type="dxa"/>
            <w:tcBorders>
              <w:top w:val="nil"/>
              <w:left w:val="nil"/>
              <w:bottom w:val="single" w:sz="4" w:space="0" w:color="auto"/>
              <w:right w:val="single" w:sz="4" w:space="0" w:color="auto"/>
            </w:tcBorders>
            <w:noWrap/>
            <w:vAlign w:val="center"/>
            <w:hideMark/>
          </w:tcPr>
          <w:p w14:paraId="47826266" w14:textId="44D4C762" w:rsidR="00835B45" w:rsidRPr="00364063" w:rsidRDefault="00835B45" w:rsidP="00015C2E">
            <w:pPr>
              <w:spacing w:after="0" w:line="240" w:lineRule="auto"/>
              <w:jc w:val="right"/>
              <w:rPr>
                <w:rFonts w:ascii="Times New Roman" w:eastAsia="Times New Roman" w:hAnsi="Times New Roman" w:cs="Times New Roman"/>
                <w:color w:val="000000"/>
                <w:kern w:val="0"/>
                <w14:ligatures w14:val="none"/>
              </w:rPr>
            </w:pPr>
            <w:r w:rsidRPr="00364063">
              <w:rPr>
                <w:rFonts w:ascii="Times New Roman" w:hAnsi="Times New Roman" w:cs="Times New Roman"/>
                <w:color w:val="000000"/>
              </w:rPr>
              <w:t>134</w:t>
            </w:r>
          </w:p>
        </w:tc>
        <w:tc>
          <w:tcPr>
            <w:tcW w:w="1595" w:type="dxa"/>
            <w:tcBorders>
              <w:top w:val="nil"/>
              <w:left w:val="nil"/>
              <w:bottom w:val="single" w:sz="4" w:space="0" w:color="auto"/>
              <w:right w:val="single" w:sz="4" w:space="0" w:color="auto"/>
            </w:tcBorders>
            <w:noWrap/>
            <w:vAlign w:val="center"/>
            <w:hideMark/>
          </w:tcPr>
          <w:p w14:paraId="7005B327" w14:textId="25F11EE8" w:rsidR="00835B45" w:rsidRPr="00364063" w:rsidRDefault="00835B45" w:rsidP="00015C2E">
            <w:pPr>
              <w:spacing w:after="0" w:line="240" w:lineRule="auto"/>
              <w:jc w:val="right"/>
              <w:rPr>
                <w:rFonts w:ascii="Times New Roman" w:eastAsia="Times New Roman" w:hAnsi="Times New Roman" w:cs="Times New Roman"/>
                <w:kern w:val="0"/>
                <w14:ligatures w14:val="none"/>
              </w:rPr>
            </w:pPr>
            <w:r w:rsidRPr="00364063">
              <w:rPr>
                <w:rFonts w:ascii="Times New Roman" w:hAnsi="Times New Roman" w:cs="Times New Roman"/>
              </w:rPr>
              <w:t>31</w:t>
            </w:r>
          </w:p>
        </w:tc>
        <w:tc>
          <w:tcPr>
            <w:tcW w:w="1665" w:type="dxa"/>
            <w:tcBorders>
              <w:top w:val="nil"/>
              <w:left w:val="nil"/>
              <w:bottom w:val="single" w:sz="4" w:space="0" w:color="auto"/>
              <w:right w:val="single" w:sz="4" w:space="0" w:color="auto"/>
            </w:tcBorders>
            <w:noWrap/>
            <w:vAlign w:val="center"/>
            <w:hideMark/>
          </w:tcPr>
          <w:p w14:paraId="25B6BFAD" w14:textId="376BC2EF"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15</w:t>
            </w:r>
          </w:p>
        </w:tc>
        <w:tc>
          <w:tcPr>
            <w:tcW w:w="1304" w:type="dxa"/>
            <w:tcBorders>
              <w:top w:val="nil"/>
              <w:left w:val="nil"/>
              <w:bottom w:val="single" w:sz="4" w:space="0" w:color="auto"/>
              <w:right w:val="single" w:sz="4" w:space="0" w:color="auto"/>
            </w:tcBorders>
            <w:noWrap/>
            <w:vAlign w:val="center"/>
            <w:hideMark/>
          </w:tcPr>
          <w:p w14:paraId="6EE427E3" w14:textId="02086069"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88</w:t>
            </w:r>
          </w:p>
        </w:tc>
        <w:tc>
          <w:tcPr>
            <w:tcW w:w="1307" w:type="dxa"/>
            <w:tcBorders>
              <w:top w:val="nil"/>
              <w:left w:val="nil"/>
              <w:bottom w:val="single" w:sz="4" w:space="0" w:color="auto"/>
              <w:right w:val="single" w:sz="4" w:space="0" w:color="auto"/>
            </w:tcBorders>
            <w:noWrap/>
            <w:vAlign w:val="center"/>
            <w:hideMark/>
          </w:tcPr>
          <w:p w14:paraId="41DB19B7" w14:textId="1696DF38"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103</w:t>
            </w:r>
          </w:p>
        </w:tc>
      </w:tr>
      <w:tr w:rsidR="00835B45" w:rsidRPr="00364063" w14:paraId="445B5E20" w14:textId="77777777" w:rsidTr="00B33A05">
        <w:trPr>
          <w:trHeight w:val="338"/>
        </w:trPr>
        <w:tc>
          <w:tcPr>
            <w:tcW w:w="1818" w:type="dxa"/>
            <w:tcBorders>
              <w:top w:val="nil"/>
              <w:left w:val="single" w:sz="4" w:space="0" w:color="auto"/>
              <w:bottom w:val="single" w:sz="4" w:space="0" w:color="auto"/>
              <w:right w:val="single" w:sz="4" w:space="0" w:color="auto"/>
            </w:tcBorders>
            <w:noWrap/>
            <w:vAlign w:val="bottom"/>
            <w:hideMark/>
          </w:tcPr>
          <w:p w14:paraId="0E21C6EA" w14:textId="77777777" w:rsidR="00835B45" w:rsidRPr="00364063" w:rsidRDefault="00835B45" w:rsidP="00015C2E">
            <w:pPr>
              <w:spacing w:after="0" w:line="240" w:lineRule="auto"/>
              <w:rPr>
                <w:rFonts w:ascii="Times New Roman" w:eastAsia="Times New Roman" w:hAnsi="Times New Roman" w:cs="Times New Roman"/>
                <w:color w:val="000000"/>
                <w:kern w:val="0"/>
                <w14:ligatures w14:val="none"/>
              </w:rPr>
            </w:pPr>
            <w:r w:rsidRPr="00364063">
              <w:rPr>
                <w:rFonts w:ascii="Times New Roman" w:eastAsia="Times New Roman" w:hAnsi="Times New Roman" w:cs="Times New Roman"/>
                <w:color w:val="000000"/>
                <w:kern w:val="0"/>
                <w14:ligatures w14:val="none"/>
              </w:rPr>
              <w:t>Sardauna</w:t>
            </w:r>
          </w:p>
        </w:tc>
        <w:tc>
          <w:tcPr>
            <w:tcW w:w="1721" w:type="dxa"/>
            <w:tcBorders>
              <w:top w:val="nil"/>
              <w:left w:val="nil"/>
              <w:bottom w:val="single" w:sz="4" w:space="0" w:color="auto"/>
              <w:right w:val="single" w:sz="4" w:space="0" w:color="auto"/>
            </w:tcBorders>
            <w:noWrap/>
            <w:vAlign w:val="center"/>
            <w:hideMark/>
          </w:tcPr>
          <w:p w14:paraId="40D8CA50" w14:textId="1706918B" w:rsidR="00835B45" w:rsidRPr="00364063" w:rsidRDefault="00835B45" w:rsidP="00015C2E">
            <w:pPr>
              <w:spacing w:after="0" w:line="240" w:lineRule="auto"/>
              <w:jc w:val="right"/>
              <w:rPr>
                <w:rFonts w:ascii="Times New Roman" w:eastAsia="Times New Roman" w:hAnsi="Times New Roman" w:cs="Times New Roman"/>
                <w:color w:val="000000"/>
                <w:kern w:val="0"/>
                <w14:ligatures w14:val="none"/>
              </w:rPr>
            </w:pPr>
            <w:r w:rsidRPr="00364063">
              <w:rPr>
                <w:rFonts w:ascii="Times New Roman" w:hAnsi="Times New Roman" w:cs="Times New Roman"/>
                <w:color w:val="000000"/>
              </w:rPr>
              <w:t>70</w:t>
            </w:r>
          </w:p>
        </w:tc>
        <w:tc>
          <w:tcPr>
            <w:tcW w:w="1595" w:type="dxa"/>
            <w:tcBorders>
              <w:top w:val="nil"/>
              <w:left w:val="nil"/>
              <w:bottom w:val="single" w:sz="4" w:space="0" w:color="auto"/>
              <w:right w:val="single" w:sz="4" w:space="0" w:color="auto"/>
            </w:tcBorders>
            <w:noWrap/>
            <w:vAlign w:val="center"/>
            <w:hideMark/>
          </w:tcPr>
          <w:p w14:paraId="57D62798" w14:textId="10F49436" w:rsidR="00835B45" w:rsidRPr="00364063" w:rsidRDefault="00835B45" w:rsidP="00015C2E">
            <w:pPr>
              <w:spacing w:after="0" w:line="240" w:lineRule="auto"/>
              <w:jc w:val="right"/>
              <w:rPr>
                <w:rFonts w:ascii="Times New Roman" w:eastAsia="Times New Roman" w:hAnsi="Times New Roman" w:cs="Times New Roman"/>
                <w:kern w:val="0"/>
                <w14:ligatures w14:val="none"/>
              </w:rPr>
            </w:pPr>
            <w:r w:rsidRPr="00364063">
              <w:rPr>
                <w:rFonts w:ascii="Times New Roman" w:hAnsi="Times New Roman" w:cs="Times New Roman"/>
              </w:rPr>
              <w:t>29</w:t>
            </w:r>
          </w:p>
        </w:tc>
        <w:tc>
          <w:tcPr>
            <w:tcW w:w="1665" w:type="dxa"/>
            <w:tcBorders>
              <w:top w:val="nil"/>
              <w:left w:val="nil"/>
              <w:bottom w:val="single" w:sz="4" w:space="0" w:color="auto"/>
              <w:right w:val="single" w:sz="4" w:space="0" w:color="auto"/>
            </w:tcBorders>
            <w:noWrap/>
            <w:vAlign w:val="center"/>
            <w:hideMark/>
          </w:tcPr>
          <w:p w14:paraId="4DB9C577" w14:textId="580EBABB"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5</w:t>
            </w:r>
          </w:p>
        </w:tc>
        <w:tc>
          <w:tcPr>
            <w:tcW w:w="1304" w:type="dxa"/>
            <w:tcBorders>
              <w:top w:val="nil"/>
              <w:left w:val="nil"/>
              <w:bottom w:val="single" w:sz="4" w:space="0" w:color="auto"/>
              <w:right w:val="single" w:sz="4" w:space="0" w:color="auto"/>
            </w:tcBorders>
            <w:noWrap/>
            <w:vAlign w:val="center"/>
            <w:hideMark/>
          </w:tcPr>
          <w:p w14:paraId="6AD93880" w14:textId="5424BD69"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36</w:t>
            </w:r>
          </w:p>
        </w:tc>
        <w:tc>
          <w:tcPr>
            <w:tcW w:w="1307" w:type="dxa"/>
            <w:tcBorders>
              <w:top w:val="nil"/>
              <w:left w:val="nil"/>
              <w:bottom w:val="single" w:sz="4" w:space="0" w:color="auto"/>
              <w:right w:val="single" w:sz="4" w:space="0" w:color="auto"/>
            </w:tcBorders>
            <w:noWrap/>
            <w:vAlign w:val="center"/>
            <w:hideMark/>
          </w:tcPr>
          <w:p w14:paraId="2A597146" w14:textId="66421926"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38</w:t>
            </w:r>
          </w:p>
        </w:tc>
      </w:tr>
      <w:tr w:rsidR="00835B45" w:rsidRPr="00364063" w14:paraId="4717754D" w14:textId="77777777" w:rsidTr="00B33A05">
        <w:trPr>
          <w:trHeight w:val="338"/>
        </w:trPr>
        <w:tc>
          <w:tcPr>
            <w:tcW w:w="1818" w:type="dxa"/>
            <w:tcBorders>
              <w:top w:val="nil"/>
              <w:left w:val="single" w:sz="4" w:space="0" w:color="auto"/>
              <w:bottom w:val="single" w:sz="4" w:space="0" w:color="auto"/>
              <w:right w:val="single" w:sz="4" w:space="0" w:color="auto"/>
            </w:tcBorders>
            <w:noWrap/>
            <w:vAlign w:val="bottom"/>
            <w:hideMark/>
          </w:tcPr>
          <w:p w14:paraId="0036C759" w14:textId="77777777" w:rsidR="00835B45" w:rsidRPr="00364063" w:rsidRDefault="00835B45" w:rsidP="00015C2E">
            <w:pPr>
              <w:spacing w:after="0" w:line="240" w:lineRule="auto"/>
              <w:rPr>
                <w:rFonts w:ascii="Times New Roman" w:eastAsia="Times New Roman" w:hAnsi="Times New Roman" w:cs="Times New Roman"/>
                <w:color w:val="000000"/>
                <w:kern w:val="0"/>
                <w14:ligatures w14:val="none"/>
              </w:rPr>
            </w:pPr>
            <w:proofErr w:type="spellStart"/>
            <w:r w:rsidRPr="00364063">
              <w:rPr>
                <w:rFonts w:ascii="Times New Roman" w:eastAsia="Times New Roman" w:hAnsi="Times New Roman" w:cs="Times New Roman"/>
                <w:color w:val="000000"/>
                <w:kern w:val="0"/>
                <w14:ligatures w14:val="none"/>
              </w:rPr>
              <w:t>Ussa</w:t>
            </w:r>
            <w:proofErr w:type="spellEnd"/>
          </w:p>
        </w:tc>
        <w:tc>
          <w:tcPr>
            <w:tcW w:w="1721" w:type="dxa"/>
            <w:tcBorders>
              <w:top w:val="nil"/>
              <w:left w:val="nil"/>
              <w:bottom w:val="single" w:sz="4" w:space="0" w:color="auto"/>
              <w:right w:val="single" w:sz="4" w:space="0" w:color="auto"/>
            </w:tcBorders>
            <w:noWrap/>
            <w:vAlign w:val="center"/>
            <w:hideMark/>
          </w:tcPr>
          <w:p w14:paraId="508A4D04" w14:textId="706B59C3" w:rsidR="00835B45" w:rsidRPr="00364063" w:rsidRDefault="00835B45" w:rsidP="00015C2E">
            <w:pPr>
              <w:spacing w:after="0" w:line="240" w:lineRule="auto"/>
              <w:jc w:val="right"/>
              <w:rPr>
                <w:rFonts w:ascii="Times New Roman" w:eastAsia="Times New Roman" w:hAnsi="Times New Roman" w:cs="Times New Roman"/>
                <w:color w:val="000000"/>
                <w:kern w:val="0"/>
                <w14:ligatures w14:val="none"/>
              </w:rPr>
            </w:pPr>
            <w:r w:rsidRPr="00364063">
              <w:rPr>
                <w:rFonts w:ascii="Times New Roman" w:hAnsi="Times New Roman" w:cs="Times New Roman"/>
                <w:color w:val="000000"/>
              </w:rPr>
              <w:t>29</w:t>
            </w:r>
          </w:p>
        </w:tc>
        <w:tc>
          <w:tcPr>
            <w:tcW w:w="1595" w:type="dxa"/>
            <w:tcBorders>
              <w:top w:val="nil"/>
              <w:left w:val="nil"/>
              <w:bottom w:val="single" w:sz="4" w:space="0" w:color="auto"/>
              <w:right w:val="single" w:sz="4" w:space="0" w:color="auto"/>
            </w:tcBorders>
            <w:noWrap/>
            <w:vAlign w:val="center"/>
            <w:hideMark/>
          </w:tcPr>
          <w:p w14:paraId="64B96852" w14:textId="2ACA82E2" w:rsidR="00835B45" w:rsidRPr="00364063" w:rsidRDefault="00835B45" w:rsidP="00015C2E">
            <w:pPr>
              <w:spacing w:after="0" w:line="240" w:lineRule="auto"/>
              <w:jc w:val="right"/>
              <w:rPr>
                <w:rFonts w:ascii="Times New Roman" w:eastAsia="Times New Roman" w:hAnsi="Times New Roman" w:cs="Times New Roman"/>
                <w:kern w:val="0"/>
                <w14:ligatures w14:val="none"/>
              </w:rPr>
            </w:pPr>
            <w:r w:rsidRPr="00364063">
              <w:rPr>
                <w:rFonts w:ascii="Times New Roman" w:hAnsi="Times New Roman" w:cs="Times New Roman"/>
              </w:rPr>
              <w:t>2</w:t>
            </w:r>
          </w:p>
        </w:tc>
        <w:tc>
          <w:tcPr>
            <w:tcW w:w="1665" w:type="dxa"/>
            <w:tcBorders>
              <w:top w:val="nil"/>
              <w:left w:val="nil"/>
              <w:bottom w:val="single" w:sz="4" w:space="0" w:color="auto"/>
              <w:right w:val="single" w:sz="4" w:space="0" w:color="auto"/>
            </w:tcBorders>
            <w:noWrap/>
            <w:vAlign w:val="center"/>
            <w:hideMark/>
          </w:tcPr>
          <w:p w14:paraId="37E40029" w14:textId="7E6554BC"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8</w:t>
            </w:r>
          </w:p>
        </w:tc>
        <w:tc>
          <w:tcPr>
            <w:tcW w:w="1304" w:type="dxa"/>
            <w:tcBorders>
              <w:top w:val="nil"/>
              <w:left w:val="nil"/>
              <w:bottom w:val="single" w:sz="4" w:space="0" w:color="auto"/>
              <w:right w:val="single" w:sz="4" w:space="0" w:color="auto"/>
            </w:tcBorders>
            <w:noWrap/>
            <w:vAlign w:val="center"/>
            <w:hideMark/>
          </w:tcPr>
          <w:p w14:paraId="40E6EDBA" w14:textId="4DCB54B3"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19</w:t>
            </w:r>
          </w:p>
        </w:tc>
        <w:tc>
          <w:tcPr>
            <w:tcW w:w="1307" w:type="dxa"/>
            <w:tcBorders>
              <w:top w:val="nil"/>
              <w:left w:val="nil"/>
              <w:bottom w:val="single" w:sz="4" w:space="0" w:color="auto"/>
              <w:right w:val="single" w:sz="4" w:space="0" w:color="auto"/>
            </w:tcBorders>
            <w:noWrap/>
            <w:vAlign w:val="center"/>
            <w:hideMark/>
          </w:tcPr>
          <w:p w14:paraId="763AC153" w14:textId="3855B701"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27</w:t>
            </w:r>
          </w:p>
        </w:tc>
      </w:tr>
      <w:tr w:rsidR="00835B45" w:rsidRPr="00364063" w14:paraId="49F0835F" w14:textId="77777777" w:rsidTr="00B33A05">
        <w:trPr>
          <w:trHeight w:val="338"/>
        </w:trPr>
        <w:tc>
          <w:tcPr>
            <w:tcW w:w="1818" w:type="dxa"/>
            <w:tcBorders>
              <w:top w:val="nil"/>
              <w:left w:val="single" w:sz="4" w:space="0" w:color="auto"/>
              <w:bottom w:val="single" w:sz="4" w:space="0" w:color="auto"/>
              <w:right w:val="single" w:sz="4" w:space="0" w:color="auto"/>
            </w:tcBorders>
            <w:noWrap/>
            <w:vAlign w:val="bottom"/>
            <w:hideMark/>
          </w:tcPr>
          <w:p w14:paraId="69FBF764" w14:textId="77777777" w:rsidR="00835B45" w:rsidRPr="00364063" w:rsidRDefault="00835B45" w:rsidP="00015C2E">
            <w:pPr>
              <w:spacing w:after="0" w:line="240" w:lineRule="auto"/>
              <w:rPr>
                <w:rFonts w:ascii="Times New Roman" w:eastAsia="Times New Roman" w:hAnsi="Times New Roman" w:cs="Times New Roman"/>
                <w:color w:val="000000"/>
                <w:kern w:val="0"/>
                <w14:ligatures w14:val="none"/>
              </w:rPr>
            </w:pPr>
            <w:r w:rsidRPr="00364063">
              <w:rPr>
                <w:rFonts w:ascii="Times New Roman" w:eastAsia="Times New Roman" w:hAnsi="Times New Roman" w:cs="Times New Roman"/>
                <w:color w:val="000000"/>
                <w:kern w:val="0"/>
                <w14:ligatures w14:val="none"/>
              </w:rPr>
              <w:t>Total</w:t>
            </w:r>
          </w:p>
        </w:tc>
        <w:tc>
          <w:tcPr>
            <w:tcW w:w="1721" w:type="dxa"/>
            <w:tcBorders>
              <w:top w:val="nil"/>
              <w:left w:val="nil"/>
              <w:bottom w:val="single" w:sz="4" w:space="0" w:color="auto"/>
              <w:right w:val="single" w:sz="4" w:space="0" w:color="auto"/>
            </w:tcBorders>
            <w:noWrap/>
            <w:vAlign w:val="center"/>
            <w:hideMark/>
          </w:tcPr>
          <w:p w14:paraId="024EB12A" w14:textId="685235C7" w:rsidR="00835B45" w:rsidRPr="00364063" w:rsidRDefault="00835B45" w:rsidP="00015C2E">
            <w:pPr>
              <w:spacing w:after="0" w:line="240" w:lineRule="auto"/>
              <w:jc w:val="right"/>
              <w:rPr>
                <w:rFonts w:ascii="Times New Roman" w:eastAsia="Times New Roman" w:hAnsi="Times New Roman" w:cs="Times New Roman"/>
                <w:color w:val="000000"/>
                <w:kern w:val="0"/>
                <w14:ligatures w14:val="none"/>
              </w:rPr>
            </w:pPr>
            <w:r w:rsidRPr="00364063">
              <w:rPr>
                <w:rFonts w:ascii="Times New Roman" w:hAnsi="Times New Roman" w:cs="Times New Roman"/>
                <w:color w:val="000000"/>
              </w:rPr>
              <w:t>233</w:t>
            </w:r>
          </w:p>
        </w:tc>
        <w:tc>
          <w:tcPr>
            <w:tcW w:w="1595" w:type="dxa"/>
            <w:tcBorders>
              <w:top w:val="nil"/>
              <w:left w:val="nil"/>
              <w:bottom w:val="single" w:sz="4" w:space="0" w:color="auto"/>
              <w:right w:val="single" w:sz="4" w:space="0" w:color="auto"/>
            </w:tcBorders>
            <w:noWrap/>
            <w:vAlign w:val="center"/>
            <w:hideMark/>
          </w:tcPr>
          <w:p w14:paraId="1FEF5913" w14:textId="76818398" w:rsidR="00835B45" w:rsidRPr="00364063" w:rsidRDefault="00835B45" w:rsidP="00015C2E">
            <w:pPr>
              <w:spacing w:after="0" w:line="240" w:lineRule="auto"/>
              <w:jc w:val="right"/>
              <w:rPr>
                <w:rFonts w:ascii="Times New Roman" w:eastAsia="Times New Roman" w:hAnsi="Times New Roman" w:cs="Times New Roman"/>
                <w:kern w:val="0"/>
                <w14:ligatures w14:val="none"/>
              </w:rPr>
            </w:pPr>
            <w:r w:rsidRPr="00364063">
              <w:rPr>
                <w:rFonts w:ascii="Times New Roman" w:hAnsi="Times New Roman" w:cs="Times New Roman"/>
              </w:rPr>
              <w:t>62</w:t>
            </w:r>
          </w:p>
        </w:tc>
        <w:tc>
          <w:tcPr>
            <w:tcW w:w="1665" w:type="dxa"/>
            <w:tcBorders>
              <w:top w:val="nil"/>
              <w:left w:val="nil"/>
              <w:bottom w:val="single" w:sz="4" w:space="0" w:color="auto"/>
              <w:right w:val="single" w:sz="4" w:space="0" w:color="auto"/>
            </w:tcBorders>
            <w:noWrap/>
            <w:vAlign w:val="center"/>
            <w:hideMark/>
          </w:tcPr>
          <w:p w14:paraId="3C38E5F4" w14:textId="2C638E8A"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28</w:t>
            </w:r>
          </w:p>
        </w:tc>
        <w:tc>
          <w:tcPr>
            <w:tcW w:w="1304" w:type="dxa"/>
            <w:tcBorders>
              <w:top w:val="nil"/>
              <w:left w:val="nil"/>
              <w:bottom w:val="single" w:sz="4" w:space="0" w:color="auto"/>
              <w:right w:val="single" w:sz="4" w:space="0" w:color="auto"/>
            </w:tcBorders>
            <w:noWrap/>
            <w:vAlign w:val="center"/>
            <w:hideMark/>
          </w:tcPr>
          <w:p w14:paraId="6DDA8706" w14:textId="388AF7BF"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143</w:t>
            </w:r>
          </w:p>
        </w:tc>
        <w:tc>
          <w:tcPr>
            <w:tcW w:w="1307" w:type="dxa"/>
            <w:tcBorders>
              <w:top w:val="nil"/>
              <w:left w:val="nil"/>
              <w:bottom w:val="single" w:sz="4" w:space="0" w:color="auto"/>
              <w:right w:val="single" w:sz="4" w:space="0" w:color="auto"/>
            </w:tcBorders>
            <w:noWrap/>
            <w:vAlign w:val="center"/>
            <w:hideMark/>
          </w:tcPr>
          <w:p w14:paraId="737AD2A9" w14:textId="67DB5A83" w:rsidR="00835B45" w:rsidRPr="00364063" w:rsidRDefault="00835B45" w:rsidP="00015C2E">
            <w:pPr>
              <w:spacing w:after="0" w:line="240" w:lineRule="auto"/>
              <w:jc w:val="right"/>
              <w:rPr>
                <w:rFonts w:ascii="Times New Roman" w:eastAsia="Times New Roman" w:hAnsi="Times New Roman" w:cs="Times New Roman"/>
                <w:b/>
                <w:bCs/>
                <w:color w:val="000000"/>
                <w:kern w:val="0"/>
                <w14:ligatures w14:val="none"/>
              </w:rPr>
            </w:pPr>
            <w:r w:rsidRPr="00364063">
              <w:rPr>
                <w:rFonts w:ascii="Times New Roman" w:hAnsi="Times New Roman" w:cs="Times New Roman"/>
                <w:b/>
                <w:bCs/>
                <w:color w:val="000000"/>
              </w:rPr>
              <w:t>168</w:t>
            </w:r>
          </w:p>
        </w:tc>
      </w:tr>
    </w:tbl>
    <w:p w14:paraId="456D0BCF" w14:textId="77777777" w:rsidR="00EB7A41" w:rsidRPr="00364063" w:rsidRDefault="00EB7A41" w:rsidP="00015C2E">
      <w:pPr>
        <w:spacing w:line="240" w:lineRule="auto"/>
        <w:jc w:val="both"/>
        <w:rPr>
          <w:rFonts w:ascii="Times New Roman" w:hAnsi="Times New Roman" w:cs="Times New Roman"/>
          <w:b/>
          <w:bCs/>
          <w:u w:val="single"/>
          <w:lang w:val="en-GB"/>
        </w:rPr>
      </w:pPr>
    </w:p>
    <w:p w14:paraId="7CC4CE83" w14:textId="3882716B" w:rsidR="00DF5611" w:rsidRPr="00364063" w:rsidRDefault="00675B85" w:rsidP="00015C2E">
      <w:pPr>
        <w:spacing w:line="240" w:lineRule="auto"/>
        <w:rPr>
          <w:rFonts w:ascii="Times New Roman" w:hAnsi="Times New Roman" w:cs="Times New Roman"/>
        </w:rPr>
      </w:pPr>
      <w:r w:rsidRPr="00364063">
        <w:rPr>
          <w:rFonts w:ascii="Times New Roman" w:hAnsi="Times New Roman" w:cs="Times New Roman"/>
        </w:rPr>
        <w:t>Table</w:t>
      </w:r>
      <w:r w:rsidR="000125C1" w:rsidRPr="00364063">
        <w:rPr>
          <w:rFonts w:ascii="Times New Roman" w:hAnsi="Times New Roman" w:cs="Times New Roman"/>
        </w:rPr>
        <w:t xml:space="preserve"> </w:t>
      </w:r>
      <w:r w:rsidR="007F3FAA" w:rsidRPr="00364063">
        <w:rPr>
          <w:rFonts w:ascii="Times New Roman" w:hAnsi="Times New Roman" w:cs="Times New Roman"/>
        </w:rPr>
        <w:t>4</w:t>
      </w:r>
      <w:r w:rsidR="000125C1" w:rsidRPr="00364063">
        <w:rPr>
          <w:rFonts w:ascii="Times New Roman" w:hAnsi="Times New Roman" w:cs="Times New Roman"/>
        </w:rPr>
        <w:t>.</w:t>
      </w:r>
      <w:r w:rsidRPr="00364063">
        <w:rPr>
          <w:rFonts w:ascii="Times New Roman" w:hAnsi="Times New Roman" w:cs="Times New Roman"/>
        </w:rPr>
        <w:t xml:space="preserve"> </w:t>
      </w:r>
      <w:r w:rsidR="00DF5611" w:rsidRPr="00364063">
        <w:rPr>
          <w:rFonts w:ascii="Times New Roman" w:hAnsi="Times New Roman" w:cs="Times New Roman"/>
        </w:rPr>
        <w:t>Distribution of</w:t>
      </w:r>
      <w:r w:rsidR="002D0E7A" w:rsidRPr="00364063">
        <w:rPr>
          <w:rFonts w:ascii="Times New Roman" w:hAnsi="Times New Roman" w:cs="Times New Roman"/>
        </w:rPr>
        <w:t xml:space="preserve"> Linkage and</w:t>
      </w:r>
      <w:r w:rsidR="00DF5611" w:rsidRPr="00364063">
        <w:rPr>
          <w:rFonts w:ascii="Times New Roman" w:hAnsi="Times New Roman" w:cs="Times New Roman"/>
        </w:rPr>
        <w:t xml:space="preserve"> Retention Rate by LGA</w:t>
      </w:r>
    </w:p>
    <w:tbl>
      <w:tblPr>
        <w:tblStyle w:val="TableGrid"/>
        <w:tblW w:w="8238" w:type="dxa"/>
        <w:tblLook w:val="04A0" w:firstRow="1" w:lastRow="0" w:firstColumn="1" w:lastColumn="0" w:noHBand="0" w:noVBand="1"/>
      </w:tblPr>
      <w:tblGrid>
        <w:gridCol w:w="1577"/>
        <w:gridCol w:w="1558"/>
        <w:gridCol w:w="1560"/>
        <w:gridCol w:w="1559"/>
        <w:gridCol w:w="1984"/>
      </w:tblGrid>
      <w:tr w:rsidR="00837DE7" w:rsidRPr="00364063" w14:paraId="1484F87C" w14:textId="77777777" w:rsidTr="00837DE7">
        <w:trPr>
          <w:trHeight w:val="252"/>
        </w:trPr>
        <w:tc>
          <w:tcPr>
            <w:tcW w:w="1577" w:type="dxa"/>
          </w:tcPr>
          <w:p w14:paraId="434DCF7F"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LGA</w:t>
            </w:r>
          </w:p>
        </w:tc>
        <w:tc>
          <w:tcPr>
            <w:tcW w:w="1558" w:type="dxa"/>
          </w:tcPr>
          <w:p w14:paraId="1B1E04B8"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Total linked to care</w:t>
            </w:r>
          </w:p>
        </w:tc>
        <w:tc>
          <w:tcPr>
            <w:tcW w:w="1560" w:type="dxa"/>
          </w:tcPr>
          <w:p w14:paraId="10C15A4D" w14:textId="7D186933"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Linkage rate</w:t>
            </w:r>
          </w:p>
        </w:tc>
        <w:tc>
          <w:tcPr>
            <w:tcW w:w="1559" w:type="dxa"/>
          </w:tcPr>
          <w:p w14:paraId="69A7C88E" w14:textId="785284E6"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Currently in care</w:t>
            </w:r>
          </w:p>
        </w:tc>
        <w:tc>
          <w:tcPr>
            <w:tcW w:w="1984" w:type="dxa"/>
          </w:tcPr>
          <w:p w14:paraId="64C5D4E3" w14:textId="1460C0A9"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Retention Rate</w:t>
            </w:r>
          </w:p>
        </w:tc>
      </w:tr>
      <w:tr w:rsidR="00837DE7" w:rsidRPr="00364063" w14:paraId="2F30AF95" w14:textId="77777777" w:rsidTr="00837DE7">
        <w:trPr>
          <w:trHeight w:val="252"/>
        </w:trPr>
        <w:tc>
          <w:tcPr>
            <w:tcW w:w="1577" w:type="dxa"/>
          </w:tcPr>
          <w:p w14:paraId="6CDA41C0"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Karim Lamido</w:t>
            </w:r>
          </w:p>
        </w:tc>
        <w:tc>
          <w:tcPr>
            <w:tcW w:w="1558" w:type="dxa"/>
          </w:tcPr>
          <w:p w14:paraId="0C195325" w14:textId="3715FE1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98</w:t>
            </w:r>
          </w:p>
        </w:tc>
        <w:tc>
          <w:tcPr>
            <w:tcW w:w="1560" w:type="dxa"/>
          </w:tcPr>
          <w:p w14:paraId="1BEDC16A" w14:textId="2B24AD2A"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58.3%</w:t>
            </w:r>
          </w:p>
        </w:tc>
        <w:tc>
          <w:tcPr>
            <w:tcW w:w="1559" w:type="dxa"/>
          </w:tcPr>
          <w:p w14:paraId="4297779A" w14:textId="64B2016E"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94</w:t>
            </w:r>
          </w:p>
        </w:tc>
        <w:tc>
          <w:tcPr>
            <w:tcW w:w="1984" w:type="dxa"/>
          </w:tcPr>
          <w:p w14:paraId="47D41B86"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95%</w:t>
            </w:r>
          </w:p>
        </w:tc>
      </w:tr>
      <w:tr w:rsidR="00837DE7" w:rsidRPr="00364063" w14:paraId="1CD20F6F" w14:textId="77777777" w:rsidTr="00837DE7">
        <w:trPr>
          <w:trHeight w:val="252"/>
        </w:trPr>
        <w:tc>
          <w:tcPr>
            <w:tcW w:w="1577" w:type="dxa"/>
          </w:tcPr>
          <w:p w14:paraId="752BBB4C" w14:textId="0C85F12F"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Sardauna</w:t>
            </w:r>
          </w:p>
        </w:tc>
        <w:tc>
          <w:tcPr>
            <w:tcW w:w="1558" w:type="dxa"/>
          </w:tcPr>
          <w:p w14:paraId="29BD5429" w14:textId="0982566B"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38</w:t>
            </w:r>
          </w:p>
        </w:tc>
        <w:tc>
          <w:tcPr>
            <w:tcW w:w="1560" w:type="dxa"/>
          </w:tcPr>
          <w:p w14:paraId="5F5284FB" w14:textId="639FBE05"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22.6%</w:t>
            </w:r>
          </w:p>
        </w:tc>
        <w:tc>
          <w:tcPr>
            <w:tcW w:w="1559" w:type="dxa"/>
          </w:tcPr>
          <w:p w14:paraId="7BC47416" w14:textId="6839FF24"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27</w:t>
            </w:r>
          </w:p>
        </w:tc>
        <w:tc>
          <w:tcPr>
            <w:tcW w:w="1984" w:type="dxa"/>
          </w:tcPr>
          <w:p w14:paraId="3AA66734" w14:textId="13FDF1BB"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73%</w:t>
            </w:r>
          </w:p>
        </w:tc>
      </w:tr>
      <w:tr w:rsidR="00837DE7" w:rsidRPr="00364063" w14:paraId="69E34DB5" w14:textId="77777777" w:rsidTr="00837DE7">
        <w:trPr>
          <w:trHeight w:val="252"/>
        </w:trPr>
        <w:tc>
          <w:tcPr>
            <w:tcW w:w="1577" w:type="dxa"/>
          </w:tcPr>
          <w:p w14:paraId="3F169BA3" w14:textId="77777777" w:rsidR="00837DE7" w:rsidRPr="00364063" w:rsidRDefault="00837DE7" w:rsidP="00015C2E">
            <w:pPr>
              <w:rPr>
                <w:rFonts w:ascii="Times New Roman" w:hAnsi="Times New Roman" w:cs="Times New Roman"/>
                <w:sz w:val="24"/>
                <w:szCs w:val="24"/>
              </w:rPr>
            </w:pPr>
            <w:proofErr w:type="spellStart"/>
            <w:r w:rsidRPr="00364063">
              <w:rPr>
                <w:rFonts w:ascii="Times New Roman" w:hAnsi="Times New Roman" w:cs="Times New Roman"/>
                <w:sz w:val="24"/>
                <w:szCs w:val="24"/>
              </w:rPr>
              <w:t>Ussa</w:t>
            </w:r>
            <w:proofErr w:type="spellEnd"/>
          </w:p>
        </w:tc>
        <w:tc>
          <w:tcPr>
            <w:tcW w:w="1558" w:type="dxa"/>
          </w:tcPr>
          <w:p w14:paraId="615D918E"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27</w:t>
            </w:r>
          </w:p>
        </w:tc>
        <w:tc>
          <w:tcPr>
            <w:tcW w:w="1560" w:type="dxa"/>
          </w:tcPr>
          <w:p w14:paraId="280CF183" w14:textId="5FB7E818"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16.1%</w:t>
            </w:r>
          </w:p>
        </w:tc>
        <w:tc>
          <w:tcPr>
            <w:tcW w:w="1559" w:type="dxa"/>
          </w:tcPr>
          <w:p w14:paraId="5DA5F084" w14:textId="0B21BAEE"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22</w:t>
            </w:r>
          </w:p>
        </w:tc>
        <w:tc>
          <w:tcPr>
            <w:tcW w:w="1984" w:type="dxa"/>
          </w:tcPr>
          <w:p w14:paraId="4208E26D"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81%</w:t>
            </w:r>
          </w:p>
        </w:tc>
      </w:tr>
      <w:tr w:rsidR="00837DE7" w:rsidRPr="00364063" w14:paraId="72E24166" w14:textId="77777777" w:rsidTr="00837DE7">
        <w:trPr>
          <w:trHeight w:val="252"/>
        </w:trPr>
        <w:tc>
          <w:tcPr>
            <w:tcW w:w="1577" w:type="dxa"/>
          </w:tcPr>
          <w:p w14:paraId="50919E6A" w14:textId="26B9BF5F"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Total</w:t>
            </w:r>
          </w:p>
        </w:tc>
        <w:tc>
          <w:tcPr>
            <w:tcW w:w="1558" w:type="dxa"/>
          </w:tcPr>
          <w:p w14:paraId="7D771754"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163</w:t>
            </w:r>
          </w:p>
        </w:tc>
        <w:tc>
          <w:tcPr>
            <w:tcW w:w="1560" w:type="dxa"/>
          </w:tcPr>
          <w:p w14:paraId="089F6C63" w14:textId="4A854A36"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97%</w:t>
            </w:r>
          </w:p>
        </w:tc>
        <w:tc>
          <w:tcPr>
            <w:tcW w:w="1559" w:type="dxa"/>
          </w:tcPr>
          <w:p w14:paraId="5CC6F503" w14:textId="01F3FF8D"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143</w:t>
            </w:r>
          </w:p>
        </w:tc>
        <w:tc>
          <w:tcPr>
            <w:tcW w:w="1984" w:type="dxa"/>
          </w:tcPr>
          <w:p w14:paraId="57B26BE6" w14:textId="77777777" w:rsidR="00837DE7" w:rsidRPr="00364063" w:rsidRDefault="00837DE7" w:rsidP="00015C2E">
            <w:pPr>
              <w:rPr>
                <w:rFonts w:ascii="Times New Roman" w:hAnsi="Times New Roman" w:cs="Times New Roman"/>
                <w:sz w:val="24"/>
                <w:szCs w:val="24"/>
              </w:rPr>
            </w:pPr>
            <w:r w:rsidRPr="00364063">
              <w:rPr>
                <w:rFonts w:ascii="Times New Roman" w:hAnsi="Times New Roman" w:cs="Times New Roman"/>
                <w:sz w:val="24"/>
                <w:szCs w:val="24"/>
              </w:rPr>
              <w:t>88%</w:t>
            </w:r>
          </w:p>
        </w:tc>
      </w:tr>
    </w:tbl>
    <w:p w14:paraId="6CF3E701" w14:textId="77777777" w:rsidR="00DF5611" w:rsidRPr="00364063" w:rsidRDefault="00DF5611" w:rsidP="00015C2E">
      <w:pPr>
        <w:spacing w:line="240" w:lineRule="auto"/>
        <w:rPr>
          <w:rFonts w:ascii="Times New Roman" w:hAnsi="Times New Roman" w:cs="Times New Roman"/>
        </w:rPr>
      </w:pPr>
    </w:p>
    <w:p w14:paraId="4D5EDF26" w14:textId="77777777" w:rsidR="00FC0988" w:rsidRPr="00364063" w:rsidRDefault="00FC0988" w:rsidP="00015C2E">
      <w:pPr>
        <w:spacing w:line="240" w:lineRule="auto"/>
        <w:rPr>
          <w:rFonts w:ascii="Times New Roman" w:hAnsi="Times New Roman" w:cs="Times New Roman"/>
        </w:rPr>
      </w:pPr>
    </w:p>
    <w:p w14:paraId="67B47E31" w14:textId="77777777" w:rsidR="0044375C" w:rsidRPr="00364063" w:rsidRDefault="0044375C" w:rsidP="00015C2E">
      <w:pPr>
        <w:spacing w:line="240" w:lineRule="auto"/>
        <w:rPr>
          <w:rFonts w:ascii="Times New Roman" w:hAnsi="Times New Roman" w:cs="Times New Roman"/>
        </w:rPr>
      </w:pPr>
    </w:p>
    <w:p w14:paraId="63F2026E" w14:textId="7E74E16A" w:rsidR="00DF5611" w:rsidRPr="00364063" w:rsidRDefault="00675B85" w:rsidP="00015C2E">
      <w:pPr>
        <w:spacing w:line="240" w:lineRule="auto"/>
        <w:rPr>
          <w:rFonts w:ascii="Times New Roman" w:hAnsi="Times New Roman" w:cs="Times New Roman"/>
        </w:rPr>
      </w:pPr>
      <w:r w:rsidRPr="00364063">
        <w:rPr>
          <w:rFonts w:ascii="Times New Roman" w:hAnsi="Times New Roman" w:cs="Times New Roman"/>
        </w:rPr>
        <w:lastRenderedPageBreak/>
        <w:t xml:space="preserve">Table </w:t>
      </w:r>
      <w:r w:rsidR="007F3FAA" w:rsidRPr="00364063">
        <w:rPr>
          <w:rFonts w:ascii="Times New Roman" w:hAnsi="Times New Roman" w:cs="Times New Roman"/>
        </w:rPr>
        <w:t>5</w:t>
      </w:r>
      <w:r w:rsidR="000125C1" w:rsidRPr="00364063">
        <w:rPr>
          <w:rFonts w:ascii="Times New Roman" w:hAnsi="Times New Roman" w:cs="Times New Roman"/>
        </w:rPr>
        <w:t xml:space="preserve">. </w:t>
      </w:r>
      <w:r w:rsidR="00DF5611" w:rsidRPr="00364063">
        <w:rPr>
          <w:rFonts w:ascii="Times New Roman" w:hAnsi="Times New Roman" w:cs="Times New Roman"/>
        </w:rPr>
        <w:t xml:space="preserve">Distribution of Retention Rate Across target Groups </w:t>
      </w:r>
    </w:p>
    <w:tbl>
      <w:tblPr>
        <w:tblStyle w:val="TableGrid"/>
        <w:tblW w:w="0" w:type="auto"/>
        <w:tblLook w:val="04A0" w:firstRow="1" w:lastRow="0" w:firstColumn="1" w:lastColumn="0" w:noHBand="0" w:noVBand="1"/>
      </w:tblPr>
      <w:tblGrid>
        <w:gridCol w:w="1682"/>
        <w:gridCol w:w="1485"/>
        <w:gridCol w:w="1537"/>
        <w:gridCol w:w="1438"/>
        <w:gridCol w:w="1858"/>
      </w:tblGrid>
      <w:tr w:rsidR="00FC0988" w:rsidRPr="00364063" w14:paraId="615EB414" w14:textId="77777777" w:rsidTr="00EB7A41">
        <w:tc>
          <w:tcPr>
            <w:tcW w:w="1682" w:type="dxa"/>
          </w:tcPr>
          <w:p w14:paraId="727EB6AD" w14:textId="47379461"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 xml:space="preserve">Target Groups </w:t>
            </w:r>
          </w:p>
        </w:tc>
        <w:tc>
          <w:tcPr>
            <w:tcW w:w="1485" w:type="dxa"/>
          </w:tcPr>
          <w:p w14:paraId="0232FC5E" w14:textId="503ECACD"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Total positive linked to care</w:t>
            </w:r>
          </w:p>
        </w:tc>
        <w:tc>
          <w:tcPr>
            <w:tcW w:w="1537" w:type="dxa"/>
          </w:tcPr>
          <w:p w14:paraId="79085CD0" w14:textId="63B45DAB"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Total Currently in care</w:t>
            </w:r>
          </w:p>
        </w:tc>
        <w:tc>
          <w:tcPr>
            <w:tcW w:w="1438" w:type="dxa"/>
          </w:tcPr>
          <w:p w14:paraId="586B3347" w14:textId="29A9B12F"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Linkage rate</w:t>
            </w:r>
          </w:p>
        </w:tc>
        <w:tc>
          <w:tcPr>
            <w:tcW w:w="1858" w:type="dxa"/>
          </w:tcPr>
          <w:p w14:paraId="50DDA062" w14:textId="15DE5838"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Retention rate</w:t>
            </w:r>
          </w:p>
        </w:tc>
      </w:tr>
      <w:tr w:rsidR="00FC0988" w:rsidRPr="00364063" w14:paraId="4D84ADDD" w14:textId="77777777" w:rsidTr="00EB7A41">
        <w:trPr>
          <w:trHeight w:val="50"/>
        </w:trPr>
        <w:tc>
          <w:tcPr>
            <w:tcW w:w="1682" w:type="dxa"/>
          </w:tcPr>
          <w:p w14:paraId="779DC011" w14:textId="48C229EC"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Children (0-14)</w:t>
            </w:r>
          </w:p>
        </w:tc>
        <w:tc>
          <w:tcPr>
            <w:tcW w:w="1485" w:type="dxa"/>
          </w:tcPr>
          <w:p w14:paraId="79DE4F99" w14:textId="2A75305D"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16</w:t>
            </w:r>
          </w:p>
        </w:tc>
        <w:tc>
          <w:tcPr>
            <w:tcW w:w="1537" w:type="dxa"/>
          </w:tcPr>
          <w:p w14:paraId="60A0917F" w14:textId="77777777"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14</w:t>
            </w:r>
          </w:p>
        </w:tc>
        <w:tc>
          <w:tcPr>
            <w:tcW w:w="1438" w:type="dxa"/>
          </w:tcPr>
          <w:p w14:paraId="0CFF2D2C" w14:textId="0C7BB538"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9.6</w:t>
            </w:r>
          </w:p>
        </w:tc>
        <w:tc>
          <w:tcPr>
            <w:tcW w:w="1858" w:type="dxa"/>
          </w:tcPr>
          <w:p w14:paraId="0AFAAB27" w14:textId="239B0442"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9%</w:t>
            </w:r>
          </w:p>
        </w:tc>
      </w:tr>
      <w:tr w:rsidR="00FC0988" w:rsidRPr="00364063" w14:paraId="58A8C8BE" w14:textId="77777777" w:rsidTr="00EB7A41">
        <w:tc>
          <w:tcPr>
            <w:tcW w:w="1682" w:type="dxa"/>
          </w:tcPr>
          <w:p w14:paraId="34E922B9" w14:textId="77777777"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AYP (15-24)</w:t>
            </w:r>
          </w:p>
        </w:tc>
        <w:tc>
          <w:tcPr>
            <w:tcW w:w="1485" w:type="dxa"/>
          </w:tcPr>
          <w:p w14:paraId="6EE5F18A" w14:textId="132C3A38"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32</w:t>
            </w:r>
          </w:p>
        </w:tc>
        <w:tc>
          <w:tcPr>
            <w:tcW w:w="1537" w:type="dxa"/>
          </w:tcPr>
          <w:p w14:paraId="06702F47" w14:textId="77777777"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32</w:t>
            </w:r>
          </w:p>
        </w:tc>
        <w:tc>
          <w:tcPr>
            <w:tcW w:w="1438" w:type="dxa"/>
          </w:tcPr>
          <w:p w14:paraId="7CDB51BF" w14:textId="6EBCBD2F"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19.0</w:t>
            </w:r>
          </w:p>
        </w:tc>
        <w:tc>
          <w:tcPr>
            <w:tcW w:w="1858" w:type="dxa"/>
          </w:tcPr>
          <w:p w14:paraId="18D258E3" w14:textId="3474B89E"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20%</w:t>
            </w:r>
          </w:p>
        </w:tc>
      </w:tr>
      <w:tr w:rsidR="00FC0988" w:rsidRPr="00364063" w14:paraId="7B4F39A5" w14:textId="77777777" w:rsidTr="00EB7A41">
        <w:tc>
          <w:tcPr>
            <w:tcW w:w="1682" w:type="dxa"/>
          </w:tcPr>
          <w:p w14:paraId="0B0587E9" w14:textId="77777777"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Caregivers</w:t>
            </w:r>
          </w:p>
        </w:tc>
        <w:tc>
          <w:tcPr>
            <w:tcW w:w="1485" w:type="dxa"/>
          </w:tcPr>
          <w:p w14:paraId="6E3BA66C" w14:textId="11BF0171"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45</w:t>
            </w:r>
          </w:p>
        </w:tc>
        <w:tc>
          <w:tcPr>
            <w:tcW w:w="1537" w:type="dxa"/>
          </w:tcPr>
          <w:p w14:paraId="016C6098" w14:textId="77777777"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42</w:t>
            </w:r>
          </w:p>
        </w:tc>
        <w:tc>
          <w:tcPr>
            <w:tcW w:w="1438" w:type="dxa"/>
          </w:tcPr>
          <w:p w14:paraId="0962E89A" w14:textId="1B424062"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26.8</w:t>
            </w:r>
          </w:p>
        </w:tc>
        <w:tc>
          <w:tcPr>
            <w:tcW w:w="1858" w:type="dxa"/>
          </w:tcPr>
          <w:p w14:paraId="35C2554D" w14:textId="04DC101D"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26%</w:t>
            </w:r>
          </w:p>
        </w:tc>
      </w:tr>
      <w:tr w:rsidR="00FC0988" w:rsidRPr="00364063" w14:paraId="4DD594F8" w14:textId="77777777" w:rsidTr="00EB7A41">
        <w:tc>
          <w:tcPr>
            <w:tcW w:w="1682" w:type="dxa"/>
          </w:tcPr>
          <w:p w14:paraId="66CB4ED7" w14:textId="77777777"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Gen. pop</w:t>
            </w:r>
          </w:p>
        </w:tc>
        <w:tc>
          <w:tcPr>
            <w:tcW w:w="1485" w:type="dxa"/>
          </w:tcPr>
          <w:p w14:paraId="209C6E77" w14:textId="0DA86414"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70</w:t>
            </w:r>
          </w:p>
        </w:tc>
        <w:tc>
          <w:tcPr>
            <w:tcW w:w="1537" w:type="dxa"/>
          </w:tcPr>
          <w:p w14:paraId="2C469556" w14:textId="77777777"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55</w:t>
            </w:r>
          </w:p>
        </w:tc>
        <w:tc>
          <w:tcPr>
            <w:tcW w:w="1438" w:type="dxa"/>
          </w:tcPr>
          <w:p w14:paraId="4453FFDC" w14:textId="4F210D24"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41.7</w:t>
            </w:r>
          </w:p>
        </w:tc>
        <w:tc>
          <w:tcPr>
            <w:tcW w:w="1858" w:type="dxa"/>
          </w:tcPr>
          <w:p w14:paraId="2ADBD05F" w14:textId="32821B09" w:rsidR="00FC0988" w:rsidRPr="00364063" w:rsidRDefault="00FC0988" w:rsidP="00015C2E">
            <w:pPr>
              <w:rPr>
                <w:rFonts w:ascii="Times New Roman" w:hAnsi="Times New Roman" w:cs="Times New Roman"/>
                <w:sz w:val="24"/>
                <w:szCs w:val="24"/>
              </w:rPr>
            </w:pPr>
            <w:r w:rsidRPr="00364063">
              <w:rPr>
                <w:rFonts w:ascii="Times New Roman" w:hAnsi="Times New Roman" w:cs="Times New Roman"/>
                <w:sz w:val="24"/>
                <w:szCs w:val="24"/>
              </w:rPr>
              <w:t>34%</w:t>
            </w:r>
          </w:p>
        </w:tc>
      </w:tr>
      <w:tr w:rsidR="00FC0988" w:rsidRPr="00364063" w14:paraId="76CD4333" w14:textId="77777777" w:rsidTr="00EB7A41">
        <w:tc>
          <w:tcPr>
            <w:tcW w:w="1682" w:type="dxa"/>
          </w:tcPr>
          <w:p w14:paraId="1DBAA4E8" w14:textId="403D7A2E"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Overall</w:t>
            </w:r>
          </w:p>
        </w:tc>
        <w:tc>
          <w:tcPr>
            <w:tcW w:w="1485" w:type="dxa"/>
          </w:tcPr>
          <w:p w14:paraId="1C551C52" w14:textId="6D2AE37C"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163</w:t>
            </w:r>
          </w:p>
        </w:tc>
        <w:tc>
          <w:tcPr>
            <w:tcW w:w="1537" w:type="dxa"/>
          </w:tcPr>
          <w:p w14:paraId="082C2692" w14:textId="77777777"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143</w:t>
            </w:r>
          </w:p>
        </w:tc>
        <w:tc>
          <w:tcPr>
            <w:tcW w:w="1438" w:type="dxa"/>
          </w:tcPr>
          <w:p w14:paraId="33FC7824" w14:textId="5A6F423A"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97%</w:t>
            </w:r>
          </w:p>
        </w:tc>
        <w:tc>
          <w:tcPr>
            <w:tcW w:w="1858" w:type="dxa"/>
          </w:tcPr>
          <w:p w14:paraId="20D06C08" w14:textId="658B81B9" w:rsidR="00FC0988" w:rsidRPr="00364063" w:rsidRDefault="00FC0988" w:rsidP="00015C2E">
            <w:pPr>
              <w:rPr>
                <w:rFonts w:ascii="Times New Roman" w:hAnsi="Times New Roman" w:cs="Times New Roman"/>
                <w:b/>
                <w:sz w:val="24"/>
                <w:szCs w:val="24"/>
              </w:rPr>
            </w:pPr>
            <w:r w:rsidRPr="00364063">
              <w:rPr>
                <w:rFonts w:ascii="Times New Roman" w:hAnsi="Times New Roman" w:cs="Times New Roman"/>
                <w:b/>
                <w:sz w:val="24"/>
                <w:szCs w:val="24"/>
              </w:rPr>
              <w:t>88%</w:t>
            </w:r>
          </w:p>
        </w:tc>
      </w:tr>
    </w:tbl>
    <w:p w14:paraId="3B97E2A1" w14:textId="77777777" w:rsidR="00DF5611" w:rsidRPr="00364063" w:rsidRDefault="00DF5611" w:rsidP="00015C2E">
      <w:pPr>
        <w:spacing w:line="240" w:lineRule="auto"/>
        <w:rPr>
          <w:rFonts w:ascii="Times New Roman" w:hAnsi="Times New Roman" w:cs="Times New Roman"/>
        </w:rPr>
      </w:pPr>
    </w:p>
    <w:p w14:paraId="5CB05CD6" w14:textId="77777777" w:rsidR="000C61F2" w:rsidRPr="00364063" w:rsidRDefault="007F3FAA" w:rsidP="000C61F2">
      <w:pPr>
        <w:spacing w:line="240" w:lineRule="auto"/>
        <w:rPr>
          <w:rFonts w:ascii="Times New Roman" w:hAnsi="Times New Roman" w:cs="Times New Roman"/>
          <w:b/>
          <w:bCs/>
        </w:rPr>
      </w:pPr>
      <w:r w:rsidRPr="00364063">
        <w:rPr>
          <w:rFonts w:ascii="Times New Roman" w:hAnsi="Times New Roman" w:cs="Times New Roman"/>
          <w:b/>
          <w:bCs/>
        </w:rPr>
        <w:t xml:space="preserve">Table 6: </w:t>
      </w:r>
      <w:r w:rsidR="000C61F2" w:rsidRPr="00364063">
        <w:rPr>
          <w:rFonts w:ascii="Times New Roman" w:hAnsi="Times New Roman" w:cs="Times New Roman"/>
          <w:b/>
          <w:bCs/>
        </w:rPr>
        <w:t>Third 95: Viral Suppression</w:t>
      </w:r>
    </w:p>
    <w:tbl>
      <w:tblPr>
        <w:tblStyle w:val="TableGrid"/>
        <w:tblW w:w="7326" w:type="dxa"/>
        <w:tblLook w:val="04A0" w:firstRow="1" w:lastRow="0" w:firstColumn="1" w:lastColumn="0" w:noHBand="0" w:noVBand="1"/>
      </w:tblPr>
      <w:tblGrid>
        <w:gridCol w:w="5172"/>
        <w:gridCol w:w="2154"/>
      </w:tblGrid>
      <w:tr w:rsidR="007F3FAA" w:rsidRPr="00364063" w14:paraId="7C38A756" w14:textId="77777777" w:rsidTr="007F3FAA">
        <w:trPr>
          <w:trHeight w:val="337"/>
        </w:trPr>
        <w:tc>
          <w:tcPr>
            <w:tcW w:w="0" w:type="auto"/>
          </w:tcPr>
          <w:p w14:paraId="2B134A54"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 xml:space="preserve">Clients </w:t>
            </w:r>
          </w:p>
        </w:tc>
        <w:tc>
          <w:tcPr>
            <w:tcW w:w="0" w:type="auto"/>
          </w:tcPr>
          <w:p w14:paraId="1E173AD4"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Number</w:t>
            </w:r>
          </w:p>
        </w:tc>
      </w:tr>
      <w:tr w:rsidR="007F3FAA" w:rsidRPr="00364063" w14:paraId="0F206086" w14:textId="77777777" w:rsidTr="007F3FAA">
        <w:trPr>
          <w:trHeight w:val="351"/>
        </w:trPr>
        <w:tc>
          <w:tcPr>
            <w:tcW w:w="0" w:type="auto"/>
          </w:tcPr>
          <w:p w14:paraId="3E5F8FC9"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TX cur</w:t>
            </w:r>
          </w:p>
        </w:tc>
        <w:tc>
          <w:tcPr>
            <w:tcW w:w="0" w:type="auto"/>
          </w:tcPr>
          <w:p w14:paraId="731BDDFE"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143</w:t>
            </w:r>
          </w:p>
        </w:tc>
      </w:tr>
      <w:tr w:rsidR="007F3FAA" w:rsidRPr="00364063" w14:paraId="4C58D630" w14:textId="77777777" w:rsidTr="007F3FAA">
        <w:trPr>
          <w:trHeight w:val="337"/>
        </w:trPr>
        <w:tc>
          <w:tcPr>
            <w:tcW w:w="0" w:type="auto"/>
          </w:tcPr>
          <w:p w14:paraId="3A2DA142"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Valid viral load results</w:t>
            </w:r>
          </w:p>
        </w:tc>
        <w:tc>
          <w:tcPr>
            <w:tcW w:w="0" w:type="auto"/>
          </w:tcPr>
          <w:p w14:paraId="039027F0"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91</w:t>
            </w:r>
          </w:p>
        </w:tc>
      </w:tr>
      <w:tr w:rsidR="007F3FAA" w:rsidRPr="00364063" w14:paraId="5B780812" w14:textId="77777777" w:rsidTr="007F3FAA">
        <w:trPr>
          <w:trHeight w:val="337"/>
        </w:trPr>
        <w:tc>
          <w:tcPr>
            <w:tcW w:w="0" w:type="auto"/>
          </w:tcPr>
          <w:p w14:paraId="1D15B696"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Virally suppressed</w:t>
            </w:r>
          </w:p>
        </w:tc>
        <w:tc>
          <w:tcPr>
            <w:tcW w:w="0" w:type="auto"/>
          </w:tcPr>
          <w:p w14:paraId="650A6956"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88</w:t>
            </w:r>
          </w:p>
        </w:tc>
      </w:tr>
      <w:tr w:rsidR="007F3FAA" w:rsidRPr="00364063" w14:paraId="6ED4DCEC" w14:textId="77777777" w:rsidTr="007F3FAA">
        <w:trPr>
          <w:trHeight w:val="337"/>
        </w:trPr>
        <w:tc>
          <w:tcPr>
            <w:tcW w:w="0" w:type="auto"/>
          </w:tcPr>
          <w:p w14:paraId="24FD46EE"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 xml:space="preserve">Percent suppression </w:t>
            </w:r>
          </w:p>
        </w:tc>
        <w:tc>
          <w:tcPr>
            <w:tcW w:w="0" w:type="auto"/>
          </w:tcPr>
          <w:p w14:paraId="2396E4D1" w14:textId="77777777" w:rsidR="007F3FAA" w:rsidRPr="00364063" w:rsidRDefault="007F3FAA" w:rsidP="00015C2E">
            <w:pPr>
              <w:rPr>
                <w:rFonts w:ascii="Times New Roman" w:hAnsi="Times New Roman" w:cs="Times New Roman"/>
                <w:sz w:val="24"/>
                <w:szCs w:val="24"/>
              </w:rPr>
            </w:pPr>
            <w:r w:rsidRPr="00364063">
              <w:rPr>
                <w:rFonts w:ascii="Times New Roman" w:hAnsi="Times New Roman" w:cs="Times New Roman"/>
                <w:sz w:val="24"/>
                <w:szCs w:val="24"/>
              </w:rPr>
              <w:t>97%</w:t>
            </w:r>
          </w:p>
        </w:tc>
      </w:tr>
    </w:tbl>
    <w:p w14:paraId="19D79FD6" w14:textId="77777777" w:rsidR="007C0676" w:rsidRPr="00364063" w:rsidRDefault="007C0676" w:rsidP="00015C2E">
      <w:pPr>
        <w:tabs>
          <w:tab w:val="left" w:pos="1461"/>
        </w:tabs>
        <w:spacing w:line="240" w:lineRule="auto"/>
        <w:rPr>
          <w:rFonts w:ascii="Times New Roman" w:hAnsi="Times New Roman" w:cs="Times New Roman"/>
          <w:b/>
          <w:bCs/>
          <w:noProof/>
        </w:rPr>
      </w:pPr>
    </w:p>
    <w:p w14:paraId="3CD52C0A" w14:textId="162E22FA" w:rsidR="007C0676" w:rsidRPr="00364063" w:rsidRDefault="007C0676" w:rsidP="00015C2E">
      <w:pPr>
        <w:tabs>
          <w:tab w:val="left" w:pos="1461"/>
        </w:tabs>
        <w:spacing w:line="240" w:lineRule="auto"/>
        <w:jc w:val="center"/>
        <w:rPr>
          <w:rFonts w:ascii="Times New Roman" w:hAnsi="Times New Roman" w:cs="Times New Roman"/>
          <w:b/>
          <w:bCs/>
          <w:noProof/>
        </w:rPr>
      </w:pPr>
    </w:p>
    <w:p w14:paraId="277CE05A" w14:textId="77777777" w:rsidR="009C6326" w:rsidRPr="00364063" w:rsidRDefault="009C6326" w:rsidP="00015C2E">
      <w:pPr>
        <w:tabs>
          <w:tab w:val="left" w:pos="1461"/>
        </w:tabs>
        <w:spacing w:line="240" w:lineRule="auto"/>
        <w:rPr>
          <w:rFonts w:ascii="Times New Roman" w:hAnsi="Times New Roman" w:cs="Times New Roman"/>
          <w:lang w:val="en-GB"/>
        </w:rPr>
      </w:pPr>
      <w:r w:rsidRPr="00364063">
        <w:rPr>
          <w:rFonts w:ascii="Times New Roman" w:hAnsi="Times New Roman" w:cs="Times New Roman"/>
          <w:noProof/>
        </w:rPr>
        <w:drawing>
          <wp:inline distT="0" distB="0" distL="0" distR="0" wp14:anchorId="7EB818B9" wp14:editId="1D148B1C">
            <wp:extent cx="5643282" cy="2698376"/>
            <wp:effectExtent l="0" t="0" r="14605" b="6985"/>
            <wp:docPr id="609267457" name="Chart 1">
              <a:extLst xmlns:a="http://schemas.openxmlformats.org/drawingml/2006/main">
                <a:ext uri="{FF2B5EF4-FFF2-40B4-BE49-F238E27FC236}">
                  <a16:creationId xmlns:a16="http://schemas.microsoft.com/office/drawing/2014/main" id="{86E338BF-7CB3-CB79-9E8D-028D14484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CA0FCD" w14:textId="3FCCEF0F" w:rsidR="006C0713" w:rsidRPr="00364063" w:rsidRDefault="007F3FAA" w:rsidP="00015C2E">
      <w:pPr>
        <w:tabs>
          <w:tab w:val="left" w:pos="1461"/>
        </w:tabs>
        <w:spacing w:line="240" w:lineRule="auto"/>
        <w:rPr>
          <w:rFonts w:ascii="Times New Roman" w:hAnsi="Times New Roman" w:cs="Times New Roman"/>
          <w:b/>
          <w:bCs/>
          <w:noProof/>
        </w:rPr>
      </w:pPr>
      <w:r w:rsidRPr="00364063">
        <w:rPr>
          <w:rFonts w:ascii="Times New Roman" w:hAnsi="Times New Roman" w:cs="Times New Roman"/>
          <w:b/>
          <w:bCs/>
          <w:noProof/>
        </w:rPr>
        <w:t>Figure 4: Viral Suppression</w:t>
      </w:r>
    </w:p>
    <w:p w14:paraId="38B6878D" w14:textId="77777777" w:rsidR="00664C13" w:rsidRPr="00364063" w:rsidRDefault="00664C13" w:rsidP="00015C2E">
      <w:pPr>
        <w:tabs>
          <w:tab w:val="left" w:pos="1461"/>
        </w:tabs>
        <w:spacing w:line="240" w:lineRule="auto"/>
        <w:rPr>
          <w:rFonts w:ascii="Times New Roman" w:hAnsi="Times New Roman" w:cs="Times New Roman"/>
          <w:b/>
          <w:bCs/>
          <w:noProof/>
        </w:rPr>
      </w:pPr>
    </w:p>
    <w:p w14:paraId="6A7C3E29" w14:textId="6BEDCF2E" w:rsidR="001A0DBF" w:rsidRPr="00837DE7" w:rsidRDefault="001A0DBF" w:rsidP="00015C2E">
      <w:pPr>
        <w:tabs>
          <w:tab w:val="left" w:pos="1461"/>
        </w:tabs>
        <w:spacing w:line="240" w:lineRule="auto"/>
        <w:jc w:val="both"/>
        <w:rPr>
          <w:rFonts w:ascii="Times New Roman" w:hAnsi="Times New Roman" w:cs="Times New Roman"/>
          <w:b/>
          <w:bCs/>
          <w:noProof/>
        </w:rPr>
      </w:pPr>
      <w:r w:rsidRPr="00837DE7">
        <w:rPr>
          <w:rFonts w:ascii="Times New Roman" w:hAnsi="Times New Roman" w:cs="Times New Roman"/>
          <w:b/>
          <w:bCs/>
          <w:noProof/>
        </w:rPr>
        <w:t xml:space="preserve">Description of Results </w:t>
      </w:r>
    </w:p>
    <w:p w14:paraId="513E19E7" w14:textId="77777777" w:rsidR="001A0DBF" w:rsidRPr="00364063" w:rsidRDefault="001A0DBF" w:rsidP="00015C2E">
      <w:pPr>
        <w:pStyle w:val="Heading2"/>
        <w:spacing w:after="0" w:line="240" w:lineRule="auto"/>
        <w:jc w:val="both"/>
        <w:rPr>
          <w:rFonts w:ascii="Times New Roman" w:hAnsi="Times New Roman" w:cs="Times New Roman"/>
          <w:b/>
          <w:color w:val="auto"/>
          <w:sz w:val="24"/>
          <w:szCs w:val="24"/>
        </w:rPr>
      </w:pPr>
      <w:r w:rsidRPr="00364063">
        <w:rPr>
          <w:rFonts w:ascii="Times New Roman" w:hAnsi="Times New Roman" w:cs="Times New Roman"/>
          <w:b/>
          <w:color w:val="auto"/>
          <w:sz w:val="24"/>
          <w:szCs w:val="24"/>
        </w:rPr>
        <w:lastRenderedPageBreak/>
        <w:t>First 95: HIV Case Finding</w:t>
      </w:r>
    </w:p>
    <w:p w14:paraId="5674990B" w14:textId="77777777" w:rsidR="001A0DBF" w:rsidRPr="00364063" w:rsidRDefault="001A0DBF" w:rsidP="00015C2E">
      <w:pPr>
        <w:pStyle w:val="Heading3"/>
        <w:spacing w:after="0" w:line="240" w:lineRule="auto"/>
        <w:jc w:val="both"/>
        <w:rPr>
          <w:rFonts w:ascii="Times New Roman" w:hAnsi="Times New Roman" w:cs="Times New Roman"/>
          <w:color w:val="auto"/>
          <w:sz w:val="24"/>
          <w:szCs w:val="24"/>
        </w:rPr>
      </w:pPr>
      <w:r w:rsidRPr="00364063">
        <w:rPr>
          <w:rFonts w:ascii="Times New Roman" w:hAnsi="Times New Roman" w:cs="Times New Roman"/>
          <w:color w:val="auto"/>
          <w:sz w:val="24"/>
          <w:szCs w:val="24"/>
        </w:rPr>
        <w:t>HIV Testing Coverage and Positivity by Sex and Local Government Area</w:t>
      </w:r>
    </w:p>
    <w:p w14:paraId="52202AF0" w14:textId="320D97F8" w:rsidR="001A0DBF" w:rsidRPr="00364063" w:rsidRDefault="001A0DBF" w:rsidP="00015C2E">
      <w:pPr>
        <w:pStyle w:val="NormalWeb"/>
        <w:spacing w:after="0" w:afterAutospacing="0"/>
        <w:jc w:val="both"/>
      </w:pPr>
      <w:r w:rsidRPr="00364063">
        <w:t xml:space="preserve">A total of </w:t>
      </w:r>
      <w:r w:rsidRPr="00364063">
        <w:rPr>
          <w:rStyle w:val="Strong"/>
          <w:rFonts w:eastAsiaTheme="majorEastAsia"/>
          <w:b w:val="0"/>
        </w:rPr>
        <w:t xml:space="preserve">8,990 </w:t>
      </w:r>
      <w:r w:rsidR="00364063">
        <w:rPr>
          <w:rStyle w:val="Strong"/>
          <w:rFonts w:eastAsiaTheme="majorEastAsia"/>
          <w:b w:val="0"/>
        </w:rPr>
        <w:t>Children, adolescents, caregivers and general population</w:t>
      </w:r>
      <w:r w:rsidRPr="00364063">
        <w:rPr>
          <w:rStyle w:val="Strong"/>
          <w:rFonts w:eastAsiaTheme="majorEastAsia"/>
          <w:b w:val="0"/>
        </w:rPr>
        <w:t>s</w:t>
      </w:r>
      <w:r w:rsidRPr="00364063">
        <w:t xml:space="preserve"> were tested for HIV across the three Local Government Areas (LGAs) of </w:t>
      </w:r>
      <w:r w:rsidRPr="00364063">
        <w:rPr>
          <w:rStyle w:val="Strong"/>
          <w:rFonts w:eastAsiaTheme="majorEastAsia"/>
          <w:b w:val="0"/>
        </w:rPr>
        <w:t xml:space="preserve">Karim Lamido, Sardauna, and </w:t>
      </w:r>
      <w:proofErr w:type="spellStart"/>
      <w:r w:rsidRPr="00364063">
        <w:rPr>
          <w:rStyle w:val="Strong"/>
          <w:rFonts w:eastAsiaTheme="majorEastAsia"/>
          <w:b w:val="0"/>
        </w:rPr>
        <w:t>Ussa</w:t>
      </w:r>
      <w:proofErr w:type="spellEnd"/>
      <w:r w:rsidRPr="00364063">
        <w:t xml:space="preserve"> during the implementation period (Table 1). The testing population consisted of </w:t>
      </w:r>
      <w:r w:rsidRPr="00364063">
        <w:rPr>
          <w:rStyle w:val="Strong"/>
          <w:rFonts w:eastAsiaTheme="majorEastAsia"/>
          <w:b w:val="0"/>
        </w:rPr>
        <w:t>4,446 males (49.5%) and 4,544 females (50.5%)</w:t>
      </w:r>
      <w:r w:rsidRPr="00364063">
        <w:t>, indicating nearly equal testing coverage by sex.</w:t>
      </w:r>
    </w:p>
    <w:p w14:paraId="371C2144" w14:textId="6561DA9A" w:rsidR="001A0DBF" w:rsidRPr="00364063" w:rsidRDefault="001A0DBF" w:rsidP="00015C2E">
      <w:pPr>
        <w:pStyle w:val="NormalWeb"/>
        <w:spacing w:after="0" w:afterAutospacing="0"/>
        <w:jc w:val="both"/>
      </w:pPr>
      <w:r w:rsidRPr="00364063">
        <w:t xml:space="preserve">Overall, </w:t>
      </w:r>
      <w:r w:rsidRPr="00364063">
        <w:rPr>
          <w:rStyle w:val="Strong"/>
          <w:rFonts w:eastAsiaTheme="majorEastAsia"/>
          <w:b w:val="0"/>
        </w:rPr>
        <w:t xml:space="preserve">233 </w:t>
      </w:r>
      <w:r w:rsidR="00364063">
        <w:rPr>
          <w:rStyle w:val="Strong"/>
          <w:rFonts w:eastAsiaTheme="majorEastAsia"/>
          <w:b w:val="0"/>
        </w:rPr>
        <w:t>Children, adolescents, caregivers and general population</w:t>
      </w:r>
      <w:r w:rsidRPr="00364063">
        <w:rPr>
          <w:rStyle w:val="Strong"/>
          <w:rFonts w:eastAsiaTheme="majorEastAsia"/>
          <w:b w:val="0"/>
        </w:rPr>
        <w:t>s tested HIV-positive</w:t>
      </w:r>
      <w:r w:rsidRPr="00364063">
        <w:t xml:space="preserve">, yielding an overall </w:t>
      </w:r>
      <w:r w:rsidRPr="00364063">
        <w:rPr>
          <w:rStyle w:val="Strong"/>
          <w:rFonts w:eastAsiaTheme="majorEastAsia"/>
          <w:b w:val="0"/>
        </w:rPr>
        <w:t>positivity rate of 2.6%</w:t>
      </w:r>
      <w:r w:rsidRPr="00364063">
        <w:t>.</w:t>
      </w:r>
    </w:p>
    <w:p w14:paraId="4D34ECA4" w14:textId="6A16455D" w:rsidR="001A0DBF" w:rsidRPr="00364063" w:rsidRDefault="001A0DBF" w:rsidP="00015C2E">
      <w:pPr>
        <w:pStyle w:val="NormalWeb"/>
        <w:spacing w:after="0" w:afterAutospacing="0"/>
        <w:jc w:val="both"/>
      </w:pPr>
      <w:r w:rsidRPr="00364063">
        <w:t xml:space="preserve">Karim Lamido LGA recorded </w:t>
      </w:r>
      <w:r w:rsidRPr="00364063">
        <w:rPr>
          <w:rStyle w:val="Strong"/>
          <w:rFonts w:eastAsiaTheme="majorEastAsia"/>
          <w:b w:val="0"/>
        </w:rPr>
        <w:t xml:space="preserve">2,457 </w:t>
      </w:r>
      <w:r w:rsidR="00364063">
        <w:rPr>
          <w:rStyle w:val="Strong"/>
          <w:rFonts w:eastAsiaTheme="majorEastAsia"/>
          <w:b w:val="0"/>
        </w:rPr>
        <w:t>Children, adolescents, caregivers and general population</w:t>
      </w:r>
      <w:r w:rsidRPr="00364063">
        <w:rPr>
          <w:rStyle w:val="Strong"/>
          <w:rFonts w:eastAsiaTheme="majorEastAsia"/>
          <w:b w:val="0"/>
        </w:rPr>
        <w:t>s tested</w:t>
      </w:r>
      <w:r w:rsidRPr="00364063">
        <w:t xml:space="preserve">, comprising </w:t>
      </w:r>
      <w:r w:rsidRPr="00364063">
        <w:rPr>
          <w:rStyle w:val="Strong"/>
          <w:rFonts w:eastAsiaTheme="majorEastAsia"/>
          <w:b w:val="0"/>
        </w:rPr>
        <w:t>1,263 males and 1,194 females</w:t>
      </w:r>
      <w:r w:rsidRPr="00364063">
        <w:t xml:space="preserve">. Among these, </w:t>
      </w:r>
      <w:r w:rsidRPr="00364063">
        <w:rPr>
          <w:rStyle w:val="Strong"/>
          <w:rFonts w:eastAsiaTheme="majorEastAsia"/>
          <w:b w:val="0"/>
        </w:rPr>
        <w:t xml:space="preserve">134 </w:t>
      </w:r>
      <w:r w:rsidR="00364063">
        <w:rPr>
          <w:rStyle w:val="Strong"/>
          <w:rFonts w:eastAsiaTheme="majorEastAsia"/>
          <w:b w:val="0"/>
        </w:rPr>
        <w:t>Children, adolescents, caregivers and general population</w:t>
      </w:r>
      <w:r w:rsidRPr="00364063">
        <w:rPr>
          <w:rStyle w:val="Strong"/>
          <w:rFonts w:eastAsiaTheme="majorEastAsia"/>
          <w:b w:val="0"/>
        </w:rPr>
        <w:t>s tested positive</w:t>
      </w:r>
      <w:r w:rsidRPr="00364063">
        <w:t xml:space="preserve">, representing the highest number of positive cases among the three LGAs. Of the male clients tested in Karim Lamido, </w:t>
      </w:r>
      <w:r w:rsidRPr="00364063">
        <w:rPr>
          <w:rStyle w:val="Strong"/>
          <w:rFonts w:eastAsiaTheme="majorEastAsia"/>
          <w:b w:val="0"/>
        </w:rPr>
        <w:t>36 were HIV-positive</w:t>
      </w:r>
      <w:r w:rsidRPr="00364063">
        <w:t xml:space="preserve">, while </w:t>
      </w:r>
      <w:r w:rsidRPr="00364063">
        <w:rPr>
          <w:rStyle w:val="Strong"/>
          <w:rFonts w:eastAsiaTheme="majorEastAsia"/>
          <w:b w:val="0"/>
        </w:rPr>
        <w:t>98 females tested positive</w:t>
      </w:r>
      <w:r w:rsidRPr="00364063">
        <w:t>, indicating a higher positivity burden among females in the LGA.</w:t>
      </w:r>
    </w:p>
    <w:p w14:paraId="02673F9A" w14:textId="771944D1" w:rsidR="001A0DBF" w:rsidRPr="00364063" w:rsidRDefault="001A0DBF" w:rsidP="00015C2E">
      <w:pPr>
        <w:pStyle w:val="NormalWeb"/>
        <w:spacing w:after="0" w:afterAutospacing="0"/>
        <w:jc w:val="both"/>
      </w:pPr>
      <w:r w:rsidRPr="00364063">
        <w:t xml:space="preserve">Sardauna LGA recorded the </w:t>
      </w:r>
      <w:r w:rsidRPr="00364063">
        <w:rPr>
          <w:rStyle w:val="Strong"/>
          <w:rFonts w:eastAsiaTheme="majorEastAsia"/>
          <w:b w:val="0"/>
        </w:rPr>
        <w:t>highest testing volume</w:t>
      </w:r>
      <w:r w:rsidRPr="00364063">
        <w:t xml:space="preserve">, with </w:t>
      </w:r>
      <w:r w:rsidRPr="00364063">
        <w:rPr>
          <w:rStyle w:val="Strong"/>
          <w:rFonts w:eastAsiaTheme="majorEastAsia"/>
          <w:b w:val="0"/>
        </w:rPr>
        <w:t xml:space="preserve">3,486 </w:t>
      </w:r>
      <w:r w:rsidR="00364063">
        <w:rPr>
          <w:rStyle w:val="Strong"/>
          <w:rFonts w:eastAsiaTheme="majorEastAsia"/>
          <w:b w:val="0"/>
        </w:rPr>
        <w:t>Children, adolescents, caregivers and general population</w:t>
      </w:r>
      <w:r w:rsidRPr="00364063">
        <w:rPr>
          <w:rStyle w:val="Strong"/>
          <w:rFonts w:eastAsiaTheme="majorEastAsia"/>
          <w:b w:val="0"/>
        </w:rPr>
        <w:t>s tested</w:t>
      </w:r>
      <w:r w:rsidRPr="00364063">
        <w:t xml:space="preserve">, including </w:t>
      </w:r>
      <w:r w:rsidRPr="00364063">
        <w:rPr>
          <w:rStyle w:val="Strong"/>
          <w:rFonts w:eastAsiaTheme="majorEastAsia"/>
          <w:b w:val="0"/>
        </w:rPr>
        <w:t>1,721 males and 1,765 females</w:t>
      </w:r>
      <w:r w:rsidRPr="00364063">
        <w:t xml:space="preserve">. Among these, </w:t>
      </w:r>
      <w:r w:rsidRPr="00364063">
        <w:rPr>
          <w:rStyle w:val="Strong"/>
          <w:rFonts w:eastAsiaTheme="majorEastAsia"/>
          <w:b w:val="0"/>
        </w:rPr>
        <w:t xml:space="preserve">70 </w:t>
      </w:r>
      <w:r w:rsidR="00364063">
        <w:rPr>
          <w:rStyle w:val="Strong"/>
          <w:rFonts w:eastAsiaTheme="majorEastAsia"/>
          <w:b w:val="0"/>
        </w:rPr>
        <w:t>Children, adolescents, caregivers and general population</w:t>
      </w:r>
      <w:r w:rsidRPr="00364063">
        <w:rPr>
          <w:rStyle w:val="Strong"/>
          <w:rFonts w:eastAsiaTheme="majorEastAsia"/>
          <w:b w:val="0"/>
        </w:rPr>
        <w:t>s tested positive</w:t>
      </w:r>
      <w:r w:rsidRPr="00364063">
        <w:t xml:space="preserve">, with </w:t>
      </w:r>
      <w:r w:rsidRPr="00364063">
        <w:rPr>
          <w:rStyle w:val="Strong"/>
          <w:rFonts w:eastAsiaTheme="majorEastAsia"/>
          <w:b w:val="0"/>
        </w:rPr>
        <w:t>27 males and 43 females</w:t>
      </w:r>
      <w:r w:rsidRPr="00364063">
        <w:t xml:space="preserve"> identified as HIV-positive.</w:t>
      </w:r>
    </w:p>
    <w:p w14:paraId="4DFF9943" w14:textId="6C59C349" w:rsidR="001A0DBF" w:rsidRPr="00364063" w:rsidRDefault="001A0DBF" w:rsidP="00015C2E">
      <w:pPr>
        <w:pStyle w:val="NormalWeb"/>
        <w:spacing w:after="0" w:afterAutospacing="0"/>
        <w:jc w:val="both"/>
      </w:pPr>
      <w:r w:rsidRPr="00364063">
        <w:t xml:space="preserve">In </w:t>
      </w:r>
      <w:proofErr w:type="spellStart"/>
      <w:r w:rsidRPr="00364063">
        <w:t>Ussa</w:t>
      </w:r>
      <w:proofErr w:type="spellEnd"/>
      <w:r w:rsidRPr="00364063">
        <w:t xml:space="preserve"> LGA, </w:t>
      </w:r>
      <w:r w:rsidRPr="00364063">
        <w:rPr>
          <w:rStyle w:val="Strong"/>
          <w:rFonts w:eastAsiaTheme="majorEastAsia"/>
          <w:b w:val="0"/>
        </w:rPr>
        <w:t xml:space="preserve">3,047 </w:t>
      </w:r>
      <w:r w:rsidR="00364063">
        <w:rPr>
          <w:rStyle w:val="Strong"/>
          <w:rFonts w:eastAsiaTheme="majorEastAsia"/>
          <w:b w:val="0"/>
        </w:rPr>
        <w:t>Children, adolescents, caregivers and general population</w:t>
      </w:r>
      <w:r w:rsidRPr="00364063">
        <w:rPr>
          <w:rStyle w:val="Strong"/>
          <w:rFonts w:eastAsiaTheme="majorEastAsia"/>
          <w:b w:val="0"/>
        </w:rPr>
        <w:t>s were tested</w:t>
      </w:r>
      <w:r w:rsidRPr="00364063">
        <w:t xml:space="preserve">, comprising </w:t>
      </w:r>
      <w:r w:rsidRPr="00364063">
        <w:rPr>
          <w:rStyle w:val="Strong"/>
          <w:rFonts w:eastAsiaTheme="majorEastAsia"/>
          <w:b w:val="0"/>
        </w:rPr>
        <w:t>1,462 males and 1,585 females</w:t>
      </w:r>
      <w:r w:rsidRPr="00364063">
        <w:t xml:space="preserve">. A total of </w:t>
      </w:r>
      <w:r w:rsidRPr="00364063">
        <w:rPr>
          <w:rStyle w:val="Strong"/>
          <w:rFonts w:eastAsiaTheme="majorEastAsia"/>
          <w:b w:val="0"/>
        </w:rPr>
        <w:t xml:space="preserve">29 </w:t>
      </w:r>
      <w:r w:rsidR="00364063">
        <w:rPr>
          <w:rStyle w:val="Strong"/>
          <w:rFonts w:eastAsiaTheme="majorEastAsia"/>
          <w:b w:val="0"/>
        </w:rPr>
        <w:t>Children, adolescents, caregivers and general population</w:t>
      </w:r>
      <w:r w:rsidRPr="00364063">
        <w:rPr>
          <w:rStyle w:val="Strong"/>
          <w:rFonts w:eastAsiaTheme="majorEastAsia"/>
          <w:b w:val="0"/>
        </w:rPr>
        <w:t>s tested positive</w:t>
      </w:r>
      <w:r w:rsidRPr="00364063">
        <w:t xml:space="preserve">, including </w:t>
      </w:r>
      <w:r w:rsidRPr="00364063">
        <w:rPr>
          <w:rStyle w:val="Strong"/>
          <w:rFonts w:eastAsiaTheme="majorEastAsia"/>
          <w:b w:val="0"/>
        </w:rPr>
        <w:t>8 males and 21 females</w:t>
      </w:r>
      <w:r w:rsidRPr="00364063">
        <w:t>, representing the lowest number of positive cases across the three LGAs.</w:t>
      </w:r>
    </w:p>
    <w:p w14:paraId="61A78086" w14:textId="77777777" w:rsidR="001A0DBF" w:rsidRPr="00364063" w:rsidRDefault="001A0DBF" w:rsidP="00015C2E">
      <w:pPr>
        <w:pStyle w:val="NormalWeb"/>
        <w:spacing w:after="0" w:afterAutospacing="0"/>
        <w:jc w:val="both"/>
      </w:pPr>
      <w:r w:rsidRPr="00364063">
        <w:t xml:space="preserve">Across all LGAs combined, </w:t>
      </w:r>
      <w:r w:rsidRPr="00364063">
        <w:rPr>
          <w:rStyle w:val="Strong"/>
          <w:rFonts w:eastAsiaTheme="majorEastAsia"/>
          <w:b w:val="0"/>
        </w:rPr>
        <w:t>females accounted for a greater proportion of HIV-positive cases (162 cases; 69.5%) compared with males (71 cases; 30.5%)</w:t>
      </w:r>
      <w:r w:rsidRPr="00364063">
        <w:t>, highlighting gender disparities in HIV burden within the study population.</w:t>
      </w:r>
    </w:p>
    <w:p w14:paraId="3082A993" w14:textId="19420E72" w:rsidR="001A0DBF" w:rsidRPr="00364063" w:rsidRDefault="001A0DBF" w:rsidP="00015C2E">
      <w:pPr>
        <w:pStyle w:val="NormalWeb"/>
        <w:spacing w:after="0" w:afterAutospacing="0"/>
        <w:jc w:val="both"/>
      </w:pPr>
      <w:r w:rsidRPr="00364063">
        <w:t xml:space="preserve">The distribution of HIV testing and positivity across target population groups is presented in Table 2. Among the </w:t>
      </w:r>
      <w:r w:rsidRPr="00364063">
        <w:rPr>
          <w:rStyle w:val="Strong"/>
          <w:rFonts w:eastAsiaTheme="majorEastAsia"/>
          <w:b w:val="0"/>
        </w:rPr>
        <w:t xml:space="preserve">8,990 </w:t>
      </w:r>
      <w:r w:rsidR="00364063">
        <w:rPr>
          <w:rStyle w:val="Strong"/>
          <w:rFonts w:eastAsiaTheme="majorEastAsia"/>
          <w:b w:val="0"/>
        </w:rPr>
        <w:t>Children, adolescents, caregivers and general population</w:t>
      </w:r>
      <w:r w:rsidRPr="00364063">
        <w:rPr>
          <w:rStyle w:val="Strong"/>
          <w:rFonts w:eastAsiaTheme="majorEastAsia"/>
          <w:b w:val="0"/>
        </w:rPr>
        <w:t>s tested</w:t>
      </w:r>
      <w:r w:rsidRPr="00364063">
        <w:t xml:space="preserve">, the largest proportion were </w:t>
      </w:r>
      <w:r w:rsidRPr="00364063">
        <w:rPr>
          <w:rStyle w:val="Strong"/>
          <w:rFonts w:eastAsiaTheme="majorEastAsia"/>
          <w:b w:val="0"/>
        </w:rPr>
        <w:t xml:space="preserve">children aged 0–14 years (2,675 </w:t>
      </w:r>
      <w:r w:rsidR="00364063">
        <w:rPr>
          <w:rStyle w:val="Strong"/>
          <w:rFonts w:eastAsiaTheme="majorEastAsia"/>
          <w:b w:val="0"/>
        </w:rPr>
        <w:t>Children, adolescents, caregivers and general population</w:t>
      </w:r>
      <w:r w:rsidRPr="00364063">
        <w:rPr>
          <w:rStyle w:val="Strong"/>
          <w:rFonts w:eastAsiaTheme="majorEastAsia"/>
          <w:b w:val="0"/>
        </w:rPr>
        <w:t>s)</w:t>
      </w:r>
      <w:r w:rsidRPr="00364063">
        <w:t xml:space="preserve">, followed by </w:t>
      </w:r>
      <w:r w:rsidRPr="00364063">
        <w:rPr>
          <w:rStyle w:val="Strong"/>
          <w:rFonts w:eastAsiaTheme="majorEastAsia"/>
          <w:b w:val="0"/>
        </w:rPr>
        <w:t xml:space="preserve">adolescents and young people (15–24 years) with 2,591 </w:t>
      </w:r>
      <w:r w:rsidR="00364063">
        <w:rPr>
          <w:rStyle w:val="Strong"/>
          <w:rFonts w:eastAsiaTheme="majorEastAsia"/>
          <w:b w:val="0"/>
        </w:rPr>
        <w:t>Children, adolescents, caregivers and general population</w:t>
      </w:r>
      <w:r w:rsidRPr="00364063">
        <w:rPr>
          <w:rStyle w:val="Strong"/>
          <w:rFonts w:eastAsiaTheme="majorEastAsia"/>
          <w:b w:val="0"/>
        </w:rPr>
        <w:t>s</w:t>
      </w:r>
      <w:r w:rsidRPr="00364063">
        <w:t xml:space="preserve">, the </w:t>
      </w:r>
      <w:r w:rsidRPr="00364063">
        <w:rPr>
          <w:rStyle w:val="Strong"/>
          <w:rFonts w:eastAsiaTheme="majorEastAsia"/>
          <w:b w:val="0"/>
        </w:rPr>
        <w:t xml:space="preserve">general population with 2,215 </w:t>
      </w:r>
      <w:r w:rsidR="00364063">
        <w:rPr>
          <w:rStyle w:val="Strong"/>
          <w:rFonts w:eastAsiaTheme="majorEastAsia"/>
          <w:b w:val="0"/>
        </w:rPr>
        <w:t>Children, adolescents, caregivers and general population</w:t>
      </w:r>
      <w:r w:rsidRPr="00364063">
        <w:rPr>
          <w:rStyle w:val="Strong"/>
          <w:rFonts w:eastAsiaTheme="majorEastAsia"/>
          <w:b w:val="0"/>
        </w:rPr>
        <w:t>s</w:t>
      </w:r>
      <w:r w:rsidRPr="00364063">
        <w:t xml:space="preserve">, and </w:t>
      </w:r>
      <w:r w:rsidRPr="00364063">
        <w:rPr>
          <w:rStyle w:val="Strong"/>
          <w:rFonts w:eastAsiaTheme="majorEastAsia"/>
          <w:b w:val="0"/>
        </w:rPr>
        <w:t xml:space="preserve">caregivers with 1,509 </w:t>
      </w:r>
      <w:r w:rsidR="00364063">
        <w:rPr>
          <w:rStyle w:val="Strong"/>
          <w:rFonts w:eastAsiaTheme="majorEastAsia"/>
          <w:b w:val="0"/>
        </w:rPr>
        <w:t>Children, adolescents, caregivers and general population</w:t>
      </w:r>
      <w:r w:rsidRPr="00364063">
        <w:rPr>
          <w:rStyle w:val="Strong"/>
          <w:rFonts w:eastAsiaTheme="majorEastAsia"/>
          <w:b w:val="0"/>
        </w:rPr>
        <w:t>s tested</w:t>
      </w:r>
      <w:r w:rsidRPr="00364063">
        <w:t>.</w:t>
      </w:r>
    </w:p>
    <w:p w14:paraId="1FB039F5" w14:textId="77777777" w:rsidR="001A0DBF" w:rsidRPr="00364063" w:rsidRDefault="001A0DBF" w:rsidP="00015C2E">
      <w:pPr>
        <w:pStyle w:val="NormalWeb"/>
        <w:spacing w:after="0" w:afterAutospacing="0"/>
        <w:jc w:val="both"/>
      </w:pPr>
      <w:r w:rsidRPr="00364063">
        <w:t xml:space="preserve">Despite children representing the largest proportion tested, they recorded the </w:t>
      </w:r>
      <w:r w:rsidRPr="00364063">
        <w:rPr>
          <w:rStyle w:val="Strong"/>
          <w:rFonts w:eastAsiaTheme="majorEastAsia"/>
          <w:b w:val="0"/>
        </w:rPr>
        <w:t>lowest positivity rate of 0.8% (22 positive cases)</w:t>
      </w:r>
      <w:r w:rsidRPr="00364063">
        <w:t xml:space="preserve">. Adolescents and young people had a </w:t>
      </w:r>
      <w:r w:rsidRPr="00364063">
        <w:rPr>
          <w:rStyle w:val="Strong"/>
          <w:rFonts w:eastAsiaTheme="majorEastAsia"/>
          <w:b w:val="0"/>
        </w:rPr>
        <w:t>positivity rate of 1.5% (40 positive cases)</w:t>
      </w:r>
      <w:r w:rsidRPr="00364063">
        <w:t>.</w:t>
      </w:r>
    </w:p>
    <w:p w14:paraId="46AC1F68" w14:textId="77777777" w:rsidR="001A0DBF" w:rsidRPr="00364063" w:rsidRDefault="001A0DBF" w:rsidP="00015C2E">
      <w:pPr>
        <w:pStyle w:val="NormalWeb"/>
        <w:spacing w:after="0" w:afterAutospacing="0"/>
        <w:jc w:val="both"/>
      </w:pPr>
      <w:r w:rsidRPr="00364063">
        <w:t xml:space="preserve">Higher positivity rates were observed among </w:t>
      </w:r>
      <w:r w:rsidRPr="00364063">
        <w:rPr>
          <w:rStyle w:val="Strong"/>
          <w:rFonts w:eastAsiaTheme="majorEastAsia"/>
          <w:b w:val="0"/>
        </w:rPr>
        <w:t>caregivers (4.7%; 71 positive cases)</w:t>
      </w:r>
      <w:r w:rsidRPr="00364063">
        <w:t xml:space="preserve"> and the </w:t>
      </w:r>
      <w:r w:rsidRPr="00364063">
        <w:rPr>
          <w:rStyle w:val="Strong"/>
          <w:rFonts w:eastAsiaTheme="majorEastAsia"/>
          <w:b w:val="0"/>
        </w:rPr>
        <w:t>general population (4.5%; 100 positive cases)</w:t>
      </w:r>
      <w:r w:rsidRPr="00364063">
        <w:t>, suggesting a higher HIV burden within adult populations compared to younger age groups.</w:t>
      </w:r>
    </w:p>
    <w:p w14:paraId="543DA37C" w14:textId="77777777" w:rsidR="001A0DBF" w:rsidRPr="00364063" w:rsidRDefault="001A0DBF" w:rsidP="00015C2E">
      <w:pPr>
        <w:pStyle w:val="NormalWeb"/>
        <w:spacing w:after="0" w:afterAutospacing="0"/>
        <w:jc w:val="both"/>
      </w:pPr>
      <w:r w:rsidRPr="00364063">
        <w:lastRenderedPageBreak/>
        <w:t>Overall, these findings highlight that while large numbers of children and adolescents were reached through the community-based HIV testing services, the highest HIV positivity rates were observed among caregivers and the general adult population.</w:t>
      </w:r>
    </w:p>
    <w:p w14:paraId="6336A0CC" w14:textId="1F978B46" w:rsidR="001A0DBF" w:rsidRPr="00364063" w:rsidRDefault="001A0DBF" w:rsidP="00015C2E">
      <w:pPr>
        <w:spacing w:line="240" w:lineRule="auto"/>
        <w:jc w:val="both"/>
        <w:rPr>
          <w:rFonts w:ascii="Times New Roman" w:hAnsi="Times New Roman" w:cs="Times New Roman"/>
        </w:rPr>
      </w:pPr>
      <w:r w:rsidRPr="00364063">
        <w:rPr>
          <w:rFonts w:ascii="Times New Roman" w:hAnsi="Times New Roman" w:cs="Times New Roman"/>
        </w:rPr>
        <w:t xml:space="preserve">Figures 1 and 2 illustrate the contribution of each LGA to overall HIV testing services (HTS) </w:t>
      </w:r>
      <w:r w:rsidR="00F76DA4" w:rsidRPr="00364063">
        <w:rPr>
          <w:rFonts w:ascii="Times New Roman" w:hAnsi="Times New Roman" w:cs="Times New Roman"/>
        </w:rPr>
        <w:t xml:space="preserve">(31%, 25% and 44% in Karim, </w:t>
      </w:r>
      <w:proofErr w:type="spellStart"/>
      <w:r w:rsidR="00F76DA4" w:rsidRPr="00364063">
        <w:rPr>
          <w:rFonts w:ascii="Times New Roman" w:hAnsi="Times New Roman" w:cs="Times New Roman"/>
        </w:rPr>
        <w:t>Ussa</w:t>
      </w:r>
      <w:proofErr w:type="spellEnd"/>
      <w:r w:rsidR="00F76DA4" w:rsidRPr="00364063">
        <w:rPr>
          <w:rFonts w:ascii="Times New Roman" w:hAnsi="Times New Roman" w:cs="Times New Roman"/>
        </w:rPr>
        <w:t xml:space="preserve"> and Sardauna) </w:t>
      </w:r>
      <w:r w:rsidRPr="00364063">
        <w:rPr>
          <w:rFonts w:ascii="Times New Roman" w:hAnsi="Times New Roman" w:cs="Times New Roman"/>
        </w:rPr>
        <w:t>and the proportion of HIV-positive ca</w:t>
      </w:r>
      <w:r w:rsidR="007E5956" w:rsidRPr="00364063">
        <w:rPr>
          <w:rFonts w:ascii="Times New Roman" w:hAnsi="Times New Roman" w:cs="Times New Roman"/>
        </w:rPr>
        <w:t>ses</w:t>
      </w:r>
      <w:r w:rsidR="00F76DA4" w:rsidRPr="00364063">
        <w:rPr>
          <w:rFonts w:ascii="Times New Roman" w:hAnsi="Times New Roman" w:cs="Times New Roman"/>
        </w:rPr>
        <w:t xml:space="preserve"> 0.3%, 1.5% and 0.8% in Karim, </w:t>
      </w:r>
      <w:proofErr w:type="spellStart"/>
      <w:r w:rsidR="00F76DA4" w:rsidRPr="00364063">
        <w:rPr>
          <w:rFonts w:ascii="Times New Roman" w:hAnsi="Times New Roman" w:cs="Times New Roman"/>
        </w:rPr>
        <w:t>Ussa</w:t>
      </w:r>
      <w:proofErr w:type="spellEnd"/>
      <w:r w:rsidR="00F76DA4" w:rsidRPr="00364063">
        <w:rPr>
          <w:rFonts w:ascii="Times New Roman" w:hAnsi="Times New Roman" w:cs="Times New Roman"/>
        </w:rPr>
        <w:t xml:space="preserve"> and Sardauna respectively.</w:t>
      </w:r>
    </w:p>
    <w:p w14:paraId="0A02A137" w14:textId="77777777" w:rsidR="00EA6B7C" w:rsidRPr="00364063" w:rsidRDefault="001A0DBF" w:rsidP="00015C2E">
      <w:pPr>
        <w:spacing w:line="240" w:lineRule="auto"/>
        <w:jc w:val="both"/>
        <w:rPr>
          <w:rFonts w:ascii="Times New Roman" w:hAnsi="Times New Roman" w:cs="Times New Roman"/>
        </w:rPr>
      </w:pPr>
      <w:r w:rsidRPr="00364063">
        <w:rPr>
          <w:rFonts w:ascii="Times New Roman" w:hAnsi="Times New Roman" w:cs="Times New Roman"/>
        </w:rPr>
        <w:t xml:space="preserve">Figure 3 provides a summary of HIV testing services across the </w:t>
      </w:r>
      <w:r w:rsidR="00EA6B7C" w:rsidRPr="00364063">
        <w:rPr>
          <w:rFonts w:ascii="Times New Roman" w:hAnsi="Times New Roman" w:cs="Times New Roman"/>
        </w:rPr>
        <w:t>target groups (Children 0-14 (0.8%), AYP 15-24 (1.5%), caregivers (4.7%), general population (4.5%) with overall total prevalence of 2.6 across all groups</w:t>
      </w:r>
    </w:p>
    <w:p w14:paraId="50084B1A" w14:textId="77777777" w:rsidR="001A0DBF" w:rsidRPr="00364063" w:rsidRDefault="001A0DBF" w:rsidP="00015C2E">
      <w:pPr>
        <w:pStyle w:val="Heading1"/>
        <w:spacing w:after="0" w:line="240" w:lineRule="auto"/>
        <w:jc w:val="both"/>
        <w:rPr>
          <w:rFonts w:ascii="Times New Roman" w:hAnsi="Times New Roman" w:cs="Times New Roman"/>
          <w:b/>
          <w:color w:val="auto"/>
          <w:sz w:val="24"/>
          <w:szCs w:val="24"/>
        </w:rPr>
      </w:pPr>
      <w:r w:rsidRPr="00364063">
        <w:rPr>
          <w:rFonts w:ascii="Times New Roman" w:hAnsi="Times New Roman" w:cs="Times New Roman"/>
          <w:b/>
          <w:color w:val="auto"/>
          <w:sz w:val="24"/>
          <w:szCs w:val="24"/>
        </w:rPr>
        <w:t>Second 95: Linkage to Care and Retention</w:t>
      </w:r>
    </w:p>
    <w:p w14:paraId="69360A92" w14:textId="77777777" w:rsidR="001A0DBF" w:rsidRPr="00364063" w:rsidRDefault="001A0DBF" w:rsidP="00015C2E">
      <w:pPr>
        <w:pStyle w:val="Heading3"/>
        <w:spacing w:after="0" w:line="240" w:lineRule="auto"/>
        <w:jc w:val="both"/>
        <w:rPr>
          <w:rFonts w:ascii="Times New Roman" w:hAnsi="Times New Roman" w:cs="Times New Roman"/>
          <w:color w:val="auto"/>
          <w:sz w:val="24"/>
          <w:szCs w:val="24"/>
        </w:rPr>
      </w:pPr>
      <w:r w:rsidRPr="00364063">
        <w:rPr>
          <w:rFonts w:ascii="Times New Roman" w:hAnsi="Times New Roman" w:cs="Times New Roman"/>
          <w:color w:val="auto"/>
          <w:sz w:val="24"/>
          <w:szCs w:val="24"/>
        </w:rPr>
        <w:t>Classification of HIV-Positive Clients</w:t>
      </w:r>
    </w:p>
    <w:p w14:paraId="594072FB" w14:textId="6FF8383E" w:rsidR="001A0DBF" w:rsidRPr="00364063" w:rsidRDefault="001A0DBF" w:rsidP="00015C2E">
      <w:pPr>
        <w:pStyle w:val="NormalWeb"/>
        <w:spacing w:after="0" w:afterAutospacing="0"/>
        <w:jc w:val="both"/>
      </w:pPr>
      <w:r w:rsidRPr="00364063">
        <w:t xml:space="preserve">Among the </w:t>
      </w:r>
      <w:r w:rsidRPr="00364063">
        <w:rPr>
          <w:rStyle w:val="Strong"/>
          <w:rFonts w:eastAsiaTheme="majorEastAsia"/>
          <w:b w:val="0"/>
        </w:rPr>
        <w:t xml:space="preserve">233 </w:t>
      </w:r>
      <w:r w:rsidR="00364063">
        <w:rPr>
          <w:rStyle w:val="Strong"/>
          <w:rFonts w:eastAsiaTheme="majorEastAsia"/>
          <w:b w:val="0"/>
        </w:rPr>
        <w:t>Children, adolescents, caregivers and general population</w:t>
      </w:r>
      <w:r w:rsidRPr="00364063">
        <w:rPr>
          <w:rStyle w:val="Strong"/>
          <w:rFonts w:eastAsiaTheme="majorEastAsia"/>
          <w:b w:val="0"/>
        </w:rPr>
        <w:t>s who tested positive for HIV</w:t>
      </w:r>
      <w:r w:rsidRPr="00364063">
        <w:t xml:space="preserve">, a total of </w:t>
      </w:r>
      <w:r w:rsidRPr="00364063">
        <w:rPr>
          <w:rStyle w:val="Strong"/>
          <w:rFonts w:eastAsiaTheme="majorEastAsia"/>
          <w:b w:val="0"/>
        </w:rPr>
        <w:t xml:space="preserve">62 </w:t>
      </w:r>
      <w:r w:rsidR="00364063">
        <w:rPr>
          <w:rStyle w:val="Strong"/>
          <w:rFonts w:eastAsiaTheme="majorEastAsia"/>
          <w:b w:val="0"/>
        </w:rPr>
        <w:t>Children, adolescents, caregivers and general population</w:t>
      </w:r>
      <w:r w:rsidRPr="00364063">
        <w:rPr>
          <w:rStyle w:val="Strong"/>
          <w:rFonts w:eastAsiaTheme="majorEastAsia"/>
          <w:b w:val="0"/>
        </w:rPr>
        <w:t>s were previously known HIV-positive cases already receiving treatment</w:t>
      </w:r>
      <w:r w:rsidRPr="00364063">
        <w:t xml:space="preserve">, while </w:t>
      </w:r>
      <w:r w:rsidRPr="00364063">
        <w:rPr>
          <w:rStyle w:val="Strong"/>
          <w:rFonts w:eastAsiaTheme="majorEastAsia"/>
          <w:b w:val="0"/>
        </w:rPr>
        <w:t xml:space="preserve">28 </w:t>
      </w:r>
      <w:r w:rsidR="00364063">
        <w:rPr>
          <w:rStyle w:val="Strong"/>
          <w:rFonts w:eastAsiaTheme="majorEastAsia"/>
          <w:b w:val="0"/>
        </w:rPr>
        <w:t>Children, adolescents, caregivers and general population</w:t>
      </w:r>
      <w:r w:rsidRPr="00364063">
        <w:rPr>
          <w:rStyle w:val="Strong"/>
          <w:rFonts w:eastAsiaTheme="majorEastAsia"/>
          <w:b w:val="0"/>
        </w:rPr>
        <w:t>s were known HIV-positive but not currently on treatment</w:t>
      </w:r>
      <w:r w:rsidRPr="00364063">
        <w:t xml:space="preserve"> (Table 3). In addition, </w:t>
      </w:r>
      <w:r w:rsidRPr="00364063">
        <w:rPr>
          <w:rStyle w:val="Strong"/>
          <w:rFonts w:eastAsiaTheme="majorEastAsia"/>
          <w:b w:val="0"/>
        </w:rPr>
        <w:t xml:space="preserve">143 </w:t>
      </w:r>
      <w:r w:rsidR="00364063">
        <w:rPr>
          <w:rStyle w:val="Strong"/>
          <w:rFonts w:eastAsiaTheme="majorEastAsia"/>
          <w:b w:val="0"/>
        </w:rPr>
        <w:t>Children, adolescents, caregivers and general population</w:t>
      </w:r>
      <w:r w:rsidRPr="00364063">
        <w:rPr>
          <w:rStyle w:val="Strong"/>
          <w:rFonts w:eastAsiaTheme="majorEastAsia"/>
          <w:b w:val="0"/>
        </w:rPr>
        <w:t>s were newly diagnosed HIV-positive cases</w:t>
      </w:r>
      <w:r w:rsidRPr="00364063">
        <w:t xml:space="preserve"> during the intervention.</w:t>
      </w:r>
    </w:p>
    <w:p w14:paraId="1887EF43" w14:textId="32A50053" w:rsidR="001A0DBF" w:rsidRPr="00364063" w:rsidRDefault="001A0DBF" w:rsidP="00015C2E">
      <w:pPr>
        <w:pStyle w:val="NormalWeb"/>
        <w:spacing w:after="0" w:afterAutospacing="0"/>
        <w:jc w:val="both"/>
      </w:pPr>
      <w:r w:rsidRPr="00364063">
        <w:t xml:space="preserve">After accounting for </w:t>
      </w:r>
      <w:r w:rsidR="00364063">
        <w:t>Children, adolescents, caregivers and general population</w:t>
      </w:r>
      <w:r w:rsidRPr="00364063">
        <w:t xml:space="preserve">s already on treatment, </w:t>
      </w:r>
      <w:r w:rsidRPr="00364063">
        <w:rPr>
          <w:rStyle w:val="Strong"/>
          <w:rFonts w:eastAsiaTheme="majorEastAsia"/>
          <w:b w:val="0"/>
        </w:rPr>
        <w:t>168 clients were eligible for linkage to HIV treatment services</w:t>
      </w:r>
      <w:r w:rsidRPr="00364063">
        <w:t>.</w:t>
      </w:r>
    </w:p>
    <w:p w14:paraId="31F29C48" w14:textId="77777777" w:rsidR="001A0DBF" w:rsidRPr="00364063" w:rsidRDefault="001A0DBF" w:rsidP="00015C2E">
      <w:pPr>
        <w:pStyle w:val="Heading3"/>
        <w:spacing w:after="0" w:line="240" w:lineRule="auto"/>
        <w:jc w:val="both"/>
        <w:rPr>
          <w:rFonts w:ascii="Times New Roman" w:hAnsi="Times New Roman" w:cs="Times New Roman"/>
          <w:color w:val="auto"/>
          <w:sz w:val="24"/>
          <w:szCs w:val="24"/>
        </w:rPr>
      </w:pPr>
      <w:r w:rsidRPr="00364063">
        <w:rPr>
          <w:rFonts w:ascii="Times New Roman" w:hAnsi="Times New Roman" w:cs="Times New Roman"/>
          <w:color w:val="auto"/>
          <w:sz w:val="24"/>
          <w:szCs w:val="24"/>
        </w:rPr>
        <w:t>Linkage to Care by Local Government Area</w:t>
      </w:r>
    </w:p>
    <w:p w14:paraId="43623FD0" w14:textId="45E2A82F" w:rsidR="001A0DBF" w:rsidRPr="00364063" w:rsidRDefault="001A0DBF" w:rsidP="00015C2E">
      <w:pPr>
        <w:pStyle w:val="NormalWeb"/>
        <w:spacing w:after="0" w:afterAutospacing="0"/>
        <w:jc w:val="both"/>
      </w:pPr>
      <w:r w:rsidRPr="00364063">
        <w:t xml:space="preserve">Overall, </w:t>
      </w:r>
      <w:r w:rsidRPr="00364063">
        <w:rPr>
          <w:rStyle w:val="Strong"/>
          <w:rFonts w:eastAsiaTheme="majorEastAsia"/>
          <w:b w:val="0"/>
        </w:rPr>
        <w:t xml:space="preserve">163 </w:t>
      </w:r>
      <w:r w:rsidR="00364063">
        <w:rPr>
          <w:rStyle w:val="Strong"/>
          <w:rFonts w:eastAsiaTheme="majorEastAsia"/>
          <w:b w:val="0"/>
        </w:rPr>
        <w:t>Children, adolescents, caregivers and general population</w:t>
      </w:r>
      <w:r w:rsidRPr="00364063">
        <w:rPr>
          <w:rStyle w:val="Strong"/>
          <w:rFonts w:eastAsiaTheme="majorEastAsia"/>
          <w:b w:val="0"/>
        </w:rPr>
        <w:t>s were successfully linked to HIV treatment services</w:t>
      </w:r>
      <w:r w:rsidRPr="00364063">
        <w:t xml:space="preserve">, representing a </w:t>
      </w:r>
      <w:r w:rsidRPr="00364063">
        <w:rPr>
          <w:rStyle w:val="Strong"/>
          <w:rFonts w:eastAsiaTheme="majorEastAsia"/>
          <w:b w:val="0"/>
        </w:rPr>
        <w:t>linkage rate of 97% among eligible clients</w:t>
      </w:r>
      <w:r w:rsidRPr="00364063">
        <w:t>.</w:t>
      </w:r>
    </w:p>
    <w:p w14:paraId="2B36D73F" w14:textId="2580227A" w:rsidR="001A0DBF" w:rsidRPr="00364063" w:rsidRDefault="001A0DBF" w:rsidP="00015C2E">
      <w:pPr>
        <w:pStyle w:val="NormalWeb"/>
        <w:spacing w:after="0" w:afterAutospacing="0"/>
        <w:jc w:val="both"/>
      </w:pPr>
      <w:r w:rsidRPr="00364063">
        <w:t xml:space="preserve">Karim Lamido LGA recorded the </w:t>
      </w:r>
      <w:r w:rsidRPr="00364063">
        <w:rPr>
          <w:rStyle w:val="Strong"/>
          <w:rFonts w:eastAsiaTheme="majorEastAsia"/>
          <w:b w:val="0"/>
        </w:rPr>
        <w:t>highest number of clients linked to care</w:t>
      </w:r>
      <w:r w:rsidRPr="00364063">
        <w:t xml:space="preserve">, with </w:t>
      </w:r>
      <w:r w:rsidRPr="00364063">
        <w:rPr>
          <w:rStyle w:val="Strong"/>
          <w:rFonts w:eastAsiaTheme="majorEastAsia"/>
          <w:b w:val="0"/>
        </w:rPr>
        <w:t xml:space="preserve">98 </w:t>
      </w:r>
      <w:r w:rsidR="00364063">
        <w:rPr>
          <w:rStyle w:val="Strong"/>
          <w:rFonts w:eastAsiaTheme="majorEastAsia"/>
          <w:b w:val="0"/>
        </w:rPr>
        <w:t>Children, adolescents, caregivers and general population</w:t>
      </w:r>
      <w:r w:rsidRPr="00364063">
        <w:rPr>
          <w:rStyle w:val="Strong"/>
          <w:rFonts w:eastAsiaTheme="majorEastAsia"/>
          <w:b w:val="0"/>
        </w:rPr>
        <w:t>s successfully linked</w:t>
      </w:r>
      <w:r w:rsidRPr="00364063">
        <w:t xml:space="preserve">, accounting for </w:t>
      </w:r>
      <w:r w:rsidRPr="00364063">
        <w:rPr>
          <w:rStyle w:val="Strong"/>
          <w:rFonts w:eastAsiaTheme="majorEastAsia"/>
          <w:b w:val="0"/>
        </w:rPr>
        <w:t>58.3% of all linked clients</w:t>
      </w:r>
      <w:r w:rsidRPr="00364063">
        <w:t xml:space="preserve"> (Table 4). Among these, </w:t>
      </w:r>
      <w:r w:rsidRPr="00364063">
        <w:rPr>
          <w:rStyle w:val="Strong"/>
          <w:rFonts w:eastAsiaTheme="majorEastAsia"/>
          <w:b w:val="0"/>
        </w:rPr>
        <w:t xml:space="preserve">94 </w:t>
      </w:r>
      <w:r w:rsidR="00364063">
        <w:rPr>
          <w:rStyle w:val="Strong"/>
          <w:rFonts w:eastAsiaTheme="majorEastAsia"/>
          <w:b w:val="0"/>
        </w:rPr>
        <w:t>Children, adolescents, caregivers and general population</w:t>
      </w:r>
      <w:r w:rsidRPr="00364063">
        <w:rPr>
          <w:rStyle w:val="Strong"/>
          <w:rFonts w:eastAsiaTheme="majorEastAsia"/>
          <w:b w:val="0"/>
        </w:rPr>
        <w:t>s remained actively engaged in care</w:t>
      </w:r>
      <w:r w:rsidRPr="00364063">
        <w:t xml:space="preserve">, corresponding to a </w:t>
      </w:r>
      <w:r w:rsidRPr="00364063">
        <w:rPr>
          <w:rStyle w:val="Strong"/>
          <w:rFonts w:eastAsiaTheme="majorEastAsia"/>
          <w:b w:val="0"/>
        </w:rPr>
        <w:t>retention rate of 95%</w:t>
      </w:r>
      <w:r w:rsidRPr="00364063">
        <w:t>, the highest among the three LGAs.</w:t>
      </w:r>
    </w:p>
    <w:p w14:paraId="71EC46B4" w14:textId="5E8583CF" w:rsidR="001A0DBF" w:rsidRPr="00364063" w:rsidRDefault="001A0DBF" w:rsidP="00015C2E">
      <w:pPr>
        <w:pStyle w:val="NormalWeb"/>
        <w:spacing w:after="0" w:afterAutospacing="0"/>
        <w:jc w:val="both"/>
      </w:pPr>
      <w:r w:rsidRPr="00364063">
        <w:t xml:space="preserve">In Sardauna LGA, </w:t>
      </w:r>
      <w:r w:rsidRPr="00364063">
        <w:rPr>
          <w:rStyle w:val="Strong"/>
          <w:rFonts w:eastAsiaTheme="majorEastAsia"/>
          <w:b w:val="0"/>
        </w:rPr>
        <w:t xml:space="preserve">38 </w:t>
      </w:r>
      <w:r w:rsidR="00364063">
        <w:rPr>
          <w:rStyle w:val="Strong"/>
          <w:rFonts w:eastAsiaTheme="majorEastAsia"/>
          <w:b w:val="0"/>
        </w:rPr>
        <w:t>Children, adolescents, caregivers and general population</w:t>
      </w:r>
      <w:r w:rsidRPr="00364063">
        <w:rPr>
          <w:rStyle w:val="Strong"/>
          <w:rFonts w:eastAsiaTheme="majorEastAsia"/>
          <w:b w:val="0"/>
        </w:rPr>
        <w:t>s were linked to care</w:t>
      </w:r>
      <w:r w:rsidRPr="00364063">
        <w:t xml:space="preserve">, representing </w:t>
      </w:r>
      <w:r w:rsidRPr="00364063">
        <w:rPr>
          <w:rStyle w:val="Strong"/>
          <w:rFonts w:eastAsiaTheme="majorEastAsia"/>
          <w:b w:val="0"/>
        </w:rPr>
        <w:t>22.6% of total linked clients</w:t>
      </w:r>
      <w:r w:rsidRPr="00364063">
        <w:t xml:space="preserve">, with </w:t>
      </w:r>
      <w:r w:rsidRPr="00364063">
        <w:rPr>
          <w:rStyle w:val="Strong"/>
          <w:rFonts w:eastAsiaTheme="majorEastAsia"/>
          <w:b w:val="0"/>
        </w:rPr>
        <w:t xml:space="preserve">27 </w:t>
      </w:r>
      <w:r w:rsidR="00364063">
        <w:rPr>
          <w:rStyle w:val="Strong"/>
          <w:rFonts w:eastAsiaTheme="majorEastAsia"/>
          <w:b w:val="0"/>
        </w:rPr>
        <w:t>Children, adolescents, caregivers and general population</w:t>
      </w:r>
      <w:r w:rsidRPr="00364063">
        <w:rPr>
          <w:rStyle w:val="Strong"/>
          <w:rFonts w:eastAsiaTheme="majorEastAsia"/>
          <w:b w:val="0"/>
        </w:rPr>
        <w:t>s remaining in care</w:t>
      </w:r>
      <w:r w:rsidRPr="00364063">
        <w:t xml:space="preserve">, resulting in a </w:t>
      </w:r>
      <w:r w:rsidRPr="00364063">
        <w:rPr>
          <w:rStyle w:val="Strong"/>
          <w:rFonts w:eastAsiaTheme="majorEastAsia"/>
          <w:b w:val="0"/>
        </w:rPr>
        <w:t>retention rate of 73%</w:t>
      </w:r>
      <w:r w:rsidRPr="00364063">
        <w:t>.</w:t>
      </w:r>
    </w:p>
    <w:p w14:paraId="106157C9" w14:textId="012BC59E" w:rsidR="001A0DBF" w:rsidRPr="00364063" w:rsidRDefault="001A0DBF" w:rsidP="00015C2E">
      <w:pPr>
        <w:pStyle w:val="NormalWeb"/>
        <w:spacing w:after="0" w:afterAutospacing="0"/>
        <w:jc w:val="both"/>
      </w:pPr>
      <w:proofErr w:type="spellStart"/>
      <w:r w:rsidRPr="00364063">
        <w:t>Ussa</w:t>
      </w:r>
      <w:proofErr w:type="spellEnd"/>
      <w:r w:rsidRPr="00364063">
        <w:t xml:space="preserve"> LGA recorded </w:t>
      </w:r>
      <w:r w:rsidRPr="00364063">
        <w:rPr>
          <w:rStyle w:val="Strong"/>
          <w:rFonts w:eastAsiaTheme="majorEastAsia"/>
          <w:b w:val="0"/>
        </w:rPr>
        <w:t xml:space="preserve">27 </w:t>
      </w:r>
      <w:r w:rsidR="00364063">
        <w:rPr>
          <w:rStyle w:val="Strong"/>
          <w:rFonts w:eastAsiaTheme="majorEastAsia"/>
          <w:b w:val="0"/>
        </w:rPr>
        <w:t>Children, adolescents, caregivers and general population</w:t>
      </w:r>
      <w:r w:rsidRPr="00364063">
        <w:rPr>
          <w:rStyle w:val="Strong"/>
          <w:rFonts w:eastAsiaTheme="majorEastAsia"/>
          <w:b w:val="0"/>
        </w:rPr>
        <w:t>s linked to care</w:t>
      </w:r>
      <w:r w:rsidRPr="00364063">
        <w:t xml:space="preserve">, representing </w:t>
      </w:r>
      <w:r w:rsidRPr="00364063">
        <w:rPr>
          <w:rStyle w:val="Strong"/>
          <w:rFonts w:eastAsiaTheme="majorEastAsia"/>
          <w:b w:val="0"/>
        </w:rPr>
        <w:t>16.1% of linked clients</w:t>
      </w:r>
      <w:r w:rsidRPr="00364063">
        <w:t xml:space="preserve">, with </w:t>
      </w:r>
      <w:r w:rsidRPr="00364063">
        <w:rPr>
          <w:rStyle w:val="Strong"/>
          <w:rFonts w:eastAsiaTheme="majorEastAsia"/>
          <w:b w:val="0"/>
        </w:rPr>
        <w:t xml:space="preserve">22 </w:t>
      </w:r>
      <w:r w:rsidR="00364063">
        <w:rPr>
          <w:rStyle w:val="Strong"/>
          <w:rFonts w:eastAsiaTheme="majorEastAsia"/>
          <w:b w:val="0"/>
        </w:rPr>
        <w:t>Children, adolescents, caregivers and general population</w:t>
      </w:r>
      <w:r w:rsidRPr="00364063">
        <w:rPr>
          <w:rStyle w:val="Strong"/>
          <w:rFonts w:eastAsiaTheme="majorEastAsia"/>
          <w:b w:val="0"/>
        </w:rPr>
        <w:t>s retained in care</w:t>
      </w:r>
      <w:r w:rsidRPr="00364063">
        <w:t xml:space="preserve">, corresponding to a </w:t>
      </w:r>
      <w:r w:rsidRPr="00364063">
        <w:rPr>
          <w:rStyle w:val="Strong"/>
          <w:rFonts w:eastAsiaTheme="majorEastAsia"/>
          <w:b w:val="0"/>
        </w:rPr>
        <w:t>retention rate of 81%</w:t>
      </w:r>
      <w:r w:rsidRPr="00364063">
        <w:t>.</w:t>
      </w:r>
    </w:p>
    <w:p w14:paraId="01717F2F" w14:textId="11E1ADAB" w:rsidR="001A0DBF" w:rsidRPr="00364063" w:rsidRDefault="001A0DBF" w:rsidP="00015C2E">
      <w:pPr>
        <w:pStyle w:val="NormalWeb"/>
        <w:spacing w:after="0" w:afterAutospacing="0"/>
        <w:jc w:val="both"/>
      </w:pPr>
      <w:r w:rsidRPr="00364063">
        <w:t xml:space="preserve">Overall, </w:t>
      </w:r>
      <w:r w:rsidRPr="00364063">
        <w:rPr>
          <w:rStyle w:val="Strong"/>
          <w:rFonts w:eastAsiaTheme="majorEastAsia"/>
          <w:b w:val="0"/>
        </w:rPr>
        <w:t xml:space="preserve">143 </w:t>
      </w:r>
      <w:r w:rsidR="00364063">
        <w:rPr>
          <w:rStyle w:val="Strong"/>
          <w:rFonts w:eastAsiaTheme="majorEastAsia"/>
          <w:b w:val="0"/>
        </w:rPr>
        <w:t>Children, adolescents, caregivers and general population</w:t>
      </w:r>
      <w:r w:rsidRPr="00364063">
        <w:rPr>
          <w:rStyle w:val="Strong"/>
          <w:rFonts w:eastAsiaTheme="majorEastAsia"/>
          <w:b w:val="0"/>
        </w:rPr>
        <w:t>s remained actively engaged in HIV treatment services</w:t>
      </w:r>
      <w:r w:rsidRPr="00364063">
        <w:t xml:space="preserve">, resulting in an overall </w:t>
      </w:r>
      <w:r w:rsidRPr="00364063">
        <w:rPr>
          <w:rStyle w:val="Strong"/>
          <w:rFonts w:eastAsiaTheme="majorEastAsia"/>
          <w:b w:val="0"/>
        </w:rPr>
        <w:t>retention rate of 88%</w:t>
      </w:r>
      <w:r w:rsidRPr="00364063">
        <w:t xml:space="preserve"> among those linked to care.</w:t>
      </w:r>
    </w:p>
    <w:p w14:paraId="7A28D449" w14:textId="77777777" w:rsidR="001A0DBF" w:rsidRPr="00364063" w:rsidRDefault="001A0DBF" w:rsidP="00015C2E">
      <w:pPr>
        <w:pStyle w:val="Heading3"/>
        <w:spacing w:after="0" w:line="240" w:lineRule="auto"/>
        <w:jc w:val="both"/>
        <w:rPr>
          <w:rFonts w:ascii="Times New Roman" w:hAnsi="Times New Roman" w:cs="Times New Roman"/>
          <w:color w:val="auto"/>
          <w:sz w:val="24"/>
          <w:szCs w:val="24"/>
        </w:rPr>
      </w:pPr>
      <w:r w:rsidRPr="00364063">
        <w:rPr>
          <w:rFonts w:ascii="Times New Roman" w:hAnsi="Times New Roman" w:cs="Times New Roman"/>
          <w:color w:val="auto"/>
          <w:sz w:val="24"/>
          <w:szCs w:val="24"/>
        </w:rPr>
        <w:lastRenderedPageBreak/>
        <w:t>Linkage and Retention by Target Population Groups</w:t>
      </w:r>
    </w:p>
    <w:p w14:paraId="0B64E6CA" w14:textId="77777777" w:rsidR="001A0DBF" w:rsidRPr="00364063" w:rsidRDefault="001A0DBF" w:rsidP="00015C2E">
      <w:pPr>
        <w:pStyle w:val="NormalWeb"/>
        <w:spacing w:after="0" w:afterAutospacing="0"/>
        <w:jc w:val="both"/>
      </w:pPr>
      <w:r w:rsidRPr="00364063">
        <w:t>The distribution of linkage and retention outcomes across target groups is presented in Table 5.</w:t>
      </w:r>
    </w:p>
    <w:p w14:paraId="38F6928C" w14:textId="6A8C9EE4" w:rsidR="001A0DBF" w:rsidRPr="00364063" w:rsidRDefault="001A0DBF" w:rsidP="00015C2E">
      <w:pPr>
        <w:pStyle w:val="NormalWeb"/>
        <w:spacing w:after="0" w:afterAutospacing="0"/>
        <w:jc w:val="both"/>
      </w:pPr>
      <w:r w:rsidRPr="00364063">
        <w:t xml:space="preserve">Among children aged </w:t>
      </w:r>
      <w:r w:rsidRPr="00364063">
        <w:rPr>
          <w:rStyle w:val="Strong"/>
          <w:rFonts w:eastAsiaTheme="majorEastAsia"/>
          <w:b w:val="0"/>
        </w:rPr>
        <w:t>0–14 years</w:t>
      </w:r>
      <w:r w:rsidRPr="00364063">
        <w:t xml:space="preserve">, </w:t>
      </w:r>
      <w:r w:rsidRPr="00364063">
        <w:rPr>
          <w:rStyle w:val="Strong"/>
          <w:rFonts w:eastAsiaTheme="majorEastAsia"/>
          <w:b w:val="0"/>
        </w:rPr>
        <w:t xml:space="preserve">16 </w:t>
      </w:r>
      <w:r w:rsidR="00364063">
        <w:rPr>
          <w:rStyle w:val="Strong"/>
          <w:rFonts w:eastAsiaTheme="majorEastAsia"/>
          <w:b w:val="0"/>
        </w:rPr>
        <w:t>Children, adolescents, caregivers and general population</w:t>
      </w:r>
      <w:r w:rsidRPr="00364063">
        <w:rPr>
          <w:rStyle w:val="Strong"/>
          <w:rFonts w:eastAsiaTheme="majorEastAsia"/>
          <w:b w:val="0"/>
        </w:rPr>
        <w:t>s were linked to care</w:t>
      </w:r>
      <w:r w:rsidRPr="00364063">
        <w:t xml:space="preserve">, of whom </w:t>
      </w:r>
      <w:r w:rsidRPr="00364063">
        <w:rPr>
          <w:rStyle w:val="Strong"/>
          <w:rFonts w:eastAsiaTheme="majorEastAsia"/>
          <w:b w:val="0"/>
        </w:rPr>
        <w:t>14 remained actively engaged in treatment services</w:t>
      </w:r>
      <w:r w:rsidRPr="00364063">
        <w:t xml:space="preserve">. Adolescents and young people recorded </w:t>
      </w:r>
      <w:r w:rsidRPr="00364063">
        <w:rPr>
          <w:rStyle w:val="Strong"/>
          <w:rFonts w:eastAsiaTheme="majorEastAsia"/>
          <w:b w:val="0"/>
        </w:rPr>
        <w:t xml:space="preserve">32 </w:t>
      </w:r>
      <w:r w:rsidR="00364063">
        <w:rPr>
          <w:rStyle w:val="Strong"/>
          <w:rFonts w:eastAsiaTheme="majorEastAsia"/>
          <w:b w:val="0"/>
        </w:rPr>
        <w:t>Children, adolescents, caregivers and general population</w:t>
      </w:r>
      <w:r w:rsidRPr="00364063">
        <w:rPr>
          <w:rStyle w:val="Strong"/>
          <w:rFonts w:eastAsiaTheme="majorEastAsia"/>
          <w:b w:val="0"/>
        </w:rPr>
        <w:t>s linked to care</w:t>
      </w:r>
      <w:r w:rsidRPr="00364063">
        <w:t xml:space="preserve">, with all </w:t>
      </w:r>
      <w:r w:rsidRPr="00364063">
        <w:rPr>
          <w:rStyle w:val="Strong"/>
          <w:rFonts w:eastAsiaTheme="majorEastAsia"/>
          <w:b w:val="0"/>
        </w:rPr>
        <w:t>32 retained in treatment</w:t>
      </w:r>
      <w:r w:rsidRPr="00364063">
        <w:t>.</w:t>
      </w:r>
    </w:p>
    <w:p w14:paraId="6660E36B" w14:textId="63F14A31" w:rsidR="001A0DBF" w:rsidRPr="00364063" w:rsidRDefault="001A0DBF" w:rsidP="00015C2E">
      <w:pPr>
        <w:pStyle w:val="NormalWeb"/>
        <w:spacing w:after="0" w:afterAutospacing="0"/>
        <w:jc w:val="both"/>
      </w:pPr>
      <w:r w:rsidRPr="00364063">
        <w:t xml:space="preserve">Among caregivers, </w:t>
      </w:r>
      <w:r w:rsidRPr="00364063">
        <w:rPr>
          <w:rStyle w:val="Strong"/>
          <w:rFonts w:eastAsiaTheme="majorEastAsia"/>
          <w:b w:val="0"/>
        </w:rPr>
        <w:t xml:space="preserve">45 </w:t>
      </w:r>
      <w:r w:rsidR="00364063">
        <w:rPr>
          <w:rStyle w:val="Strong"/>
          <w:rFonts w:eastAsiaTheme="majorEastAsia"/>
          <w:b w:val="0"/>
        </w:rPr>
        <w:t>Children, adolescents, caregivers and general population</w:t>
      </w:r>
      <w:r w:rsidRPr="00364063">
        <w:rPr>
          <w:rStyle w:val="Strong"/>
          <w:rFonts w:eastAsiaTheme="majorEastAsia"/>
          <w:b w:val="0"/>
        </w:rPr>
        <w:t>s were linked to care</w:t>
      </w:r>
      <w:r w:rsidRPr="00364063">
        <w:t xml:space="preserve">, with </w:t>
      </w:r>
      <w:r w:rsidRPr="00364063">
        <w:rPr>
          <w:rStyle w:val="Strong"/>
          <w:rFonts w:eastAsiaTheme="majorEastAsia"/>
          <w:b w:val="0"/>
        </w:rPr>
        <w:t>42 remaining in care</w:t>
      </w:r>
      <w:r w:rsidRPr="00364063">
        <w:t xml:space="preserve">, indicating strong retention among this population group. The </w:t>
      </w:r>
      <w:r w:rsidRPr="00364063">
        <w:rPr>
          <w:rStyle w:val="Strong"/>
          <w:rFonts w:eastAsiaTheme="majorEastAsia"/>
          <w:b w:val="0"/>
        </w:rPr>
        <w:t xml:space="preserve">general population recorded the highest number of </w:t>
      </w:r>
      <w:r w:rsidR="00364063">
        <w:rPr>
          <w:rStyle w:val="Strong"/>
          <w:rFonts w:eastAsiaTheme="majorEastAsia"/>
          <w:b w:val="0"/>
        </w:rPr>
        <w:t>Children, adolescents, caregivers and general population</w:t>
      </w:r>
      <w:r w:rsidRPr="00364063">
        <w:rPr>
          <w:rStyle w:val="Strong"/>
          <w:rFonts w:eastAsiaTheme="majorEastAsia"/>
          <w:b w:val="0"/>
        </w:rPr>
        <w:t>s linked to care (70 clients)</w:t>
      </w:r>
      <w:r w:rsidRPr="00364063">
        <w:t xml:space="preserve">; however, </w:t>
      </w:r>
      <w:r w:rsidRPr="00364063">
        <w:rPr>
          <w:rStyle w:val="Strong"/>
          <w:rFonts w:eastAsiaTheme="majorEastAsia"/>
          <w:b w:val="0"/>
        </w:rPr>
        <w:t>55 remained in treatment services</w:t>
      </w:r>
      <w:r w:rsidRPr="00364063">
        <w:t>, reflecting some attrition within this group.</w:t>
      </w:r>
    </w:p>
    <w:p w14:paraId="2E01628E" w14:textId="462925F8" w:rsidR="001A0DBF" w:rsidRPr="00364063" w:rsidRDefault="001A0DBF" w:rsidP="00015C2E">
      <w:pPr>
        <w:pStyle w:val="NormalWeb"/>
        <w:spacing w:after="0" w:afterAutospacing="0"/>
        <w:jc w:val="both"/>
      </w:pPr>
      <w:r w:rsidRPr="00364063">
        <w:t xml:space="preserve">Overall, </w:t>
      </w:r>
      <w:r w:rsidRPr="00364063">
        <w:rPr>
          <w:rStyle w:val="Strong"/>
          <w:rFonts w:eastAsiaTheme="majorEastAsia"/>
          <w:b w:val="0"/>
        </w:rPr>
        <w:t xml:space="preserve">163 HIV-positive </w:t>
      </w:r>
      <w:r w:rsidR="00364063">
        <w:rPr>
          <w:rStyle w:val="Strong"/>
          <w:rFonts w:eastAsiaTheme="majorEastAsia"/>
          <w:b w:val="0"/>
        </w:rPr>
        <w:t>Children, adolescents, caregivers and general population</w:t>
      </w:r>
      <w:r w:rsidRPr="00364063">
        <w:rPr>
          <w:rStyle w:val="Strong"/>
          <w:rFonts w:eastAsiaTheme="majorEastAsia"/>
          <w:b w:val="0"/>
        </w:rPr>
        <w:t>s were linked to treatment services</w:t>
      </w:r>
      <w:r w:rsidRPr="00364063">
        <w:t xml:space="preserve">, of whom </w:t>
      </w:r>
      <w:r w:rsidRPr="00364063">
        <w:rPr>
          <w:rStyle w:val="Strong"/>
          <w:rFonts w:eastAsiaTheme="majorEastAsia"/>
          <w:b w:val="0"/>
        </w:rPr>
        <w:t>143 remained actively engaged in care</w:t>
      </w:r>
      <w:r w:rsidRPr="00364063">
        <w:t xml:space="preserve">, corresponding to an overall </w:t>
      </w:r>
      <w:r w:rsidRPr="00364063">
        <w:rPr>
          <w:rStyle w:val="Strong"/>
          <w:rFonts w:eastAsiaTheme="majorEastAsia"/>
          <w:b w:val="0"/>
        </w:rPr>
        <w:t>retention rate of 88%</w:t>
      </w:r>
      <w:r w:rsidRPr="00364063">
        <w:t xml:space="preserve"> across the intervention.</w:t>
      </w:r>
    </w:p>
    <w:p w14:paraId="455E29DF" w14:textId="77777777" w:rsidR="001A0DBF" w:rsidRPr="00364063" w:rsidRDefault="001A0DBF" w:rsidP="00015C2E">
      <w:pPr>
        <w:pStyle w:val="Heading1"/>
        <w:spacing w:after="0" w:line="240" w:lineRule="auto"/>
        <w:jc w:val="both"/>
        <w:rPr>
          <w:rFonts w:ascii="Times New Roman" w:hAnsi="Times New Roman" w:cs="Times New Roman"/>
          <w:b/>
          <w:color w:val="auto"/>
          <w:sz w:val="24"/>
          <w:szCs w:val="24"/>
        </w:rPr>
      </w:pPr>
      <w:r w:rsidRPr="00364063">
        <w:rPr>
          <w:rFonts w:ascii="Times New Roman" w:hAnsi="Times New Roman" w:cs="Times New Roman"/>
          <w:b/>
          <w:color w:val="auto"/>
          <w:sz w:val="24"/>
          <w:szCs w:val="24"/>
        </w:rPr>
        <w:t>Third 95: Viral Suppression</w:t>
      </w:r>
    </w:p>
    <w:p w14:paraId="48792415" w14:textId="7B8679D2" w:rsidR="001A0DBF" w:rsidRPr="00364063" w:rsidRDefault="001A0DBF" w:rsidP="00015C2E">
      <w:pPr>
        <w:pStyle w:val="NormalWeb"/>
        <w:spacing w:after="0" w:afterAutospacing="0"/>
        <w:jc w:val="both"/>
      </w:pPr>
      <w:r w:rsidRPr="00364063">
        <w:t xml:space="preserve">Among the </w:t>
      </w:r>
      <w:r w:rsidRPr="00364063">
        <w:rPr>
          <w:rStyle w:val="Strong"/>
          <w:rFonts w:eastAsiaTheme="majorEastAsia"/>
          <w:b w:val="0"/>
        </w:rPr>
        <w:t>143 clients currently receiving antiretroviral therapy (TX_CUR)</w:t>
      </w:r>
      <w:r w:rsidRPr="00364063">
        <w:t xml:space="preserve">, </w:t>
      </w:r>
      <w:r w:rsidRPr="00364063">
        <w:rPr>
          <w:rStyle w:val="Strong"/>
          <w:rFonts w:eastAsiaTheme="majorEastAsia"/>
          <w:b w:val="0"/>
        </w:rPr>
        <w:t xml:space="preserve">91 </w:t>
      </w:r>
      <w:r w:rsidR="00364063">
        <w:rPr>
          <w:rStyle w:val="Strong"/>
          <w:rFonts w:eastAsiaTheme="majorEastAsia"/>
          <w:b w:val="0"/>
        </w:rPr>
        <w:t>Children, adolescents, caregivers and general population</w:t>
      </w:r>
      <w:r w:rsidRPr="00364063">
        <w:rPr>
          <w:rStyle w:val="Strong"/>
          <w:rFonts w:eastAsiaTheme="majorEastAsia"/>
          <w:b w:val="0"/>
        </w:rPr>
        <w:t>s had valid viral load test results available</w:t>
      </w:r>
      <w:r w:rsidRPr="00364063">
        <w:t xml:space="preserve"> during the reporting period (Table 6).</w:t>
      </w:r>
      <w:r w:rsidR="00523A96" w:rsidRPr="00364063">
        <w:t xml:space="preserve"> Of 52 remaining clients </w:t>
      </w:r>
      <w:r w:rsidR="009D1566" w:rsidRPr="00364063">
        <w:t>38 await</w:t>
      </w:r>
      <w:r w:rsidR="00547F1B" w:rsidRPr="00364063">
        <w:t>ed</w:t>
      </w:r>
      <w:r w:rsidR="009D1566" w:rsidRPr="00364063">
        <w:t xml:space="preserve"> viral load results from the lab and 14 were being followed up for sample collection</w:t>
      </w:r>
    </w:p>
    <w:p w14:paraId="6A6A0BD3" w14:textId="24C1AD3B" w:rsidR="001A0DBF" w:rsidRPr="00364063" w:rsidRDefault="001A0DBF" w:rsidP="00015C2E">
      <w:pPr>
        <w:pStyle w:val="NormalWeb"/>
        <w:spacing w:after="0" w:afterAutospacing="0"/>
        <w:jc w:val="both"/>
      </w:pPr>
      <w:r w:rsidRPr="00364063">
        <w:t xml:space="preserve">Of those with valid viral load results, </w:t>
      </w:r>
      <w:r w:rsidRPr="00364063">
        <w:rPr>
          <w:rStyle w:val="Strong"/>
          <w:rFonts w:eastAsiaTheme="majorEastAsia"/>
          <w:b w:val="0"/>
        </w:rPr>
        <w:t>88 clients achieved viral suppression</w:t>
      </w:r>
      <w:r w:rsidRPr="00364063">
        <w:t xml:space="preserve">, representing a </w:t>
      </w:r>
      <w:r w:rsidRPr="00364063">
        <w:rPr>
          <w:rStyle w:val="Strong"/>
          <w:rFonts w:eastAsiaTheme="majorEastAsia"/>
          <w:b w:val="0"/>
        </w:rPr>
        <w:t>viral suppression rate of 97%</w:t>
      </w:r>
      <w:r w:rsidRPr="00364063">
        <w:t>.</w:t>
      </w:r>
      <w:r w:rsidR="009D1566" w:rsidRPr="00364063">
        <w:t xml:space="preserve"> The 3 that were not virally suppressed were placed on enhanced adherence counseling (EAC)</w:t>
      </w:r>
    </w:p>
    <w:p w14:paraId="01548176" w14:textId="1BE7F037" w:rsidR="001A0DBF" w:rsidRPr="00364063" w:rsidRDefault="001A0DBF" w:rsidP="00015C2E">
      <w:pPr>
        <w:tabs>
          <w:tab w:val="left" w:pos="1461"/>
        </w:tabs>
        <w:spacing w:line="240" w:lineRule="auto"/>
        <w:jc w:val="both"/>
        <w:rPr>
          <w:rFonts w:ascii="Times New Roman" w:hAnsi="Times New Roman" w:cs="Times New Roman"/>
          <w:bCs/>
          <w:noProof/>
        </w:rPr>
      </w:pPr>
      <w:r w:rsidRPr="00364063">
        <w:rPr>
          <w:rFonts w:ascii="Times New Roman" w:hAnsi="Times New Roman" w:cs="Times New Roman"/>
        </w:rPr>
        <w:t>Figure 4 illustrates the distribution of viral suppression outcomes among clients receiving HIV treatment services</w:t>
      </w:r>
      <w:r w:rsidR="0029504C" w:rsidRPr="00364063">
        <w:rPr>
          <w:rFonts w:ascii="Times New Roman" w:hAnsi="Times New Roman" w:cs="Times New Roman"/>
        </w:rPr>
        <w:t xml:space="preserve"> (</w:t>
      </w:r>
      <w:r w:rsidR="0029504C" w:rsidRPr="00364063">
        <w:rPr>
          <w:rFonts w:ascii="Times New Roman" w:hAnsi="Times New Roman" w:cs="Times New Roman"/>
          <w:bCs/>
          <w:noProof/>
        </w:rPr>
        <w:t>currently on treatment (143), valid viral load result (9</w:t>
      </w:r>
      <w:r w:rsidR="009D1566" w:rsidRPr="00364063">
        <w:rPr>
          <w:rFonts w:ascii="Times New Roman" w:hAnsi="Times New Roman" w:cs="Times New Roman"/>
          <w:bCs/>
          <w:noProof/>
        </w:rPr>
        <w:t>1</w:t>
      </w:r>
      <w:r w:rsidR="0029504C" w:rsidRPr="00364063">
        <w:rPr>
          <w:rFonts w:ascii="Times New Roman" w:hAnsi="Times New Roman" w:cs="Times New Roman"/>
          <w:bCs/>
          <w:noProof/>
        </w:rPr>
        <w:t xml:space="preserve">), virally suppressed (88) which gives the total supression rate of 97%) </w:t>
      </w:r>
      <w:r w:rsidRPr="00364063">
        <w:rPr>
          <w:rFonts w:ascii="Times New Roman" w:hAnsi="Times New Roman" w:cs="Times New Roman"/>
        </w:rPr>
        <w:t xml:space="preserve">demonstrating high levels of treatment effectiveness among </w:t>
      </w:r>
      <w:r w:rsidR="00364063">
        <w:rPr>
          <w:rFonts w:ascii="Times New Roman" w:hAnsi="Times New Roman" w:cs="Times New Roman"/>
        </w:rPr>
        <w:t>Children, adolescents, caregivers and general population</w:t>
      </w:r>
      <w:r w:rsidRPr="00364063">
        <w:rPr>
          <w:rFonts w:ascii="Times New Roman" w:hAnsi="Times New Roman" w:cs="Times New Roman"/>
        </w:rPr>
        <w:t>s retained in care.</w:t>
      </w:r>
    </w:p>
    <w:p w14:paraId="4A65B7AD" w14:textId="77777777" w:rsidR="001A0DBF" w:rsidRPr="00364063" w:rsidRDefault="001A0DBF" w:rsidP="00015C2E">
      <w:pPr>
        <w:tabs>
          <w:tab w:val="left" w:pos="1461"/>
        </w:tabs>
        <w:spacing w:line="240" w:lineRule="auto"/>
        <w:rPr>
          <w:rFonts w:ascii="Times New Roman" w:hAnsi="Times New Roman" w:cs="Times New Roman"/>
          <w:b/>
          <w:bCs/>
          <w:noProof/>
        </w:rPr>
      </w:pPr>
    </w:p>
    <w:p w14:paraId="1D3205A2" w14:textId="77777777" w:rsidR="001A0DBF" w:rsidRPr="00364063" w:rsidRDefault="001A0DBF" w:rsidP="00015C2E">
      <w:pPr>
        <w:tabs>
          <w:tab w:val="left" w:pos="1461"/>
        </w:tabs>
        <w:spacing w:line="240" w:lineRule="auto"/>
        <w:rPr>
          <w:rFonts w:ascii="Times New Roman" w:hAnsi="Times New Roman" w:cs="Times New Roman"/>
          <w:b/>
          <w:bCs/>
          <w:noProof/>
        </w:rPr>
      </w:pPr>
    </w:p>
    <w:p w14:paraId="3B699BD0" w14:textId="77777777" w:rsidR="001A0DBF" w:rsidRPr="00364063" w:rsidRDefault="001A0DBF" w:rsidP="00015C2E">
      <w:pPr>
        <w:tabs>
          <w:tab w:val="left" w:pos="1461"/>
        </w:tabs>
        <w:spacing w:line="240" w:lineRule="auto"/>
        <w:rPr>
          <w:rFonts w:ascii="Times New Roman" w:hAnsi="Times New Roman" w:cs="Times New Roman"/>
          <w:b/>
          <w:bCs/>
          <w:noProof/>
        </w:rPr>
      </w:pPr>
    </w:p>
    <w:p w14:paraId="5D8B4A23" w14:textId="77777777" w:rsidR="001A0DBF" w:rsidRPr="00364063" w:rsidRDefault="001A0DBF" w:rsidP="00015C2E">
      <w:pPr>
        <w:tabs>
          <w:tab w:val="left" w:pos="1461"/>
        </w:tabs>
        <w:spacing w:line="240" w:lineRule="auto"/>
        <w:rPr>
          <w:rFonts w:ascii="Times New Roman" w:hAnsi="Times New Roman" w:cs="Times New Roman"/>
          <w:b/>
          <w:bCs/>
          <w:noProof/>
        </w:rPr>
      </w:pPr>
    </w:p>
    <w:p w14:paraId="43A7F6CF" w14:textId="77777777" w:rsidR="001A0DBF" w:rsidRPr="00364063" w:rsidRDefault="001A0DBF" w:rsidP="00015C2E">
      <w:pPr>
        <w:tabs>
          <w:tab w:val="left" w:pos="1461"/>
        </w:tabs>
        <w:spacing w:line="240" w:lineRule="auto"/>
        <w:rPr>
          <w:rFonts w:ascii="Times New Roman" w:hAnsi="Times New Roman" w:cs="Times New Roman"/>
          <w:lang w:val="en-GB"/>
        </w:rPr>
      </w:pPr>
    </w:p>
    <w:tbl>
      <w:tblPr>
        <w:tblW w:w="4994" w:type="pct"/>
        <w:tblInd w:w="5" w:type="dxa"/>
        <w:tblLook w:val="04A0" w:firstRow="1" w:lastRow="0" w:firstColumn="1" w:lastColumn="0" w:noHBand="0" w:noVBand="1"/>
      </w:tblPr>
      <w:tblGrid>
        <w:gridCol w:w="9021"/>
      </w:tblGrid>
      <w:tr w:rsidR="00216C5D" w:rsidRPr="00364063" w14:paraId="3679F041" w14:textId="77777777" w:rsidTr="008543E8">
        <w:trPr>
          <w:trHeight w:val="290"/>
        </w:trPr>
        <w:tc>
          <w:tcPr>
            <w:tcW w:w="5000" w:type="pct"/>
            <w:tcBorders>
              <w:top w:val="nil"/>
              <w:left w:val="nil"/>
              <w:bottom w:val="nil"/>
              <w:right w:val="nil"/>
            </w:tcBorders>
            <w:noWrap/>
            <w:vAlign w:val="bottom"/>
            <w:hideMark/>
          </w:tcPr>
          <w:p w14:paraId="2FB926C5" w14:textId="77777777" w:rsidR="00B366F7" w:rsidRPr="00364063" w:rsidRDefault="00B366F7" w:rsidP="00015C2E">
            <w:pPr>
              <w:pStyle w:val="Heading3"/>
              <w:spacing w:line="240" w:lineRule="auto"/>
              <w:rPr>
                <w:rFonts w:ascii="Times New Roman" w:hAnsi="Times New Roman" w:cs="Times New Roman"/>
                <w:b/>
                <w:color w:val="auto"/>
                <w:sz w:val="24"/>
                <w:szCs w:val="24"/>
              </w:rPr>
            </w:pPr>
            <w:r w:rsidRPr="00364063">
              <w:rPr>
                <w:rStyle w:val="Strong"/>
                <w:rFonts w:ascii="Times New Roman" w:hAnsi="Times New Roman" w:cs="Times New Roman"/>
                <w:bCs w:val="0"/>
                <w:color w:val="auto"/>
                <w:sz w:val="24"/>
                <w:szCs w:val="24"/>
              </w:rPr>
              <w:lastRenderedPageBreak/>
              <w:t>Discussion</w:t>
            </w:r>
          </w:p>
          <w:p w14:paraId="56060B2A" w14:textId="699898F8" w:rsidR="00F72577" w:rsidRPr="00364063" w:rsidRDefault="00F72577" w:rsidP="00015C2E">
            <w:pPr>
              <w:pStyle w:val="NormalWeb"/>
              <w:jc w:val="both"/>
            </w:pPr>
            <w:r w:rsidRPr="00364063">
              <w:t xml:space="preserve">This study assessed outcomes across the HIV care cascade following the implementation of a community-based intervention in three Local Government Areas (LGAs) of Taraba State, Nigeria. The findings provide important insights into HIV case identification, linkage to treatment, retention in care, and viral suppression, and demonstrate the potential of community-driven strategies in strengthening progress toward the </w:t>
            </w:r>
            <w:r w:rsidRPr="00364063">
              <w:rPr>
                <w:bCs/>
              </w:rPr>
              <w:t>95–95–95</w:t>
            </w:r>
            <w:r w:rsidRPr="00364063">
              <w:t xml:space="preserve"> targets.</w:t>
            </w:r>
          </w:p>
          <w:p w14:paraId="40E72885" w14:textId="77777777" w:rsidR="00F72577" w:rsidRPr="00364063" w:rsidRDefault="00F72577" w:rsidP="00015C2E">
            <w:pPr>
              <w:pStyle w:val="NormalWeb"/>
              <w:jc w:val="both"/>
              <w:rPr>
                <w:bCs/>
              </w:rPr>
            </w:pPr>
            <w:r w:rsidRPr="00364063">
              <w:rPr>
                <w:bCs/>
              </w:rPr>
              <w:t>HIV Case Finding (First 95)</w:t>
            </w:r>
          </w:p>
          <w:p w14:paraId="7F0A3D1F" w14:textId="13FE46CE" w:rsidR="00F72577" w:rsidRPr="00364063" w:rsidRDefault="00F72577" w:rsidP="00015C2E">
            <w:pPr>
              <w:pStyle w:val="NormalWeb"/>
              <w:jc w:val="both"/>
            </w:pPr>
            <w:r w:rsidRPr="00364063">
              <w:t xml:space="preserve">A total of 8,990 </w:t>
            </w:r>
            <w:r w:rsidR="00364063">
              <w:t>Children, adolescents, caregivers and general population</w:t>
            </w:r>
            <w:r w:rsidRPr="00364063">
              <w:t xml:space="preserve">s were tested for HIV with an overall positivity rate of </w:t>
            </w:r>
            <w:r w:rsidRPr="00364063">
              <w:rPr>
                <w:bCs/>
              </w:rPr>
              <w:t>2.6%</w:t>
            </w:r>
            <w:r w:rsidRPr="00364063">
              <w:t xml:space="preserve">. This positivity rate is slightly higher than the national HIV prevalence of </w:t>
            </w:r>
            <w:r w:rsidRPr="00364063">
              <w:rPr>
                <w:bCs/>
              </w:rPr>
              <w:t>1.4%</w:t>
            </w:r>
            <w:r w:rsidRPr="00364063">
              <w:t xml:space="preserve"> reported in the </w:t>
            </w:r>
            <w:r w:rsidRPr="00364063">
              <w:rPr>
                <w:bCs/>
              </w:rPr>
              <w:t>Nigeria HIV/AIDS Indicator and Impact Survey (NAIIS)</w:t>
            </w:r>
            <w:r w:rsidRPr="00364063">
              <w:t xml:space="preserve"> (National Agency for the Control of AIDS [NACA], 2019), suggesting that the targeted community-based testing strategy effectively reached higher-risk populations. Similar findings have been reported in community-based HIV testing studies across sub-Saharan Africa, where targeted outreach approaches such as index testing and household testing yielded higher positivity rates compared to routine facility-based testing (Suthar </w:t>
            </w:r>
            <w:r w:rsidR="00E67855" w:rsidRPr="00E67855">
              <w:rPr>
                <w:i/>
                <w:iCs/>
              </w:rPr>
              <w:t>et al</w:t>
            </w:r>
            <w:r w:rsidRPr="00364063">
              <w:t xml:space="preserve">., 2013; Sharma </w:t>
            </w:r>
            <w:r w:rsidR="00E67855" w:rsidRPr="00E67855">
              <w:rPr>
                <w:i/>
                <w:iCs/>
              </w:rPr>
              <w:t>et al</w:t>
            </w:r>
            <w:r w:rsidRPr="00364063">
              <w:t>., 2015).</w:t>
            </w:r>
          </w:p>
          <w:p w14:paraId="46D7C10D" w14:textId="77777777" w:rsidR="00F72577" w:rsidRPr="00364063" w:rsidRDefault="00F72577" w:rsidP="00015C2E">
            <w:pPr>
              <w:pStyle w:val="NormalWeb"/>
              <w:jc w:val="both"/>
            </w:pPr>
            <w:r w:rsidRPr="00364063">
              <w:t xml:space="preserve">The distribution of HIV-positive cases revealed a </w:t>
            </w:r>
            <w:r w:rsidRPr="00364063">
              <w:rPr>
                <w:bCs/>
              </w:rPr>
              <w:t>higher burden among females (69.5%) compared to males (30.5%)</w:t>
            </w:r>
            <w:r w:rsidRPr="00364063">
              <w:t>. This pattern aligns with epidemiological trends across sub-Saharan Africa, where women—particularly young women—are disproportionately affected by HIV due to biological susceptibility, gender inequality, and socio-economic vulnerabilities (UNAIDS, 2024). Studies have consistently shown higher HIV prevalence among women in many African settings, partly driven by unequal power dynamics in sexual relationships and limited access to preventive services (UNAIDS, 2021).</w:t>
            </w:r>
          </w:p>
          <w:p w14:paraId="5E15F40D" w14:textId="77777777" w:rsidR="00F72577" w:rsidRPr="00364063" w:rsidRDefault="00F72577" w:rsidP="00015C2E">
            <w:pPr>
              <w:pStyle w:val="NormalWeb"/>
              <w:jc w:val="both"/>
            </w:pPr>
            <w:r w:rsidRPr="00364063">
              <w:t xml:space="preserve">Across population groups, </w:t>
            </w:r>
            <w:r w:rsidRPr="00364063">
              <w:rPr>
                <w:bCs/>
              </w:rPr>
              <w:t>children (0–14 years)</w:t>
            </w:r>
            <w:r w:rsidRPr="00364063">
              <w:t xml:space="preserve"> represented the largest proportion tested but recorded the </w:t>
            </w:r>
            <w:r w:rsidRPr="00364063">
              <w:rPr>
                <w:bCs/>
              </w:rPr>
              <w:t>lowest positivity rate (0.8%)</w:t>
            </w:r>
            <w:r w:rsidRPr="00364063">
              <w:t xml:space="preserve">, whereas </w:t>
            </w:r>
            <w:r w:rsidRPr="00364063">
              <w:rPr>
                <w:bCs/>
              </w:rPr>
              <w:t>caregivers (4.7%) and the general population (4.5%)</w:t>
            </w:r>
            <w:r w:rsidRPr="00364063">
              <w:t xml:space="preserve"> had substantially higher positivity rates. These findings are consistent with global HIV epidemiology, where adult populations generally have higher HIV prevalence compared to children (WHO, 2023). The relatively low positivity rate among children may reflect improvements in prevention of mother-to-child transmission (PMTCT) programs and increased antenatal HIV screening coverage in Nigeria (WHO, 2023). However, the large number of children tested highlights the importance of family-centered testing approaches in identifying pediatric HIV cases through caregiver and household screening.</w:t>
            </w:r>
          </w:p>
          <w:p w14:paraId="0B4078E2" w14:textId="77777777" w:rsidR="00F72577" w:rsidRPr="00364063" w:rsidRDefault="00F72577" w:rsidP="00015C2E">
            <w:pPr>
              <w:pStyle w:val="NormalWeb"/>
              <w:jc w:val="both"/>
              <w:rPr>
                <w:bCs/>
              </w:rPr>
            </w:pPr>
            <w:r w:rsidRPr="00364063">
              <w:rPr>
                <w:bCs/>
              </w:rPr>
              <w:t>Linkage to Care and Retention (Second 95)</w:t>
            </w:r>
          </w:p>
          <w:p w14:paraId="436A27A1" w14:textId="1BDCC158" w:rsidR="00F72577" w:rsidRPr="00364063" w:rsidRDefault="00F72577" w:rsidP="00015C2E">
            <w:pPr>
              <w:pStyle w:val="NormalWeb"/>
              <w:jc w:val="both"/>
            </w:pPr>
            <w:r w:rsidRPr="00364063">
              <w:t xml:space="preserve">The study demonstrated a </w:t>
            </w:r>
            <w:r w:rsidRPr="00364063">
              <w:rPr>
                <w:bCs/>
              </w:rPr>
              <w:t>high linkage-to-care rate of 97%</w:t>
            </w:r>
            <w:r w:rsidRPr="00364063">
              <w:t xml:space="preserve"> among </w:t>
            </w:r>
            <w:r w:rsidR="00364063">
              <w:t>Children, adolescents, caregivers and general population</w:t>
            </w:r>
            <w:r w:rsidRPr="00364063">
              <w:t xml:space="preserve">s eligible for treatment. This exceeds linkage levels reported in many HIV programs across sub-Saharan Africa, where linkage rates often range between </w:t>
            </w:r>
            <w:r w:rsidRPr="00364063">
              <w:rPr>
                <w:bCs/>
              </w:rPr>
              <w:t>60% and 85%</w:t>
            </w:r>
            <w:r w:rsidRPr="00364063">
              <w:t xml:space="preserve"> following community-based HIV diagnosis (Govindasamy </w:t>
            </w:r>
            <w:r w:rsidR="00E67855" w:rsidRPr="00E67855">
              <w:rPr>
                <w:i/>
                <w:iCs/>
              </w:rPr>
              <w:t>et al</w:t>
            </w:r>
            <w:r w:rsidRPr="00364063">
              <w:t xml:space="preserve">., 2014). The high linkage observed in this study may reflect the effectiveness of the intervention’s active referral systems, community follow-up, and involvement of </w:t>
            </w:r>
            <w:r w:rsidR="005E5F37" w:rsidRPr="00364063">
              <w:t>Case Managers</w:t>
            </w:r>
            <w:r w:rsidRPr="00364063">
              <w:t xml:space="preserve"> and </w:t>
            </w:r>
            <w:r w:rsidR="005E5F37" w:rsidRPr="00364063">
              <w:t>Volunteer C</w:t>
            </w:r>
            <w:r w:rsidRPr="00364063">
              <w:t xml:space="preserve">ommunity </w:t>
            </w:r>
            <w:r w:rsidR="005E5F37" w:rsidRPr="00364063">
              <w:t>H</w:t>
            </w:r>
            <w:r w:rsidRPr="00364063">
              <w:t xml:space="preserve">ealth </w:t>
            </w:r>
            <w:r w:rsidR="005E5F37" w:rsidRPr="00364063">
              <w:t>W</w:t>
            </w:r>
            <w:r w:rsidRPr="00364063">
              <w:t>orkers.</w:t>
            </w:r>
          </w:p>
          <w:p w14:paraId="5A7F27CC" w14:textId="26A8B456" w:rsidR="00F72577" w:rsidRPr="00364063" w:rsidRDefault="00F72577" w:rsidP="00015C2E">
            <w:pPr>
              <w:pStyle w:val="NormalWeb"/>
              <w:jc w:val="both"/>
            </w:pPr>
            <w:r w:rsidRPr="00364063">
              <w:lastRenderedPageBreak/>
              <w:t xml:space="preserve">Retention outcomes were also encouraging. Of the 163 </w:t>
            </w:r>
            <w:r w:rsidR="00364063">
              <w:t>Children, adolescents, caregivers and general population</w:t>
            </w:r>
            <w:r w:rsidRPr="00364063">
              <w:t xml:space="preserve">s linked to care, </w:t>
            </w:r>
            <w:r w:rsidRPr="00364063">
              <w:rPr>
                <w:bCs/>
              </w:rPr>
              <w:t>88% remained actively engaged in treatment services</w:t>
            </w:r>
            <w:r w:rsidRPr="00364063">
              <w:t xml:space="preserve">. This retention level is higher than many reported programmatic estimates in resource-limited settings, where retention at one year often ranges between </w:t>
            </w:r>
            <w:r w:rsidRPr="00364063">
              <w:rPr>
                <w:bCs/>
              </w:rPr>
              <w:t>70% and 80%</w:t>
            </w:r>
            <w:r w:rsidRPr="00364063">
              <w:t xml:space="preserve"> (WHO, 2021). Evidence suggests that community-based adherence support, peer counseling, and differentiated service delivery models can significantly improve retention outcomes, particularly among vulnerable populations (Sharma </w:t>
            </w:r>
            <w:r w:rsidR="00E67855" w:rsidRPr="00E67855">
              <w:rPr>
                <w:i/>
                <w:iCs/>
              </w:rPr>
              <w:t>et al</w:t>
            </w:r>
            <w:r w:rsidRPr="00364063">
              <w:t>., 2015).</w:t>
            </w:r>
          </w:p>
          <w:p w14:paraId="5B26B4EB" w14:textId="75729B18" w:rsidR="00F72577" w:rsidRPr="00364063" w:rsidRDefault="00F72577" w:rsidP="00015C2E">
            <w:pPr>
              <w:pStyle w:val="NormalWeb"/>
              <w:jc w:val="both"/>
            </w:pPr>
            <w:r w:rsidRPr="00364063">
              <w:t xml:space="preserve">Retention patterns varied across LGAs and population groups. Adolescents and young people achieved </w:t>
            </w:r>
            <w:r w:rsidRPr="00364063">
              <w:rPr>
                <w:bCs/>
              </w:rPr>
              <w:t>100% retention</w:t>
            </w:r>
            <w:r w:rsidRPr="00364063">
              <w:t xml:space="preserve">, which contrasts with many studies reporting poor retention among adolescents due to stigma, mobility, and adherence challenges (UNICEF, 2023). The improved outcomes observed in this study may reflect the benefits of targeted youth engagement and treatment literacy activities incorporated into the intervention. In contrast, the general population recorded some attrition, highlighting persistent barriers to long-term treatment adherence such as stigma, economic constraints, and travel distance to treatment facilities (Stangl </w:t>
            </w:r>
            <w:r w:rsidR="00E67855" w:rsidRPr="00E67855">
              <w:rPr>
                <w:i/>
                <w:iCs/>
              </w:rPr>
              <w:t>et al</w:t>
            </w:r>
            <w:r w:rsidRPr="00364063">
              <w:t>., 2013).</w:t>
            </w:r>
          </w:p>
          <w:p w14:paraId="76F78637" w14:textId="77777777" w:rsidR="00F72577" w:rsidRPr="00364063" w:rsidRDefault="00F72577" w:rsidP="00015C2E">
            <w:pPr>
              <w:pStyle w:val="NormalWeb"/>
              <w:jc w:val="both"/>
              <w:rPr>
                <w:bCs/>
              </w:rPr>
            </w:pPr>
            <w:r w:rsidRPr="00364063">
              <w:rPr>
                <w:bCs/>
              </w:rPr>
              <w:t>Viral Suppression (Third 95)</w:t>
            </w:r>
          </w:p>
          <w:p w14:paraId="10E4ECEF" w14:textId="55C0BAB5" w:rsidR="00F72577" w:rsidRPr="00364063" w:rsidRDefault="00F72577" w:rsidP="00015C2E">
            <w:pPr>
              <w:pStyle w:val="NormalWeb"/>
              <w:jc w:val="both"/>
            </w:pPr>
            <w:r w:rsidRPr="00364063">
              <w:t xml:space="preserve">Among clients receiving antiretroviral therapy with available viral load results, </w:t>
            </w:r>
            <w:r w:rsidRPr="00364063">
              <w:rPr>
                <w:bCs/>
              </w:rPr>
              <w:t>97% achieved viral suppression</w:t>
            </w:r>
            <w:r w:rsidRPr="00364063">
              <w:t xml:space="preserve">. This rate exceeds the </w:t>
            </w:r>
            <w:r w:rsidRPr="00364063">
              <w:rPr>
                <w:bCs/>
              </w:rPr>
              <w:t>UNAIDS target of 95% viral suppression</w:t>
            </w:r>
            <w:r w:rsidRPr="00364063">
              <w:t xml:space="preserve"> among </w:t>
            </w:r>
            <w:r w:rsidR="00364063">
              <w:t>Children, adolescents, caregivers and general population</w:t>
            </w:r>
            <w:r w:rsidRPr="00364063">
              <w:t>s on treatment and is consistent with evidence showing that sustained engagement in ART leads to high treatment effectiveness (UNAIDS, 2021). Similar high viral suppression rates have been reported in community-supported treatment programs across sub-Saharan Africa, where adherence support mechanisms improve treatment outcomes (WHO, 2023).</w:t>
            </w:r>
          </w:p>
          <w:p w14:paraId="39625787" w14:textId="7C737183" w:rsidR="00F72577" w:rsidRPr="00364063" w:rsidRDefault="00F72577" w:rsidP="00015C2E">
            <w:pPr>
              <w:pStyle w:val="NormalWeb"/>
              <w:jc w:val="both"/>
            </w:pPr>
            <w:r w:rsidRPr="00364063">
              <w:t xml:space="preserve">High viral suppression levels in this study may be attributed to several programmatic factors, including treatment literacy education, community adherence support, and regular follow-up by community health workers. Viral suppression is critical not only for improving </w:t>
            </w:r>
            <w:r w:rsidR="00364063">
              <w:t>Children, adolescents, caregivers and general population</w:t>
            </w:r>
            <w:r w:rsidRPr="00364063">
              <w:t xml:space="preserve"> health outcomes but also for reducing HIV transmission at the population level, as </w:t>
            </w:r>
            <w:r w:rsidR="00364063">
              <w:t>Children, adolescents, caregivers and general population</w:t>
            </w:r>
            <w:r w:rsidRPr="00364063">
              <w:t xml:space="preserve">s with suppressed viral loads have effectively no risk of sexually transmitting HIV—a concept widely known as </w:t>
            </w:r>
            <w:r w:rsidRPr="00364063">
              <w:rPr>
                <w:bCs/>
              </w:rPr>
              <w:t xml:space="preserve">Undetectable = </w:t>
            </w:r>
            <w:proofErr w:type="spellStart"/>
            <w:r w:rsidRPr="00364063">
              <w:rPr>
                <w:bCs/>
              </w:rPr>
              <w:t>Untransmittable</w:t>
            </w:r>
            <w:proofErr w:type="spellEnd"/>
            <w:r w:rsidRPr="00364063">
              <w:rPr>
                <w:bCs/>
              </w:rPr>
              <w:t xml:space="preserve"> (U=U)</w:t>
            </w:r>
            <w:r w:rsidRPr="00364063">
              <w:t xml:space="preserve"> (UNAIDS, 2024).</w:t>
            </w:r>
          </w:p>
          <w:p w14:paraId="0CC4B38F" w14:textId="77777777" w:rsidR="00F72577" w:rsidRPr="00364063" w:rsidRDefault="00F72577" w:rsidP="00015C2E">
            <w:pPr>
              <w:pStyle w:val="NormalWeb"/>
              <w:jc w:val="both"/>
              <w:rPr>
                <w:bCs/>
              </w:rPr>
            </w:pPr>
            <w:r w:rsidRPr="00364063">
              <w:rPr>
                <w:bCs/>
              </w:rPr>
              <w:t>Programmatic and Policy Implications</w:t>
            </w:r>
          </w:p>
          <w:p w14:paraId="71291C6F" w14:textId="77777777" w:rsidR="00F72577" w:rsidRPr="00364063" w:rsidRDefault="00F72577" w:rsidP="00015C2E">
            <w:pPr>
              <w:pStyle w:val="NormalWeb"/>
              <w:jc w:val="both"/>
            </w:pPr>
            <w:r w:rsidRPr="00364063">
              <w:t xml:space="preserve">The findings of this study reinforce growing evidence that </w:t>
            </w:r>
            <w:r w:rsidRPr="00364063">
              <w:rPr>
                <w:bCs/>
              </w:rPr>
              <w:t>community-based HIV interventions can significantly strengthen the HIV care cascade</w:t>
            </w:r>
            <w:r w:rsidRPr="00364063">
              <w:t>, particularly in underserved and rural settings. By integrating household testing, family-centered care, and community-based adherence support, the intervention successfully improved HIV case identification, treatment linkage, retention, and viral suppression.</w:t>
            </w:r>
          </w:p>
          <w:p w14:paraId="5134C3F6" w14:textId="3E567594" w:rsidR="00F72577" w:rsidRPr="00364063" w:rsidRDefault="00F72577" w:rsidP="00015C2E">
            <w:pPr>
              <w:pStyle w:val="NormalWeb"/>
              <w:jc w:val="both"/>
            </w:pPr>
            <w:r w:rsidRPr="00364063">
              <w:t xml:space="preserve">These results are particularly relevant for </w:t>
            </w:r>
            <w:r w:rsidRPr="00364063">
              <w:rPr>
                <w:bCs/>
              </w:rPr>
              <w:t>high-burden settings such as Taraba State</w:t>
            </w:r>
            <w:r w:rsidRPr="00364063">
              <w:t xml:space="preserve">, where substantial gaps remain in identifying people living with HIV and enrolling them into treatment programs (NACA, 2021). Scaling up community-driven models that leverage local volunteers, </w:t>
            </w:r>
            <w:r w:rsidR="00120641" w:rsidRPr="00364063">
              <w:t>case managers</w:t>
            </w:r>
            <w:r w:rsidRPr="00364063">
              <w:t xml:space="preserve">, and peer support networks could accelerate progress toward achieving the </w:t>
            </w:r>
            <w:r w:rsidRPr="00364063">
              <w:rPr>
                <w:bCs/>
              </w:rPr>
              <w:t>95–95–95 targets</w:t>
            </w:r>
            <w:r w:rsidRPr="00364063">
              <w:t xml:space="preserve"> in Nigeria.</w:t>
            </w:r>
          </w:p>
          <w:p w14:paraId="704E9519" w14:textId="77777777" w:rsidR="00F72577" w:rsidRPr="00364063" w:rsidRDefault="00F72577" w:rsidP="00015C2E">
            <w:pPr>
              <w:pStyle w:val="NormalWeb"/>
              <w:jc w:val="both"/>
            </w:pPr>
            <w:r w:rsidRPr="00364063">
              <w:lastRenderedPageBreak/>
              <w:t>However, sustained program success will require addressing persistent structural barriers, including HIV-related stigma, limited healthcare infrastructure in rural areas, and inconsistent supply of HIV commodities. Strengthening integrated community–facility referral systems and expanding youth-friendly and family-centered HIV services will be critical to maintaining long-term gains across the HIV care continuum.</w:t>
            </w:r>
          </w:p>
          <w:p w14:paraId="11BACD08" w14:textId="77777777" w:rsidR="00F72577" w:rsidRPr="00364063" w:rsidRDefault="00F72577" w:rsidP="00015C2E">
            <w:pPr>
              <w:pStyle w:val="NormalWeb"/>
              <w:jc w:val="both"/>
            </w:pPr>
            <w:r w:rsidRPr="00364063">
              <w:t xml:space="preserve">Overall, the findings provide strong evidence that </w:t>
            </w:r>
            <w:r w:rsidRPr="00364063">
              <w:rPr>
                <w:bCs/>
              </w:rPr>
              <w:t>community-led HIV interventions can play a transformative role in improving retention in HIV care among children, adolescents, and their caregivers in resource-constrained settings</w:t>
            </w:r>
            <w:r w:rsidRPr="00364063">
              <w:t>.</w:t>
            </w:r>
          </w:p>
          <w:p w14:paraId="3584DF74" w14:textId="77777777" w:rsidR="00F72577" w:rsidRPr="00364063" w:rsidRDefault="00F72577" w:rsidP="00015C2E">
            <w:pPr>
              <w:spacing w:before="100" w:beforeAutospacing="1" w:after="100" w:afterAutospacing="1" w:line="240" w:lineRule="auto"/>
              <w:jc w:val="both"/>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Conclusion:</w:t>
            </w:r>
            <w:r w:rsidRPr="00364063">
              <w:rPr>
                <w:rFonts w:ascii="Times New Roman" w:eastAsia="Times New Roman" w:hAnsi="Times New Roman" w:cs="Times New Roman"/>
                <w:kern w:val="0"/>
                <w14:ligatures w14:val="none"/>
              </w:rPr>
              <w:br/>
              <w:t>The community-based intervention demonstrated strong performance across the HIV care cascade, achieving high linkage to care, substantial retention in treatment, and excellent viral suppression among children, caregivers, and other community members in Taraba State. The findings highlight the effectiveness of community-driven case finding and differentiated service delivery approaches in improving HIV treatment outcomes and strengthening continuity of care in resource-limited settings.</w:t>
            </w:r>
          </w:p>
          <w:p w14:paraId="457D3F21" w14:textId="77777777" w:rsidR="00F72577" w:rsidRPr="00364063" w:rsidRDefault="00F72577" w:rsidP="00015C2E">
            <w:pPr>
              <w:spacing w:before="100" w:beforeAutospacing="1" w:after="100" w:afterAutospacing="1" w:line="240" w:lineRule="auto"/>
              <w:jc w:val="both"/>
              <w:rPr>
                <w:rFonts w:ascii="Times New Roman" w:eastAsia="Times New Roman" w:hAnsi="Times New Roman" w:cs="Times New Roman"/>
                <w:kern w:val="0"/>
                <w14:ligatures w14:val="none"/>
              </w:rPr>
            </w:pPr>
            <w:r w:rsidRPr="00364063">
              <w:rPr>
                <w:rFonts w:ascii="Times New Roman" w:eastAsia="Times New Roman" w:hAnsi="Times New Roman" w:cs="Times New Roman"/>
                <w:b/>
                <w:bCs/>
                <w:kern w:val="0"/>
                <w14:ligatures w14:val="none"/>
              </w:rPr>
              <w:t>Recommendations:</w:t>
            </w:r>
          </w:p>
          <w:p w14:paraId="70EBB498" w14:textId="77777777" w:rsidR="00F72577" w:rsidRPr="00364063" w:rsidRDefault="00F72577" w:rsidP="00015C2E">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Scale up community-based HIV testing and active case-finding strategies to improve early diagnosis, particularly among children and caregivers.</w:t>
            </w:r>
          </w:p>
          <w:p w14:paraId="1D7C22BB" w14:textId="77777777" w:rsidR="00F72577" w:rsidRPr="00364063" w:rsidRDefault="00F72577" w:rsidP="00015C2E">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Strengthen differentiated service delivery models, including community-based antiretroviral distribution and nurse-led clinics, to enhance retention in care.</w:t>
            </w:r>
          </w:p>
          <w:p w14:paraId="3E4D2EFC" w14:textId="77777777" w:rsidR="00F72577" w:rsidRPr="00364063" w:rsidRDefault="00F72577" w:rsidP="00015C2E">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Integrate psychosocial and mental health support services within HIV programs to address stigma and improve adherence.</w:t>
            </w:r>
          </w:p>
          <w:p w14:paraId="3210453A" w14:textId="77777777" w:rsidR="00F72577" w:rsidRPr="00364063" w:rsidRDefault="00F72577" w:rsidP="00015C2E">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Enhance targeted interventions for populations with lower retention rates across LGAs to ensure equitable treatment outcomes.</w:t>
            </w:r>
          </w:p>
          <w:p w14:paraId="353C8715" w14:textId="77777777" w:rsidR="00F72577" w:rsidRPr="00364063" w:rsidRDefault="00F72577" w:rsidP="00015C2E">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364063">
              <w:rPr>
                <w:rFonts w:ascii="Times New Roman" w:eastAsia="Times New Roman" w:hAnsi="Times New Roman" w:cs="Times New Roman"/>
                <w:kern w:val="0"/>
                <w14:ligatures w14:val="none"/>
              </w:rPr>
              <w:t>Sustain capacity building for healthcare workers and community volunteers to promote stigma-free, patient-centered HIV care.</w:t>
            </w:r>
          </w:p>
          <w:p w14:paraId="14C75C79" w14:textId="77777777" w:rsidR="00850A80" w:rsidRPr="00364063" w:rsidRDefault="00850A80" w:rsidP="00015C2E">
            <w:pPr>
              <w:pStyle w:val="ReferHead"/>
              <w:spacing w:after="0"/>
              <w:jc w:val="both"/>
              <w:rPr>
                <w:rFonts w:ascii="Times New Roman" w:hAnsi="Times New Roman"/>
                <w:bCs/>
                <w:sz w:val="24"/>
                <w:szCs w:val="24"/>
              </w:rPr>
            </w:pPr>
            <w:r w:rsidRPr="00364063">
              <w:rPr>
                <w:rFonts w:ascii="Times New Roman" w:hAnsi="Times New Roman"/>
                <w:bCs/>
                <w:sz w:val="24"/>
                <w:szCs w:val="24"/>
              </w:rPr>
              <w:t>Ethical Approval</w:t>
            </w:r>
          </w:p>
          <w:p w14:paraId="3F333A04" w14:textId="79D212C1" w:rsidR="00850A80" w:rsidRPr="00364063" w:rsidRDefault="00850A80" w:rsidP="00015C2E">
            <w:pPr>
              <w:pStyle w:val="ReferHead"/>
              <w:spacing w:after="0"/>
              <w:jc w:val="both"/>
              <w:rPr>
                <w:rFonts w:ascii="Times New Roman" w:hAnsi="Times New Roman"/>
                <w:b w:val="0"/>
                <w:sz w:val="24"/>
                <w:szCs w:val="24"/>
              </w:rPr>
            </w:pPr>
            <w:r w:rsidRPr="00364063">
              <w:rPr>
                <w:rFonts w:ascii="Times New Roman" w:hAnsi="Times New Roman"/>
                <w:b w:val="0"/>
                <w:caps w:val="0"/>
                <w:sz w:val="24"/>
                <w:szCs w:val="24"/>
              </w:rPr>
              <w:t xml:space="preserve">Ethical approval was obtained from the </w:t>
            </w:r>
            <w:r w:rsidRPr="00364063">
              <w:rPr>
                <w:rFonts w:ascii="Times New Roman" w:hAnsi="Times New Roman"/>
                <w:b w:val="0"/>
                <w:bCs/>
                <w:caps w:val="0"/>
                <w:sz w:val="24"/>
                <w:szCs w:val="24"/>
              </w:rPr>
              <w:t>National Health Research Ethics Committee (NHREC)</w:t>
            </w:r>
            <w:r w:rsidRPr="00364063">
              <w:rPr>
                <w:rFonts w:ascii="Times New Roman" w:hAnsi="Times New Roman"/>
                <w:b w:val="0"/>
                <w:caps w:val="0"/>
                <w:sz w:val="24"/>
                <w:szCs w:val="24"/>
              </w:rPr>
              <w:t xml:space="preserve"> with </w:t>
            </w:r>
            <w:r w:rsidRPr="00364063">
              <w:rPr>
                <w:rFonts w:ascii="Times New Roman" w:hAnsi="Times New Roman"/>
                <w:b w:val="0"/>
                <w:bCs/>
                <w:caps w:val="0"/>
                <w:sz w:val="24"/>
                <w:szCs w:val="24"/>
              </w:rPr>
              <w:t xml:space="preserve">protocol number </w:t>
            </w:r>
            <w:r w:rsidRPr="00364063">
              <w:rPr>
                <w:rFonts w:ascii="Times New Roman" w:hAnsi="Times New Roman"/>
                <w:b w:val="0"/>
                <w:bCs/>
                <w:sz w:val="24"/>
                <w:szCs w:val="24"/>
              </w:rPr>
              <w:t>NHREC/01/01/2007–16/01/2024</w:t>
            </w:r>
            <w:r w:rsidRPr="00364063">
              <w:rPr>
                <w:rFonts w:ascii="Times New Roman" w:hAnsi="Times New Roman"/>
                <w:b w:val="0"/>
                <w:sz w:val="24"/>
                <w:szCs w:val="24"/>
              </w:rPr>
              <w:t xml:space="preserve"> </w:t>
            </w:r>
            <w:r w:rsidRPr="00364063">
              <w:rPr>
                <w:rFonts w:ascii="Times New Roman" w:hAnsi="Times New Roman"/>
                <w:b w:val="0"/>
                <w:caps w:val="0"/>
                <w:sz w:val="24"/>
                <w:szCs w:val="24"/>
              </w:rPr>
              <w:t xml:space="preserve">and </w:t>
            </w:r>
            <w:r w:rsidRPr="00364063">
              <w:rPr>
                <w:rFonts w:ascii="Times New Roman" w:hAnsi="Times New Roman"/>
                <w:b w:val="0"/>
                <w:bCs/>
                <w:caps w:val="0"/>
                <w:sz w:val="24"/>
                <w:szCs w:val="24"/>
              </w:rPr>
              <w:t xml:space="preserve">approval number </w:t>
            </w:r>
            <w:r w:rsidRPr="00364063">
              <w:rPr>
                <w:rFonts w:ascii="Times New Roman" w:hAnsi="Times New Roman"/>
                <w:b w:val="0"/>
                <w:bCs/>
                <w:sz w:val="24"/>
                <w:szCs w:val="24"/>
              </w:rPr>
              <w:t>NHREC/01/01/2007–22/01/2024</w:t>
            </w:r>
            <w:r w:rsidRPr="00364063">
              <w:rPr>
                <w:rFonts w:ascii="Times New Roman" w:hAnsi="Times New Roman"/>
                <w:b w:val="0"/>
                <w:sz w:val="24"/>
                <w:szCs w:val="24"/>
              </w:rPr>
              <w:t xml:space="preserve"> </w:t>
            </w:r>
          </w:p>
          <w:p w14:paraId="2AC39C91" w14:textId="77777777" w:rsidR="00675B85" w:rsidRPr="00364063" w:rsidRDefault="00675B85" w:rsidP="00015C2E">
            <w:pPr>
              <w:pStyle w:val="NormalWeb"/>
            </w:pPr>
            <w:r w:rsidRPr="00364063">
              <w:t>COMPETING INTERESTS DISCLAIMER:</w:t>
            </w:r>
          </w:p>
          <w:p w14:paraId="4439B251" w14:textId="2D5A2B63" w:rsidR="00675B85" w:rsidRPr="00364063" w:rsidRDefault="00675B85" w:rsidP="00015C2E">
            <w:pPr>
              <w:pStyle w:val="NormalWeb"/>
            </w:pPr>
            <w:r w:rsidRPr="00364063">
              <w:t>Authors have declared that they have no known competing financial interests OR non-financial interests OR personal relationships that could have appeared to influence the work reported in this paper.</w:t>
            </w:r>
          </w:p>
          <w:p w14:paraId="04DC3462" w14:textId="77777777" w:rsidR="00850A80" w:rsidRPr="00364063" w:rsidRDefault="00850A80" w:rsidP="00015C2E">
            <w:pPr>
              <w:spacing w:line="240" w:lineRule="auto"/>
              <w:jc w:val="both"/>
              <w:rPr>
                <w:rFonts w:ascii="Times New Roman" w:hAnsi="Times New Roman" w:cs="Times New Roman"/>
                <w:b/>
                <w:bCs/>
              </w:rPr>
            </w:pPr>
            <w:r w:rsidRPr="00364063">
              <w:rPr>
                <w:rFonts w:ascii="Times New Roman" w:hAnsi="Times New Roman" w:cs="Times New Roman"/>
                <w:b/>
                <w:bCs/>
              </w:rPr>
              <w:t>Funding and Role of the Funder</w:t>
            </w:r>
          </w:p>
          <w:p w14:paraId="0ED24941" w14:textId="77777777" w:rsidR="00850A80" w:rsidRPr="00364063" w:rsidRDefault="00850A80" w:rsidP="00015C2E">
            <w:pPr>
              <w:spacing w:line="240" w:lineRule="auto"/>
              <w:jc w:val="both"/>
              <w:rPr>
                <w:rFonts w:ascii="Times New Roman" w:hAnsi="Times New Roman" w:cs="Times New Roman"/>
              </w:rPr>
            </w:pPr>
            <w:r w:rsidRPr="00364063">
              <w:rPr>
                <w:rFonts w:ascii="Times New Roman" w:hAnsi="Times New Roman" w:cs="Times New Roman"/>
              </w:rPr>
              <w:t xml:space="preserve">This intervention was supported by </w:t>
            </w:r>
            <w:r w:rsidRPr="00364063">
              <w:rPr>
                <w:rFonts w:ascii="Times New Roman" w:hAnsi="Times New Roman" w:cs="Times New Roman"/>
                <w:bCs/>
              </w:rPr>
              <w:t>ViiV Positive Health Actions</w:t>
            </w:r>
            <w:r w:rsidRPr="00364063">
              <w:rPr>
                <w:rFonts w:ascii="Times New Roman" w:hAnsi="Times New Roman" w:cs="Times New Roman"/>
              </w:rPr>
              <w:t xml:space="preserve">. The funder had </w:t>
            </w:r>
            <w:r w:rsidRPr="00364063">
              <w:rPr>
                <w:rFonts w:ascii="Times New Roman" w:hAnsi="Times New Roman" w:cs="Times New Roman"/>
                <w:bCs/>
              </w:rPr>
              <w:t>no role in the study design; data collection, analysis, or interpretation; manuscript preparation; or the decision to submit the manuscript for publication</w:t>
            </w:r>
            <w:r w:rsidRPr="00364063">
              <w:rPr>
                <w:rFonts w:ascii="Times New Roman" w:hAnsi="Times New Roman" w:cs="Times New Roman"/>
              </w:rPr>
              <w:t xml:space="preserve">. </w:t>
            </w:r>
            <w:r w:rsidRPr="00364063">
              <w:rPr>
                <w:rFonts w:ascii="Times New Roman" w:hAnsi="Times New Roman" w:cs="Times New Roman"/>
                <w:bCs/>
              </w:rPr>
              <w:t>CFID</w:t>
            </w:r>
            <w:r w:rsidRPr="00364063">
              <w:rPr>
                <w:rFonts w:ascii="Times New Roman" w:hAnsi="Times New Roman" w:cs="Times New Roman"/>
              </w:rPr>
              <w:t xml:space="preserve"> was solely responsible for the conception and implementation of the intervention, management of program data, analysis of results, and preparation of this manuscript.</w:t>
            </w:r>
          </w:p>
          <w:p w14:paraId="44F4446C" w14:textId="77777777" w:rsidR="00B82299" w:rsidRPr="00364063" w:rsidRDefault="00B82299" w:rsidP="00015C2E">
            <w:pPr>
              <w:pStyle w:val="NoSpacing"/>
              <w:rPr>
                <w:rFonts w:ascii="Times New Roman" w:hAnsi="Times New Roman" w:cs="Times New Roman"/>
                <w:sz w:val="24"/>
                <w:szCs w:val="24"/>
                <w:highlight w:val="yellow"/>
              </w:rPr>
            </w:pPr>
            <w:bookmarkStart w:id="0" w:name="_Hlk219284361"/>
            <w:bookmarkStart w:id="1" w:name="_Hlk198031404"/>
            <w:bookmarkStart w:id="2" w:name="_Hlk219128673"/>
            <w:r w:rsidRPr="00364063">
              <w:rPr>
                <w:rFonts w:ascii="Times New Roman" w:hAnsi="Times New Roman" w:cs="Times New Roman"/>
                <w:sz w:val="24"/>
                <w:szCs w:val="24"/>
                <w:highlight w:val="yellow"/>
              </w:rPr>
              <w:t>Disclaimer (Artificial intelligence)</w:t>
            </w:r>
          </w:p>
          <w:p w14:paraId="69F1B92D" w14:textId="77777777" w:rsidR="00B82299" w:rsidRPr="00364063" w:rsidRDefault="00B82299" w:rsidP="00015C2E">
            <w:pPr>
              <w:pStyle w:val="NoSpacing"/>
              <w:rPr>
                <w:rFonts w:ascii="Times New Roman" w:hAnsi="Times New Roman" w:cs="Times New Roman"/>
                <w:sz w:val="24"/>
                <w:szCs w:val="24"/>
                <w:highlight w:val="yellow"/>
              </w:rPr>
            </w:pPr>
          </w:p>
          <w:p w14:paraId="7959DA4C" w14:textId="77777777" w:rsidR="00B82299" w:rsidRPr="00364063" w:rsidRDefault="00B82299" w:rsidP="00015C2E">
            <w:pPr>
              <w:pStyle w:val="NoSpacing"/>
              <w:rPr>
                <w:rFonts w:ascii="Times New Roman" w:hAnsi="Times New Roman" w:cs="Times New Roman"/>
                <w:sz w:val="24"/>
                <w:szCs w:val="24"/>
                <w:highlight w:val="yellow"/>
              </w:rPr>
            </w:pPr>
            <w:r w:rsidRPr="00364063">
              <w:rPr>
                <w:rFonts w:ascii="Times New Roman" w:hAnsi="Times New Roman" w:cs="Times New Roman"/>
                <w:sz w:val="24"/>
                <w:szCs w:val="24"/>
                <w:highlight w:val="yellow"/>
              </w:rPr>
              <w:t>Author(s) hereby declare that NO generative AI technologies such as Large Language Models (ChatGPT, COPILOT, etc.) and text-to-image generators have been used during the writing or editing of this manuscript</w:t>
            </w:r>
            <w:bookmarkEnd w:id="0"/>
            <w:r w:rsidRPr="00364063">
              <w:rPr>
                <w:rFonts w:ascii="Times New Roman" w:hAnsi="Times New Roman" w:cs="Times New Roman"/>
                <w:sz w:val="24"/>
                <w:szCs w:val="24"/>
                <w:highlight w:val="yellow"/>
              </w:rPr>
              <w:t xml:space="preserve">. </w:t>
            </w:r>
          </w:p>
          <w:bookmarkEnd w:id="1"/>
          <w:p w14:paraId="0718857B" w14:textId="77777777" w:rsidR="00B82299" w:rsidRPr="00364063" w:rsidRDefault="00B82299" w:rsidP="00015C2E">
            <w:pPr>
              <w:pStyle w:val="NoSpacing"/>
              <w:rPr>
                <w:rFonts w:ascii="Times New Roman" w:hAnsi="Times New Roman" w:cs="Times New Roman"/>
                <w:sz w:val="24"/>
                <w:szCs w:val="24"/>
              </w:rPr>
            </w:pPr>
          </w:p>
          <w:bookmarkEnd w:id="2"/>
          <w:p w14:paraId="35D6D063" w14:textId="77777777" w:rsidR="00837DE7" w:rsidRPr="00837DE7" w:rsidRDefault="00837DE7" w:rsidP="00837DE7">
            <w:pPr>
              <w:jc w:val="both"/>
              <w:rPr>
                <w:rFonts w:ascii="Times New Roman" w:hAnsi="Times New Roman" w:cs="Times New Roman"/>
                <w:b/>
                <w:bCs/>
              </w:rPr>
            </w:pPr>
            <w:r w:rsidRPr="00837DE7">
              <w:rPr>
                <w:rFonts w:ascii="Times New Roman" w:hAnsi="Times New Roman" w:cs="Times New Roman"/>
                <w:b/>
                <w:bCs/>
              </w:rPr>
              <w:t>Authors’ Contributions</w:t>
            </w:r>
          </w:p>
          <w:p w14:paraId="33F65071" w14:textId="0D0533D2" w:rsidR="00B82299" w:rsidRPr="00837DE7" w:rsidRDefault="00837DE7" w:rsidP="00837DE7">
            <w:pPr>
              <w:pStyle w:val="Heading3"/>
              <w:spacing w:line="240" w:lineRule="auto"/>
              <w:jc w:val="both"/>
              <w:rPr>
                <w:rStyle w:val="Strong"/>
                <w:rFonts w:ascii="Times New Roman" w:hAnsi="Times New Roman" w:cs="Times New Roman"/>
                <w:b w:val="0"/>
                <w:bCs w:val="0"/>
                <w:color w:val="auto"/>
                <w:sz w:val="24"/>
                <w:szCs w:val="24"/>
                <w:lang w:val="es-US"/>
              </w:rPr>
            </w:pPr>
            <w:r w:rsidRPr="00837DE7">
              <w:rPr>
                <w:rFonts w:ascii="Times New Roman" w:hAnsi="Times New Roman" w:cs="Times New Roman"/>
                <w:bCs/>
                <w:color w:val="auto"/>
                <w:sz w:val="24"/>
                <w:szCs w:val="24"/>
              </w:rPr>
              <w:t>Danjuma Adda</w:t>
            </w:r>
            <w:r w:rsidRPr="00837DE7">
              <w:rPr>
                <w:rFonts w:ascii="Times New Roman" w:hAnsi="Times New Roman" w:cs="Times New Roman"/>
                <w:color w:val="auto"/>
                <w:sz w:val="24"/>
                <w:szCs w:val="24"/>
              </w:rPr>
              <w:t xml:space="preserve"> conceived and designed the study. </w:t>
            </w:r>
            <w:proofErr w:type="spellStart"/>
            <w:r w:rsidRPr="00837DE7">
              <w:rPr>
                <w:rFonts w:ascii="Times New Roman" w:hAnsi="Times New Roman" w:cs="Times New Roman"/>
                <w:color w:val="auto"/>
                <w:sz w:val="24"/>
                <w:szCs w:val="24"/>
              </w:rPr>
              <w:t>Rijimra</w:t>
            </w:r>
            <w:proofErr w:type="spellEnd"/>
            <w:r w:rsidRPr="00837DE7">
              <w:rPr>
                <w:rFonts w:ascii="Times New Roman" w:hAnsi="Times New Roman" w:cs="Times New Roman"/>
                <w:color w:val="auto"/>
                <w:sz w:val="24"/>
                <w:szCs w:val="24"/>
              </w:rPr>
              <w:t xml:space="preserve"> Ande, Helmina Bantar and Muhammed Umar supervised the project and coordinated implementation. Obed Tiwah John, </w:t>
            </w:r>
            <w:proofErr w:type="spellStart"/>
            <w:r w:rsidRPr="00837DE7">
              <w:rPr>
                <w:rFonts w:ascii="Times New Roman" w:hAnsi="Times New Roman" w:cs="Times New Roman"/>
                <w:bCs/>
                <w:color w:val="auto"/>
                <w:sz w:val="24"/>
                <w:szCs w:val="24"/>
              </w:rPr>
              <w:t>Rijimra</w:t>
            </w:r>
            <w:proofErr w:type="spellEnd"/>
            <w:r w:rsidRPr="00837DE7">
              <w:rPr>
                <w:rFonts w:ascii="Times New Roman" w:hAnsi="Times New Roman" w:cs="Times New Roman"/>
                <w:bCs/>
                <w:color w:val="auto"/>
                <w:sz w:val="24"/>
                <w:szCs w:val="24"/>
              </w:rPr>
              <w:t xml:space="preserve"> Ande</w:t>
            </w:r>
            <w:r w:rsidRPr="00837DE7">
              <w:rPr>
                <w:rFonts w:ascii="Times New Roman" w:hAnsi="Times New Roman" w:cs="Times New Roman"/>
                <w:color w:val="auto"/>
                <w:sz w:val="24"/>
                <w:szCs w:val="24"/>
              </w:rPr>
              <w:t xml:space="preserve"> and Helmina Bantar collected and managed the data. </w:t>
            </w:r>
            <w:r w:rsidRPr="00837DE7">
              <w:rPr>
                <w:rFonts w:ascii="Times New Roman" w:hAnsi="Times New Roman" w:cs="Times New Roman"/>
                <w:bCs/>
                <w:color w:val="auto"/>
                <w:sz w:val="24"/>
                <w:szCs w:val="24"/>
              </w:rPr>
              <w:t>Tomen E. Agu</w:t>
            </w:r>
            <w:r w:rsidRPr="00837DE7">
              <w:rPr>
                <w:rFonts w:ascii="Times New Roman" w:hAnsi="Times New Roman" w:cs="Times New Roman"/>
                <w:color w:val="auto"/>
                <w:sz w:val="24"/>
                <w:szCs w:val="24"/>
              </w:rPr>
              <w:t xml:space="preserve"> provided methodological guidance. </w:t>
            </w:r>
            <w:r w:rsidRPr="00837DE7">
              <w:rPr>
                <w:rFonts w:ascii="Times New Roman" w:hAnsi="Times New Roman" w:cs="Times New Roman"/>
                <w:bCs/>
                <w:color w:val="auto"/>
                <w:sz w:val="24"/>
                <w:szCs w:val="24"/>
              </w:rPr>
              <w:t>Edward Yibon Stephen</w:t>
            </w:r>
            <w:r w:rsidRPr="00837DE7">
              <w:rPr>
                <w:rFonts w:ascii="Times New Roman" w:hAnsi="Times New Roman" w:cs="Times New Roman"/>
                <w:color w:val="auto"/>
                <w:sz w:val="24"/>
                <w:szCs w:val="24"/>
              </w:rPr>
              <w:t xml:space="preserve"> assisted with data validation and interpretation. </w:t>
            </w:r>
            <w:r w:rsidRPr="00837DE7">
              <w:rPr>
                <w:rFonts w:ascii="Times New Roman" w:hAnsi="Times New Roman" w:cs="Times New Roman"/>
                <w:bCs/>
                <w:color w:val="auto"/>
                <w:sz w:val="24"/>
                <w:szCs w:val="24"/>
              </w:rPr>
              <w:t>Obed Tiwah John</w:t>
            </w:r>
            <w:r w:rsidRPr="00837DE7">
              <w:rPr>
                <w:rFonts w:ascii="Times New Roman" w:hAnsi="Times New Roman" w:cs="Times New Roman"/>
                <w:color w:val="auto"/>
                <w:sz w:val="24"/>
                <w:szCs w:val="24"/>
              </w:rPr>
              <w:t xml:space="preserve"> drafted the manuscript, and all authors critically reviewed and approved the final version.</w:t>
            </w:r>
          </w:p>
          <w:p w14:paraId="322D7DB0" w14:textId="77777777" w:rsidR="00837DE7" w:rsidRDefault="00837DE7" w:rsidP="00015C2E">
            <w:pPr>
              <w:pStyle w:val="Heading3"/>
              <w:spacing w:line="240" w:lineRule="auto"/>
              <w:rPr>
                <w:rStyle w:val="Strong"/>
                <w:rFonts w:ascii="Times New Roman" w:hAnsi="Times New Roman" w:cs="Times New Roman"/>
                <w:bCs w:val="0"/>
                <w:color w:val="auto"/>
                <w:sz w:val="24"/>
                <w:szCs w:val="24"/>
                <w:lang w:val="es-US"/>
              </w:rPr>
            </w:pPr>
          </w:p>
          <w:p w14:paraId="5A7EC8E2" w14:textId="0B78BBBF" w:rsidR="00B366F7" w:rsidRPr="00364063" w:rsidRDefault="00D41D04" w:rsidP="00015C2E">
            <w:pPr>
              <w:pStyle w:val="Heading3"/>
              <w:spacing w:line="240" w:lineRule="auto"/>
              <w:rPr>
                <w:rFonts w:ascii="Times New Roman" w:hAnsi="Times New Roman" w:cs="Times New Roman"/>
                <w:color w:val="auto"/>
                <w:sz w:val="24"/>
                <w:szCs w:val="24"/>
                <w:lang w:val="es-US"/>
              </w:rPr>
            </w:pPr>
            <w:proofErr w:type="spellStart"/>
            <w:r w:rsidRPr="00364063">
              <w:rPr>
                <w:rStyle w:val="Strong"/>
                <w:rFonts w:ascii="Times New Roman" w:hAnsi="Times New Roman" w:cs="Times New Roman"/>
                <w:bCs w:val="0"/>
                <w:color w:val="auto"/>
                <w:sz w:val="24"/>
                <w:szCs w:val="24"/>
                <w:lang w:val="es-US"/>
              </w:rPr>
              <w:t>References</w:t>
            </w:r>
            <w:proofErr w:type="spellEnd"/>
          </w:p>
          <w:p w14:paraId="675B7800" w14:textId="77777777" w:rsidR="007E1E10" w:rsidRPr="00364063" w:rsidRDefault="007E1E10" w:rsidP="00015C2E">
            <w:pPr>
              <w:pStyle w:val="NormalWeb"/>
            </w:pPr>
            <w:r w:rsidRPr="00364063">
              <w:t xml:space="preserve">Govindasamy, D., Ford, N., &amp; </w:t>
            </w:r>
            <w:proofErr w:type="spellStart"/>
            <w:r w:rsidRPr="00364063">
              <w:t>Kranzer</w:t>
            </w:r>
            <w:proofErr w:type="spellEnd"/>
            <w:r w:rsidRPr="00364063">
              <w:t xml:space="preserve">, K. (2014). Risk factors, barriers and facilitators for linkage to antiretroviral therapy care: A systematic review. </w:t>
            </w:r>
            <w:r w:rsidRPr="00364063">
              <w:rPr>
                <w:rStyle w:val="Emphasis"/>
                <w:rFonts w:eastAsiaTheme="majorEastAsia"/>
              </w:rPr>
              <w:t>AIDS, 28</w:t>
            </w:r>
            <w:r w:rsidRPr="00364063">
              <w:t>(1), 1–17.</w:t>
            </w:r>
          </w:p>
          <w:p w14:paraId="3B177EF4" w14:textId="77777777" w:rsidR="007E1E10" w:rsidRPr="00364063" w:rsidRDefault="007E1E10" w:rsidP="00015C2E">
            <w:pPr>
              <w:spacing w:after="0" w:line="240" w:lineRule="auto"/>
              <w:rPr>
                <w:rFonts w:ascii="Times New Roman" w:eastAsia="Times New Roman" w:hAnsi="Times New Roman" w:cs="Times New Roman"/>
              </w:rPr>
            </w:pPr>
            <w:r w:rsidRPr="00364063">
              <w:rPr>
                <w:rFonts w:ascii="Times New Roman" w:eastAsia="Times New Roman" w:hAnsi="Times New Roman" w:cs="Times New Roman"/>
              </w:rPr>
              <w:t xml:space="preserve">Govindasamy, D., </w:t>
            </w:r>
            <w:proofErr w:type="spellStart"/>
            <w:r w:rsidRPr="00364063">
              <w:rPr>
                <w:rFonts w:ascii="Times New Roman" w:eastAsia="Times New Roman" w:hAnsi="Times New Roman" w:cs="Times New Roman"/>
              </w:rPr>
              <w:t>Meghij</w:t>
            </w:r>
            <w:proofErr w:type="spellEnd"/>
            <w:r w:rsidRPr="00364063">
              <w:rPr>
                <w:rFonts w:ascii="Times New Roman" w:eastAsia="Times New Roman" w:hAnsi="Times New Roman" w:cs="Times New Roman"/>
              </w:rPr>
              <w:t xml:space="preserve">, J., Kebede </w:t>
            </w:r>
            <w:proofErr w:type="spellStart"/>
            <w:r w:rsidRPr="00364063">
              <w:rPr>
                <w:rFonts w:ascii="Times New Roman" w:eastAsia="Times New Roman" w:hAnsi="Times New Roman" w:cs="Times New Roman"/>
              </w:rPr>
              <w:t>Negussi</w:t>
            </w:r>
            <w:proofErr w:type="spellEnd"/>
            <w:r w:rsidRPr="00364063">
              <w:rPr>
                <w:rFonts w:ascii="Times New Roman" w:eastAsia="Times New Roman" w:hAnsi="Times New Roman" w:cs="Times New Roman"/>
              </w:rPr>
              <w:t xml:space="preserve">, E., Baggaley, R., Ford, N., &amp; </w:t>
            </w:r>
            <w:proofErr w:type="spellStart"/>
            <w:r w:rsidRPr="00364063">
              <w:rPr>
                <w:rFonts w:ascii="Times New Roman" w:eastAsia="Times New Roman" w:hAnsi="Times New Roman" w:cs="Times New Roman"/>
              </w:rPr>
              <w:t>Kranzer</w:t>
            </w:r>
            <w:proofErr w:type="spellEnd"/>
            <w:r w:rsidRPr="00364063">
              <w:rPr>
                <w:rFonts w:ascii="Times New Roman" w:eastAsia="Times New Roman" w:hAnsi="Times New Roman" w:cs="Times New Roman"/>
              </w:rPr>
              <w:t xml:space="preserve">, K. (2014). Interventions to improve linkage to HIV care in the era of universal test and treat: A systematic review. </w:t>
            </w:r>
            <w:r w:rsidRPr="00364063">
              <w:rPr>
                <w:rFonts w:ascii="Times New Roman" w:eastAsia="Times New Roman" w:hAnsi="Times New Roman" w:cs="Times New Roman"/>
                <w:i/>
                <w:iCs/>
              </w:rPr>
              <w:t>Journal of the International AIDS Society</w:t>
            </w:r>
            <w:r w:rsidRPr="00364063">
              <w:rPr>
                <w:rFonts w:ascii="Times New Roman" w:eastAsia="Times New Roman" w:hAnsi="Times New Roman" w:cs="Times New Roman"/>
              </w:rPr>
              <w:t>, 17(1), 19032. https://doi.org/10.7448/IAS.17.1.19032</w:t>
            </w:r>
          </w:p>
          <w:p w14:paraId="0F6E2026" w14:textId="606E4C41" w:rsidR="007E1E10" w:rsidRPr="00364063" w:rsidRDefault="007E1E10" w:rsidP="00015C2E">
            <w:pPr>
              <w:pStyle w:val="NormalWeb"/>
            </w:pPr>
            <w:r w:rsidRPr="00364063">
              <w:t xml:space="preserve">Hlongwa, M., </w:t>
            </w:r>
            <w:r w:rsidR="00E67855" w:rsidRPr="00E67855">
              <w:rPr>
                <w:i/>
                <w:iCs/>
              </w:rPr>
              <w:t>et al</w:t>
            </w:r>
            <w:r w:rsidRPr="00364063">
              <w:t xml:space="preserve">. (2024). </w:t>
            </w:r>
            <w:r w:rsidRPr="00364063">
              <w:rPr>
                <w:rStyle w:val="Emphasis"/>
                <w:rFonts w:eastAsiaTheme="majorEastAsia"/>
              </w:rPr>
              <w:t>Linkage to HIV care and early retention in HIV care among men in the ‘universal test-and-treat’ era in a high HIV-burdened district, KwaZulu-Natal, South Africa</w:t>
            </w:r>
            <w:r w:rsidRPr="00364063">
              <w:t xml:space="preserve">. BMC Health Services Research. </w:t>
            </w:r>
          </w:p>
          <w:p w14:paraId="0ED40C8D" w14:textId="77777777" w:rsidR="007E1E10" w:rsidRPr="00364063" w:rsidRDefault="007E1E10" w:rsidP="00015C2E">
            <w:pPr>
              <w:pStyle w:val="NormalWeb"/>
            </w:pPr>
            <w:r w:rsidRPr="00364063">
              <w:t xml:space="preserve">Hlongwa, M., </w:t>
            </w:r>
            <w:proofErr w:type="spellStart"/>
            <w:r w:rsidRPr="00364063">
              <w:t>Hlongwana</w:t>
            </w:r>
            <w:proofErr w:type="spellEnd"/>
            <w:r w:rsidRPr="00364063">
              <w:t xml:space="preserve">, K., Makhunga, S., Choko, A. T., </w:t>
            </w:r>
            <w:proofErr w:type="spellStart"/>
            <w:r w:rsidRPr="00364063">
              <w:t>Dzinamarira</w:t>
            </w:r>
            <w:proofErr w:type="spellEnd"/>
            <w:r w:rsidRPr="00364063">
              <w:t xml:space="preserve">, T., Conserve, D., &amp; Tsai, A. C. (2022). </w:t>
            </w:r>
            <w:r w:rsidRPr="00364063">
              <w:rPr>
                <w:rStyle w:val="Emphasis"/>
                <w:rFonts w:eastAsiaTheme="majorEastAsia"/>
              </w:rPr>
              <w:t>Linkage to HIV care following HIV self-testing among men: Systematic review of quantitative and qualitative studies from six countries in sub-Saharan Africa</w:t>
            </w:r>
            <w:r w:rsidRPr="00364063">
              <w:t xml:space="preserve">. AIDS and Behavior. </w:t>
            </w:r>
          </w:p>
          <w:p w14:paraId="77F24048" w14:textId="277B0368" w:rsidR="007E1E10" w:rsidRPr="00364063" w:rsidRDefault="007E1E10" w:rsidP="00015C2E">
            <w:pPr>
              <w:pStyle w:val="NormalWeb"/>
            </w:pPr>
            <w:proofErr w:type="spellStart"/>
            <w:r w:rsidRPr="00364063">
              <w:rPr>
                <w:lang w:val="es-US"/>
              </w:rPr>
              <w:t>Jahun</w:t>
            </w:r>
            <w:proofErr w:type="spellEnd"/>
            <w:r w:rsidRPr="00364063">
              <w:rPr>
                <w:lang w:val="es-US"/>
              </w:rPr>
              <w:t xml:space="preserve">, I., </w:t>
            </w:r>
            <w:r w:rsidR="00E67855" w:rsidRPr="00E67855">
              <w:rPr>
                <w:i/>
                <w:iCs/>
                <w:lang w:val="es-US"/>
              </w:rPr>
              <w:t>et al</w:t>
            </w:r>
            <w:r w:rsidRPr="00364063">
              <w:rPr>
                <w:lang w:val="es-US"/>
              </w:rPr>
              <w:t xml:space="preserve">. </w:t>
            </w:r>
            <w:r w:rsidRPr="00364063">
              <w:t xml:space="preserve">(2021). </w:t>
            </w:r>
            <w:r w:rsidRPr="00364063">
              <w:rPr>
                <w:rStyle w:val="Emphasis"/>
                <w:rFonts w:eastAsiaTheme="majorEastAsia"/>
              </w:rPr>
              <w:t>Optimizing community linkage to care and antiretroviral therapy initiation: Lessons from the Nigeria HIV/AIDS Indicator and Impact Survey (NAIIS) and their adaptation in Nigeria ART Surge</w:t>
            </w:r>
            <w:r w:rsidRPr="00364063">
              <w:t xml:space="preserve">. </w:t>
            </w:r>
            <w:proofErr w:type="spellStart"/>
            <w:r w:rsidRPr="00364063">
              <w:t>PLoS</w:t>
            </w:r>
            <w:proofErr w:type="spellEnd"/>
            <w:r w:rsidRPr="00364063">
              <w:t xml:space="preserve"> One. </w:t>
            </w:r>
          </w:p>
          <w:p w14:paraId="2398F9CD" w14:textId="3821A892" w:rsidR="007E1E10" w:rsidRPr="00364063" w:rsidRDefault="007E1E10" w:rsidP="00015C2E">
            <w:pPr>
              <w:pStyle w:val="NormalWeb"/>
            </w:pPr>
            <w:r w:rsidRPr="00364063">
              <w:t xml:space="preserve">McNairy, M. L., </w:t>
            </w:r>
            <w:r w:rsidR="00E67855" w:rsidRPr="00E67855">
              <w:rPr>
                <w:i/>
                <w:iCs/>
              </w:rPr>
              <w:t>et al</w:t>
            </w:r>
            <w:r w:rsidRPr="00364063">
              <w:t xml:space="preserve">. (2017). </w:t>
            </w:r>
            <w:r w:rsidRPr="00364063">
              <w:rPr>
                <w:rStyle w:val="Emphasis"/>
                <w:rFonts w:eastAsiaTheme="majorEastAsia"/>
              </w:rPr>
              <w:t>Effectiveness of a combination strategy for linkage and retention in adult HIV care in Swaziland: The Link4Health cluster randomized trial</w:t>
            </w:r>
            <w:r w:rsidRPr="00364063">
              <w:t xml:space="preserve">. </w:t>
            </w:r>
            <w:proofErr w:type="spellStart"/>
            <w:r w:rsidRPr="00364063">
              <w:t>PLoS</w:t>
            </w:r>
            <w:proofErr w:type="spellEnd"/>
            <w:r w:rsidRPr="00364063">
              <w:t xml:space="preserve"> Medicine. </w:t>
            </w:r>
          </w:p>
          <w:p w14:paraId="3EB3F9D3" w14:textId="609B11E5" w:rsidR="007E1E10" w:rsidRPr="00364063" w:rsidRDefault="007E1E10" w:rsidP="00015C2E">
            <w:pPr>
              <w:pStyle w:val="NormalWeb"/>
            </w:pPr>
            <w:r w:rsidRPr="00364063">
              <w:t xml:space="preserve">Moyo, N. A., </w:t>
            </w:r>
            <w:r w:rsidR="00E67855" w:rsidRPr="00E67855">
              <w:rPr>
                <w:i/>
                <w:iCs/>
              </w:rPr>
              <w:t>et al</w:t>
            </w:r>
            <w:r w:rsidRPr="00364063">
              <w:t xml:space="preserve">. (2025). </w:t>
            </w:r>
            <w:r w:rsidRPr="00364063">
              <w:rPr>
                <w:rStyle w:val="Emphasis"/>
                <w:rFonts w:eastAsiaTheme="majorEastAsia"/>
              </w:rPr>
              <w:t>Community-led interventions for HIV and AIDS prevention, treatment, and care in Southern Africa: A scoping review</w:t>
            </w:r>
            <w:r w:rsidRPr="00364063">
              <w:t xml:space="preserve">. Discover Public Health. </w:t>
            </w:r>
          </w:p>
          <w:p w14:paraId="1983F104" w14:textId="77777777" w:rsidR="007E1E10" w:rsidRPr="00364063" w:rsidRDefault="007E1E10" w:rsidP="00015C2E">
            <w:pPr>
              <w:spacing w:after="0" w:line="240" w:lineRule="auto"/>
              <w:rPr>
                <w:rFonts w:ascii="Times New Roman" w:eastAsia="Times New Roman" w:hAnsi="Times New Roman" w:cs="Times New Roman"/>
              </w:rPr>
            </w:pPr>
            <w:r w:rsidRPr="00364063">
              <w:rPr>
                <w:rFonts w:ascii="Times New Roman" w:eastAsia="Times New Roman" w:hAnsi="Times New Roman" w:cs="Times New Roman"/>
              </w:rPr>
              <w:t xml:space="preserve">National Agency for the Control of AIDS (NACA). (2019). </w:t>
            </w:r>
            <w:r w:rsidRPr="00364063">
              <w:rPr>
                <w:rFonts w:ascii="Times New Roman" w:eastAsia="Times New Roman" w:hAnsi="Times New Roman" w:cs="Times New Roman"/>
                <w:i/>
                <w:iCs/>
              </w:rPr>
              <w:t>Nigeria HIV/AIDS Indicator and Impact Survey (NAIIS) 2018: Final report.</w:t>
            </w:r>
            <w:r w:rsidRPr="00364063">
              <w:rPr>
                <w:rFonts w:ascii="Times New Roman" w:eastAsia="Times New Roman" w:hAnsi="Times New Roman" w:cs="Times New Roman"/>
              </w:rPr>
              <w:t xml:space="preserve"> Abuja, Nigeria.</w:t>
            </w:r>
          </w:p>
          <w:p w14:paraId="75C1E65D" w14:textId="77777777" w:rsidR="007E1E10" w:rsidRPr="00364063" w:rsidRDefault="007E1E10" w:rsidP="00015C2E">
            <w:pPr>
              <w:spacing w:after="0" w:line="240" w:lineRule="auto"/>
              <w:rPr>
                <w:rFonts w:ascii="Times New Roman" w:eastAsia="Times New Roman" w:hAnsi="Times New Roman" w:cs="Times New Roman"/>
              </w:rPr>
            </w:pPr>
          </w:p>
          <w:p w14:paraId="2AAF7BAB" w14:textId="77777777" w:rsidR="007E1E10" w:rsidRPr="00364063" w:rsidRDefault="007E1E10" w:rsidP="00015C2E">
            <w:pPr>
              <w:spacing w:after="0" w:line="240" w:lineRule="auto"/>
              <w:rPr>
                <w:rFonts w:ascii="Times New Roman" w:eastAsia="Times New Roman" w:hAnsi="Times New Roman" w:cs="Times New Roman"/>
              </w:rPr>
            </w:pPr>
            <w:r w:rsidRPr="00364063">
              <w:rPr>
                <w:rFonts w:ascii="Times New Roman" w:eastAsia="Times New Roman" w:hAnsi="Times New Roman" w:cs="Times New Roman"/>
              </w:rPr>
              <w:t xml:space="preserve">National Agency for the Control of AIDS (NACA). (2021). </w:t>
            </w:r>
            <w:r w:rsidRPr="00364063">
              <w:rPr>
                <w:rFonts w:ascii="Times New Roman" w:eastAsia="Times New Roman" w:hAnsi="Times New Roman" w:cs="Times New Roman"/>
                <w:i/>
                <w:iCs/>
              </w:rPr>
              <w:t>National HIV and AIDS Strategic Framework 2021–2025.</w:t>
            </w:r>
            <w:r w:rsidRPr="00364063">
              <w:rPr>
                <w:rFonts w:ascii="Times New Roman" w:eastAsia="Times New Roman" w:hAnsi="Times New Roman" w:cs="Times New Roman"/>
              </w:rPr>
              <w:t xml:space="preserve"> Abuja, Nigeria.</w:t>
            </w:r>
          </w:p>
          <w:p w14:paraId="29280898" w14:textId="00027B08" w:rsidR="007E1E10" w:rsidRPr="00364063" w:rsidRDefault="007E1E10" w:rsidP="00015C2E">
            <w:pPr>
              <w:pStyle w:val="NormalWeb"/>
            </w:pPr>
            <w:r w:rsidRPr="00364063">
              <w:lastRenderedPageBreak/>
              <w:t xml:space="preserve">Nicol, E., </w:t>
            </w:r>
            <w:proofErr w:type="spellStart"/>
            <w:r w:rsidRPr="00364063">
              <w:t>Basera</w:t>
            </w:r>
            <w:proofErr w:type="spellEnd"/>
            <w:r w:rsidRPr="00364063">
              <w:t xml:space="preserve">, W., </w:t>
            </w:r>
            <w:proofErr w:type="spellStart"/>
            <w:r w:rsidRPr="00364063">
              <w:t>Mukumbang</w:t>
            </w:r>
            <w:proofErr w:type="spellEnd"/>
            <w:r w:rsidRPr="00364063">
              <w:t xml:space="preserve">, F. C., </w:t>
            </w:r>
            <w:r w:rsidR="00E67855" w:rsidRPr="00E67855">
              <w:rPr>
                <w:i/>
                <w:iCs/>
              </w:rPr>
              <w:t>et al</w:t>
            </w:r>
            <w:r w:rsidRPr="00364063">
              <w:t xml:space="preserve">. (2023). </w:t>
            </w:r>
            <w:r w:rsidRPr="00364063">
              <w:rPr>
                <w:rStyle w:val="Emphasis"/>
                <w:rFonts w:eastAsiaTheme="majorEastAsia"/>
              </w:rPr>
              <w:t>Linkage to HIV care and early retention in care rates in the universal test-and-treat era: A population-based prospective study in KwaZulu-Natal, South Africa</w:t>
            </w:r>
            <w:r w:rsidRPr="00364063">
              <w:t xml:space="preserve">. AIDS and Behavior. </w:t>
            </w:r>
          </w:p>
          <w:p w14:paraId="7FDE6EE7" w14:textId="1952F632" w:rsidR="007E1E10" w:rsidRPr="00364063" w:rsidRDefault="007E1E10" w:rsidP="00015C2E">
            <w:pPr>
              <w:pStyle w:val="NormalWeb"/>
            </w:pPr>
            <w:r w:rsidRPr="00364063">
              <w:t xml:space="preserve">Ogunyemi, A. O., </w:t>
            </w:r>
            <w:r w:rsidR="00E67855" w:rsidRPr="00E67855">
              <w:rPr>
                <w:i/>
                <w:iCs/>
              </w:rPr>
              <w:t>et al</w:t>
            </w:r>
            <w:r w:rsidRPr="00364063">
              <w:t xml:space="preserve">. (2024). </w:t>
            </w:r>
            <w:r w:rsidRPr="00364063">
              <w:rPr>
                <w:rStyle w:val="Emphasis"/>
                <w:rFonts w:eastAsiaTheme="majorEastAsia"/>
              </w:rPr>
              <w:t>Impact of training and case manager support for traditional birth attendants in the linkage of care among HIV-positive pregnant women in Southwest Nigeria: A 3-arm cluster randomized control trial</w:t>
            </w:r>
            <w:r w:rsidRPr="00364063">
              <w:t xml:space="preserve">. BMC Pregnancy and Childbirth. </w:t>
            </w:r>
          </w:p>
          <w:p w14:paraId="1351A342" w14:textId="1BE71F3C" w:rsidR="007E1E10" w:rsidRPr="00364063" w:rsidRDefault="007E1E10" w:rsidP="00015C2E">
            <w:pPr>
              <w:pStyle w:val="NormalWeb"/>
            </w:pPr>
            <w:r w:rsidRPr="00364063">
              <w:t xml:space="preserve">Owusu, K., </w:t>
            </w:r>
            <w:r w:rsidR="00E67855" w:rsidRPr="00E67855">
              <w:rPr>
                <w:i/>
                <w:iCs/>
              </w:rPr>
              <w:t>et al</w:t>
            </w:r>
            <w:r w:rsidRPr="00364063">
              <w:t xml:space="preserve">. (2019). </w:t>
            </w:r>
            <w:r w:rsidRPr="00364063">
              <w:rPr>
                <w:rStyle w:val="Emphasis"/>
                <w:rFonts w:eastAsiaTheme="majorEastAsia"/>
              </w:rPr>
              <w:t>Strategies to improve linkage to HIV care in urban areas of sub-Saharan Africa: A systematic review</w:t>
            </w:r>
            <w:r w:rsidRPr="00364063">
              <w:t xml:space="preserve">. PubMed. </w:t>
            </w:r>
          </w:p>
          <w:p w14:paraId="3DF0E0E3" w14:textId="77777777" w:rsidR="007E1E10" w:rsidRPr="00364063" w:rsidRDefault="007E1E10" w:rsidP="00015C2E">
            <w:pPr>
              <w:pStyle w:val="NormalWeb"/>
            </w:pPr>
            <w:r w:rsidRPr="00364063">
              <w:t xml:space="preserve">Peer Community Journal. (2024). </w:t>
            </w:r>
            <w:r w:rsidRPr="00364063">
              <w:rPr>
                <w:rStyle w:val="Emphasis"/>
                <w:rFonts w:eastAsiaTheme="majorEastAsia"/>
              </w:rPr>
              <w:t>HIV self-testing positivity rate and linkage to confirmatory testing and care: A telephone survey in Côte d’Ivoire, Mali, and Senegal</w:t>
            </w:r>
            <w:r w:rsidRPr="00364063">
              <w:t xml:space="preserve">. </w:t>
            </w:r>
          </w:p>
          <w:p w14:paraId="5CF029FF" w14:textId="77777777" w:rsidR="007E1E10" w:rsidRPr="00364063" w:rsidRDefault="007E1E10" w:rsidP="00015C2E">
            <w:pPr>
              <w:spacing w:after="0" w:line="240" w:lineRule="auto"/>
              <w:rPr>
                <w:rFonts w:ascii="Times New Roman" w:eastAsia="Times New Roman" w:hAnsi="Times New Roman" w:cs="Times New Roman"/>
              </w:rPr>
            </w:pPr>
            <w:r w:rsidRPr="00364063">
              <w:rPr>
                <w:rFonts w:ascii="Times New Roman" w:eastAsia="Times New Roman" w:hAnsi="Times New Roman" w:cs="Times New Roman"/>
              </w:rPr>
              <w:t xml:space="preserve">Sharma, M., Ying, R., Tarr, G., &amp; Barnabas, R. (2015). Systematic review and meta-analysis of community and facility-based HIV testing to address linkage to care gaps in sub-Saharan Africa. </w:t>
            </w:r>
            <w:r w:rsidRPr="00364063">
              <w:rPr>
                <w:rFonts w:ascii="Times New Roman" w:eastAsia="Times New Roman" w:hAnsi="Times New Roman" w:cs="Times New Roman"/>
                <w:i/>
                <w:iCs/>
              </w:rPr>
              <w:t>Nature</w:t>
            </w:r>
            <w:r w:rsidRPr="00364063">
              <w:rPr>
                <w:rFonts w:ascii="Times New Roman" w:eastAsia="Times New Roman" w:hAnsi="Times New Roman" w:cs="Times New Roman"/>
              </w:rPr>
              <w:t>, 528(S1), S77–S85. https://doi.org/10.1038/nature16044</w:t>
            </w:r>
          </w:p>
          <w:p w14:paraId="04880B0F" w14:textId="77777777" w:rsidR="007E1E10" w:rsidRPr="00364063" w:rsidRDefault="007E1E10" w:rsidP="00015C2E">
            <w:pPr>
              <w:spacing w:after="0" w:line="240" w:lineRule="auto"/>
              <w:rPr>
                <w:rFonts w:ascii="Times New Roman" w:eastAsia="Times New Roman" w:hAnsi="Times New Roman" w:cs="Times New Roman"/>
              </w:rPr>
            </w:pPr>
          </w:p>
          <w:p w14:paraId="721CF5BE" w14:textId="77777777" w:rsidR="007E1E10" w:rsidRPr="00364063" w:rsidRDefault="007E1E10" w:rsidP="00015C2E">
            <w:pPr>
              <w:spacing w:after="0" w:line="240" w:lineRule="auto"/>
              <w:rPr>
                <w:rFonts w:ascii="Times New Roman" w:eastAsia="Times New Roman" w:hAnsi="Times New Roman" w:cs="Times New Roman"/>
              </w:rPr>
            </w:pPr>
            <w:r w:rsidRPr="00364063">
              <w:rPr>
                <w:rFonts w:ascii="Times New Roman" w:eastAsia="Times New Roman" w:hAnsi="Times New Roman" w:cs="Times New Roman"/>
              </w:rPr>
              <w:t xml:space="preserve">Stangl, A. L., Lloyd, J. K., Brady, L. M., Holland, C. E., &amp; Baral, S. (2013). A systematic review of interventions to reduce HIV-related stigma and discrimination. </w:t>
            </w:r>
            <w:r w:rsidRPr="00364063">
              <w:rPr>
                <w:rFonts w:ascii="Times New Roman" w:eastAsia="Times New Roman" w:hAnsi="Times New Roman" w:cs="Times New Roman"/>
                <w:i/>
                <w:iCs/>
              </w:rPr>
              <w:t>Journal of the International AIDS Society</w:t>
            </w:r>
            <w:r w:rsidRPr="00364063">
              <w:rPr>
                <w:rFonts w:ascii="Times New Roman" w:eastAsia="Times New Roman" w:hAnsi="Times New Roman" w:cs="Times New Roman"/>
              </w:rPr>
              <w:t>, 16(3), 18734. https://doi.org/10.7448/IAS.16.3.18734</w:t>
            </w:r>
          </w:p>
          <w:p w14:paraId="5C0C7C2C" w14:textId="77777777" w:rsidR="007E1E10" w:rsidRPr="00364063" w:rsidRDefault="007E1E10" w:rsidP="00015C2E">
            <w:pPr>
              <w:spacing w:after="0" w:line="240" w:lineRule="auto"/>
              <w:rPr>
                <w:rFonts w:ascii="Times New Roman" w:eastAsia="Times New Roman" w:hAnsi="Times New Roman" w:cs="Times New Roman"/>
              </w:rPr>
            </w:pPr>
          </w:p>
          <w:p w14:paraId="66049174" w14:textId="5A223EDA" w:rsidR="007E1E10" w:rsidRPr="00364063" w:rsidRDefault="007E1E10" w:rsidP="00015C2E">
            <w:pPr>
              <w:spacing w:after="0" w:line="240" w:lineRule="auto"/>
              <w:rPr>
                <w:rFonts w:ascii="Times New Roman" w:eastAsia="Times New Roman" w:hAnsi="Times New Roman" w:cs="Times New Roman"/>
              </w:rPr>
            </w:pPr>
            <w:r w:rsidRPr="00364063">
              <w:rPr>
                <w:rFonts w:ascii="Times New Roman" w:eastAsia="Times New Roman" w:hAnsi="Times New Roman" w:cs="Times New Roman"/>
              </w:rPr>
              <w:t xml:space="preserve">Suthar, A. B., Ford, N., </w:t>
            </w:r>
            <w:proofErr w:type="spellStart"/>
            <w:r w:rsidRPr="00364063">
              <w:rPr>
                <w:rFonts w:ascii="Times New Roman" w:eastAsia="Times New Roman" w:hAnsi="Times New Roman" w:cs="Times New Roman"/>
              </w:rPr>
              <w:t>Bachanas</w:t>
            </w:r>
            <w:proofErr w:type="spellEnd"/>
            <w:r w:rsidRPr="00364063">
              <w:rPr>
                <w:rFonts w:ascii="Times New Roman" w:eastAsia="Times New Roman" w:hAnsi="Times New Roman" w:cs="Times New Roman"/>
              </w:rPr>
              <w:t xml:space="preserve">, P. J., </w:t>
            </w:r>
            <w:r w:rsidR="00E67855" w:rsidRPr="00E67855">
              <w:rPr>
                <w:rFonts w:ascii="Times New Roman" w:eastAsia="Times New Roman" w:hAnsi="Times New Roman" w:cs="Times New Roman"/>
                <w:i/>
                <w:iCs/>
              </w:rPr>
              <w:t>et al</w:t>
            </w:r>
            <w:r w:rsidRPr="00364063">
              <w:rPr>
                <w:rFonts w:ascii="Times New Roman" w:eastAsia="Times New Roman" w:hAnsi="Times New Roman" w:cs="Times New Roman"/>
              </w:rPr>
              <w:t xml:space="preserve">. (2013). Towards universal voluntary HIV testing and counselling: A systematic review and meta-analysis of community-based approaches. </w:t>
            </w:r>
            <w:proofErr w:type="spellStart"/>
            <w:r w:rsidRPr="00364063">
              <w:rPr>
                <w:rFonts w:ascii="Times New Roman" w:eastAsia="Times New Roman" w:hAnsi="Times New Roman" w:cs="Times New Roman"/>
                <w:i/>
                <w:iCs/>
              </w:rPr>
              <w:t>PLoS</w:t>
            </w:r>
            <w:proofErr w:type="spellEnd"/>
            <w:r w:rsidRPr="00364063">
              <w:rPr>
                <w:rFonts w:ascii="Times New Roman" w:eastAsia="Times New Roman" w:hAnsi="Times New Roman" w:cs="Times New Roman"/>
                <w:i/>
                <w:iCs/>
              </w:rPr>
              <w:t xml:space="preserve"> Medicine</w:t>
            </w:r>
            <w:r w:rsidRPr="00364063">
              <w:rPr>
                <w:rFonts w:ascii="Times New Roman" w:eastAsia="Times New Roman" w:hAnsi="Times New Roman" w:cs="Times New Roman"/>
              </w:rPr>
              <w:t xml:space="preserve">, 10(8), e1001496. </w:t>
            </w:r>
            <w:hyperlink r:id="rId14" w:tgtFrame="_new" w:history="1">
              <w:r w:rsidRPr="00364063">
                <w:rPr>
                  <w:rStyle w:val="Hyperlink"/>
                  <w:rFonts w:ascii="Times New Roman" w:eastAsia="Times New Roman" w:hAnsi="Times New Roman" w:cs="Times New Roman"/>
                </w:rPr>
                <w:t>https://doi.org/10.1371/journal.pmed.1001496</w:t>
              </w:r>
            </w:hyperlink>
          </w:p>
          <w:p w14:paraId="584CF771" w14:textId="77777777" w:rsidR="007E1E10" w:rsidRPr="00364063" w:rsidRDefault="007E1E10" w:rsidP="00015C2E">
            <w:pPr>
              <w:pStyle w:val="NormalWeb"/>
            </w:pPr>
            <w:r w:rsidRPr="00364063">
              <w:t xml:space="preserve">UNAIDS. (2021). </w:t>
            </w:r>
            <w:r w:rsidRPr="00364063">
              <w:rPr>
                <w:rStyle w:val="Emphasis"/>
                <w:rFonts w:eastAsiaTheme="majorEastAsia"/>
              </w:rPr>
              <w:t>Global AIDS strategy 2021–2026: End inequalities, end AIDS.</w:t>
            </w:r>
            <w:r w:rsidRPr="00364063">
              <w:t xml:space="preserve"> Geneva: Joint United Nations </w:t>
            </w:r>
            <w:proofErr w:type="spellStart"/>
            <w:r w:rsidRPr="00364063">
              <w:t>Programme</w:t>
            </w:r>
            <w:proofErr w:type="spellEnd"/>
            <w:r w:rsidRPr="00364063">
              <w:t xml:space="preserve"> on HIV/AIDS.</w:t>
            </w:r>
          </w:p>
          <w:p w14:paraId="1BBD7DE6" w14:textId="77777777" w:rsidR="007E1E10" w:rsidRPr="00364063" w:rsidRDefault="007E1E10" w:rsidP="00015C2E">
            <w:pPr>
              <w:pStyle w:val="NormalWeb"/>
            </w:pPr>
            <w:r w:rsidRPr="00364063">
              <w:t xml:space="preserve">UNAIDS. (2024). </w:t>
            </w:r>
            <w:r w:rsidRPr="00364063">
              <w:rPr>
                <w:rStyle w:val="Emphasis"/>
                <w:rFonts w:eastAsiaTheme="majorEastAsia"/>
              </w:rPr>
              <w:t>Global AIDS update 2024.</w:t>
            </w:r>
            <w:r w:rsidRPr="00364063">
              <w:t xml:space="preserve"> Geneva: Joint United Nations </w:t>
            </w:r>
            <w:proofErr w:type="spellStart"/>
            <w:r w:rsidRPr="00364063">
              <w:t>Programme</w:t>
            </w:r>
            <w:proofErr w:type="spellEnd"/>
            <w:r w:rsidRPr="00364063">
              <w:t xml:space="preserve"> on HIV/AIDS.</w:t>
            </w:r>
          </w:p>
          <w:p w14:paraId="4F939DD8" w14:textId="77777777" w:rsidR="007E1E10" w:rsidRPr="00364063" w:rsidRDefault="007E1E10" w:rsidP="00015C2E">
            <w:pPr>
              <w:pStyle w:val="NormalWeb"/>
            </w:pPr>
            <w:r w:rsidRPr="00364063">
              <w:t xml:space="preserve">UNICEF. (2023). </w:t>
            </w:r>
            <w:r w:rsidRPr="00364063">
              <w:rPr>
                <w:rStyle w:val="Emphasis"/>
                <w:rFonts w:eastAsiaTheme="majorEastAsia"/>
              </w:rPr>
              <w:t>Adolescent HIV prevention and treatment progress report.</w:t>
            </w:r>
            <w:r w:rsidRPr="00364063">
              <w:t xml:space="preserve"> New York: United Nations Children’s Fund.</w:t>
            </w:r>
          </w:p>
          <w:p w14:paraId="6D1B57A2" w14:textId="77777777" w:rsidR="007E1E10" w:rsidRPr="00364063" w:rsidRDefault="007E1E10" w:rsidP="00015C2E">
            <w:pPr>
              <w:pStyle w:val="NormalWeb"/>
            </w:pPr>
            <w:r w:rsidRPr="00364063">
              <w:t xml:space="preserve">World Health Organization. (2021). </w:t>
            </w:r>
            <w:r w:rsidRPr="00364063">
              <w:rPr>
                <w:rStyle w:val="Emphasis"/>
                <w:rFonts w:eastAsiaTheme="majorEastAsia"/>
              </w:rPr>
              <w:t>Maintaining essential health services during the COVID-19 pandemic.</w:t>
            </w:r>
            <w:r w:rsidRPr="00364063">
              <w:t xml:space="preserve"> Geneva: WHO.</w:t>
            </w:r>
          </w:p>
          <w:p w14:paraId="4CFDDED5" w14:textId="77777777" w:rsidR="007E1E10" w:rsidRPr="00364063" w:rsidRDefault="007E1E10" w:rsidP="00015C2E">
            <w:pPr>
              <w:spacing w:after="0" w:line="240" w:lineRule="auto"/>
              <w:rPr>
                <w:rFonts w:ascii="Times New Roman" w:eastAsia="Times New Roman" w:hAnsi="Times New Roman" w:cs="Times New Roman"/>
              </w:rPr>
            </w:pPr>
            <w:r w:rsidRPr="00364063">
              <w:rPr>
                <w:rFonts w:ascii="Times New Roman" w:eastAsia="Times New Roman" w:hAnsi="Times New Roman" w:cs="Times New Roman"/>
              </w:rPr>
              <w:t xml:space="preserve">World Health Organization. (2023). </w:t>
            </w:r>
            <w:r w:rsidRPr="00364063">
              <w:rPr>
                <w:rFonts w:ascii="Times New Roman" w:eastAsia="Times New Roman" w:hAnsi="Times New Roman" w:cs="Times New Roman"/>
                <w:i/>
                <w:iCs/>
              </w:rPr>
              <w:t>Consolidated guidelines on HIV prevention, testing, treatment, service delivery and monitoring.</w:t>
            </w:r>
          </w:p>
          <w:p w14:paraId="024C0124" w14:textId="77777777" w:rsidR="00B366F7" w:rsidRPr="00364063" w:rsidRDefault="00B366F7" w:rsidP="00015C2E">
            <w:pPr>
              <w:spacing w:after="0" w:line="240" w:lineRule="auto"/>
              <w:rPr>
                <w:rFonts w:ascii="Times New Roman" w:eastAsia="Times New Roman" w:hAnsi="Times New Roman" w:cs="Times New Roman"/>
                <w:color w:val="000000"/>
                <w:kern w:val="0"/>
                <w14:ligatures w14:val="none"/>
              </w:rPr>
            </w:pPr>
          </w:p>
          <w:p w14:paraId="42579EF5" w14:textId="77777777" w:rsidR="00216C5D" w:rsidRPr="00364063" w:rsidRDefault="00216C5D" w:rsidP="00015C2E">
            <w:pPr>
              <w:spacing w:after="0" w:line="240" w:lineRule="auto"/>
              <w:rPr>
                <w:rFonts w:ascii="Times New Roman" w:eastAsia="Times New Roman" w:hAnsi="Times New Roman" w:cs="Times New Roman"/>
                <w:color w:val="000000"/>
                <w:kern w:val="0"/>
                <w14:ligatures w14:val="none"/>
              </w:rPr>
            </w:pPr>
          </w:p>
        </w:tc>
      </w:tr>
    </w:tbl>
    <w:p w14:paraId="167497C0" w14:textId="31B4DFCD" w:rsidR="00265A75" w:rsidRPr="00364063" w:rsidRDefault="00265A75" w:rsidP="00015C2E">
      <w:pPr>
        <w:spacing w:line="240" w:lineRule="auto"/>
        <w:jc w:val="both"/>
        <w:rPr>
          <w:rFonts w:ascii="Times New Roman" w:hAnsi="Times New Roman" w:cs="Times New Roman"/>
        </w:rPr>
      </w:pPr>
    </w:p>
    <w:p w14:paraId="73784040" w14:textId="5EE39F33" w:rsidR="00265A75" w:rsidRPr="00364063" w:rsidRDefault="00265A75" w:rsidP="00015C2E">
      <w:pPr>
        <w:spacing w:line="240" w:lineRule="auto"/>
        <w:jc w:val="both"/>
        <w:rPr>
          <w:rFonts w:ascii="Times New Roman" w:hAnsi="Times New Roman" w:cs="Times New Roman"/>
        </w:rPr>
      </w:pPr>
    </w:p>
    <w:p w14:paraId="27DEC057" w14:textId="77777777" w:rsidR="006F6D66" w:rsidRPr="00364063" w:rsidRDefault="006F6D66" w:rsidP="00015C2E">
      <w:pPr>
        <w:spacing w:line="240" w:lineRule="auto"/>
        <w:jc w:val="both"/>
        <w:rPr>
          <w:rFonts w:ascii="Times New Roman" w:hAnsi="Times New Roman" w:cs="Times New Roman"/>
        </w:rPr>
      </w:pPr>
    </w:p>
    <w:sectPr w:rsidR="006F6D66" w:rsidRPr="00364063">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9FE1" w14:textId="77777777" w:rsidR="00F41AD6" w:rsidRDefault="00F41AD6" w:rsidP="00CB3AE5">
      <w:pPr>
        <w:spacing w:after="0" w:line="240" w:lineRule="auto"/>
      </w:pPr>
      <w:r>
        <w:separator/>
      </w:r>
    </w:p>
  </w:endnote>
  <w:endnote w:type="continuationSeparator" w:id="0">
    <w:p w14:paraId="51E3780E" w14:textId="77777777" w:rsidR="00F41AD6" w:rsidRDefault="00F41AD6" w:rsidP="00CB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5C99" w14:textId="77777777" w:rsidR="00F41AD6" w:rsidRDefault="00F41AD6" w:rsidP="00CB3AE5">
      <w:pPr>
        <w:spacing w:after="0" w:line="240" w:lineRule="auto"/>
      </w:pPr>
      <w:r>
        <w:separator/>
      </w:r>
    </w:p>
  </w:footnote>
  <w:footnote w:type="continuationSeparator" w:id="0">
    <w:p w14:paraId="29F62EB5" w14:textId="77777777" w:rsidR="00F41AD6" w:rsidRDefault="00F41AD6" w:rsidP="00CB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8AD3" w14:textId="7FC16A84" w:rsidR="00521714" w:rsidRDefault="00000000">
    <w:pPr>
      <w:pStyle w:val="Header"/>
    </w:pPr>
    <w:r>
      <w:rPr>
        <w:noProof/>
      </w:rPr>
      <w:pict w14:anchorId="6F648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3120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F641" w14:textId="747EF7DA" w:rsidR="00521714" w:rsidRDefault="00000000">
    <w:pPr>
      <w:pStyle w:val="Header"/>
    </w:pPr>
    <w:r>
      <w:rPr>
        <w:noProof/>
      </w:rPr>
      <w:pict w14:anchorId="3380E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3120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E82C" w14:textId="1777BDCD" w:rsidR="00521714" w:rsidRDefault="00000000">
    <w:pPr>
      <w:pStyle w:val="Header"/>
    </w:pPr>
    <w:r>
      <w:rPr>
        <w:noProof/>
      </w:rPr>
      <w:pict w14:anchorId="7C2E4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3120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E7A"/>
    <w:multiLevelType w:val="multilevel"/>
    <w:tmpl w:val="C6E2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B786E"/>
    <w:multiLevelType w:val="multilevel"/>
    <w:tmpl w:val="A81A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D34DC"/>
    <w:multiLevelType w:val="multilevel"/>
    <w:tmpl w:val="3AF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95583"/>
    <w:multiLevelType w:val="multilevel"/>
    <w:tmpl w:val="B55C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E54B1"/>
    <w:multiLevelType w:val="multilevel"/>
    <w:tmpl w:val="C18E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207D6"/>
    <w:multiLevelType w:val="multilevel"/>
    <w:tmpl w:val="AEF6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C301C"/>
    <w:multiLevelType w:val="multilevel"/>
    <w:tmpl w:val="C766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0910D6"/>
    <w:multiLevelType w:val="multilevel"/>
    <w:tmpl w:val="39FC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A7A46"/>
    <w:multiLevelType w:val="multilevel"/>
    <w:tmpl w:val="2056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A5B19"/>
    <w:multiLevelType w:val="multilevel"/>
    <w:tmpl w:val="29A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474338">
    <w:abstractNumId w:val="6"/>
  </w:num>
  <w:num w:numId="2" w16cid:durableId="648945446">
    <w:abstractNumId w:val="2"/>
  </w:num>
  <w:num w:numId="3" w16cid:durableId="829098749">
    <w:abstractNumId w:val="3"/>
  </w:num>
  <w:num w:numId="4" w16cid:durableId="2035568202">
    <w:abstractNumId w:val="0"/>
  </w:num>
  <w:num w:numId="5" w16cid:durableId="907152957">
    <w:abstractNumId w:val="1"/>
  </w:num>
  <w:num w:numId="6" w16cid:durableId="1951739716">
    <w:abstractNumId w:val="4"/>
  </w:num>
  <w:num w:numId="7" w16cid:durableId="208421369">
    <w:abstractNumId w:val="7"/>
  </w:num>
  <w:num w:numId="8" w16cid:durableId="1563105196">
    <w:abstractNumId w:val="9"/>
  </w:num>
  <w:num w:numId="9" w16cid:durableId="1893030096">
    <w:abstractNumId w:val="5"/>
  </w:num>
  <w:num w:numId="10" w16cid:durableId="1897626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MzSzNDU3MDQ0NzZR0lEKTi0uzszPAykwrAUAY9c3MCwAAAA="/>
  </w:docVars>
  <w:rsids>
    <w:rsidRoot w:val="00265A75"/>
    <w:rsid w:val="000125C1"/>
    <w:rsid w:val="00015C2E"/>
    <w:rsid w:val="00070AC4"/>
    <w:rsid w:val="000C61F2"/>
    <w:rsid w:val="000C7630"/>
    <w:rsid w:val="000C7B90"/>
    <w:rsid w:val="0010316A"/>
    <w:rsid w:val="0010660F"/>
    <w:rsid w:val="00120641"/>
    <w:rsid w:val="00125303"/>
    <w:rsid w:val="00165C2E"/>
    <w:rsid w:val="0017782D"/>
    <w:rsid w:val="0018071B"/>
    <w:rsid w:val="001A097D"/>
    <w:rsid w:val="001A0DBF"/>
    <w:rsid w:val="001C68DB"/>
    <w:rsid w:val="001D3215"/>
    <w:rsid w:val="001F1C16"/>
    <w:rsid w:val="00216C5D"/>
    <w:rsid w:val="00216F90"/>
    <w:rsid w:val="00244D88"/>
    <w:rsid w:val="00250074"/>
    <w:rsid w:val="00253320"/>
    <w:rsid w:val="00254F89"/>
    <w:rsid w:val="00262D4C"/>
    <w:rsid w:val="00265A75"/>
    <w:rsid w:val="0029504C"/>
    <w:rsid w:val="002D0E7A"/>
    <w:rsid w:val="002F58CD"/>
    <w:rsid w:val="00364063"/>
    <w:rsid w:val="003726C7"/>
    <w:rsid w:val="00374CC3"/>
    <w:rsid w:val="003B3CFC"/>
    <w:rsid w:val="003B70FA"/>
    <w:rsid w:val="00401253"/>
    <w:rsid w:val="0041080F"/>
    <w:rsid w:val="0043069A"/>
    <w:rsid w:val="004319EE"/>
    <w:rsid w:val="0044375C"/>
    <w:rsid w:val="00456BB5"/>
    <w:rsid w:val="004713A5"/>
    <w:rsid w:val="00485DDA"/>
    <w:rsid w:val="00495E36"/>
    <w:rsid w:val="004A03D4"/>
    <w:rsid w:val="004D266B"/>
    <w:rsid w:val="004D4A2D"/>
    <w:rsid w:val="004E60F2"/>
    <w:rsid w:val="00521714"/>
    <w:rsid w:val="00523A96"/>
    <w:rsid w:val="005441EA"/>
    <w:rsid w:val="00547F1B"/>
    <w:rsid w:val="005B4252"/>
    <w:rsid w:val="005B7E20"/>
    <w:rsid w:val="005E5F37"/>
    <w:rsid w:val="00603A8C"/>
    <w:rsid w:val="00664C13"/>
    <w:rsid w:val="00675B85"/>
    <w:rsid w:val="006C0713"/>
    <w:rsid w:val="006D11A7"/>
    <w:rsid w:val="006E49A4"/>
    <w:rsid w:val="006E6882"/>
    <w:rsid w:val="006F26E3"/>
    <w:rsid w:val="006F6D66"/>
    <w:rsid w:val="00726407"/>
    <w:rsid w:val="00742F7A"/>
    <w:rsid w:val="00776EDA"/>
    <w:rsid w:val="007918C1"/>
    <w:rsid w:val="007C0676"/>
    <w:rsid w:val="007C0CB4"/>
    <w:rsid w:val="007C42F6"/>
    <w:rsid w:val="007C473C"/>
    <w:rsid w:val="007D0F42"/>
    <w:rsid w:val="007E1E10"/>
    <w:rsid w:val="007E5956"/>
    <w:rsid w:val="007F3FAA"/>
    <w:rsid w:val="0081285A"/>
    <w:rsid w:val="008155AC"/>
    <w:rsid w:val="00834EA4"/>
    <w:rsid w:val="00835B45"/>
    <w:rsid w:val="00837DE7"/>
    <w:rsid w:val="008465AA"/>
    <w:rsid w:val="00850A80"/>
    <w:rsid w:val="0085205A"/>
    <w:rsid w:val="008543E8"/>
    <w:rsid w:val="00865DB5"/>
    <w:rsid w:val="00910669"/>
    <w:rsid w:val="00912AA1"/>
    <w:rsid w:val="00977A99"/>
    <w:rsid w:val="009A2E3C"/>
    <w:rsid w:val="009C416A"/>
    <w:rsid w:val="009C6326"/>
    <w:rsid w:val="009D1566"/>
    <w:rsid w:val="009D6E94"/>
    <w:rsid w:val="009D7276"/>
    <w:rsid w:val="00A04D5E"/>
    <w:rsid w:val="00A0516B"/>
    <w:rsid w:val="00A54E91"/>
    <w:rsid w:val="00A65133"/>
    <w:rsid w:val="00B06B3E"/>
    <w:rsid w:val="00B34393"/>
    <w:rsid w:val="00B366F7"/>
    <w:rsid w:val="00B374CD"/>
    <w:rsid w:val="00B51C1D"/>
    <w:rsid w:val="00B70B4A"/>
    <w:rsid w:val="00B81EA5"/>
    <w:rsid w:val="00B82299"/>
    <w:rsid w:val="00B93F32"/>
    <w:rsid w:val="00BE3213"/>
    <w:rsid w:val="00BF6512"/>
    <w:rsid w:val="00C24FCC"/>
    <w:rsid w:val="00C33D3B"/>
    <w:rsid w:val="00C430E8"/>
    <w:rsid w:val="00C4649A"/>
    <w:rsid w:val="00C53EFF"/>
    <w:rsid w:val="00C6241C"/>
    <w:rsid w:val="00C86A6A"/>
    <w:rsid w:val="00C91B0B"/>
    <w:rsid w:val="00C94FE0"/>
    <w:rsid w:val="00C97D37"/>
    <w:rsid w:val="00CB3AE5"/>
    <w:rsid w:val="00CE4C28"/>
    <w:rsid w:val="00D16EB9"/>
    <w:rsid w:val="00D41D04"/>
    <w:rsid w:val="00D55EED"/>
    <w:rsid w:val="00DA3214"/>
    <w:rsid w:val="00DD056D"/>
    <w:rsid w:val="00DF4C66"/>
    <w:rsid w:val="00DF5611"/>
    <w:rsid w:val="00E04854"/>
    <w:rsid w:val="00E25969"/>
    <w:rsid w:val="00E423A5"/>
    <w:rsid w:val="00E53407"/>
    <w:rsid w:val="00E67855"/>
    <w:rsid w:val="00E8039A"/>
    <w:rsid w:val="00E81DB3"/>
    <w:rsid w:val="00E831AD"/>
    <w:rsid w:val="00EA6B7C"/>
    <w:rsid w:val="00EB7A41"/>
    <w:rsid w:val="00F41AD6"/>
    <w:rsid w:val="00F43E09"/>
    <w:rsid w:val="00F45561"/>
    <w:rsid w:val="00F60E95"/>
    <w:rsid w:val="00F675E9"/>
    <w:rsid w:val="00F72577"/>
    <w:rsid w:val="00F746A8"/>
    <w:rsid w:val="00F76DA4"/>
    <w:rsid w:val="00F86A54"/>
    <w:rsid w:val="00F96FC9"/>
    <w:rsid w:val="00FB1483"/>
    <w:rsid w:val="00FB2127"/>
    <w:rsid w:val="00FC0988"/>
    <w:rsid w:val="00FD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4A070"/>
  <w15:chartTrackingRefBased/>
  <w15:docId w15:val="{F56BAB16-CB75-4BAB-A025-35BDA75B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A75"/>
    <w:rPr>
      <w:rFonts w:eastAsiaTheme="majorEastAsia" w:cstheme="majorBidi"/>
      <w:color w:val="272727" w:themeColor="text1" w:themeTint="D8"/>
    </w:rPr>
  </w:style>
  <w:style w:type="paragraph" w:styleId="Title">
    <w:name w:val="Title"/>
    <w:basedOn w:val="Normal"/>
    <w:next w:val="Normal"/>
    <w:link w:val="TitleChar"/>
    <w:uiPriority w:val="10"/>
    <w:qFormat/>
    <w:rsid w:val="00265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A75"/>
    <w:pPr>
      <w:spacing w:before="160"/>
      <w:jc w:val="center"/>
    </w:pPr>
    <w:rPr>
      <w:i/>
      <w:iCs/>
      <w:color w:val="404040" w:themeColor="text1" w:themeTint="BF"/>
    </w:rPr>
  </w:style>
  <w:style w:type="character" w:customStyle="1" w:styleId="QuoteChar">
    <w:name w:val="Quote Char"/>
    <w:basedOn w:val="DefaultParagraphFont"/>
    <w:link w:val="Quote"/>
    <w:uiPriority w:val="29"/>
    <w:rsid w:val="00265A75"/>
    <w:rPr>
      <w:i/>
      <w:iCs/>
      <w:color w:val="404040" w:themeColor="text1" w:themeTint="BF"/>
    </w:rPr>
  </w:style>
  <w:style w:type="paragraph" w:styleId="ListParagraph">
    <w:name w:val="List Paragraph"/>
    <w:basedOn w:val="Normal"/>
    <w:uiPriority w:val="34"/>
    <w:qFormat/>
    <w:rsid w:val="00265A75"/>
    <w:pPr>
      <w:ind w:left="720"/>
      <w:contextualSpacing/>
    </w:pPr>
  </w:style>
  <w:style w:type="character" w:styleId="IntenseEmphasis">
    <w:name w:val="Intense Emphasis"/>
    <w:basedOn w:val="DefaultParagraphFont"/>
    <w:uiPriority w:val="21"/>
    <w:qFormat/>
    <w:rsid w:val="00265A75"/>
    <w:rPr>
      <w:i/>
      <w:iCs/>
      <w:color w:val="0F4761" w:themeColor="accent1" w:themeShade="BF"/>
    </w:rPr>
  </w:style>
  <w:style w:type="paragraph" w:styleId="IntenseQuote">
    <w:name w:val="Intense Quote"/>
    <w:basedOn w:val="Normal"/>
    <w:next w:val="Normal"/>
    <w:link w:val="IntenseQuoteChar"/>
    <w:uiPriority w:val="30"/>
    <w:qFormat/>
    <w:rsid w:val="00265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A75"/>
    <w:rPr>
      <w:i/>
      <w:iCs/>
      <w:color w:val="0F4761" w:themeColor="accent1" w:themeShade="BF"/>
    </w:rPr>
  </w:style>
  <w:style w:type="character" w:styleId="IntenseReference">
    <w:name w:val="Intense Reference"/>
    <w:basedOn w:val="DefaultParagraphFont"/>
    <w:uiPriority w:val="32"/>
    <w:qFormat/>
    <w:rsid w:val="00265A75"/>
    <w:rPr>
      <w:b/>
      <w:bCs/>
      <w:smallCaps/>
      <w:color w:val="0F4761" w:themeColor="accent1" w:themeShade="BF"/>
      <w:spacing w:val="5"/>
    </w:rPr>
  </w:style>
  <w:style w:type="character" w:styleId="Hyperlink">
    <w:name w:val="Hyperlink"/>
    <w:basedOn w:val="DefaultParagraphFont"/>
    <w:uiPriority w:val="99"/>
    <w:unhideWhenUsed/>
    <w:rsid w:val="00265A75"/>
    <w:rPr>
      <w:color w:val="467886" w:themeColor="hyperlink"/>
      <w:u w:val="single"/>
    </w:rPr>
  </w:style>
  <w:style w:type="character" w:customStyle="1" w:styleId="UnresolvedMention1">
    <w:name w:val="Unresolved Mention1"/>
    <w:basedOn w:val="DefaultParagraphFont"/>
    <w:uiPriority w:val="99"/>
    <w:semiHidden/>
    <w:unhideWhenUsed/>
    <w:rsid w:val="00265A75"/>
    <w:rPr>
      <w:color w:val="605E5C"/>
      <w:shd w:val="clear" w:color="auto" w:fill="E1DFDD"/>
    </w:rPr>
  </w:style>
  <w:style w:type="character" w:styleId="Strong">
    <w:name w:val="Strong"/>
    <w:basedOn w:val="DefaultParagraphFont"/>
    <w:uiPriority w:val="22"/>
    <w:qFormat/>
    <w:rsid w:val="001A097D"/>
    <w:rPr>
      <w:b/>
      <w:bCs/>
    </w:rPr>
  </w:style>
  <w:style w:type="paragraph" w:styleId="NormalWeb">
    <w:name w:val="Normal (Web)"/>
    <w:basedOn w:val="Normal"/>
    <w:uiPriority w:val="99"/>
    <w:unhideWhenUsed/>
    <w:rsid w:val="001A097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9C6326"/>
    <w:pPr>
      <w:spacing w:after="200" w:line="240" w:lineRule="auto"/>
    </w:pPr>
    <w:rPr>
      <w:i/>
      <w:iCs/>
      <w:color w:val="0E2841" w:themeColor="text2"/>
      <w:sz w:val="18"/>
      <w:szCs w:val="18"/>
    </w:rPr>
  </w:style>
  <w:style w:type="character" w:styleId="Emphasis">
    <w:name w:val="Emphasis"/>
    <w:basedOn w:val="DefaultParagraphFont"/>
    <w:uiPriority w:val="20"/>
    <w:qFormat/>
    <w:rsid w:val="00A54E91"/>
    <w:rPr>
      <w:i/>
      <w:iCs/>
    </w:rPr>
  </w:style>
  <w:style w:type="table" w:styleId="TableGrid">
    <w:name w:val="Table Grid"/>
    <w:basedOn w:val="TableNormal"/>
    <w:uiPriority w:val="39"/>
    <w:rsid w:val="00B37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8155AC"/>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8155AC"/>
    <w:pPr>
      <w:spacing w:after="240" w:line="240" w:lineRule="exact"/>
      <w:jc w:val="right"/>
    </w:pPr>
    <w:rPr>
      <w:rFonts w:ascii="Helvetica" w:eastAsia="Times New Roman" w:hAnsi="Helvetica" w:cs="Times New Roman"/>
      <w:kern w:val="0"/>
      <w:sz w:val="20"/>
      <w:szCs w:val="20"/>
      <w14:ligatures w14:val="none"/>
    </w:rPr>
  </w:style>
  <w:style w:type="character" w:customStyle="1" w:styleId="UnresolvedMention2">
    <w:name w:val="Unresolved Mention2"/>
    <w:basedOn w:val="DefaultParagraphFont"/>
    <w:uiPriority w:val="99"/>
    <w:semiHidden/>
    <w:unhideWhenUsed/>
    <w:rsid w:val="00B93F32"/>
    <w:rPr>
      <w:color w:val="605E5C"/>
      <w:shd w:val="clear" w:color="auto" w:fill="E1DFDD"/>
    </w:rPr>
  </w:style>
  <w:style w:type="paragraph" w:styleId="Header">
    <w:name w:val="header"/>
    <w:basedOn w:val="Normal"/>
    <w:link w:val="HeaderChar"/>
    <w:uiPriority w:val="99"/>
    <w:unhideWhenUsed/>
    <w:rsid w:val="00521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714"/>
  </w:style>
  <w:style w:type="paragraph" w:styleId="Footer">
    <w:name w:val="footer"/>
    <w:basedOn w:val="Normal"/>
    <w:link w:val="FooterChar"/>
    <w:uiPriority w:val="99"/>
    <w:unhideWhenUsed/>
    <w:rsid w:val="00521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714"/>
  </w:style>
  <w:style w:type="paragraph" w:styleId="NoSpacing">
    <w:name w:val="No Spacing"/>
    <w:uiPriority w:val="1"/>
    <w:qFormat/>
    <w:rsid w:val="00B82299"/>
    <w:pPr>
      <w:spacing w:after="0" w:line="240" w:lineRule="auto"/>
    </w:pPr>
    <w:rPr>
      <w:kern w:val="0"/>
      <w:sz w:val="22"/>
      <w:szCs w:val="22"/>
      <w:lang w:val="en-GB"/>
      <w14:ligatures w14:val="none"/>
    </w:rPr>
  </w:style>
  <w:style w:type="paragraph" w:customStyle="1" w:styleId="ReferHead">
    <w:name w:val="Refer Head"/>
    <w:basedOn w:val="Normal"/>
    <w:rsid w:val="00850A80"/>
    <w:pPr>
      <w:keepNext/>
      <w:spacing w:after="240" w:line="240" w:lineRule="auto"/>
    </w:pPr>
    <w:rPr>
      <w:rFonts w:ascii="Helvetica" w:eastAsia="Times New Roman" w:hAnsi="Helvetica" w:cs="Times New Roman"/>
      <w:b/>
      <w:caps/>
      <w:kern w:val="0"/>
      <w:sz w:val="22"/>
      <w:szCs w:val="20"/>
      <w14:ligatures w14:val="none"/>
    </w:rPr>
  </w:style>
  <w:style w:type="character" w:styleId="UnresolvedMention">
    <w:name w:val="Unresolved Mention"/>
    <w:basedOn w:val="DefaultParagraphFont"/>
    <w:uiPriority w:val="99"/>
    <w:semiHidden/>
    <w:unhideWhenUsed/>
    <w:rsid w:val="002F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0488">
      <w:bodyDiv w:val="1"/>
      <w:marLeft w:val="0"/>
      <w:marRight w:val="0"/>
      <w:marTop w:val="0"/>
      <w:marBottom w:val="0"/>
      <w:divBdr>
        <w:top w:val="none" w:sz="0" w:space="0" w:color="auto"/>
        <w:left w:val="none" w:sz="0" w:space="0" w:color="auto"/>
        <w:bottom w:val="none" w:sz="0" w:space="0" w:color="auto"/>
        <w:right w:val="none" w:sz="0" w:space="0" w:color="auto"/>
      </w:divBdr>
    </w:div>
    <w:div w:id="74743222">
      <w:bodyDiv w:val="1"/>
      <w:marLeft w:val="0"/>
      <w:marRight w:val="0"/>
      <w:marTop w:val="0"/>
      <w:marBottom w:val="0"/>
      <w:divBdr>
        <w:top w:val="none" w:sz="0" w:space="0" w:color="auto"/>
        <w:left w:val="none" w:sz="0" w:space="0" w:color="auto"/>
        <w:bottom w:val="none" w:sz="0" w:space="0" w:color="auto"/>
        <w:right w:val="none" w:sz="0" w:space="0" w:color="auto"/>
      </w:divBdr>
    </w:div>
    <w:div w:id="247229079">
      <w:bodyDiv w:val="1"/>
      <w:marLeft w:val="0"/>
      <w:marRight w:val="0"/>
      <w:marTop w:val="0"/>
      <w:marBottom w:val="0"/>
      <w:divBdr>
        <w:top w:val="none" w:sz="0" w:space="0" w:color="auto"/>
        <w:left w:val="none" w:sz="0" w:space="0" w:color="auto"/>
        <w:bottom w:val="none" w:sz="0" w:space="0" w:color="auto"/>
        <w:right w:val="none" w:sz="0" w:space="0" w:color="auto"/>
      </w:divBdr>
    </w:div>
    <w:div w:id="434442827">
      <w:bodyDiv w:val="1"/>
      <w:marLeft w:val="0"/>
      <w:marRight w:val="0"/>
      <w:marTop w:val="0"/>
      <w:marBottom w:val="0"/>
      <w:divBdr>
        <w:top w:val="none" w:sz="0" w:space="0" w:color="auto"/>
        <w:left w:val="none" w:sz="0" w:space="0" w:color="auto"/>
        <w:bottom w:val="none" w:sz="0" w:space="0" w:color="auto"/>
        <w:right w:val="none" w:sz="0" w:space="0" w:color="auto"/>
      </w:divBdr>
    </w:div>
    <w:div w:id="460347668">
      <w:bodyDiv w:val="1"/>
      <w:marLeft w:val="0"/>
      <w:marRight w:val="0"/>
      <w:marTop w:val="0"/>
      <w:marBottom w:val="0"/>
      <w:divBdr>
        <w:top w:val="none" w:sz="0" w:space="0" w:color="auto"/>
        <w:left w:val="none" w:sz="0" w:space="0" w:color="auto"/>
        <w:bottom w:val="none" w:sz="0" w:space="0" w:color="auto"/>
        <w:right w:val="none" w:sz="0" w:space="0" w:color="auto"/>
      </w:divBdr>
      <w:divsChild>
        <w:div w:id="26764225">
          <w:marLeft w:val="0"/>
          <w:marRight w:val="0"/>
          <w:marTop w:val="0"/>
          <w:marBottom w:val="0"/>
          <w:divBdr>
            <w:top w:val="none" w:sz="0" w:space="0" w:color="auto"/>
            <w:left w:val="none" w:sz="0" w:space="0" w:color="auto"/>
            <w:bottom w:val="none" w:sz="0" w:space="0" w:color="auto"/>
            <w:right w:val="none" w:sz="0" w:space="0" w:color="auto"/>
          </w:divBdr>
          <w:divsChild>
            <w:div w:id="1485394326">
              <w:marLeft w:val="0"/>
              <w:marRight w:val="0"/>
              <w:marTop w:val="0"/>
              <w:marBottom w:val="0"/>
              <w:divBdr>
                <w:top w:val="none" w:sz="0" w:space="0" w:color="auto"/>
                <w:left w:val="none" w:sz="0" w:space="0" w:color="auto"/>
                <w:bottom w:val="none" w:sz="0" w:space="0" w:color="auto"/>
                <w:right w:val="none" w:sz="0" w:space="0" w:color="auto"/>
              </w:divBdr>
              <w:divsChild>
                <w:div w:id="1088040125">
                  <w:marLeft w:val="0"/>
                  <w:marRight w:val="0"/>
                  <w:marTop w:val="0"/>
                  <w:marBottom w:val="0"/>
                  <w:divBdr>
                    <w:top w:val="none" w:sz="0" w:space="0" w:color="auto"/>
                    <w:left w:val="none" w:sz="0" w:space="0" w:color="auto"/>
                    <w:bottom w:val="none" w:sz="0" w:space="0" w:color="auto"/>
                    <w:right w:val="none" w:sz="0" w:space="0" w:color="auto"/>
                  </w:divBdr>
                  <w:divsChild>
                    <w:div w:id="372196305">
                      <w:marLeft w:val="0"/>
                      <w:marRight w:val="0"/>
                      <w:marTop w:val="0"/>
                      <w:marBottom w:val="0"/>
                      <w:divBdr>
                        <w:top w:val="none" w:sz="0" w:space="0" w:color="auto"/>
                        <w:left w:val="none" w:sz="0" w:space="0" w:color="auto"/>
                        <w:bottom w:val="none" w:sz="0" w:space="0" w:color="auto"/>
                        <w:right w:val="none" w:sz="0" w:space="0" w:color="auto"/>
                      </w:divBdr>
                      <w:divsChild>
                        <w:div w:id="1582136656">
                          <w:marLeft w:val="0"/>
                          <w:marRight w:val="0"/>
                          <w:marTop w:val="0"/>
                          <w:marBottom w:val="0"/>
                          <w:divBdr>
                            <w:top w:val="none" w:sz="0" w:space="0" w:color="auto"/>
                            <w:left w:val="none" w:sz="0" w:space="0" w:color="auto"/>
                            <w:bottom w:val="none" w:sz="0" w:space="0" w:color="auto"/>
                            <w:right w:val="none" w:sz="0" w:space="0" w:color="auto"/>
                          </w:divBdr>
                          <w:divsChild>
                            <w:div w:id="2068455292">
                              <w:marLeft w:val="0"/>
                              <w:marRight w:val="0"/>
                              <w:marTop w:val="0"/>
                              <w:marBottom w:val="0"/>
                              <w:divBdr>
                                <w:top w:val="none" w:sz="0" w:space="0" w:color="auto"/>
                                <w:left w:val="none" w:sz="0" w:space="0" w:color="auto"/>
                                <w:bottom w:val="none" w:sz="0" w:space="0" w:color="auto"/>
                                <w:right w:val="none" w:sz="0" w:space="0" w:color="auto"/>
                              </w:divBdr>
                              <w:divsChild>
                                <w:div w:id="12551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2252">
      <w:bodyDiv w:val="1"/>
      <w:marLeft w:val="0"/>
      <w:marRight w:val="0"/>
      <w:marTop w:val="0"/>
      <w:marBottom w:val="0"/>
      <w:divBdr>
        <w:top w:val="none" w:sz="0" w:space="0" w:color="auto"/>
        <w:left w:val="none" w:sz="0" w:space="0" w:color="auto"/>
        <w:bottom w:val="none" w:sz="0" w:space="0" w:color="auto"/>
        <w:right w:val="none" w:sz="0" w:space="0" w:color="auto"/>
      </w:divBdr>
      <w:divsChild>
        <w:div w:id="510070028">
          <w:marLeft w:val="0"/>
          <w:marRight w:val="0"/>
          <w:marTop w:val="0"/>
          <w:marBottom w:val="0"/>
          <w:divBdr>
            <w:top w:val="none" w:sz="0" w:space="0" w:color="auto"/>
            <w:left w:val="none" w:sz="0" w:space="0" w:color="auto"/>
            <w:bottom w:val="none" w:sz="0" w:space="0" w:color="auto"/>
            <w:right w:val="none" w:sz="0" w:space="0" w:color="auto"/>
          </w:divBdr>
          <w:divsChild>
            <w:div w:id="127359553">
              <w:marLeft w:val="0"/>
              <w:marRight w:val="0"/>
              <w:marTop w:val="0"/>
              <w:marBottom w:val="0"/>
              <w:divBdr>
                <w:top w:val="none" w:sz="0" w:space="0" w:color="auto"/>
                <w:left w:val="none" w:sz="0" w:space="0" w:color="auto"/>
                <w:bottom w:val="none" w:sz="0" w:space="0" w:color="auto"/>
                <w:right w:val="none" w:sz="0" w:space="0" w:color="auto"/>
              </w:divBdr>
              <w:divsChild>
                <w:div w:id="800265194">
                  <w:marLeft w:val="0"/>
                  <w:marRight w:val="0"/>
                  <w:marTop w:val="0"/>
                  <w:marBottom w:val="0"/>
                  <w:divBdr>
                    <w:top w:val="none" w:sz="0" w:space="0" w:color="auto"/>
                    <w:left w:val="none" w:sz="0" w:space="0" w:color="auto"/>
                    <w:bottom w:val="none" w:sz="0" w:space="0" w:color="auto"/>
                    <w:right w:val="none" w:sz="0" w:space="0" w:color="auto"/>
                  </w:divBdr>
                  <w:divsChild>
                    <w:div w:id="679351819">
                      <w:marLeft w:val="0"/>
                      <w:marRight w:val="0"/>
                      <w:marTop w:val="0"/>
                      <w:marBottom w:val="0"/>
                      <w:divBdr>
                        <w:top w:val="none" w:sz="0" w:space="0" w:color="auto"/>
                        <w:left w:val="none" w:sz="0" w:space="0" w:color="auto"/>
                        <w:bottom w:val="none" w:sz="0" w:space="0" w:color="auto"/>
                        <w:right w:val="none" w:sz="0" w:space="0" w:color="auto"/>
                      </w:divBdr>
                      <w:divsChild>
                        <w:div w:id="98260992">
                          <w:marLeft w:val="0"/>
                          <w:marRight w:val="0"/>
                          <w:marTop w:val="0"/>
                          <w:marBottom w:val="0"/>
                          <w:divBdr>
                            <w:top w:val="none" w:sz="0" w:space="0" w:color="auto"/>
                            <w:left w:val="none" w:sz="0" w:space="0" w:color="auto"/>
                            <w:bottom w:val="none" w:sz="0" w:space="0" w:color="auto"/>
                            <w:right w:val="none" w:sz="0" w:space="0" w:color="auto"/>
                          </w:divBdr>
                          <w:divsChild>
                            <w:div w:id="1201017864">
                              <w:marLeft w:val="0"/>
                              <w:marRight w:val="0"/>
                              <w:marTop w:val="0"/>
                              <w:marBottom w:val="0"/>
                              <w:divBdr>
                                <w:top w:val="none" w:sz="0" w:space="0" w:color="auto"/>
                                <w:left w:val="none" w:sz="0" w:space="0" w:color="auto"/>
                                <w:bottom w:val="none" w:sz="0" w:space="0" w:color="auto"/>
                                <w:right w:val="none" w:sz="0" w:space="0" w:color="auto"/>
                              </w:divBdr>
                              <w:divsChild>
                                <w:div w:id="9430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113286">
      <w:bodyDiv w:val="1"/>
      <w:marLeft w:val="0"/>
      <w:marRight w:val="0"/>
      <w:marTop w:val="0"/>
      <w:marBottom w:val="0"/>
      <w:divBdr>
        <w:top w:val="none" w:sz="0" w:space="0" w:color="auto"/>
        <w:left w:val="none" w:sz="0" w:space="0" w:color="auto"/>
        <w:bottom w:val="none" w:sz="0" w:space="0" w:color="auto"/>
        <w:right w:val="none" w:sz="0" w:space="0" w:color="auto"/>
      </w:divBdr>
    </w:div>
    <w:div w:id="493499031">
      <w:bodyDiv w:val="1"/>
      <w:marLeft w:val="0"/>
      <w:marRight w:val="0"/>
      <w:marTop w:val="0"/>
      <w:marBottom w:val="0"/>
      <w:divBdr>
        <w:top w:val="none" w:sz="0" w:space="0" w:color="auto"/>
        <w:left w:val="none" w:sz="0" w:space="0" w:color="auto"/>
        <w:bottom w:val="none" w:sz="0" w:space="0" w:color="auto"/>
        <w:right w:val="none" w:sz="0" w:space="0" w:color="auto"/>
      </w:divBdr>
    </w:div>
    <w:div w:id="588586049">
      <w:bodyDiv w:val="1"/>
      <w:marLeft w:val="0"/>
      <w:marRight w:val="0"/>
      <w:marTop w:val="0"/>
      <w:marBottom w:val="0"/>
      <w:divBdr>
        <w:top w:val="none" w:sz="0" w:space="0" w:color="auto"/>
        <w:left w:val="none" w:sz="0" w:space="0" w:color="auto"/>
        <w:bottom w:val="none" w:sz="0" w:space="0" w:color="auto"/>
        <w:right w:val="none" w:sz="0" w:space="0" w:color="auto"/>
      </w:divBdr>
    </w:div>
    <w:div w:id="727142634">
      <w:bodyDiv w:val="1"/>
      <w:marLeft w:val="0"/>
      <w:marRight w:val="0"/>
      <w:marTop w:val="0"/>
      <w:marBottom w:val="0"/>
      <w:divBdr>
        <w:top w:val="none" w:sz="0" w:space="0" w:color="auto"/>
        <w:left w:val="none" w:sz="0" w:space="0" w:color="auto"/>
        <w:bottom w:val="none" w:sz="0" w:space="0" w:color="auto"/>
        <w:right w:val="none" w:sz="0" w:space="0" w:color="auto"/>
      </w:divBdr>
    </w:div>
    <w:div w:id="794520199">
      <w:bodyDiv w:val="1"/>
      <w:marLeft w:val="0"/>
      <w:marRight w:val="0"/>
      <w:marTop w:val="0"/>
      <w:marBottom w:val="0"/>
      <w:divBdr>
        <w:top w:val="none" w:sz="0" w:space="0" w:color="auto"/>
        <w:left w:val="none" w:sz="0" w:space="0" w:color="auto"/>
        <w:bottom w:val="none" w:sz="0" w:space="0" w:color="auto"/>
        <w:right w:val="none" w:sz="0" w:space="0" w:color="auto"/>
      </w:divBdr>
      <w:divsChild>
        <w:div w:id="642347728">
          <w:marLeft w:val="0"/>
          <w:marRight w:val="0"/>
          <w:marTop w:val="0"/>
          <w:marBottom w:val="0"/>
          <w:divBdr>
            <w:top w:val="none" w:sz="0" w:space="0" w:color="auto"/>
            <w:left w:val="none" w:sz="0" w:space="0" w:color="auto"/>
            <w:bottom w:val="none" w:sz="0" w:space="0" w:color="auto"/>
            <w:right w:val="none" w:sz="0" w:space="0" w:color="auto"/>
          </w:divBdr>
          <w:divsChild>
            <w:div w:id="97533814">
              <w:marLeft w:val="0"/>
              <w:marRight w:val="0"/>
              <w:marTop w:val="0"/>
              <w:marBottom w:val="0"/>
              <w:divBdr>
                <w:top w:val="none" w:sz="0" w:space="0" w:color="auto"/>
                <w:left w:val="none" w:sz="0" w:space="0" w:color="auto"/>
                <w:bottom w:val="none" w:sz="0" w:space="0" w:color="auto"/>
                <w:right w:val="none" w:sz="0" w:space="0" w:color="auto"/>
              </w:divBdr>
              <w:divsChild>
                <w:div w:id="418913656">
                  <w:marLeft w:val="0"/>
                  <w:marRight w:val="0"/>
                  <w:marTop w:val="0"/>
                  <w:marBottom w:val="0"/>
                  <w:divBdr>
                    <w:top w:val="none" w:sz="0" w:space="0" w:color="auto"/>
                    <w:left w:val="none" w:sz="0" w:space="0" w:color="auto"/>
                    <w:bottom w:val="none" w:sz="0" w:space="0" w:color="auto"/>
                    <w:right w:val="none" w:sz="0" w:space="0" w:color="auto"/>
                  </w:divBdr>
                  <w:divsChild>
                    <w:div w:id="1353653534">
                      <w:marLeft w:val="0"/>
                      <w:marRight w:val="0"/>
                      <w:marTop w:val="0"/>
                      <w:marBottom w:val="0"/>
                      <w:divBdr>
                        <w:top w:val="none" w:sz="0" w:space="0" w:color="auto"/>
                        <w:left w:val="none" w:sz="0" w:space="0" w:color="auto"/>
                        <w:bottom w:val="none" w:sz="0" w:space="0" w:color="auto"/>
                        <w:right w:val="none" w:sz="0" w:space="0" w:color="auto"/>
                      </w:divBdr>
                      <w:divsChild>
                        <w:div w:id="1277297680">
                          <w:marLeft w:val="0"/>
                          <w:marRight w:val="0"/>
                          <w:marTop w:val="0"/>
                          <w:marBottom w:val="0"/>
                          <w:divBdr>
                            <w:top w:val="none" w:sz="0" w:space="0" w:color="auto"/>
                            <w:left w:val="none" w:sz="0" w:space="0" w:color="auto"/>
                            <w:bottom w:val="none" w:sz="0" w:space="0" w:color="auto"/>
                            <w:right w:val="none" w:sz="0" w:space="0" w:color="auto"/>
                          </w:divBdr>
                          <w:divsChild>
                            <w:div w:id="2025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417048">
      <w:bodyDiv w:val="1"/>
      <w:marLeft w:val="0"/>
      <w:marRight w:val="0"/>
      <w:marTop w:val="0"/>
      <w:marBottom w:val="0"/>
      <w:divBdr>
        <w:top w:val="none" w:sz="0" w:space="0" w:color="auto"/>
        <w:left w:val="none" w:sz="0" w:space="0" w:color="auto"/>
        <w:bottom w:val="none" w:sz="0" w:space="0" w:color="auto"/>
        <w:right w:val="none" w:sz="0" w:space="0" w:color="auto"/>
      </w:divBdr>
    </w:div>
    <w:div w:id="917594849">
      <w:bodyDiv w:val="1"/>
      <w:marLeft w:val="0"/>
      <w:marRight w:val="0"/>
      <w:marTop w:val="0"/>
      <w:marBottom w:val="0"/>
      <w:divBdr>
        <w:top w:val="none" w:sz="0" w:space="0" w:color="auto"/>
        <w:left w:val="none" w:sz="0" w:space="0" w:color="auto"/>
        <w:bottom w:val="none" w:sz="0" w:space="0" w:color="auto"/>
        <w:right w:val="none" w:sz="0" w:space="0" w:color="auto"/>
      </w:divBdr>
    </w:div>
    <w:div w:id="1041707543">
      <w:bodyDiv w:val="1"/>
      <w:marLeft w:val="0"/>
      <w:marRight w:val="0"/>
      <w:marTop w:val="0"/>
      <w:marBottom w:val="0"/>
      <w:divBdr>
        <w:top w:val="none" w:sz="0" w:space="0" w:color="auto"/>
        <w:left w:val="none" w:sz="0" w:space="0" w:color="auto"/>
        <w:bottom w:val="none" w:sz="0" w:space="0" w:color="auto"/>
        <w:right w:val="none" w:sz="0" w:space="0" w:color="auto"/>
      </w:divBdr>
      <w:divsChild>
        <w:div w:id="30158963">
          <w:marLeft w:val="0"/>
          <w:marRight w:val="0"/>
          <w:marTop w:val="0"/>
          <w:marBottom w:val="0"/>
          <w:divBdr>
            <w:top w:val="none" w:sz="0" w:space="0" w:color="auto"/>
            <w:left w:val="none" w:sz="0" w:space="0" w:color="auto"/>
            <w:bottom w:val="none" w:sz="0" w:space="0" w:color="auto"/>
            <w:right w:val="none" w:sz="0" w:space="0" w:color="auto"/>
          </w:divBdr>
          <w:divsChild>
            <w:div w:id="595750262">
              <w:marLeft w:val="0"/>
              <w:marRight w:val="0"/>
              <w:marTop w:val="0"/>
              <w:marBottom w:val="0"/>
              <w:divBdr>
                <w:top w:val="none" w:sz="0" w:space="0" w:color="auto"/>
                <w:left w:val="none" w:sz="0" w:space="0" w:color="auto"/>
                <w:bottom w:val="none" w:sz="0" w:space="0" w:color="auto"/>
                <w:right w:val="none" w:sz="0" w:space="0" w:color="auto"/>
              </w:divBdr>
              <w:divsChild>
                <w:div w:id="1359038623">
                  <w:marLeft w:val="0"/>
                  <w:marRight w:val="0"/>
                  <w:marTop w:val="0"/>
                  <w:marBottom w:val="0"/>
                  <w:divBdr>
                    <w:top w:val="none" w:sz="0" w:space="0" w:color="auto"/>
                    <w:left w:val="none" w:sz="0" w:space="0" w:color="auto"/>
                    <w:bottom w:val="none" w:sz="0" w:space="0" w:color="auto"/>
                    <w:right w:val="none" w:sz="0" w:space="0" w:color="auto"/>
                  </w:divBdr>
                  <w:divsChild>
                    <w:div w:id="518813236">
                      <w:marLeft w:val="0"/>
                      <w:marRight w:val="0"/>
                      <w:marTop w:val="0"/>
                      <w:marBottom w:val="0"/>
                      <w:divBdr>
                        <w:top w:val="none" w:sz="0" w:space="0" w:color="auto"/>
                        <w:left w:val="none" w:sz="0" w:space="0" w:color="auto"/>
                        <w:bottom w:val="none" w:sz="0" w:space="0" w:color="auto"/>
                        <w:right w:val="none" w:sz="0" w:space="0" w:color="auto"/>
                      </w:divBdr>
                      <w:divsChild>
                        <w:div w:id="1952083389">
                          <w:marLeft w:val="0"/>
                          <w:marRight w:val="0"/>
                          <w:marTop w:val="0"/>
                          <w:marBottom w:val="0"/>
                          <w:divBdr>
                            <w:top w:val="none" w:sz="0" w:space="0" w:color="auto"/>
                            <w:left w:val="none" w:sz="0" w:space="0" w:color="auto"/>
                            <w:bottom w:val="none" w:sz="0" w:space="0" w:color="auto"/>
                            <w:right w:val="none" w:sz="0" w:space="0" w:color="auto"/>
                          </w:divBdr>
                          <w:divsChild>
                            <w:div w:id="3690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99473">
      <w:bodyDiv w:val="1"/>
      <w:marLeft w:val="0"/>
      <w:marRight w:val="0"/>
      <w:marTop w:val="0"/>
      <w:marBottom w:val="0"/>
      <w:divBdr>
        <w:top w:val="none" w:sz="0" w:space="0" w:color="auto"/>
        <w:left w:val="none" w:sz="0" w:space="0" w:color="auto"/>
        <w:bottom w:val="none" w:sz="0" w:space="0" w:color="auto"/>
        <w:right w:val="none" w:sz="0" w:space="0" w:color="auto"/>
      </w:divBdr>
    </w:div>
    <w:div w:id="1180660250">
      <w:bodyDiv w:val="1"/>
      <w:marLeft w:val="0"/>
      <w:marRight w:val="0"/>
      <w:marTop w:val="0"/>
      <w:marBottom w:val="0"/>
      <w:divBdr>
        <w:top w:val="none" w:sz="0" w:space="0" w:color="auto"/>
        <w:left w:val="none" w:sz="0" w:space="0" w:color="auto"/>
        <w:bottom w:val="none" w:sz="0" w:space="0" w:color="auto"/>
        <w:right w:val="none" w:sz="0" w:space="0" w:color="auto"/>
      </w:divBdr>
    </w:div>
    <w:div w:id="1356730140">
      <w:bodyDiv w:val="1"/>
      <w:marLeft w:val="0"/>
      <w:marRight w:val="0"/>
      <w:marTop w:val="0"/>
      <w:marBottom w:val="0"/>
      <w:divBdr>
        <w:top w:val="none" w:sz="0" w:space="0" w:color="auto"/>
        <w:left w:val="none" w:sz="0" w:space="0" w:color="auto"/>
        <w:bottom w:val="none" w:sz="0" w:space="0" w:color="auto"/>
        <w:right w:val="none" w:sz="0" w:space="0" w:color="auto"/>
      </w:divBdr>
    </w:div>
    <w:div w:id="1475491219">
      <w:bodyDiv w:val="1"/>
      <w:marLeft w:val="0"/>
      <w:marRight w:val="0"/>
      <w:marTop w:val="0"/>
      <w:marBottom w:val="0"/>
      <w:divBdr>
        <w:top w:val="none" w:sz="0" w:space="0" w:color="auto"/>
        <w:left w:val="none" w:sz="0" w:space="0" w:color="auto"/>
        <w:bottom w:val="none" w:sz="0" w:space="0" w:color="auto"/>
        <w:right w:val="none" w:sz="0" w:space="0" w:color="auto"/>
      </w:divBdr>
    </w:div>
    <w:div w:id="1553691397">
      <w:bodyDiv w:val="1"/>
      <w:marLeft w:val="0"/>
      <w:marRight w:val="0"/>
      <w:marTop w:val="0"/>
      <w:marBottom w:val="0"/>
      <w:divBdr>
        <w:top w:val="none" w:sz="0" w:space="0" w:color="auto"/>
        <w:left w:val="none" w:sz="0" w:space="0" w:color="auto"/>
        <w:bottom w:val="none" w:sz="0" w:space="0" w:color="auto"/>
        <w:right w:val="none" w:sz="0" w:space="0" w:color="auto"/>
      </w:divBdr>
    </w:div>
    <w:div w:id="1593975799">
      <w:bodyDiv w:val="1"/>
      <w:marLeft w:val="0"/>
      <w:marRight w:val="0"/>
      <w:marTop w:val="0"/>
      <w:marBottom w:val="0"/>
      <w:divBdr>
        <w:top w:val="none" w:sz="0" w:space="0" w:color="auto"/>
        <w:left w:val="none" w:sz="0" w:space="0" w:color="auto"/>
        <w:bottom w:val="none" w:sz="0" w:space="0" w:color="auto"/>
        <w:right w:val="none" w:sz="0" w:space="0" w:color="auto"/>
      </w:divBdr>
    </w:div>
    <w:div w:id="1715881971">
      <w:bodyDiv w:val="1"/>
      <w:marLeft w:val="0"/>
      <w:marRight w:val="0"/>
      <w:marTop w:val="0"/>
      <w:marBottom w:val="0"/>
      <w:divBdr>
        <w:top w:val="none" w:sz="0" w:space="0" w:color="auto"/>
        <w:left w:val="none" w:sz="0" w:space="0" w:color="auto"/>
        <w:bottom w:val="none" w:sz="0" w:space="0" w:color="auto"/>
        <w:right w:val="none" w:sz="0" w:space="0" w:color="auto"/>
      </w:divBdr>
      <w:divsChild>
        <w:div w:id="237715797">
          <w:marLeft w:val="0"/>
          <w:marRight w:val="0"/>
          <w:marTop w:val="0"/>
          <w:marBottom w:val="0"/>
          <w:divBdr>
            <w:top w:val="none" w:sz="0" w:space="0" w:color="auto"/>
            <w:left w:val="none" w:sz="0" w:space="0" w:color="auto"/>
            <w:bottom w:val="none" w:sz="0" w:space="0" w:color="auto"/>
            <w:right w:val="none" w:sz="0" w:space="0" w:color="auto"/>
          </w:divBdr>
          <w:divsChild>
            <w:div w:id="20590619">
              <w:marLeft w:val="0"/>
              <w:marRight w:val="0"/>
              <w:marTop w:val="0"/>
              <w:marBottom w:val="0"/>
              <w:divBdr>
                <w:top w:val="none" w:sz="0" w:space="0" w:color="auto"/>
                <w:left w:val="none" w:sz="0" w:space="0" w:color="auto"/>
                <w:bottom w:val="none" w:sz="0" w:space="0" w:color="auto"/>
                <w:right w:val="none" w:sz="0" w:space="0" w:color="auto"/>
              </w:divBdr>
              <w:divsChild>
                <w:div w:id="590041367">
                  <w:marLeft w:val="0"/>
                  <w:marRight w:val="0"/>
                  <w:marTop w:val="0"/>
                  <w:marBottom w:val="0"/>
                  <w:divBdr>
                    <w:top w:val="none" w:sz="0" w:space="0" w:color="auto"/>
                    <w:left w:val="none" w:sz="0" w:space="0" w:color="auto"/>
                    <w:bottom w:val="none" w:sz="0" w:space="0" w:color="auto"/>
                    <w:right w:val="none" w:sz="0" w:space="0" w:color="auto"/>
                  </w:divBdr>
                  <w:divsChild>
                    <w:div w:id="810025148">
                      <w:marLeft w:val="0"/>
                      <w:marRight w:val="0"/>
                      <w:marTop w:val="0"/>
                      <w:marBottom w:val="0"/>
                      <w:divBdr>
                        <w:top w:val="none" w:sz="0" w:space="0" w:color="auto"/>
                        <w:left w:val="none" w:sz="0" w:space="0" w:color="auto"/>
                        <w:bottom w:val="none" w:sz="0" w:space="0" w:color="auto"/>
                        <w:right w:val="none" w:sz="0" w:space="0" w:color="auto"/>
                      </w:divBdr>
                      <w:divsChild>
                        <w:div w:id="362437166">
                          <w:marLeft w:val="0"/>
                          <w:marRight w:val="0"/>
                          <w:marTop w:val="0"/>
                          <w:marBottom w:val="0"/>
                          <w:divBdr>
                            <w:top w:val="none" w:sz="0" w:space="0" w:color="auto"/>
                            <w:left w:val="none" w:sz="0" w:space="0" w:color="auto"/>
                            <w:bottom w:val="none" w:sz="0" w:space="0" w:color="auto"/>
                            <w:right w:val="none" w:sz="0" w:space="0" w:color="auto"/>
                          </w:divBdr>
                          <w:divsChild>
                            <w:div w:id="12567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0164">
      <w:bodyDiv w:val="1"/>
      <w:marLeft w:val="0"/>
      <w:marRight w:val="0"/>
      <w:marTop w:val="0"/>
      <w:marBottom w:val="0"/>
      <w:divBdr>
        <w:top w:val="none" w:sz="0" w:space="0" w:color="auto"/>
        <w:left w:val="none" w:sz="0" w:space="0" w:color="auto"/>
        <w:bottom w:val="none" w:sz="0" w:space="0" w:color="auto"/>
        <w:right w:val="none" w:sz="0" w:space="0" w:color="auto"/>
      </w:divBdr>
    </w:div>
    <w:div w:id="1878812305">
      <w:bodyDiv w:val="1"/>
      <w:marLeft w:val="0"/>
      <w:marRight w:val="0"/>
      <w:marTop w:val="0"/>
      <w:marBottom w:val="0"/>
      <w:divBdr>
        <w:top w:val="none" w:sz="0" w:space="0" w:color="auto"/>
        <w:left w:val="none" w:sz="0" w:space="0" w:color="auto"/>
        <w:bottom w:val="none" w:sz="0" w:space="0" w:color="auto"/>
        <w:right w:val="none" w:sz="0" w:space="0" w:color="auto"/>
      </w:divBdr>
    </w:div>
    <w:div w:id="20205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31593?utm_source=chatgpt.com"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mc.ncbi.nlm.nih.gov/articles/PMC11502260/?utm_source=chatgpt.com" TargetMode="External"/><Relationship Id="rId14" Type="http://schemas.openxmlformats.org/officeDocument/2006/relationships/hyperlink" Target="https://doi.org/10.1371/journal.pmed.100149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db43229cc981058f/Documents/ViiV/ViiV%20final%20data15-08-2024.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b43229cc981058f/Documents/ViiV/ViiV%20dash%20board1.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db43229cc981058f/Documents/ViiV/ViiV%20dash%20board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57aafcaccf557d51/&#904;&#947;&#947;&#961;&#945;&#966;&#945;/ViiV/ViiV%20dash%20board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Sheet12!$L$19</c:f>
              <c:strCache>
                <c:ptCount val="1"/>
                <c:pt idx="0">
                  <c:v>Total Tested</c:v>
                </c:pt>
              </c:strCache>
            </c:strRef>
          </c:tx>
          <c:dLbls>
            <c:dLbl>
              <c:idx val="0"/>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0-4D20-428F-A383-86C473EA2CCD}"/>
                </c:ext>
              </c:extLst>
            </c:dLbl>
            <c:dLbl>
              <c:idx val="1"/>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1-4D20-428F-A383-86C473EA2CCD}"/>
                </c:ext>
              </c:extLst>
            </c:dLbl>
            <c:dLbl>
              <c:idx val="2"/>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2-4D20-428F-A383-86C473EA2CCD}"/>
                </c:ext>
              </c:extLst>
            </c:dLbl>
            <c:spPr>
              <a:noFill/>
            </c:spPr>
            <c:showLegendKey val="0"/>
            <c:showVal val="0"/>
            <c:showCatName val="1"/>
            <c:showSerName val="0"/>
            <c:showPercent val="1"/>
            <c:showBubbleSize val="0"/>
            <c:showLeaderLines val="1"/>
            <c:extLst>
              <c:ext xmlns:c15="http://schemas.microsoft.com/office/drawing/2012/chart" uri="{CE6537A1-D6FC-4f65-9D91-7224C49458BB}"/>
            </c:extLst>
          </c:dLbls>
          <c:cat>
            <c:strRef>
              <c:f>Sheet12!$K$20:$K$22</c:f>
              <c:strCache>
                <c:ptCount val="3"/>
                <c:pt idx="0">
                  <c:v>Ussa</c:v>
                </c:pt>
                <c:pt idx="1">
                  <c:v>Sardauna</c:v>
                </c:pt>
                <c:pt idx="2">
                  <c:v>Karim Lamido</c:v>
                </c:pt>
              </c:strCache>
            </c:strRef>
          </c:cat>
          <c:val>
            <c:numRef>
              <c:f>Sheet12!$L$20:$L$22</c:f>
              <c:numCache>
                <c:formatCode>General</c:formatCode>
                <c:ptCount val="3"/>
                <c:pt idx="0">
                  <c:v>2047</c:v>
                </c:pt>
                <c:pt idx="1">
                  <c:v>3486</c:v>
                </c:pt>
                <c:pt idx="2">
                  <c:v>2457</c:v>
                </c:pt>
              </c:numCache>
            </c:numRef>
          </c:val>
          <c:extLst>
            <c:ext xmlns:c16="http://schemas.microsoft.com/office/drawing/2014/chart" uri="{C3380CC4-5D6E-409C-BE32-E72D297353CC}">
              <c16:uniqueId val="{00000003-AC04-44D1-B41C-AC6F6115C55E}"/>
            </c:ext>
          </c:extLst>
        </c:ser>
        <c:ser>
          <c:idx val="1"/>
          <c:order val="1"/>
          <c:tx>
            <c:strRef>
              <c:f>Sheet12!$M$19</c:f>
              <c:strCache>
                <c:ptCount val="1"/>
                <c:pt idx="0">
                  <c:v>Positives identified</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Sheet12!$K$20:$K$22</c:f>
              <c:strCache>
                <c:ptCount val="3"/>
                <c:pt idx="0">
                  <c:v>Ussa</c:v>
                </c:pt>
                <c:pt idx="1">
                  <c:v>Sardauna</c:v>
                </c:pt>
                <c:pt idx="2">
                  <c:v>Karim Lamido</c:v>
                </c:pt>
              </c:strCache>
            </c:strRef>
          </c:cat>
          <c:val>
            <c:numRef>
              <c:f>Sheet12!$M$20:$M$22</c:f>
              <c:numCache>
                <c:formatCode>General</c:formatCode>
                <c:ptCount val="3"/>
                <c:pt idx="0">
                  <c:v>29</c:v>
                </c:pt>
                <c:pt idx="1">
                  <c:v>70</c:v>
                </c:pt>
                <c:pt idx="2">
                  <c:v>134</c:v>
                </c:pt>
              </c:numCache>
            </c:numRef>
          </c:val>
          <c:extLst>
            <c:ext xmlns:c16="http://schemas.microsoft.com/office/drawing/2014/chart" uri="{C3380CC4-5D6E-409C-BE32-E72D297353CC}">
              <c16:uniqueId val="{00000004-AC04-44D1-B41C-AC6F6115C55E}"/>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Sheet12!$I$3</c:f>
              <c:strCache>
                <c:ptCount val="1"/>
                <c:pt idx="0">
                  <c:v>Positivity rate</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3865-4667-8BA6-D81C74129283}"/>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3865-4667-8BA6-D81C74129283}"/>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3865-4667-8BA6-D81C74129283}"/>
              </c:ext>
            </c:extLst>
          </c:dPt>
          <c:dLbls>
            <c:dLbl>
              <c:idx val="0"/>
              <c:tx>
                <c:rich>
                  <a:bodyPr/>
                  <a:lstStyle/>
                  <a:p>
                    <a:fld id="{4D3199F0-46D9-4B60-929E-2A9FED4AB139}" type="CATEGORYNAME">
                      <a:rPr lang="en-US"/>
                      <a:pPr/>
                      <a:t>[CATEGORY NAME]</a:t>
                    </a:fld>
                    <a:r>
                      <a:rPr lang="en-US" baseline="0"/>
                      <a:t>
1.5%</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865-4667-8BA6-D81C74129283}"/>
                </c:ext>
              </c:extLst>
            </c:dLbl>
            <c:dLbl>
              <c:idx val="1"/>
              <c:tx>
                <c:rich>
                  <a:bodyPr/>
                  <a:lstStyle/>
                  <a:p>
                    <a:fld id="{372AF44B-43EC-4C1E-B689-3E6E1C2F08A1}" type="CATEGORYNAME">
                      <a:rPr lang="en-US"/>
                      <a:pPr/>
                      <a:t>[CATEGORY NAME]</a:t>
                    </a:fld>
                    <a:r>
                      <a:rPr lang="en-US" baseline="0"/>
                      <a:t>
0.8%</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865-4667-8BA6-D81C74129283}"/>
                </c:ext>
              </c:extLst>
            </c:dLbl>
            <c:dLbl>
              <c:idx val="2"/>
              <c:tx>
                <c:rich>
                  <a:bodyPr/>
                  <a:lstStyle/>
                  <a:p>
                    <a:fld id="{2A536A3C-04AD-41F7-89D2-8E85F9AF759E}" type="CATEGORYNAME">
                      <a:rPr lang="en-US"/>
                      <a:pPr/>
                      <a:t>[CATEGORY NAME]</a:t>
                    </a:fld>
                    <a:r>
                      <a:rPr lang="en-US" baseline="0"/>
                      <a:t>
0.3</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865-4667-8BA6-D81C7412928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Sheet12!$H$4:$H$6</c:f>
              <c:strCache>
                <c:ptCount val="3"/>
                <c:pt idx="0">
                  <c:v>Karim Lamido</c:v>
                </c:pt>
                <c:pt idx="1">
                  <c:v>Sardauna</c:v>
                </c:pt>
                <c:pt idx="2">
                  <c:v>Ussa</c:v>
                </c:pt>
              </c:strCache>
            </c:strRef>
          </c:cat>
          <c:val>
            <c:numRef>
              <c:f>Sheet12!$I$4:$I$6</c:f>
              <c:numCache>
                <c:formatCode>0.0%</c:formatCode>
                <c:ptCount val="3"/>
                <c:pt idx="0">
                  <c:v>1.4999999999999999E-2</c:v>
                </c:pt>
                <c:pt idx="1">
                  <c:v>8.0000000000000002E-3</c:v>
                </c:pt>
                <c:pt idx="2">
                  <c:v>3.0000000000000001E-3</c:v>
                </c:pt>
              </c:numCache>
            </c:numRef>
          </c:val>
          <c:extLst>
            <c:ext xmlns:c16="http://schemas.microsoft.com/office/drawing/2014/chart" uri="{C3380CC4-5D6E-409C-BE32-E72D297353CC}">
              <c16:uniqueId val="{00000006-3865-4667-8BA6-D81C74129283}"/>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tested</a:t>
            </a:r>
            <a:r>
              <a:rPr lang="en-US" baseline="0"/>
              <a:t> by target groups</a:t>
            </a:r>
            <a:endParaRPr lang="en-US"/>
          </a:p>
        </c:rich>
      </c:tx>
      <c:overlay val="0"/>
    </c:title>
    <c:autoTitleDeleted val="0"/>
    <c:plotArea>
      <c:layout/>
      <c:barChart>
        <c:barDir val="col"/>
        <c:grouping val="percentStacked"/>
        <c:varyColors val="0"/>
        <c:ser>
          <c:idx val="0"/>
          <c:order val="0"/>
          <c:tx>
            <c:strRef>
              <c:f>Sheet12!$C$26</c:f>
              <c:strCache>
                <c:ptCount val="1"/>
                <c:pt idx="0">
                  <c:v>Total tested</c:v>
                </c:pt>
              </c:strCache>
            </c:strRef>
          </c:tx>
          <c:invertIfNegative val="0"/>
          <c:dLbls>
            <c:spPr>
              <a:noFill/>
              <a:ln>
                <a:noFill/>
              </a:ln>
              <a:effectLst/>
            </c:spPr>
            <c:txPr>
              <a:bodyPr/>
              <a:lstStyle/>
              <a:p>
                <a:pPr>
                  <a:defRPr sz="1600" b="1" cap="none" spc="0">
                    <a:ln w="6600">
                      <a:solidFill>
                        <a:schemeClr val="accent2"/>
                      </a:solidFill>
                      <a:prstDash val="solid"/>
                    </a:ln>
                    <a:solidFill>
                      <a:srgbClr val="FFFFFF"/>
                    </a:solidFill>
                    <a:effectLst>
                      <a:outerShdw dist="38100" dir="2700000" algn="tl" rotWithShape="0">
                        <a:schemeClr val="accent2"/>
                      </a:outerShdw>
                    </a:effectLs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Sheet12!$B$27:$B$31</c:f>
              <c:strCache>
                <c:ptCount val="5"/>
                <c:pt idx="0">
                  <c:v>Children 0-14</c:v>
                </c:pt>
                <c:pt idx="1">
                  <c:v>AYP 15-24</c:v>
                </c:pt>
                <c:pt idx="2">
                  <c:v>Caregivers</c:v>
                </c:pt>
                <c:pt idx="3">
                  <c:v>General population</c:v>
                </c:pt>
                <c:pt idx="4">
                  <c:v>Total</c:v>
                </c:pt>
              </c:strCache>
            </c:strRef>
          </c:cat>
          <c:val>
            <c:numRef>
              <c:f>Sheet12!$C$27:$C$31</c:f>
              <c:numCache>
                <c:formatCode>General</c:formatCode>
                <c:ptCount val="5"/>
                <c:pt idx="0">
                  <c:v>2675</c:v>
                </c:pt>
                <c:pt idx="1">
                  <c:v>2591</c:v>
                </c:pt>
                <c:pt idx="2">
                  <c:v>1509</c:v>
                </c:pt>
                <c:pt idx="3">
                  <c:v>2215</c:v>
                </c:pt>
                <c:pt idx="4">
                  <c:v>8990</c:v>
                </c:pt>
              </c:numCache>
            </c:numRef>
          </c:val>
          <c:extLst>
            <c:ext xmlns:c16="http://schemas.microsoft.com/office/drawing/2014/chart" uri="{C3380CC4-5D6E-409C-BE32-E72D297353CC}">
              <c16:uniqueId val="{00000000-0619-4854-9F6E-812C158A77F8}"/>
            </c:ext>
          </c:extLst>
        </c:ser>
        <c:ser>
          <c:idx val="1"/>
          <c:order val="1"/>
          <c:tx>
            <c:strRef>
              <c:f>Sheet12!$D$26</c:f>
              <c:strCache>
                <c:ptCount val="1"/>
                <c:pt idx="0">
                  <c:v>Total Positive</c:v>
                </c:pt>
              </c:strCache>
            </c:strRef>
          </c:tx>
          <c:invertIfNegative val="0"/>
          <c:dLbls>
            <c:spPr>
              <a:noFill/>
              <a:ln>
                <a:noFill/>
              </a:ln>
              <a:effectLst/>
            </c:spPr>
            <c:txPr>
              <a:bodyPr/>
              <a:lstStyle/>
              <a:p>
                <a:pPr>
                  <a:defRPr sz="1600"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Sheet12!$B$27:$B$31</c:f>
              <c:strCache>
                <c:ptCount val="5"/>
                <c:pt idx="0">
                  <c:v>Children 0-14</c:v>
                </c:pt>
                <c:pt idx="1">
                  <c:v>AYP 15-24</c:v>
                </c:pt>
                <c:pt idx="2">
                  <c:v>Caregivers</c:v>
                </c:pt>
                <c:pt idx="3">
                  <c:v>General population</c:v>
                </c:pt>
                <c:pt idx="4">
                  <c:v>Total</c:v>
                </c:pt>
              </c:strCache>
            </c:strRef>
          </c:cat>
          <c:val>
            <c:numRef>
              <c:f>Sheet12!$D$27:$D$31</c:f>
              <c:numCache>
                <c:formatCode>General</c:formatCode>
                <c:ptCount val="5"/>
                <c:pt idx="0">
                  <c:v>22</c:v>
                </c:pt>
                <c:pt idx="1">
                  <c:v>40</c:v>
                </c:pt>
                <c:pt idx="2">
                  <c:v>71</c:v>
                </c:pt>
                <c:pt idx="3">
                  <c:v>100</c:v>
                </c:pt>
                <c:pt idx="4">
                  <c:v>233</c:v>
                </c:pt>
              </c:numCache>
            </c:numRef>
          </c:val>
          <c:extLst>
            <c:ext xmlns:c16="http://schemas.microsoft.com/office/drawing/2014/chart" uri="{C3380CC4-5D6E-409C-BE32-E72D297353CC}">
              <c16:uniqueId val="{00000001-0619-4854-9F6E-812C158A77F8}"/>
            </c:ext>
          </c:extLst>
        </c:ser>
        <c:ser>
          <c:idx val="2"/>
          <c:order val="2"/>
          <c:tx>
            <c:strRef>
              <c:f>Sheet12!$E$26</c:f>
              <c:strCache>
                <c:ptCount val="1"/>
                <c:pt idx="0">
                  <c:v>Positivy rate</c:v>
                </c:pt>
              </c:strCache>
            </c:strRef>
          </c:tx>
          <c:invertIfNegative val="0"/>
          <c:dLbls>
            <c:dLbl>
              <c:idx val="0"/>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19-4854-9F6E-812C158A77F8}"/>
                </c:ext>
              </c:extLst>
            </c:dLbl>
            <c:dLbl>
              <c:idx val="1"/>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19-4854-9F6E-812C158A77F8}"/>
                </c:ext>
              </c:extLst>
            </c:dLbl>
            <c:dLbl>
              <c:idx val="2"/>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19-4854-9F6E-812C158A77F8}"/>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Sheet12!$B$27:$B$31</c:f>
              <c:strCache>
                <c:ptCount val="5"/>
                <c:pt idx="0">
                  <c:v>Children 0-14</c:v>
                </c:pt>
                <c:pt idx="1">
                  <c:v>AYP 15-24</c:v>
                </c:pt>
                <c:pt idx="2">
                  <c:v>Caregivers</c:v>
                </c:pt>
                <c:pt idx="3">
                  <c:v>General population</c:v>
                </c:pt>
                <c:pt idx="4">
                  <c:v>Total</c:v>
                </c:pt>
              </c:strCache>
            </c:strRef>
          </c:cat>
          <c:val>
            <c:numRef>
              <c:f>Sheet12!$E$27:$E$31</c:f>
              <c:numCache>
                <c:formatCode>0.0%</c:formatCode>
                <c:ptCount val="5"/>
                <c:pt idx="0">
                  <c:v>8.2242990654205605E-3</c:v>
                </c:pt>
                <c:pt idx="1">
                  <c:v>1.5438054805094558E-2</c:v>
                </c:pt>
                <c:pt idx="2">
                  <c:v>4.7051027170311462E-2</c:v>
                </c:pt>
                <c:pt idx="3">
                  <c:v>4.5146726862302484E-2</c:v>
                </c:pt>
                <c:pt idx="4">
                  <c:v>2.5917686318131256E-2</c:v>
                </c:pt>
              </c:numCache>
            </c:numRef>
          </c:val>
          <c:extLst>
            <c:ext xmlns:c16="http://schemas.microsoft.com/office/drawing/2014/chart" uri="{C3380CC4-5D6E-409C-BE32-E72D297353CC}">
              <c16:uniqueId val="{00000005-0619-4854-9F6E-812C158A77F8}"/>
            </c:ext>
          </c:extLst>
        </c:ser>
        <c:dLbls>
          <c:showLegendKey val="0"/>
          <c:showVal val="1"/>
          <c:showCatName val="0"/>
          <c:showSerName val="0"/>
          <c:showPercent val="0"/>
          <c:showBubbleSize val="0"/>
        </c:dLbls>
        <c:gapWidth val="95"/>
        <c:overlap val="100"/>
        <c:axId val="570062712"/>
        <c:axId val="570063104"/>
      </c:barChart>
      <c:catAx>
        <c:axId val="570062712"/>
        <c:scaling>
          <c:orientation val="minMax"/>
        </c:scaling>
        <c:delete val="0"/>
        <c:axPos val="b"/>
        <c:numFmt formatCode="General" sourceLinked="0"/>
        <c:majorTickMark val="none"/>
        <c:minorTickMark val="none"/>
        <c:tickLblPos val="nextTo"/>
        <c:txPr>
          <a:bodyPr/>
          <a:lstStyle/>
          <a:p>
            <a:pPr>
              <a:defRPr sz="1400"/>
            </a:pPr>
            <a:endParaRPr lang="en-US"/>
          </a:p>
        </c:txPr>
        <c:crossAx val="570063104"/>
        <c:crosses val="autoZero"/>
        <c:auto val="1"/>
        <c:lblAlgn val="ctr"/>
        <c:lblOffset val="100"/>
        <c:noMultiLvlLbl val="0"/>
      </c:catAx>
      <c:valAx>
        <c:axId val="570063104"/>
        <c:scaling>
          <c:orientation val="minMax"/>
        </c:scaling>
        <c:delete val="1"/>
        <c:axPos val="l"/>
        <c:numFmt formatCode="0%" sourceLinked="1"/>
        <c:majorTickMark val="out"/>
        <c:minorTickMark val="none"/>
        <c:tickLblPos val="nextTo"/>
        <c:crossAx val="570062712"/>
        <c:crosses val="autoZero"/>
        <c:crossBetween val="between"/>
      </c:valAx>
    </c:plotArea>
    <c:legend>
      <c:legendPos val="t"/>
      <c:overlay val="0"/>
      <c:txPr>
        <a:bodyPr/>
        <a:lstStyle/>
        <a:p>
          <a:pPr>
            <a:defRPr sz="14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Sheet12!$B$90</c:f>
              <c:strCache>
                <c:ptCount val="1"/>
                <c:pt idx="0">
                  <c:v>Number of clients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Sheet12!$C$89:$F$89</c:f>
              <c:strCache>
                <c:ptCount val="4"/>
                <c:pt idx="0">
                  <c:v>TX Cur</c:v>
                </c:pt>
                <c:pt idx="1">
                  <c:v>Valid viral laod result</c:v>
                </c:pt>
                <c:pt idx="2">
                  <c:v>virally suppressed</c:v>
                </c:pt>
                <c:pt idx="3">
                  <c:v>supression rate</c:v>
                </c:pt>
              </c:strCache>
            </c:strRef>
          </c:cat>
          <c:val>
            <c:numRef>
              <c:f>Sheet12!$C$90:$F$90</c:f>
              <c:numCache>
                <c:formatCode>General</c:formatCode>
                <c:ptCount val="4"/>
                <c:pt idx="0">
                  <c:v>143</c:v>
                </c:pt>
                <c:pt idx="1">
                  <c:v>91</c:v>
                </c:pt>
                <c:pt idx="2">
                  <c:v>88</c:v>
                </c:pt>
                <c:pt idx="3" formatCode="0%">
                  <c:v>0.96703296703296704</c:v>
                </c:pt>
              </c:numCache>
            </c:numRef>
          </c:val>
          <c:extLst>
            <c:ext xmlns:c16="http://schemas.microsoft.com/office/drawing/2014/chart" uri="{C3380CC4-5D6E-409C-BE32-E72D297353CC}">
              <c16:uniqueId val="{00000000-734E-4663-8A77-E627AF777B79}"/>
            </c:ext>
          </c:extLst>
        </c:ser>
        <c:dLbls>
          <c:showLegendKey val="0"/>
          <c:showVal val="1"/>
          <c:showCatName val="0"/>
          <c:showSerName val="0"/>
          <c:showPercent val="0"/>
          <c:showBubbleSize val="0"/>
        </c:dLbls>
        <c:gapWidth val="150"/>
        <c:overlap val="-25"/>
        <c:axId val="501052888"/>
        <c:axId val="501055240"/>
      </c:barChart>
      <c:catAx>
        <c:axId val="50105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01055240"/>
        <c:crosses val="autoZero"/>
        <c:auto val="1"/>
        <c:lblAlgn val="ctr"/>
        <c:lblOffset val="100"/>
        <c:noMultiLvlLbl val="0"/>
      </c:catAx>
      <c:valAx>
        <c:axId val="501055240"/>
        <c:scaling>
          <c:orientation val="minMax"/>
        </c:scaling>
        <c:delete val="1"/>
        <c:axPos val="l"/>
        <c:numFmt formatCode="General" sourceLinked="1"/>
        <c:majorTickMark val="none"/>
        <c:minorTickMark val="none"/>
        <c:tickLblPos val="nextTo"/>
        <c:crossAx val="501052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18</Pages>
  <Words>6506</Words>
  <Characters>37088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Helmina Bantar</dc:creator>
  <cp:keywords/>
  <dc:description/>
  <cp:lastModifiedBy>SDI 91</cp:lastModifiedBy>
  <cp:revision>18</cp:revision>
  <dcterms:created xsi:type="dcterms:W3CDTF">2026-03-10T11:12:00Z</dcterms:created>
  <dcterms:modified xsi:type="dcterms:W3CDTF">2026-03-11T06:22:00Z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88d639a4-2087-4048-8f6a-116e6b2e0527</vt:lpwstr>
  </property>
</Properties>
</file>