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2BB93" w14:textId="77777777" w:rsidR="00B45275" w:rsidRDefault="002108D1">
      <w:pPr>
        <w:rPr>
          <w:rFonts w:ascii="Times New Roman" w:hAnsi="Times New Roman" w:cs="Times New Roman"/>
          <w:b/>
          <w:bCs/>
          <w:sz w:val="28"/>
          <w:szCs w:val="28"/>
        </w:rPr>
      </w:pPr>
      <w:r>
        <w:rPr>
          <w:rFonts w:ascii="Times New Roman" w:hAnsi="Times New Roman" w:cs="Times New Roman"/>
          <w:b/>
          <w:bCs/>
          <w:sz w:val="28"/>
          <w:szCs w:val="28"/>
        </w:rPr>
        <w:t>Adult-Onset Linear IgA Bullous Dermatosis with Secondary Infection: A Comprehensive Therapeutic Approach</w:t>
      </w:r>
    </w:p>
    <w:p w14:paraId="6D02C18E" w14:textId="77777777" w:rsidR="00B45275" w:rsidRDefault="002108D1">
      <w:pPr>
        <w:rPr>
          <w:rFonts w:ascii="Times New Roman" w:hAnsi="Times New Roman" w:cs="Times New Roman"/>
          <w:b/>
          <w:bCs/>
          <w:sz w:val="28"/>
          <w:szCs w:val="28"/>
        </w:rPr>
      </w:pPr>
      <w:r>
        <w:rPr>
          <w:rFonts w:ascii="Times New Roman" w:hAnsi="Times New Roman" w:cs="Times New Roman"/>
          <w:b/>
          <w:bCs/>
          <w:sz w:val="28"/>
          <w:szCs w:val="28"/>
        </w:rPr>
        <w:t>ABSTRACT:</w:t>
      </w:r>
    </w:p>
    <w:p w14:paraId="1DC8458C" w14:textId="759799EE" w:rsidR="00B45275" w:rsidRDefault="002108D1">
      <w:pPr>
        <w:rPr>
          <w:rFonts w:ascii="Times New Roman" w:hAnsi="Times New Roman" w:cs="Times New Roman"/>
          <w:sz w:val="28"/>
          <w:szCs w:val="28"/>
        </w:rPr>
      </w:pPr>
      <w:r>
        <w:rPr>
          <w:rFonts w:ascii="Times New Roman" w:hAnsi="Times New Roman" w:cs="Times New Roman"/>
          <w:sz w:val="28"/>
          <w:szCs w:val="28"/>
        </w:rPr>
        <w:t xml:space="preserve">Linear IgA bullous dermatosis (LABD), a rare autoimmune blistering disorder, causes the accumulation of immunoglobulin A (IgA) throughout </w:t>
      </w:r>
      <w:r>
        <w:rPr>
          <w:rFonts w:ascii="Times New Roman" w:hAnsi="Times New Roman" w:cs="Times New Roman"/>
          <w:sz w:val="28"/>
          <w:szCs w:val="28"/>
        </w:rPr>
        <w:t xml:space="preserve">the basement membrane zone. Because it can affect both adults and children and sometimes mimics other vesiculobullous disorders, diagnosing the ailment can be difficult. We describe a 42-year-old woman who, for the previous four months, had been suffering </w:t>
      </w:r>
      <w:r>
        <w:rPr>
          <w:rFonts w:ascii="Times New Roman" w:hAnsi="Times New Roman" w:cs="Times New Roman"/>
          <w:sz w:val="28"/>
          <w:szCs w:val="28"/>
        </w:rPr>
        <w:t>from severely itchy vesiculobullous eruptions over her limbs and trunk. A clinical examination revealed tense vesicles and bullae arranged in circular patterns that mimicked the classic "string of pearls" appearance, along with little mucosal involvement.</w:t>
      </w:r>
      <w:r>
        <w:rPr>
          <w:rFonts w:ascii="Times New Roman" w:eastAsia="Times New Roman" w:hAnsi="Times New Roman" w:cs="Times New Roman"/>
          <w:kern w:val="0"/>
          <w:lang w:eastAsia="en-IN"/>
          <w14:ligatures w14:val="none"/>
        </w:rPr>
        <w:t xml:space="preserve"> </w:t>
      </w:r>
      <w:r>
        <w:rPr>
          <w:rFonts w:ascii="Times New Roman" w:hAnsi="Times New Roman" w:cs="Times New Roman"/>
          <w:sz w:val="28"/>
          <w:szCs w:val="28"/>
        </w:rPr>
        <w:t>Direct immunofluorescence revealed a subepidermal blister with inflammatory cell infiltration and linear IgA deposition at the dermo</w:t>
      </w:r>
      <w:r w:rsidR="00297271">
        <w:rPr>
          <w:rFonts w:ascii="Times New Roman" w:hAnsi="Times New Roman" w:cs="Times New Roman"/>
          <w:sz w:val="28"/>
          <w:szCs w:val="28"/>
        </w:rPr>
        <w:t xml:space="preserve"> </w:t>
      </w:r>
      <w:r>
        <w:rPr>
          <w:rFonts w:ascii="Times New Roman" w:hAnsi="Times New Roman" w:cs="Times New Roman"/>
          <w:sz w:val="28"/>
          <w:szCs w:val="28"/>
        </w:rPr>
        <w:t xml:space="preserve">epidermal interface, confirming the diagnosis of linear IgA bullous dermatosis. Laboratory tests also revealed evidence of </w:t>
      </w:r>
      <w:r>
        <w:rPr>
          <w:rFonts w:ascii="Times New Roman" w:hAnsi="Times New Roman" w:cs="Times New Roman"/>
          <w:sz w:val="28"/>
          <w:szCs w:val="28"/>
        </w:rPr>
        <w:t>secondary bacterial infection. The patient underwent topical medicine, corticosteroids, targeted antibiotics, and systemic dapsone treatment once glucose-6-phosphate dehydrogenase deficiency was ruled out. There was a discernible clinical improvement withi</w:t>
      </w:r>
      <w:r>
        <w:rPr>
          <w:rFonts w:ascii="Times New Roman" w:hAnsi="Times New Roman" w:cs="Times New Roman"/>
          <w:sz w:val="28"/>
          <w:szCs w:val="28"/>
        </w:rPr>
        <w:t>n two weeks, including a reduction in pruritus and a halt to the formation of new blisters. For the successful treatment of this rare autoimmune blistering illness, this example highlights the importance of early therapeutic intervention and clinicopatholo</w:t>
      </w:r>
      <w:r>
        <w:rPr>
          <w:rFonts w:ascii="Times New Roman" w:hAnsi="Times New Roman" w:cs="Times New Roman"/>
          <w:sz w:val="28"/>
          <w:szCs w:val="28"/>
        </w:rPr>
        <w:t>gical linkage.</w:t>
      </w:r>
    </w:p>
    <w:p w14:paraId="2720C123" w14:textId="77777777" w:rsidR="00B45275" w:rsidRDefault="002108D1">
      <w:pPr>
        <w:jc w:val="both"/>
        <w:rPr>
          <w:rFonts w:ascii="Times New Roman" w:hAnsi="Times New Roman" w:cs="Times New Roman"/>
          <w:b/>
          <w:bCs/>
          <w:sz w:val="28"/>
          <w:szCs w:val="28"/>
        </w:rPr>
      </w:pPr>
      <w:r>
        <w:rPr>
          <w:rFonts w:ascii="Times New Roman" w:hAnsi="Times New Roman" w:cs="Times New Roman"/>
          <w:b/>
          <w:bCs/>
          <w:sz w:val="28"/>
          <w:szCs w:val="28"/>
        </w:rPr>
        <w:t>KEYWORDS</w:t>
      </w:r>
    </w:p>
    <w:p w14:paraId="2E9E14D0" w14:textId="77777777" w:rsidR="00B45275" w:rsidRDefault="002108D1">
      <w:pPr>
        <w:jc w:val="both"/>
        <w:rPr>
          <w:rFonts w:ascii="Times New Roman" w:hAnsi="Times New Roman" w:cs="Times New Roman"/>
        </w:rPr>
      </w:pPr>
      <w:r>
        <w:rPr>
          <w:rFonts w:ascii="Times New Roman" w:hAnsi="Times New Roman" w:cs="Times New Roman"/>
        </w:rPr>
        <w:t>Linear IgA Bullous Dermatosis, Autoimmune blistering disease, Subepidermal blister, Direct immunofluorescence, IgA deposition, Dapsone.</w:t>
      </w:r>
    </w:p>
    <w:p w14:paraId="019132C7" w14:textId="211AE5AC" w:rsidR="00B45275" w:rsidRDefault="00566442" w:rsidP="00566442">
      <w:pPr>
        <w:jc w:val="both"/>
        <w:rPr>
          <w:rFonts w:ascii="Times New Roman" w:hAnsi="Times New Roman" w:cs="Times New Roman"/>
          <w:b/>
          <w:bCs/>
          <w:sz w:val="28"/>
          <w:szCs w:val="28"/>
        </w:rPr>
      </w:pPr>
      <w:r>
        <w:rPr>
          <w:rFonts w:ascii="Times New Roman" w:hAnsi="Times New Roman" w:cs="Times New Roman"/>
          <w:b/>
          <w:bCs/>
          <w:sz w:val="28"/>
          <w:szCs w:val="28"/>
        </w:rPr>
        <w:t>1.</w:t>
      </w:r>
      <w:r w:rsidRPr="00566442">
        <w:rPr>
          <w:rFonts w:ascii="Times New Roman" w:hAnsi="Times New Roman" w:cs="Times New Roman"/>
          <w:b/>
          <w:bCs/>
          <w:sz w:val="28"/>
          <w:szCs w:val="28"/>
        </w:rPr>
        <w:t>INTRODUCTION</w:t>
      </w:r>
    </w:p>
    <w:p w14:paraId="4D28247B" w14:textId="6995CEE2" w:rsidR="00566442" w:rsidRPr="00566442" w:rsidRDefault="00566442" w:rsidP="00566442">
      <w:pPr>
        <w:jc w:val="both"/>
        <w:rPr>
          <w:rFonts w:ascii="Times New Roman" w:hAnsi="Times New Roman" w:cs="Times New Roman"/>
        </w:rPr>
      </w:pPr>
      <w:r w:rsidRPr="00566442">
        <w:rPr>
          <w:rFonts w:ascii="Times New Roman" w:hAnsi="Times New Roman" w:cs="Times New Roman"/>
        </w:rPr>
        <w:t>In linear IgA bullous dermatosis (LABD), an uncommon autoimmune subepidermal blistering syndrome, immunoglobulin A (IgA) is deposited linearly in the basement membrane zone of the skin and mucous membranes. It belongs to the group of autoimmune blistering diseases that can afflict both children and adults. The clinical indications might differ significantly depending on the disease's severity and the age at which it first manifests. The condition is uncommon and sometimes underdiagnosed due to its diverse presentation and resemblance to other vesiculobullous disorders.</w:t>
      </w:r>
      <w:r w:rsidRPr="00566442">
        <w:rPr>
          <w:rFonts w:ascii="Times New Roman" w:eastAsia="Times New Roman" w:hAnsi="Times New Roman" w:cs="Times New Roman"/>
          <w:kern w:val="0"/>
          <w:lang w:eastAsia="en-IN"/>
          <w14:ligatures w14:val="none"/>
        </w:rPr>
        <w:t xml:space="preserve"> </w:t>
      </w:r>
      <w:r w:rsidRPr="00566442">
        <w:rPr>
          <w:rFonts w:ascii="Times New Roman" w:hAnsi="Times New Roman" w:cs="Times New Roman"/>
        </w:rPr>
        <w:t xml:space="preserve">The pathogenesis of LABD includes the production of IgA autoantibodies against structural components of the </w:t>
      </w:r>
      <w:proofErr w:type="spellStart"/>
      <w:r w:rsidRPr="00566442">
        <w:rPr>
          <w:rFonts w:ascii="Times New Roman" w:hAnsi="Times New Roman" w:cs="Times New Roman"/>
        </w:rPr>
        <w:t>dermoepidermal</w:t>
      </w:r>
      <w:proofErr w:type="spellEnd"/>
      <w:r w:rsidRPr="00566442">
        <w:rPr>
          <w:rFonts w:ascii="Times New Roman" w:hAnsi="Times New Roman" w:cs="Times New Roman"/>
        </w:rPr>
        <w:t xml:space="preserve"> junction, specifically BP180 antigen fragments such as LAD-1 and LABD97. The complement system is activated and neutrophils are attracted to the basement membrane zone when these antibodies attach. </w:t>
      </w:r>
      <w:r w:rsidRPr="00566442">
        <w:rPr>
          <w:rFonts w:ascii="Times New Roman" w:hAnsi="Times New Roman" w:cs="Times New Roman"/>
        </w:rPr>
        <w:lastRenderedPageBreak/>
        <w:t>This inflammatory cascade disrupts the dermo</w:t>
      </w:r>
      <w:r>
        <w:rPr>
          <w:rFonts w:ascii="Times New Roman" w:hAnsi="Times New Roman" w:cs="Times New Roman"/>
        </w:rPr>
        <w:t>-</w:t>
      </w:r>
      <w:r w:rsidRPr="00566442">
        <w:rPr>
          <w:rFonts w:ascii="Times New Roman" w:hAnsi="Times New Roman" w:cs="Times New Roman"/>
        </w:rPr>
        <w:t>epidermal link, leading to the development of subepidermal blisters. These immunological pathways have a major role in the development of the characteristic vesiculobullous lesions seen in affected patients.</w:t>
      </w:r>
    </w:p>
    <w:p w14:paraId="58F012F4" w14:textId="77777777" w:rsidR="00566442" w:rsidRPr="00566442" w:rsidRDefault="00566442" w:rsidP="00566442">
      <w:pPr>
        <w:jc w:val="both"/>
        <w:rPr>
          <w:rFonts w:ascii="Times New Roman" w:hAnsi="Times New Roman" w:cs="Times New Roman"/>
        </w:rPr>
      </w:pPr>
      <w:r w:rsidRPr="00566442">
        <w:rPr>
          <w:rFonts w:ascii="Times New Roman" w:hAnsi="Times New Roman" w:cs="Times New Roman"/>
        </w:rPr>
        <w:t xml:space="preserve">Higher variability and diagnostic challenges may be observed in adult-onset cases. LABD can cause a wide range of clinical symptoms, from solitary lesions to extensive vesiculobullous eruptions involving the limbs, trunk, and even mucosal areas. Because of the significant overlap with conditions like bullous pemphigoid, dermatitis herpetiformis, and epidermolysis bullosa </w:t>
      </w:r>
      <w:proofErr w:type="spellStart"/>
      <w:r w:rsidRPr="00566442">
        <w:rPr>
          <w:rFonts w:ascii="Times New Roman" w:hAnsi="Times New Roman" w:cs="Times New Roman"/>
        </w:rPr>
        <w:t>acquisita</w:t>
      </w:r>
      <w:proofErr w:type="spellEnd"/>
      <w:r w:rsidRPr="00566442">
        <w:rPr>
          <w:rFonts w:ascii="Times New Roman" w:hAnsi="Times New Roman" w:cs="Times New Roman"/>
        </w:rPr>
        <w:t>, a definitive diagnosis requires careful clinicopathological correlation, supported by histopathological findings of subepidermal blistering and confirmed by direct immunofluorescence demonstrating linear IgA deposition along the basement membrane zone. Patients are also at risk for secondary bacterial infections when the skin barrier is disrupted, which can exacerbate inflammation, impede recovery, and raise morbidity. This highlights the importance of prompt, targeted treatment and early diagnosis.</w:t>
      </w:r>
    </w:p>
    <w:p w14:paraId="75827C55" w14:textId="77777777" w:rsidR="00566442" w:rsidRDefault="00566442">
      <w:pPr>
        <w:jc w:val="both"/>
        <w:rPr>
          <w:rFonts w:ascii="Times New Roman" w:hAnsi="Times New Roman" w:cs="Times New Roman"/>
        </w:rPr>
      </w:pPr>
    </w:p>
    <w:p w14:paraId="14D36791" w14:textId="404785C8" w:rsidR="00B45275" w:rsidRDefault="002108D1">
      <w:pPr>
        <w:jc w:val="both"/>
        <w:rPr>
          <w:rFonts w:ascii="Times New Roman" w:hAnsi="Times New Roman" w:cs="Times New Roman"/>
          <w:b/>
          <w:bCs/>
          <w:sz w:val="28"/>
          <w:szCs w:val="28"/>
        </w:rPr>
      </w:pPr>
      <w:r>
        <w:rPr>
          <w:rFonts w:ascii="Times New Roman" w:hAnsi="Times New Roman" w:cs="Times New Roman"/>
          <w:b/>
          <w:bCs/>
          <w:sz w:val="28"/>
          <w:szCs w:val="28"/>
        </w:rPr>
        <w:t>2.</w:t>
      </w:r>
      <w:r w:rsidR="00566442">
        <w:rPr>
          <w:rFonts w:ascii="Times New Roman" w:hAnsi="Times New Roman" w:cs="Times New Roman"/>
          <w:b/>
          <w:bCs/>
          <w:sz w:val="28"/>
          <w:szCs w:val="28"/>
        </w:rPr>
        <w:t xml:space="preserve"> </w:t>
      </w:r>
      <w:r>
        <w:rPr>
          <w:rFonts w:ascii="Times New Roman" w:hAnsi="Times New Roman" w:cs="Times New Roman"/>
          <w:b/>
          <w:bCs/>
          <w:sz w:val="28"/>
          <w:szCs w:val="28"/>
        </w:rPr>
        <w:t>CASE PRESENTATION</w:t>
      </w:r>
    </w:p>
    <w:p w14:paraId="0D38E8E4" w14:textId="6D99C282" w:rsidR="00B45275" w:rsidRDefault="002108D1">
      <w:pPr>
        <w:jc w:val="both"/>
        <w:rPr>
          <w:rFonts w:ascii="Times New Roman" w:hAnsi="Times New Roman" w:cs="Times New Roman"/>
        </w:rPr>
      </w:pPr>
      <w:r>
        <w:rPr>
          <w:rFonts w:ascii="Times New Roman" w:hAnsi="Times New Roman" w:cs="Times New Roman"/>
        </w:rPr>
        <w:t>A 42-year-old woman with a four-month history of recurrent, itchy s</w:t>
      </w:r>
      <w:r>
        <w:rPr>
          <w:rFonts w:ascii="Times New Roman" w:hAnsi="Times New Roman" w:cs="Times New Roman"/>
        </w:rPr>
        <w:t>kin eruptions showed up at the dermatology outpatient clinic. The lesions on the trunk first appeared as little erythematous papules with intense itching. Eventually, these lesions grew into fluid-filled vesicles and tense bullae that spread over the belly</w:t>
      </w:r>
      <w:r>
        <w:rPr>
          <w:rFonts w:ascii="Times New Roman" w:hAnsi="Times New Roman" w:cs="Times New Roman"/>
        </w:rPr>
        <w:t>, back, and upper and lower limbs. The patient reports that the lesions often burst on their own, resulting in crust formation, erosions, and post-inflammatory hyperpigmentation. The development of more vesicles was frequently preceded by severe itching. T</w:t>
      </w:r>
      <w:r>
        <w:rPr>
          <w:rFonts w:ascii="Times New Roman" w:hAnsi="Times New Roman" w:cs="Times New Roman"/>
        </w:rPr>
        <w:t xml:space="preserve">here were no associated systemic symptoms, such as fever, joint pain, photosensitivity, or mouth ulcers, </w:t>
      </w:r>
      <w:r w:rsidR="001304EF">
        <w:rPr>
          <w:rFonts w:ascii="Times New Roman" w:hAnsi="Times New Roman" w:cs="Times New Roman"/>
        </w:rPr>
        <w:t>before</w:t>
      </w:r>
      <w:r>
        <w:rPr>
          <w:rFonts w:ascii="Times New Roman" w:hAnsi="Times New Roman" w:cs="Times New Roman"/>
        </w:rPr>
        <w:t xml:space="preserve"> the appearance of the skin lesions.</w:t>
      </w:r>
    </w:p>
    <w:p w14:paraId="5B4B23AE" w14:textId="2886AC3E" w:rsidR="00B45275" w:rsidRDefault="002108D1" w:rsidP="001304EF">
      <w:pPr>
        <w:rPr>
          <w:rFonts w:ascii="Times New Roman" w:hAnsi="Times New Roman" w:cs="Times New Roman"/>
        </w:rPr>
      </w:pPr>
      <w:r>
        <w:rPr>
          <w:rFonts w:ascii="Times New Roman" w:hAnsi="Times New Roman" w:cs="Times New Roman"/>
        </w:rPr>
        <w:t xml:space="preserve">The patient's past medical history was typical except </w:t>
      </w:r>
      <w:r w:rsidR="001304EF">
        <w:rPr>
          <w:rFonts w:ascii="Times New Roman" w:hAnsi="Times New Roman" w:cs="Times New Roman"/>
        </w:rPr>
        <w:t>for</w:t>
      </w:r>
      <w:r>
        <w:rPr>
          <w:rFonts w:ascii="Times New Roman" w:hAnsi="Times New Roman" w:cs="Times New Roman"/>
        </w:rPr>
        <w:t xml:space="preserve"> that. She had no known chronic illnesses and was not on any long-term medications. There was no recent history of drug usage, vaccination, or drug exposure commonly associated with drug-induced blistering illnesses. The patient said that the persistent it</w:t>
      </w:r>
      <w:r>
        <w:rPr>
          <w:rFonts w:ascii="Times New Roman" w:hAnsi="Times New Roman" w:cs="Times New Roman"/>
        </w:rPr>
        <w:t xml:space="preserve">ching and recurrent skin lesions significantly affected her daily activities and quality of life. </w:t>
      </w:r>
      <w:r>
        <w:rPr>
          <w:rFonts w:ascii="Times New Roman" w:hAnsi="Times New Roman" w:cs="Times New Roman"/>
        </w:rPr>
        <w:br/>
        <w:t xml:space="preserve">Upon physical examination, the patient had normal vital signs, was cognizant, and was clinically </w:t>
      </w:r>
      <w:proofErr w:type="gramStart"/>
      <w:r>
        <w:rPr>
          <w:rFonts w:ascii="Times New Roman" w:hAnsi="Times New Roman" w:cs="Times New Roman"/>
        </w:rPr>
        <w:t>stable..</w:t>
      </w:r>
      <w:proofErr w:type="gramEnd"/>
      <w:r>
        <w:rPr>
          <w:rFonts w:ascii="Times New Roman" w:hAnsi="Times New Roman" w:cs="Times New Roman"/>
        </w:rPr>
        <w:t xml:space="preserve"> A dermatological examination revealed many tense ve</w:t>
      </w:r>
      <w:r>
        <w:rPr>
          <w:rFonts w:ascii="Times New Roman" w:hAnsi="Times New Roman" w:cs="Times New Roman"/>
        </w:rPr>
        <w:t>sicles and bullae across the torso and limbs. Many of the lesions were arranged in annular or clustered patterns, creating the distinctive "string-of-pearls" appearance often associated with linear IgA bullous dermatosis.</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The healed lesions were surrounded</w:t>
      </w:r>
      <w:r>
        <w:rPr>
          <w:rFonts w:ascii="Times New Roman" w:hAnsi="Times New Roman" w:cs="Times New Roman"/>
        </w:rPr>
        <w:t xml:space="preserve"> by post-inflammatory hyperpigmentation patches. Superficial erosions in the buccal mucosa suggested mild mucosal involvement. A fairly stable epidermis was indicated by the negative Nikolsky sign. The scalp, hair, and nails were all normal, and a systemic</w:t>
      </w:r>
      <w:r>
        <w:rPr>
          <w:rFonts w:ascii="Times New Roman" w:hAnsi="Times New Roman" w:cs="Times New Roman"/>
        </w:rPr>
        <w:t xml:space="preserve"> examination showed no more abnormalities. </w:t>
      </w:r>
      <w:r>
        <w:rPr>
          <w:rFonts w:ascii="Times New Roman" w:hAnsi="Times New Roman" w:cs="Times New Roman"/>
        </w:rPr>
        <w:br/>
      </w:r>
      <w:r>
        <w:rPr>
          <w:rFonts w:ascii="Times New Roman" w:hAnsi="Times New Roman" w:cs="Times New Roman"/>
        </w:rPr>
        <w:br/>
        <w:t>To assess the patient's overall health and rule out related systemic illnesses, basic laboratory tests were carried out. Microbiological culture studies corroborated the findings, which revealed signs of moderat</w:t>
      </w:r>
      <w:r>
        <w:rPr>
          <w:rFonts w:ascii="Times New Roman" w:hAnsi="Times New Roman" w:cs="Times New Roman"/>
        </w:rPr>
        <w:t>e inflammatory alterations and secondary infection.</w:t>
      </w:r>
    </w:p>
    <w:p w14:paraId="6CA4B488" w14:textId="5C30FEBC" w:rsidR="00B45275" w:rsidRDefault="002108D1">
      <w:pPr>
        <w:jc w:val="both"/>
        <w:rPr>
          <w:rFonts w:ascii="Times New Roman" w:hAnsi="Times New Roman" w:cs="Times New Roman"/>
        </w:rPr>
      </w:pPr>
      <w:r>
        <w:rPr>
          <w:rFonts w:ascii="Times New Roman" w:hAnsi="Times New Roman" w:cs="Times New Roman"/>
        </w:rPr>
        <w:lastRenderedPageBreak/>
        <w:t>Histopathological investigation revealed that subepidermal blisters formed with inflammatory cell infiltration. Direct immunofluorescence analysis of the perilesional skin revealed linear deposition of im</w:t>
      </w:r>
      <w:r>
        <w:rPr>
          <w:rFonts w:ascii="Times New Roman" w:hAnsi="Times New Roman" w:cs="Times New Roman"/>
        </w:rPr>
        <w:t>munoglobulin A (IgA) along the basement membrane zone, supporting the diagnosis of linear IgA bullous dermatosis.</w:t>
      </w:r>
      <w:r w:rsidR="001304EF">
        <w:rPr>
          <w:rFonts w:ascii="Times New Roman" w:hAnsi="Times New Roman" w:cs="Times New Roman"/>
        </w:rPr>
        <w:t xml:space="preserve"> </w:t>
      </w:r>
      <w:r>
        <w:rPr>
          <w:rFonts w:ascii="Times New Roman" w:hAnsi="Times New Roman" w:cs="Times New Roman"/>
        </w:rPr>
        <w:t xml:space="preserve">Based on the clinical symptoms and immunopathological data, adult-onset linear IgA bullous dermatosis with secondary infection was diagnosed. </w:t>
      </w:r>
      <w:r>
        <w:rPr>
          <w:rFonts w:ascii="Times New Roman" w:hAnsi="Times New Roman" w:cs="Times New Roman"/>
        </w:rPr>
        <w:t>Following that, the patient received supportive care along with systemic therapy, and regular follow-up was advised to monitor the progression of the disease and the efficacy of the treatment.</w:t>
      </w:r>
    </w:p>
    <w:tbl>
      <w:tblPr>
        <w:tblStyle w:val="TableGrid"/>
        <w:tblpPr w:leftFromText="180" w:rightFromText="180" w:vertAnchor="text" w:horzAnchor="margin" w:tblpXSpec="right" w:tblpY="1112"/>
        <w:tblW w:w="9121" w:type="dxa"/>
        <w:tblLook w:val="04A0" w:firstRow="1" w:lastRow="0" w:firstColumn="1" w:lastColumn="0" w:noHBand="0" w:noVBand="1"/>
      </w:tblPr>
      <w:tblGrid>
        <w:gridCol w:w="3040"/>
        <w:gridCol w:w="3040"/>
        <w:gridCol w:w="3041"/>
      </w:tblGrid>
      <w:tr w:rsidR="00BD6236" w14:paraId="77D34FF6" w14:textId="77777777" w:rsidTr="00BD6236">
        <w:trPr>
          <w:trHeight w:val="441"/>
        </w:trPr>
        <w:tc>
          <w:tcPr>
            <w:tcW w:w="3040" w:type="dxa"/>
          </w:tcPr>
          <w:p w14:paraId="737A263C" w14:textId="77777777" w:rsidR="00BD6236" w:rsidRDefault="00BD6236" w:rsidP="00BD6236">
            <w:pPr>
              <w:spacing w:after="0" w:line="240" w:lineRule="auto"/>
              <w:jc w:val="both"/>
              <w:rPr>
                <w:rFonts w:ascii="Times New Roman" w:hAnsi="Times New Roman" w:cs="Times New Roman"/>
                <w:b/>
                <w:bCs/>
              </w:rPr>
            </w:pPr>
            <w:r>
              <w:rPr>
                <w:rFonts w:ascii="Times New Roman" w:hAnsi="Times New Roman" w:cs="Times New Roman"/>
                <w:b/>
                <w:bCs/>
              </w:rPr>
              <w:t xml:space="preserve">INVESTIGATION </w:t>
            </w:r>
          </w:p>
        </w:tc>
        <w:tc>
          <w:tcPr>
            <w:tcW w:w="3040" w:type="dxa"/>
          </w:tcPr>
          <w:p w14:paraId="3019B526" w14:textId="650AC9D3" w:rsidR="00BD6236" w:rsidRDefault="00BD6236" w:rsidP="00BD6236">
            <w:pPr>
              <w:spacing w:after="0" w:line="240" w:lineRule="auto"/>
              <w:jc w:val="both"/>
              <w:rPr>
                <w:rFonts w:ascii="Times New Roman" w:hAnsi="Times New Roman" w:cs="Times New Roman"/>
                <w:b/>
                <w:bCs/>
              </w:rPr>
            </w:pPr>
            <w:r>
              <w:rPr>
                <w:rFonts w:ascii="Times New Roman" w:hAnsi="Times New Roman" w:cs="Times New Roman"/>
                <w:b/>
                <w:bCs/>
              </w:rPr>
              <w:t xml:space="preserve">Deranged </w:t>
            </w:r>
            <w:r w:rsidR="001304EF">
              <w:rPr>
                <w:rFonts w:ascii="Times New Roman" w:hAnsi="Times New Roman" w:cs="Times New Roman"/>
                <w:b/>
                <w:bCs/>
              </w:rPr>
              <w:t>values</w:t>
            </w:r>
          </w:p>
        </w:tc>
        <w:tc>
          <w:tcPr>
            <w:tcW w:w="3041" w:type="dxa"/>
          </w:tcPr>
          <w:p w14:paraId="65473544" w14:textId="146AA8EE" w:rsidR="00BD6236" w:rsidRDefault="00BD6236" w:rsidP="00BD6236">
            <w:pPr>
              <w:spacing w:after="0" w:line="240" w:lineRule="auto"/>
              <w:jc w:val="both"/>
              <w:rPr>
                <w:rFonts w:ascii="Times New Roman" w:hAnsi="Times New Roman" w:cs="Times New Roman"/>
                <w:b/>
                <w:bCs/>
              </w:rPr>
            </w:pPr>
            <w:r>
              <w:rPr>
                <w:rFonts w:ascii="Times New Roman" w:hAnsi="Times New Roman" w:cs="Times New Roman"/>
                <w:b/>
                <w:bCs/>
              </w:rPr>
              <w:t xml:space="preserve">Normal </w:t>
            </w:r>
            <w:r w:rsidR="001304EF">
              <w:rPr>
                <w:rFonts w:ascii="Times New Roman" w:hAnsi="Times New Roman" w:cs="Times New Roman"/>
                <w:b/>
                <w:bCs/>
              </w:rPr>
              <w:t>values</w:t>
            </w:r>
          </w:p>
        </w:tc>
      </w:tr>
      <w:tr w:rsidR="00BD6236" w14:paraId="2B72004E" w14:textId="77777777" w:rsidTr="00BD6236">
        <w:trPr>
          <w:trHeight w:val="441"/>
        </w:trPr>
        <w:tc>
          <w:tcPr>
            <w:tcW w:w="3040" w:type="dxa"/>
          </w:tcPr>
          <w:p w14:paraId="00AF7D8B"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 xml:space="preserve">Alkaline phosphatase serum </w:t>
            </w:r>
          </w:p>
        </w:tc>
        <w:tc>
          <w:tcPr>
            <w:tcW w:w="3040" w:type="dxa"/>
          </w:tcPr>
          <w:p w14:paraId="676FE3A2"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110 U/I</w:t>
            </w:r>
          </w:p>
        </w:tc>
        <w:tc>
          <w:tcPr>
            <w:tcW w:w="3041" w:type="dxa"/>
          </w:tcPr>
          <w:p w14:paraId="4A7CA926"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42-98 U/I</w:t>
            </w:r>
          </w:p>
        </w:tc>
      </w:tr>
      <w:tr w:rsidR="00BD6236" w14:paraId="389BFC87" w14:textId="77777777" w:rsidTr="00BD6236">
        <w:trPr>
          <w:trHeight w:val="423"/>
        </w:trPr>
        <w:tc>
          <w:tcPr>
            <w:tcW w:w="3040" w:type="dxa"/>
          </w:tcPr>
          <w:p w14:paraId="4F828095"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Haemoglobin</w:t>
            </w:r>
          </w:p>
        </w:tc>
        <w:tc>
          <w:tcPr>
            <w:tcW w:w="3040" w:type="dxa"/>
          </w:tcPr>
          <w:p w14:paraId="5C8BC292"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10.4 gm%</w:t>
            </w:r>
          </w:p>
        </w:tc>
        <w:tc>
          <w:tcPr>
            <w:tcW w:w="3041" w:type="dxa"/>
          </w:tcPr>
          <w:p w14:paraId="78B45133"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11.9-15 gm%</w:t>
            </w:r>
          </w:p>
        </w:tc>
      </w:tr>
      <w:tr w:rsidR="00BD6236" w14:paraId="6BF2F003" w14:textId="77777777" w:rsidTr="00BD6236">
        <w:trPr>
          <w:trHeight w:val="441"/>
        </w:trPr>
        <w:tc>
          <w:tcPr>
            <w:tcW w:w="3040" w:type="dxa"/>
          </w:tcPr>
          <w:p w14:paraId="53338934"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TWBC</w:t>
            </w:r>
          </w:p>
        </w:tc>
        <w:tc>
          <w:tcPr>
            <w:tcW w:w="3040" w:type="dxa"/>
          </w:tcPr>
          <w:p w14:paraId="7B2378A3"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15.69 x10*</w:t>
            </w:r>
            <w:r>
              <w:rPr>
                <w:rFonts w:ascii="Times New Roman" w:hAnsi="Times New Roman" w:cs="Times New Roman"/>
                <w:vertAlign w:val="superscript"/>
              </w:rPr>
              <w:t xml:space="preserve">3 </w:t>
            </w:r>
            <w:r>
              <w:rPr>
                <w:rFonts w:ascii="Times New Roman" w:hAnsi="Times New Roman" w:cs="Times New Roman"/>
              </w:rPr>
              <w:t>cells/</w:t>
            </w:r>
            <w:proofErr w:type="spellStart"/>
            <w:r>
              <w:rPr>
                <w:rFonts w:ascii="Times New Roman" w:hAnsi="Times New Roman" w:cs="Times New Roman"/>
              </w:rPr>
              <w:t>uL</w:t>
            </w:r>
            <w:proofErr w:type="spellEnd"/>
          </w:p>
        </w:tc>
        <w:tc>
          <w:tcPr>
            <w:tcW w:w="3041" w:type="dxa"/>
          </w:tcPr>
          <w:p w14:paraId="1AD802DF"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4.0-11.0x10*</w:t>
            </w:r>
            <w:r>
              <w:rPr>
                <w:rFonts w:ascii="Times New Roman" w:hAnsi="Times New Roman" w:cs="Times New Roman"/>
                <w:vertAlign w:val="superscript"/>
              </w:rPr>
              <w:t xml:space="preserve">3 </w:t>
            </w:r>
            <w:r>
              <w:rPr>
                <w:rFonts w:ascii="Times New Roman" w:hAnsi="Times New Roman" w:cs="Times New Roman"/>
              </w:rPr>
              <w:t>cells/</w:t>
            </w:r>
            <w:proofErr w:type="spellStart"/>
            <w:r>
              <w:rPr>
                <w:rFonts w:ascii="Times New Roman" w:hAnsi="Times New Roman" w:cs="Times New Roman"/>
              </w:rPr>
              <w:t>uL</w:t>
            </w:r>
            <w:proofErr w:type="spellEnd"/>
          </w:p>
        </w:tc>
      </w:tr>
      <w:tr w:rsidR="00BD6236" w14:paraId="1E19819E" w14:textId="77777777" w:rsidTr="00BD6236">
        <w:trPr>
          <w:trHeight w:val="441"/>
        </w:trPr>
        <w:tc>
          <w:tcPr>
            <w:tcW w:w="3040" w:type="dxa"/>
          </w:tcPr>
          <w:p w14:paraId="61EE9C79"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PCV</w:t>
            </w:r>
          </w:p>
        </w:tc>
        <w:tc>
          <w:tcPr>
            <w:tcW w:w="3040" w:type="dxa"/>
          </w:tcPr>
          <w:p w14:paraId="19F5B1B0"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32.7%</w:t>
            </w:r>
          </w:p>
        </w:tc>
        <w:tc>
          <w:tcPr>
            <w:tcW w:w="3041" w:type="dxa"/>
          </w:tcPr>
          <w:p w14:paraId="01AE7DB7"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36-46 %</w:t>
            </w:r>
          </w:p>
        </w:tc>
      </w:tr>
      <w:tr w:rsidR="00BD6236" w14:paraId="3F463BFD" w14:textId="77777777" w:rsidTr="00BD6236">
        <w:trPr>
          <w:trHeight w:val="441"/>
        </w:trPr>
        <w:tc>
          <w:tcPr>
            <w:tcW w:w="3040" w:type="dxa"/>
          </w:tcPr>
          <w:p w14:paraId="538E3D5A"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MCV</w:t>
            </w:r>
          </w:p>
        </w:tc>
        <w:tc>
          <w:tcPr>
            <w:tcW w:w="3040" w:type="dxa"/>
          </w:tcPr>
          <w:p w14:paraId="12D483F5"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 xml:space="preserve">76.3 </w:t>
            </w:r>
            <w:proofErr w:type="spellStart"/>
            <w:r>
              <w:rPr>
                <w:rFonts w:ascii="Times New Roman" w:hAnsi="Times New Roman" w:cs="Times New Roman"/>
              </w:rPr>
              <w:t>fl</w:t>
            </w:r>
            <w:proofErr w:type="spellEnd"/>
          </w:p>
        </w:tc>
        <w:tc>
          <w:tcPr>
            <w:tcW w:w="3041" w:type="dxa"/>
          </w:tcPr>
          <w:p w14:paraId="7DD714CF"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 xml:space="preserve">83-101 </w:t>
            </w:r>
            <w:proofErr w:type="spellStart"/>
            <w:r>
              <w:rPr>
                <w:rFonts w:ascii="Times New Roman" w:hAnsi="Times New Roman" w:cs="Times New Roman"/>
              </w:rPr>
              <w:t>fl</w:t>
            </w:r>
            <w:proofErr w:type="spellEnd"/>
          </w:p>
        </w:tc>
      </w:tr>
      <w:tr w:rsidR="00BD6236" w14:paraId="762815BC" w14:textId="77777777" w:rsidTr="00BD6236">
        <w:trPr>
          <w:trHeight w:val="441"/>
        </w:trPr>
        <w:tc>
          <w:tcPr>
            <w:tcW w:w="3040" w:type="dxa"/>
          </w:tcPr>
          <w:p w14:paraId="04783D3E"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RDW-CV</w:t>
            </w:r>
          </w:p>
        </w:tc>
        <w:tc>
          <w:tcPr>
            <w:tcW w:w="3040" w:type="dxa"/>
          </w:tcPr>
          <w:p w14:paraId="13D22F52"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15%</w:t>
            </w:r>
          </w:p>
        </w:tc>
        <w:tc>
          <w:tcPr>
            <w:tcW w:w="3041" w:type="dxa"/>
          </w:tcPr>
          <w:p w14:paraId="016E0E52"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11.6-14%</w:t>
            </w:r>
          </w:p>
        </w:tc>
      </w:tr>
      <w:tr w:rsidR="00BD6236" w14:paraId="40AD2550" w14:textId="77777777" w:rsidTr="00BD6236">
        <w:trPr>
          <w:trHeight w:val="441"/>
        </w:trPr>
        <w:tc>
          <w:tcPr>
            <w:tcW w:w="3040" w:type="dxa"/>
          </w:tcPr>
          <w:p w14:paraId="7AD6C51B"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G6PDH ACTIVITY</w:t>
            </w:r>
          </w:p>
        </w:tc>
        <w:tc>
          <w:tcPr>
            <w:tcW w:w="3040" w:type="dxa"/>
          </w:tcPr>
          <w:p w14:paraId="1C549346"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53.2 IU/g HB</w:t>
            </w:r>
          </w:p>
        </w:tc>
        <w:tc>
          <w:tcPr>
            <w:tcW w:w="3041" w:type="dxa"/>
          </w:tcPr>
          <w:p w14:paraId="73A29EA5"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 xml:space="preserve"> 6.4-20.0 IU/g HB</w:t>
            </w:r>
          </w:p>
        </w:tc>
      </w:tr>
      <w:tr w:rsidR="00BD6236" w14:paraId="6E147C5D" w14:textId="77777777" w:rsidTr="00BD6236">
        <w:trPr>
          <w:trHeight w:val="441"/>
        </w:trPr>
        <w:tc>
          <w:tcPr>
            <w:tcW w:w="3040" w:type="dxa"/>
          </w:tcPr>
          <w:p w14:paraId="4D7D5430"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Post prandial blood glucose</w:t>
            </w:r>
          </w:p>
        </w:tc>
        <w:tc>
          <w:tcPr>
            <w:tcW w:w="3040" w:type="dxa"/>
          </w:tcPr>
          <w:p w14:paraId="5C13A561"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141 mg/dl</w:t>
            </w:r>
          </w:p>
        </w:tc>
        <w:tc>
          <w:tcPr>
            <w:tcW w:w="3041" w:type="dxa"/>
          </w:tcPr>
          <w:p w14:paraId="78BC624F" w14:textId="77777777" w:rsidR="00BD6236" w:rsidRDefault="00BD6236" w:rsidP="00BD6236">
            <w:pPr>
              <w:spacing w:after="0" w:line="240" w:lineRule="auto"/>
              <w:jc w:val="both"/>
              <w:rPr>
                <w:rFonts w:ascii="Times New Roman" w:hAnsi="Times New Roman" w:cs="Times New Roman"/>
              </w:rPr>
            </w:pPr>
            <w:r>
              <w:rPr>
                <w:rFonts w:ascii="Times New Roman" w:hAnsi="Times New Roman" w:cs="Times New Roman"/>
              </w:rPr>
              <w:t>70-140mg/dl</w:t>
            </w:r>
          </w:p>
        </w:tc>
      </w:tr>
    </w:tbl>
    <w:p w14:paraId="41B4E95E" w14:textId="22F3EBCE" w:rsidR="00BD6236" w:rsidRDefault="002108D1">
      <w:pPr>
        <w:jc w:val="both"/>
        <w:rPr>
          <w:rFonts w:ascii="Times New Roman" w:hAnsi="Times New Roman" w:cs="Times New Roman"/>
          <w:b/>
          <w:bCs/>
        </w:rPr>
      </w:pPr>
      <w:r>
        <w:rPr>
          <w:rFonts w:ascii="Times New Roman" w:hAnsi="Times New Roman" w:cs="Times New Roman"/>
          <w:b/>
          <w:bCs/>
        </w:rPr>
        <w:t>Clinical Findings</w:t>
      </w:r>
    </w:p>
    <w:p w14:paraId="4FCBB701" w14:textId="1CC567EF" w:rsidR="00BD6236" w:rsidRDefault="00BD6236">
      <w:pPr>
        <w:jc w:val="both"/>
        <w:rPr>
          <w:rFonts w:ascii="Times New Roman" w:hAnsi="Times New Roman" w:cs="Times New Roman"/>
          <w:b/>
          <w:bCs/>
        </w:rPr>
      </w:pPr>
      <w:r>
        <w:rPr>
          <w:rFonts w:ascii="Times New Roman" w:hAnsi="Times New Roman" w:cs="Times New Roman"/>
          <w:b/>
          <w:bCs/>
        </w:rPr>
        <w:t>Laboratory investigations revealed the following deranged parameters</w:t>
      </w:r>
      <w:r w:rsidR="001304EF">
        <w:rPr>
          <w:rFonts w:ascii="Times New Roman" w:hAnsi="Times New Roman" w:cs="Times New Roman"/>
          <w:b/>
          <w:bCs/>
        </w:rPr>
        <w:t>: Table 1</w:t>
      </w:r>
    </w:p>
    <w:p w14:paraId="417F6D04" w14:textId="77777777" w:rsidR="00BD6236" w:rsidRDefault="00BD6236">
      <w:pPr>
        <w:jc w:val="both"/>
        <w:rPr>
          <w:rFonts w:ascii="Times New Roman" w:hAnsi="Times New Roman" w:cs="Times New Roman"/>
          <w:b/>
          <w:bCs/>
        </w:rPr>
      </w:pPr>
    </w:p>
    <w:p w14:paraId="786723BE" w14:textId="77777777" w:rsidR="00B45275" w:rsidRDefault="00B45275">
      <w:pPr>
        <w:jc w:val="both"/>
        <w:rPr>
          <w:rFonts w:ascii="Times New Roman" w:hAnsi="Times New Roman" w:cs="Times New Roman"/>
          <w:b/>
          <w:bCs/>
        </w:rPr>
      </w:pPr>
    </w:p>
    <w:p w14:paraId="27D33852" w14:textId="284D8D24" w:rsidR="00B45275" w:rsidRDefault="00BD6236">
      <w:pPr>
        <w:jc w:val="both"/>
        <w:rPr>
          <w:rFonts w:ascii="Times New Roman" w:hAnsi="Times New Roman" w:cs="Times New Roman"/>
          <w:b/>
          <w:bCs/>
        </w:rPr>
      </w:pPr>
      <w:r>
        <w:rPr>
          <w:rFonts w:ascii="Times New Roman" w:hAnsi="Times New Roman" w:cs="Times New Roman"/>
          <w:b/>
          <w:bCs/>
        </w:rPr>
        <w:t xml:space="preserve"> Table 2: CULTURE-URINE</w:t>
      </w:r>
    </w:p>
    <w:p w14:paraId="6D2464D9" w14:textId="77777777" w:rsidR="00B45275" w:rsidRDefault="002108D1">
      <w:pPr>
        <w:jc w:val="both"/>
        <w:rPr>
          <w:rFonts w:ascii="Times New Roman" w:hAnsi="Times New Roman" w:cs="Times New Roman"/>
        </w:rPr>
      </w:pPr>
      <w:r>
        <w:rPr>
          <w:rFonts w:ascii="Times New Roman" w:hAnsi="Times New Roman" w:cs="Times New Roman"/>
        </w:rPr>
        <w:t>Enterococcus species &gt;100000CFU/ml</w:t>
      </w:r>
    </w:p>
    <w:tbl>
      <w:tblPr>
        <w:tblStyle w:val="TableGrid"/>
        <w:tblW w:w="9288" w:type="dxa"/>
        <w:tblLook w:val="04A0" w:firstRow="1" w:lastRow="0" w:firstColumn="1" w:lastColumn="0" w:noHBand="0" w:noVBand="1"/>
      </w:tblPr>
      <w:tblGrid>
        <w:gridCol w:w="4644"/>
        <w:gridCol w:w="4644"/>
      </w:tblGrid>
      <w:tr w:rsidR="00B45275" w14:paraId="7F92EFD7" w14:textId="77777777">
        <w:trPr>
          <w:trHeight w:val="397"/>
        </w:trPr>
        <w:tc>
          <w:tcPr>
            <w:tcW w:w="4644" w:type="dxa"/>
          </w:tcPr>
          <w:p w14:paraId="283DC87A" w14:textId="77777777" w:rsidR="00B45275" w:rsidRDefault="002108D1">
            <w:pPr>
              <w:spacing w:after="0" w:line="240" w:lineRule="auto"/>
              <w:jc w:val="both"/>
              <w:rPr>
                <w:rFonts w:ascii="Times New Roman" w:hAnsi="Times New Roman" w:cs="Times New Roman"/>
                <w:b/>
                <w:bCs/>
              </w:rPr>
            </w:pPr>
            <w:r>
              <w:rPr>
                <w:rFonts w:ascii="Times New Roman" w:hAnsi="Times New Roman" w:cs="Times New Roman"/>
                <w:b/>
                <w:bCs/>
              </w:rPr>
              <w:t>ANTI-MICROBIAL</w:t>
            </w:r>
          </w:p>
        </w:tc>
        <w:tc>
          <w:tcPr>
            <w:tcW w:w="4644" w:type="dxa"/>
          </w:tcPr>
          <w:p w14:paraId="6540BCAC" w14:textId="77777777" w:rsidR="00B45275" w:rsidRDefault="002108D1">
            <w:pPr>
              <w:spacing w:after="0" w:line="240" w:lineRule="auto"/>
              <w:jc w:val="both"/>
              <w:rPr>
                <w:rFonts w:ascii="Times New Roman" w:hAnsi="Times New Roman" w:cs="Times New Roman"/>
                <w:b/>
                <w:bCs/>
              </w:rPr>
            </w:pPr>
            <w:r>
              <w:rPr>
                <w:rFonts w:ascii="Times New Roman" w:hAnsi="Times New Roman" w:cs="Times New Roman"/>
                <w:b/>
                <w:bCs/>
              </w:rPr>
              <w:t>INTERPRETATION</w:t>
            </w:r>
          </w:p>
        </w:tc>
      </w:tr>
      <w:tr w:rsidR="00B45275" w14:paraId="060A97B2" w14:textId="77777777">
        <w:trPr>
          <w:trHeight w:val="397"/>
        </w:trPr>
        <w:tc>
          <w:tcPr>
            <w:tcW w:w="4644" w:type="dxa"/>
          </w:tcPr>
          <w:p w14:paraId="430817BF"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Fosfomycin</w:t>
            </w:r>
          </w:p>
          <w:p w14:paraId="2883D1FB" w14:textId="77777777" w:rsidR="00B45275" w:rsidRDefault="00B45275">
            <w:pPr>
              <w:spacing w:after="0" w:line="240" w:lineRule="auto"/>
              <w:jc w:val="both"/>
              <w:rPr>
                <w:rFonts w:ascii="Times New Roman" w:hAnsi="Times New Roman" w:cs="Times New Roman"/>
              </w:rPr>
            </w:pPr>
          </w:p>
        </w:tc>
        <w:tc>
          <w:tcPr>
            <w:tcW w:w="4644" w:type="dxa"/>
          </w:tcPr>
          <w:p w14:paraId="641B4A9F"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4AD55D47" w14:textId="77777777">
        <w:trPr>
          <w:trHeight w:val="381"/>
        </w:trPr>
        <w:tc>
          <w:tcPr>
            <w:tcW w:w="4644" w:type="dxa"/>
          </w:tcPr>
          <w:p w14:paraId="5F6A4AA6"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Nitrofurantoin</w:t>
            </w:r>
          </w:p>
          <w:p w14:paraId="0BBEAAFC" w14:textId="77777777" w:rsidR="00B45275" w:rsidRDefault="00B45275">
            <w:pPr>
              <w:spacing w:after="0" w:line="240" w:lineRule="auto"/>
              <w:jc w:val="both"/>
              <w:rPr>
                <w:rFonts w:ascii="Times New Roman" w:hAnsi="Times New Roman" w:cs="Times New Roman"/>
              </w:rPr>
            </w:pPr>
          </w:p>
        </w:tc>
        <w:tc>
          <w:tcPr>
            <w:tcW w:w="4644" w:type="dxa"/>
          </w:tcPr>
          <w:p w14:paraId="2CB22F82"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7D96D64F" w14:textId="77777777">
        <w:trPr>
          <w:trHeight w:val="397"/>
        </w:trPr>
        <w:tc>
          <w:tcPr>
            <w:tcW w:w="4644" w:type="dxa"/>
          </w:tcPr>
          <w:p w14:paraId="76683878"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Norfloxacin</w:t>
            </w:r>
          </w:p>
          <w:p w14:paraId="174B3EF8" w14:textId="77777777" w:rsidR="00B45275" w:rsidRDefault="00B45275">
            <w:pPr>
              <w:spacing w:after="0" w:line="240" w:lineRule="auto"/>
              <w:jc w:val="both"/>
              <w:rPr>
                <w:rFonts w:ascii="Times New Roman" w:hAnsi="Times New Roman" w:cs="Times New Roman"/>
              </w:rPr>
            </w:pPr>
          </w:p>
        </w:tc>
        <w:tc>
          <w:tcPr>
            <w:tcW w:w="4644" w:type="dxa"/>
          </w:tcPr>
          <w:p w14:paraId="3CBB6ECF"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0F5548E1" w14:textId="77777777">
        <w:trPr>
          <w:trHeight w:val="397"/>
        </w:trPr>
        <w:tc>
          <w:tcPr>
            <w:tcW w:w="4644" w:type="dxa"/>
          </w:tcPr>
          <w:p w14:paraId="1EA8901C"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Ampicillin</w:t>
            </w:r>
          </w:p>
          <w:p w14:paraId="43AD3BF1" w14:textId="77777777" w:rsidR="00B45275" w:rsidRDefault="00B45275">
            <w:pPr>
              <w:spacing w:after="0" w:line="240" w:lineRule="auto"/>
              <w:jc w:val="both"/>
              <w:rPr>
                <w:rFonts w:ascii="Times New Roman" w:hAnsi="Times New Roman" w:cs="Times New Roman"/>
              </w:rPr>
            </w:pPr>
          </w:p>
        </w:tc>
        <w:tc>
          <w:tcPr>
            <w:tcW w:w="4644" w:type="dxa"/>
          </w:tcPr>
          <w:p w14:paraId="67E1681C"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Sensitive</w:t>
            </w:r>
          </w:p>
          <w:p w14:paraId="4D63F906" w14:textId="77777777" w:rsidR="00B45275" w:rsidRDefault="00B45275">
            <w:pPr>
              <w:spacing w:after="0" w:line="240" w:lineRule="auto"/>
              <w:jc w:val="both"/>
              <w:rPr>
                <w:rFonts w:ascii="Times New Roman" w:hAnsi="Times New Roman" w:cs="Times New Roman"/>
              </w:rPr>
            </w:pPr>
          </w:p>
        </w:tc>
      </w:tr>
      <w:tr w:rsidR="00B45275" w14:paraId="64D88B90" w14:textId="77777777">
        <w:trPr>
          <w:trHeight w:val="397"/>
        </w:trPr>
        <w:tc>
          <w:tcPr>
            <w:tcW w:w="4644" w:type="dxa"/>
          </w:tcPr>
          <w:p w14:paraId="55D99037" w14:textId="77777777" w:rsidR="00B45275" w:rsidRDefault="002108D1">
            <w:pPr>
              <w:spacing w:after="0" w:line="240" w:lineRule="auto"/>
              <w:jc w:val="both"/>
              <w:rPr>
                <w:rFonts w:ascii="Times New Roman" w:hAnsi="Times New Roman" w:cs="Times New Roman"/>
              </w:rPr>
            </w:pPr>
            <w:proofErr w:type="spellStart"/>
            <w:r>
              <w:rPr>
                <w:rFonts w:ascii="Times New Roman" w:hAnsi="Times New Roman" w:cs="Times New Roman"/>
              </w:rPr>
              <w:t>Pencillin</w:t>
            </w:r>
            <w:proofErr w:type="spellEnd"/>
          </w:p>
          <w:p w14:paraId="167E7BD4" w14:textId="77777777" w:rsidR="00B45275" w:rsidRDefault="00B45275">
            <w:pPr>
              <w:spacing w:after="0" w:line="240" w:lineRule="auto"/>
              <w:jc w:val="both"/>
              <w:rPr>
                <w:rFonts w:ascii="Times New Roman" w:hAnsi="Times New Roman" w:cs="Times New Roman"/>
              </w:rPr>
            </w:pPr>
          </w:p>
        </w:tc>
        <w:tc>
          <w:tcPr>
            <w:tcW w:w="4644" w:type="dxa"/>
          </w:tcPr>
          <w:p w14:paraId="0D61326F"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394434FF" w14:textId="77777777">
        <w:trPr>
          <w:trHeight w:val="397"/>
        </w:trPr>
        <w:tc>
          <w:tcPr>
            <w:tcW w:w="4644" w:type="dxa"/>
          </w:tcPr>
          <w:p w14:paraId="626EF8D7"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Erythromycin</w:t>
            </w:r>
          </w:p>
          <w:p w14:paraId="564D2EAA" w14:textId="77777777" w:rsidR="00B45275" w:rsidRDefault="00B45275">
            <w:pPr>
              <w:spacing w:after="0" w:line="240" w:lineRule="auto"/>
              <w:jc w:val="both"/>
              <w:rPr>
                <w:rFonts w:ascii="Times New Roman" w:hAnsi="Times New Roman" w:cs="Times New Roman"/>
              </w:rPr>
            </w:pPr>
          </w:p>
        </w:tc>
        <w:tc>
          <w:tcPr>
            <w:tcW w:w="4644" w:type="dxa"/>
          </w:tcPr>
          <w:p w14:paraId="6A041270"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7211DA69" w14:textId="77777777">
        <w:trPr>
          <w:trHeight w:val="397"/>
        </w:trPr>
        <w:tc>
          <w:tcPr>
            <w:tcW w:w="4644" w:type="dxa"/>
          </w:tcPr>
          <w:p w14:paraId="08B1DA1B"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lastRenderedPageBreak/>
              <w:t>Vancomycin</w:t>
            </w:r>
          </w:p>
          <w:p w14:paraId="2A08EB84" w14:textId="77777777" w:rsidR="00B45275" w:rsidRDefault="00B45275">
            <w:pPr>
              <w:spacing w:after="0" w:line="240" w:lineRule="auto"/>
              <w:jc w:val="both"/>
              <w:rPr>
                <w:rFonts w:ascii="Times New Roman" w:hAnsi="Times New Roman" w:cs="Times New Roman"/>
              </w:rPr>
            </w:pPr>
          </w:p>
        </w:tc>
        <w:tc>
          <w:tcPr>
            <w:tcW w:w="4644" w:type="dxa"/>
          </w:tcPr>
          <w:p w14:paraId="333FF927"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Sensitive</w:t>
            </w:r>
          </w:p>
          <w:p w14:paraId="38460A9C" w14:textId="77777777" w:rsidR="00B45275" w:rsidRDefault="00B45275">
            <w:pPr>
              <w:spacing w:after="0" w:line="240" w:lineRule="auto"/>
              <w:jc w:val="both"/>
              <w:rPr>
                <w:rFonts w:ascii="Times New Roman" w:hAnsi="Times New Roman" w:cs="Times New Roman"/>
              </w:rPr>
            </w:pPr>
          </w:p>
        </w:tc>
      </w:tr>
      <w:tr w:rsidR="00B45275" w14:paraId="55489D4E" w14:textId="77777777">
        <w:trPr>
          <w:trHeight w:val="381"/>
        </w:trPr>
        <w:tc>
          <w:tcPr>
            <w:tcW w:w="4644" w:type="dxa"/>
          </w:tcPr>
          <w:p w14:paraId="31F4E2E2"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Teicoplanin</w:t>
            </w:r>
          </w:p>
          <w:p w14:paraId="1AB0D1F1" w14:textId="77777777" w:rsidR="00B45275" w:rsidRDefault="00B45275">
            <w:pPr>
              <w:spacing w:after="0" w:line="240" w:lineRule="auto"/>
              <w:jc w:val="both"/>
              <w:rPr>
                <w:rFonts w:ascii="Times New Roman" w:hAnsi="Times New Roman" w:cs="Times New Roman"/>
              </w:rPr>
            </w:pPr>
          </w:p>
        </w:tc>
        <w:tc>
          <w:tcPr>
            <w:tcW w:w="4644" w:type="dxa"/>
          </w:tcPr>
          <w:p w14:paraId="0C72DC3A"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Sensitive</w:t>
            </w:r>
          </w:p>
          <w:p w14:paraId="2D775019" w14:textId="77777777" w:rsidR="00B45275" w:rsidRDefault="00B45275">
            <w:pPr>
              <w:spacing w:after="0" w:line="240" w:lineRule="auto"/>
              <w:jc w:val="both"/>
              <w:rPr>
                <w:rFonts w:ascii="Times New Roman" w:hAnsi="Times New Roman" w:cs="Times New Roman"/>
              </w:rPr>
            </w:pPr>
          </w:p>
        </w:tc>
      </w:tr>
      <w:tr w:rsidR="00B45275" w14:paraId="142B24FE" w14:textId="77777777">
        <w:trPr>
          <w:trHeight w:val="381"/>
        </w:trPr>
        <w:tc>
          <w:tcPr>
            <w:tcW w:w="4644" w:type="dxa"/>
          </w:tcPr>
          <w:p w14:paraId="5DC7AB73"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Linezolid</w:t>
            </w:r>
          </w:p>
          <w:p w14:paraId="50094D1E" w14:textId="77777777" w:rsidR="00B45275" w:rsidRDefault="00B45275">
            <w:pPr>
              <w:spacing w:after="0" w:line="240" w:lineRule="auto"/>
              <w:jc w:val="both"/>
              <w:rPr>
                <w:rFonts w:ascii="Times New Roman" w:hAnsi="Times New Roman" w:cs="Times New Roman"/>
              </w:rPr>
            </w:pPr>
          </w:p>
        </w:tc>
        <w:tc>
          <w:tcPr>
            <w:tcW w:w="4644" w:type="dxa"/>
          </w:tcPr>
          <w:p w14:paraId="0FE058C9"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Sensitive</w:t>
            </w:r>
          </w:p>
          <w:p w14:paraId="2CBAC52D" w14:textId="77777777" w:rsidR="00B45275" w:rsidRDefault="00B45275">
            <w:pPr>
              <w:spacing w:after="0" w:line="240" w:lineRule="auto"/>
              <w:jc w:val="both"/>
              <w:rPr>
                <w:rFonts w:ascii="Times New Roman" w:hAnsi="Times New Roman" w:cs="Times New Roman"/>
              </w:rPr>
            </w:pPr>
          </w:p>
        </w:tc>
      </w:tr>
      <w:tr w:rsidR="00B45275" w14:paraId="3FF42239" w14:textId="77777777">
        <w:trPr>
          <w:trHeight w:val="381"/>
        </w:trPr>
        <w:tc>
          <w:tcPr>
            <w:tcW w:w="4644" w:type="dxa"/>
          </w:tcPr>
          <w:p w14:paraId="5636EF5A"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High Level </w:t>
            </w:r>
            <w:proofErr w:type="gramStart"/>
            <w:r>
              <w:rPr>
                <w:rFonts w:ascii="Times New Roman" w:hAnsi="Times New Roman" w:cs="Times New Roman"/>
              </w:rPr>
              <w:t>Gentamycin(</w:t>
            </w:r>
            <w:proofErr w:type="gramEnd"/>
            <w:r>
              <w:rPr>
                <w:rFonts w:ascii="Times New Roman" w:hAnsi="Times New Roman" w:cs="Times New Roman"/>
              </w:rPr>
              <w:t>HLG)</w:t>
            </w:r>
          </w:p>
        </w:tc>
        <w:tc>
          <w:tcPr>
            <w:tcW w:w="4644" w:type="dxa"/>
          </w:tcPr>
          <w:p w14:paraId="148929B0"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Sensitive</w:t>
            </w:r>
          </w:p>
          <w:p w14:paraId="6D10FE2E" w14:textId="77777777" w:rsidR="00B45275" w:rsidRDefault="00B45275">
            <w:pPr>
              <w:spacing w:after="0" w:line="240" w:lineRule="auto"/>
              <w:jc w:val="both"/>
              <w:rPr>
                <w:rFonts w:ascii="Times New Roman" w:hAnsi="Times New Roman" w:cs="Times New Roman"/>
              </w:rPr>
            </w:pPr>
          </w:p>
        </w:tc>
      </w:tr>
    </w:tbl>
    <w:p w14:paraId="13D1B3C2" w14:textId="77777777" w:rsidR="00B45275" w:rsidRDefault="00B45275">
      <w:pPr>
        <w:jc w:val="both"/>
        <w:rPr>
          <w:rFonts w:ascii="Times New Roman" w:hAnsi="Times New Roman" w:cs="Times New Roman"/>
        </w:rPr>
      </w:pPr>
    </w:p>
    <w:p w14:paraId="6EE9E527" w14:textId="3567C9C6" w:rsidR="00B45275" w:rsidRDefault="00BD6236">
      <w:pPr>
        <w:jc w:val="both"/>
        <w:rPr>
          <w:rFonts w:ascii="Times New Roman" w:hAnsi="Times New Roman" w:cs="Times New Roman"/>
          <w:b/>
          <w:bCs/>
        </w:rPr>
      </w:pPr>
      <w:r>
        <w:rPr>
          <w:rFonts w:ascii="Times New Roman" w:hAnsi="Times New Roman" w:cs="Times New Roman"/>
          <w:b/>
          <w:bCs/>
        </w:rPr>
        <w:t>Table 3: CULTURE-PUS</w:t>
      </w:r>
    </w:p>
    <w:p w14:paraId="1E08F48B" w14:textId="77777777" w:rsidR="00B45275" w:rsidRDefault="002108D1">
      <w:pPr>
        <w:jc w:val="both"/>
        <w:rPr>
          <w:rFonts w:ascii="Times New Roman" w:hAnsi="Times New Roman" w:cs="Times New Roman"/>
          <w:sz w:val="28"/>
          <w:szCs w:val="28"/>
        </w:rPr>
      </w:pPr>
      <w:r>
        <w:rPr>
          <w:rFonts w:ascii="Times New Roman" w:hAnsi="Times New Roman" w:cs="Times New Roman"/>
          <w:sz w:val="28"/>
          <w:szCs w:val="28"/>
        </w:rPr>
        <w:t xml:space="preserve">ENTEROCOCCUS SPECIES </w:t>
      </w:r>
    </w:p>
    <w:tbl>
      <w:tblPr>
        <w:tblStyle w:val="TableGrid"/>
        <w:tblW w:w="9228" w:type="dxa"/>
        <w:tblLook w:val="04A0" w:firstRow="1" w:lastRow="0" w:firstColumn="1" w:lastColumn="0" w:noHBand="0" w:noVBand="1"/>
      </w:tblPr>
      <w:tblGrid>
        <w:gridCol w:w="4614"/>
        <w:gridCol w:w="4614"/>
      </w:tblGrid>
      <w:tr w:rsidR="00B45275" w14:paraId="0260F3FB" w14:textId="77777777">
        <w:trPr>
          <w:trHeight w:val="283"/>
        </w:trPr>
        <w:tc>
          <w:tcPr>
            <w:tcW w:w="4614" w:type="dxa"/>
          </w:tcPr>
          <w:p w14:paraId="589A3736"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b/>
                <w:bCs/>
              </w:rPr>
              <w:t>ANTI-MICROBIAL</w:t>
            </w:r>
          </w:p>
        </w:tc>
        <w:tc>
          <w:tcPr>
            <w:tcW w:w="4614" w:type="dxa"/>
          </w:tcPr>
          <w:p w14:paraId="2F44EDBB"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b/>
                <w:bCs/>
              </w:rPr>
              <w:t>INTERPRETATION</w:t>
            </w:r>
          </w:p>
        </w:tc>
      </w:tr>
      <w:tr w:rsidR="00B45275" w14:paraId="7C93B306" w14:textId="77777777">
        <w:trPr>
          <w:trHeight w:val="554"/>
        </w:trPr>
        <w:tc>
          <w:tcPr>
            <w:tcW w:w="4614" w:type="dxa"/>
          </w:tcPr>
          <w:p w14:paraId="5C7C9DE1"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Ampicillin</w:t>
            </w:r>
          </w:p>
          <w:p w14:paraId="33C19556" w14:textId="77777777" w:rsidR="00B45275" w:rsidRDefault="00B45275">
            <w:pPr>
              <w:spacing w:after="0" w:line="240" w:lineRule="auto"/>
              <w:jc w:val="both"/>
              <w:rPr>
                <w:rFonts w:ascii="Times New Roman" w:hAnsi="Times New Roman" w:cs="Times New Roman"/>
              </w:rPr>
            </w:pPr>
          </w:p>
        </w:tc>
        <w:tc>
          <w:tcPr>
            <w:tcW w:w="4614" w:type="dxa"/>
          </w:tcPr>
          <w:p w14:paraId="248AD17F"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5F737C0E" w14:textId="77777777">
        <w:trPr>
          <w:trHeight w:val="567"/>
        </w:trPr>
        <w:tc>
          <w:tcPr>
            <w:tcW w:w="4614" w:type="dxa"/>
          </w:tcPr>
          <w:p w14:paraId="4947EEBB" w14:textId="4D347B55" w:rsidR="00B45275" w:rsidRDefault="002108D1">
            <w:pPr>
              <w:spacing w:after="0" w:line="240" w:lineRule="auto"/>
              <w:jc w:val="both"/>
              <w:rPr>
                <w:rFonts w:ascii="Times New Roman" w:hAnsi="Times New Roman" w:cs="Times New Roman"/>
              </w:rPr>
            </w:pPr>
            <w:r>
              <w:rPr>
                <w:rFonts w:ascii="Times New Roman" w:hAnsi="Times New Roman" w:cs="Times New Roman"/>
              </w:rPr>
              <w:t>Pen</w:t>
            </w:r>
            <w:r w:rsidR="005F64A9">
              <w:rPr>
                <w:rFonts w:ascii="Times New Roman" w:hAnsi="Times New Roman" w:cs="Times New Roman"/>
              </w:rPr>
              <w:t>i</w:t>
            </w:r>
            <w:r>
              <w:rPr>
                <w:rFonts w:ascii="Times New Roman" w:hAnsi="Times New Roman" w:cs="Times New Roman"/>
              </w:rPr>
              <w:t>c</w:t>
            </w:r>
            <w:r w:rsidR="005F64A9">
              <w:rPr>
                <w:rFonts w:ascii="Times New Roman" w:hAnsi="Times New Roman" w:cs="Times New Roman"/>
              </w:rPr>
              <w:t>illin</w:t>
            </w:r>
          </w:p>
          <w:p w14:paraId="679E5805" w14:textId="77777777" w:rsidR="00B45275" w:rsidRDefault="00B45275">
            <w:pPr>
              <w:spacing w:after="0" w:line="240" w:lineRule="auto"/>
              <w:jc w:val="both"/>
              <w:rPr>
                <w:rFonts w:ascii="Times New Roman" w:hAnsi="Times New Roman" w:cs="Times New Roman"/>
              </w:rPr>
            </w:pPr>
          </w:p>
        </w:tc>
        <w:tc>
          <w:tcPr>
            <w:tcW w:w="4614" w:type="dxa"/>
          </w:tcPr>
          <w:p w14:paraId="40A39AB9"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Resistant </w:t>
            </w:r>
          </w:p>
        </w:tc>
      </w:tr>
      <w:tr w:rsidR="00B45275" w14:paraId="3449AD16" w14:textId="77777777">
        <w:trPr>
          <w:trHeight w:val="567"/>
        </w:trPr>
        <w:tc>
          <w:tcPr>
            <w:tcW w:w="4614" w:type="dxa"/>
          </w:tcPr>
          <w:p w14:paraId="6C6AFE8C"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Erythromycin</w:t>
            </w:r>
          </w:p>
          <w:p w14:paraId="5FB43C6A" w14:textId="77777777" w:rsidR="00B45275" w:rsidRDefault="00B45275">
            <w:pPr>
              <w:spacing w:after="0" w:line="240" w:lineRule="auto"/>
              <w:jc w:val="both"/>
              <w:rPr>
                <w:rFonts w:ascii="Times New Roman" w:hAnsi="Times New Roman" w:cs="Times New Roman"/>
              </w:rPr>
            </w:pPr>
          </w:p>
        </w:tc>
        <w:tc>
          <w:tcPr>
            <w:tcW w:w="4614" w:type="dxa"/>
          </w:tcPr>
          <w:p w14:paraId="207E9C94"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Resistant </w:t>
            </w:r>
          </w:p>
        </w:tc>
      </w:tr>
      <w:tr w:rsidR="00B45275" w14:paraId="7FFA1C22" w14:textId="77777777">
        <w:trPr>
          <w:trHeight w:val="554"/>
        </w:trPr>
        <w:tc>
          <w:tcPr>
            <w:tcW w:w="4614" w:type="dxa"/>
          </w:tcPr>
          <w:p w14:paraId="0981FE3C"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Vancomycin</w:t>
            </w:r>
          </w:p>
          <w:p w14:paraId="5B030416" w14:textId="77777777" w:rsidR="00B45275" w:rsidRDefault="00B45275">
            <w:pPr>
              <w:spacing w:after="0" w:line="240" w:lineRule="auto"/>
              <w:jc w:val="both"/>
              <w:rPr>
                <w:rFonts w:ascii="Times New Roman" w:hAnsi="Times New Roman" w:cs="Times New Roman"/>
              </w:rPr>
            </w:pPr>
          </w:p>
        </w:tc>
        <w:tc>
          <w:tcPr>
            <w:tcW w:w="4614" w:type="dxa"/>
          </w:tcPr>
          <w:p w14:paraId="1DC093FD"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5C86D262" w14:textId="77777777">
        <w:trPr>
          <w:trHeight w:val="567"/>
        </w:trPr>
        <w:tc>
          <w:tcPr>
            <w:tcW w:w="4614" w:type="dxa"/>
          </w:tcPr>
          <w:p w14:paraId="391652A4"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Teicoplanin</w:t>
            </w:r>
          </w:p>
          <w:p w14:paraId="286D3505" w14:textId="77777777" w:rsidR="00B45275" w:rsidRDefault="00B45275">
            <w:pPr>
              <w:spacing w:after="0" w:line="240" w:lineRule="auto"/>
              <w:jc w:val="both"/>
              <w:rPr>
                <w:rFonts w:ascii="Times New Roman" w:hAnsi="Times New Roman" w:cs="Times New Roman"/>
              </w:rPr>
            </w:pPr>
          </w:p>
        </w:tc>
        <w:tc>
          <w:tcPr>
            <w:tcW w:w="4614" w:type="dxa"/>
          </w:tcPr>
          <w:p w14:paraId="0097D9B0"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6F98A605" w14:textId="77777777">
        <w:trPr>
          <w:trHeight w:val="567"/>
        </w:trPr>
        <w:tc>
          <w:tcPr>
            <w:tcW w:w="4614" w:type="dxa"/>
          </w:tcPr>
          <w:p w14:paraId="3B41E234"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Linezolid</w:t>
            </w:r>
          </w:p>
          <w:p w14:paraId="698FB9B5" w14:textId="77777777" w:rsidR="00B45275" w:rsidRDefault="00B45275">
            <w:pPr>
              <w:spacing w:after="0" w:line="240" w:lineRule="auto"/>
              <w:jc w:val="both"/>
              <w:rPr>
                <w:rFonts w:ascii="Times New Roman" w:hAnsi="Times New Roman" w:cs="Times New Roman"/>
              </w:rPr>
            </w:pPr>
          </w:p>
        </w:tc>
        <w:tc>
          <w:tcPr>
            <w:tcW w:w="4614" w:type="dxa"/>
          </w:tcPr>
          <w:p w14:paraId="49D44645"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52DA3944" w14:textId="77777777">
        <w:trPr>
          <w:trHeight w:val="445"/>
        </w:trPr>
        <w:tc>
          <w:tcPr>
            <w:tcW w:w="4614" w:type="dxa"/>
          </w:tcPr>
          <w:p w14:paraId="4E260FAB"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Ciprofloxacin</w:t>
            </w:r>
          </w:p>
        </w:tc>
        <w:tc>
          <w:tcPr>
            <w:tcW w:w="4614" w:type="dxa"/>
          </w:tcPr>
          <w:p w14:paraId="2533E4B8"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34B332F2" w14:textId="77777777">
        <w:trPr>
          <w:trHeight w:val="700"/>
        </w:trPr>
        <w:tc>
          <w:tcPr>
            <w:tcW w:w="4614" w:type="dxa"/>
          </w:tcPr>
          <w:p w14:paraId="18D3B80D"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High Level </w:t>
            </w:r>
            <w:proofErr w:type="gramStart"/>
            <w:r>
              <w:rPr>
                <w:rFonts w:ascii="Times New Roman" w:hAnsi="Times New Roman" w:cs="Times New Roman"/>
              </w:rPr>
              <w:t>Gentamycin(</w:t>
            </w:r>
            <w:proofErr w:type="gramEnd"/>
            <w:r>
              <w:rPr>
                <w:rFonts w:ascii="Times New Roman" w:hAnsi="Times New Roman" w:cs="Times New Roman"/>
              </w:rPr>
              <w:t>HLG)</w:t>
            </w:r>
          </w:p>
        </w:tc>
        <w:tc>
          <w:tcPr>
            <w:tcW w:w="4614" w:type="dxa"/>
          </w:tcPr>
          <w:p w14:paraId="0D48961B" w14:textId="77777777" w:rsidR="00B45275" w:rsidRDefault="002108D1">
            <w:pPr>
              <w:spacing w:after="0" w:line="240" w:lineRule="auto"/>
              <w:jc w:val="both"/>
              <w:rPr>
                <w:rFonts w:ascii="Times New Roman" w:hAnsi="Times New Roman" w:cs="Times New Roman"/>
              </w:rPr>
            </w:pPr>
            <w:r>
              <w:rPr>
                <w:rFonts w:ascii="Times New Roman" w:hAnsi="Times New Roman" w:cs="Times New Roman"/>
              </w:rPr>
              <w:t xml:space="preserve">Sensitive </w:t>
            </w:r>
          </w:p>
        </w:tc>
      </w:tr>
    </w:tbl>
    <w:p w14:paraId="59B63D09" w14:textId="77777777" w:rsidR="00B45275" w:rsidRDefault="00B45275">
      <w:pPr>
        <w:jc w:val="both"/>
        <w:rPr>
          <w:rFonts w:ascii="Times New Roman" w:hAnsi="Times New Roman" w:cs="Times New Roman"/>
        </w:rPr>
      </w:pPr>
    </w:p>
    <w:p w14:paraId="3F507B47" w14:textId="5F715235" w:rsidR="00B45275" w:rsidRDefault="00BD6236">
      <w:pPr>
        <w:jc w:val="both"/>
        <w:rPr>
          <w:rFonts w:ascii="Times New Roman" w:hAnsi="Times New Roman" w:cs="Times New Roman"/>
        </w:rPr>
      </w:pPr>
      <w:r w:rsidRPr="00BD6236">
        <w:rPr>
          <w:rFonts w:ascii="Times New Roman" w:hAnsi="Times New Roman" w:cs="Times New Roman"/>
          <w:b/>
          <w:bCs/>
        </w:rPr>
        <w:t>Table 4</w:t>
      </w:r>
      <w:r>
        <w:rPr>
          <w:rFonts w:ascii="Times New Roman" w:hAnsi="Times New Roman" w:cs="Times New Roman"/>
        </w:rPr>
        <w:t xml:space="preserve">: PROTEUS MIRABILIS </w:t>
      </w:r>
    </w:p>
    <w:tbl>
      <w:tblPr>
        <w:tblStyle w:val="TableGrid"/>
        <w:tblW w:w="0" w:type="auto"/>
        <w:tblLook w:val="04A0" w:firstRow="1" w:lastRow="0" w:firstColumn="1" w:lastColumn="0" w:noHBand="0" w:noVBand="1"/>
      </w:tblPr>
      <w:tblGrid>
        <w:gridCol w:w="4448"/>
        <w:gridCol w:w="4448"/>
      </w:tblGrid>
      <w:tr w:rsidR="00B45275" w14:paraId="71CB3C7F" w14:textId="77777777">
        <w:trPr>
          <w:trHeight w:val="236"/>
        </w:trPr>
        <w:tc>
          <w:tcPr>
            <w:tcW w:w="4448" w:type="dxa"/>
          </w:tcPr>
          <w:p w14:paraId="0D963A0C"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b/>
                <w:bCs/>
              </w:rPr>
              <w:t>ANTI-MICROBIAL</w:t>
            </w:r>
          </w:p>
        </w:tc>
        <w:tc>
          <w:tcPr>
            <w:tcW w:w="4448" w:type="dxa"/>
          </w:tcPr>
          <w:p w14:paraId="573D9D5F"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b/>
                <w:bCs/>
              </w:rPr>
              <w:t>INTERPRETATION</w:t>
            </w:r>
          </w:p>
        </w:tc>
      </w:tr>
      <w:tr w:rsidR="00B45275" w14:paraId="49B3C99B" w14:textId="77777777">
        <w:trPr>
          <w:trHeight w:val="544"/>
        </w:trPr>
        <w:tc>
          <w:tcPr>
            <w:tcW w:w="4448" w:type="dxa"/>
          </w:tcPr>
          <w:p w14:paraId="1CDCBF10"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Meropenem</w:t>
            </w:r>
          </w:p>
          <w:p w14:paraId="5B9A8414"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51C9E71B"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2DC55B89" w14:textId="77777777">
        <w:trPr>
          <w:trHeight w:val="555"/>
        </w:trPr>
        <w:tc>
          <w:tcPr>
            <w:tcW w:w="4448" w:type="dxa"/>
          </w:tcPr>
          <w:p w14:paraId="114A0E23"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Cefpodoxime</w:t>
            </w:r>
          </w:p>
          <w:p w14:paraId="610D0B7C"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4C7E8BC8"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31C6ABFA" w14:textId="77777777">
        <w:trPr>
          <w:trHeight w:val="544"/>
        </w:trPr>
        <w:tc>
          <w:tcPr>
            <w:tcW w:w="4448" w:type="dxa"/>
          </w:tcPr>
          <w:p w14:paraId="0755757C"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Ciprofloxacin</w:t>
            </w:r>
          </w:p>
          <w:p w14:paraId="7488B9EF"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3C520640"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37EF24F1" w14:textId="77777777">
        <w:trPr>
          <w:trHeight w:val="555"/>
        </w:trPr>
        <w:tc>
          <w:tcPr>
            <w:tcW w:w="4448" w:type="dxa"/>
          </w:tcPr>
          <w:p w14:paraId="2DC070C9"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Cefepime</w:t>
            </w:r>
          </w:p>
          <w:p w14:paraId="4AB39620"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669331EC"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489C7EFC" w14:textId="77777777">
        <w:trPr>
          <w:trHeight w:val="544"/>
        </w:trPr>
        <w:tc>
          <w:tcPr>
            <w:tcW w:w="4448" w:type="dxa"/>
          </w:tcPr>
          <w:p w14:paraId="6C691534" w14:textId="3FB1D66B"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Amox</w:t>
            </w:r>
            <w:r w:rsidR="005F64A9">
              <w:rPr>
                <w:rFonts w:ascii="Times New Roman" w:hAnsi="Times New Roman" w:cs="Times New Roman"/>
                <w:sz w:val="28"/>
                <w:szCs w:val="28"/>
              </w:rPr>
              <w:t>icillin and Clavulanic acid</w:t>
            </w:r>
          </w:p>
          <w:p w14:paraId="165F5C10"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635B8224"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107DB872" w14:textId="77777777">
        <w:trPr>
          <w:trHeight w:val="555"/>
        </w:trPr>
        <w:tc>
          <w:tcPr>
            <w:tcW w:w="4448" w:type="dxa"/>
          </w:tcPr>
          <w:p w14:paraId="36C07692"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Cefotaxime</w:t>
            </w:r>
          </w:p>
          <w:p w14:paraId="10917D88"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3889909D"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5290CDEA" w14:textId="77777777">
        <w:trPr>
          <w:trHeight w:val="544"/>
        </w:trPr>
        <w:tc>
          <w:tcPr>
            <w:tcW w:w="4448" w:type="dxa"/>
          </w:tcPr>
          <w:p w14:paraId="4219A5FC" w14:textId="5503CBE2"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Piperacillin</w:t>
            </w:r>
            <w:r w:rsidR="005F64A9">
              <w:rPr>
                <w:rFonts w:ascii="Times New Roman" w:hAnsi="Times New Roman" w:cs="Times New Roman"/>
                <w:sz w:val="28"/>
                <w:szCs w:val="28"/>
              </w:rPr>
              <w:t xml:space="preserve"> </w:t>
            </w:r>
            <w:proofErr w:type="spellStart"/>
            <w:r>
              <w:rPr>
                <w:rFonts w:ascii="Times New Roman" w:hAnsi="Times New Roman" w:cs="Times New Roman"/>
                <w:sz w:val="28"/>
                <w:szCs w:val="28"/>
              </w:rPr>
              <w:t>Tazobactum</w:t>
            </w:r>
            <w:proofErr w:type="spellEnd"/>
          </w:p>
          <w:p w14:paraId="6D0193B4"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708C5474"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1EC7D274" w14:textId="77777777">
        <w:trPr>
          <w:trHeight w:val="555"/>
        </w:trPr>
        <w:tc>
          <w:tcPr>
            <w:tcW w:w="4448" w:type="dxa"/>
          </w:tcPr>
          <w:p w14:paraId="183879E1"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Amikacin</w:t>
            </w:r>
          </w:p>
          <w:p w14:paraId="49A8677B"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5C96C31B"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1EE0EC9A" w14:textId="77777777">
        <w:trPr>
          <w:trHeight w:val="544"/>
        </w:trPr>
        <w:tc>
          <w:tcPr>
            <w:tcW w:w="4448" w:type="dxa"/>
          </w:tcPr>
          <w:p w14:paraId="72E17857"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Ceftriaxone</w:t>
            </w:r>
          </w:p>
          <w:p w14:paraId="4ED29764"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0006C5DA"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1832F818" w14:textId="77777777">
        <w:trPr>
          <w:trHeight w:val="555"/>
        </w:trPr>
        <w:tc>
          <w:tcPr>
            <w:tcW w:w="4448" w:type="dxa"/>
          </w:tcPr>
          <w:p w14:paraId="35E19076"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Cotrimoxazole</w:t>
            </w:r>
          </w:p>
          <w:p w14:paraId="296FCF0B"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41669A1C"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646C2DBC" w14:textId="77777777">
        <w:trPr>
          <w:trHeight w:val="544"/>
        </w:trPr>
        <w:tc>
          <w:tcPr>
            <w:tcW w:w="4448" w:type="dxa"/>
          </w:tcPr>
          <w:p w14:paraId="766474FA" w14:textId="77777777" w:rsidR="00B45275" w:rsidRDefault="002108D1">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Cefoperazone</w:t>
            </w:r>
            <w:proofErr w:type="spellEnd"/>
            <w:r>
              <w:rPr>
                <w:rFonts w:ascii="Times New Roman" w:hAnsi="Times New Roman" w:cs="Times New Roman"/>
                <w:sz w:val="28"/>
                <w:szCs w:val="28"/>
              </w:rPr>
              <w:t>-Sulbactam</w:t>
            </w:r>
          </w:p>
          <w:p w14:paraId="06E886DF"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218AC9CB"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Sensitive</w:t>
            </w:r>
          </w:p>
        </w:tc>
      </w:tr>
      <w:tr w:rsidR="00B45275" w14:paraId="649BA818" w14:textId="77777777">
        <w:trPr>
          <w:trHeight w:val="495"/>
        </w:trPr>
        <w:tc>
          <w:tcPr>
            <w:tcW w:w="4448" w:type="dxa"/>
          </w:tcPr>
          <w:p w14:paraId="25237FF5"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Gentamicin</w:t>
            </w:r>
          </w:p>
          <w:p w14:paraId="5DF09ABE"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726D4276"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701D4500" w14:textId="77777777">
        <w:trPr>
          <w:trHeight w:val="544"/>
        </w:trPr>
        <w:tc>
          <w:tcPr>
            <w:tcW w:w="4448" w:type="dxa"/>
          </w:tcPr>
          <w:p w14:paraId="428C8B0B"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Imipenem</w:t>
            </w:r>
          </w:p>
          <w:p w14:paraId="24BEF52C"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4CD05A19"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35423210" w14:textId="77777777">
        <w:trPr>
          <w:trHeight w:val="267"/>
        </w:trPr>
        <w:tc>
          <w:tcPr>
            <w:tcW w:w="4448" w:type="dxa"/>
          </w:tcPr>
          <w:p w14:paraId="2DECFBA0"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Cefixime</w:t>
            </w:r>
          </w:p>
        </w:tc>
        <w:tc>
          <w:tcPr>
            <w:tcW w:w="4448" w:type="dxa"/>
          </w:tcPr>
          <w:p w14:paraId="777DEEE1" w14:textId="77777777" w:rsidR="00B45275" w:rsidRDefault="00210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bl>
    <w:p w14:paraId="47876142" w14:textId="27547470" w:rsidR="00B45275" w:rsidRDefault="00BD6236">
      <w:pPr>
        <w:jc w:val="both"/>
        <w:rPr>
          <w:rFonts w:ascii="Times New Roman" w:hAnsi="Times New Roman" w:cs="Times New Roman"/>
          <w:sz w:val="28"/>
          <w:szCs w:val="28"/>
        </w:rPr>
      </w:pPr>
      <w:r w:rsidRPr="00BD6236">
        <w:rPr>
          <w:rFonts w:ascii="Times New Roman" w:hAnsi="Times New Roman" w:cs="Times New Roman"/>
          <w:sz w:val="28"/>
          <w:szCs w:val="28"/>
        </w:rPr>
        <w:t xml:space="preserve">Microbiological cultures confirmed infection with </w:t>
      </w:r>
      <w:r w:rsidRPr="00BD6236">
        <w:rPr>
          <w:rFonts w:ascii="Times New Roman" w:hAnsi="Times New Roman" w:cs="Times New Roman"/>
          <w:i/>
          <w:iCs/>
          <w:sz w:val="28"/>
          <w:szCs w:val="28"/>
        </w:rPr>
        <w:t>Enterococcus species</w:t>
      </w:r>
      <w:r w:rsidRPr="00BD6236">
        <w:rPr>
          <w:rFonts w:ascii="Times New Roman" w:hAnsi="Times New Roman" w:cs="Times New Roman"/>
          <w:sz w:val="28"/>
          <w:szCs w:val="28"/>
        </w:rPr>
        <w:t xml:space="preserve"> and </w:t>
      </w:r>
      <w:r w:rsidRPr="00BD6236">
        <w:rPr>
          <w:rFonts w:ascii="Times New Roman" w:hAnsi="Times New Roman" w:cs="Times New Roman"/>
          <w:i/>
          <w:iCs/>
          <w:sz w:val="28"/>
          <w:szCs w:val="28"/>
        </w:rPr>
        <w:t>Proteus mirabilis</w:t>
      </w:r>
      <w:r w:rsidRPr="00BD6236">
        <w:rPr>
          <w:rFonts w:ascii="Times New Roman" w:hAnsi="Times New Roman" w:cs="Times New Roman"/>
          <w:sz w:val="28"/>
          <w:szCs w:val="28"/>
        </w:rPr>
        <w:t>.</w:t>
      </w:r>
    </w:p>
    <w:p w14:paraId="2FAB0BD3" w14:textId="77777777" w:rsidR="00B45275" w:rsidRDefault="002108D1">
      <w:pPr>
        <w:jc w:val="both"/>
        <w:rPr>
          <w:rFonts w:ascii="Times New Roman" w:hAnsi="Times New Roman" w:cs="Times New Roman"/>
          <w:b/>
          <w:bCs/>
          <w:sz w:val="28"/>
          <w:szCs w:val="28"/>
        </w:rPr>
      </w:pPr>
      <w:r>
        <w:rPr>
          <w:rFonts w:ascii="Times New Roman" w:hAnsi="Times New Roman" w:cs="Times New Roman"/>
          <w:b/>
          <w:bCs/>
          <w:sz w:val="28"/>
          <w:szCs w:val="28"/>
        </w:rPr>
        <w:t>Diagnostic Assessment</w:t>
      </w:r>
    </w:p>
    <w:p w14:paraId="7F2616B8" w14:textId="62C03631" w:rsidR="00BD6236" w:rsidRDefault="00BD6236" w:rsidP="00BD6236">
      <w:pPr>
        <w:jc w:val="both"/>
        <w:rPr>
          <w:rFonts w:ascii="Times New Roman" w:eastAsia="Times New Roman" w:hAnsi="Times New Roman" w:cs="Times New Roman"/>
          <w:kern w:val="0"/>
          <w:lang w:eastAsia="en-IN"/>
          <w14:ligatures w14:val="none"/>
        </w:rPr>
      </w:pPr>
      <w:r w:rsidRPr="00BD6236">
        <w:rPr>
          <w:rFonts w:ascii="Times New Roman" w:hAnsi="Times New Roman" w:cs="Times New Roman"/>
        </w:rPr>
        <w:t xml:space="preserve">According to standard diagnostic procedures, </w:t>
      </w:r>
      <w:r>
        <w:rPr>
          <w:rFonts w:ascii="Times New Roman" w:hAnsi="Times New Roman" w:cs="Times New Roman"/>
        </w:rPr>
        <w:t>two</w:t>
      </w:r>
      <w:r w:rsidRPr="00BD6236">
        <w:rPr>
          <w:rFonts w:ascii="Times New Roman" w:hAnsi="Times New Roman" w:cs="Times New Roman"/>
        </w:rPr>
        <w:t xml:space="preserve"> 4-mm punch biopsies were </w:t>
      </w:r>
      <w:r>
        <w:rPr>
          <w:rFonts w:ascii="Times New Roman" w:hAnsi="Times New Roman" w:cs="Times New Roman"/>
        </w:rPr>
        <w:t>obtained, one</w:t>
      </w:r>
      <w:r w:rsidRPr="00BD6236">
        <w:rPr>
          <w:rFonts w:ascii="Times New Roman" w:hAnsi="Times New Roman" w:cs="Times New Roman"/>
        </w:rPr>
        <w:t xml:space="preserve"> </w:t>
      </w:r>
      <w:r>
        <w:rPr>
          <w:rFonts w:ascii="Times New Roman" w:hAnsi="Times New Roman" w:cs="Times New Roman"/>
        </w:rPr>
        <w:t xml:space="preserve">sample </w:t>
      </w:r>
      <w:r w:rsidR="001304EF">
        <w:rPr>
          <w:rFonts w:ascii="Times New Roman" w:hAnsi="Times New Roman" w:cs="Times New Roman"/>
        </w:rPr>
        <w:t xml:space="preserve">was obtained </w:t>
      </w:r>
      <w:r w:rsidRPr="00BD6236">
        <w:rPr>
          <w:rFonts w:ascii="Times New Roman" w:hAnsi="Times New Roman" w:cs="Times New Roman"/>
        </w:rPr>
        <w:t>from an active lesion for histopathological analysis and another from perilesional skin for direct immunofluorescence (DIF).</w:t>
      </w:r>
      <w:r>
        <w:rPr>
          <w:rFonts w:ascii="Times New Roman" w:hAnsi="Times New Roman" w:cs="Times New Roman"/>
        </w:rPr>
        <w:t xml:space="preserve"> </w:t>
      </w:r>
      <w:r w:rsidRPr="00BD6236">
        <w:rPr>
          <w:rFonts w:ascii="Times New Roman" w:hAnsi="Times New Roman" w:cs="Times New Roman"/>
        </w:rPr>
        <w:t xml:space="preserve">Subepidermal blister formation with inflammatory infiltrates, primarily eosinophils, was shown by histopathology. </w:t>
      </w:r>
      <w:r>
        <w:rPr>
          <w:rFonts w:ascii="Times New Roman" w:hAnsi="Times New Roman" w:cs="Times New Roman"/>
        </w:rPr>
        <w:t xml:space="preserve"> Histological examination showed a subepidermal blister at the dermo-epidermal junction. The blister cavity included eosinophilic debris and inflammatory cells, mostly eosinophils. In the papillary dermis, dense perivascular inflammatory cell infiltration was observed, indicating persistent inflammatory activity</w:t>
      </w:r>
      <w:r>
        <w:rPr>
          <w:rFonts w:ascii="Times New Roman" w:hAnsi="Times New Roman" w:cs="Times New Roman"/>
          <w:sz w:val="28"/>
          <w:szCs w:val="28"/>
        </w:rPr>
        <w:t>.</w:t>
      </w:r>
      <w:r>
        <w:rPr>
          <w:rFonts w:ascii="Times New Roman" w:eastAsia="Times New Roman" w:hAnsi="Times New Roman" w:cs="Times New Roman"/>
          <w:kern w:val="0"/>
          <w:lang w:eastAsia="en-IN"/>
          <w14:ligatures w14:val="none"/>
        </w:rPr>
        <w:t xml:space="preserve"> </w:t>
      </w:r>
    </w:p>
    <w:p w14:paraId="4FF1783D" w14:textId="169221C4" w:rsidR="00B45275" w:rsidRDefault="002108D1" w:rsidP="00BD6236">
      <w:pPr>
        <w:jc w:val="both"/>
        <w:rPr>
          <w:rFonts w:ascii="Times New Roman" w:hAnsi="Times New Roman" w:cs="Times New Roman"/>
        </w:rPr>
      </w:pPr>
      <w:r>
        <w:rPr>
          <w:rFonts w:ascii="Times New Roman" w:hAnsi="Times New Roman" w:cs="Times New Roman"/>
        </w:rPr>
        <w:t>The continuous linear deposition of immunoglobulin A (Ig</w:t>
      </w:r>
      <w:r>
        <w:rPr>
          <w:rFonts w:ascii="Times New Roman" w:hAnsi="Times New Roman" w:cs="Times New Roman"/>
        </w:rPr>
        <w:t xml:space="preserve">A) along the basement membrane zone, as seen by direct immunofluorescence analysis of the perilesional sample, is an immunopathological feature of linear IgA bullous dermatosis. Two other </w:t>
      </w:r>
      <w:proofErr w:type="spellStart"/>
      <w:r>
        <w:rPr>
          <w:rFonts w:ascii="Times New Roman" w:hAnsi="Times New Roman" w:cs="Times New Roman"/>
        </w:rPr>
        <w:t>immunoreactants</w:t>
      </w:r>
      <w:proofErr w:type="spellEnd"/>
      <w:r>
        <w:rPr>
          <w:rFonts w:ascii="Times New Roman" w:hAnsi="Times New Roman" w:cs="Times New Roman"/>
        </w:rPr>
        <w:t>, IgM and C1q, were not detected. The combined histol</w:t>
      </w:r>
      <w:r>
        <w:rPr>
          <w:rFonts w:ascii="Times New Roman" w:hAnsi="Times New Roman" w:cs="Times New Roman"/>
        </w:rPr>
        <w:t>ogy and immunofluorescence results, along with the clinical presentation, supported the diagnosis of linear IgA bullous dermatosis.</w:t>
      </w:r>
      <w:r w:rsidR="00BD6236" w:rsidRPr="00BD6236">
        <w:t xml:space="preserve"> </w:t>
      </w:r>
    </w:p>
    <w:p w14:paraId="2F32D9BC" w14:textId="77777777" w:rsidR="00BD6236" w:rsidRDefault="00BD6236">
      <w:pPr>
        <w:jc w:val="both"/>
        <w:rPr>
          <w:rFonts w:ascii="Times New Roman" w:hAnsi="Times New Roman" w:cs="Times New Roman"/>
          <w:sz w:val="28"/>
          <w:szCs w:val="28"/>
        </w:rPr>
      </w:pPr>
    </w:p>
    <w:p w14:paraId="4B6587B6" w14:textId="56DB1EA1" w:rsidR="00B45275" w:rsidRDefault="002108D1">
      <w:pPr>
        <w:jc w:val="both"/>
        <w:rPr>
          <w:rFonts w:ascii="Times New Roman" w:hAnsi="Times New Roman" w:cs="Times New Roman"/>
          <w:b/>
          <w:bCs/>
          <w:sz w:val="28"/>
          <w:szCs w:val="28"/>
        </w:rPr>
      </w:pPr>
      <w:r>
        <w:rPr>
          <w:rFonts w:ascii="Times New Roman" w:hAnsi="Times New Roman" w:cs="Times New Roman"/>
          <w:b/>
          <w:bCs/>
          <w:sz w:val="28"/>
          <w:szCs w:val="28"/>
        </w:rPr>
        <w:t>Treatment Advised</w:t>
      </w:r>
    </w:p>
    <w:p w14:paraId="1114232B" w14:textId="77777777" w:rsidR="00B45275" w:rsidRDefault="002108D1">
      <w:pPr>
        <w:jc w:val="both"/>
        <w:rPr>
          <w:rFonts w:ascii="Times New Roman" w:hAnsi="Times New Roman" w:cs="Times New Roman"/>
        </w:rPr>
      </w:pPr>
      <w:r>
        <w:rPr>
          <w:rFonts w:ascii="Times New Roman" w:hAnsi="Times New Roman" w:cs="Times New Roman"/>
        </w:rPr>
        <w:t>This patient with Linear IgA Bullous Dermatosis (LABD) was managed using a comprehensive approach to min</w:t>
      </w:r>
      <w:r>
        <w:rPr>
          <w:rFonts w:ascii="Times New Roman" w:hAnsi="Times New Roman" w:cs="Times New Roman"/>
        </w:rPr>
        <w:t xml:space="preserve">imize autoimmune inflammation, control secondary infection, and prevent sequelae. Since LABD is caused by IgA autoantibodies that target basement membrane antigens, systemic dapsone was initiated as the first-line treatment when normal glucose-6-phosphate </w:t>
      </w:r>
      <w:r>
        <w:rPr>
          <w:rFonts w:ascii="Times New Roman" w:hAnsi="Times New Roman" w:cs="Times New Roman"/>
        </w:rPr>
        <w:t xml:space="preserve">dehydrogenase (G6PD) activity was established. This decreased the risk of dapsone-induced </w:t>
      </w:r>
      <w:proofErr w:type="spellStart"/>
      <w:r>
        <w:rPr>
          <w:rFonts w:ascii="Times New Roman" w:hAnsi="Times New Roman" w:cs="Times New Roman"/>
        </w:rPr>
        <w:t>hemolysis</w:t>
      </w:r>
      <w:proofErr w:type="spellEnd"/>
      <w:r>
        <w:rPr>
          <w:rFonts w:ascii="Times New Roman" w:hAnsi="Times New Roman" w:cs="Times New Roman"/>
        </w:rPr>
        <w:t xml:space="preserve">. Dapsone was selected because of its demonstrated anti-inflammatory and </w:t>
      </w:r>
      <w:r>
        <w:rPr>
          <w:rFonts w:ascii="Times New Roman" w:hAnsi="Times New Roman" w:cs="Times New Roman"/>
        </w:rPr>
        <w:lastRenderedPageBreak/>
        <w:t>anti-neutrophilic qualities, which help to decrease neutrophil chemotaxis and lessen</w:t>
      </w:r>
      <w:r>
        <w:rPr>
          <w:rFonts w:ascii="Times New Roman" w:hAnsi="Times New Roman" w:cs="Times New Roman"/>
        </w:rPr>
        <w:t xml:space="preserve"> the inflammatory cascade that results in the development of subepidermal blisters.</w:t>
      </w:r>
    </w:p>
    <w:p w14:paraId="220FF65F" w14:textId="163E8226" w:rsidR="007B5B24" w:rsidRPr="007B5B24" w:rsidRDefault="007900AF" w:rsidP="001304EF">
      <w:pPr>
        <w:rPr>
          <w:rFonts w:ascii="Times New Roman" w:hAnsi="Times New Roman" w:cs="Times New Roman"/>
        </w:rPr>
      </w:pPr>
      <w:r w:rsidRPr="007900AF">
        <w:rPr>
          <w:rFonts w:ascii="Times New Roman" w:hAnsi="Times New Roman" w:cs="Times New Roman"/>
        </w:rPr>
        <w:t xml:space="preserve">Following confirmation of normal glucose-6-phosphate dehydrogenase (G6PD) levels, systemic dapsone was initiated as the first-line treatment to prevent </w:t>
      </w:r>
      <w:proofErr w:type="spellStart"/>
      <w:r w:rsidRPr="007900AF">
        <w:rPr>
          <w:rFonts w:ascii="Times New Roman" w:hAnsi="Times New Roman" w:cs="Times New Roman"/>
        </w:rPr>
        <w:t>hemolysis</w:t>
      </w:r>
      <w:proofErr w:type="spellEnd"/>
      <w:r w:rsidRPr="007900AF">
        <w:rPr>
          <w:rFonts w:ascii="Times New Roman" w:hAnsi="Times New Roman" w:cs="Times New Roman"/>
        </w:rPr>
        <w:t>. The patient's daily dosage of dapsone was gradually increased from 50 mg to 100 mg</w:t>
      </w:r>
      <w:r>
        <w:rPr>
          <w:rFonts w:ascii="Times New Roman" w:hAnsi="Times New Roman" w:cs="Times New Roman"/>
        </w:rPr>
        <w:t xml:space="preserve">/day </w:t>
      </w:r>
      <w:r w:rsidRPr="007900AF">
        <w:rPr>
          <w:rFonts w:ascii="Times New Roman" w:hAnsi="Times New Roman" w:cs="Times New Roman"/>
        </w:rPr>
        <w:t xml:space="preserve">based on clinical response and tolerability. Dapsone was continued as a maintenance treatment. </w:t>
      </w:r>
      <w:r w:rsidRPr="007900AF">
        <w:rPr>
          <w:rFonts w:ascii="Times New Roman" w:hAnsi="Times New Roman" w:cs="Times New Roman"/>
        </w:rPr>
        <w:br/>
        <w:t>Due to widespread cutaneous involvement and mild mucosal lesions, systemic corticosteroids were administered during the acute phase for prompt illness control. The patient switched to oral prednisolone 0.5 mg/kg/day after receiving intravenous dexamethasone 4 mg twice daily for five days. Over the course of three to four weeks, the dosage was gradually decreased based on clinical improvement.</w:t>
      </w:r>
      <w:r w:rsidR="007B5B24" w:rsidRPr="007B5B24">
        <w:t xml:space="preserve"> </w:t>
      </w:r>
      <w:r w:rsidR="007B5B24" w:rsidRPr="007B5B24">
        <w:rPr>
          <w:rFonts w:ascii="Times New Roman" w:hAnsi="Times New Roman" w:cs="Times New Roman"/>
        </w:rPr>
        <w:t>To lessen local inflammation and encourage healing, topical high-potency corticosteroids (like clobetasol propionate 0.05%) were applied to active lesions twice a day for two to three weeks.</w:t>
      </w:r>
      <w:r w:rsidR="007B5B24">
        <w:rPr>
          <w:rFonts w:ascii="Times New Roman" w:hAnsi="Times New Roman" w:cs="Times New Roman"/>
        </w:rPr>
        <w:t xml:space="preserve"> </w:t>
      </w:r>
      <w:r w:rsidR="007B5B24" w:rsidRPr="007B5B24">
        <w:rPr>
          <w:rFonts w:ascii="Times New Roman" w:hAnsi="Times New Roman" w:cs="Times New Roman"/>
        </w:rPr>
        <w:t>Culture-guided antibiotic therapy was started because there was a secondary bacterial infection.</w:t>
      </w:r>
      <w:r w:rsidR="001304EF" w:rsidRPr="001304EF">
        <w:t xml:space="preserve"> </w:t>
      </w:r>
      <w:r w:rsidR="001304EF" w:rsidRPr="001304EF">
        <w:rPr>
          <w:rFonts w:ascii="Times New Roman" w:hAnsi="Times New Roman" w:cs="Times New Roman"/>
        </w:rPr>
        <w:t xml:space="preserve">The patient was treated with </w:t>
      </w:r>
      <w:r w:rsidR="001304EF" w:rsidRPr="001304EF">
        <w:rPr>
          <w:rFonts w:ascii="Times New Roman" w:hAnsi="Times New Roman" w:cs="Times New Roman"/>
          <w:b/>
          <w:bCs/>
        </w:rPr>
        <w:t>intravenous ampicillin 1–2 g every 6 hours for 7–10 days</w:t>
      </w:r>
      <w:r w:rsidR="001304EF" w:rsidRPr="001304EF">
        <w:rPr>
          <w:rFonts w:ascii="Times New Roman" w:hAnsi="Times New Roman" w:cs="Times New Roman"/>
        </w:rPr>
        <w:t xml:space="preserve"> based on sensitivity patterns. In resistant cases, </w:t>
      </w:r>
      <w:r w:rsidR="001304EF" w:rsidRPr="001304EF">
        <w:rPr>
          <w:rFonts w:ascii="Times New Roman" w:hAnsi="Times New Roman" w:cs="Times New Roman"/>
          <w:b/>
          <w:bCs/>
        </w:rPr>
        <w:t>linezolid 600 mg twice daily for 7–10 days</w:t>
      </w:r>
      <w:r w:rsidR="001304EF" w:rsidRPr="001304EF">
        <w:rPr>
          <w:rFonts w:ascii="Times New Roman" w:hAnsi="Times New Roman" w:cs="Times New Roman"/>
        </w:rPr>
        <w:t xml:space="preserve"> was considered</w:t>
      </w:r>
      <w:r w:rsidR="007B5B24" w:rsidRPr="007B5B24">
        <w:rPr>
          <w:rFonts w:ascii="Times New Roman" w:hAnsi="Times New Roman" w:cs="Times New Roman"/>
        </w:rPr>
        <w:t>. In order to prevent further infection, supportive care included maintaining skin hygiene and treating wounds with sterile non-adherent dressings.</w:t>
      </w:r>
      <w:r w:rsidR="007B5B24" w:rsidRPr="007B5B24">
        <w:rPr>
          <w:rFonts w:ascii="Times New Roman" w:eastAsia="Times New Roman" w:hAnsi="Times New Roman" w:cs="Times New Roman"/>
          <w:kern w:val="0"/>
          <w:lang w:eastAsia="en-IN"/>
          <w14:ligatures w14:val="none"/>
        </w:rPr>
        <w:t xml:space="preserve"> </w:t>
      </w:r>
      <w:r w:rsidR="007B5B24" w:rsidRPr="007B5B24">
        <w:rPr>
          <w:rFonts w:ascii="Times New Roman" w:hAnsi="Times New Roman" w:cs="Times New Roman"/>
        </w:rPr>
        <w:t>Corticosteroids were gradually tapered off and stopped, while dapsone was maintained as long-term maintenance therapy. In refractory cases, alternative immunosuppressive medications like azathioprine or mycophenolate mofetil may be taken into consideration.</w:t>
      </w:r>
    </w:p>
    <w:p w14:paraId="2DADF80A" w14:textId="596B5A46" w:rsidR="007B5B24" w:rsidRPr="007B5B24" w:rsidRDefault="007B5B24" w:rsidP="007B5B24">
      <w:pPr>
        <w:jc w:val="both"/>
        <w:rPr>
          <w:rFonts w:ascii="Times New Roman" w:hAnsi="Times New Roman" w:cs="Times New Roman"/>
        </w:rPr>
      </w:pPr>
    </w:p>
    <w:p w14:paraId="7A0FE54B" w14:textId="55F9E0EE" w:rsidR="00B45275" w:rsidRDefault="002108D1">
      <w:pPr>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78A01807" w14:textId="453DCD1A" w:rsidR="00F504D6" w:rsidRPr="00F504D6" w:rsidRDefault="00F504D6" w:rsidP="00F504D6">
      <w:pPr>
        <w:rPr>
          <w:rFonts w:ascii="Times New Roman" w:hAnsi="Times New Roman" w:cs="Times New Roman"/>
        </w:rPr>
      </w:pPr>
      <w:r w:rsidRPr="00F504D6">
        <w:rPr>
          <w:rFonts w:ascii="Times New Roman" w:hAnsi="Times New Roman" w:cs="Times New Roman"/>
        </w:rPr>
        <w:t xml:space="preserve">The rare autoimmune subepidermal blistering illness known as linear IgA bullous dermatosis (LABD) </w:t>
      </w:r>
      <w:r w:rsidR="001304EF">
        <w:rPr>
          <w:rFonts w:ascii="Times New Roman" w:hAnsi="Times New Roman" w:cs="Times New Roman"/>
        </w:rPr>
        <w:t xml:space="preserve">has an estimated incidence of </w:t>
      </w:r>
      <w:r w:rsidRPr="00F504D6">
        <w:rPr>
          <w:rFonts w:ascii="Times New Roman" w:hAnsi="Times New Roman" w:cs="Times New Roman"/>
        </w:rPr>
        <w:t xml:space="preserve">0.5 to 2.3 persons per million each year. It is </w:t>
      </w:r>
      <w:r w:rsidR="001304EF">
        <w:rPr>
          <w:rFonts w:ascii="Times New Roman" w:hAnsi="Times New Roman" w:cs="Times New Roman"/>
        </w:rPr>
        <w:t>characterised</w:t>
      </w:r>
      <w:r w:rsidRPr="00F504D6">
        <w:rPr>
          <w:rFonts w:ascii="Times New Roman" w:hAnsi="Times New Roman" w:cs="Times New Roman"/>
        </w:rPr>
        <w:t xml:space="preserve"> by IgA autoantibodies that target components of the basement membrane zone, particularly BP180 (LAD-1 antigen), which results in neutrophil recruitment, complement activation, and the formation of subepidermal blisters. </w:t>
      </w:r>
      <w:r w:rsidRPr="00F504D6">
        <w:rPr>
          <w:rFonts w:ascii="Times New Roman" w:hAnsi="Times New Roman" w:cs="Times New Roman"/>
        </w:rPr>
        <w:br/>
        <w:t xml:space="preserve">Adult-onset LABD sometimes shows greater clinical variety than the juvenile form, which might complicate diagnosis. Clinically, it may resemble other vesiculobullous disorders such as bullous pemphigoid, dermatitis herpetiformis, and epidermolysis bullosa </w:t>
      </w:r>
      <w:proofErr w:type="spellStart"/>
      <w:r w:rsidRPr="00F504D6">
        <w:rPr>
          <w:rFonts w:ascii="Times New Roman" w:hAnsi="Times New Roman" w:cs="Times New Roman"/>
        </w:rPr>
        <w:t>acquisita</w:t>
      </w:r>
      <w:proofErr w:type="spellEnd"/>
      <w:r w:rsidRPr="00F504D6">
        <w:rPr>
          <w:rFonts w:ascii="Times New Roman" w:hAnsi="Times New Roman" w:cs="Times New Roman"/>
        </w:rPr>
        <w:t>. In this case, the characteristic annular arrangement of lesions, which resembled a "string of pearls," provided an important clinical clue for the diagnosis.</w:t>
      </w:r>
    </w:p>
    <w:p w14:paraId="6B18D9A3" w14:textId="77777777" w:rsidR="005F64A9" w:rsidRDefault="00F504D6" w:rsidP="00F504D6">
      <w:pPr>
        <w:rPr>
          <w:rFonts w:ascii="Times New Roman" w:hAnsi="Times New Roman" w:cs="Times New Roman"/>
          <w:b/>
          <w:bCs/>
          <w:sz w:val="28"/>
          <w:szCs w:val="28"/>
        </w:rPr>
      </w:pPr>
      <w:r w:rsidRPr="00F504D6">
        <w:rPr>
          <w:rFonts w:ascii="Times New Roman" w:hAnsi="Times New Roman" w:cs="Times New Roman"/>
        </w:rPr>
        <w:t>The gold standard for diagnosis is still direct immunofluorescence, which shows linear IgA deposition along the basement membrane zone. The diagnosis is further supported by histopathological evidence of subepidermal blistering with inflammatory infiltrates. To distinguish LABD from other blistering illnesses, the combined clinicopathological association is crucial.</w:t>
      </w:r>
      <w:r w:rsidRPr="00F504D6">
        <w:rPr>
          <w:rFonts w:ascii="Times New Roman" w:hAnsi="Times New Roman" w:cs="Times New Roman"/>
        </w:rPr>
        <w:br/>
      </w:r>
      <w:r w:rsidRPr="00F504D6">
        <w:rPr>
          <w:rFonts w:ascii="Times New Roman" w:hAnsi="Times New Roman" w:cs="Times New Roman"/>
          <w:b/>
          <w:bCs/>
          <w:sz w:val="28"/>
          <w:szCs w:val="28"/>
        </w:rPr>
        <w:br/>
      </w:r>
    </w:p>
    <w:p w14:paraId="20E20CDD" w14:textId="0DB16FC0" w:rsidR="00F504D6" w:rsidRPr="00F504D6" w:rsidRDefault="00F504D6" w:rsidP="00F504D6">
      <w:pPr>
        <w:rPr>
          <w:rFonts w:ascii="Times New Roman" w:hAnsi="Times New Roman" w:cs="Times New Roman"/>
        </w:rPr>
      </w:pPr>
      <w:r w:rsidRPr="00F504D6">
        <w:rPr>
          <w:rFonts w:ascii="Times New Roman" w:hAnsi="Times New Roman" w:cs="Times New Roman"/>
          <w:b/>
          <w:bCs/>
          <w:sz w:val="28"/>
          <w:szCs w:val="28"/>
        </w:rPr>
        <w:lastRenderedPageBreak/>
        <w:t>Differential Diagnosis</w:t>
      </w:r>
      <w:r w:rsidRPr="00F504D6">
        <w:rPr>
          <w:rFonts w:ascii="Times New Roman" w:hAnsi="Times New Roman" w:cs="Times New Roman"/>
          <w:sz w:val="28"/>
          <w:szCs w:val="28"/>
        </w:rPr>
        <w:br/>
      </w:r>
      <w:r w:rsidRPr="00F504D6">
        <w:rPr>
          <w:rFonts w:ascii="Times New Roman" w:hAnsi="Times New Roman" w:cs="Times New Roman"/>
          <w:sz w:val="28"/>
          <w:szCs w:val="28"/>
        </w:rPr>
        <w:br/>
      </w:r>
      <w:r w:rsidRPr="00F504D6">
        <w:rPr>
          <w:rFonts w:ascii="Times New Roman" w:hAnsi="Times New Roman" w:cs="Times New Roman"/>
        </w:rPr>
        <w:t xml:space="preserve">Bullous pemphigoid, dermatitis herpetiformis, epidermolysis bullosa </w:t>
      </w:r>
      <w:proofErr w:type="spellStart"/>
      <w:r w:rsidRPr="00F504D6">
        <w:rPr>
          <w:rFonts w:ascii="Times New Roman" w:hAnsi="Times New Roman" w:cs="Times New Roman"/>
        </w:rPr>
        <w:t>acquisita</w:t>
      </w:r>
      <w:proofErr w:type="spellEnd"/>
      <w:r w:rsidRPr="00F504D6">
        <w:rPr>
          <w:rFonts w:ascii="Times New Roman" w:hAnsi="Times New Roman" w:cs="Times New Roman"/>
        </w:rPr>
        <w:t xml:space="preserve">, and bullous systemic lupus erythematosus (SLE) are among the differential diagnoses for LABD. Dermatitis herpetiformis has granular IgA deposition at dermal papillae, whereas bullous pemphigoid usually exhibits IgG deposition on immunofluorescence. Antibodies against type VII collagen are linked to epidermolysis bullosa </w:t>
      </w:r>
      <w:proofErr w:type="spellStart"/>
      <w:r w:rsidRPr="00F504D6">
        <w:rPr>
          <w:rFonts w:ascii="Times New Roman" w:hAnsi="Times New Roman" w:cs="Times New Roman"/>
        </w:rPr>
        <w:t>acquisita</w:t>
      </w:r>
      <w:proofErr w:type="spellEnd"/>
      <w:r w:rsidRPr="00F504D6">
        <w:rPr>
          <w:rFonts w:ascii="Times New Roman" w:hAnsi="Times New Roman" w:cs="Times New Roman"/>
        </w:rPr>
        <w:t>.</w:t>
      </w:r>
      <w:r w:rsidRPr="00F504D6">
        <w:rPr>
          <w:rFonts w:ascii="Times New Roman" w:eastAsia="Times New Roman" w:hAnsi="Times New Roman" w:cs="Times New Roman"/>
          <w:kern w:val="0"/>
          <w:lang w:eastAsia="en-IN"/>
          <w14:ligatures w14:val="none"/>
        </w:rPr>
        <w:t xml:space="preserve"> </w:t>
      </w:r>
      <w:r w:rsidRPr="00F504D6">
        <w:rPr>
          <w:rFonts w:ascii="Times New Roman" w:hAnsi="Times New Roman" w:cs="Times New Roman"/>
        </w:rPr>
        <w:t>Although bullous SLE is typically linked to systemic symptoms like photosensitivity, mouth ulcers, and positive immunological markers, it may clinically mimic LABD. Bullous SLE was ruled out in this instance due to the lack of systemic symptoms and negative immunological results.</w:t>
      </w:r>
      <w:r w:rsidRPr="00F504D6">
        <w:rPr>
          <w:rFonts w:ascii="Times New Roman" w:hAnsi="Times New Roman" w:cs="Times New Roman"/>
        </w:rPr>
        <w:br/>
      </w:r>
      <w:r w:rsidRPr="00F504D6">
        <w:rPr>
          <w:rFonts w:ascii="Times New Roman" w:hAnsi="Times New Roman" w:cs="Times New Roman"/>
        </w:rPr>
        <w:br/>
        <w:t>Because the skin barrier is compromised, secondary bacterial infection is a frequent consequence of LABD. Microbiological analysis in this instance indicated Proteus mirabilis and Enterococcus species infection. To avoid problems, lower morbidity, and encourage healing, early detection and culture-guided antibiotic therapy are essential.</w:t>
      </w:r>
      <w:r w:rsidRPr="00F504D6">
        <w:rPr>
          <w:rFonts w:ascii="Times New Roman" w:eastAsia="Times New Roman" w:hAnsi="Times New Roman" w:cs="Times New Roman"/>
          <w:kern w:val="0"/>
          <w:lang w:eastAsia="en-IN"/>
          <w14:ligatures w14:val="none"/>
        </w:rPr>
        <w:t xml:space="preserve"> </w:t>
      </w:r>
      <w:r w:rsidRPr="00F504D6">
        <w:rPr>
          <w:rFonts w:ascii="Times New Roman" w:hAnsi="Times New Roman" w:cs="Times New Roman"/>
        </w:rPr>
        <w:t>Due to its strong anti-neutrophilic and anti-inflammatory qualities, which enable quick illness control, dapsone continues to be the mainstay of treatment for LABD. In moderate to severe cases, systemic corticosteroids are a useful supplementary therapy that can hasten remission. Topical corticosteroids also help to promote re-epithelialization and lessen local irritation.</w:t>
      </w:r>
      <w:r w:rsidRPr="00F504D6">
        <w:rPr>
          <w:rFonts w:ascii="Times New Roman" w:hAnsi="Times New Roman" w:cs="Times New Roman"/>
        </w:rPr>
        <w:br/>
      </w:r>
      <w:r w:rsidRPr="00F504D6">
        <w:rPr>
          <w:rFonts w:ascii="Times New Roman" w:hAnsi="Times New Roman" w:cs="Times New Roman"/>
        </w:rPr>
        <w:br/>
        <w:t>For the best possible illness management, a multidisciplinary and customized therapeutic approach is crucial. Clinical results are greatly improved and the risk of relapse is decreased with early identification, proper immunosuppressive medication, and timely care of secondary infections.</w:t>
      </w:r>
    </w:p>
    <w:p w14:paraId="78935018" w14:textId="1B144ECF" w:rsidR="00F504D6" w:rsidRPr="00F504D6" w:rsidRDefault="00F504D6" w:rsidP="00F504D6">
      <w:pPr>
        <w:rPr>
          <w:rFonts w:ascii="Times New Roman" w:hAnsi="Times New Roman" w:cs="Times New Roman"/>
        </w:rPr>
      </w:pPr>
    </w:p>
    <w:p w14:paraId="6FAAF1A4" w14:textId="46D2B3B5" w:rsidR="00F504D6" w:rsidRPr="00F504D6" w:rsidRDefault="00F504D6" w:rsidP="00F504D6">
      <w:pPr>
        <w:rPr>
          <w:rFonts w:ascii="Times New Roman" w:hAnsi="Times New Roman" w:cs="Times New Roman"/>
          <w:b/>
          <w:bCs/>
        </w:rPr>
      </w:pPr>
      <w:r w:rsidRPr="00F504D6">
        <w:rPr>
          <w:rFonts w:ascii="Times New Roman" w:hAnsi="Times New Roman" w:cs="Times New Roman"/>
          <w:b/>
          <w:bCs/>
        </w:rPr>
        <w:t xml:space="preserve">Follow-Up </w:t>
      </w:r>
    </w:p>
    <w:p w14:paraId="58B4BEE1" w14:textId="3EFED1CC" w:rsidR="00F504D6" w:rsidRPr="00F504D6" w:rsidRDefault="00F504D6" w:rsidP="00F504D6">
      <w:pPr>
        <w:rPr>
          <w:rFonts w:ascii="Times New Roman" w:hAnsi="Times New Roman" w:cs="Times New Roman"/>
        </w:rPr>
      </w:pPr>
      <w:r w:rsidRPr="00F504D6">
        <w:rPr>
          <w:rFonts w:ascii="Times New Roman" w:hAnsi="Times New Roman" w:cs="Times New Roman"/>
        </w:rPr>
        <w:t>Over the course of six weeks, the patient was routinely monitored. There was a noticeable decrease in pruritus and a total stop to the development of new blisters at the two-week follow-up. Significant recovery was seen in the existing lesions, but there was still some post-inflammatory hyperpigmentation.</w:t>
      </w:r>
      <w:r w:rsidRPr="00F504D6">
        <w:rPr>
          <w:rFonts w:ascii="Times New Roman" w:hAnsi="Times New Roman" w:cs="Times New Roman"/>
        </w:rPr>
        <w:br/>
        <w:t xml:space="preserve">At four weeks, the patient showed no signs of active illness and almost total remission of cutaneous lesions. Systemic corticosteroids were gradually reduced without causing lesions to reappear. The patient handled dapsone well and showed no signs of </w:t>
      </w:r>
      <w:proofErr w:type="spellStart"/>
      <w:r w:rsidRPr="00F504D6">
        <w:rPr>
          <w:rFonts w:ascii="Times New Roman" w:hAnsi="Times New Roman" w:cs="Times New Roman"/>
        </w:rPr>
        <w:t>hemolysis</w:t>
      </w:r>
      <w:proofErr w:type="spellEnd"/>
      <w:r w:rsidRPr="00F504D6">
        <w:rPr>
          <w:rFonts w:ascii="Times New Roman" w:hAnsi="Times New Roman" w:cs="Times New Roman"/>
        </w:rPr>
        <w:t xml:space="preserve"> or other side effects when the medication was continued as maintenance therapy.</w:t>
      </w:r>
      <w:r w:rsidRPr="00F504D6">
        <w:rPr>
          <w:rFonts w:ascii="Times New Roman" w:eastAsia="Times New Roman" w:hAnsi="Times New Roman" w:cs="Times New Roman"/>
          <w:kern w:val="0"/>
          <w:lang w:eastAsia="en-IN"/>
          <w14:ligatures w14:val="none"/>
        </w:rPr>
        <w:t xml:space="preserve"> </w:t>
      </w:r>
      <w:r w:rsidRPr="00F504D6">
        <w:rPr>
          <w:rFonts w:ascii="Times New Roman" w:hAnsi="Times New Roman" w:cs="Times New Roman"/>
        </w:rPr>
        <w:t xml:space="preserve">The patient was still clinically stable and had not developed any new lesions at the 6-week follow-up. After receiving culture-guided antibiotic therapy, the secondary infection had entirely disappeared. </w:t>
      </w:r>
      <w:r>
        <w:rPr>
          <w:rFonts w:ascii="Times New Roman" w:hAnsi="Times New Roman" w:cs="Times New Roman"/>
        </w:rPr>
        <w:t>To</w:t>
      </w:r>
      <w:r w:rsidRPr="00F504D6">
        <w:rPr>
          <w:rFonts w:ascii="Times New Roman" w:hAnsi="Times New Roman" w:cs="Times New Roman"/>
        </w:rPr>
        <w:t xml:space="preserve"> examine the patient's long-term response to dapsone medication and to keep an eye out for any potential relapses, the patient was advised to continue routine follow-up.</w:t>
      </w:r>
    </w:p>
    <w:p w14:paraId="469C7289" w14:textId="290B9ACD" w:rsidR="00F504D6" w:rsidRPr="00F504D6" w:rsidRDefault="00F504D6" w:rsidP="00F504D6">
      <w:pPr>
        <w:rPr>
          <w:rFonts w:ascii="Times New Roman" w:hAnsi="Times New Roman" w:cs="Times New Roman"/>
        </w:rPr>
      </w:pPr>
    </w:p>
    <w:p w14:paraId="5795C2EA" w14:textId="77777777" w:rsidR="005F64A9" w:rsidRDefault="005F64A9">
      <w:pPr>
        <w:jc w:val="both"/>
        <w:rPr>
          <w:rFonts w:ascii="Times New Roman" w:hAnsi="Times New Roman" w:cs="Times New Roman"/>
          <w:b/>
          <w:bCs/>
          <w:sz w:val="28"/>
          <w:szCs w:val="28"/>
        </w:rPr>
      </w:pPr>
    </w:p>
    <w:p w14:paraId="469019FA" w14:textId="33622798" w:rsidR="00B45275" w:rsidRPr="00770D48" w:rsidRDefault="002108D1">
      <w:pPr>
        <w:jc w:val="both"/>
        <w:rPr>
          <w:rFonts w:ascii="Times New Roman" w:hAnsi="Times New Roman" w:cs="Times New Roman"/>
        </w:rPr>
      </w:pPr>
      <w:r>
        <w:rPr>
          <w:rFonts w:ascii="Times New Roman" w:hAnsi="Times New Roman" w:cs="Times New Roman"/>
          <w:b/>
          <w:bCs/>
          <w:sz w:val="28"/>
          <w:szCs w:val="28"/>
        </w:rPr>
        <w:lastRenderedPageBreak/>
        <w:t>Conclusion</w:t>
      </w:r>
    </w:p>
    <w:p w14:paraId="2141788B" w14:textId="77777777" w:rsidR="00B45275" w:rsidRDefault="002108D1">
      <w:pPr>
        <w:jc w:val="both"/>
        <w:rPr>
          <w:rFonts w:ascii="Times New Roman" w:hAnsi="Times New Roman" w:cs="Times New Roman"/>
        </w:rPr>
      </w:pPr>
      <w:r>
        <w:rPr>
          <w:rFonts w:ascii="Times New Roman" w:hAnsi="Times New Roman" w:cs="Times New Roman"/>
        </w:rPr>
        <w:t>An uncommon autoimmune blistering condition called linear IgA bullous dermatosis can have a variety of clini</w:t>
      </w:r>
      <w:r>
        <w:rPr>
          <w:rFonts w:ascii="Times New Roman" w:hAnsi="Times New Roman" w:cs="Times New Roman"/>
        </w:rPr>
        <w:t xml:space="preserve">cal manifestations, making diagnosis difficult. Clinicopathological association is crucial because the disease may resemble other vesiculobullous disorders including dermatitis herpetiformis and bullous pemphigoid. The gold standard for diagnosis is still </w:t>
      </w:r>
      <w:r>
        <w:rPr>
          <w:rFonts w:ascii="Times New Roman" w:hAnsi="Times New Roman" w:cs="Times New Roman"/>
        </w:rPr>
        <w:t xml:space="preserve">direct immunofluorescence showing linear IgA deposition along the basement membrane zone. Compared to the </w:t>
      </w:r>
      <w:proofErr w:type="spellStart"/>
      <w:r>
        <w:rPr>
          <w:rFonts w:ascii="Times New Roman" w:hAnsi="Times New Roman" w:cs="Times New Roman"/>
        </w:rPr>
        <w:t>pediatric</w:t>
      </w:r>
      <w:proofErr w:type="spellEnd"/>
      <w:r>
        <w:rPr>
          <w:rFonts w:ascii="Times New Roman" w:hAnsi="Times New Roman" w:cs="Times New Roman"/>
        </w:rPr>
        <w:t xml:space="preserve"> type of the disease, adult-onset LABD typically exhibits more variable clinical signs</w:t>
      </w:r>
      <w:r>
        <w:rPr>
          <w:rFonts w:ascii="Times New Roman" w:hAnsi="Times New Roman" w:cs="Times New Roman"/>
          <w:b/>
          <w:bCs/>
          <w:sz w:val="28"/>
          <w:szCs w:val="28"/>
        </w:rPr>
        <w:t>.</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Dapsone remains the most effective first-line treatme</w:t>
      </w:r>
      <w:r>
        <w:rPr>
          <w:rFonts w:ascii="Times New Roman" w:hAnsi="Times New Roman" w:cs="Times New Roman"/>
        </w:rPr>
        <w:t>nt due to its quick anti-neutrophil action and ability to regulate inflammation. Systemic corticosteroids may be administered as an adjuvant therapy in moderate to severe instances to help manage the condition more quickly. To avoid problems and enhance pa</w:t>
      </w:r>
      <w:r>
        <w:rPr>
          <w:rFonts w:ascii="Times New Roman" w:hAnsi="Times New Roman" w:cs="Times New Roman"/>
        </w:rPr>
        <w:t>tient outcomes, early diagnosis and timely beginning of appropriate therapy are crucial.</w:t>
      </w:r>
    </w:p>
    <w:p w14:paraId="67BA3579" w14:textId="77777777" w:rsidR="00B45275" w:rsidRDefault="00B45275">
      <w:pPr>
        <w:jc w:val="both"/>
        <w:rPr>
          <w:rFonts w:ascii="Times New Roman" w:hAnsi="Times New Roman" w:cs="Times New Roman"/>
          <w:b/>
          <w:bCs/>
          <w:sz w:val="28"/>
          <w:szCs w:val="28"/>
        </w:rPr>
      </w:pPr>
    </w:p>
    <w:p w14:paraId="6DA26003" w14:textId="77777777" w:rsidR="00B45275" w:rsidRDefault="002108D1">
      <w:pPr>
        <w:jc w:val="both"/>
        <w:rPr>
          <w:rFonts w:ascii="Times New Roman" w:hAnsi="Times New Roman" w:cs="Times New Roman"/>
          <w:b/>
          <w:bCs/>
        </w:rPr>
      </w:pPr>
      <w:r>
        <w:rPr>
          <w:rFonts w:ascii="Times New Roman" w:hAnsi="Times New Roman" w:cs="Times New Roman"/>
          <w:b/>
          <w:bCs/>
        </w:rPr>
        <w:t xml:space="preserve">ETHICAL APPROVAL AND CONSENT TO PARTICIPATE </w:t>
      </w:r>
    </w:p>
    <w:p w14:paraId="094A3300" w14:textId="77777777" w:rsidR="00B45275" w:rsidRDefault="002108D1">
      <w:pPr>
        <w:jc w:val="both"/>
        <w:rPr>
          <w:rFonts w:ascii="Times New Roman" w:hAnsi="Times New Roman" w:cs="Times New Roman"/>
        </w:rPr>
      </w:pPr>
      <w:r>
        <w:rPr>
          <w:rFonts w:ascii="Times New Roman" w:hAnsi="Times New Roman" w:cs="Times New Roman"/>
        </w:rPr>
        <w:t>Approval was obtained from the Institutional Ethics Committee of Dr. Pinnamaneni Siddhartha Institute of Medical Sciences</w:t>
      </w:r>
      <w:r>
        <w:rPr>
          <w:rFonts w:ascii="Times New Roman" w:hAnsi="Times New Roman" w:cs="Times New Roman"/>
        </w:rPr>
        <w:t xml:space="preserve"> &amp; Research Foundation.</w:t>
      </w:r>
    </w:p>
    <w:p w14:paraId="7E934DA7" w14:textId="77777777" w:rsidR="00B45275" w:rsidRDefault="002108D1">
      <w:pPr>
        <w:jc w:val="both"/>
        <w:rPr>
          <w:rFonts w:ascii="Times New Roman" w:hAnsi="Times New Roman" w:cs="Times New Roman"/>
          <w:b/>
          <w:bCs/>
        </w:rPr>
      </w:pPr>
      <w:r>
        <w:rPr>
          <w:rFonts w:ascii="Times New Roman" w:hAnsi="Times New Roman" w:cs="Times New Roman"/>
          <w:b/>
          <w:bCs/>
        </w:rPr>
        <w:t xml:space="preserve">PATIENT CONSENT </w:t>
      </w:r>
    </w:p>
    <w:p w14:paraId="74170AE2" w14:textId="77777777" w:rsidR="00B45275" w:rsidRDefault="002108D1">
      <w:pPr>
        <w:jc w:val="both"/>
        <w:rPr>
          <w:rFonts w:ascii="Times New Roman" w:hAnsi="Times New Roman" w:cs="Times New Roman"/>
          <w:b/>
          <w:bCs/>
        </w:rPr>
      </w:pPr>
      <w:r>
        <w:rPr>
          <w:rFonts w:ascii="Times New Roman" w:hAnsi="Times New Roman" w:cs="Times New Roman"/>
        </w:rPr>
        <w:t>Written informed consent was obtained from the patient for the publication of this case report</w:t>
      </w:r>
      <w:r>
        <w:rPr>
          <w:rFonts w:ascii="Times New Roman" w:hAnsi="Times New Roman" w:cs="Times New Roman"/>
          <w:b/>
          <w:bCs/>
        </w:rPr>
        <w:t>.</w:t>
      </w:r>
    </w:p>
    <w:p w14:paraId="33096CD3" w14:textId="77777777" w:rsidR="00B45275" w:rsidRDefault="002108D1">
      <w:pPr>
        <w:jc w:val="both"/>
        <w:rPr>
          <w:rFonts w:ascii="Times New Roman" w:hAnsi="Times New Roman" w:cs="Times New Roman"/>
          <w:b/>
          <w:bCs/>
        </w:rPr>
      </w:pPr>
      <w:r>
        <w:rPr>
          <w:rFonts w:ascii="Times New Roman" w:hAnsi="Times New Roman" w:cs="Times New Roman"/>
          <w:b/>
          <w:bCs/>
        </w:rPr>
        <w:t xml:space="preserve">CONFLICT OF INTEREST </w:t>
      </w:r>
    </w:p>
    <w:p w14:paraId="0BA0A3B6" w14:textId="77777777" w:rsidR="00B45275" w:rsidRDefault="002108D1">
      <w:pPr>
        <w:jc w:val="both"/>
        <w:rPr>
          <w:rFonts w:ascii="Times New Roman" w:hAnsi="Times New Roman" w:cs="Times New Roman"/>
        </w:rPr>
      </w:pPr>
      <w:r>
        <w:rPr>
          <w:rFonts w:ascii="Times New Roman" w:hAnsi="Times New Roman" w:cs="Times New Roman"/>
        </w:rPr>
        <w:t>The authors declare that there is no conflict of interest.</w:t>
      </w:r>
    </w:p>
    <w:p w14:paraId="16243483" w14:textId="77777777" w:rsidR="00200D0E" w:rsidRPr="00005ED1" w:rsidRDefault="00200D0E" w:rsidP="00200D0E">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5FF32B3" w14:textId="77777777" w:rsidR="00200D0E" w:rsidRPr="00005ED1" w:rsidRDefault="00200D0E" w:rsidP="00200D0E">
      <w:pPr>
        <w:pStyle w:val="NoSpacing"/>
        <w:rPr>
          <w:rFonts w:ascii="Arial" w:hAnsi="Arial" w:cs="Arial"/>
          <w:highlight w:val="yellow"/>
        </w:rPr>
      </w:pPr>
    </w:p>
    <w:p w14:paraId="2A48BDD8" w14:textId="77777777" w:rsidR="00200D0E" w:rsidRPr="00005ED1" w:rsidRDefault="00200D0E" w:rsidP="00200D0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43A7BF84" w14:textId="77777777" w:rsidR="00200D0E" w:rsidRDefault="00200D0E" w:rsidP="00200D0E">
      <w:pPr>
        <w:pStyle w:val="NoSpacing"/>
        <w:rPr>
          <w:rFonts w:ascii="Arial" w:hAnsi="Arial" w:cs="Arial"/>
        </w:rPr>
      </w:pPr>
    </w:p>
    <w:p w14:paraId="156AFFB3" w14:textId="77777777" w:rsidR="00200D0E" w:rsidRDefault="00200D0E" w:rsidP="00200D0E">
      <w:pPr>
        <w:pStyle w:val="NoSpacing"/>
        <w:rPr>
          <w:rFonts w:ascii="Arial" w:hAnsi="Arial" w:cs="Arial"/>
        </w:rPr>
      </w:pPr>
    </w:p>
    <w:p w14:paraId="44E03A36" w14:textId="77777777" w:rsidR="00200D0E" w:rsidRPr="00005ED1" w:rsidRDefault="00200D0E" w:rsidP="00200D0E">
      <w:pPr>
        <w:pStyle w:val="NoSpacing"/>
        <w:rPr>
          <w:rFonts w:ascii="Arial" w:hAnsi="Arial" w:cs="Arial"/>
        </w:rPr>
      </w:pPr>
    </w:p>
    <w:p w14:paraId="2CB5346A" w14:textId="77777777" w:rsidR="00B45275" w:rsidRDefault="00B45275">
      <w:pPr>
        <w:jc w:val="both"/>
        <w:rPr>
          <w:rFonts w:ascii="Times New Roman" w:hAnsi="Times New Roman" w:cs="Times New Roman"/>
        </w:rPr>
      </w:pPr>
      <w:bookmarkStart w:id="1" w:name="_GoBack"/>
      <w:bookmarkEnd w:id="1"/>
    </w:p>
    <w:p w14:paraId="3EA8A24C" w14:textId="77777777" w:rsidR="00B45275" w:rsidRDefault="002108D1">
      <w:pPr>
        <w:jc w:val="both"/>
        <w:rPr>
          <w:rFonts w:ascii="Times New Roman" w:hAnsi="Times New Roman" w:cs="Times New Roman"/>
          <w:b/>
          <w:bCs/>
        </w:rPr>
      </w:pPr>
      <w:r>
        <w:rPr>
          <w:rFonts w:ascii="Times New Roman" w:hAnsi="Times New Roman" w:cs="Times New Roman"/>
          <w:b/>
          <w:bCs/>
        </w:rPr>
        <w:t>REFERENCES:</w:t>
      </w:r>
    </w:p>
    <w:p w14:paraId="613F03AA" w14:textId="79DA1AA8" w:rsidR="005F64A9" w:rsidRPr="005F64A9" w:rsidRDefault="005F64A9" w:rsidP="005F64A9">
      <w:pPr>
        <w:pStyle w:val="ListParagraph"/>
        <w:numPr>
          <w:ilvl w:val="0"/>
          <w:numId w:val="5"/>
        </w:numPr>
        <w:jc w:val="both"/>
        <w:rPr>
          <w:rFonts w:ascii="Times New Roman" w:hAnsi="Times New Roman" w:cs="Times New Roman"/>
          <w:sz w:val="28"/>
          <w:szCs w:val="28"/>
        </w:rPr>
      </w:pPr>
      <w:proofErr w:type="spellStart"/>
      <w:r w:rsidRPr="005F64A9">
        <w:rPr>
          <w:rFonts w:ascii="Times New Roman" w:hAnsi="Times New Roman" w:cs="Times New Roman"/>
          <w:sz w:val="28"/>
          <w:szCs w:val="28"/>
        </w:rPr>
        <w:t>Cozzani</w:t>
      </w:r>
      <w:proofErr w:type="spellEnd"/>
      <w:r w:rsidRPr="005F64A9">
        <w:rPr>
          <w:rFonts w:ascii="Times New Roman" w:hAnsi="Times New Roman" w:cs="Times New Roman"/>
          <w:sz w:val="28"/>
          <w:szCs w:val="28"/>
        </w:rPr>
        <w:t xml:space="preserve"> E, Di </w:t>
      </w:r>
      <w:proofErr w:type="spellStart"/>
      <w:r w:rsidRPr="005F64A9">
        <w:rPr>
          <w:rFonts w:ascii="Times New Roman" w:hAnsi="Times New Roman" w:cs="Times New Roman"/>
          <w:sz w:val="28"/>
          <w:szCs w:val="28"/>
        </w:rPr>
        <w:t>Zenzo</w:t>
      </w:r>
      <w:proofErr w:type="spellEnd"/>
      <w:r w:rsidRPr="005F64A9">
        <w:rPr>
          <w:rFonts w:ascii="Times New Roman" w:hAnsi="Times New Roman" w:cs="Times New Roman"/>
          <w:sz w:val="28"/>
          <w:szCs w:val="28"/>
        </w:rPr>
        <w:t xml:space="preserve"> G, Gasparini G, </w:t>
      </w:r>
      <w:proofErr w:type="spellStart"/>
      <w:r w:rsidRPr="005F64A9">
        <w:rPr>
          <w:rFonts w:ascii="Times New Roman" w:hAnsi="Times New Roman" w:cs="Times New Roman"/>
          <w:sz w:val="28"/>
          <w:szCs w:val="28"/>
        </w:rPr>
        <w:t>Salemme</w:t>
      </w:r>
      <w:proofErr w:type="spellEnd"/>
      <w:r w:rsidRPr="005F64A9">
        <w:rPr>
          <w:rFonts w:ascii="Times New Roman" w:hAnsi="Times New Roman" w:cs="Times New Roman"/>
          <w:sz w:val="28"/>
          <w:szCs w:val="28"/>
        </w:rPr>
        <w:t xml:space="preserve"> A, </w:t>
      </w:r>
      <w:proofErr w:type="spellStart"/>
      <w:r w:rsidRPr="005F64A9">
        <w:rPr>
          <w:rFonts w:ascii="Times New Roman" w:hAnsi="Times New Roman" w:cs="Times New Roman"/>
          <w:sz w:val="28"/>
          <w:szCs w:val="28"/>
        </w:rPr>
        <w:t>Agnoletti</w:t>
      </w:r>
      <w:proofErr w:type="spellEnd"/>
      <w:r w:rsidRPr="005F64A9">
        <w:rPr>
          <w:rFonts w:ascii="Times New Roman" w:hAnsi="Times New Roman" w:cs="Times New Roman"/>
          <w:sz w:val="28"/>
          <w:szCs w:val="28"/>
        </w:rPr>
        <w:t xml:space="preserve"> A, Vassallo C, et al. Autoantibody profile of a cohort of 54 Italian patients with linear IgA bullous dermatosis: LAD-1 as a major autoantigen. Acta </w:t>
      </w:r>
      <w:proofErr w:type="spellStart"/>
      <w:r w:rsidRPr="005F64A9">
        <w:rPr>
          <w:rFonts w:ascii="Times New Roman" w:hAnsi="Times New Roman" w:cs="Times New Roman"/>
          <w:sz w:val="28"/>
          <w:szCs w:val="28"/>
        </w:rPr>
        <w:t>Derm</w:t>
      </w:r>
      <w:proofErr w:type="spellEnd"/>
      <w:r w:rsidRPr="005F64A9">
        <w:rPr>
          <w:rFonts w:ascii="Times New Roman" w:hAnsi="Times New Roman" w:cs="Times New Roman"/>
          <w:sz w:val="28"/>
          <w:szCs w:val="28"/>
        </w:rPr>
        <w:t xml:space="preserve"> </w:t>
      </w:r>
      <w:proofErr w:type="spellStart"/>
      <w:r w:rsidRPr="005F64A9">
        <w:rPr>
          <w:rFonts w:ascii="Times New Roman" w:hAnsi="Times New Roman" w:cs="Times New Roman"/>
          <w:sz w:val="28"/>
          <w:szCs w:val="28"/>
        </w:rPr>
        <w:t>Venereol</w:t>
      </w:r>
      <w:proofErr w:type="spellEnd"/>
      <w:r w:rsidRPr="005F64A9">
        <w:rPr>
          <w:rFonts w:ascii="Times New Roman" w:hAnsi="Times New Roman" w:cs="Times New Roman"/>
          <w:sz w:val="28"/>
          <w:szCs w:val="28"/>
        </w:rPr>
        <w:t>. 2020;100(4)</w:t>
      </w:r>
    </w:p>
    <w:p w14:paraId="497C8831" w14:textId="38AF795F" w:rsidR="005F64A9" w:rsidRPr="005F64A9" w:rsidRDefault="005F64A9" w:rsidP="005F64A9">
      <w:pPr>
        <w:pStyle w:val="ListParagraph"/>
        <w:numPr>
          <w:ilvl w:val="0"/>
          <w:numId w:val="5"/>
        </w:numPr>
        <w:jc w:val="both"/>
        <w:rPr>
          <w:rFonts w:ascii="Times New Roman" w:hAnsi="Times New Roman" w:cs="Times New Roman"/>
          <w:sz w:val="28"/>
          <w:szCs w:val="28"/>
        </w:rPr>
      </w:pPr>
      <w:r w:rsidRPr="005F64A9">
        <w:rPr>
          <w:rFonts w:ascii="Times New Roman" w:hAnsi="Times New Roman" w:cs="Times New Roman"/>
          <w:sz w:val="28"/>
          <w:szCs w:val="28"/>
        </w:rPr>
        <w:t xml:space="preserve">Genovese G, </w:t>
      </w:r>
      <w:proofErr w:type="spellStart"/>
      <w:r w:rsidRPr="005F64A9">
        <w:rPr>
          <w:rFonts w:ascii="Times New Roman" w:hAnsi="Times New Roman" w:cs="Times New Roman"/>
          <w:sz w:val="28"/>
          <w:szCs w:val="28"/>
        </w:rPr>
        <w:t>Venegoni</w:t>
      </w:r>
      <w:proofErr w:type="spellEnd"/>
      <w:r w:rsidRPr="005F64A9">
        <w:rPr>
          <w:rFonts w:ascii="Times New Roman" w:hAnsi="Times New Roman" w:cs="Times New Roman"/>
          <w:sz w:val="28"/>
          <w:szCs w:val="28"/>
        </w:rPr>
        <w:t xml:space="preserve"> L, </w:t>
      </w:r>
      <w:proofErr w:type="spellStart"/>
      <w:r w:rsidRPr="005F64A9">
        <w:rPr>
          <w:rFonts w:ascii="Times New Roman" w:hAnsi="Times New Roman" w:cs="Times New Roman"/>
          <w:sz w:val="28"/>
          <w:szCs w:val="28"/>
        </w:rPr>
        <w:t>Fanoni</w:t>
      </w:r>
      <w:proofErr w:type="spellEnd"/>
      <w:r w:rsidRPr="005F64A9">
        <w:rPr>
          <w:rFonts w:ascii="Times New Roman" w:hAnsi="Times New Roman" w:cs="Times New Roman"/>
          <w:sz w:val="28"/>
          <w:szCs w:val="28"/>
        </w:rPr>
        <w:t xml:space="preserve"> D, </w:t>
      </w:r>
      <w:proofErr w:type="spellStart"/>
      <w:r w:rsidRPr="005F64A9">
        <w:rPr>
          <w:rFonts w:ascii="Times New Roman" w:hAnsi="Times New Roman" w:cs="Times New Roman"/>
          <w:sz w:val="28"/>
          <w:szCs w:val="28"/>
        </w:rPr>
        <w:t>Muratori</w:t>
      </w:r>
      <w:proofErr w:type="spellEnd"/>
      <w:r w:rsidRPr="005F64A9">
        <w:rPr>
          <w:rFonts w:ascii="Times New Roman" w:hAnsi="Times New Roman" w:cs="Times New Roman"/>
          <w:sz w:val="28"/>
          <w:szCs w:val="28"/>
        </w:rPr>
        <w:t xml:space="preserve"> S, Berti E, Marzano AV. Linear IgA bullous dermatosis in adults and children: a clinical and immunopathological study of 38 patients. </w:t>
      </w:r>
      <w:proofErr w:type="spellStart"/>
      <w:r w:rsidRPr="005F64A9">
        <w:rPr>
          <w:rFonts w:ascii="Times New Roman" w:hAnsi="Times New Roman" w:cs="Times New Roman"/>
          <w:sz w:val="28"/>
          <w:szCs w:val="28"/>
        </w:rPr>
        <w:t>Orphanet</w:t>
      </w:r>
      <w:proofErr w:type="spellEnd"/>
      <w:r w:rsidRPr="005F64A9">
        <w:rPr>
          <w:rFonts w:ascii="Times New Roman" w:hAnsi="Times New Roman" w:cs="Times New Roman"/>
          <w:sz w:val="28"/>
          <w:szCs w:val="28"/>
        </w:rPr>
        <w:t xml:space="preserve"> J Rare Dis. 2019;14(1):115. </w:t>
      </w:r>
    </w:p>
    <w:p w14:paraId="4981AE2B" w14:textId="5611116C" w:rsidR="005F64A9" w:rsidRPr="005F64A9" w:rsidRDefault="005F64A9" w:rsidP="005F64A9">
      <w:pPr>
        <w:pStyle w:val="ListParagraph"/>
        <w:numPr>
          <w:ilvl w:val="0"/>
          <w:numId w:val="5"/>
        </w:numPr>
        <w:jc w:val="both"/>
        <w:rPr>
          <w:rFonts w:ascii="Times New Roman" w:hAnsi="Times New Roman" w:cs="Times New Roman"/>
          <w:sz w:val="28"/>
          <w:szCs w:val="28"/>
        </w:rPr>
      </w:pPr>
      <w:r w:rsidRPr="005F64A9">
        <w:rPr>
          <w:rFonts w:ascii="Times New Roman" w:hAnsi="Times New Roman" w:cs="Times New Roman"/>
          <w:sz w:val="28"/>
          <w:szCs w:val="28"/>
        </w:rPr>
        <w:lastRenderedPageBreak/>
        <w:t xml:space="preserve">Inamura E, </w:t>
      </w:r>
      <w:proofErr w:type="spellStart"/>
      <w:r w:rsidRPr="005F64A9">
        <w:rPr>
          <w:rFonts w:ascii="Times New Roman" w:hAnsi="Times New Roman" w:cs="Times New Roman"/>
          <w:sz w:val="28"/>
          <w:szCs w:val="28"/>
        </w:rPr>
        <w:t>Nishie</w:t>
      </w:r>
      <w:proofErr w:type="spellEnd"/>
      <w:r w:rsidRPr="005F64A9">
        <w:rPr>
          <w:rFonts w:ascii="Times New Roman" w:hAnsi="Times New Roman" w:cs="Times New Roman"/>
          <w:sz w:val="28"/>
          <w:szCs w:val="28"/>
        </w:rPr>
        <w:t xml:space="preserve"> W, Yamaguchi Y, Fujimura Y, </w:t>
      </w:r>
      <w:proofErr w:type="spellStart"/>
      <w:r w:rsidRPr="005F64A9">
        <w:rPr>
          <w:rFonts w:ascii="Times New Roman" w:hAnsi="Times New Roman" w:cs="Times New Roman"/>
          <w:sz w:val="28"/>
          <w:szCs w:val="28"/>
        </w:rPr>
        <w:t>Ujiie</w:t>
      </w:r>
      <w:proofErr w:type="spellEnd"/>
      <w:r w:rsidRPr="005F64A9">
        <w:rPr>
          <w:rFonts w:ascii="Times New Roman" w:hAnsi="Times New Roman" w:cs="Times New Roman"/>
          <w:sz w:val="28"/>
          <w:szCs w:val="28"/>
        </w:rPr>
        <w:t xml:space="preserve"> H, </w:t>
      </w:r>
      <w:proofErr w:type="spellStart"/>
      <w:r w:rsidRPr="005F64A9">
        <w:rPr>
          <w:rFonts w:ascii="Times New Roman" w:hAnsi="Times New Roman" w:cs="Times New Roman"/>
          <w:sz w:val="28"/>
          <w:szCs w:val="28"/>
        </w:rPr>
        <w:t>Natsuga</w:t>
      </w:r>
      <w:proofErr w:type="spellEnd"/>
      <w:r w:rsidRPr="005F64A9">
        <w:rPr>
          <w:rFonts w:ascii="Times New Roman" w:hAnsi="Times New Roman" w:cs="Times New Roman"/>
          <w:sz w:val="28"/>
          <w:szCs w:val="28"/>
        </w:rPr>
        <w:t xml:space="preserve"> K, et al. Linear IgA/IgG bullous dermatosis with autoantibodies to BP180. Br J Dermatol. 2020;182(4):1061–1062. </w:t>
      </w:r>
    </w:p>
    <w:p w14:paraId="0F0396D1" w14:textId="17A62260" w:rsidR="005F64A9" w:rsidRPr="005F64A9" w:rsidRDefault="005F64A9" w:rsidP="005F64A9">
      <w:pPr>
        <w:pStyle w:val="ListParagraph"/>
        <w:numPr>
          <w:ilvl w:val="0"/>
          <w:numId w:val="5"/>
        </w:numPr>
        <w:jc w:val="both"/>
        <w:rPr>
          <w:rFonts w:ascii="Times New Roman" w:hAnsi="Times New Roman" w:cs="Times New Roman"/>
          <w:sz w:val="28"/>
          <w:szCs w:val="28"/>
        </w:rPr>
      </w:pPr>
      <w:r w:rsidRPr="005F64A9">
        <w:rPr>
          <w:rFonts w:ascii="Times New Roman" w:hAnsi="Times New Roman" w:cs="Times New Roman"/>
          <w:sz w:val="28"/>
          <w:szCs w:val="28"/>
        </w:rPr>
        <w:t xml:space="preserve">Kim YR, Kim JH, Kim SW, Lee JM, Bae JS. Linear IgA bullous dermatosis in Korea using a nationwide database. J Clin Med. 2024;13(4):1159. </w:t>
      </w:r>
    </w:p>
    <w:p w14:paraId="17BD98AF" w14:textId="6BF3D354" w:rsidR="005F64A9" w:rsidRPr="005F64A9" w:rsidRDefault="005F64A9" w:rsidP="005F64A9">
      <w:pPr>
        <w:pStyle w:val="ListParagraph"/>
        <w:numPr>
          <w:ilvl w:val="0"/>
          <w:numId w:val="5"/>
        </w:numPr>
        <w:jc w:val="both"/>
        <w:rPr>
          <w:rFonts w:ascii="Times New Roman" w:hAnsi="Times New Roman" w:cs="Times New Roman"/>
          <w:sz w:val="28"/>
          <w:szCs w:val="28"/>
        </w:rPr>
      </w:pPr>
      <w:r w:rsidRPr="005F64A9">
        <w:rPr>
          <w:rFonts w:ascii="Times New Roman" w:hAnsi="Times New Roman" w:cs="Times New Roman"/>
          <w:sz w:val="28"/>
          <w:szCs w:val="28"/>
        </w:rPr>
        <w:t>Kowalewski C, Wozniak K. Linear IgA bullous dermatosis: a fifty-year experience. Front Immunol. 2024;15</w:t>
      </w:r>
      <w:r>
        <w:rPr>
          <w:rFonts w:ascii="Times New Roman" w:hAnsi="Times New Roman" w:cs="Times New Roman"/>
          <w:sz w:val="28"/>
          <w:szCs w:val="28"/>
        </w:rPr>
        <w:t>.</w:t>
      </w:r>
    </w:p>
    <w:p w14:paraId="5F97335C" w14:textId="7C151F1A" w:rsidR="005F64A9" w:rsidRPr="005F64A9" w:rsidRDefault="005F64A9" w:rsidP="005F64A9">
      <w:pPr>
        <w:pStyle w:val="ListParagraph"/>
        <w:numPr>
          <w:ilvl w:val="0"/>
          <w:numId w:val="5"/>
        </w:numPr>
        <w:jc w:val="both"/>
        <w:rPr>
          <w:rFonts w:ascii="Times New Roman" w:hAnsi="Times New Roman" w:cs="Times New Roman"/>
          <w:sz w:val="28"/>
          <w:szCs w:val="28"/>
        </w:rPr>
      </w:pPr>
      <w:r w:rsidRPr="005F64A9">
        <w:rPr>
          <w:rFonts w:ascii="Times New Roman" w:hAnsi="Times New Roman" w:cs="Times New Roman"/>
          <w:sz w:val="28"/>
          <w:szCs w:val="28"/>
        </w:rPr>
        <w:t>Wiggins CJ, Chon SY. Vancomycin-induced linear IgA bullous dermatosis. Proc (</w:t>
      </w:r>
      <w:proofErr w:type="spellStart"/>
      <w:r w:rsidRPr="005F64A9">
        <w:rPr>
          <w:rFonts w:ascii="Times New Roman" w:hAnsi="Times New Roman" w:cs="Times New Roman"/>
          <w:sz w:val="28"/>
          <w:szCs w:val="28"/>
        </w:rPr>
        <w:t>Bayl</w:t>
      </w:r>
      <w:proofErr w:type="spellEnd"/>
      <w:r w:rsidRPr="005F64A9">
        <w:rPr>
          <w:rFonts w:ascii="Times New Roman" w:hAnsi="Times New Roman" w:cs="Times New Roman"/>
          <w:sz w:val="28"/>
          <w:szCs w:val="28"/>
        </w:rPr>
        <w:t xml:space="preserve"> </w:t>
      </w:r>
      <w:proofErr w:type="spellStart"/>
      <w:r w:rsidRPr="005F64A9">
        <w:rPr>
          <w:rFonts w:ascii="Times New Roman" w:hAnsi="Times New Roman" w:cs="Times New Roman"/>
          <w:sz w:val="28"/>
          <w:szCs w:val="28"/>
        </w:rPr>
        <w:t>Univ</w:t>
      </w:r>
      <w:proofErr w:type="spellEnd"/>
      <w:r w:rsidRPr="005F64A9">
        <w:rPr>
          <w:rFonts w:ascii="Times New Roman" w:hAnsi="Times New Roman" w:cs="Times New Roman"/>
          <w:sz w:val="28"/>
          <w:szCs w:val="28"/>
        </w:rPr>
        <w:t xml:space="preserve"> Med Cent). 2021;34(1):83–84. </w:t>
      </w:r>
    </w:p>
    <w:p w14:paraId="469A3CB1" w14:textId="3958F230" w:rsidR="005F64A9" w:rsidRPr="005F64A9" w:rsidRDefault="005F64A9" w:rsidP="005F64A9">
      <w:pPr>
        <w:pStyle w:val="ListParagraph"/>
        <w:numPr>
          <w:ilvl w:val="0"/>
          <w:numId w:val="5"/>
        </w:numPr>
        <w:jc w:val="both"/>
        <w:rPr>
          <w:rFonts w:ascii="Times New Roman" w:hAnsi="Times New Roman" w:cs="Times New Roman"/>
          <w:sz w:val="28"/>
          <w:szCs w:val="28"/>
        </w:rPr>
      </w:pPr>
      <w:r w:rsidRPr="005F64A9">
        <w:rPr>
          <w:rFonts w:ascii="Times New Roman" w:hAnsi="Times New Roman" w:cs="Times New Roman"/>
          <w:sz w:val="28"/>
          <w:szCs w:val="28"/>
        </w:rPr>
        <w:t xml:space="preserve">Park JS, Hamilton CD, Patel S, Lee JB, Hsu S. Stevens-Johnson syndrome or linear IgA bullous dermatosis? Cureus. 2022;14(10):30309. </w:t>
      </w:r>
    </w:p>
    <w:p w14:paraId="64839CE1" w14:textId="6736B8B5" w:rsidR="00B45275" w:rsidRPr="005F64A9" w:rsidRDefault="005F64A9" w:rsidP="005F64A9">
      <w:pPr>
        <w:pStyle w:val="ListParagraph"/>
        <w:numPr>
          <w:ilvl w:val="0"/>
          <w:numId w:val="5"/>
        </w:numPr>
        <w:jc w:val="both"/>
        <w:rPr>
          <w:rFonts w:ascii="Times New Roman" w:hAnsi="Times New Roman" w:cs="Times New Roman"/>
          <w:sz w:val="28"/>
          <w:szCs w:val="28"/>
        </w:rPr>
      </w:pPr>
      <w:r w:rsidRPr="005F64A9">
        <w:rPr>
          <w:rFonts w:ascii="Times New Roman" w:hAnsi="Times New Roman" w:cs="Times New Roman"/>
          <w:sz w:val="28"/>
          <w:szCs w:val="28"/>
        </w:rPr>
        <w:t xml:space="preserve">Khan M, Park L, </w:t>
      </w:r>
      <w:proofErr w:type="spellStart"/>
      <w:r w:rsidRPr="005F64A9">
        <w:rPr>
          <w:rFonts w:ascii="Times New Roman" w:hAnsi="Times New Roman" w:cs="Times New Roman"/>
          <w:sz w:val="28"/>
          <w:szCs w:val="28"/>
        </w:rPr>
        <w:t>Skopit</w:t>
      </w:r>
      <w:proofErr w:type="spellEnd"/>
      <w:r w:rsidRPr="005F64A9">
        <w:rPr>
          <w:rFonts w:ascii="Times New Roman" w:hAnsi="Times New Roman" w:cs="Times New Roman"/>
          <w:sz w:val="28"/>
          <w:szCs w:val="28"/>
        </w:rPr>
        <w:t xml:space="preserve"> S. Management options for linear IgA bullous dermatosis: a review. Cureus. 2023;15(3):36481.</w:t>
      </w:r>
    </w:p>
    <w:sectPr w:rsidR="00B45275" w:rsidRPr="005F64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558D4" w14:textId="77777777" w:rsidR="002108D1" w:rsidRDefault="002108D1">
      <w:pPr>
        <w:spacing w:line="240" w:lineRule="auto"/>
      </w:pPr>
      <w:r>
        <w:separator/>
      </w:r>
    </w:p>
  </w:endnote>
  <w:endnote w:type="continuationSeparator" w:id="0">
    <w:p w14:paraId="100E4DAB" w14:textId="77777777" w:rsidR="002108D1" w:rsidRDefault="00210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CBFEE" w14:textId="77777777" w:rsidR="002108D1" w:rsidRDefault="002108D1">
      <w:pPr>
        <w:spacing w:after="0"/>
      </w:pPr>
      <w:r>
        <w:separator/>
      </w:r>
    </w:p>
  </w:footnote>
  <w:footnote w:type="continuationSeparator" w:id="0">
    <w:p w14:paraId="160068F5" w14:textId="77777777" w:rsidR="002108D1" w:rsidRDefault="002108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BA6"/>
    <w:multiLevelType w:val="multilevel"/>
    <w:tmpl w:val="06260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B4BDE"/>
    <w:multiLevelType w:val="hybridMultilevel"/>
    <w:tmpl w:val="93000364"/>
    <w:lvl w:ilvl="0" w:tplc="2286E8A4">
      <w:numFmt w:val="bullet"/>
      <w:lvlText w:val=""/>
      <w:lvlJc w:val="left"/>
      <w:pPr>
        <w:ind w:left="792" w:hanging="432"/>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921273"/>
    <w:multiLevelType w:val="multilevel"/>
    <w:tmpl w:val="219212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97634A"/>
    <w:multiLevelType w:val="hybridMultilevel"/>
    <w:tmpl w:val="9B8E3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D033CD"/>
    <w:multiLevelType w:val="hybridMultilevel"/>
    <w:tmpl w:val="FEC0BFC8"/>
    <w:lvl w:ilvl="0" w:tplc="0332EEA0">
      <w:numFmt w:val="bullet"/>
      <w:lvlText w:val=""/>
      <w:lvlJc w:val="left"/>
      <w:pPr>
        <w:ind w:left="744" w:hanging="384"/>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25D3CF9"/>
    <w:multiLevelType w:val="hybridMultilevel"/>
    <w:tmpl w:val="B02299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75"/>
    <w:rsid w:val="00020A59"/>
    <w:rsid w:val="00056689"/>
    <w:rsid w:val="001304EF"/>
    <w:rsid w:val="001631CE"/>
    <w:rsid w:val="001D70CB"/>
    <w:rsid w:val="00200D0E"/>
    <w:rsid w:val="0021089E"/>
    <w:rsid w:val="002108D1"/>
    <w:rsid w:val="00257DD7"/>
    <w:rsid w:val="00297271"/>
    <w:rsid w:val="003350A9"/>
    <w:rsid w:val="00353D01"/>
    <w:rsid w:val="003900E0"/>
    <w:rsid w:val="004F4459"/>
    <w:rsid w:val="00520C25"/>
    <w:rsid w:val="005615C6"/>
    <w:rsid w:val="00566442"/>
    <w:rsid w:val="00587762"/>
    <w:rsid w:val="005C3E26"/>
    <w:rsid w:val="005E098B"/>
    <w:rsid w:val="005F6211"/>
    <w:rsid w:val="005F64A9"/>
    <w:rsid w:val="006379B0"/>
    <w:rsid w:val="00671362"/>
    <w:rsid w:val="00714A2F"/>
    <w:rsid w:val="00765B75"/>
    <w:rsid w:val="00770D48"/>
    <w:rsid w:val="007900AF"/>
    <w:rsid w:val="007A1450"/>
    <w:rsid w:val="007B5B24"/>
    <w:rsid w:val="007B6C34"/>
    <w:rsid w:val="007E09D1"/>
    <w:rsid w:val="008502C0"/>
    <w:rsid w:val="0097509B"/>
    <w:rsid w:val="00A778E6"/>
    <w:rsid w:val="00B45275"/>
    <w:rsid w:val="00B67A2D"/>
    <w:rsid w:val="00BD011D"/>
    <w:rsid w:val="00BD6236"/>
    <w:rsid w:val="00D3622B"/>
    <w:rsid w:val="00D36FC4"/>
    <w:rsid w:val="00DA311B"/>
    <w:rsid w:val="00DE5C92"/>
    <w:rsid w:val="00E36037"/>
    <w:rsid w:val="00EB26CE"/>
    <w:rsid w:val="00EB742D"/>
    <w:rsid w:val="00F06D74"/>
    <w:rsid w:val="00F504D6"/>
    <w:rsid w:val="1DBF56E4"/>
    <w:rsid w:val="24D7683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56CD"/>
  <w15:docId w15:val="{008E0B27-5618-4BF2-ABCD-D5801020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rl">
    <w:name w:val="url"/>
    <w:basedOn w:val="DefaultParagraphFont"/>
  </w:style>
  <w:style w:type="paragraph" w:styleId="NoSpacing">
    <w:name w:val="No Spacing"/>
    <w:uiPriority w:val="1"/>
    <w:qFormat/>
    <w:rsid w:val="00200D0E"/>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D135-6F5C-4FFB-92DE-74B11845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monicasinguluri7@gmail.com</dc:creator>
  <cp:lastModifiedBy>SDI 1186</cp:lastModifiedBy>
  <cp:revision>4</cp:revision>
  <dcterms:created xsi:type="dcterms:W3CDTF">2026-03-21T16:38:00Z</dcterms:created>
  <dcterms:modified xsi:type="dcterms:W3CDTF">2026-03-23T06:56:00Z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382ff68a-f431-46e3-8d4c-caa52cb81079</vt:lpwstr>
  </property>
  <property fmtid="{D5CDD505-2E9C-101B-9397-08002B2CF9AE}" pid="3" name="KSOProductBuildVer">
    <vt:lpwstr>1033-12.2.0.23196</vt:lpwstr>
  </property>
  <property fmtid="{D5CDD505-2E9C-101B-9397-08002B2CF9AE}" pid="4" name="ICV">
    <vt:lpwstr>C339A0EC616E415DB3CC16430A724805_13</vt:lpwstr>
  </property>
</Properties>
</file>