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FC019" w14:textId="77777777" w:rsidR="00D158BD" w:rsidRDefault="00D158BD" w:rsidP="004B6575">
      <w:pPr>
        <w:jc w:val="center"/>
        <w:rPr>
          <w:rFonts w:ascii="Times New Roman" w:hAnsi="Times New Roman" w:cs="Times New Roman"/>
          <w:b/>
          <w:bCs/>
          <w:sz w:val="24"/>
          <w:szCs w:val="24"/>
          <w:lang w:val="en-GB"/>
        </w:rPr>
      </w:pPr>
      <w:r w:rsidRPr="00D158BD">
        <w:rPr>
          <w:rFonts w:ascii="Times New Roman" w:hAnsi="Times New Roman" w:cs="Times New Roman"/>
          <w:b/>
          <w:bCs/>
          <w:sz w:val="24"/>
          <w:szCs w:val="24"/>
          <w:lang w:val="en-GB"/>
        </w:rPr>
        <w:t xml:space="preserve">Original Research Article </w:t>
      </w:r>
    </w:p>
    <w:p w14:paraId="754B0FA6" w14:textId="77777777" w:rsidR="00A56956" w:rsidRDefault="00A56956" w:rsidP="004B6575">
      <w:pPr>
        <w:jc w:val="center"/>
        <w:rPr>
          <w:rFonts w:ascii="Times New Roman" w:hAnsi="Times New Roman" w:cs="Times New Roman"/>
          <w:b/>
          <w:bCs/>
          <w:sz w:val="24"/>
          <w:szCs w:val="24"/>
          <w:lang w:val="en-GB"/>
        </w:rPr>
      </w:pPr>
    </w:p>
    <w:p w14:paraId="08C2B434" w14:textId="0A57892A" w:rsidR="00AE5126" w:rsidRDefault="00104133" w:rsidP="00104133">
      <w:pPr>
        <w:jc w:val="center"/>
        <w:rPr>
          <w:lang w:val="en-GB"/>
        </w:rPr>
      </w:pPr>
      <w:r w:rsidRPr="00104133">
        <w:rPr>
          <w:rFonts w:ascii="Times New Roman" w:hAnsi="Times New Roman" w:cs="Times New Roman"/>
          <w:b/>
          <w:bCs/>
          <w:sz w:val="24"/>
          <w:szCs w:val="24"/>
          <w:lang w:val="en-GB"/>
        </w:rPr>
        <w:t>Effects of Eichhornia crassipes Aqueous Extract and Organic Manure on Root Gall Severity in Beetroot (Beta vulgaris) in Togo</w:t>
      </w:r>
    </w:p>
    <w:p w14:paraId="5E498A86" w14:textId="77777777" w:rsidR="00BA01B3" w:rsidRPr="00BA01B3" w:rsidRDefault="00BA01B3" w:rsidP="00BA01B3">
      <w:pPr>
        <w:spacing w:before="100" w:beforeAutospacing="1" w:after="100" w:afterAutospacing="1" w:line="240" w:lineRule="auto"/>
        <w:outlineLvl w:val="2"/>
        <w:rPr>
          <w:rFonts w:ascii="Times New Roman" w:eastAsia="Times New Roman" w:hAnsi="Times New Roman" w:cs="Times New Roman"/>
          <w:b/>
          <w:bCs/>
          <w:kern w:val="0"/>
          <w:sz w:val="27"/>
          <w:szCs w:val="27"/>
          <w:lang w:val="en-GB" w:eastAsia="fr-FR"/>
          <w14:ligatures w14:val="none"/>
        </w:rPr>
      </w:pPr>
      <w:r w:rsidRPr="00BA01B3">
        <w:rPr>
          <w:rFonts w:ascii="Times New Roman" w:eastAsia="Times New Roman" w:hAnsi="Times New Roman" w:cs="Times New Roman"/>
          <w:b/>
          <w:bCs/>
          <w:kern w:val="0"/>
          <w:sz w:val="27"/>
          <w:szCs w:val="27"/>
          <w:lang w:val="en-GB" w:eastAsia="fr-FR"/>
          <w14:ligatures w14:val="none"/>
        </w:rPr>
        <w:t>ABSTRACT</w:t>
      </w:r>
    </w:p>
    <w:p w14:paraId="0B8E08D5" w14:textId="13CF76F3" w:rsidR="00BA01B3" w:rsidRPr="00BA01B3" w:rsidRDefault="00BA01B3" w:rsidP="00BA01B3">
      <w:pPr>
        <w:spacing w:before="100" w:beforeAutospacing="1" w:after="100" w:afterAutospacing="1" w:line="276" w:lineRule="auto"/>
        <w:jc w:val="both"/>
        <w:rPr>
          <w:rFonts w:ascii="Times New Roman" w:eastAsia="Times New Roman" w:hAnsi="Times New Roman" w:cs="Times New Roman"/>
          <w:kern w:val="0"/>
          <w:sz w:val="24"/>
          <w:szCs w:val="24"/>
          <w:lang w:val="en-GB" w:eastAsia="fr-FR"/>
          <w14:ligatures w14:val="none"/>
        </w:rPr>
      </w:pPr>
      <w:r w:rsidRPr="00BA01B3">
        <w:rPr>
          <w:rFonts w:ascii="Times New Roman" w:eastAsia="Times New Roman" w:hAnsi="Times New Roman" w:cs="Times New Roman"/>
          <w:kern w:val="0"/>
          <w:sz w:val="24"/>
          <w:szCs w:val="24"/>
          <w:lang w:val="en-GB" w:eastAsia="fr-FR"/>
          <w14:ligatures w14:val="none"/>
        </w:rPr>
        <w:t xml:space="preserve">Plant-parasitic nematodes of the genus </w:t>
      </w:r>
      <w:r w:rsidRPr="00BA01B3">
        <w:rPr>
          <w:rFonts w:ascii="Times New Roman" w:eastAsia="Times New Roman" w:hAnsi="Times New Roman" w:cs="Times New Roman"/>
          <w:i/>
          <w:iCs/>
          <w:kern w:val="0"/>
          <w:sz w:val="24"/>
          <w:szCs w:val="24"/>
          <w:lang w:val="en-GB" w:eastAsia="fr-FR"/>
          <w14:ligatures w14:val="none"/>
        </w:rPr>
        <w:t>Meloidogyne</w:t>
      </w:r>
      <w:r w:rsidRPr="00BA01B3">
        <w:rPr>
          <w:rFonts w:ascii="Times New Roman" w:eastAsia="Times New Roman" w:hAnsi="Times New Roman" w:cs="Times New Roman"/>
          <w:kern w:val="0"/>
          <w:sz w:val="24"/>
          <w:szCs w:val="24"/>
          <w:lang w:val="en-GB" w:eastAsia="fr-FR"/>
          <w14:ligatures w14:val="none"/>
        </w:rPr>
        <w:t xml:space="preserve"> represent a major constraint to beetroot production in Togo. This study, conducted at the Agronomic Experimental Station of the University of Lomé, aimed to evaluate the combined effectiveness of organic manure and aqueous extracts of water hyacinth (</w:t>
      </w:r>
      <w:r w:rsidRPr="00BA01B3">
        <w:rPr>
          <w:rFonts w:ascii="Times New Roman" w:eastAsia="Times New Roman" w:hAnsi="Times New Roman" w:cs="Times New Roman"/>
          <w:i/>
          <w:iCs/>
          <w:kern w:val="0"/>
          <w:sz w:val="24"/>
          <w:szCs w:val="24"/>
          <w:lang w:val="en-GB" w:eastAsia="fr-FR"/>
          <w14:ligatures w14:val="none"/>
        </w:rPr>
        <w:t>Eichhornia crassipes</w:t>
      </w:r>
      <w:r w:rsidRPr="00BA01B3">
        <w:rPr>
          <w:rFonts w:ascii="Times New Roman" w:eastAsia="Times New Roman" w:hAnsi="Times New Roman" w:cs="Times New Roman"/>
          <w:kern w:val="0"/>
          <w:sz w:val="24"/>
          <w:szCs w:val="24"/>
          <w:lang w:val="en-GB" w:eastAsia="fr-FR"/>
          <w14:ligatures w14:val="none"/>
        </w:rPr>
        <w:t xml:space="preserve">) in nematode management and yield improvement. The experiment was arranged in a split-plot design with nine treatments and three replications, </w:t>
      </w:r>
      <w:r w:rsidR="00172FD5" w:rsidRPr="00172FD5">
        <w:rPr>
          <w:rFonts w:ascii="Times New Roman" w:eastAsia="Times New Roman" w:hAnsi="Times New Roman" w:cs="Times New Roman"/>
          <w:kern w:val="0"/>
          <w:sz w:val="24"/>
          <w:szCs w:val="24"/>
          <w:lang w:val="en-GB" w:eastAsia="fr-FR"/>
          <w14:ligatures w14:val="none"/>
        </w:rPr>
        <w:t>In this experiment, the main plot factor consisted of three organic manure application rates (0, 10, and 15 t/ha), while the subplot factor consisted of three formulations: Furadan, aqueous extract from the aerial parts of water hyacinth, and aqueous extract from the submerged parts of water hyacinth.</w:t>
      </w:r>
      <w:r w:rsidRPr="00BA01B3">
        <w:rPr>
          <w:rFonts w:ascii="Times New Roman" w:eastAsia="Times New Roman" w:hAnsi="Times New Roman" w:cs="Times New Roman"/>
          <w:kern w:val="0"/>
          <w:sz w:val="24"/>
          <w:szCs w:val="24"/>
          <w:lang w:val="en-GB" w:eastAsia="fr-FR"/>
          <w14:ligatures w14:val="none"/>
        </w:rPr>
        <w:t>.Results showed that organic manure and aqueous extracts enhanced nematode control and promoted plant growth. The combination of 15 t/ha organic manure with Furadan reduced soil nematode density by 60.69%. In roots, the greatest reduction (65.03%) was obtained with 15 t/ha manure combined with the submerged-part extract, lowering the mean nematode population to 5.01 individuals. This treatment also produced the highest root yield (54.25 t/ha). The lowest gall index (1.93) was recorded under the same treatment, corresponding to a 69.56% reduction in infestation compared with Furadan alone.</w:t>
      </w:r>
      <w:r w:rsidR="00712358">
        <w:rPr>
          <w:rFonts w:ascii="Times New Roman" w:eastAsia="Times New Roman" w:hAnsi="Times New Roman" w:cs="Times New Roman"/>
          <w:kern w:val="0"/>
          <w:sz w:val="24"/>
          <w:szCs w:val="24"/>
          <w:lang w:val="en-GB" w:eastAsia="fr-FR"/>
          <w14:ligatures w14:val="none"/>
        </w:rPr>
        <w:t xml:space="preserve"> </w:t>
      </w:r>
      <w:r w:rsidR="007753AD" w:rsidRPr="007753AD">
        <w:rPr>
          <w:rFonts w:ascii="Times New Roman" w:eastAsia="Times New Roman" w:hAnsi="Times New Roman" w:cs="Times New Roman"/>
          <w:kern w:val="0"/>
          <w:sz w:val="24"/>
          <w:szCs w:val="24"/>
          <w:lang w:val="en-GB" w:eastAsia="fr-FR"/>
          <w14:ligatures w14:val="none"/>
        </w:rPr>
        <w:t>These findings suggest that the integration of organic manure with water hyacinth extract, particularly the submerged-part extract, may serve as an effective alternative approach for nematode management in beetroot production.</w:t>
      </w:r>
    </w:p>
    <w:p w14:paraId="09C3C5A2" w14:textId="7DD02FF6" w:rsidR="001B583A" w:rsidRDefault="00BA01B3" w:rsidP="001B583A">
      <w:pPr>
        <w:spacing w:before="100" w:beforeAutospacing="1" w:after="100" w:afterAutospacing="1" w:line="360" w:lineRule="auto"/>
        <w:rPr>
          <w:rFonts w:ascii="Times New Roman" w:eastAsia="Times New Roman" w:hAnsi="Times New Roman" w:cs="Times New Roman"/>
          <w:kern w:val="0"/>
          <w:sz w:val="24"/>
          <w:szCs w:val="24"/>
          <w:lang w:val="en-GB" w:eastAsia="fr-FR"/>
          <w14:ligatures w14:val="none"/>
        </w:rPr>
      </w:pPr>
      <w:r w:rsidRPr="00BA01B3">
        <w:rPr>
          <w:rFonts w:ascii="Times New Roman" w:eastAsia="Times New Roman" w:hAnsi="Times New Roman" w:cs="Times New Roman"/>
          <w:b/>
          <w:bCs/>
          <w:kern w:val="0"/>
          <w:sz w:val="24"/>
          <w:szCs w:val="24"/>
          <w:lang w:val="en-GB" w:eastAsia="fr-FR"/>
          <w14:ligatures w14:val="none"/>
        </w:rPr>
        <w:t>Keywords:</w:t>
      </w:r>
      <w:r w:rsidRPr="00BA01B3">
        <w:rPr>
          <w:rFonts w:ascii="Times New Roman" w:eastAsia="Times New Roman" w:hAnsi="Times New Roman" w:cs="Times New Roman"/>
          <w:kern w:val="0"/>
          <w:sz w:val="24"/>
          <w:szCs w:val="24"/>
          <w:lang w:val="en-GB" w:eastAsia="fr-FR"/>
          <w14:ligatures w14:val="none"/>
        </w:rPr>
        <w:t xml:space="preserve"> Beetroot, Plant-parasitic nematodes, </w:t>
      </w:r>
      <w:r w:rsidRPr="00BA01B3">
        <w:rPr>
          <w:rFonts w:ascii="Times New Roman" w:eastAsia="Times New Roman" w:hAnsi="Times New Roman" w:cs="Times New Roman"/>
          <w:i/>
          <w:iCs/>
          <w:kern w:val="0"/>
          <w:sz w:val="24"/>
          <w:szCs w:val="24"/>
          <w:lang w:val="en-GB" w:eastAsia="fr-FR"/>
          <w14:ligatures w14:val="none"/>
        </w:rPr>
        <w:t>Eichhornia crassipes</w:t>
      </w:r>
      <w:r w:rsidRPr="00BA01B3">
        <w:rPr>
          <w:rFonts w:ascii="Times New Roman" w:eastAsia="Times New Roman" w:hAnsi="Times New Roman" w:cs="Times New Roman"/>
          <w:kern w:val="0"/>
          <w:sz w:val="24"/>
          <w:szCs w:val="24"/>
          <w:lang w:val="en-GB" w:eastAsia="fr-FR"/>
          <w14:ligatures w14:val="none"/>
        </w:rPr>
        <w:t>, Organic manure, Sustainable management.</w:t>
      </w:r>
    </w:p>
    <w:p w14:paraId="7DBA9574" w14:textId="77777777" w:rsidR="001B583A" w:rsidRPr="001B583A" w:rsidRDefault="001B583A" w:rsidP="001B583A">
      <w:pPr>
        <w:spacing w:before="100" w:beforeAutospacing="1" w:after="100" w:afterAutospacing="1" w:line="360" w:lineRule="auto"/>
        <w:rPr>
          <w:rFonts w:ascii="Times New Roman" w:eastAsia="Times New Roman" w:hAnsi="Times New Roman" w:cs="Times New Roman"/>
          <w:kern w:val="0"/>
          <w:sz w:val="24"/>
          <w:szCs w:val="24"/>
          <w:lang w:val="en-GB" w:eastAsia="fr-FR"/>
          <w14:ligatures w14:val="none"/>
        </w:rPr>
      </w:pPr>
    </w:p>
    <w:p w14:paraId="1A299F45" w14:textId="77777777" w:rsidR="00467D95" w:rsidRPr="00467D95" w:rsidRDefault="00467D95" w:rsidP="00475EF2">
      <w:pPr>
        <w:pStyle w:val="Titre1"/>
        <w:rPr>
          <w:rFonts w:eastAsia="Times New Roman"/>
          <w:b w:val="0"/>
          <w:lang w:eastAsia="fr-FR"/>
        </w:rPr>
      </w:pPr>
      <w:bookmarkStart w:id="0" w:name="_Toc223349562"/>
      <w:r w:rsidRPr="00467D95">
        <w:rPr>
          <w:rFonts w:eastAsia="Times New Roman"/>
          <w:lang w:eastAsia="fr-FR"/>
        </w:rPr>
        <w:t>Introduction</w:t>
      </w:r>
      <w:bookmarkEnd w:id="0"/>
    </w:p>
    <w:p w14:paraId="5D3A70D8" w14:textId="724506B8" w:rsidR="000E7F8A" w:rsidRPr="000E7F8A" w:rsidRDefault="000E7F8A" w:rsidP="000E7F8A">
      <w:pPr>
        <w:pStyle w:val="NormalWeb"/>
        <w:spacing w:line="360" w:lineRule="auto"/>
        <w:jc w:val="both"/>
        <w:rPr>
          <w:lang w:val="en-GB"/>
        </w:rPr>
      </w:pPr>
      <w:r w:rsidRPr="000E7F8A">
        <w:rPr>
          <w:lang w:val="en-GB"/>
        </w:rPr>
        <w:t xml:space="preserve">Vegetable crops constitute a key component of food security and household income in West Africa. In Togo, they are widely cultivated in both rural and urban areas, with approximately 43 species distributed across 30 genera and 17 families (Kanda </w:t>
      </w:r>
      <w:r w:rsidRPr="005F1110">
        <w:rPr>
          <w:i/>
          <w:iCs/>
          <w:lang w:val="en-GB"/>
        </w:rPr>
        <w:t>et al.,</w:t>
      </w:r>
      <w:r w:rsidRPr="000E7F8A">
        <w:rPr>
          <w:lang w:val="en-GB"/>
        </w:rPr>
        <w:t xml:space="preserve"> 2014). Among these crops is beetroot (</w:t>
      </w:r>
      <w:r w:rsidRPr="000E7F8A">
        <w:rPr>
          <w:rStyle w:val="Accentuation"/>
          <w:rFonts w:eastAsiaTheme="majorEastAsia"/>
          <w:lang w:val="en-GB"/>
        </w:rPr>
        <w:t>Beta vulgaris</w:t>
      </w:r>
      <w:r w:rsidRPr="000E7F8A">
        <w:rPr>
          <w:lang w:val="en-GB"/>
        </w:rPr>
        <w:t xml:space="preserve"> subsp. </w:t>
      </w:r>
      <w:r w:rsidRPr="000E7F8A">
        <w:rPr>
          <w:rStyle w:val="Accentuation"/>
          <w:rFonts w:eastAsiaTheme="majorEastAsia"/>
          <w:lang w:val="en-GB"/>
        </w:rPr>
        <w:t>vulgaris</w:t>
      </w:r>
      <w:r w:rsidRPr="000E7F8A">
        <w:rPr>
          <w:lang w:val="en-GB"/>
        </w:rPr>
        <w:t xml:space="preserve">), a root vegetable rich in carbohydrates and micronutrients, valued for its culinary versatility and nutritional properties. However, its production is severely constrained by plant-parasitic nematodes, particularly species of the genus </w:t>
      </w:r>
      <w:r w:rsidRPr="000E7F8A">
        <w:rPr>
          <w:rStyle w:val="Accentuation"/>
          <w:rFonts w:eastAsiaTheme="majorEastAsia"/>
          <w:lang w:val="en-GB"/>
        </w:rPr>
        <w:t>Meloidogyne</w:t>
      </w:r>
      <w:r w:rsidRPr="000E7F8A">
        <w:rPr>
          <w:lang w:val="en-GB"/>
        </w:rPr>
        <w:t xml:space="preserve">, which induce root galls that disrupt water and nutrient uptake, leading to </w:t>
      </w:r>
      <w:r w:rsidRPr="000E7F8A">
        <w:rPr>
          <w:lang w:val="en-GB"/>
        </w:rPr>
        <w:lastRenderedPageBreak/>
        <w:t xml:space="preserve">general plant decline (Gohar </w:t>
      </w:r>
      <w:r w:rsidRPr="005F1110">
        <w:rPr>
          <w:i/>
          <w:iCs/>
          <w:lang w:val="en-GB"/>
        </w:rPr>
        <w:t>et al.,</w:t>
      </w:r>
      <w:r w:rsidRPr="000E7F8A">
        <w:rPr>
          <w:lang w:val="en-GB"/>
        </w:rPr>
        <w:t xml:space="preserve"> 2023; Hassan </w:t>
      </w:r>
      <w:r w:rsidRPr="005F1110">
        <w:rPr>
          <w:i/>
          <w:iCs/>
          <w:lang w:val="en-GB"/>
        </w:rPr>
        <w:t>et al.,</w:t>
      </w:r>
      <w:r w:rsidRPr="000E7F8A">
        <w:rPr>
          <w:lang w:val="en-GB"/>
        </w:rPr>
        <w:t xml:space="preserve"> 2024). Species of </w:t>
      </w:r>
      <w:r w:rsidRPr="000E7F8A">
        <w:rPr>
          <w:rStyle w:val="Accentuation"/>
          <w:rFonts w:eastAsiaTheme="majorEastAsia"/>
          <w:lang w:val="en-GB"/>
        </w:rPr>
        <w:t>Meloidogyne</w:t>
      </w:r>
      <w:r w:rsidRPr="000E7F8A">
        <w:rPr>
          <w:lang w:val="en-GB"/>
        </w:rPr>
        <w:t xml:space="preserve"> are among the most widespread and destructive nematode pests of beetroot worldwide, significantly reducing yield and root quality (Gohar </w:t>
      </w:r>
      <w:r w:rsidRPr="005F1110">
        <w:rPr>
          <w:i/>
          <w:iCs/>
          <w:lang w:val="en-GB"/>
        </w:rPr>
        <w:t>et al.,</w:t>
      </w:r>
      <w:r w:rsidRPr="000E7F8A">
        <w:rPr>
          <w:lang w:val="en-GB"/>
        </w:rPr>
        <w:t xml:space="preserve"> 2023; Rady</w:t>
      </w:r>
      <w:r w:rsidR="00583404">
        <w:rPr>
          <w:lang w:val="en-GB"/>
        </w:rPr>
        <w:t xml:space="preserve"> </w:t>
      </w:r>
      <w:r w:rsidR="00583404" w:rsidRPr="005F1110">
        <w:rPr>
          <w:i/>
          <w:iCs/>
          <w:lang w:val="en-GB"/>
        </w:rPr>
        <w:t>et al.</w:t>
      </w:r>
      <w:r w:rsidRPr="000E7F8A">
        <w:rPr>
          <w:lang w:val="en-GB"/>
        </w:rPr>
        <w:t xml:space="preserve">, 2021). Their broad host range, high reproductive capacity, and persistence in tropical soils make them formidable and enduring pests.To date, chemical control remains the primary management strategy adopted by farmers, relying on synthetic nematicides such as carbamates and methyl bromide. However, these compounds are costly, hazardous to human health and the environment, and increasingly restricted under international regulations (Gamliel </w:t>
      </w:r>
      <w:r w:rsidRPr="005F1110">
        <w:rPr>
          <w:i/>
          <w:iCs/>
          <w:lang w:val="en-GB"/>
        </w:rPr>
        <w:t>et al.,</w:t>
      </w:r>
      <w:r w:rsidRPr="000E7F8A">
        <w:rPr>
          <w:lang w:val="en-GB"/>
        </w:rPr>
        <w:t xml:space="preserve"> 1997; Regnault-Roger, 2002). In response to these limitations, research efforts are increasingly directed toward sustainable, affordable, and environmentally safe alternatives. The use of plant extracts with nematicidal properties represents a promising ecological strategy for managing plant-parasitic nematodes. Recent studies report that more than 200 plant species, particularly from the Fabaceae, Asteraceae, and Euphorbiaceae families, exhibit inhibitory effects on nematodes through the production of bioactive compounds such as alkaloids, flavonoids, fatty acids, and terpenoids (Ntalli &amp; Caboni, 2012). These secondary metabolites interfere with the development, mobility, and reproduction of </w:t>
      </w:r>
      <w:r w:rsidRPr="000E7F8A">
        <w:rPr>
          <w:rStyle w:val="Accentuation"/>
          <w:rFonts w:eastAsiaTheme="majorEastAsia"/>
          <w:lang w:val="en-GB"/>
        </w:rPr>
        <w:t>Meloidogyne</w:t>
      </w:r>
      <w:r w:rsidRPr="000E7F8A">
        <w:rPr>
          <w:lang w:val="en-GB"/>
        </w:rPr>
        <w:t xml:space="preserve"> species.</w:t>
      </w:r>
      <w:r w:rsidRPr="000E7F8A">
        <w:rPr>
          <w:rStyle w:val="Accentuation"/>
          <w:rFonts w:eastAsiaTheme="majorEastAsia"/>
          <w:lang w:val="en-GB"/>
        </w:rPr>
        <w:t>Eichhornia crassipes</w:t>
      </w:r>
      <w:r w:rsidRPr="000E7F8A">
        <w:rPr>
          <w:lang w:val="en-GB"/>
        </w:rPr>
        <w:t xml:space="preserve">, commonly known as water hyacinth, is an invasive aquatic plant widely recognized for its applications in composting, water purification, and biomass production (Lata &amp; Dubey, 2010; Mailu, 2001). It contains phytochemicals with antimicrobial and antifungal activities and has demonstrated notable in vitro nematicidal effects (Umar &amp; Mohammed, 2013; Atungwu </w:t>
      </w:r>
      <w:r w:rsidRPr="005F1110">
        <w:rPr>
          <w:i/>
          <w:iCs/>
          <w:lang w:val="en-GB"/>
        </w:rPr>
        <w:t>et al.,</w:t>
      </w:r>
      <w:r w:rsidRPr="000E7F8A">
        <w:rPr>
          <w:lang w:val="en-GB"/>
        </w:rPr>
        <w:t xml:space="preserve"> 2009). Furthermore, the application of organic amendments not only improves plant nutrition but also enhances the proliferation of antagonistic microorganisms such as </w:t>
      </w:r>
      <w:r w:rsidRPr="000E7F8A">
        <w:rPr>
          <w:rStyle w:val="Accentuation"/>
          <w:rFonts w:eastAsiaTheme="majorEastAsia"/>
          <w:lang w:val="en-GB"/>
        </w:rPr>
        <w:t>Trichoderma harzianum</w:t>
      </w:r>
      <w:r w:rsidRPr="000E7F8A">
        <w:rPr>
          <w:lang w:val="en-GB"/>
        </w:rPr>
        <w:t xml:space="preserve">, whose effectiveness against </w:t>
      </w:r>
      <w:r w:rsidRPr="000E7F8A">
        <w:rPr>
          <w:rStyle w:val="Accentuation"/>
          <w:rFonts w:eastAsiaTheme="majorEastAsia"/>
          <w:lang w:val="en-GB"/>
        </w:rPr>
        <w:t>Meloidogyne incognita</w:t>
      </w:r>
      <w:r w:rsidRPr="000E7F8A">
        <w:rPr>
          <w:lang w:val="en-GB"/>
        </w:rPr>
        <w:t xml:space="preserve"> has been documented (Sharon </w:t>
      </w:r>
      <w:r w:rsidRPr="005F1110">
        <w:rPr>
          <w:i/>
          <w:iCs/>
          <w:lang w:val="en-GB"/>
        </w:rPr>
        <w:t>et al.,</w:t>
      </w:r>
      <w:r w:rsidRPr="000E7F8A">
        <w:rPr>
          <w:lang w:val="en-GB"/>
        </w:rPr>
        <w:t xml:space="preserve"> 2001; Feyisa </w:t>
      </w:r>
      <w:r w:rsidRPr="005F1110">
        <w:rPr>
          <w:i/>
          <w:iCs/>
          <w:lang w:val="en-GB"/>
        </w:rPr>
        <w:t>et al.,</w:t>
      </w:r>
      <w:r w:rsidRPr="000E7F8A">
        <w:rPr>
          <w:lang w:val="en-GB"/>
        </w:rPr>
        <w:t xml:space="preserve"> 2016).</w:t>
      </w:r>
    </w:p>
    <w:p w14:paraId="445ABBAD" w14:textId="22D50F3E" w:rsidR="00467D95" w:rsidRPr="009C076F" w:rsidRDefault="000E7F8A" w:rsidP="00475EF2">
      <w:pPr>
        <w:pStyle w:val="NormalWeb"/>
        <w:spacing w:line="360" w:lineRule="auto"/>
        <w:jc w:val="both"/>
        <w:rPr>
          <w:lang w:val="en-GB"/>
        </w:rPr>
      </w:pPr>
      <w:r w:rsidRPr="000E7F8A">
        <w:rPr>
          <w:lang w:val="en-GB"/>
        </w:rPr>
        <w:t xml:space="preserve">In this context, the present study aimed to evaluate the combined effects of aqueous extracts of </w:t>
      </w:r>
      <w:r w:rsidRPr="000E7F8A">
        <w:rPr>
          <w:rStyle w:val="Accentuation"/>
          <w:rFonts w:eastAsiaTheme="majorEastAsia"/>
          <w:lang w:val="en-GB"/>
        </w:rPr>
        <w:t>Eichhornia crassipes</w:t>
      </w:r>
      <w:r w:rsidRPr="000E7F8A">
        <w:rPr>
          <w:lang w:val="en-GB"/>
        </w:rPr>
        <w:t xml:space="preserve"> and organic manure on the reduction of root galling in beetroot in Togo, within an integrated, cost-effective, and sustainable nematode management framework.</w:t>
      </w:r>
    </w:p>
    <w:p w14:paraId="00637C39" w14:textId="77777777" w:rsidR="009C076F" w:rsidRPr="009C076F" w:rsidRDefault="009C076F" w:rsidP="00475EF2">
      <w:pPr>
        <w:pStyle w:val="Titre1"/>
        <w:rPr>
          <w:rFonts w:eastAsia="Times New Roman"/>
          <w:lang w:val="en-GB"/>
        </w:rPr>
      </w:pPr>
      <w:r w:rsidRPr="009C076F">
        <w:rPr>
          <w:rFonts w:eastAsia="Times New Roman"/>
          <w:lang w:val="en-GB"/>
        </w:rPr>
        <w:t>Objectives</w:t>
      </w:r>
    </w:p>
    <w:p w14:paraId="5ECFD16D" w14:textId="5091D214" w:rsidR="009C076F" w:rsidRPr="003A5FA5" w:rsidRDefault="009C076F" w:rsidP="003607D0">
      <w:pPr>
        <w:pStyle w:val="Titre2"/>
        <w:numPr>
          <w:ilvl w:val="1"/>
          <w:numId w:val="3"/>
        </w:numPr>
      </w:pPr>
      <w:r w:rsidRPr="009C076F">
        <w:rPr>
          <w:rFonts w:eastAsia="Times New Roman"/>
          <w:lang w:val="en-GB"/>
        </w:rPr>
        <w:t>General Objective</w:t>
      </w:r>
    </w:p>
    <w:p w14:paraId="1AE50EDD" w14:textId="0C14E82D" w:rsidR="00467D95" w:rsidRPr="009C076F" w:rsidRDefault="009C076F" w:rsidP="009C076F">
      <w:pPr>
        <w:spacing w:line="360" w:lineRule="auto"/>
        <w:jc w:val="both"/>
        <w:rPr>
          <w:rFonts w:ascii="Times New Roman" w:eastAsia="Calibri" w:hAnsi="Times New Roman" w:cs="Times New Roman"/>
          <w:sz w:val="24"/>
          <w:szCs w:val="24"/>
          <w:lang w:val="en-GB"/>
        </w:rPr>
      </w:pPr>
      <w:r w:rsidRPr="009C076F">
        <w:rPr>
          <w:rFonts w:ascii="Times New Roman" w:eastAsia="Times New Roman" w:hAnsi="Times New Roman" w:cs="Times New Roman"/>
          <w:color w:val="000000"/>
          <w:kern w:val="0"/>
          <w:sz w:val="24"/>
          <w:szCs w:val="26"/>
          <w:lang w:val="en-GB"/>
          <w14:ligatures w14:val="none"/>
        </w:rPr>
        <w:t xml:space="preserve">To evaluate the combined effect of </w:t>
      </w:r>
      <w:r w:rsidRPr="009C076F">
        <w:rPr>
          <w:rFonts w:ascii="Times New Roman" w:eastAsia="Times New Roman" w:hAnsi="Times New Roman" w:cs="Times New Roman"/>
          <w:i/>
          <w:iCs/>
          <w:color w:val="000000"/>
          <w:kern w:val="0"/>
          <w:sz w:val="24"/>
          <w:szCs w:val="26"/>
          <w:lang w:val="en-GB"/>
          <w14:ligatures w14:val="none"/>
        </w:rPr>
        <w:t>Eichhornia crassipes</w:t>
      </w:r>
      <w:r w:rsidRPr="009C076F">
        <w:rPr>
          <w:rFonts w:ascii="Times New Roman" w:eastAsia="Times New Roman" w:hAnsi="Times New Roman" w:cs="Times New Roman"/>
          <w:color w:val="000000"/>
          <w:kern w:val="0"/>
          <w:sz w:val="24"/>
          <w:szCs w:val="26"/>
          <w:lang w:val="en-GB"/>
          <w14:ligatures w14:val="none"/>
        </w:rPr>
        <w:t xml:space="preserve"> extract and organic manure on plant-parasitic nematodes and beetroot productivity.</w:t>
      </w:r>
    </w:p>
    <w:p w14:paraId="4C6F7652" w14:textId="4E2598B5" w:rsidR="008E1F10" w:rsidRPr="008E1F10" w:rsidRDefault="008E1F10" w:rsidP="003607D0">
      <w:pPr>
        <w:pStyle w:val="Titre2"/>
        <w:numPr>
          <w:ilvl w:val="1"/>
          <w:numId w:val="3"/>
        </w:numPr>
        <w:rPr>
          <w:rFonts w:eastAsia="Calibri"/>
          <w:lang w:val="en-GB"/>
        </w:rPr>
      </w:pPr>
      <w:r w:rsidRPr="008E1F10">
        <w:rPr>
          <w:rFonts w:eastAsia="Calibri"/>
          <w:lang w:val="en-GB"/>
        </w:rPr>
        <w:lastRenderedPageBreak/>
        <w:t>Specific Objectives</w:t>
      </w:r>
    </w:p>
    <w:p w14:paraId="078FFE5A" w14:textId="21DF2B42" w:rsidR="008E1F10" w:rsidRPr="008E1F10" w:rsidRDefault="008E1F10" w:rsidP="00C23602">
      <w:pPr>
        <w:pStyle w:val="Paragraphedeliste"/>
        <w:numPr>
          <w:ilvl w:val="0"/>
          <w:numId w:val="2"/>
        </w:numPr>
        <w:spacing w:line="360" w:lineRule="auto"/>
        <w:jc w:val="both"/>
        <w:rPr>
          <w:rFonts w:ascii="Times New Roman" w:eastAsia="Calibri" w:hAnsi="Times New Roman" w:cs="Times New Roman"/>
          <w:sz w:val="24"/>
          <w:szCs w:val="24"/>
          <w:lang w:val="en-GB"/>
        </w:rPr>
      </w:pPr>
      <w:r w:rsidRPr="008E1F10">
        <w:rPr>
          <w:rFonts w:ascii="Times New Roman" w:eastAsia="Calibri" w:hAnsi="Times New Roman" w:cs="Times New Roman"/>
          <w:sz w:val="24"/>
          <w:szCs w:val="24"/>
          <w:lang w:val="en-GB"/>
        </w:rPr>
        <w:t>To quantify nematode populations in soil and roots before and after treatment application.</w:t>
      </w:r>
    </w:p>
    <w:p w14:paraId="176DC61B" w14:textId="098B37F4" w:rsidR="008E1F10" w:rsidRPr="008E1F10" w:rsidRDefault="008E1F10" w:rsidP="00C23602">
      <w:pPr>
        <w:pStyle w:val="Paragraphedeliste"/>
        <w:numPr>
          <w:ilvl w:val="0"/>
          <w:numId w:val="2"/>
        </w:numPr>
        <w:spacing w:line="360" w:lineRule="auto"/>
        <w:jc w:val="both"/>
        <w:rPr>
          <w:rFonts w:ascii="Times New Roman" w:eastAsia="Calibri" w:hAnsi="Times New Roman" w:cs="Times New Roman"/>
          <w:sz w:val="24"/>
          <w:szCs w:val="24"/>
          <w:lang w:val="en-GB"/>
        </w:rPr>
      </w:pPr>
      <w:r w:rsidRPr="008E1F10">
        <w:rPr>
          <w:rFonts w:ascii="Times New Roman" w:eastAsia="Calibri" w:hAnsi="Times New Roman" w:cs="Times New Roman"/>
          <w:sz w:val="24"/>
          <w:szCs w:val="24"/>
          <w:lang w:val="en-GB"/>
        </w:rPr>
        <w:t>To determine the effect of treatments on nematode-induced root gall formation.</w:t>
      </w:r>
    </w:p>
    <w:p w14:paraId="28E597AB" w14:textId="6955C81B" w:rsidR="007178E4" w:rsidRPr="008E1F10" w:rsidRDefault="008E1F10" w:rsidP="00C23602">
      <w:pPr>
        <w:pStyle w:val="Paragraphedeliste"/>
        <w:numPr>
          <w:ilvl w:val="0"/>
          <w:numId w:val="2"/>
        </w:numPr>
        <w:spacing w:line="360" w:lineRule="auto"/>
        <w:jc w:val="both"/>
        <w:rPr>
          <w:lang w:val="en-GB"/>
        </w:rPr>
      </w:pPr>
      <w:r w:rsidRPr="008E1F10">
        <w:rPr>
          <w:rFonts w:ascii="Times New Roman" w:eastAsia="Calibri" w:hAnsi="Times New Roman" w:cs="Times New Roman"/>
          <w:sz w:val="24"/>
          <w:szCs w:val="24"/>
          <w:lang w:val="en-GB"/>
        </w:rPr>
        <w:t>To assess beetroot productivity following the different treatments.</w:t>
      </w:r>
    </w:p>
    <w:p w14:paraId="5444AAE4" w14:textId="77777777" w:rsidR="008E1F10" w:rsidRDefault="008E1F10" w:rsidP="008E1F10">
      <w:pPr>
        <w:pStyle w:val="Titre3"/>
        <w:rPr>
          <w:lang w:val="en-GB"/>
        </w:rPr>
      </w:pPr>
    </w:p>
    <w:p w14:paraId="0EC4FB52" w14:textId="06C1CF91" w:rsidR="008E1F10" w:rsidRPr="008E1F10" w:rsidRDefault="008E1F10" w:rsidP="00475EF2">
      <w:pPr>
        <w:pStyle w:val="Titre1"/>
        <w:rPr>
          <w:rFonts w:eastAsia="Times New Roman"/>
          <w:lang w:eastAsia="fr-FR"/>
        </w:rPr>
      </w:pPr>
      <w:r w:rsidRPr="008E1F10">
        <w:rPr>
          <w:rFonts w:eastAsia="Times New Roman"/>
          <w:lang w:eastAsia="fr-FR"/>
        </w:rPr>
        <w:t>Materials and Methods</w:t>
      </w:r>
    </w:p>
    <w:p w14:paraId="35EA290B" w14:textId="04866DF7" w:rsidR="008E1F10" w:rsidRPr="008E1F10" w:rsidRDefault="008E1F10" w:rsidP="003607D0">
      <w:pPr>
        <w:pStyle w:val="Titre2"/>
        <w:numPr>
          <w:ilvl w:val="1"/>
          <w:numId w:val="3"/>
        </w:numPr>
        <w:rPr>
          <w:rFonts w:eastAsia="Times New Roman"/>
          <w:lang w:eastAsia="fr-FR"/>
        </w:rPr>
      </w:pPr>
      <w:r w:rsidRPr="008E1F10">
        <w:rPr>
          <w:rFonts w:eastAsia="Times New Roman"/>
          <w:lang w:eastAsia="fr-FR"/>
        </w:rPr>
        <w:t>Experimental Site</w:t>
      </w:r>
    </w:p>
    <w:p w14:paraId="42316797" w14:textId="77777777" w:rsidR="008E1F10" w:rsidRPr="00C25957" w:rsidRDefault="008E1F10" w:rsidP="008E1F10">
      <w:pPr>
        <w:spacing w:line="360" w:lineRule="auto"/>
        <w:jc w:val="both"/>
        <w:rPr>
          <w:rFonts w:ascii="Times New Roman" w:hAnsi="Times New Roman" w:cs="Times New Roman"/>
          <w:sz w:val="24"/>
          <w:szCs w:val="24"/>
          <w:lang w:val="en-IN"/>
        </w:rPr>
      </w:pPr>
      <w:bookmarkStart w:id="1" w:name="_Toc223349571"/>
      <w:r w:rsidRPr="008E1F10">
        <w:rPr>
          <w:rFonts w:ascii="Times New Roman" w:hAnsi="Times New Roman" w:cs="Times New Roman"/>
          <w:sz w:val="24"/>
          <w:szCs w:val="24"/>
          <w:lang w:val="en-GB"/>
        </w:rPr>
        <w:t xml:space="preserve">The experiment was conducted at the Agronomic Experimental Station of the Higher School of Agronomy, University of Lomé (SEAL/ESA), located at 06°17′N and 001°21′E. The area is characterized by a tropical Guinean climate with annual rainfall ranging from 800 to 1200 mm. The soil is ferralitic, locally referred to as “terre de barre,” and exhibits the following chemical properties: 1.87% organic matter, 0.15% total nitrogen, 0.05% phosphorus (P₂O₅), 0.46% potassium (K₂O), and 0.01% magnesium (MgO). Exchangeable bases (mg/kg) include 51.1 Mg²⁺, 210.1 Ca²⁺, 148.8 K⁺, and 15.3 Na⁺. </w:t>
      </w:r>
      <w:r w:rsidRPr="00C25957">
        <w:rPr>
          <w:rFonts w:ascii="Times New Roman" w:hAnsi="Times New Roman" w:cs="Times New Roman"/>
          <w:sz w:val="24"/>
          <w:szCs w:val="24"/>
          <w:lang w:val="en-IN"/>
        </w:rPr>
        <w:t>Soil pH was 6.8. The site is naturally infested with mixed nematode populations (Assih et al., 2018).</w:t>
      </w:r>
    </w:p>
    <w:p w14:paraId="023D78BB" w14:textId="6A9EB22D" w:rsidR="005670A6" w:rsidRPr="005670A6" w:rsidRDefault="005670A6" w:rsidP="003607D0">
      <w:pPr>
        <w:pStyle w:val="Titre2"/>
        <w:numPr>
          <w:ilvl w:val="1"/>
          <w:numId w:val="3"/>
        </w:numPr>
        <w:rPr>
          <w:rFonts w:eastAsia="Times New Roman"/>
          <w:lang w:val="en-GB" w:eastAsia="fr-FR"/>
        </w:rPr>
      </w:pPr>
      <w:bookmarkStart w:id="2" w:name="_Toc223349572"/>
      <w:bookmarkEnd w:id="1"/>
      <w:r w:rsidRPr="005670A6">
        <w:rPr>
          <w:rFonts w:eastAsia="Times New Roman"/>
          <w:lang w:val="en-GB" w:eastAsia="fr-FR"/>
        </w:rPr>
        <w:t>Plant Material and Inputs</w:t>
      </w:r>
    </w:p>
    <w:p w14:paraId="0B4D627F" w14:textId="77777777" w:rsidR="005670A6" w:rsidRPr="005670A6" w:rsidRDefault="005670A6" w:rsidP="005670A6">
      <w:pPr>
        <w:spacing w:before="100" w:beforeAutospacing="1" w:after="100" w:afterAutospacing="1" w:line="360" w:lineRule="auto"/>
        <w:jc w:val="both"/>
        <w:rPr>
          <w:rFonts w:ascii="Times New Roman" w:eastAsia="Times New Roman" w:hAnsi="Times New Roman" w:cs="Times New Roman"/>
          <w:kern w:val="0"/>
          <w:sz w:val="24"/>
          <w:szCs w:val="24"/>
          <w:lang w:val="en-GB" w:eastAsia="fr-FR"/>
          <w14:ligatures w14:val="none"/>
        </w:rPr>
      </w:pPr>
      <w:r w:rsidRPr="005670A6">
        <w:rPr>
          <w:rFonts w:ascii="Times New Roman" w:eastAsia="Times New Roman" w:hAnsi="Times New Roman" w:cs="Times New Roman"/>
          <w:kern w:val="0"/>
          <w:sz w:val="24"/>
          <w:szCs w:val="24"/>
          <w:lang w:val="en-GB" w:eastAsia="fr-FR"/>
          <w14:ligatures w14:val="none"/>
        </w:rPr>
        <w:t>Beetroot (</w:t>
      </w:r>
      <w:r w:rsidRPr="005670A6">
        <w:rPr>
          <w:rFonts w:ascii="Times New Roman" w:eastAsia="Times New Roman" w:hAnsi="Times New Roman" w:cs="Times New Roman"/>
          <w:i/>
          <w:iCs/>
          <w:kern w:val="0"/>
          <w:sz w:val="24"/>
          <w:szCs w:val="24"/>
          <w:lang w:val="en-GB" w:eastAsia="fr-FR"/>
          <w14:ligatures w14:val="none"/>
        </w:rPr>
        <w:t>Beta vulgaris</w:t>
      </w:r>
      <w:r w:rsidRPr="005670A6">
        <w:rPr>
          <w:rFonts w:ascii="Times New Roman" w:eastAsia="Times New Roman" w:hAnsi="Times New Roman" w:cs="Times New Roman"/>
          <w:kern w:val="0"/>
          <w:sz w:val="24"/>
          <w:szCs w:val="24"/>
          <w:lang w:val="en-GB" w:eastAsia="fr-FR"/>
          <w14:ligatures w14:val="none"/>
        </w:rPr>
        <w:t xml:space="preserve"> subsp. </w:t>
      </w:r>
      <w:r w:rsidRPr="005670A6">
        <w:rPr>
          <w:rFonts w:ascii="Times New Roman" w:eastAsia="Times New Roman" w:hAnsi="Times New Roman" w:cs="Times New Roman"/>
          <w:i/>
          <w:iCs/>
          <w:kern w:val="0"/>
          <w:sz w:val="24"/>
          <w:szCs w:val="24"/>
          <w:lang w:val="en-GB" w:eastAsia="fr-FR"/>
          <w14:ligatures w14:val="none"/>
        </w:rPr>
        <w:t>vulgaris</w:t>
      </w:r>
      <w:r w:rsidRPr="005670A6">
        <w:rPr>
          <w:rFonts w:ascii="Times New Roman" w:eastAsia="Times New Roman" w:hAnsi="Times New Roman" w:cs="Times New Roman"/>
          <w:kern w:val="0"/>
          <w:sz w:val="24"/>
          <w:szCs w:val="24"/>
          <w:lang w:val="en-GB" w:eastAsia="fr-FR"/>
          <w14:ligatures w14:val="none"/>
        </w:rPr>
        <w:t>) seeds, cultivar CRIMSON GLOBE, certified at 99% purity and 80% germination rate, were obtained from Togo Semence. Water hyacinth (</w:t>
      </w:r>
      <w:r w:rsidRPr="005670A6">
        <w:rPr>
          <w:rFonts w:ascii="Times New Roman" w:eastAsia="Times New Roman" w:hAnsi="Times New Roman" w:cs="Times New Roman"/>
          <w:i/>
          <w:iCs/>
          <w:kern w:val="0"/>
          <w:sz w:val="24"/>
          <w:szCs w:val="24"/>
          <w:lang w:val="en-GB" w:eastAsia="fr-FR"/>
          <w14:ligatures w14:val="none"/>
        </w:rPr>
        <w:t>Eichhornia crassipes</w:t>
      </w:r>
      <w:r w:rsidRPr="005670A6">
        <w:rPr>
          <w:rFonts w:ascii="Times New Roman" w:eastAsia="Times New Roman" w:hAnsi="Times New Roman" w:cs="Times New Roman"/>
          <w:kern w:val="0"/>
          <w:sz w:val="24"/>
          <w:szCs w:val="24"/>
          <w:lang w:val="en-GB" w:eastAsia="fr-FR"/>
          <w14:ligatures w14:val="none"/>
        </w:rPr>
        <w:t>) plants were collected from the Bè lagoon (Lomé) for the preparation of aqueous extracts. The organic manure used (N &gt; 1.5%, P₂O₅ 2.5%, K₂O 0.8%, organic matter 40%) was supplied by ENPRO. The chemical nematicide J-FURAN (carbofuran 3% G) was used as the chemical control.</w:t>
      </w:r>
    </w:p>
    <w:bookmarkEnd w:id="2"/>
    <w:p w14:paraId="13B8B1C5" w14:textId="2617B804" w:rsidR="00E93710" w:rsidRPr="00E93710" w:rsidRDefault="00E93710" w:rsidP="003607D0">
      <w:pPr>
        <w:pStyle w:val="Titre2"/>
        <w:numPr>
          <w:ilvl w:val="1"/>
          <w:numId w:val="3"/>
        </w:numPr>
        <w:rPr>
          <w:rFonts w:eastAsia="Times New Roman"/>
          <w:lang w:val="en-GB" w:eastAsia="fr-FR"/>
        </w:rPr>
      </w:pPr>
      <w:r w:rsidRPr="00E93710">
        <w:rPr>
          <w:rFonts w:eastAsia="Times New Roman"/>
          <w:lang w:val="en-GB" w:eastAsia="fr-FR"/>
        </w:rPr>
        <w:t>Laboratory Equipment</w:t>
      </w:r>
    </w:p>
    <w:p w14:paraId="1193F623" w14:textId="1EE0B673" w:rsidR="00EC3510" w:rsidRPr="00E93710" w:rsidRDefault="00E93710" w:rsidP="00E93710">
      <w:pPr>
        <w:spacing w:before="100" w:beforeAutospacing="1" w:after="100" w:afterAutospacing="1" w:line="240" w:lineRule="auto"/>
        <w:rPr>
          <w:rFonts w:ascii="Times New Roman" w:eastAsia="Times New Roman" w:hAnsi="Times New Roman" w:cs="Times New Roman"/>
          <w:kern w:val="0"/>
          <w:sz w:val="24"/>
          <w:szCs w:val="24"/>
          <w:lang w:val="en-GB" w:eastAsia="fr-FR"/>
          <w14:ligatures w14:val="none"/>
        </w:rPr>
      </w:pPr>
      <w:r w:rsidRPr="00E93710">
        <w:rPr>
          <w:rFonts w:ascii="Times New Roman" w:eastAsia="Times New Roman" w:hAnsi="Times New Roman" w:cs="Times New Roman"/>
          <w:kern w:val="0"/>
          <w:sz w:val="24"/>
          <w:szCs w:val="24"/>
          <w:lang w:val="en-GB" w:eastAsia="fr-FR"/>
          <w14:ligatures w14:val="none"/>
        </w:rPr>
        <w:t>A stereomicroscope and a manual hand counter were used for nematode observation and enumeration.</w:t>
      </w:r>
    </w:p>
    <w:p w14:paraId="48BF3DA6" w14:textId="5474AA07" w:rsidR="00B94E56" w:rsidRPr="00B94E56" w:rsidRDefault="00B94E56" w:rsidP="003607D0">
      <w:pPr>
        <w:pStyle w:val="Titre2"/>
        <w:numPr>
          <w:ilvl w:val="1"/>
          <w:numId w:val="3"/>
        </w:numPr>
        <w:rPr>
          <w:rFonts w:eastAsia="Times New Roman"/>
          <w:lang w:val="en-GB" w:eastAsia="fr-FR"/>
        </w:rPr>
      </w:pPr>
      <w:bookmarkStart w:id="3" w:name="_Toc223349575"/>
      <w:r w:rsidRPr="00B94E56">
        <w:rPr>
          <w:rFonts w:eastAsia="Times New Roman"/>
          <w:lang w:val="en-GB" w:eastAsia="fr-FR"/>
        </w:rPr>
        <w:t>Experimental Design and Trial Management</w:t>
      </w:r>
    </w:p>
    <w:p w14:paraId="6BACE16B" w14:textId="77777777" w:rsidR="00B94E56" w:rsidRPr="00B94E56" w:rsidRDefault="00B94E56" w:rsidP="0050737B">
      <w:pPr>
        <w:spacing w:before="100" w:beforeAutospacing="1" w:after="100" w:afterAutospacing="1" w:line="360" w:lineRule="auto"/>
        <w:jc w:val="both"/>
        <w:rPr>
          <w:rFonts w:ascii="Times New Roman" w:eastAsia="Times New Roman" w:hAnsi="Times New Roman" w:cs="Times New Roman"/>
          <w:kern w:val="0"/>
          <w:sz w:val="24"/>
          <w:szCs w:val="24"/>
          <w:lang w:val="en-GB" w:eastAsia="fr-FR"/>
          <w14:ligatures w14:val="none"/>
        </w:rPr>
      </w:pPr>
      <w:r w:rsidRPr="00B94E56">
        <w:rPr>
          <w:rFonts w:ascii="Times New Roman" w:eastAsia="Times New Roman" w:hAnsi="Times New Roman" w:cs="Times New Roman"/>
          <w:kern w:val="0"/>
          <w:sz w:val="24"/>
          <w:szCs w:val="24"/>
          <w:lang w:val="en-GB" w:eastAsia="fr-FR"/>
          <w14:ligatures w14:val="none"/>
        </w:rPr>
        <w:t xml:space="preserve">The experiment was conducted during the major dry season of 2022–2023 using a split-plot design with nine treatments and three replications. Two factors were evaluated: organic manure (F0: 0 t/ha; F1: 10 t/ha; F2: 15 t/ha) and formulation type (aqueous extract from aerial parts, </w:t>
      </w:r>
      <w:r w:rsidRPr="00B94E56">
        <w:rPr>
          <w:rFonts w:ascii="Times New Roman" w:eastAsia="Times New Roman" w:hAnsi="Times New Roman" w:cs="Times New Roman"/>
          <w:kern w:val="0"/>
          <w:sz w:val="24"/>
          <w:szCs w:val="24"/>
          <w:lang w:val="en-GB" w:eastAsia="fr-FR"/>
          <w14:ligatures w14:val="none"/>
        </w:rPr>
        <w:lastRenderedPageBreak/>
        <w:t>root extract, and J-FURAN). Main plots received the manure treatments, while subplots received the formulations. Each experimental unit measured 3 m × 1.2 m (3.6 m²). The aqueous extracts were applied at a rate of 30 ml per plant, starting on the 15th day after transplanting and repeated every 15 days for a total of four applications.</w:t>
      </w:r>
    </w:p>
    <w:bookmarkEnd w:id="3"/>
    <w:p w14:paraId="57FE4E4A" w14:textId="075B7E6E" w:rsidR="001F4A45" w:rsidRPr="0050358F" w:rsidRDefault="0050358F" w:rsidP="003607D0">
      <w:pPr>
        <w:pStyle w:val="Titre2"/>
        <w:numPr>
          <w:ilvl w:val="1"/>
          <w:numId w:val="3"/>
        </w:numPr>
        <w:rPr>
          <w:rFonts w:eastAsia="Times New Roman"/>
          <w:color w:val="000000"/>
          <w:lang w:val="en-GB" w:eastAsia="fr-FR"/>
        </w:rPr>
      </w:pPr>
      <w:r w:rsidRPr="0050358F">
        <w:rPr>
          <w:rFonts w:eastAsia="Times New Roman"/>
          <w:lang w:val="en-GB" w:eastAsia="fr-FR"/>
        </w:rPr>
        <w:t>Preparation of Aqueous Extracts from Aerial and Submerged Parts of Water Hyacinth and Dilution</w:t>
      </w:r>
      <w:r w:rsidR="001F4A45" w:rsidRPr="0050358F">
        <w:rPr>
          <w:rFonts w:eastAsia="Times New Roman"/>
          <w:color w:val="000000"/>
          <w:lang w:val="en-GB" w:eastAsia="fr-FR"/>
        </w:rPr>
        <w:t xml:space="preserve"> </w:t>
      </w:r>
    </w:p>
    <w:p w14:paraId="520E563B" w14:textId="74322CB7" w:rsidR="001F4A45" w:rsidRDefault="00275D52" w:rsidP="001F4A45">
      <w:pPr>
        <w:spacing w:after="3" w:line="358" w:lineRule="auto"/>
        <w:jc w:val="both"/>
        <w:rPr>
          <w:rFonts w:ascii="Times New Roman" w:eastAsia="Times New Roman" w:hAnsi="Times New Roman" w:cs="Times New Roman"/>
          <w:color w:val="000000"/>
          <w:sz w:val="24"/>
          <w:szCs w:val="24"/>
          <w:lang w:val="en-GB" w:eastAsia="fr-FR"/>
        </w:rPr>
      </w:pPr>
      <w:r w:rsidRPr="00275D52">
        <w:rPr>
          <w:rFonts w:ascii="Times New Roman" w:eastAsia="Times New Roman" w:hAnsi="Times New Roman" w:cs="Times New Roman"/>
          <w:color w:val="000000"/>
          <w:sz w:val="24"/>
          <w:szCs w:val="24"/>
          <w:lang w:val="en-GB" w:eastAsia="fr-FR"/>
        </w:rPr>
        <w:t>According to the modified method of Afouda et al. (2012), water hyacinth plants were collected, cleaned, and air-dried in the shade for 48 hours before being cut into approximately 1 cm pieces to facilitate grinding. For each plant part, 500 g of material was weighed and blended with 1000 ml of water using a kitchen blender to obtain a crude extract. The resulting extract was filtered through a fine cloth. To prepare the diluted solution, 500 ml of the crude extract was mixed with 1000 ml of distilled water, resulting in a 33.33% dilution.</w:t>
      </w:r>
      <w:r w:rsidR="001F4A45" w:rsidRPr="00275D52">
        <w:rPr>
          <w:rFonts w:ascii="Times New Roman" w:eastAsia="Times New Roman" w:hAnsi="Times New Roman" w:cs="Times New Roman"/>
          <w:color w:val="000000"/>
          <w:sz w:val="24"/>
          <w:szCs w:val="24"/>
          <w:lang w:val="en-GB" w:eastAsia="fr-FR"/>
        </w:rPr>
        <w:t xml:space="preserve"> </w:t>
      </w:r>
    </w:p>
    <w:p w14:paraId="0219F9E9" w14:textId="77777777" w:rsidR="00475EF2" w:rsidRPr="00275D52" w:rsidRDefault="00475EF2" w:rsidP="001F4A45">
      <w:pPr>
        <w:spacing w:after="3" w:line="358" w:lineRule="auto"/>
        <w:jc w:val="both"/>
        <w:rPr>
          <w:rFonts w:ascii="Times New Roman" w:eastAsia="Times New Roman" w:hAnsi="Times New Roman" w:cs="Times New Roman"/>
          <w:color w:val="000000"/>
          <w:sz w:val="24"/>
          <w:szCs w:val="24"/>
          <w:lang w:val="en-GB" w:eastAsia="fr-FR"/>
        </w:rPr>
      </w:pPr>
    </w:p>
    <w:p w14:paraId="457C4A93" w14:textId="1CD31840" w:rsidR="00A208F4" w:rsidRPr="00381DC3" w:rsidRDefault="00381DC3" w:rsidP="003607D0">
      <w:pPr>
        <w:pStyle w:val="Titre2"/>
        <w:numPr>
          <w:ilvl w:val="1"/>
          <w:numId w:val="3"/>
        </w:numPr>
        <w:rPr>
          <w:rFonts w:eastAsia="Times New Roman"/>
          <w:lang w:val="en-GB" w:eastAsia="fr-FR"/>
        </w:rPr>
      </w:pPr>
      <w:r w:rsidRPr="00381DC3">
        <w:rPr>
          <w:rFonts w:eastAsia="Times New Roman"/>
          <w:lang w:val="en-GB" w:eastAsia="fr-FR"/>
        </w:rPr>
        <w:t>Estimation of Nematode Population Densities</w:t>
      </w:r>
    </w:p>
    <w:p w14:paraId="30914BBA" w14:textId="31F12506" w:rsidR="00D210DB" w:rsidRPr="00381DC3" w:rsidRDefault="00381DC3" w:rsidP="001F4A45">
      <w:pPr>
        <w:spacing w:after="3" w:line="358" w:lineRule="auto"/>
        <w:jc w:val="both"/>
        <w:rPr>
          <w:rFonts w:ascii="Times New Roman" w:eastAsia="Times New Roman" w:hAnsi="Times New Roman" w:cs="Times New Roman"/>
          <w:color w:val="000000"/>
          <w:sz w:val="24"/>
          <w:szCs w:val="24"/>
          <w:lang w:val="en-GB" w:eastAsia="fr-FR"/>
        </w:rPr>
      </w:pPr>
      <w:r w:rsidRPr="00381DC3">
        <w:rPr>
          <w:rFonts w:ascii="Times New Roman" w:eastAsia="Times New Roman" w:hAnsi="Times New Roman" w:cs="Times New Roman"/>
          <w:color w:val="000000"/>
          <w:sz w:val="24"/>
          <w:szCs w:val="24"/>
          <w:lang w:val="en-GB" w:eastAsia="fr-FR"/>
        </w:rPr>
        <w:t xml:space="preserve">On each plot, three beetroot plants from the central row were randomly sampled. Washed, pooled, cut, and ground roots were used to extract nematodes from 5 g of sample using the crushing technique (Coyne </w:t>
      </w:r>
      <w:r w:rsidRPr="00381DC3">
        <w:rPr>
          <w:rFonts w:ascii="Times New Roman" w:eastAsia="Times New Roman" w:hAnsi="Times New Roman" w:cs="Times New Roman"/>
          <w:i/>
          <w:iCs/>
          <w:color w:val="000000"/>
          <w:sz w:val="24"/>
          <w:szCs w:val="24"/>
          <w:lang w:val="en-GB" w:eastAsia="fr-FR"/>
        </w:rPr>
        <w:t>et al.,</w:t>
      </w:r>
      <w:r w:rsidRPr="00381DC3">
        <w:rPr>
          <w:rFonts w:ascii="Times New Roman" w:eastAsia="Times New Roman" w:hAnsi="Times New Roman" w:cs="Times New Roman"/>
          <w:color w:val="000000"/>
          <w:sz w:val="24"/>
          <w:szCs w:val="24"/>
          <w:lang w:val="en-GB" w:eastAsia="fr-FR"/>
        </w:rPr>
        <w:t xml:space="preserve"> 2010). Soil samples were collected at a depth of 20 cm (Hooper </w:t>
      </w:r>
      <w:r w:rsidRPr="00381DC3">
        <w:rPr>
          <w:rFonts w:ascii="Times New Roman" w:eastAsia="Times New Roman" w:hAnsi="Times New Roman" w:cs="Times New Roman"/>
          <w:i/>
          <w:iCs/>
          <w:color w:val="000000"/>
          <w:sz w:val="24"/>
          <w:szCs w:val="24"/>
          <w:lang w:val="en-GB" w:eastAsia="fr-FR"/>
        </w:rPr>
        <w:t>et al.,</w:t>
      </w:r>
      <w:r w:rsidRPr="00381DC3">
        <w:rPr>
          <w:rFonts w:ascii="Times New Roman" w:eastAsia="Times New Roman" w:hAnsi="Times New Roman" w:cs="Times New Roman"/>
          <w:color w:val="000000"/>
          <w:sz w:val="24"/>
          <w:szCs w:val="24"/>
          <w:lang w:val="en-GB" w:eastAsia="fr-FR"/>
        </w:rPr>
        <w:t xml:space="preserve"> 2005), homogenized, and nematodes were extracted from 100 g of soil using the modified Baermann method (Coyne </w:t>
      </w:r>
      <w:r w:rsidRPr="00381DC3">
        <w:rPr>
          <w:rFonts w:ascii="Times New Roman" w:eastAsia="Times New Roman" w:hAnsi="Times New Roman" w:cs="Times New Roman"/>
          <w:i/>
          <w:iCs/>
          <w:color w:val="000000"/>
          <w:sz w:val="24"/>
          <w:szCs w:val="24"/>
          <w:lang w:val="en-GB" w:eastAsia="fr-FR"/>
        </w:rPr>
        <w:t>et al.,</w:t>
      </w:r>
      <w:r w:rsidRPr="00381DC3">
        <w:rPr>
          <w:rFonts w:ascii="Times New Roman" w:eastAsia="Times New Roman" w:hAnsi="Times New Roman" w:cs="Times New Roman"/>
          <w:color w:val="000000"/>
          <w:sz w:val="24"/>
          <w:szCs w:val="24"/>
          <w:lang w:val="en-GB" w:eastAsia="fr-FR"/>
        </w:rPr>
        <w:t xml:space="preserve"> 2010). Nematode densities were observed under a binocular microscope and expressed as the mean of three counts per sample (Kouakou </w:t>
      </w:r>
      <w:r w:rsidRPr="00381DC3">
        <w:rPr>
          <w:rFonts w:ascii="Times New Roman" w:eastAsia="Times New Roman" w:hAnsi="Times New Roman" w:cs="Times New Roman"/>
          <w:i/>
          <w:iCs/>
          <w:color w:val="000000"/>
          <w:sz w:val="24"/>
          <w:szCs w:val="24"/>
          <w:lang w:val="en-GB" w:eastAsia="fr-FR"/>
        </w:rPr>
        <w:t>et al.,</w:t>
      </w:r>
      <w:r w:rsidRPr="00381DC3">
        <w:rPr>
          <w:rFonts w:ascii="Times New Roman" w:eastAsia="Times New Roman" w:hAnsi="Times New Roman" w:cs="Times New Roman"/>
          <w:color w:val="000000"/>
          <w:sz w:val="24"/>
          <w:szCs w:val="24"/>
          <w:lang w:val="en-GB" w:eastAsia="fr-FR"/>
        </w:rPr>
        <w:t xml:space="preserve"> 2017; Tchabi </w:t>
      </w:r>
      <w:r w:rsidRPr="00381DC3">
        <w:rPr>
          <w:rFonts w:ascii="Times New Roman" w:eastAsia="Times New Roman" w:hAnsi="Times New Roman" w:cs="Times New Roman"/>
          <w:i/>
          <w:iCs/>
          <w:color w:val="000000"/>
          <w:sz w:val="24"/>
          <w:szCs w:val="24"/>
          <w:lang w:val="en-GB" w:eastAsia="fr-FR"/>
        </w:rPr>
        <w:t>et al.,</w:t>
      </w:r>
      <w:r w:rsidRPr="00381DC3">
        <w:rPr>
          <w:rFonts w:ascii="Times New Roman" w:eastAsia="Times New Roman" w:hAnsi="Times New Roman" w:cs="Times New Roman"/>
          <w:color w:val="000000"/>
          <w:sz w:val="24"/>
          <w:szCs w:val="24"/>
          <w:lang w:val="en-GB" w:eastAsia="fr-FR"/>
        </w:rPr>
        <w:t xml:space="preserve"> 2019) (Figure 1)</w:t>
      </w:r>
      <w:r w:rsidR="00F176A0" w:rsidRPr="00381DC3">
        <w:rPr>
          <w:rFonts w:ascii="Times New Roman" w:eastAsia="Times New Roman" w:hAnsi="Times New Roman" w:cs="Times New Roman"/>
          <w:color w:val="000000"/>
          <w:sz w:val="24"/>
          <w:szCs w:val="24"/>
          <w:lang w:val="en-GB" w:eastAsia="fr-FR"/>
        </w:rPr>
        <w:t>.</w:t>
      </w:r>
    </w:p>
    <w:p w14:paraId="5B9D962F" w14:textId="77777777" w:rsidR="00D210DB" w:rsidRPr="00381DC3" w:rsidRDefault="00D210DB" w:rsidP="001F4A45">
      <w:pPr>
        <w:spacing w:after="3" w:line="358" w:lineRule="auto"/>
        <w:jc w:val="both"/>
        <w:rPr>
          <w:rFonts w:ascii="Times New Roman" w:eastAsia="Times New Roman" w:hAnsi="Times New Roman" w:cs="Times New Roman"/>
          <w:color w:val="000000"/>
          <w:sz w:val="24"/>
          <w:szCs w:val="24"/>
          <w:lang w:val="en-GB" w:eastAsia="fr-FR"/>
        </w:rPr>
      </w:pPr>
    </w:p>
    <w:p w14:paraId="16ABF1D2" w14:textId="2D72854F" w:rsidR="00D210DB" w:rsidRPr="00381DC3" w:rsidRDefault="00D210DB" w:rsidP="001F4A45">
      <w:pPr>
        <w:spacing w:after="3" w:line="358" w:lineRule="auto"/>
        <w:jc w:val="both"/>
        <w:rPr>
          <w:rFonts w:ascii="Times New Roman" w:eastAsia="Times New Roman" w:hAnsi="Times New Roman" w:cs="Times New Roman"/>
          <w:color w:val="000000"/>
          <w:sz w:val="24"/>
          <w:szCs w:val="24"/>
          <w:lang w:val="en-GB" w:eastAsia="fr-FR"/>
        </w:rPr>
      </w:pPr>
      <w:r w:rsidRPr="00B93830">
        <w:rPr>
          <w:noProof/>
          <w:sz w:val="24"/>
          <w:szCs w:val="24"/>
          <w:lang w:eastAsia="nl-NL"/>
        </w:rPr>
        <w:drawing>
          <wp:anchor distT="0" distB="0" distL="114300" distR="114300" simplePos="0" relativeHeight="251661312" behindDoc="1" locked="0" layoutInCell="1" allowOverlap="1" wp14:anchorId="5606F2B3" wp14:editId="7CC41152">
            <wp:simplePos x="0" y="0"/>
            <wp:positionH relativeFrom="column">
              <wp:posOffset>2519680</wp:posOffset>
            </wp:positionH>
            <wp:positionV relativeFrom="paragraph">
              <wp:posOffset>0</wp:posOffset>
            </wp:positionV>
            <wp:extent cx="1783715" cy="2566035"/>
            <wp:effectExtent l="0" t="0" r="6985" b="5715"/>
            <wp:wrapTight wrapText="bothSides">
              <wp:wrapPolygon edited="0">
                <wp:start x="0" y="0"/>
                <wp:lineTo x="0" y="21488"/>
                <wp:lineTo x="21454" y="21488"/>
                <wp:lineTo x="21454" y="0"/>
                <wp:lineTo x="0" y="0"/>
              </wp:wrapPolygon>
            </wp:wrapTight>
            <wp:docPr id="25" name="Image 24" descr="IMAG0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025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3715" cy="2566035"/>
                    </a:xfrm>
                    <a:prstGeom prst="rect">
                      <a:avLst/>
                    </a:prstGeom>
                  </pic:spPr>
                </pic:pic>
              </a:graphicData>
            </a:graphic>
            <wp14:sizeRelH relativeFrom="margin">
              <wp14:pctWidth>0</wp14:pctWidth>
            </wp14:sizeRelH>
            <wp14:sizeRelV relativeFrom="margin">
              <wp14:pctHeight>0</wp14:pctHeight>
            </wp14:sizeRelV>
          </wp:anchor>
        </w:drawing>
      </w:r>
      <w:r w:rsidRPr="00B93830">
        <w:rPr>
          <w:noProof/>
        </w:rPr>
        <w:drawing>
          <wp:anchor distT="0" distB="0" distL="114300" distR="114300" simplePos="0" relativeHeight="251659264" behindDoc="0" locked="0" layoutInCell="1" allowOverlap="1" wp14:anchorId="15514B35" wp14:editId="6ABEE0BB">
            <wp:simplePos x="0" y="0"/>
            <wp:positionH relativeFrom="column">
              <wp:posOffset>0</wp:posOffset>
            </wp:positionH>
            <wp:positionV relativeFrom="paragraph">
              <wp:posOffset>0</wp:posOffset>
            </wp:positionV>
            <wp:extent cx="2431665" cy="2501661"/>
            <wp:effectExtent l="0" t="0" r="6985" b="0"/>
            <wp:wrapNone/>
            <wp:docPr id="7354" name="Picture 7354"/>
            <wp:cNvGraphicFramePr/>
            <a:graphic xmlns:a="http://schemas.openxmlformats.org/drawingml/2006/main">
              <a:graphicData uri="http://schemas.openxmlformats.org/drawingml/2006/picture">
                <pic:pic xmlns:pic="http://schemas.openxmlformats.org/drawingml/2006/picture">
                  <pic:nvPicPr>
                    <pic:cNvPr id="7354" name="Picture 7354"/>
                    <pic:cNvPicPr/>
                  </pic:nvPicPr>
                  <pic:blipFill>
                    <a:blip r:embed="rId8"/>
                    <a:stretch>
                      <a:fillRect/>
                    </a:stretch>
                  </pic:blipFill>
                  <pic:spPr>
                    <a:xfrm>
                      <a:off x="0" y="0"/>
                      <a:ext cx="2435397" cy="2505501"/>
                    </a:xfrm>
                    <a:prstGeom prst="rect">
                      <a:avLst/>
                    </a:prstGeom>
                  </pic:spPr>
                </pic:pic>
              </a:graphicData>
            </a:graphic>
            <wp14:sizeRelH relativeFrom="margin">
              <wp14:pctWidth>0</wp14:pctWidth>
            </wp14:sizeRelH>
            <wp14:sizeRelV relativeFrom="margin">
              <wp14:pctHeight>0</wp14:pctHeight>
            </wp14:sizeRelV>
          </wp:anchor>
        </w:drawing>
      </w:r>
    </w:p>
    <w:p w14:paraId="36850275" w14:textId="22DA5819" w:rsidR="001F4A45" w:rsidRPr="00381DC3" w:rsidRDefault="001F4A45" w:rsidP="007178E4">
      <w:pPr>
        <w:spacing w:line="360" w:lineRule="auto"/>
        <w:jc w:val="both"/>
        <w:rPr>
          <w:rFonts w:ascii="Times New Roman" w:hAnsi="Times New Roman" w:cs="Times New Roman"/>
          <w:sz w:val="24"/>
          <w:szCs w:val="24"/>
          <w:lang w:val="en-GB"/>
        </w:rPr>
      </w:pPr>
    </w:p>
    <w:p w14:paraId="73956B9E" w14:textId="77777777" w:rsidR="00D210DB" w:rsidRPr="00381DC3" w:rsidRDefault="00D210DB" w:rsidP="00D210DB">
      <w:pPr>
        <w:rPr>
          <w:rFonts w:ascii="Times New Roman" w:hAnsi="Times New Roman" w:cs="Times New Roman"/>
          <w:sz w:val="24"/>
          <w:szCs w:val="24"/>
          <w:lang w:val="en-GB"/>
        </w:rPr>
      </w:pPr>
    </w:p>
    <w:p w14:paraId="53FD73D8" w14:textId="77777777" w:rsidR="00D210DB" w:rsidRPr="00381DC3" w:rsidRDefault="00D210DB" w:rsidP="00D210DB">
      <w:pPr>
        <w:rPr>
          <w:rFonts w:ascii="Times New Roman" w:hAnsi="Times New Roman" w:cs="Times New Roman"/>
          <w:sz w:val="24"/>
          <w:szCs w:val="24"/>
          <w:lang w:val="en-GB"/>
        </w:rPr>
      </w:pPr>
    </w:p>
    <w:p w14:paraId="0C7D39BB" w14:textId="77777777" w:rsidR="00D210DB" w:rsidRPr="00381DC3" w:rsidRDefault="00D210DB" w:rsidP="00D210DB">
      <w:pPr>
        <w:rPr>
          <w:rFonts w:ascii="Times New Roman" w:hAnsi="Times New Roman" w:cs="Times New Roman"/>
          <w:sz w:val="24"/>
          <w:szCs w:val="24"/>
          <w:lang w:val="en-GB"/>
        </w:rPr>
      </w:pPr>
    </w:p>
    <w:p w14:paraId="4C4329A3" w14:textId="77777777" w:rsidR="00D210DB" w:rsidRPr="00381DC3" w:rsidRDefault="00D210DB" w:rsidP="00D210DB">
      <w:pPr>
        <w:rPr>
          <w:rFonts w:ascii="Times New Roman" w:hAnsi="Times New Roman" w:cs="Times New Roman"/>
          <w:sz w:val="24"/>
          <w:szCs w:val="24"/>
          <w:lang w:val="en-GB"/>
        </w:rPr>
      </w:pPr>
    </w:p>
    <w:p w14:paraId="0C1E5288" w14:textId="77777777" w:rsidR="00D210DB" w:rsidRPr="00381DC3" w:rsidRDefault="00D210DB" w:rsidP="00D210DB">
      <w:pPr>
        <w:rPr>
          <w:rFonts w:ascii="Times New Roman" w:hAnsi="Times New Roman" w:cs="Times New Roman"/>
          <w:sz w:val="24"/>
          <w:szCs w:val="24"/>
          <w:lang w:val="en-GB"/>
        </w:rPr>
      </w:pPr>
    </w:p>
    <w:p w14:paraId="7227856B" w14:textId="77777777" w:rsidR="00D210DB" w:rsidRPr="00381DC3" w:rsidRDefault="00D210DB" w:rsidP="00D210DB">
      <w:pPr>
        <w:rPr>
          <w:rFonts w:ascii="Times New Roman" w:hAnsi="Times New Roman" w:cs="Times New Roman"/>
          <w:sz w:val="24"/>
          <w:szCs w:val="24"/>
          <w:lang w:val="en-GB"/>
        </w:rPr>
      </w:pPr>
    </w:p>
    <w:p w14:paraId="4D16548F" w14:textId="77777777" w:rsidR="00D210DB" w:rsidRPr="00381DC3" w:rsidRDefault="00D210DB" w:rsidP="00D210DB">
      <w:pPr>
        <w:rPr>
          <w:rFonts w:ascii="Times New Roman" w:hAnsi="Times New Roman" w:cs="Times New Roman"/>
          <w:sz w:val="24"/>
          <w:szCs w:val="24"/>
          <w:lang w:val="en-GB"/>
        </w:rPr>
      </w:pPr>
    </w:p>
    <w:p w14:paraId="706A1939" w14:textId="77777777" w:rsidR="008B2B5D" w:rsidRPr="00C25957" w:rsidRDefault="008B2B5D" w:rsidP="000A0FF1">
      <w:pPr>
        <w:rPr>
          <w:rFonts w:ascii="Times New Roman" w:eastAsia="Calibri" w:hAnsi="Times New Roman" w:cs="Times New Roman"/>
          <w:i/>
          <w:iCs/>
          <w:color w:val="000000" w:themeColor="text1"/>
          <w:kern w:val="0"/>
          <w:lang w:val="en-IN"/>
          <w14:ligatures w14:val="none"/>
        </w:rPr>
      </w:pPr>
      <w:r w:rsidRPr="00C25957">
        <w:rPr>
          <w:rFonts w:ascii="Times New Roman" w:eastAsia="Calibri" w:hAnsi="Times New Roman" w:cs="Times New Roman"/>
          <w:i/>
          <w:iCs/>
          <w:color w:val="000000" w:themeColor="text1"/>
          <w:kern w:val="0"/>
          <w:lang w:val="en-IN"/>
          <w14:ligatures w14:val="none"/>
        </w:rPr>
        <w:t>Figure 1: Setup of samples and nematode observation in the laboratory (August 2023)</w:t>
      </w:r>
    </w:p>
    <w:p w14:paraId="69D52FF6" w14:textId="6BEB49DA" w:rsidR="00533C6A" w:rsidRPr="00533C6A" w:rsidRDefault="00533C6A" w:rsidP="003607D0">
      <w:pPr>
        <w:pStyle w:val="Titre2"/>
        <w:numPr>
          <w:ilvl w:val="1"/>
          <w:numId w:val="3"/>
        </w:numPr>
        <w:rPr>
          <w:rFonts w:eastAsia="Times New Roman"/>
          <w:lang w:val="en-GB" w:eastAsia="fr-FR"/>
        </w:rPr>
      </w:pPr>
      <w:r w:rsidRPr="00533C6A">
        <w:rPr>
          <w:rFonts w:eastAsia="Times New Roman"/>
          <w:lang w:val="en-GB" w:eastAsia="fr-FR"/>
        </w:rPr>
        <w:lastRenderedPageBreak/>
        <w:t xml:space="preserve">Measured Parameters </w:t>
      </w:r>
    </w:p>
    <w:p w14:paraId="636955DD" w14:textId="1799B0CC" w:rsidR="000A0FF1" w:rsidRPr="00BC4843" w:rsidRDefault="00533C6A" w:rsidP="00BC4843">
      <w:pPr>
        <w:spacing w:before="100" w:beforeAutospacing="1" w:after="100" w:afterAutospacing="1" w:line="360" w:lineRule="auto"/>
        <w:jc w:val="both"/>
        <w:rPr>
          <w:rFonts w:ascii="Times New Roman" w:eastAsia="Times New Roman" w:hAnsi="Times New Roman" w:cs="Times New Roman"/>
          <w:kern w:val="0"/>
          <w:sz w:val="24"/>
          <w:szCs w:val="24"/>
          <w:lang w:val="en-GB" w:eastAsia="fr-FR"/>
          <w14:ligatures w14:val="none"/>
        </w:rPr>
      </w:pPr>
      <w:r w:rsidRPr="00533C6A">
        <w:rPr>
          <w:rFonts w:ascii="Times New Roman" w:eastAsia="Times New Roman" w:hAnsi="Times New Roman" w:cs="Times New Roman"/>
          <w:kern w:val="0"/>
          <w:sz w:val="24"/>
          <w:szCs w:val="24"/>
          <w:lang w:val="en-GB" w:eastAsia="fr-FR"/>
          <w14:ligatures w14:val="none"/>
        </w:rPr>
        <w:t>The parameters evaluated included nematode densities in soil and roots, determined by manual counting in Petri dishes. The gall index was assessed using the Bridge and Page (1980) scale, ranging from 0 (no galls) to 10 (roots completely galled). Agro-morphological traits measured included the number of living leaves, as well as, at harvest, the total plant biomass (including leaves) and the tuber yield.</w:t>
      </w:r>
    </w:p>
    <w:p w14:paraId="39E8EABF" w14:textId="3881A629" w:rsidR="00D210DB" w:rsidRPr="00CA4E7F" w:rsidRDefault="00CA4E7F" w:rsidP="00D210DB">
      <w:pPr>
        <w:rPr>
          <w:rFonts w:ascii="Times New Roman" w:hAnsi="Times New Roman" w:cs="Times New Roman"/>
          <w:sz w:val="24"/>
          <w:szCs w:val="24"/>
          <w:lang w:val="en-GB"/>
        </w:rPr>
      </w:pPr>
      <w:r w:rsidRPr="00CA4E7F">
        <w:rPr>
          <w:rFonts w:ascii="Times New Roman" w:eastAsia="Times New Roman" w:hAnsi="Times New Roman"/>
          <w:color w:val="000000"/>
          <w:sz w:val="24"/>
          <w:szCs w:val="24"/>
          <w:lang w:val="en-GB" w:eastAsia="fr-FR"/>
        </w:rPr>
        <w:t>Yield was calculated using the following formula:</w:t>
      </w:r>
    </w:p>
    <w:tbl>
      <w:tblPr>
        <w:tblStyle w:val="Grilledutableau"/>
        <w:tblW w:w="0" w:type="auto"/>
        <w:tblLook w:val="04A0" w:firstRow="1" w:lastRow="0" w:firstColumn="1" w:lastColumn="0" w:noHBand="0" w:noVBand="1"/>
      </w:tblPr>
      <w:tblGrid>
        <w:gridCol w:w="4530"/>
        <w:gridCol w:w="4530"/>
      </w:tblGrid>
      <w:tr w:rsidR="00601C04" w:rsidRPr="005D6EBF" w14:paraId="7011A70A" w14:textId="77777777" w:rsidTr="00DA07BC">
        <w:tc>
          <w:tcPr>
            <w:tcW w:w="4530" w:type="dxa"/>
            <w:tcBorders>
              <w:top w:val="nil"/>
              <w:left w:val="nil"/>
              <w:bottom w:val="nil"/>
              <w:right w:val="nil"/>
            </w:tcBorders>
            <w:vAlign w:val="center"/>
          </w:tcPr>
          <w:p w14:paraId="17541717" w14:textId="42E205A6" w:rsidR="00601C04" w:rsidRPr="00850F60" w:rsidRDefault="00CA4E7F" w:rsidP="00DA07BC">
            <w:pPr>
              <w:spacing w:line="276" w:lineRule="auto"/>
              <w:jc w:val="center"/>
              <w:rPr>
                <w:rFonts w:ascii="Times New Roman" w:eastAsia="Times New Roman" w:hAnsi="Times New Roman"/>
                <w:color w:val="000000"/>
                <w:sz w:val="24"/>
                <w:szCs w:val="24"/>
                <w:lang w:eastAsia="fr-FR"/>
              </w:rPr>
            </w:pPr>
            <m:oMathPara>
              <m:oMath>
                <m:r>
                  <m:rPr>
                    <m:sty m:val="bi"/>
                  </m:rPr>
                  <w:rPr>
                    <w:rFonts w:ascii="Cambria Math" w:eastAsia="Times New Roman" w:hAnsi="Cambria Math"/>
                    <w:color w:val="000000"/>
                    <w:sz w:val="24"/>
                    <w:szCs w:val="24"/>
                    <w:bdr w:val="single" w:sz="4" w:space="0" w:color="auto"/>
                    <w:lang w:eastAsia="fr-FR"/>
                  </w:rPr>
                  <m:t>Yield (t/ha)=</m:t>
                </m:r>
                <m:f>
                  <m:fPr>
                    <m:ctrlPr>
                      <w:rPr>
                        <w:rFonts w:ascii="Cambria Math" w:eastAsia="Times New Roman" w:hAnsi="Cambria Math"/>
                        <w:b/>
                        <w:bCs/>
                        <w:i/>
                        <w:color w:val="000000"/>
                        <w:sz w:val="24"/>
                        <w:szCs w:val="24"/>
                        <w:bdr w:val="single" w:sz="4" w:space="0" w:color="auto"/>
                        <w:lang w:eastAsia="fr-FR"/>
                      </w:rPr>
                    </m:ctrlPr>
                  </m:fPr>
                  <m:num>
                    <m:r>
                      <m:rPr>
                        <m:sty m:val="bi"/>
                      </m:rPr>
                      <w:rPr>
                        <w:rFonts w:ascii="Cambria Math" w:eastAsia="Times New Roman" w:hAnsi="Cambria Math"/>
                        <w:color w:val="000000"/>
                        <w:sz w:val="24"/>
                        <w:szCs w:val="24"/>
                        <w:bdr w:val="single" w:sz="4" w:space="0" w:color="auto"/>
                        <w:lang w:eastAsia="fr-FR"/>
                      </w:rPr>
                      <m:t xml:space="preserve">N × </m:t>
                    </m:r>
                    <m:f>
                      <m:fPr>
                        <m:type m:val="skw"/>
                        <m:ctrlPr>
                          <w:rPr>
                            <w:rFonts w:ascii="Cambria Math" w:eastAsia="Times New Roman" w:hAnsi="Cambria Math"/>
                            <w:b/>
                            <w:bCs/>
                            <w:i/>
                            <w:color w:val="000000"/>
                            <w:sz w:val="24"/>
                            <w:szCs w:val="24"/>
                            <w:bdr w:val="single" w:sz="4" w:space="0" w:color="auto"/>
                            <w:lang w:eastAsia="fr-FR"/>
                          </w:rPr>
                        </m:ctrlPr>
                      </m:fPr>
                      <m:num>
                        <m:r>
                          <m:rPr>
                            <m:sty m:val="bi"/>
                          </m:rPr>
                          <w:rPr>
                            <w:rFonts w:ascii="Cambria Math" w:eastAsia="Times New Roman" w:hAnsi="Cambria Math"/>
                            <w:color w:val="000000"/>
                            <w:sz w:val="24"/>
                            <w:szCs w:val="24"/>
                            <w:bdr w:val="single" w:sz="4" w:space="0" w:color="auto"/>
                            <w:lang w:eastAsia="fr-FR"/>
                          </w:rPr>
                          <m:t>M</m:t>
                        </m:r>
                      </m:num>
                      <m:den>
                        <m:r>
                          <m:rPr>
                            <m:sty m:val="bi"/>
                          </m:rPr>
                          <w:rPr>
                            <w:rFonts w:ascii="Cambria Math" w:eastAsia="Times New Roman" w:hAnsi="Cambria Math"/>
                            <w:color w:val="000000"/>
                            <w:sz w:val="24"/>
                            <w:szCs w:val="24"/>
                            <w:bdr w:val="single" w:sz="4" w:space="0" w:color="auto"/>
                            <w:lang w:eastAsia="fr-FR"/>
                          </w:rPr>
                          <m:t>5</m:t>
                        </m:r>
                      </m:den>
                    </m:f>
                  </m:num>
                  <m:den>
                    <m:sSup>
                      <m:sSupPr>
                        <m:ctrlPr>
                          <w:rPr>
                            <w:rFonts w:ascii="Cambria Math" w:eastAsia="Times New Roman" w:hAnsi="Cambria Math"/>
                            <w:b/>
                            <w:bCs/>
                            <w:i/>
                            <w:color w:val="000000"/>
                            <w:sz w:val="24"/>
                            <w:szCs w:val="24"/>
                            <w:bdr w:val="single" w:sz="4" w:space="0" w:color="auto"/>
                            <w:lang w:eastAsia="fr-FR"/>
                          </w:rPr>
                        </m:ctrlPr>
                      </m:sSupPr>
                      <m:e>
                        <m:r>
                          <m:rPr>
                            <m:sty m:val="bi"/>
                          </m:rPr>
                          <w:rPr>
                            <w:rFonts w:ascii="Cambria Math" w:eastAsia="Times New Roman" w:hAnsi="Cambria Math"/>
                            <w:color w:val="000000"/>
                            <w:sz w:val="24"/>
                            <w:szCs w:val="24"/>
                            <w:bdr w:val="single" w:sz="4" w:space="0" w:color="auto"/>
                            <w:lang w:eastAsia="fr-FR"/>
                          </w:rPr>
                          <m:t>10</m:t>
                        </m:r>
                      </m:e>
                      <m:sup>
                        <m:r>
                          <m:rPr>
                            <m:sty m:val="bi"/>
                          </m:rPr>
                          <w:rPr>
                            <w:rFonts w:ascii="Cambria Math" w:eastAsia="Times New Roman" w:hAnsi="Cambria Math"/>
                            <w:color w:val="000000"/>
                            <w:sz w:val="24"/>
                            <w:szCs w:val="24"/>
                            <w:bdr w:val="single" w:sz="4" w:space="0" w:color="auto"/>
                            <w:lang w:eastAsia="fr-FR"/>
                          </w:rPr>
                          <m:t>6</m:t>
                        </m:r>
                      </m:sup>
                    </m:sSup>
                  </m:den>
                </m:f>
              </m:oMath>
            </m:oMathPara>
          </w:p>
        </w:tc>
        <w:tc>
          <w:tcPr>
            <w:tcW w:w="4530" w:type="dxa"/>
            <w:tcBorders>
              <w:top w:val="nil"/>
              <w:left w:val="nil"/>
              <w:bottom w:val="nil"/>
              <w:right w:val="nil"/>
            </w:tcBorders>
          </w:tcPr>
          <w:p w14:paraId="10069E22" w14:textId="12045128" w:rsidR="00601C04" w:rsidRPr="00063A0E" w:rsidRDefault="00063A0E" w:rsidP="00DA07BC">
            <w:pPr>
              <w:spacing w:line="276" w:lineRule="auto"/>
              <w:ind w:left="612" w:hanging="612"/>
              <w:jc w:val="both"/>
              <w:rPr>
                <w:rFonts w:ascii="Times New Roman" w:eastAsia="Times New Roman" w:hAnsi="Times New Roman"/>
                <w:color w:val="000000"/>
                <w:sz w:val="24"/>
                <w:szCs w:val="24"/>
                <w:lang w:val="en-GB" w:eastAsia="fr-FR"/>
              </w:rPr>
            </w:pPr>
            <w:r w:rsidRPr="00063A0E">
              <w:rPr>
                <w:rFonts w:ascii="Times New Roman" w:eastAsia="Times New Roman" w:hAnsi="Times New Roman"/>
                <w:color w:val="000000"/>
                <w:sz w:val="24"/>
                <w:szCs w:val="24"/>
                <w:lang w:val="en-GB" w:eastAsia="fr-FR"/>
              </w:rPr>
              <w:t>M:</w:t>
            </w:r>
            <w:r w:rsidR="00601C04" w:rsidRPr="00063A0E">
              <w:rPr>
                <w:rFonts w:ascii="Times New Roman" w:eastAsia="Times New Roman" w:hAnsi="Times New Roman"/>
                <w:color w:val="000000"/>
                <w:sz w:val="24"/>
                <w:szCs w:val="24"/>
                <w:lang w:val="en-GB" w:eastAsia="fr-FR"/>
              </w:rPr>
              <w:t xml:space="preserve"> </w:t>
            </w:r>
            <w:r w:rsidRPr="00063A0E">
              <w:rPr>
                <w:rFonts w:ascii="Times New Roman" w:eastAsia="Times New Roman" w:hAnsi="Times New Roman"/>
                <w:color w:val="000000"/>
                <w:sz w:val="24"/>
                <w:szCs w:val="24"/>
                <w:lang w:val="en-GB" w:eastAsia="fr-FR"/>
              </w:rPr>
              <w:t>The yield was determined based on the fresh weight of five plants per replication.</w:t>
            </w:r>
          </w:p>
          <w:p w14:paraId="68ED2A7B" w14:textId="1089A4FE" w:rsidR="00601C04" w:rsidRPr="00063A0E" w:rsidRDefault="00601C04" w:rsidP="00DA07BC">
            <w:pPr>
              <w:spacing w:line="276" w:lineRule="auto"/>
              <w:ind w:left="612" w:hanging="612"/>
              <w:jc w:val="both"/>
              <w:rPr>
                <w:rFonts w:ascii="Times New Roman" w:eastAsia="Times New Roman" w:hAnsi="Times New Roman"/>
                <w:color w:val="000000"/>
                <w:sz w:val="24"/>
                <w:szCs w:val="24"/>
                <w:lang w:val="en-GB" w:eastAsia="fr-FR"/>
              </w:rPr>
            </w:pPr>
            <w:r w:rsidRPr="00063A0E">
              <w:rPr>
                <w:rFonts w:ascii="Times New Roman" w:eastAsia="Times New Roman" w:hAnsi="Times New Roman"/>
                <w:b/>
                <w:color w:val="000000"/>
                <w:sz w:val="24"/>
                <w:szCs w:val="24"/>
                <w:lang w:val="en-GB" w:eastAsia="fr-FR"/>
              </w:rPr>
              <w:t>1/10</w:t>
            </w:r>
            <w:r w:rsidR="00063A0E" w:rsidRPr="00063A0E">
              <w:rPr>
                <w:rFonts w:ascii="Times New Roman" w:eastAsia="Times New Roman" w:hAnsi="Times New Roman"/>
                <w:b/>
                <w:color w:val="000000"/>
                <w:sz w:val="24"/>
                <w:szCs w:val="24"/>
                <w:lang w:val="en-GB" w:eastAsia="fr-FR"/>
              </w:rPr>
              <w:t>⁶</w:t>
            </w:r>
            <w:r w:rsidR="00063A0E" w:rsidRPr="00063A0E">
              <w:rPr>
                <w:rFonts w:ascii="Times New Roman" w:eastAsia="Times New Roman" w:hAnsi="Times New Roman"/>
                <w:color w:val="000000"/>
                <w:sz w:val="24"/>
                <w:szCs w:val="24"/>
                <w:lang w:val="en-GB" w:eastAsia="fr-FR"/>
              </w:rPr>
              <w:t>:</w:t>
            </w:r>
            <w:r w:rsidRPr="00063A0E">
              <w:rPr>
                <w:rFonts w:ascii="Times New Roman" w:eastAsia="Times New Roman" w:hAnsi="Times New Roman"/>
                <w:color w:val="000000"/>
                <w:sz w:val="24"/>
                <w:szCs w:val="24"/>
                <w:lang w:val="en-GB" w:eastAsia="fr-FR"/>
              </w:rPr>
              <w:t xml:space="preserve"> </w:t>
            </w:r>
            <w:r w:rsidR="00063A0E" w:rsidRPr="00063A0E">
              <w:rPr>
                <w:rFonts w:ascii="Times New Roman" w:eastAsia="Times New Roman" w:hAnsi="Times New Roman"/>
                <w:color w:val="000000"/>
                <w:sz w:val="24"/>
                <w:szCs w:val="24"/>
                <w:lang w:val="en-GB" w:eastAsia="fr-FR"/>
              </w:rPr>
              <w:t>To convert grams to metric tonnes:</w:t>
            </w:r>
          </w:p>
          <w:p w14:paraId="6D83B05C" w14:textId="0C11E381" w:rsidR="00601C04" w:rsidRPr="00063A0E" w:rsidRDefault="00063A0E" w:rsidP="00DA07BC">
            <w:pPr>
              <w:spacing w:line="276" w:lineRule="auto"/>
              <w:ind w:left="612" w:hanging="612"/>
              <w:jc w:val="both"/>
              <w:rPr>
                <w:rFonts w:ascii="Times New Roman" w:eastAsia="Times New Roman" w:hAnsi="Times New Roman"/>
                <w:color w:val="000000"/>
                <w:sz w:val="24"/>
                <w:szCs w:val="24"/>
                <w:lang w:val="en-GB" w:eastAsia="fr-FR"/>
              </w:rPr>
            </w:pPr>
            <w:r w:rsidRPr="00063A0E">
              <w:rPr>
                <w:rFonts w:ascii="Times New Roman" w:eastAsia="Times New Roman" w:hAnsi="Times New Roman"/>
                <w:color w:val="000000"/>
                <w:sz w:val="24"/>
                <w:szCs w:val="24"/>
                <w:lang w:val="en-GB" w:eastAsia="fr-FR"/>
              </w:rPr>
              <w:t>N:</w:t>
            </w:r>
            <w:r w:rsidR="00601C04" w:rsidRPr="00063A0E">
              <w:rPr>
                <w:rFonts w:ascii="Times New Roman" w:eastAsia="Times New Roman" w:hAnsi="Times New Roman"/>
                <w:color w:val="000000"/>
                <w:sz w:val="24"/>
                <w:szCs w:val="24"/>
                <w:lang w:val="en-GB" w:eastAsia="fr-FR"/>
              </w:rPr>
              <w:t xml:space="preserve"> </w:t>
            </w:r>
            <w:r w:rsidRPr="00063A0E">
              <w:rPr>
                <w:rFonts w:ascii="Times New Roman" w:eastAsia="Times New Roman" w:hAnsi="Times New Roman"/>
                <w:color w:val="000000"/>
                <w:sz w:val="24"/>
                <w:szCs w:val="24"/>
                <w:lang w:val="en-GB" w:eastAsia="fr-FR"/>
              </w:rPr>
              <w:t>The number of plants per hectare was 250,000, based on the planting scheme used in this study.</w:t>
            </w:r>
          </w:p>
        </w:tc>
      </w:tr>
    </w:tbl>
    <w:p w14:paraId="60156123" w14:textId="77777777" w:rsidR="00601C04" w:rsidRPr="00063A0E" w:rsidRDefault="00601C04" w:rsidP="00D210DB">
      <w:pPr>
        <w:rPr>
          <w:rFonts w:ascii="Times New Roman" w:hAnsi="Times New Roman" w:cs="Times New Roman"/>
          <w:sz w:val="24"/>
          <w:szCs w:val="24"/>
          <w:lang w:val="en-GB"/>
        </w:rPr>
      </w:pPr>
    </w:p>
    <w:p w14:paraId="3F2D0BC9" w14:textId="59FCC23F" w:rsidR="00347C0B" w:rsidRPr="00347C0B" w:rsidRDefault="00347C0B" w:rsidP="003607D0">
      <w:pPr>
        <w:pStyle w:val="Titre2"/>
        <w:numPr>
          <w:ilvl w:val="1"/>
          <w:numId w:val="3"/>
        </w:numPr>
        <w:rPr>
          <w:rFonts w:eastAsia="Times New Roman"/>
          <w:lang w:val="en-GB" w:eastAsia="fr-FR"/>
        </w:rPr>
      </w:pPr>
      <w:r w:rsidRPr="00347C0B">
        <w:rPr>
          <w:rFonts w:eastAsia="Times New Roman"/>
          <w:lang w:val="en-GB" w:eastAsia="fr-FR"/>
        </w:rPr>
        <w:t>Statistical Analysis of Collected Data</w:t>
      </w:r>
    </w:p>
    <w:p w14:paraId="1DA4D0A2" w14:textId="3E29EECB" w:rsidR="00601C04" w:rsidRDefault="00347C0B" w:rsidP="00475EF2">
      <w:pPr>
        <w:spacing w:line="360" w:lineRule="auto"/>
        <w:jc w:val="both"/>
        <w:rPr>
          <w:rFonts w:ascii="Times New Roman" w:eastAsia="Times New Roman" w:hAnsi="Times New Roman" w:cs="Times New Roman"/>
          <w:color w:val="000000"/>
          <w:kern w:val="0"/>
          <w:sz w:val="24"/>
          <w:szCs w:val="26"/>
          <w:lang w:val="en-GB" w:eastAsia="fr-FR"/>
          <w14:ligatures w14:val="none"/>
        </w:rPr>
      </w:pPr>
      <w:r w:rsidRPr="00347C0B">
        <w:rPr>
          <w:rFonts w:ascii="Times New Roman" w:eastAsia="Times New Roman" w:hAnsi="Times New Roman" w:cs="Times New Roman"/>
          <w:color w:val="000000"/>
          <w:kern w:val="0"/>
          <w:sz w:val="24"/>
          <w:szCs w:val="26"/>
          <w:lang w:val="en-GB" w:eastAsia="fr-FR"/>
          <w14:ligatures w14:val="none"/>
        </w:rPr>
        <w:t>All collected data were entered into Microsoft Excel and analyzed using SPSS (Statistical Package for the Social Sciences), version 21.1. Analysis of variance (ANOVA) was performed to compare the effects of factors and treatments. The Student-Newman-Keuls (SNK) test was applied at a 5% significance level to separate means within factors and treatments.</w:t>
      </w:r>
    </w:p>
    <w:p w14:paraId="3A1E962E" w14:textId="77777777" w:rsidR="0062528C" w:rsidRDefault="0062528C" w:rsidP="0062528C">
      <w:pPr>
        <w:jc w:val="both"/>
        <w:rPr>
          <w:rFonts w:ascii="Times New Roman" w:hAnsi="Times New Roman" w:cs="Times New Roman"/>
          <w:sz w:val="24"/>
          <w:szCs w:val="24"/>
          <w:lang w:val="en-GB"/>
        </w:rPr>
      </w:pPr>
    </w:p>
    <w:p w14:paraId="0D37E287" w14:textId="77777777" w:rsidR="00523FB2" w:rsidRPr="00347C0B" w:rsidRDefault="00523FB2" w:rsidP="0062528C">
      <w:pPr>
        <w:jc w:val="both"/>
        <w:rPr>
          <w:rFonts w:ascii="Times New Roman" w:hAnsi="Times New Roman" w:cs="Times New Roman"/>
          <w:sz w:val="24"/>
          <w:szCs w:val="24"/>
          <w:lang w:val="en-GB"/>
        </w:rPr>
      </w:pPr>
    </w:p>
    <w:p w14:paraId="66B6B477" w14:textId="77777777" w:rsidR="00523FB2" w:rsidRPr="00523FB2" w:rsidRDefault="00523FB2" w:rsidP="006922CB">
      <w:pPr>
        <w:pStyle w:val="Titre1"/>
        <w:rPr>
          <w:rFonts w:eastAsia="Times New Roman"/>
          <w:lang w:val="en-GB" w:eastAsia="fr-FR"/>
        </w:rPr>
      </w:pPr>
      <w:r w:rsidRPr="00523FB2">
        <w:rPr>
          <w:rFonts w:eastAsia="Times New Roman"/>
          <w:lang w:val="en-GB" w:eastAsia="fr-FR"/>
        </w:rPr>
        <w:t>Results</w:t>
      </w:r>
    </w:p>
    <w:p w14:paraId="2FB7FF8A" w14:textId="3961D4D7" w:rsidR="00BC538F" w:rsidRPr="00523FB2" w:rsidRDefault="00523FB2" w:rsidP="003607D0">
      <w:pPr>
        <w:pStyle w:val="Titre2"/>
        <w:numPr>
          <w:ilvl w:val="1"/>
          <w:numId w:val="3"/>
        </w:numPr>
        <w:rPr>
          <w:rFonts w:eastAsia="Times New Roman"/>
          <w:szCs w:val="24"/>
          <w:lang w:val="en-GB" w:eastAsia="fr-FR"/>
        </w:rPr>
      </w:pPr>
      <w:r w:rsidRPr="00523FB2">
        <w:rPr>
          <w:rFonts w:eastAsia="Times New Roman"/>
          <w:lang w:val="en-GB" w:eastAsia="fr-FR"/>
        </w:rPr>
        <w:t>Effects of Organic Manure Rates on the Mean Number of Nematodes Infesting Beetroot</w:t>
      </w:r>
      <w:r w:rsidR="00BC538F" w:rsidRPr="00523FB2">
        <w:rPr>
          <w:rFonts w:eastAsia="Times New Roman"/>
          <w:szCs w:val="24"/>
          <w:lang w:val="en-GB" w:eastAsia="fr-FR"/>
        </w:rPr>
        <w:t xml:space="preserve"> </w:t>
      </w:r>
    </w:p>
    <w:p w14:paraId="40D32906" w14:textId="56A0B809" w:rsidR="00BC538F" w:rsidRPr="00D36322" w:rsidRDefault="00D36322" w:rsidP="00BC538F">
      <w:pPr>
        <w:spacing w:after="3" w:line="360" w:lineRule="auto"/>
        <w:ind w:left="6" w:hanging="6"/>
        <w:jc w:val="both"/>
        <w:rPr>
          <w:rFonts w:ascii="Times New Roman" w:eastAsia="Times New Roman" w:hAnsi="Times New Roman" w:cs="Times New Roman"/>
          <w:color w:val="000000"/>
          <w:sz w:val="24"/>
          <w:szCs w:val="24"/>
          <w:lang w:val="en-GB" w:eastAsia="fr-FR"/>
        </w:rPr>
      </w:pPr>
      <w:r w:rsidRPr="00D36322">
        <w:rPr>
          <w:rFonts w:ascii="Times New Roman" w:eastAsia="Times New Roman" w:hAnsi="Times New Roman" w:cs="Times New Roman"/>
          <w:color w:val="000000"/>
          <w:sz w:val="24"/>
          <w:szCs w:val="24"/>
          <w:lang w:val="en-GB" w:eastAsia="fr-FR"/>
        </w:rPr>
        <w:t>The results (Figure 2) show a significant reduction in the mean nematode densities in both soil and beetroot roots with increasing rates of organic manure (P &lt; 0.001). At 10 weeks after transplanting, the 15 t/ha rate resulted in a remarkable decrease in nematode populations: 69.73% in soil (10.22 nematodes) and 82.75% in roots (4.33 nematodes) compared with the unfertilized control. This rate also reduced the gall index to 1.32, representing an 81.46% reduction relative to the control (7.12)</w:t>
      </w:r>
      <w:r w:rsidR="00BC538F" w:rsidRPr="00D36322">
        <w:rPr>
          <w:rFonts w:ascii="Times New Roman" w:eastAsia="Times New Roman" w:hAnsi="Times New Roman" w:cs="Times New Roman"/>
          <w:color w:val="000000"/>
          <w:sz w:val="24"/>
          <w:szCs w:val="24"/>
          <w:lang w:val="en-GB" w:eastAsia="fr-FR"/>
        </w:rPr>
        <w:t>.</w:t>
      </w:r>
    </w:p>
    <w:p w14:paraId="7FD9A77D" w14:textId="77777777" w:rsidR="00BC538F" w:rsidRPr="00D36322" w:rsidRDefault="00BC538F" w:rsidP="00BC538F">
      <w:pPr>
        <w:spacing w:after="3" w:line="248" w:lineRule="auto"/>
        <w:ind w:left="6" w:hanging="6"/>
        <w:jc w:val="both"/>
        <w:rPr>
          <w:rFonts w:ascii="Times New Roman" w:eastAsia="Times New Roman" w:hAnsi="Times New Roman" w:cs="Times New Roman"/>
          <w:color w:val="000000"/>
          <w:sz w:val="24"/>
          <w:szCs w:val="24"/>
          <w:lang w:val="en-GB" w:eastAsia="fr-FR"/>
        </w:rPr>
      </w:pPr>
      <w:r w:rsidRPr="00BC538F">
        <w:rPr>
          <w:rFonts w:ascii="Times New Roman" w:eastAsia="Times New Roman" w:hAnsi="Times New Roman" w:cs="Times New Roman"/>
          <w:noProof/>
          <w:color w:val="000000"/>
          <w:sz w:val="24"/>
          <w:szCs w:val="24"/>
          <w:lang w:eastAsia="fr-FR"/>
        </w:rPr>
        <mc:AlternateContent>
          <mc:Choice Requires="wps">
            <w:drawing>
              <wp:anchor distT="0" distB="0" distL="114300" distR="114300" simplePos="0" relativeHeight="251664384" behindDoc="0" locked="0" layoutInCell="1" allowOverlap="1" wp14:anchorId="55EA56BF" wp14:editId="5DD723D0">
                <wp:simplePos x="0" y="0"/>
                <wp:positionH relativeFrom="leftMargin">
                  <wp:align>right</wp:align>
                </wp:positionH>
                <wp:positionV relativeFrom="paragraph">
                  <wp:posOffset>7620</wp:posOffset>
                </wp:positionV>
                <wp:extent cx="400050" cy="3171825"/>
                <wp:effectExtent l="0" t="0" r="0" b="0"/>
                <wp:wrapNone/>
                <wp:docPr id="1174165900" name="Zone de texte 52"/>
                <wp:cNvGraphicFramePr/>
                <a:graphic xmlns:a="http://schemas.openxmlformats.org/drawingml/2006/main">
                  <a:graphicData uri="http://schemas.microsoft.com/office/word/2010/wordprocessingShape">
                    <wps:wsp>
                      <wps:cNvSpPr txBox="1"/>
                      <wps:spPr>
                        <a:xfrm>
                          <a:off x="0" y="0"/>
                          <a:ext cx="400050" cy="3171825"/>
                        </a:xfrm>
                        <a:prstGeom prst="rect">
                          <a:avLst/>
                        </a:prstGeom>
                        <a:noFill/>
                        <a:ln w="6350">
                          <a:noFill/>
                        </a:ln>
                      </wps:spPr>
                      <wps:txbx>
                        <w:txbxContent>
                          <w:p w14:paraId="13BAE03B" w14:textId="2D0245E7" w:rsidR="00BC538F" w:rsidRDefault="00346417" w:rsidP="00BC538F">
                            <w:pPr>
                              <w:spacing w:after="3" w:line="248" w:lineRule="auto"/>
                              <w:ind w:left="6" w:hanging="6"/>
                              <w:jc w:val="both"/>
                              <w:rPr>
                                <w:rFonts w:ascii="Times New Roman" w:eastAsia="Times New Roman" w:hAnsi="Times New Roman"/>
                                <w:b/>
                                <w:bCs/>
                                <w:color w:val="000000"/>
                                <w:sz w:val="24"/>
                                <w:szCs w:val="24"/>
                                <w:lang w:eastAsia="fr-FR"/>
                              </w:rPr>
                            </w:pPr>
                            <w:r w:rsidRPr="00346417">
                              <w:rPr>
                                <w:rFonts w:ascii="Times New Roman" w:eastAsia="Times New Roman" w:hAnsi="Times New Roman"/>
                                <w:b/>
                                <w:bCs/>
                                <w:color w:val="000000"/>
                                <w:sz w:val="24"/>
                                <w:szCs w:val="24"/>
                                <w:lang w:eastAsia="fr-FR"/>
                              </w:rPr>
                              <w:t>Number of leaves</w:t>
                            </w:r>
                          </w:p>
                          <w:p w14:paraId="0338E884" w14:textId="77777777" w:rsidR="00BC538F" w:rsidRPr="008413D2" w:rsidRDefault="00BC538F" w:rsidP="00BC538F">
                            <w:pPr>
                              <w:spacing w:after="3" w:line="248" w:lineRule="auto"/>
                              <w:ind w:left="6" w:hanging="6"/>
                              <w:jc w:val="both"/>
                              <w:rPr>
                                <w:rFonts w:ascii="Times New Roman" w:eastAsia="Times New Roman" w:hAnsi="Times New Roman"/>
                                <w:b/>
                                <w:bCs/>
                                <w:color w:val="000000"/>
                                <w:sz w:val="24"/>
                                <w:szCs w:val="24"/>
                                <w:lang w:eastAsia="fr-FR"/>
                              </w:rPr>
                            </w:pPr>
                          </w:p>
                          <w:p w14:paraId="393CC275" w14:textId="77777777" w:rsidR="00BC538F" w:rsidRDefault="00BC538F" w:rsidP="00BC538F"/>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A56BF" id="_x0000_t202" coordsize="21600,21600" o:spt="202" path="m,l,21600r21600,l21600,xe">
                <v:stroke joinstyle="miter"/>
                <v:path gradientshapeok="t" o:connecttype="rect"/>
              </v:shapetype>
              <v:shape id="Zone de texte 52" o:spid="_x0000_s1026" type="#_x0000_t202" style="position:absolute;left:0;text-align:left;margin-left:-19.7pt;margin-top:.6pt;width:31.5pt;height:249.75pt;z-index:25166438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" filled="f" stroked="f" strokeweight=".5pt">
                <v:textbox style="layout-flow:vertical;mso-layout-flow-alt:bottom-to-top">
                  <w:txbxContent>
                    <w:p w14:paraId="13BAE03B" w14:textId="2D0245E7" w:rsidR="00BC538F" w:rsidRDefault="00346417" w:rsidP="00BC538F">
                      <w:pPr>
                        <w:spacing w:after="3" w:line="248" w:lineRule="auto"/>
                        <w:ind w:left="6" w:hanging="6"/>
                        <w:jc w:val="both"/>
                        <w:rPr>
                          <w:rFonts w:ascii="Times New Roman" w:eastAsia="Times New Roman" w:hAnsi="Times New Roman"/>
                          <w:b/>
                          <w:bCs/>
                          <w:color w:val="000000"/>
                          <w:sz w:val="24"/>
                          <w:szCs w:val="24"/>
                          <w:lang w:eastAsia="fr-FR"/>
                        </w:rPr>
                      </w:pPr>
                      <w:r w:rsidRPr="00346417">
                        <w:rPr>
                          <w:rFonts w:ascii="Times New Roman" w:eastAsia="Times New Roman" w:hAnsi="Times New Roman"/>
                          <w:b/>
                          <w:bCs/>
                          <w:color w:val="000000"/>
                          <w:sz w:val="24"/>
                          <w:szCs w:val="24"/>
                          <w:lang w:eastAsia="fr-FR"/>
                        </w:rPr>
                        <w:t>Number of leaves</w:t>
                      </w:r>
                    </w:p>
                    <w:p w14:paraId="0338E884" w14:textId="77777777" w:rsidR="00BC538F" w:rsidRPr="008413D2" w:rsidRDefault="00BC538F" w:rsidP="00BC538F">
                      <w:pPr>
                        <w:spacing w:after="3" w:line="248" w:lineRule="auto"/>
                        <w:ind w:left="6" w:hanging="6"/>
                        <w:jc w:val="both"/>
                        <w:rPr>
                          <w:rFonts w:ascii="Times New Roman" w:eastAsia="Times New Roman" w:hAnsi="Times New Roman"/>
                          <w:b/>
                          <w:bCs/>
                          <w:color w:val="000000"/>
                          <w:sz w:val="24"/>
                          <w:szCs w:val="24"/>
                          <w:lang w:eastAsia="fr-FR"/>
                        </w:rPr>
                      </w:pPr>
                    </w:p>
                    <w:p w14:paraId="393CC275" w14:textId="77777777" w:rsidR="00BC538F" w:rsidRDefault="00BC538F" w:rsidP="00BC538F"/>
                  </w:txbxContent>
                </v:textbox>
                <w10:wrap anchorx="margin"/>
              </v:shape>
            </w:pict>
          </mc:Fallback>
        </mc:AlternateContent>
      </w:r>
    </w:p>
    <w:p w14:paraId="5BFB5E38" w14:textId="53B03B6A" w:rsidR="00BC538F" w:rsidRPr="00BC538F" w:rsidRDefault="007A22E9" w:rsidP="00BC538F">
      <w:pPr>
        <w:keepNext/>
        <w:spacing w:after="3" w:line="248" w:lineRule="auto"/>
        <w:ind w:left="6" w:hanging="6"/>
        <w:jc w:val="both"/>
        <w:rPr>
          <w:rFonts w:ascii="Calibri" w:eastAsia="Calibri" w:hAnsi="Calibri" w:cs="Times New Roman"/>
          <w:kern w:val="0"/>
          <w14:ligatures w14:val="none"/>
        </w:rPr>
      </w:pPr>
      <w:r w:rsidRPr="00BC538F">
        <w:rPr>
          <w:rFonts w:ascii="Calibri" w:eastAsia="Calibri" w:hAnsi="Calibri" w:cs="Times New Roman"/>
          <w:noProof/>
        </w:rPr>
        <w:lastRenderedPageBreak/>
        <mc:AlternateContent>
          <mc:Choice Requires="wps">
            <w:drawing>
              <wp:anchor distT="0" distB="0" distL="114300" distR="114300" simplePos="0" relativeHeight="251663360" behindDoc="0" locked="0" layoutInCell="1" allowOverlap="1" wp14:anchorId="45A2CF2F" wp14:editId="2AE43251">
                <wp:simplePos x="0" y="0"/>
                <wp:positionH relativeFrom="page">
                  <wp:align>right</wp:align>
                </wp:positionH>
                <wp:positionV relativeFrom="paragraph">
                  <wp:posOffset>3422650</wp:posOffset>
                </wp:positionV>
                <wp:extent cx="1333500" cy="371475"/>
                <wp:effectExtent l="0" t="0" r="0" b="9525"/>
                <wp:wrapNone/>
                <wp:docPr id="1099542056" name="Zone de texte 53"/>
                <wp:cNvGraphicFramePr/>
                <a:graphic xmlns:a="http://schemas.openxmlformats.org/drawingml/2006/main">
                  <a:graphicData uri="http://schemas.microsoft.com/office/word/2010/wordprocessingShape">
                    <wps:wsp>
                      <wps:cNvSpPr txBox="1"/>
                      <wps:spPr>
                        <a:xfrm>
                          <a:off x="0" y="0"/>
                          <a:ext cx="1333500" cy="371475"/>
                        </a:xfrm>
                        <a:prstGeom prst="rect">
                          <a:avLst/>
                        </a:prstGeom>
                        <a:solidFill>
                          <a:sysClr val="window" lastClr="FFFFFF"/>
                        </a:solidFill>
                        <a:ln w="6350">
                          <a:noFill/>
                        </a:ln>
                      </wps:spPr>
                      <wps:txbx>
                        <w:txbxContent>
                          <w:p w14:paraId="7E50EAA9" w14:textId="66EB0935" w:rsidR="00BC538F" w:rsidRPr="00C30C65" w:rsidRDefault="00346417" w:rsidP="00BC538F">
                            <w:pPr>
                              <w:rPr>
                                <w:rFonts w:ascii="Times New Roman" w:eastAsia="Times New Roman" w:hAnsi="Times New Roman"/>
                                <w:b/>
                                <w:bCs/>
                                <w:color w:val="000000"/>
                                <w:sz w:val="24"/>
                                <w:szCs w:val="24"/>
                                <w:lang w:eastAsia="fr-FR"/>
                              </w:rPr>
                            </w:pPr>
                            <w:r w:rsidRPr="00346417">
                              <w:rPr>
                                <w:rFonts w:ascii="Times New Roman" w:eastAsia="Times New Roman" w:hAnsi="Times New Roman"/>
                                <w:b/>
                                <w:bCs/>
                                <w:color w:val="000000"/>
                                <w:sz w:val="24"/>
                                <w:szCs w:val="24"/>
                                <w:lang w:eastAsia="fr-FR"/>
                              </w:rPr>
                              <w:t>Fertilizer dose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2CF2F" id="Zone de texte 53" o:spid="_x0000_s1027" type="#_x0000_t202" style="position:absolute;left:0;text-align:left;margin-left:53.8pt;margin-top:269.5pt;width:105pt;height:29.2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" fillcolor="window" stroked="f" strokeweight=".5pt">
                <v:textbox>
                  <w:txbxContent>
                    <w:p w14:paraId="7E50EAA9" w14:textId="66EB0935" w:rsidR="00BC538F" w:rsidRPr="00C30C65" w:rsidRDefault="00346417" w:rsidP="00BC538F">
                      <w:pPr>
                        <w:rPr>
                          <w:rFonts w:ascii="Times New Roman" w:eastAsia="Times New Roman" w:hAnsi="Times New Roman"/>
                          <w:b/>
                          <w:bCs/>
                          <w:color w:val="000000"/>
                          <w:sz w:val="24"/>
                          <w:szCs w:val="24"/>
                          <w:lang w:eastAsia="fr-FR"/>
                        </w:rPr>
                      </w:pPr>
                      <w:r w:rsidRPr="00346417">
                        <w:rPr>
                          <w:rFonts w:ascii="Times New Roman" w:eastAsia="Times New Roman" w:hAnsi="Times New Roman"/>
                          <w:b/>
                          <w:bCs/>
                          <w:color w:val="000000"/>
                          <w:sz w:val="24"/>
                          <w:szCs w:val="24"/>
                          <w:lang w:eastAsia="fr-FR"/>
                        </w:rPr>
                        <w:t>Fertilizer dose</w:t>
                      </w:r>
                    </w:p>
                  </w:txbxContent>
                </v:textbox>
                <w10:wrap anchorx="page"/>
              </v:shape>
            </w:pict>
          </mc:Fallback>
        </mc:AlternateContent>
      </w:r>
      <w:r>
        <w:rPr>
          <w:noProof/>
        </w:rPr>
        <mc:AlternateContent>
          <mc:Choice Requires="wps">
            <w:drawing>
              <wp:anchor distT="0" distB="0" distL="114300" distR="114300" simplePos="0" relativeHeight="251675648" behindDoc="0" locked="0" layoutInCell="1" allowOverlap="1" wp14:anchorId="50E90AFA" wp14:editId="6D70215E">
                <wp:simplePos x="0" y="0"/>
                <wp:positionH relativeFrom="column">
                  <wp:posOffset>671195</wp:posOffset>
                </wp:positionH>
                <wp:positionV relativeFrom="paragraph">
                  <wp:posOffset>3565525</wp:posOffset>
                </wp:positionV>
                <wp:extent cx="3648075" cy="457200"/>
                <wp:effectExtent l="0" t="0" r="0" b="0"/>
                <wp:wrapNone/>
                <wp:docPr id="972512454" name="Rectangle 1"/>
                <wp:cNvGraphicFramePr/>
                <a:graphic xmlns:a="http://schemas.openxmlformats.org/drawingml/2006/main">
                  <a:graphicData uri="http://schemas.microsoft.com/office/word/2010/wordprocessingShape">
                    <wps:wsp>
                      <wps:cNvSpPr/>
                      <wps:spPr>
                        <a:xfrm>
                          <a:off x="0" y="0"/>
                          <a:ext cx="3648075" cy="45720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49904" id="Rectangle 1" o:spid="_x0000_s1026" style="position:absolute;margin-left:52.85pt;margin-top:280.75pt;width:287.2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" filled="f" stroked="f" strokeweight="1pt"/>
            </w:pict>
          </mc:Fallback>
        </mc:AlternateContent>
      </w:r>
      <w:r w:rsidR="00BC538F" w:rsidRPr="00BC538F">
        <w:rPr>
          <w:rFonts w:ascii="Calibri" w:eastAsia="Calibri" w:hAnsi="Calibri" w:cs="Times New Roman"/>
          <w:noProof/>
        </w:rPr>
        <w:drawing>
          <wp:inline distT="0" distB="0" distL="0" distR="0" wp14:anchorId="37BAE8BB" wp14:editId="473033D6">
            <wp:extent cx="5800725" cy="3657600"/>
            <wp:effectExtent l="0" t="0" r="9525" b="0"/>
            <wp:docPr id="58366777" name="Graphique 1">
              <a:extLst xmlns:a="http://schemas.openxmlformats.org/drawingml/2006/main">
                <a:ext uri="{FF2B5EF4-FFF2-40B4-BE49-F238E27FC236}">
                  <a16:creationId xmlns:a16="http://schemas.microsoft.com/office/drawing/2014/main" id="{C8C56C98-E793-4FDF-B9FC-509CC474F3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55A7544" w14:textId="6B50BF6C" w:rsidR="00BC538F" w:rsidRDefault="007A22E9" w:rsidP="007A22E9">
      <w:r>
        <w:rPr>
          <w:noProof/>
        </w:rPr>
        <mc:AlternateContent>
          <mc:Choice Requires="wps">
            <w:drawing>
              <wp:anchor distT="0" distB="0" distL="114300" distR="114300" simplePos="0" relativeHeight="251681792" behindDoc="0" locked="0" layoutInCell="1" allowOverlap="1" wp14:anchorId="629220C0" wp14:editId="26BCE117">
                <wp:simplePos x="0" y="0"/>
                <wp:positionH relativeFrom="column">
                  <wp:posOffset>3005455</wp:posOffset>
                </wp:positionH>
                <wp:positionV relativeFrom="paragraph">
                  <wp:posOffset>52705</wp:posOffset>
                </wp:positionV>
                <wp:extent cx="933450" cy="247650"/>
                <wp:effectExtent l="0" t="0" r="0" b="0"/>
                <wp:wrapNone/>
                <wp:docPr id="1067990845" name="Rectangle 3"/>
                <wp:cNvGraphicFramePr/>
                <a:graphic xmlns:a="http://schemas.openxmlformats.org/drawingml/2006/main">
                  <a:graphicData uri="http://schemas.microsoft.com/office/word/2010/wordprocessingShape">
                    <wps:wsp>
                      <wps:cNvSpPr/>
                      <wps:spPr>
                        <a:xfrm>
                          <a:off x="0" y="0"/>
                          <a:ext cx="933450" cy="247650"/>
                        </a:xfrm>
                        <a:prstGeom prst="rect">
                          <a:avLst/>
                        </a:prstGeom>
                        <a:noFill/>
                        <a:ln w="12700" cap="flat" cmpd="sng" algn="ctr">
                          <a:noFill/>
                          <a:prstDash val="solid"/>
                          <a:miter lim="800000"/>
                        </a:ln>
                        <a:effectLst/>
                      </wps:spPr>
                      <wps:txbx>
                        <w:txbxContent>
                          <w:p w14:paraId="5908C1C1" w14:textId="77777777" w:rsidR="007A22E9" w:rsidRPr="008255BE" w:rsidRDefault="007A22E9" w:rsidP="007A22E9">
                            <w:pPr>
                              <w:jc w:val="center"/>
                              <w:rPr>
                                <w:bCs/>
                              </w:rPr>
                            </w:pPr>
                            <w:r w:rsidRPr="008255BE">
                              <w:rPr>
                                <w:rFonts w:ascii="Times New Roman" w:eastAsia="Times New Roman" w:hAnsi="Times New Roman" w:cs="Times New Roman"/>
                                <w:bCs/>
                                <w:color w:val="000000"/>
                              </w:rPr>
                              <w:t>Gall index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20C0" id="Rectangle 3" o:spid="_x0000_s1028" style="position:absolute;margin-left:236.65pt;margin-top:4.15pt;width:73.5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" filled="f" stroked="f" strokeweight="1pt">
                <v:textbox>
                  <w:txbxContent>
                    <w:p w14:paraId="5908C1C1" w14:textId="77777777" w:rsidR="007A22E9" w:rsidRPr="008255BE" w:rsidRDefault="007A22E9" w:rsidP="007A22E9">
                      <w:pPr>
                        <w:jc w:val="center"/>
                        <w:rPr>
                          <w:bCs/>
                        </w:rPr>
                      </w:pPr>
                      <w:r w:rsidRPr="008255BE">
                        <w:rPr>
                          <w:rFonts w:ascii="Times New Roman" w:eastAsia="Times New Roman" w:hAnsi="Times New Roman" w:cs="Times New Roman"/>
                          <w:bCs/>
                          <w:color w:val="000000"/>
                        </w:rPr>
                        <w:t>Gall index</w:t>
                      </w:r>
                    </w:p>
                  </w:txbxContent>
                </v:textbox>
              </v:rect>
            </w:pict>
          </mc:Fallback>
        </mc:AlternateContent>
      </w:r>
      <w:r>
        <w:rPr>
          <w:noProof/>
        </w:rPr>
        <mc:AlternateContent>
          <mc:Choice Requires="wps">
            <w:drawing>
              <wp:anchor distT="0" distB="0" distL="114300" distR="114300" simplePos="0" relativeHeight="251677696" behindDoc="0" locked="0" layoutInCell="1" allowOverlap="1" wp14:anchorId="015F8443" wp14:editId="1F6861DE">
                <wp:simplePos x="0" y="0"/>
                <wp:positionH relativeFrom="column">
                  <wp:posOffset>2857500</wp:posOffset>
                </wp:positionH>
                <wp:positionV relativeFrom="paragraph">
                  <wp:posOffset>123825</wp:posOffset>
                </wp:positionV>
                <wp:extent cx="133350" cy="114300"/>
                <wp:effectExtent l="0" t="0" r="19050" b="19050"/>
                <wp:wrapNone/>
                <wp:docPr id="1797707869" name="Rectangle 2"/>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accent3"/>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ADDC2" id="Rectangle 2" o:spid="_x0000_s1026" style="position:absolute;margin-left:225pt;margin-top:9.75pt;width:10.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" fillcolor="#a5a5a5 [3206]" strokecolor="#172c51" strokeweight="1pt"/>
            </w:pict>
          </mc:Fallback>
        </mc:AlternateContent>
      </w:r>
      <w:r>
        <w:rPr>
          <w:noProof/>
        </w:rPr>
        <mc:AlternateContent>
          <mc:Choice Requires="wps">
            <w:drawing>
              <wp:anchor distT="0" distB="0" distL="114300" distR="114300" simplePos="0" relativeHeight="251680768" behindDoc="0" locked="0" layoutInCell="1" allowOverlap="1" wp14:anchorId="696AB404" wp14:editId="716C46D4">
                <wp:simplePos x="0" y="0"/>
                <wp:positionH relativeFrom="column">
                  <wp:posOffset>2000250</wp:posOffset>
                </wp:positionH>
                <wp:positionV relativeFrom="paragraph">
                  <wp:posOffset>38100</wp:posOffset>
                </wp:positionV>
                <wp:extent cx="790575" cy="257175"/>
                <wp:effectExtent l="0" t="0" r="0" b="0"/>
                <wp:wrapNone/>
                <wp:docPr id="1645868900" name="Rectangle 3"/>
                <wp:cNvGraphicFramePr/>
                <a:graphic xmlns:a="http://schemas.openxmlformats.org/drawingml/2006/main">
                  <a:graphicData uri="http://schemas.microsoft.com/office/word/2010/wordprocessingShape">
                    <wps:wsp>
                      <wps:cNvSpPr/>
                      <wps:spPr>
                        <a:xfrm>
                          <a:off x="0" y="0"/>
                          <a:ext cx="790575" cy="257175"/>
                        </a:xfrm>
                        <a:prstGeom prst="rect">
                          <a:avLst/>
                        </a:prstGeom>
                        <a:noFill/>
                        <a:ln w="12700" cap="flat" cmpd="sng" algn="ctr">
                          <a:noFill/>
                          <a:prstDash val="solid"/>
                          <a:miter lim="800000"/>
                        </a:ln>
                        <a:effectLst/>
                      </wps:spPr>
                      <wps:txbx>
                        <w:txbxContent>
                          <w:p w14:paraId="0A51984F" w14:textId="77777777" w:rsidR="007A22E9" w:rsidRPr="008255BE" w:rsidRDefault="007A22E9" w:rsidP="007A22E9">
                            <w:pPr>
                              <w:jc w:val="center"/>
                              <w:rPr>
                                <w:bCs/>
                              </w:rPr>
                            </w:pPr>
                            <w:r w:rsidRPr="008255BE">
                              <w:rPr>
                                <w:rFonts w:ascii="Times New Roman" w:eastAsia="Times New Roman" w:hAnsi="Times New Roman" w:cs="Times New Roman"/>
                                <w:bCs/>
                                <w:color w:val="000000"/>
                              </w:rPr>
                              <w:t>ROOTS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AB404" id="_x0000_s1029" style="position:absolute;margin-left:157.5pt;margin-top:3pt;width:62.2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" filled="f" stroked="f" strokeweight="1pt">
                <v:textbox>
                  <w:txbxContent>
                    <w:p w14:paraId="0A51984F" w14:textId="77777777" w:rsidR="007A22E9" w:rsidRPr="008255BE" w:rsidRDefault="007A22E9" w:rsidP="007A22E9">
                      <w:pPr>
                        <w:jc w:val="center"/>
                        <w:rPr>
                          <w:bCs/>
                        </w:rPr>
                      </w:pPr>
                      <w:r w:rsidRPr="008255BE">
                        <w:rPr>
                          <w:rFonts w:ascii="Times New Roman" w:eastAsia="Times New Roman" w:hAnsi="Times New Roman" w:cs="Times New Roman"/>
                          <w:bCs/>
                          <w:color w:val="000000"/>
                        </w:rPr>
                        <w:t>ROOTS</w:t>
                      </w:r>
                    </w:p>
                  </w:txbxContent>
                </v:textbox>
              </v:rect>
            </w:pict>
          </mc:Fallback>
        </mc:AlternateContent>
      </w:r>
      <w:r>
        <w:rPr>
          <w:noProof/>
        </w:rPr>
        <mc:AlternateContent>
          <mc:Choice Requires="wps">
            <w:drawing>
              <wp:anchor distT="0" distB="0" distL="114300" distR="114300" simplePos="0" relativeHeight="251678720" behindDoc="0" locked="0" layoutInCell="1" allowOverlap="1" wp14:anchorId="48DD05B5" wp14:editId="1CCFFAF7">
                <wp:simplePos x="0" y="0"/>
                <wp:positionH relativeFrom="column">
                  <wp:posOffset>1790700</wp:posOffset>
                </wp:positionH>
                <wp:positionV relativeFrom="paragraph">
                  <wp:posOffset>104775</wp:posOffset>
                </wp:positionV>
                <wp:extent cx="133350" cy="114300"/>
                <wp:effectExtent l="0" t="0" r="19050" b="19050"/>
                <wp:wrapNone/>
                <wp:docPr id="1729071055" name="Rectangle 2"/>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accent2"/>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5AE70" id="Rectangle 2" o:spid="_x0000_s1026" style="position:absolute;margin-left:141pt;margin-top:8.25pt;width:10.5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" fillcolor="#ed7d31 [3205]" strokecolor="#172c51" strokeweight="1pt"/>
            </w:pict>
          </mc:Fallback>
        </mc:AlternateContent>
      </w:r>
      <w:r>
        <w:rPr>
          <w:noProof/>
        </w:rPr>
        <mc:AlternateContent>
          <mc:Choice Requires="wps">
            <w:drawing>
              <wp:anchor distT="0" distB="0" distL="114300" distR="114300" simplePos="0" relativeHeight="251679744" behindDoc="0" locked="0" layoutInCell="1" allowOverlap="1" wp14:anchorId="62F9873D" wp14:editId="7BACE73D">
                <wp:simplePos x="0" y="0"/>
                <wp:positionH relativeFrom="column">
                  <wp:posOffset>909955</wp:posOffset>
                </wp:positionH>
                <wp:positionV relativeFrom="paragraph">
                  <wp:posOffset>42545</wp:posOffset>
                </wp:positionV>
                <wp:extent cx="790575" cy="257175"/>
                <wp:effectExtent l="0" t="0" r="0" b="0"/>
                <wp:wrapNone/>
                <wp:docPr id="543947631" name="Rectangle 3"/>
                <wp:cNvGraphicFramePr/>
                <a:graphic xmlns:a="http://schemas.openxmlformats.org/drawingml/2006/main">
                  <a:graphicData uri="http://schemas.microsoft.com/office/word/2010/wordprocessingShape">
                    <wps:wsp>
                      <wps:cNvSpPr/>
                      <wps:spPr>
                        <a:xfrm>
                          <a:off x="0" y="0"/>
                          <a:ext cx="790575" cy="257175"/>
                        </a:xfrm>
                        <a:prstGeom prst="rect">
                          <a:avLst/>
                        </a:prstGeom>
                        <a:noFill/>
                        <a:ln w="12700" cap="flat" cmpd="sng" algn="ctr">
                          <a:noFill/>
                          <a:prstDash val="solid"/>
                          <a:miter lim="800000"/>
                        </a:ln>
                        <a:effectLst/>
                      </wps:spPr>
                      <wps:txbx>
                        <w:txbxContent>
                          <w:p w14:paraId="54CB00A7" w14:textId="77777777" w:rsidR="007A22E9" w:rsidRPr="008255BE" w:rsidRDefault="007A22E9" w:rsidP="007A22E9">
                            <w:pPr>
                              <w:jc w:val="center"/>
                              <w:rPr>
                                <w:bCs/>
                              </w:rPr>
                            </w:pPr>
                            <w:r w:rsidRPr="008255BE">
                              <w:rPr>
                                <w:rFonts w:ascii="Times New Roman" w:eastAsia="Times New Roman" w:hAnsi="Times New Roman" w:cs="Times New Roman"/>
                                <w:bCs/>
                                <w:color w:val="000000"/>
                              </w:rPr>
                              <w:t>SOIL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9873D" id="_x0000_s1030" style="position:absolute;margin-left:71.65pt;margin-top:3.35pt;width:62.25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" filled="f" stroked="f" strokeweight="1pt">
                <v:textbox>
                  <w:txbxContent>
                    <w:p w14:paraId="54CB00A7" w14:textId="77777777" w:rsidR="007A22E9" w:rsidRPr="008255BE" w:rsidRDefault="007A22E9" w:rsidP="007A22E9">
                      <w:pPr>
                        <w:jc w:val="center"/>
                        <w:rPr>
                          <w:bCs/>
                        </w:rPr>
                      </w:pPr>
                      <w:r w:rsidRPr="008255BE">
                        <w:rPr>
                          <w:rFonts w:ascii="Times New Roman" w:eastAsia="Times New Roman" w:hAnsi="Times New Roman" w:cs="Times New Roman"/>
                          <w:bCs/>
                          <w:color w:val="000000"/>
                        </w:rPr>
                        <w:t>SOIL</w:t>
                      </w:r>
                    </w:p>
                  </w:txbxContent>
                </v:textbox>
              </v:rect>
            </w:pict>
          </mc:Fallback>
        </mc:AlternateContent>
      </w:r>
      <w:r>
        <w:rPr>
          <w:noProof/>
        </w:rPr>
        <mc:AlternateContent>
          <mc:Choice Requires="wps">
            <w:drawing>
              <wp:anchor distT="0" distB="0" distL="114300" distR="114300" simplePos="0" relativeHeight="251676672" behindDoc="0" locked="0" layoutInCell="1" allowOverlap="1" wp14:anchorId="0454C0D8" wp14:editId="2733257B">
                <wp:simplePos x="0" y="0"/>
                <wp:positionH relativeFrom="column">
                  <wp:posOffset>757555</wp:posOffset>
                </wp:positionH>
                <wp:positionV relativeFrom="paragraph">
                  <wp:posOffset>119380</wp:posOffset>
                </wp:positionV>
                <wp:extent cx="133350" cy="114300"/>
                <wp:effectExtent l="0" t="0" r="19050" b="19050"/>
                <wp:wrapNone/>
                <wp:docPr id="1204923361" name="Rectangle 2"/>
                <wp:cNvGraphicFramePr/>
                <a:graphic xmlns:a="http://schemas.openxmlformats.org/drawingml/2006/main">
                  <a:graphicData uri="http://schemas.microsoft.com/office/word/2010/wordprocessingShape">
                    <wps:wsp>
                      <wps:cNvSpPr/>
                      <wps:spPr>
                        <a:xfrm>
                          <a:off x="0" y="0"/>
                          <a:ext cx="133350" cy="114300"/>
                        </a:xfrm>
                        <a:prstGeom prst="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4FEB0" id="Rectangle 2" o:spid="_x0000_s1026" style="position:absolute;margin-left:59.65pt;margin-top:9.4pt;width:10.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" fillcolor="#4472c4" strokecolor="#172c51" strokeweight="1pt"/>
            </w:pict>
          </mc:Fallback>
        </mc:AlternateContent>
      </w:r>
    </w:p>
    <w:p w14:paraId="6041BDBA" w14:textId="77777777" w:rsidR="007A22E9" w:rsidRPr="00BC538F" w:rsidRDefault="007A22E9" w:rsidP="00BC538F">
      <w:pPr>
        <w:spacing w:after="200" w:line="240" w:lineRule="auto"/>
        <w:jc w:val="both"/>
        <w:rPr>
          <w:rFonts w:ascii="Times New Roman" w:eastAsia="Calibri" w:hAnsi="Times New Roman" w:cs="Times New Roman"/>
          <w:b/>
          <w:bCs/>
          <w:i/>
          <w:iCs/>
          <w:color w:val="000000"/>
          <w:kern w:val="0"/>
          <w14:ligatures w14:val="none"/>
        </w:rPr>
      </w:pPr>
    </w:p>
    <w:p w14:paraId="768B37D8" w14:textId="7156A8B6" w:rsidR="00BC538F" w:rsidRDefault="001274FC" w:rsidP="00BC538F">
      <w:pPr>
        <w:spacing w:after="3" w:line="248" w:lineRule="auto"/>
        <w:jc w:val="both"/>
        <w:rPr>
          <w:rFonts w:ascii="Times New Roman" w:eastAsia="Calibri" w:hAnsi="Times New Roman" w:cs="Times New Roman"/>
          <w:i/>
          <w:iCs/>
          <w:color w:val="000000"/>
          <w:kern w:val="0"/>
          <w:lang w:val="en-GB"/>
          <w14:ligatures w14:val="none"/>
        </w:rPr>
      </w:pPr>
      <w:r w:rsidRPr="001274FC">
        <w:rPr>
          <w:rFonts w:ascii="Times New Roman" w:eastAsia="Calibri" w:hAnsi="Times New Roman" w:cs="Times New Roman"/>
          <w:i/>
          <w:iCs/>
          <w:color w:val="000000"/>
          <w:kern w:val="0"/>
          <w:lang w:val="en-GB"/>
          <w14:ligatures w14:val="none"/>
        </w:rPr>
        <w:t>Figure 2: Changes in the mean number of nematodes in soil and beetroot roots according to organic manure rate</w:t>
      </w:r>
    </w:p>
    <w:p w14:paraId="77BBFAC7" w14:textId="77777777" w:rsidR="001274FC" w:rsidRPr="001274FC" w:rsidRDefault="001274FC" w:rsidP="00BC538F">
      <w:pPr>
        <w:spacing w:after="3" w:line="248" w:lineRule="auto"/>
        <w:jc w:val="both"/>
        <w:rPr>
          <w:rFonts w:ascii="Times New Roman" w:eastAsia="Times New Roman" w:hAnsi="Times New Roman" w:cs="Times New Roman"/>
          <w:b/>
          <w:bCs/>
          <w:color w:val="000000"/>
          <w:lang w:val="en-GB" w:eastAsia="fr-FR"/>
        </w:rPr>
      </w:pPr>
    </w:p>
    <w:p w14:paraId="4C4802E7" w14:textId="6EB0CCB7" w:rsidR="005F72D7" w:rsidRPr="005F72D7" w:rsidRDefault="005F72D7" w:rsidP="003607D0">
      <w:pPr>
        <w:pStyle w:val="Titre2"/>
        <w:numPr>
          <w:ilvl w:val="1"/>
          <w:numId w:val="3"/>
        </w:numPr>
        <w:rPr>
          <w:rFonts w:eastAsia="Times New Roman"/>
          <w:lang w:val="en-GB" w:eastAsia="fr-FR"/>
        </w:rPr>
      </w:pPr>
      <w:r w:rsidRPr="005F72D7">
        <w:rPr>
          <w:rFonts w:eastAsia="Times New Roman"/>
          <w:lang w:val="en-GB" w:eastAsia="fr-FR"/>
        </w:rPr>
        <w:t>Effects of Furadan- and Water Hyacinth–Based Formulations on the Mean Number of Nematodes Associated with Beetroot</w:t>
      </w:r>
    </w:p>
    <w:p w14:paraId="11663982" w14:textId="2728D5E7" w:rsidR="000502F3" w:rsidRPr="005F72D7" w:rsidRDefault="005F72D7" w:rsidP="005F72D7">
      <w:pPr>
        <w:spacing w:after="194" w:line="358" w:lineRule="auto"/>
        <w:jc w:val="both"/>
        <w:rPr>
          <w:rFonts w:ascii="Times New Roman" w:eastAsia="Times New Roman" w:hAnsi="Times New Roman" w:cs="Times New Roman"/>
          <w:bCs/>
          <w:kern w:val="0"/>
          <w:sz w:val="24"/>
          <w:szCs w:val="24"/>
          <w:lang w:val="en-GB" w:eastAsia="fr-FR"/>
          <w14:ligatures w14:val="none"/>
        </w:rPr>
      </w:pPr>
      <w:r w:rsidRPr="005F72D7">
        <w:rPr>
          <w:rFonts w:ascii="Times New Roman" w:eastAsia="Times New Roman" w:hAnsi="Times New Roman" w:cs="Times New Roman"/>
          <w:bCs/>
          <w:kern w:val="0"/>
          <w:sz w:val="24"/>
          <w:szCs w:val="24"/>
          <w:lang w:val="en-GB" w:eastAsia="fr-FR"/>
          <w14:ligatures w14:val="none"/>
        </w:rPr>
        <w:t>Table 1 shows that Furadan- and water hyacinth–based formulations exerted differential effects on the mean number of nematodes in soil and roots at 10 weeks after transplanting. Furadan exhibited the highest efficacy in reducing soil nematode populations (11.22 nematodes), performing significantly better than extracts from the aerial (38.33 nematodes) and submerged parts (19.88 nematodes) of water hyacinth (P &lt; 0.05).In roots, Furadan (11.22 nematodes) and the submerged-part extract (12.66 nematodes) showed comparable control efficiency, both being significantly more effective than the aerial-part extract (33.02 nematodes). Furadan also recorded the lowest gall index (2.19), indicating superior suppression of root galling.</w:t>
      </w:r>
    </w:p>
    <w:p w14:paraId="67CD21FD" w14:textId="44EE4EBF" w:rsidR="000502F3" w:rsidRPr="005F72D7" w:rsidRDefault="005F72D7" w:rsidP="000502F3">
      <w:pPr>
        <w:spacing w:after="3" w:line="357" w:lineRule="auto"/>
        <w:ind w:hanging="6"/>
        <w:jc w:val="both"/>
        <w:rPr>
          <w:rFonts w:ascii="Times New Roman" w:eastAsia="Times New Roman" w:hAnsi="Times New Roman" w:cs="Times New Roman"/>
          <w:color w:val="000000"/>
          <w:sz w:val="24"/>
          <w:szCs w:val="24"/>
          <w:lang w:val="en-GB" w:eastAsia="fr-FR"/>
        </w:rPr>
      </w:pPr>
      <w:r w:rsidRPr="005F72D7">
        <w:rPr>
          <w:rFonts w:ascii="Times New Roman" w:eastAsia="Times New Roman" w:hAnsi="Times New Roman" w:cs="Times New Roman"/>
          <w:b/>
          <w:bCs/>
          <w:color w:val="000000"/>
          <w:lang w:val="en-GB" w:eastAsia="fr-FR"/>
        </w:rPr>
        <w:t>Table 1: Effects of Furadan- and water hyacinth–based formulations on the mean number of nematodes associated with beetroot cultivation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5"/>
      </w:tblGrid>
      <w:tr w:rsidR="000502F3" w:rsidRPr="000502F3" w14:paraId="1027C372" w14:textId="77777777" w:rsidTr="004B4C02">
        <w:tc>
          <w:tcPr>
            <w:tcW w:w="2265" w:type="dxa"/>
            <w:vMerge w:val="restart"/>
            <w:tcBorders>
              <w:top w:val="single" w:sz="4" w:space="0" w:color="auto"/>
              <w:bottom w:val="single" w:sz="4" w:space="0" w:color="auto"/>
            </w:tcBorders>
            <w:vAlign w:val="center"/>
          </w:tcPr>
          <w:p w14:paraId="439DCE16" w14:textId="140FA9E6" w:rsidR="000502F3" w:rsidRPr="000502F3" w:rsidRDefault="009E4FF9" w:rsidP="000502F3">
            <w:pPr>
              <w:jc w:val="center"/>
              <w:rPr>
                <w:rFonts w:ascii="Times New Roman" w:eastAsia="Times New Roman" w:hAnsi="Times New Roman" w:cs="Times New Roman"/>
                <w:color w:val="000000"/>
                <w:sz w:val="24"/>
                <w:szCs w:val="24"/>
                <w:lang w:eastAsia="fr-FR"/>
              </w:rPr>
            </w:pPr>
            <w:r w:rsidRPr="009E4FF9">
              <w:rPr>
                <w:rFonts w:ascii="Times New Roman" w:eastAsia="Times New Roman" w:hAnsi="Times New Roman" w:cs="Times New Roman"/>
                <w:color w:val="000000"/>
                <w:sz w:val="24"/>
                <w:szCs w:val="24"/>
                <w:lang w:eastAsia="fr-FR"/>
              </w:rPr>
              <w:t>Formulation Types</w:t>
            </w:r>
          </w:p>
        </w:tc>
        <w:tc>
          <w:tcPr>
            <w:tcW w:w="4530" w:type="dxa"/>
            <w:gridSpan w:val="2"/>
            <w:tcBorders>
              <w:top w:val="single" w:sz="4" w:space="0" w:color="auto"/>
              <w:bottom w:val="single" w:sz="4" w:space="0" w:color="auto"/>
            </w:tcBorders>
            <w:vAlign w:val="center"/>
          </w:tcPr>
          <w:p w14:paraId="17F80068" w14:textId="6FC9C829" w:rsidR="000502F3" w:rsidRPr="009E4FF9" w:rsidRDefault="009E4FF9" w:rsidP="000502F3">
            <w:pPr>
              <w:jc w:val="center"/>
              <w:rPr>
                <w:rFonts w:ascii="Times New Roman" w:eastAsia="Times New Roman" w:hAnsi="Times New Roman" w:cs="Times New Roman"/>
                <w:color w:val="000000"/>
                <w:sz w:val="24"/>
                <w:szCs w:val="24"/>
                <w:lang w:val="en-GB" w:eastAsia="fr-FR"/>
              </w:rPr>
            </w:pPr>
            <w:r w:rsidRPr="009E4FF9">
              <w:rPr>
                <w:rFonts w:ascii="Times New Roman" w:eastAsia="Times New Roman" w:hAnsi="Times New Roman" w:cs="Times New Roman"/>
                <w:color w:val="000000"/>
                <w:sz w:val="24"/>
                <w:szCs w:val="24"/>
                <w:lang w:val="en-GB" w:eastAsia="fr-FR"/>
              </w:rPr>
              <w:t>Average number of nematodes 10 weeks after transplanting</w:t>
            </w:r>
          </w:p>
        </w:tc>
        <w:tc>
          <w:tcPr>
            <w:tcW w:w="2265" w:type="dxa"/>
            <w:vMerge w:val="restart"/>
            <w:tcBorders>
              <w:top w:val="single" w:sz="4" w:space="0" w:color="auto"/>
              <w:bottom w:val="single" w:sz="4" w:space="0" w:color="auto"/>
            </w:tcBorders>
            <w:vAlign w:val="center"/>
          </w:tcPr>
          <w:p w14:paraId="2034442A" w14:textId="31180207" w:rsidR="000502F3" w:rsidRPr="007A22E9" w:rsidRDefault="009E4FF9" w:rsidP="000502F3">
            <w:pPr>
              <w:jc w:val="center"/>
              <w:rPr>
                <w:rFonts w:ascii="Times New Roman" w:eastAsia="Times New Roman" w:hAnsi="Times New Roman" w:cs="Times New Roman"/>
                <w:b/>
                <w:bCs/>
                <w:color w:val="000000"/>
                <w:sz w:val="24"/>
                <w:szCs w:val="24"/>
                <w:lang w:eastAsia="fr-FR"/>
              </w:rPr>
            </w:pPr>
            <w:bookmarkStart w:id="4" w:name="_Hlk223421075"/>
            <w:r w:rsidRPr="007A22E9">
              <w:rPr>
                <w:rFonts w:ascii="Times New Roman" w:eastAsia="Times New Roman" w:hAnsi="Times New Roman" w:cs="Times New Roman"/>
                <w:b/>
                <w:bCs/>
                <w:color w:val="000000"/>
                <w:sz w:val="24"/>
                <w:szCs w:val="24"/>
                <w:lang w:eastAsia="fr-FR"/>
              </w:rPr>
              <w:t>Gall index</w:t>
            </w:r>
            <w:bookmarkEnd w:id="4"/>
          </w:p>
        </w:tc>
      </w:tr>
      <w:tr w:rsidR="000502F3" w:rsidRPr="000502F3" w14:paraId="423AC530" w14:textId="77777777" w:rsidTr="004B4C02">
        <w:tc>
          <w:tcPr>
            <w:tcW w:w="2265" w:type="dxa"/>
            <w:vMerge/>
            <w:tcBorders>
              <w:top w:val="single" w:sz="4" w:space="0" w:color="auto"/>
              <w:bottom w:val="single" w:sz="4" w:space="0" w:color="auto"/>
            </w:tcBorders>
            <w:vAlign w:val="center"/>
          </w:tcPr>
          <w:p w14:paraId="6081AB21" w14:textId="77777777" w:rsidR="000502F3" w:rsidRPr="000502F3" w:rsidRDefault="000502F3" w:rsidP="000502F3">
            <w:pPr>
              <w:spacing w:line="357" w:lineRule="auto"/>
              <w:jc w:val="center"/>
              <w:rPr>
                <w:rFonts w:ascii="Times New Roman" w:eastAsia="Times New Roman" w:hAnsi="Times New Roman" w:cs="Times New Roman"/>
                <w:color w:val="000000"/>
                <w:sz w:val="24"/>
                <w:szCs w:val="24"/>
                <w:lang w:eastAsia="fr-FR"/>
              </w:rPr>
            </w:pPr>
          </w:p>
        </w:tc>
        <w:tc>
          <w:tcPr>
            <w:tcW w:w="2265" w:type="dxa"/>
            <w:tcBorders>
              <w:top w:val="single" w:sz="4" w:space="0" w:color="auto"/>
              <w:bottom w:val="single" w:sz="4" w:space="0" w:color="auto"/>
            </w:tcBorders>
            <w:vAlign w:val="center"/>
          </w:tcPr>
          <w:p w14:paraId="698EEC19" w14:textId="4A640EAA" w:rsidR="000502F3" w:rsidRPr="000502F3" w:rsidRDefault="001D6652" w:rsidP="000502F3">
            <w:pPr>
              <w:spacing w:line="357" w:lineRule="auto"/>
              <w:jc w:val="center"/>
              <w:rPr>
                <w:rFonts w:ascii="Times New Roman" w:eastAsia="Times New Roman" w:hAnsi="Times New Roman" w:cs="Times New Roman"/>
                <w:color w:val="000000"/>
                <w:sz w:val="24"/>
                <w:szCs w:val="24"/>
                <w:lang w:eastAsia="fr-FR"/>
              </w:rPr>
            </w:pPr>
            <w:r w:rsidRPr="001D6652">
              <w:rPr>
                <w:rFonts w:ascii="Times New Roman" w:eastAsia="Times New Roman" w:hAnsi="Times New Roman" w:cs="Times New Roman"/>
                <w:b/>
                <w:color w:val="000000"/>
              </w:rPr>
              <w:t>SOIL</w:t>
            </w:r>
          </w:p>
        </w:tc>
        <w:tc>
          <w:tcPr>
            <w:tcW w:w="2265" w:type="dxa"/>
            <w:tcBorders>
              <w:top w:val="single" w:sz="4" w:space="0" w:color="auto"/>
              <w:bottom w:val="single" w:sz="4" w:space="0" w:color="auto"/>
            </w:tcBorders>
            <w:vAlign w:val="center"/>
          </w:tcPr>
          <w:p w14:paraId="2B04767E" w14:textId="052DF74D" w:rsidR="000502F3" w:rsidRPr="000502F3" w:rsidRDefault="001D6652" w:rsidP="000502F3">
            <w:pPr>
              <w:spacing w:line="357" w:lineRule="auto"/>
              <w:jc w:val="center"/>
              <w:rPr>
                <w:rFonts w:ascii="Times New Roman" w:eastAsia="Times New Roman" w:hAnsi="Times New Roman" w:cs="Times New Roman"/>
                <w:color w:val="000000"/>
                <w:sz w:val="24"/>
                <w:szCs w:val="24"/>
                <w:lang w:eastAsia="fr-FR"/>
              </w:rPr>
            </w:pPr>
            <w:r w:rsidRPr="001D6652">
              <w:rPr>
                <w:rFonts w:ascii="Times New Roman" w:eastAsia="Times New Roman" w:hAnsi="Times New Roman" w:cs="Times New Roman"/>
                <w:b/>
                <w:color w:val="000000"/>
              </w:rPr>
              <w:t>ROOTS</w:t>
            </w:r>
          </w:p>
        </w:tc>
        <w:tc>
          <w:tcPr>
            <w:tcW w:w="2265" w:type="dxa"/>
            <w:vMerge/>
            <w:tcBorders>
              <w:top w:val="single" w:sz="4" w:space="0" w:color="auto"/>
              <w:bottom w:val="single" w:sz="4" w:space="0" w:color="auto"/>
            </w:tcBorders>
            <w:vAlign w:val="center"/>
          </w:tcPr>
          <w:p w14:paraId="65427977" w14:textId="77777777" w:rsidR="000502F3" w:rsidRPr="000502F3" w:rsidRDefault="000502F3" w:rsidP="000502F3">
            <w:pPr>
              <w:spacing w:line="357" w:lineRule="auto"/>
              <w:jc w:val="center"/>
              <w:rPr>
                <w:rFonts w:ascii="Times New Roman" w:eastAsia="Times New Roman" w:hAnsi="Times New Roman" w:cs="Times New Roman"/>
                <w:color w:val="000000"/>
                <w:sz w:val="24"/>
                <w:szCs w:val="24"/>
                <w:lang w:eastAsia="fr-FR"/>
              </w:rPr>
            </w:pPr>
          </w:p>
        </w:tc>
      </w:tr>
      <w:tr w:rsidR="000502F3" w:rsidRPr="000502F3" w14:paraId="54EE9651" w14:textId="77777777" w:rsidTr="004B4C02">
        <w:tc>
          <w:tcPr>
            <w:tcW w:w="2265" w:type="dxa"/>
            <w:tcBorders>
              <w:top w:val="single" w:sz="4" w:space="0" w:color="auto"/>
            </w:tcBorders>
            <w:vAlign w:val="center"/>
          </w:tcPr>
          <w:p w14:paraId="63AB9F0C" w14:textId="77777777" w:rsidR="000502F3" w:rsidRPr="000502F3" w:rsidRDefault="000502F3" w:rsidP="000502F3">
            <w:pPr>
              <w:spacing w:line="357" w:lineRule="auto"/>
              <w:rPr>
                <w:rFonts w:ascii="Times New Roman" w:eastAsia="Times New Roman" w:hAnsi="Times New Roman" w:cs="Times New Roman"/>
                <w:color w:val="000000"/>
                <w:sz w:val="24"/>
                <w:szCs w:val="24"/>
                <w:lang w:eastAsia="fr-FR"/>
              </w:rPr>
            </w:pPr>
            <w:r w:rsidRPr="000502F3">
              <w:rPr>
                <w:rFonts w:ascii="Times New Roman" w:eastAsia="Times New Roman" w:hAnsi="Times New Roman" w:cs="Times New Roman"/>
                <w:color w:val="000000"/>
              </w:rPr>
              <w:t>FURADAN</w:t>
            </w:r>
          </w:p>
        </w:tc>
        <w:tc>
          <w:tcPr>
            <w:tcW w:w="2265" w:type="dxa"/>
            <w:tcBorders>
              <w:top w:val="single" w:sz="4" w:space="0" w:color="auto"/>
            </w:tcBorders>
            <w:vAlign w:val="center"/>
          </w:tcPr>
          <w:p w14:paraId="4A017CAE" w14:textId="77777777" w:rsidR="000502F3" w:rsidRPr="000502F3" w:rsidRDefault="000502F3" w:rsidP="000502F3">
            <w:pPr>
              <w:spacing w:line="357" w:lineRule="auto"/>
              <w:jc w:val="center"/>
              <w:rPr>
                <w:rFonts w:ascii="Times New Roman" w:eastAsia="Times New Roman" w:hAnsi="Times New Roman" w:cs="Times New Roman"/>
                <w:color w:val="000000"/>
                <w:sz w:val="24"/>
                <w:szCs w:val="24"/>
                <w:lang w:eastAsia="fr-FR"/>
              </w:rPr>
            </w:pPr>
            <w:r w:rsidRPr="000502F3">
              <w:rPr>
                <w:rFonts w:ascii="Times New Roman" w:eastAsia="Times New Roman" w:hAnsi="Times New Roman" w:cs="Times New Roman"/>
                <w:color w:val="000000"/>
              </w:rPr>
              <w:t>11,22±1,38c</w:t>
            </w:r>
          </w:p>
        </w:tc>
        <w:tc>
          <w:tcPr>
            <w:tcW w:w="2265" w:type="dxa"/>
            <w:tcBorders>
              <w:top w:val="single" w:sz="4" w:space="0" w:color="auto"/>
            </w:tcBorders>
            <w:vAlign w:val="center"/>
          </w:tcPr>
          <w:p w14:paraId="3618F993" w14:textId="77777777" w:rsidR="000502F3" w:rsidRPr="000502F3" w:rsidRDefault="000502F3" w:rsidP="000502F3">
            <w:pPr>
              <w:spacing w:line="357" w:lineRule="auto"/>
              <w:jc w:val="center"/>
              <w:rPr>
                <w:rFonts w:ascii="Times New Roman" w:eastAsia="Times New Roman" w:hAnsi="Times New Roman" w:cs="Times New Roman"/>
                <w:color w:val="000000"/>
                <w:sz w:val="24"/>
                <w:szCs w:val="24"/>
                <w:lang w:eastAsia="fr-FR"/>
              </w:rPr>
            </w:pPr>
            <w:r w:rsidRPr="000502F3">
              <w:rPr>
                <w:rFonts w:ascii="Times New Roman" w:eastAsia="Times New Roman" w:hAnsi="Times New Roman" w:cs="Times New Roman"/>
                <w:color w:val="000000"/>
              </w:rPr>
              <w:t>11,22±1,21b</w:t>
            </w:r>
          </w:p>
        </w:tc>
        <w:tc>
          <w:tcPr>
            <w:tcW w:w="2265" w:type="dxa"/>
            <w:tcBorders>
              <w:top w:val="single" w:sz="4" w:space="0" w:color="auto"/>
            </w:tcBorders>
            <w:vAlign w:val="center"/>
          </w:tcPr>
          <w:p w14:paraId="772B587C" w14:textId="77777777" w:rsidR="000502F3" w:rsidRPr="000502F3" w:rsidRDefault="000502F3" w:rsidP="000502F3">
            <w:pPr>
              <w:spacing w:line="357" w:lineRule="auto"/>
              <w:jc w:val="center"/>
              <w:rPr>
                <w:rFonts w:ascii="Times New Roman" w:eastAsia="Times New Roman" w:hAnsi="Times New Roman" w:cs="Times New Roman"/>
                <w:color w:val="000000"/>
                <w:sz w:val="24"/>
                <w:szCs w:val="24"/>
                <w:lang w:eastAsia="fr-FR"/>
              </w:rPr>
            </w:pPr>
            <w:r w:rsidRPr="000502F3">
              <w:rPr>
                <w:rFonts w:ascii="Times New Roman" w:eastAsia="Times New Roman" w:hAnsi="Times New Roman" w:cs="Times New Roman"/>
                <w:color w:val="000000"/>
              </w:rPr>
              <w:t>2,19 ±1,45c</w:t>
            </w:r>
          </w:p>
        </w:tc>
      </w:tr>
      <w:tr w:rsidR="000502F3" w:rsidRPr="000502F3" w14:paraId="27C558F0" w14:textId="77777777" w:rsidTr="004B4C02">
        <w:tc>
          <w:tcPr>
            <w:tcW w:w="2265" w:type="dxa"/>
            <w:vAlign w:val="center"/>
          </w:tcPr>
          <w:p w14:paraId="60097246" w14:textId="48C12E2C" w:rsidR="000502F3" w:rsidRPr="000502F3" w:rsidRDefault="000502F3" w:rsidP="000502F3">
            <w:pPr>
              <w:spacing w:line="357" w:lineRule="auto"/>
              <w:rPr>
                <w:rFonts w:ascii="Times New Roman" w:eastAsia="Times New Roman" w:hAnsi="Times New Roman" w:cs="Times New Roman"/>
                <w:color w:val="000000"/>
                <w:sz w:val="24"/>
                <w:szCs w:val="24"/>
                <w:lang w:eastAsia="fr-FR"/>
              </w:rPr>
            </w:pPr>
            <w:r w:rsidRPr="000502F3">
              <w:rPr>
                <w:rFonts w:ascii="Times New Roman" w:eastAsia="Times New Roman" w:hAnsi="Times New Roman" w:cs="Times New Roman"/>
                <w:color w:val="000000"/>
              </w:rPr>
              <w:lastRenderedPageBreak/>
              <w:t>JACINTH (P/A)</w:t>
            </w:r>
          </w:p>
        </w:tc>
        <w:tc>
          <w:tcPr>
            <w:tcW w:w="2265" w:type="dxa"/>
            <w:vAlign w:val="center"/>
          </w:tcPr>
          <w:p w14:paraId="6571C0E4" w14:textId="77777777" w:rsidR="000502F3" w:rsidRPr="000502F3" w:rsidRDefault="000502F3" w:rsidP="000502F3">
            <w:pPr>
              <w:spacing w:line="357" w:lineRule="auto"/>
              <w:jc w:val="center"/>
              <w:rPr>
                <w:rFonts w:ascii="Times New Roman" w:eastAsia="Times New Roman" w:hAnsi="Times New Roman" w:cs="Times New Roman"/>
                <w:color w:val="000000"/>
                <w:sz w:val="24"/>
                <w:szCs w:val="24"/>
                <w:lang w:eastAsia="fr-FR"/>
              </w:rPr>
            </w:pPr>
            <w:r w:rsidRPr="000502F3">
              <w:rPr>
                <w:rFonts w:ascii="Times New Roman" w:eastAsia="Times New Roman" w:hAnsi="Times New Roman" w:cs="Times New Roman"/>
                <w:color w:val="000000"/>
              </w:rPr>
              <w:t>38,33±7,21a</w:t>
            </w:r>
          </w:p>
        </w:tc>
        <w:tc>
          <w:tcPr>
            <w:tcW w:w="2265" w:type="dxa"/>
            <w:vAlign w:val="center"/>
          </w:tcPr>
          <w:p w14:paraId="5801E662" w14:textId="77777777" w:rsidR="000502F3" w:rsidRPr="000502F3" w:rsidRDefault="000502F3" w:rsidP="000502F3">
            <w:pPr>
              <w:spacing w:line="357" w:lineRule="auto"/>
              <w:jc w:val="center"/>
              <w:rPr>
                <w:rFonts w:ascii="Times New Roman" w:eastAsia="Times New Roman" w:hAnsi="Times New Roman" w:cs="Times New Roman"/>
                <w:color w:val="000000"/>
                <w:sz w:val="24"/>
                <w:szCs w:val="24"/>
                <w:lang w:eastAsia="fr-FR"/>
              </w:rPr>
            </w:pPr>
            <w:r w:rsidRPr="000502F3">
              <w:rPr>
                <w:rFonts w:ascii="Times New Roman" w:eastAsia="Times New Roman" w:hAnsi="Times New Roman" w:cs="Times New Roman"/>
                <w:color w:val="000000"/>
              </w:rPr>
              <w:t>33,02±4,10a</w:t>
            </w:r>
          </w:p>
        </w:tc>
        <w:tc>
          <w:tcPr>
            <w:tcW w:w="2265" w:type="dxa"/>
            <w:vAlign w:val="center"/>
          </w:tcPr>
          <w:p w14:paraId="5BF02B98" w14:textId="77777777" w:rsidR="000502F3" w:rsidRPr="000502F3" w:rsidRDefault="000502F3" w:rsidP="000502F3">
            <w:pPr>
              <w:spacing w:line="357" w:lineRule="auto"/>
              <w:jc w:val="center"/>
              <w:rPr>
                <w:rFonts w:ascii="Times New Roman" w:eastAsia="Times New Roman" w:hAnsi="Times New Roman" w:cs="Times New Roman"/>
                <w:color w:val="000000"/>
                <w:sz w:val="24"/>
                <w:szCs w:val="24"/>
                <w:lang w:eastAsia="fr-FR"/>
              </w:rPr>
            </w:pPr>
            <w:r w:rsidRPr="000502F3">
              <w:rPr>
                <w:rFonts w:ascii="Times New Roman" w:eastAsia="Times New Roman" w:hAnsi="Times New Roman" w:cs="Times New Roman"/>
                <w:color w:val="000000"/>
              </w:rPr>
              <w:t>7,68 ±0,43a</w:t>
            </w:r>
          </w:p>
        </w:tc>
      </w:tr>
      <w:tr w:rsidR="000502F3" w:rsidRPr="000502F3" w14:paraId="47D40BE8" w14:textId="77777777" w:rsidTr="004B4C02">
        <w:trPr>
          <w:trHeight w:val="74"/>
        </w:trPr>
        <w:tc>
          <w:tcPr>
            <w:tcW w:w="2265" w:type="dxa"/>
            <w:vAlign w:val="center"/>
          </w:tcPr>
          <w:p w14:paraId="58F1A62F" w14:textId="52EF7DFD" w:rsidR="000502F3" w:rsidRPr="000502F3" w:rsidRDefault="000502F3" w:rsidP="000502F3">
            <w:pPr>
              <w:ind w:left="-109" w:right="-108"/>
              <w:rPr>
                <w:rFonts w:ascii="Times New Roman" w:eastAsia="Times New Roman" w:hAnsi="Times New Roman" w:cs="Times New Roman"/>
                <w:color w:val="000000"/>
              </w:rPr>
            </w:pPr>
            <w:r w:rsidRPr="000502F3">
              <w:rPr>
                <w:rFonts w:ascii="Times New Roman" w:eastAsia="Times New Roman" w:hAnsi="Times New Roman" w:cs="Times New Roman"/>
                <w:color w:val="000000"/>
              </w:rPr>
              <w:t>JACINTH (P/Im)</w:t>
            </w:r>
          </w:p>
        </w:tc>
        <w:tc>
          <w:tcPr>
            <w:tcW w:w="2265" w:type="dxa"/>
            <w:vAlign w:val="center"/>
          </w:tcPr>
          <w:p w14:paraId="49813F5A" w14:textId="77777777" w:rsidR="000502F3" w:rsidRPr="000502F3" w:rsidRDefault="000502F3" w:rsidP="000502F3">
            <w:pPr>
              <w:jc w:val="center"/>
              <w:rPr>
                <w:rFonts w:ascii="Times New Roman" w:eastAsia="Times New Roman" w:hAnsi="Times New Roman" w:cs="Times New Roman"/>
                <w:color w:val="000000"/>
              </w:rPr>
            </w:pPr>
            <w:r w:rsidRPr="000502F3">
              <w:rPr>
                <w:rFonts w:ascii="Times New Roman" w:eastAsia="Times New Roman" w:hAnsi="Times New Roman" w:cs="Times New Roman"/>
                <w:color w:val="000000"/>
              </w:rPr>
              <w:t>19,88±3,48b</w:t>
            </w:r>
          </w:p>
        </w:tc>
        <w:tc>
          <w:tcPr>
            <w:tcW w:w="2265" w:type="dxa"/>
            <w:vAlign w:val="center"/>
          </w:tcPr>
          <w:p w14:paraId="7E683735" w14:textId="77777777" w:rsidR="000502F3" w:rsidRPr="000502F3" w:rsidRDefault="000502F3" w:rsidP="000502F3">
            <w:pPr>
              <w:jc w:val="center"/>
              <w:rPr>
                <w:rFonts w:ascii="Times New Roman" w:eastAsia="Times New Roman" w:hAnsi="Times New Roman" w:cs="Times New Roman"/>
                <w:color w:val="000000"/>
              </w:rPr>
            </w:pPr>
            <w:r w:rsidRPr="000502F3">
              <w:rPr>
                <w:rFonts w:ascii="Times New Roman" w:eastAsia="Times New Roman" w:hAnsi="Times New Roman" w:cs="Times New Roman"/>
                <w:color w:val="000000"/>
              </w:rPr>
              <w:t>12,66±3,19b</w:t>
            </w:r>
          </w:p>
        </w:tc>
        <w:tc>
          <w:tcPr>
            <w:tcW w:w="2265" w:type="dxa"/>
            <w:vAlign w:val="center"/>
          </w:tcPr>
          <w:p w14:paraId="7F1AF272" w14:textId="77777777" w:rsidR="000502F3" w:rsidRPr="000502F3" w:rsidRDefault="000502F3" w:rsidP="000502F3">
            <w:pPr>
              <w:jc w:val="center"/>
              <w:rPr>
                <w:rFonts w:ascii="Times New Roman" w:eastAsia="Times New Roman" w:hAnsi="Times New Roman" w:cs="Times New Roman"/>
                <w:color w:val="000000"/>
              </w:rPr>
            </w:pPr>
            <w:r w:rsidRPr="000502F3">
              <w:rPr>
                <w:rFonts w:ascii="Times New Roman" w:eastAsia="Times New Roman" w:hAnsi="Times New Roman" w:cs="Times New Roman"/>
                <w:color w:val="000000"/>
              </w:rPr>
              <w:t>4,67 ±0,21b</w:t>
            </w:r>
          </w:p>
        </w:tc>
      </w:tr>
      <w:tr w:rsidR="000502F3" w:rsidRPr="000502F3" w14:paraId="4FDF564D" w14:textId="77777777" w:rsidTr="004B4C02">
        <w:tc>
          <w:tcPr>
            <w:tcW w:w="2265" w:type="dxa"/>
            <w:vAlign w:val="center"/>
          </w:tcPr>
          <w:p w14:paraId="2CD98CF0" w14:textId="77777777" w:rsidR="000502F3" w:rsidRPr="000502F3" w:rsidRDefault="000502F3" w:rsidP="000502F3">
            <w:pPr>
              <w:ind w:left="-109" w:right="-108"/>
              <w:jc w:val="center"/>
              <w:rPr>
                <w:rFonts w:ascii="Times New Roman" w:eastAsia="Times New Roman" w:hAnsi="Times New Roman" w:cs="Times New Roman"/>
                <w:color w:val="000000"/>
              </w:rPr>
            </w:pPr>
            <w:r w:rsidRPr="000502F3">
              <w:rPr>
                <w:rFonts w:ascii="Times New Roman" w:eastAsia="Times New Roman" w:hAnsi="Times New Roman" w:cs="Times New Roman"/>
                <w:color w:val="000000"/>
              </w:rPr>
              <w:t>F</w:t>
            </w:r>
          </w:p>
        </w:tc>
        <w:tc>
          <w:tcPr>
            <w:tcW w:w="2265" w:type="dxa"/>
            <w:vAlign w:val="center"/>
          </w:tcPr>
          <w:p w14:paraId="31009BDF" w14:textId="77777777" w:rsidR="000502F3" w:rsidRPr="000502F3" w:rsidRDefault="000502F3" w:rsidP="000502F3">
            <w:pPr>
              <w:jc w:val="center"/>
              <w:rPr>
                <w:rFonts w:ascii="Times New Roman" w:eastAsia="Times New Roman" w:hAnsi="Times New Roman" w:cs="Times New Roman"/>
                <w:color w:val="000000"/>
              </w:rPr>
            </w:pPr>
            <w:r w:rsidRPr="000502F3">
              <w:rPr>
                <w:rFonts w:ascii="Times New Roman" w:eastAsia="Times New Roman" w:hAnsi="Times New Roman" w:cs="Times New Roman"/>
                <w:color w:val="000000"/>
              </w:rPr>
              <w:t>20,173</w:t>
            </w:r>
          </w:p>
        </w:tc>
        <w:tc>
          <w:tcPr>
            <w:tcW w:w="2265" w:type="dxa"/>
            <w:vAlign w:val="center"/>
          </w:tcPr>
          <w:p w14:paraId="7F6874D4" w14:textId="77777777" w:rsidR="000502F3" w:rsidRPr="000502F3" w:rsidRDefault="000502F3" w:rsidP="000502F3">
            <w:pPr>
              <w:jc w:val="center"/>
              <w:rPr>
                <w:rFonts w:ascii="Times New Roman" w:eastAsia="Times New Roman" w:hAnsi="Times New Roman" w:cs="Times New Roman"/>
                <w:color w:val="000000"/>
              </w:rPr>
            </w:pPr>
            <w:r w:rsidRPr="000502F3">
              <w:rPr>
                <w:rFonts w:ascii="Times New Roman" w:eastAsia="Times New Roman" w:hAnsi="Times New Roman" w:cs="Times New Roman"/>
                <w:color w:val="000000"/>
              </w:rPr>
              <w:t>14,077</w:t>
            </w:r>
          </w:p>
        </w:tc>
        <w:tc>
          <w:tcPr>
            <w:tcW w:w="2265" w:type="dxa"/>
            <w:vAlign w:val="center"/>
          </w:tcPr>
          <w:p w14:paraId="6556D968" w14:textId="77777777" w:rsidR="000502F3" w:rsidRPr="000502F3" w:rsidRDefault="000502F3" w:rsidP="000502F3">
            <w:pPr>
              <w:jc w:val="center"/>
              <w:rPr>
                <w:rFonts w:ascii="Times New Roman" w:eastAsia="Times New Roman" w:hAnsi="Times New Roman" w:cs="Times New Roman"/>
                <w:color w:val="000000"/>
              </w:rPr>
            </w:pPr>
            <w:r w:rsidRPr="000502F3">
              <w:rPr>
                <w:rFonts w:ascii="Times New Roman" w:eastAsia="Times New Roman" w:hAnsi="Times New Roman" w:cs="Times New Roman"/>
                <w:color w:val="000000"/>
              </w:rPr>
              <w:t>3,42</w:t>
            </w:r>
          </w:p>
        </w:tc>
      </w:tr>
      <w:tr w:rsidR="000502F3" w:rsidRPr="000502F3" w14:paraId="06CAEE21" w14:textId="77777777" w:rsidTr="004B4C02">
        <w:tc>
          <w:tcPr>
            <w:tcW w:w="2265" w:type="dxa"/>
            <w:tcBorders>
              <w:bottom w:val="single" w:sz="4" w:space="0" w:color="auto"/>
            </w:tcBorders>
            <w:vAlign w:val="center"/>
          </w:tcPr>
          <w:p w14:paraId="45FEBAEA" w14:textId="77777777" w:rsidR="000502F3" w:rsidRPr="000502F3" w:rsidRDefault="000502F3" w:rsidP="000502F3">
            <w:pPr>
              <w:spacing w:line="357" w:lineRule="auto"/>
              <w:jc w:val="center"/>
              <w:rPr>
                <w:rFonts w:ascii="Times New Roman" w:eastAsia="Times New Roman" w:hAnsi="Times New Roman" w:cs="Times New Roman"/>
                <w:color w:val="000000"/>
                <w:sz w:val="24"/>
                <w:szCs w:val="24"/>
                <w:lang w:eastAsia="fr-FR"/>
              </w:rPr>
            </w:pPr>
            <w:r w:rsidRPr="000502F3">
              <w:rPr>
                <w:rFonts w:ascii="Times New Roman" w:eastAsia="Times New Roman" w:hAnsi="Times New Roman" w:cs="Times New Roman"/>
                <w:color w:val="000000"/>
                <w:sz w:val="24"/>
                <w:szCs w:val="24"/>
                <w:lang w:eastAsia="fr-FR"/>
              </w:rPr>
              <w:t>P</w:t>
            </w:r>
          </w:p>
        </w:tc>
        <w:tc>
          <w:tcPr>
            <w:tcW w:w="2265" w:type="dxa"/>
            <w:tcBorders>
              <w:bottom w:val="single" w:sz="4" w:space="0" w:color="auto"/>
            </w:tcBorders>
            <w:vAlign w:val="center"/>
          </w:tcPr>
          <w:p w14:paraId="58556EE9" w14:textId="77777777" w:rsidR="000502F3" w:rsidRPr="000502F3" w:rsidRDefault="000502F3" w:rsidP="000502F3">
            <w:pPr>
              <w:spacing w:line="357" w:lineRule="auto"/>
              <w:jc w:val="center"/>
              <w:rPr>
                <w:rFonts w:ascii="Times New Roman" w:eastAsia="Times New Roman" w:hAnsi="Times New Roman" w:cs="Times New Roman"/>
                <w:color w:val="000000"/>
                <w:sz w:val="24"/>
                <w:szCs w:val="24"/>
                <w:lang w:eastAsia="fr-FR"/>
              </w:rPr>
            </w:pPr>
            <w:r w:rsidRPr="000502F3">
              <w:rPr>
                <w:rFonts w:ascii="Times New Roman" w:eastAsia="Times New Roman" w:hAnsi="Times New Roman" w:cs="Times New Roman"/>
                <w:color w:val="000000"/>
                <w:sz w:val="24"/>
                <w:szCs w:val="24"/>
                <w:lang w:eastAsia="fr-FR"/>
              </w:rPr>
              <w:t>0</w:t>
            </w:r>
          </w:p>
        </w:tc>
        <w:tc>
          <w:tcPr>
            <w:tcW w:w="2265" w:type="dxa"/>
            <w:tcBorders>
              <w:bottom w:val="single" w:sz="4" w:space="0" w:color="auto"/>
            </w:tcBorders>
            <w:vAlign w:val="center"/>
          </w:tcPr>
          <w:p w14:paraId="608CBA8F" w14:textId="77777777" w:rsidR="000502F3" w:rsidRPr="000502F3" w:rsidRDefault="000502F3" w:rsidP="000502F3">
            <w:pPr>
              <w:spacing w:line="357" w:lineRule="auto"/>
              <w:jc w:val="center"/>
              <w:rPr>
                <w:rFonts w:ascii="Times New Roman" w:eastAsia="Times New Roman" w:hAnsi="Times New Roman" w:cs="Times New Roman"/>
                <w:color w:val="000000"/>
                <w:sz w:val="24"/>
                <w:szCs w:val="24"/>
                <w:lang w:eastAsia="fr-FR"/>
              </w:rPr>
            </w:pPr>
            <w:r w:rsidRPr="000502F3">
              <w:rPr>
                <w:rFonts w:ascii="Times New Roman" w:eastAsia="Times New Roman" w:hAnsi="Times New Roman" w:cs="Times New Roman"/>
                <w:color w:val="000000"/>
                <w:sz w:val="24"/>
                <w:szCs w:val="24"/>
                <w:lang w:eastAsia="fr-FR"/>
              </w:rPr>
              <w:t>0</w:t>
            </w:r>
          </w:p>
        </w:tc>
        <w:tc>
          <w:tcPr>
            <w:tcW w:w="2265" w:type="dxa"/>
            <w:tcBorders>
              <w:bottom w:val="single" w:sz="4" w:space="0" w:color="auto"/>
            </w:tcBorders>
            <w:vAlign w:val="center"/>
          </w:tcPr>
          <w:p w14:paraId="11DDD898" w14:textId="77777777" w:rsidR="000502F3" w:rsidRPr="000502F3" w:rsidRDefault="000502F3" w:rsidP="000502F3">
            <w:pPr>
              <w:spacing w:line="357" w:lineRule="auto"/>
              <w:jc w:val="center"/>
              <w:rPr>
                <w:rFonts w:ascii="Times New Roman" w:eastAsia="Times New Roman" w:hAnsi="Times New Roman" w:cs="Times New Roman"/>
                <w:color w:val="000000"/>
                <w:sz w:val="24"/>
                <w:szCs w:val="24"/>
                <w:lang w:eastAsia="fr-FR"/>
              </w:rPr>
            </w:pPr>
            <w:r w:rsidRPr="000502F3">
              <w:rPr>
                <w:rFonts w:ascii="Times New Roman" w:eastAsia="Times New Roman" w:hAnsi="Times New Roman" w:cs="Times New Roman"/>
                <w:color w:val="000000"/>
              </w:rPr>
              <w:t>0,004</w:t>
            </w:r>
          </w:p>
        </w:tc>
      </w:tr>
    </w:tbl>
    <w:p w14:paraId="2D24437E" w14:textId="77777777" w:rsidR="005F72D7" w:rsidRPr="005F72D7" w:rsidRDefault="005F72D7" w:rsidP="005F72D7">
      <w:pPr>
        <w:pStyle w:val="Sansinterligne"/>
        <w:rPr>
          <w:rFonts w:ascii="Times New Roman" w:hAnsi="Times New Roman" w:cs="Times New Roman"/>
          <w:sz w:val="24"/>
          <w:szCs w:val="24"/>
          <w:lang w:val="en-GB" w:eastAsia="fr-FR"/>
        </w:rPr>
      </w:pPr>
      <w:bookmarkStart w:id="5" w:name="_Toc223349582"/>
      <w:r w:rsidRPr="005F72D7">
        <w:rPr>
          <w:rFonts w:ascii="Times New Roman" w:hAnsi="Times New Roman" w:cs="Times New Roman"/>
          <w:sz w:val="24"/>
          <w:szCs w:val="24"/>
          <w:lang w:val="en-GB" w:eastAsia="fr-FR"/>
        </w:rPr>
        <w:t>Means within the same column followed by the same letters are not significantly different according to the Student–Newman–Keuls (SNK) test at the 5% level.</w:t>
      </w:r>
    </w:p>
    <w:p w14:paraId="633E08A5" w14:textId="77777777" w:rsidR="005F72D7" w:rsidRPr="005F72D7" w:rsidRDefault="005F72D7" w:rsidP="005F72D7">
      <w:pPr>
        <w:pStyle w:val="Sansinterligne"/>
        <w:rPr>
          <w:lang w:val="en-GB" w:eastAsia="fr-FR"/>
        </w:rPr>
      </w:pPr>
    </w:p>
    <w:p w14:paraId="5DDE93E8" w14:textId="77777777" w:rsidR="005F72D7" w:rsidRPr="001F0D3C" w:rsidRDefault="005F72D7" w:rsidP="001F0D3C">
      <w:pPr>
        <w:rPr>
          <w:rFonts w:ascii="Times New Roman" w:hAnsi="Times New Roman" w:cs="Times New Roman"/>
          <w:lang w:val="en-GB" w:eastAsia="fr-FR"/>
        </w:rPr>
      </w:pPr>
      <w:r w:rsidRPr="001F0D3C">
        <w:rPr>
          <w:rFonts w:ascii="Times New Roman" w:hAnsi="Times New Roman" w:cs="Times New Roman"/>
          <w:lang w:val="en-GB" w:eastAsia="fr-FR"/>
        </w:rPr>
        <w:t>P/A = Aerial part; P/Im = Submerged part</w:t>
      </w:r>
    </w:p>
    <w:p w14:paraId="674EB66A" w14:textId="77777777" w:rsidR="005F72D7" w:rsidRPr="001F0D3C" w:rsidRDefault="005F72D7" w:rsidP="001F0D3C">
      <w:pPr>
        <w:rPr>
          <w:rFonts w:ascii="Times New Roman" w:hAnsi="Times New Roman" w:cs="Times New Roman"/>
          <w:lang w:val="en-GB" w:eastAsia="fr-FR"/>
        </w:rPr>
      </w:pPr>
      <w:r w:rsidRPr="001F0D3C">
        <w:rPr>
          <w:rFonts w:ascii="Times New Roman" w:hAnsi="Times New Roman" w:cs="Times New Roman"/>
          <w:lang w:val="en-GB" w:eastAsia="fr-FR"/>
        </w:rPr>
        <w:t>F = F-value; P = p-value</w:t>
      </w:r>
    </w:p>
    <w:bookmarkEnd w:id="5"/>
    <w:p w14:paraId="297E7620" w14:textId="472A4EA5" w:rsidR="009A6B16" w:rsidRPr="001F0D3C" w:rsidRDefault="001F0D3C" w:rsidP="003607D0">
      <w:pPr>
        <w:pStyle w:val="Titre2"/>
        <w:numPr>
          <w:ilvl w:val="1"/>
          <w:numId w:val="3"/>
        </w:numPr>
        <w:rPr>
          <w:rFonts w:eastAsia="Times New Roman"/>
          <w:color w:val="000000"/>
          <w:lang w:val="en-GB" w:eastAsia="fr-FR"/>
        </w:rPr>
      </w:pPr>
      <w:r w:rsidRPr="001F0D3C">
        <w:rPr>
          <w:rFonts w:eastAsia="Times New Roman"/>
          <w:lang w:val="en-GB" w:eastAsia="fr-FR"/>
        </w:rPr>
        <w:t>Effects of Organic Manure Rate Combined with Furadan- and Water Hyacinth–Based Formulations on the Mean Number of Nematodes Associated with Beetroot</w:t>
      </w:r>
      <w:r w:rsidR="009A6B16" w:rsidRPr="001F0D3C">
        <w:rPr>
          <w:rFonts w:eastAsia="Times New Roman"/>
          <w:color w:val="000000"/>
          <w:lang w:val="en-GB" w:eastAsia="fr-FR"/>
        </w:rPr>
        <w:t xml:space="preserve"> </w:t>
      </w:r>
    </w:p>
    <w:p w14:paraId="063B2E46" w14:textId="3D4EA7E1" w:rsidR="009A6B16" w:rsidRDefault="00650588" w:rsidP="0047028B">
      <w:pPr>
        <w:spacing w:after="34" w:line="360" w:lineRule="auto"/>
        <w:jc w:val="both"/>
        <w:rPr>
          <w:rFonts w:ascii="Times New Roman" w:eastAsia="Times New Roman" w:hAnsi="Times New Roman" w:cs="Times New Roman"/>
          <w:color w:val="000000"/>
          <w:sz w:val="24"/>
          <w:szCs w:val="24"/>
          <w:lang w:val="en-GB" w:eastAsia="fr-FR"/>
        </w:rPr>
      </w:pPr>
      <w:r w:rsidRPr="00650588">
        <w:rPr>
          <w:rFonts w:ascii="Times New Roman" w:eastAsia="Times New Roman" w:hAnsi="Times New Roman" w:cs="Times New Roman"/>
          <w:color w:val="000000"/>
          <w:sz w:val="24"/>
          <w:szCs w:val="24"/>
          <w:lang w:val="en-GB" w:eastAsia="fr-FR"/>
        </w:rPr>
        <w:t>The results (Table 2) indicate that the combination of organic manure with Furadan- or Eichhornia crassipes–based formulations significantly affected the mean number of nematodes in both soil and beetroot roots (P &lt; 0.001). The application of 15 t/ha of organic manure combined with Furadan resulted in the lowest mean soil nematode density (6.14 nematodes), corresponding to a 60.69% reduction compared with the unfertilized control.In roots, although a marked reduction was also observed with the treatment combining 15 t/ha manure and Furadan (5.16 nematodes), its effect was comparable to that obtained with 15 t/ha manure combined with the submerged-part extract of water hyacinth (5.01 nematodes). Notably, this latter combination represented a 65.03% reduction relative to the Furadan-only treatment</w:t>
      </w:r>
      <w:r w:rsidR="009A6B16" w:rsidRPr="00650588">
        <w:rPr>
          <w:rFonts w:ascii="Times New Roman" w:eastAsia="Times New Roman" w:hAnsi="Times New Roman" w:cs="Times New Roman"/>
          <w:color w:val="000000"/>
          <w:sz w:val="24"/>
          <w:szCs w:val="24"/>
          <w:lang w:val="en-GB" w:eastAsia="fr-FR"/>
        </w:rPr>
        <w:t>.</w:t>
      </w:r>
    </w:p>
    <w:p w14:paraId="4A372BFD" w14:textId="77777777" w:rsidR="0047028B" w:rsidRPr="0047028B" w:rsidRDefault="0047028B" w:rsidP="0047028B">
      <w:pPr>
        <w:spacing w:after="34" w:line="360" w:lineRule="auto"/>
        <w:jc w:val="both"/>
        <w:rPr>
          <w:rFonts w:ascii="Times New Roman" w:eastAsia="Times New Roman" w:hAnsi="Times New Roman" w:cs="Times New Roman"/>
          <w:color w:val="000000"/>
          <w:sz w:val="24"/>
          <w:szCs w:val="24"/>
          <w:lang w:val="en-GB" w:eastAsia="fr-FR"/>
        </w:rPr>
      </w:pPr>
    </w:p>
    <w:p w14:paraId="4C1A9917" w14:textId="4CC26C59" w:rsidR="009A6B16" w:rsidRPr="00F11457" w:rsidRDefault="009A6B16" w:rsidP="009A6B16">
      <w:pPr>
        <w:spacing w:after="34"/>
        <w:ind w:left="1134" w:hanging="1134"/>
        <w:rPr>
          <w:rFonts w:ascii="Times New Roman" w:eastAsia="Times New Roman" w:hAnsi="Times New Roman" w:cs="Times New Roman"/>
          <w:b/>
          <w:bCs/>
          <w:color w:val="000000"/>
          <w:lang w:val="en-GB" w:eastAsia="fr-FR"/>
        </w:rPr>
      </w:pPr>
      <w:r w:rsidRPr="00650588">
        <w:rPr>
          <w:rFonts w:ascii="Times New Roman" w:eastAsia="Times New Roman" w:hAnsi="Times New Roman" w:cs="Times New Roman"/>
          <w:b/>
          <w:color w:val="000000"/>
          <w:szCs w:val="24"/>
          <w:lang w:val="en-GB" w:eastAsia="fr-FR"/>
        </w:rPr>
        <w:t xml:space="preserve"> </w:t>
      </w:r>
      <w:r w:rsidR="00F11457" w:rsidRPr="00F11457">
        <w:rPr>
          <w:rFonts w:ascii="Times New Roman" w:eastAsia="Times New Roman" w:hAnsi="Times New Roman" w:cs="Times New Roman"/>
          <w:color w:val="000000"/>
          <w:sz w:val="24"/>
          <w:szCs w:val="24"/>
          <w:lang w:val="en-GB" w:eastAsia="fr-FR"/>
        </w:rPr>
        <w:t xml:space="preserve">Table 2: </w:t>
      </w:r>
      <w:r w:rsidR="00F11457" w:rsidRPr="00F11457">
        <w:rPr>
          <w:rFonts w:ascii="Times New Roman" w:eastAsia="Times New Roman" w:hAnsi="Times New Roman" w:cs="Times New Roman"/>
          <w:b/>
          <w:bCs/>
          <w:color w:val="000000"/>
          <w:sz w:val="24"/>
          <w:szCs w:val="24"/>
          <w:lang w:val="en-GB" w:eastAsia="fr-FR"/>
        </w:rPr>
        <w:t>Effects of organic manure rate combined with Furadan- and water hyacinth–based formulations on the mean number of nematodes associated with beetroot cultivation</w:t>
      </w:r>
    </w:p>
    <w:tbl>
      <w:tblPr>
        <w:tblStyle w:val="TableGrid3"/>
        <w:tblW w:w="9465" w:type="dxa"/>
        <w:jc w:val="center"/>
        <w:tblInd w:w="0" w:type="dxa"/>
        <w:tblCellMar>
          <w:top w:w="12" w:type="dxa"/>
          <w:right w:w="84" w:type="dxa"/>
        </w:tblCellMar>
        <w:tblLook w:val="04A0" w:firstRow="1" w:lastRow="0" w:firstColumn="1" w:lastColumn="0" w:noHBand="0" w:noVBand="1"/>
      </w:tblPr>
      <w:tblGrid>
        <w:gridCol w:w="4472"/>
        <w:gridCol w:w="3027"/>
        <w:gridCol w:w="1966"/>
      </w:tblGrid>
      <w:tr w:rsidR="009A6B16" w:rsidRPr="009A6B16" w14:paraId="78240DEC" w14:textId="77777777" w:rsidTr="004B4C02">
        <w:trPr>
          <w:trHeight w:val="571"/>
          <w:jc w:val="center"/>
        </w:trPr>
        <w:tc>
          <w:tcPr>
            <w:tcW w:w="4472" w:type="dxa"/>
            <w:tcBorders>
              <w:top w:val="single" w:sz="4" w:space="0" w:color="000000"/>
              <w:left w:val="nil"/>
              <w:bottom w:val="single" w:sz="4" w:space="0" w:color="000000"/>
              <w:right w:val="nil"/>
            </w:tcBorders>
            <w:vAlign w:val="center"/>
          </w:tcPr>
          <w:p w14:paraId="336FDFD9" w14:textId="6DD4578D" w:rsidR="009A6B16" w:rsidRPr="009A6B16" w:rsidRDefault="005C4507" w:rsidP="009A6B16">
            <w:pPr>
              <w:ind w:right="46"/>
              <w:jc w:val="center"/>
              <w:rPr>
                <w:rFonts w:ascii="Times New Roman" w:hAnsi="Times New Roman" w:cs="Times New Roman"/>
                <w:color w:val="000000"/>
              </w:rPr>
            </w:pPr>
            <w:r w:rsidRPr="005C4507">
              <w:rPr>
                <w:rFonts w:ascii="Times New Roman" w:hAnsi="Times New Roman" w:cs="Times New Roman"/>
                <w:b/>
                <w:color w:val="000000"/>
              </w:rPr>
              <w:t>TREATMENTS</w:t>
            </w:r>
            <w:r w:rsidRPr="009A6B16">
              <w:rPr>
                <w:rFonts w:ascii="Times New Roman" w:hAnsi="Times New Roman" w:cs="Times New Roman"/>
                <w:b/>
                <w:color w:val="000000"/>
              </w:rPr>
              <w:t xml:space="preserve"> </w:t>
            </w:r>
          </w:p>
        </w:tc>
        <w:tc>
          <w:tcPr>
            <w:tcW w:w="4993" w:type="dxa"/>
            <w:gridSpan w:val="2"/>
            <w:tcBorders>
              <w:top w:val="single" w:sz="4" w:space="0" w:color="000000"/>
              <w:left w:val="nil"/>
              <w:bottom w:val="single" w:sz="4" w:space="0" w:color="000000"/>
              <w:right w:val="nil"/>
            </w:tcBorders>
          </w:tcPr>
          <w:p w14:paraId="65EB4F29" w14:textId="77777777" w:rsidR="009A6B16" w:rsidRPr="009A6B16" w:rsidRDefault="009A6B16" w:rsidP="009A6B16">
            <w:pPr>
              <w:jc w:val="both"/>
              <w:rPr>
                <w:rFonts w:ascii="Times New Roman" w:hAnsi="Times New Roman" w:cs="Times New Roman"/>
                <w:color w:val="000000"/>
              </w:rPr>
            </w:pPr>
            <w:r w:rsidRPr="009A6B16">
              <w:rPr>
                <w:rFonts w:ascii="Times New Roman" w:hAnsi="Times New Roman" w:cs="Times New Roman"/>
                <w:b/>
                <w:color w:val="000000"/>
                <w:u w:val="single" w:color="000000"/>
              </w:rPr>
              <w:t>Densité moyenne des nématodes à 10 semaines</w:t>
            </w:r>
            <w:r w:rsidRPr="009A6B16">
              <w:rPr>
                <w:rFonts w:ascii="Times New Roman" w:hAnsi="Times New Roman" w:cs="Times New Roman"/>
                <w:b/>
                <w:color w:val="000000"/>
                <w:sz w:val="20"/>
                <w:u w:val="single" w:color="000000"/>
              </w:rPr>
              <w:t>*</w:t>
            </w:r>
            <w:r w:rsidRPr="009A6B16">
              <w:rPr>
                <w:rFonts w:ascii="Times New Roman" w:hAnsi="Times New Roman" w:cs="Times New Roman"/>
                <w:b/>
                <w:color w:val="000000"/>
                <w:u w:val="single" w:color="000000"/>
              </w:rPr>
              <w:t xml:space="preserve"> </w:t>
            </w:r>
          </w:p>
          <w:p w14:paraId="0F48D51A" w14:textId="6B47A633" w:rsidR="009A6B16" w:rsidRPr="009A6B16" w:rsidRDefault="009A6B16" w:rsidP="009A6B16">
            <w:pPr>
              <w:tabs>
                <w:tab w:val="center" w:pos="1119"/>
                <w:tab w:val="center" w:pos="3684"/>
              </w:tabs>
              <w:rPr>
                <w:rFonts w:ascii="Times New Roman" w:hAnsi="Times New Roman" w:cs="Times New Roman"/>
                <w:color w:val="000000"/>
              </w:rPr>
            </w:pPr>
            <w:r w:rsidRPr="009A6B16">
              <w:rPr>
                <w:rFonts w:ascii="Calibri" w:hAnsi="Calibri" w:cs="Calibri"/>
                <w:color w:val="000000"/>
              </w:rPr>
              <w:tab/>
            </w:r>
            <w:r w:rsidR="005C4507" w:rsidRPr="005C4507">
              <w:rPr>
                <w:rFonts w:ascii="Times New Roman" w:hAnsi="Times New Roman" w:cs="Times New Roman"/>
                <w:b/>
                <w:color w:val="000000"/>
              </w:rPr>
              <w:t>SOIL</w:t>
            </w:r>
            <w:r w:rsidRPr="009A6B16">
              <w:rPr>
                <w:rFonts w:ascii="Times New Roman" w:hAnsi="Times New Roman" w:cs="Times New Roman"/>
                <w:b/>
                <w:color w:val="000000"/>
              </w:rPr>
              <w:tab/>
            </w:r>
            <w:r w:rsidR="005C4507" w:rsidRPr="005C4507">
              <w:rPr>
                <w:rFonts w:ascii="Times New Roman" w:hAnsi="Times New Roman" w:cs="Times New Roman"/>
                <w:b/>
                <w:color w:val="000000"/>
              </w:rPr>
              <w:t>ROOTS</w:t>
            </w:r>
            <w:r w:rsidR="005C4507" w:rsidRPr="009A6B16">
              <w:rPr>
                <w:rFonts w:ascii="Times New Roman" w:hAnsi="Times New Roman" w:cs="Times New Roman"/>
                <w:b/>
                <w:color w:val="000000"/>
              </w:rPr>
              <w:t xml:space="preserve"> </w:t>
            </w:r>
          </w:p>
        </w:tc>
      </w:tr>
      <w:tr w:rsidR="009A6B16" w:rsidRPr="009A6B16" w14:paraId="5AC855C8" w14:textId="77777777" w:rsidTr="004B4C02">
        <w:trPr>
          <w:trHeight w:val="435"/>
          <w:jc w:val="center"/>
        </w:trPr>
        <w:tc>
          <w:tcPr>
            <w:tcW w:w="4472" w:type="dxa"/>
            <w:tcBorders>
              <w:top w:val="single" w:sz="4" w:space="0" w:color="000000"/>
              <w:left w:val="nil"/>
              <w:bottom w:val="nil"/>
              <w:right w:val="nil"/>
            </w:tcBorders>
          </w:tcPr>
          <w:p w14:paraId="1A3721E1" w14:textId="77777777" w:rsidR="009A6B16" w:rsidRPr="009A6B16" w:rsidRDefault="009A6B16" w:rsidP="009A6B16">
            <w:pPr>
              <w:ind w:left="122"/>
              <w:rPr>
                <w:rFonts w:ascii="Times New Roman" w:hAnsi="Times New Roman" w:cs="Times New Roman"/>
                <w:color w:val="000000"/>
              </w:rPr>
            </w:pPr>
            <w:r w:rsidRPr="009A6B16">
              <w:rPr>
                <w:rFonts w:ascii="Times New Roman" w:hAnsi="Times New Roman" w:cs="Times New Roman"/>
                <w:color w:val="000000"/>
              </w:rPr>
              <w:t xml:space="preserve">D0FU (0t/ha+ FURADAN) </w:t>
            </w:r>
          </w:p>
        </w:tc>
        <w:tc>
          <w:tcPr>
            <w:tcW w:w="3027" w:type="dxa"/>
            <w:tcBorders>
              <w:top w:val="single" w:sz="4" w:space="0" w:color="000000"/>
              <w:left w:val="nil"/>
              <w:bottom w:val="nil"/>
              <w:right w:val="nil"/>
            </w:tcBorders>
          </w:tcPr>
          <w:p w14:paraId="501B740D" w14:textId="77777777" w:rsidR="009A6B16" w:rsidRPr="009A6B16" w:rsidRDefault="009A6B16" w:rsidP="009A6B16">
            <w:pPr>
              <w:ind w:left="519"/>
              <w:rPr>
                <w:rFonts w:ascii="Times New Roman" w:hAnsi="Times New Roman" w:cs="Times New Roman"/>
                <w:color w:val="000000"/>
              </w:rPr>
            </w:pPr>
            <w:r w:rsidRPr="009A6B16">
              <w:rPr>
                <w:rFonts w:ascii="Times New Roman" w:hAnsi="Times New Roman" w:cs="Times New Roman"/>
                <w:color w:val="000000"/>
              </w:rPr>
              <w:t xml:space="preserve">15,62±2,33bc </w:t>
            </w:r>
          </w:p>
        </w:tc>
        <w:tc>
          <w:tcPr>
            <w:tcW w:w="1966" w:type="dxa"/>
            <w:tcBorders>
              <w:top w:val="single" w:sz="4" w:space="0" w:color="000000"/>
              <w:left w:val="nil"/>
              <w:bottom w:val="nil"/>
              <w:right w:val="nil"/>
            </w:tcBorders>
          </w:tcPr>
          <w:p w14:paraId="48400338" w14:textId="77777777" w:rsidR="009A6B16" w:rsidRPr="009A6B16" w:rsidRDefault="009A6B16" w:rsidP="009A6B16">
            <w:pPr>
              <w:rPr>
                <w:rFonts w:ascii="Times New Roman" w:hAnsi="Times New Roman" w:cs="Times New Roman"/>
                <w:color w:val="000000"/>
              </w:rPr>
            </w:pPr>
            <w:r w:rsidRPr="009A6B16">
              <w:rPr>
                <w:rFonts w:ascii="Times New Roman" w:hAnsi="Times New Roman" w:cs="Times New Roman"/>
                <w:color w:val="000000"/>
              </w:rPr>
              <w:t xml:space="preserve">14,33±2,84bc </w:t>
            </w:r>
          </w:p>
        </w:tc>
      </w:tr>
      <w:tr w:rsidR="009A6B16" w:rsidRPr="009A6B16" w14:paraId="328E7E06" w14:textId="77777777" w:rsidTr="004B4C02">
        <w:trPr>
          <w:trHeight w:val="432"/>
          <w:jc w:val="center"/>
        </w:trPr>
        <w:tc>
          <w:tcPr>
            <w:tcW w:w="4472" w:type="dxa"/>
            <w:tcBorders>
              <w:top w:val="nil"/>
              <w:left w:val="nil"/>
              <w:bottom w:val="nil"/>
              <w:right w:val="nil"/>
            </w:tcBorders>
          </w:tcPr>
          <w:p w14:paraId="528FBCB6" w14:textId="0ABB168C" w:rsidR="009A6B16" w:rsidRPr="009A6B16" w:rsidRDefault="009A6B16" w:rsidP="009A6B16">
            <w:pPr>
              <w:ind w:left="122"/>
              <w:rPr>
                <w:rFonts w:ascii="Times New Roman" w:hAnsi="Times New Roman" w:cs="Times New Roman"/>
                <w:color w:val="000000"/>
              </w:rPr>
            </w:pPr>
            <w:r w:rsidRPr="009A6B16">
              <w:rPr>
                <w:rFonts w:ascii="Times New Roman" w:hAnsi="Times New Roman" w:cs="Times New Roman"/>
                <w:color w:val="000000"/>
              </w:rPr>
              <w:t xml:space="preserve">D0Ja.P/A (0t/ha+ JACINTH.P/A) </w:t>
            </w:r>
          </w:p>
        </w:tc>
        <w:tc>
          <w:tcPr>
            <w:tcW w:w="3027" w:type="dxa"/>
            <w:tcBorders>
              <w:top w:val="nil"/>
              <w:left w:val="nil"/>
              <w:bottom w:val="nil"/>
              <w:right w:val="nil"/>
            </w:tcBorders>
          </w:tcPr>
          <w:p w14:paraId="6F4770E6" w14:textId="77777777" w:rsidR="009A6B16" w:rsidRPr="009A6B16" w:rsidRDefault="009A6B16" w:rsidP="009A6B16">
            <w:pPr>
              <w:ind w:left="519"/>
              <w:rPr>
                <w:rFonts w:ascii="Times New Roman" w:hAnsi="Times New Roman" w:cs="Times New Roman"/>
                <w:color w:val="000000"/>
              </w:rPr>
            </w:pPr>
            <w:r w:rsidRPr="009A6B16">
              <w:rPr>
                <w:rFonts w:ascii="Times New Roman" w:hAnsi="Times New Roman" w:cs="Times New Roman"/>
                <w:color w:val="000000"/>
              </w:rPr>
              <w:t xml:space="preserve">65,66±4,33a </w:t>
            </w:r>
          </w:p>
        </w:tc>
        <w:tc>
          <w:tcPr>
            <w:tcW w:w="1966" w:type="dxa"/>
            <w:tcBorders>
              <w:top w:val="nil"/>
              <w:left w:val="nil"/>
              <w:bottom w:val="nil"/>
              <w:right w:val="nil"/>
            </w:tcBorders>
          </w:tcPr>
          <w:p w14:paraId="22C31F24" w14:textId="77777777" w:rsidR="009A6B16" w:rsidRPr="009A6B16" w:rsidRDefault="009A6B16" w:rsidP="009A6B16">
            <w:pPr>
              <w:ind w:left="60"/>
              <w:rPr>
                <w:rFonts w:ascii="Times New Roman" w:hAnsi="Times New Roman" w:cs="Times New Roman"/>
                <w:color w:val="000000"/>
              </w:rPr>
            </w:pPr>
            <w:r w:rsidRPr="009A6B16">
              <w:rPr>
                <w:rFonts w:ascii="Times New Roman" w:hAnsi="Times New Roman" w:cs="Times New Roman"/>
                <w:color w:val="000000"/>
              </w:rPr>
              <w:t xml:space="preserve">57,66±6,00a </w:t>
            </w:r>
          </w:p>
        </w:tc>
      </w:tr>
      <w:tr w:rsidR="009A6B16" w:rsidRPr="009A6B16" w14:paraId="1F262D5E" w14:textId="77777777" w:rsidTr="004B4C02">
        <w:trPr>
          <w:trHeight w:val="432"/>
          <w:jc w:val="center"/>
        </w:trPr>
        <w:tc>
          <w:tcPr>
            <w:tcW w:w="4472" w:type="dxa"/>
            <w:tcBorders>
              <w:top w:val="nil"/>
              <w:left w:val="nil"/>
              <w:bottom w:val="nil"/>
              <w:right w:val="nil"/>
            </w:tcBorders>
          </w:tcPr>
          <w:p w14:paraId="1F856CC5" w14:textId="465CB121" w:rsidR="009A6B16" w:rsidRPr="009A6B16" w:rsidRDefault="009A6B16" w:rsidP="009A6B16">
            <w:pPr>
              <w:ind w:left="122"/>
              <w:rPr>
                <w:rFonts w:ascii="Times New Roman" w:hAnsi="Times New Roman" w:cs="Times New Roman"/>
                <w:color w:val="000000"/>
              </w:rPr>
            </w:pPr>
            <w:r w:rsidRPr="009A6B16">
              <w:rPr>
                <w:rFonts w:ascii="Times New Roman" w:hAnsi="Times New Roman" w:cs="Times New Roman"/>
                <w:color w:val="000000"/>
              </w:rPr>
              <w:t xml:space="preserve">D0 Ja.P/Im (0t/ha+ JACINTH.P/Im) </w:t>
            </w:r>
          </w:p>
        </w:tc>
        <w:tc>
          <w:tcPr>
            <w:tcW w:w="3027" w:type="dxa"/>
            <w:tcBorders>
              <w:top w:val="nil"/>
              <w:left w:val="nil"/>
              <w:bottom w:val="nil"/>
              <w:right w:val="nil"/>
            </w:tcBorders>
          </w:tcPr>
          <w:p w14:paraId="5CAA8B12" w14:textId="77777777" w:rsidR="009A6B16" w:rsidRPr="009A6B16" w:rsidRDefault="009A6B16" w:rsidP="009A6B16">
            <w:pPr>
              <w:ind w:left="512"/>
              <w:rPr>
                <w:rFonts w:ascii="Times New Roman" w:hAnsi="Times New Roman" w:cs="Times New Roman"/>
                <w:color w:val="000000"/>
              </w:rPr>
            </w:pPr>
            <w:r w:rsidRPr="009A6B16">
              <w:rPr>
                <w:rFonts w:ascii="Times New Roman" w:hAnsi="Times New Roman" w:cs="Times New Roman"/>
                <w:color w:val="000000"/>
              </w:rPr>
              <w:t xml:space="preserve">29,00±2,22b </w:t>
            </w:r>
          </w:p>
        </w:tc>
        <w:tc>
          <w:tcPr>
            <w:tcW w:w="1966" w:type="dxa"/>
            <w:tcBorders>
              <w:top w:val="nil"/>
              <w:left w:val="nil"/>
              <w:bottom w:val="nil"/>
              <w:right w:val="nil"/>
            </w:tcBorders>
          </w:tcPr>
          <w:p w14:paraId="15A612A6" w14:textId="77777777" w:rsidR="009A6B16" w:rsidRPr="009A6B16" w:rsidRDefault="009A6B16" w:rsidP="009A6B16">
            <w:pPr>
              <w:ind w:left="53"/>
              <w:rPr>
                <w:rFonts w:ascii="Times New Roman" w:hAnsi="Times New Roman" w:cs="Times New Roman"/>
                <w:color w:val="000000"/>
              </w:rPr>
            </w:pPr>
            <w:r w:rsidRPr="009A6B16">
              <w:rPr>
                <w:rFonts w:ascii="Times New Roman" w:hAnsi="Times New Roman" w:cs="Times New Roman"/>
                <w:color w:val="000000"/>
              </w:rPr>
              <w:t xml:space="preserve">21,33±3,21b </w:t>
            </w:r>
          </w:p>
        </w:tc>
      </w:tr>
      <w:tr w:rsidR="009A6B16" w:rsidRPr="009A6B16" w14:paraId="241D13BB" w14:textId="77777777" w:rsidTr="004B4C02">
        <w:trPr>
          <w:trHeight w:val="432"/>
          <w:jc w:val="center"/>
        </w:trPr>
        <w:tc>
          <w:tcPr>
            <w:tcW w:w="4472" w:type="dxa"/>
            <w:tcBorders>
              <w:top w:val="nil"/>
              <w:left w:val="nil"/>
              <w:bottom w:val="nil"/>
              <w:right w:val="nil"/>
            </w:tcBorders>
          </w:tcPr>
          <w:p w14:paraId="16A7386E" w14:textId="77777777" w:rsidR="009A6B16" w:rsidRPr="009A6B16" w:rsidRDefault="009A6B16" w:rsidP="009A6B16">
            <w:pPr>
              <w:ind w:left="122"/>
              <w:rPr>
                <w:rFonts w:ascii="Times New Roman" w:hAnsi="Times New Roman" w:cs="Times New Roman"/>
                <w:color w:val="000000"/>
              </w:rPr>
            </w:pPr>
            <w:r w:rsidRPr="009A6B16">
              <w:rPr>
                <w:rFonts w:ascii="Times New Roman" w:hAnsi="Times New Roman" w:cs="Times New Roman"/>
                <w:color w:val="000000"/>
              </w:rPr>
              <w:t xml:space="preserve">D10FU (10t/ha+ FURADAN) </w:t>
            </w:r>
          </w:p>
        </w:tc>
        <w:tc>
          <w:tcPr>
            <w:tcW w:w="3027" w:type="dxa"/>
            <w:tcBorders>
              <w:top w:val="nil"/>
              <w:left w:val="nil"/>
              <w:bottom w:val="nil"/>
              <w:right w:val="nil"/>
            </w:tcBorders>
          </w:tcPr>
          <w:p w14:paraId="282CA02A" w14:textId="77777777" w:rsidR="009A6B16" w:rsidRPr="009A6B16" w:rsidRDefault="009A6B16" w:rsidP="009A6B16">
            <w:pPr>
              <w:ind w:left="459"/>
              <w:rPr>
                <w:rFonts w:ascii="Times New Roman" w:hAnsi="Times New Roman" w:cs="Times New Roman"/>
                <w:color w:val="000000"/>
              </w:rPr>
            </w:pPr>
            <w:r w:rsidRPr="009A6B16">
              <w:rPr>
                <w:rFonts w:ascii="Times New Roman" w:hAnsi="Times New Roman" w:cs="Times New Roman"/>
                <w:color w:val="000000"/>
              </w:rPr>
              <w:t xml:space="preserve">12,00±1,00c </w:t>
            </w:r>
          </w:p>
        </w:tc>
        <w:tc>
          <w:tcPr>
            <w:tcW w:w="1966" w:type="dxa"/>
            <w:tcBorders>
              <w:top w:val="nil"/>
              <w:left w:val="nil"/>
              <w:bottom w:val="nil"/>
              <w:right w:val="nil"/>
            </w:tcBorders>
          </w:tcPr>
          <w:p w14:paraId="53093AAE" w14:textId="77777777" w:rsidR="009A6B16" w:rsidRPr="009A6B16" w:rsidRDefault="009A6B16" w:rsidP="009A6B16">
            <w:pPr>
              <w:rPr>
                <w:rFonts w:ascii="Times New Roman" w:hAnsi="Times New Roman" w:cs="Times New Roman"/>
                <w:color w:val="000000"/>
              </w:rPr>
            </w:pPr>
            <w:r w:rsidRPr="009A6B16">
              <w:rPr>
                <w:rFonts w:ascii="Times New Roman" w:hAnsi="Times New Roman" w:cs="Times New Roman"/>
                <w:color w:val="000000"/>
              </w:rPr>
              <w:t xml:space="preserve">10,00±1,52c </w:t>
            </w:r>
          </w:p>
        </w:tc>
      </w:tr>
      <w:tr w:rsidR="009A6B16" w:rsidRPr="009A6B16" w14:paraId="0C26F528" w14:textId="77777777" w:rsidTr="004B4C02">
        <w:trPr>
          <w:trHeight w:val="432"/>
          <w:jc w:val="center"/>
        </w:trPr>
        <w:tc>
          <w:tcPr>
            <w:tcW w:w="4472" w:type="dxa"/>
            <w:tcBorders>
              <w:top w:val="nil"/>
              <w:left w:val="nil"/>
              <w:bottom w:val="nil"/>
              <w:right w:val="nil"/>
            </w:tcBorders>
          </w:tcPr>
          <w:p w14:paraId="0A8AC3B4" w14:textId="6D0428A2" w:rsidR="009A6B16" w:rsidRPr="009A6B16" w:rsidRDefault="009A6B16" w:rsidP="009A6B16">
            <w:pPr>
              <w:ind w:left="122"/>
              <w:rPr>
                <w:rFonts w:ascii="Times New Roman" w:hAnsi="Times New Roman" w:cs="Times New Roman"/>
                <w:color w:val="000000"/>
              </w:rPr>
            </w:pPr>
            <w:r w:rsidRPr="009A6B16">
              <w:rPr>
                <w:rFonts w:ascii="Times New Roman" w:hAnsi="Times New Roman" w:cs="Times New Roman"/>
                <w:color w:val="000000"/>
              </w:rPr>
              <w:t xml:space="preserve">D10Ja.P/A (10t/ha+ </w:t>
            </w:r>
            <w:r w:rsidR="00645DAE" w:rsidRPr="00645DAE">
              <w:rPr>
                <w:rFonts w:ascii="Times New Roman" w:hAnsi="Times New Roman" w:cs="Times New Roman"/>
                <w:color w:val="000000"/>
              </w:rPr>
              <w:t xml:space="preserve">JACINTH </w:t>
            </w:r>
            <w:r w:rsidRPr="009A6B16">
              <w:rPr>
                <w:rFonts w:ascii="Times New Roman" w:hAnsi="Times New Roman" w:cs="Times New Roman"/>
                <w:color w:val="000000"/>
              </w:rPr>
              <w:t xml:space="preserve">/A) </w:t>
            </w:r>
          </w:p>
        </w:tc>
        <w:tc>
          <w:tcPr>
            <w:tcW w:w="3027" w:type="dxa"/>
            <w:tcBorders>
              <w:top w:val="nil"/>
              <w:left w:val="nil"/>
              <w:bottom w:val="nil"/>
              <w:right w:val="nil"/>
            </w:tcBorders>
          </w:tcPr>
          <w:p w14:paraId="088290E8" w14:textId="77777777" w:rsidR="009A6B16" w:rsidRPr="009A6B16" w:rsidRDefault="009A6B16" w:rsidP="009A6B16">
            <w:pPr>
              <w:ind w:left="459"/>
              <w:rPr>
                <w:rFonts w:ascii="Times New Roman" w:hAnsi="Times New Roman" w:cs="Times New Roman"/>
                <w:color w:val="000000"/>
              </w:rPr>
            </w:pPr>
            <w:r w:rsidRPr="009A6B16">
              <w:rPr>
                <w:rFonts w:ascii="Times New Roman" w:hAnsi="Times New Roman" w:cs="Times New Roman"/>
                <w:color w:val="000000"/>
              </w:rPr>
              <w:t>14,53±3,78bc</w:t>
            </w:r>
            <w:r w:rsidRPr="009A6B16">
              <w:rPr>
                <w:rFonts w:ascii="Calibri" w:hAnsi="Calibri" w:cs="Calibri"/>
                <w:color w:val="000000"/>
              </w:rPr>
              <w:t xml:space="preserve"> </w:t>
            </w:r>
          </w:p>
        </w:tc>
        <w:tc>
          <w:tcPr>
            <w:tcW w:w="1966" w:type="dxa"/>
            <w:tcBorders>
              <w:top w:val="nil"/>
              <w:left w:val="nil"/>
              <w:bottom w:val="nil"/>
              <w:right w:val="nil"/>
            </w:tcBorders>
          </w:tcPr>
          <w:p w14:paraId="13FDD6D2" w14:textId="77777777" w:rsidR="009A6B16" w:rsidRPr="009A6B16" w:rsidRDefault="009A6B16" w:rsidP="009A6B16">
            <w:pPr>
              <w:rPr>
                <w:rFonts w:ascii="Times New Roman" w:hAnsi="Times New Roman" w:cs="Times New Roman"/>
                <w:color w:val="000000"/>
              </w:rPr>
            </w:pPr>
            <w:r w:rsidRPr="009A6B16">
              <w:rPr>
                <w:rFonts w:ascii="Times New Roman" w:hAnsi="Times New Roman" w:cs="Times New Roman"/>
                <w:color w:val="000000"/>
              </w:rPr>
              <w:t xml:space="preserve">17,00±2,88bc </w:t>
            </w:r>
          </w:p>
        </w:tc>
      </w:tr>
      <w:tr w:rsidR="009A6B16" w:rsidRPr="009A6B16" w14:paraId="1E26E3CE" w14:textId="77777777" w:rsidTr="004B4C02">
        <w:trPr>
          <w:trHeight w:val="432"/>
          <w:jc w:val="center"/>
        </w:trPr>
        <w:tc>
          <w:tcPr>
            <w:tcW w:w="4472" w:type="dxa"/>
            <w:tcBorders>
              <w:top w:val="nil"/>
              <w:left w:val="nil"/>
              <w:bottom w:val="nil"/>
              <w:right w:val="nil"/>
            </w:tcBorders>
          </w:tcPr>
          <w:p w14:paraId="4D97C238" w14:textId="5397D366" w:rsidR="009A6B16" w:rsidRPr="009A6B16" w:rsidRDefault="009A6B16" w:rsidP="009A6B16">
            <w:pPr>
              <w:ind w:left="122"/>
              <w:rPr>
                <w:rFonts w:ascii="Times New Roman" w:hAnsi="Times New Roman" w:cs="Times New Roman"/>
                <w:color w:val="000000"/>
              </w:rPr>
            </w:pPr>
            <w:r w:rsidRPr="009A6B16">
              <w:rPr>
                <w:rFonts w:ascii="Times New Roman" w:hAnsi="Times New Roman" w:cs="Times New Roman"/>
                <w:color w:val="000000"/>
              </w:rPr>
              <w:t xml:space="preserve">D10 Ja.P/Im (10t/ha+ JACINTH.P/Im) </w:t>
            </w:r>
          </w:p>
        </w:tc>
        <w:tc>
          <w:tcPr>
            <w:tcW w:w="3027" w:type="dxa"/>
            <w:tcBorders>
              <w:top w:val="nil"/>
              <w:left w:val="nil"/>
              <w:bottom w:val="nil"/>
              <w:right w:val="nil"/>
            </w:tcBorders>
          </w:tcPr>
          <w:p w14:paraId="5202AB25" w14:textId="77777777" w:rsidR="009A6B16" w:rsidRPr="009A6B16" w:rsidRDefault="009A6B16" w:rsidP="009A6B16">
            <w:pPr>
              <w:ind w:left="519"/>
              <w:rPr>
                <w:rFonts w:ascii="Times New Roman" w:hAnsi="Times New Roman" w:cs="Times New Roman"/>
                <w:color w:val="000000"/>
              </w:rPr>
            </w:pPr>
            <w:r w:rsidRPr="009A6B16">
              <w:rPr>
                <w:rFonts w:ascii="Times New Roman" w:hAnsi="Times New Roman" w:cs="Times New Roman"/>
                <w:color w:val="000000"/>
              </w:rPr>
              <w:t xml:space="preserve">12,33±2,18c </w:t>
            </w:r>
          </w:p>
        </w:tc>
        <w:tc>
          <w:tcPr>
            <w:tcW w:w="1966" w:type="dxa"/>
            <w:tcBorders>
              <w:top w:val="nil"/>
              <w:left w:val="nil"/>
              <w:bottom w:val="nil"/>
              <w:right w:val="nil"/>
            </w:tcBorders>
          </w:tcPr>
          <w:p w14:paraId="4B6C8B40" w14:textId="77777777" w:rsidR="009A6B16" w:rsidRPr="009A6B16" w:rsidRDefault="009A6B16" w:rsidP="009A6B16">
            <w:pPr>
              <w:ind w:left="60"/>
              <w:rPr>
                <w:rFonts w:ascii="Times New Roman" w:hAnsi="Times New Roman" w:cs="Times New Roman"/>
                <w:color w:val="000000"/>
              </w:rPr>
            </w:pPr>
            <w:r w:rsidRPr="009A6B16">
              <w:rPr>
                <w:rFonts w:ascii="Times New Roman" w:hAnsi="Times New Roman" w:cs="Times New Roman"/>
                <w:color w:val="000000"/>
              </w:rPr>
              <w:t xml:space="preserve">10,00±2,08c </w:t>
            </w:r>
          </w:p>
        </w:tc>
      </w:tr>
      <w:tr w:rsidR="009A6B16" w:rsidRPr="009A6B16" w14:paraId="600D99F5" w14:textId="77777777" w:rsidTr="004B4C02">
        <w:trPr>
          <w:trHeight w:val="432"/>
          <w:jc w:val="center"/>
        </w:trPr>
        <w:tc>
          <w:tcPr>
            <w:tcW w:w="4472" w:type="dxa"/>
            <w:tcBorders>
              <w:top w:val="nil"/>
              <w:left w:val="nil"/>
              <w:bottom w:val="nil"/>
              <w:right w:val="nil"/>
            </w:tcBorders>
          </w:tcPr>
          <w:p w14:paraId="54FE093C" w14:textId="77777777" w:rsidR="009A6B16" w:rsidRPr="009A6B16" w:rsidRDefault="009A6B16" w:rsidP="009A6B16">
            <w:pPr>
              <w:ind w:left="122"/>
              <w:rPr>
                <w:rFonts w:ascii="Times New Roman" w:hAnsi="Times New Roman" w:cs="Times New Roman"/>
                <w:color w:val="000000"/>
              </w:rPr>
            </w:pPr>
            <w:r w:rsidRPr="009A6B16">
              <w:rPr>
                <w:rFonts w:ascii="Times New Roman" w:hAnsi="Times New Roman" w:cs="Times New Roman"/>
                <w:color w:val="000000"/>
              </w:rPr>
              <w:t xml:space="preserve">D15FU (15t/ha+ FURADAN) </w:t>
            </w:r>
          </w:p>
        </w:tc>
        <w:tc>
          <w:tcPr>
            <w:tcW w:w="3027" w:type="dxa"/>
            <w:tcBorders>
              <w:top w:val="nil"/>
              <w:left w:val="nil"/>
              <w:bottom w:val="nil"/>
              <w:right w:val="nil"/>
            </w:tcBorders>
          </w:tcPr>
          <w:p w14:paraId="30B533DD" w14:textId="77777777" w:rsidR="009A6B16" w:rsidRPr="009A6B16" w:rsidRDefault="009A6B16" w:rsidP="009A6B16">
            <w:pPr>
              <w:ind w:left="572"/>
              <w:rPr>
                <w:rFonts w:ascii="Times New Roman" w:hAnsi="Times New Roman" w:cs="Times New Roman"/>
                <w:color w:val="000000"/>
              </w:rPr>
            </w:pPr>
            <w:r w:rsidRPr="009A6B16">
              <w:rPr>
                <w:rFonts w:ascii="Times New Roman" w:hAnsi="Times New Roman" w:cs="Times New Roman"/>
                <w:color w:val="000000"/>
              </w:rPr>
              <w:t xml:space="preserve">6,14±1,12d </w:t>
            </w:r>
          </w:p>
        </w:tc>
        <w:tc>
          <w:tcPr>
            <w:tcW w:w="1966" w:type="dxa"/>
            <w:tcBorders>
              <w:top w:val="nil"/>
              <w:left w:val="nil"/>
              <w:bottom w:val="nil"/>
              <w:right w:val="nil"/>
            </w:tcBorders>
          </w:tcPr>
          <w:p w14:paraId="329382CC" w14:textId="77777777" w:rsidR="009A6B16" w:rsidRPr="009A6B16" w:rsidRDefault="009A6B16" w:rsidP="009A6B16">
            <w:pPr>
              <w:ind w:left="113"/>
              <w:rPr>
                <w:rFonts w:ascii="Times New Roman" w:hAnsi="Times New Roman" w:cs="Times New Roman"/>
                <w:color w:val="000000"/>
              </w:rPr>
            </w:pPr>
            <w:r w:rsidRPr="009A6B16">
              <w:rPr>
                <w:rFonts w:ascii="Times New Roman" w:hAnsi="Times New Roman" w:cs="Times New Roman"/>
                <w:color w:val="000000"/>
              </w:rPr>
              <w:t>5,16±0,66d</w:t>
            </w:r>
            <w:r w:rsidRPr="009A6B16">
              <w:rPr>
                <w:rFonts w:ascii="Calibri" w:hAnsi="Calibri" w:cs="Calibri"/>
                <w:color w:val="000000"/>
              </w:rPr>
              <w:t xml:space="preserve"> </w:t>
            </w:r>
          </w:p>
        </w:tc>
      </w:tr>
      <w:tr w:rsidR="009A6B16" w:rsidRPr="009A6B16" w14:paraId="6496F40B" w14:textId="77777777" w:rsidTr="004B4C02">
        <w:trPr>
          <w:trHeight w:val="432"/>
          <w:jc w:val="center"/>
        </w:trPr>
        <w:tc>
          <w:tcPr>
            <w:tcW w:w="4472" w:type="dxa"/>
            <w:tcBorders>
              <w:top w:val="nil"/>
              <w:left w:val="nil"/>
              <w:bottom w:val="nil"/>
              <w:right w:val="nil"/>
            </w:tcBorders>
          </w:tcPr>
          <w:p w14:paraId="04D841A5" w14:textId="0295D656" w:rsidR="009A6B16" w:rsidRPr="009A6B16" w:rsidRDefault="009A6B16" w:rsidP="009A6B16">
            <w:pPr>
              <w:ind w:left="122"/>
              <w:rPr>
                <w:rFonts w:ascii="Times New Roman" w:hAnsi="Times New Roman" w:cs="Times New Roman"/>
                <w:color w:val="000000"/>
              </w:rPr>
            </w:pPr>
            <w:r w:rsidRPr="009A6B16">
              <w:rPr>
                <w:rFonts w:ascii="Times New Roman" w:hAnsi="Times New Roman" w:cs="Times New Roman"/>
                <w:color w:val="000000"/>
              </w:rPr>
              <w:t xml:space="preserve">D15Ja.P/A (15t/ha+ JACINTH.P/A) </w:t>
            </w:r>
          </w:p>
        </w:tc>
        <w:tc>
          <w:tcPr>
            <w:tcW w:w="3027" w:type="dxa"/>
            <w:tcBorders>
              <w:top w:val="nil"/>
              <w:left w:val="nil"/>
              <w:bottom w:val="nil"/>
              <w:right w:val="nil"/>
            </w:tcBorders>
          </w:tcPr>
          <w:p w14:paraId="775B1128" w14:textId="77777777" w:rsidR="009A6B16" w:rsidRPr="009A6B16" w:rsidRDefault="009A6B16" w:rsidP="009A6B16">
            <w:pPr>
              <w:ind w:left="519"/>
              <w:rPr>
                <w:rFonts w:ascii="Times New Roman" w:hAnsi="Times New Roman" w:cs="Times New Roman"/>
                <w:color w:val="000000"/>
              </w:rPr>
            </w:pPr>
            <w:r w:rsidRPr="009A6B16">
              <w:rPr>
                <w:rFonts w:ascii="Times New Roman" w:hAnsi="Times New Roman" w:cs="Times New Roman"/>
                <w:color w:val="000000"/>
              </w:rPr>
              <w:t xml:space="preserve">13,21±1,76bc </w:t>
            </w:r>
          </w:p>
        </w:tc>
        <w:tc>
          <w:tcPr>
            <w:tcW w:w="1966" w:type="dxa"/>
            <w:tcBorders>
              <w:top w:val="nil"/>
              <w:left w:val="nil"/>
              <w:bottom w:val="nil"/>
              <w:right w:val="nil"/>
            </w:tcBorders>
          </w:tcPr>
          <w:p w14:paraId="7BAE30E6" w14:textId="77777777" w:rsidR="009A6B16" w:rsidRPr="009A6B16" w:rsidRDefault="009A6B16" w:rsidP="009A6B16">
            <w:pPr>
              <w:ind w:left="60"/>
              <w:rPr>
                <w:rFonts w:ascii="Times New Roman" w:hAnsi="Times New Roman" w:cs="Times New Roman"/>
                <w:color w:val="000000"/>
              </w:rPr>
            </w:pPr>
            <w:r w:rsidRPr="009A6B16">
              <w:rPr>
                <w:rFonts w:ascii="Times New Roman" w:hAnsi="Times New Roman" w:cs="Times New Roman"/>
                <w:color w:val="000000"/>
              </w:rPr>
              <w:t xml:space="preserve">11,00±1,73c </w:t>
            </w:r>
          </w:p>
        </w:tc>
      </w:tr>
      <w:tr w:rsidR="009A6B16" w:rsidRPr="009A6B16" w14:paraId="425CDACD" w14:textId="77777777" w:rsidTr="004B4C02">
        <w:trPr>
          <w:trHeight w:val="439"/>
          <w:jc w:val="center"/>
        </w:trPr>
        <w:tc>
          <w:tcPr>
            <w:tcW w:w="4472" w:type="dxa"/>
            <w:tcBorders>
              <w:top w:val="nil"/>
              <w:left w:val="nil"/>
              <w:bottom w:val="single" w:sz="4" w:space="0" w:color="000000"/>
              <w:right w:val="nil"/>
            </w:tcBorders>
          </w:tcPr>
          <w:p w14:paraId="0E1D3A04" w14:textId="494C5265" w:rsidR="009A6B16" w:rsidRPr="009A6B16" w:rsidRDefault="009A6B16" w:rsidP="009A6B16">
            <w:pPr>
              <w:ind w:left="122"/>
              <w:rPr>
                <w:rFonts w:ascii="Times New Roman" w:hAnsi="Times New Roman" w:cs="Times New Roman"/>
                <w:color w:val="000000"/>
              </w:rPr>
            </w:pPr>
            <w:r w:rsidRPr="009A6B16">
              <w:rPr>
                <w:rFonts w:ascii="Times New Roman" w:hAnsi="Times New Roman" w:cs="Times New Roman"/>
                <w:color w:val="000000"/>
              </w:rPr>
              <w:t xml:space="preserve">D15 Ja.P/Im (15t/ha+ JACINTH.P/Im) </w:t>
            </w:r>
          </w:p>
        </w:tc>
        <w:tc>
          <w:tcPr>
            <w:tcW w:w="3027" w:type="dxa"/>
            <w:tcBorders>
              <w:top w:val="nil"/>
              <w:left w:val="nil"/>
              <w:bottom w:val="single" w:sz="4" w:space="0" w:color="000000"/>
              <w:right w:val="nil"/>
            </w:tcBorders>
          </w:tcPr>
          <w:p w14:paraId="12477423" w14:textId="77777777" w:rsidR="009A6B16" w:rsidRPr="009A6B16" w:rsidRDefault="009A6B16" w:rsidP="009A6B16">
            <w:pPr>
              <w:ind w:left="519"/>
              <w:rPr>
                <w:rFonts w:ascii="Times New Roman" w:hAnsi="Times New Roman" w:cs="Times New Roman"/>
                <w:color w:val="000000"/>
              </w:rPr>
            </w:pPr>
            <w:r w:rsidRPr="009A6B16">
              <w:rPr>
                <w:rFonts w:ascii="Times New Roman" w:hAnsi="Times New Roman" w:cs="Times New Roman"/>
                <w:color w:val="000000"/>
              </w:rPr>
              <w:t xml:space="preserve">11,33±2,60c </w:t>
            </w:r>
          </w:p>
        </w:tc>
        <w:tc>
          <w:tcPr>
            <w:tcW w:w="1966" w:type="dxa"/>
            <w:tcBorders>
              <w:top w:val="nil"/>
              <w:left w:val="nil"/>
              <w:bottom w:val="single" w:sz="4" w:space="0" w:color="000000"/>
              <w:right w:val="nil"/>
            </w:tcBorders>
          </w:tcPr>
          <w:p w14:paraId="5A3F1D88" w14:textId="77777777" w:rsidR="009A6B16" w:rsidRPr="009A6B16" w:rsidRDefault="009A6B16" w:rsidP="009A6B16">
            <w:pPr>
              <w:ind w:left="113"/>
              <w:rPr>
                <w:rFonts w:ascii="Times New Roman" w:hAnsi="Times New Roman" w:cs="Times New Roman"/>
                <w:color w:val="000000"/>
              </w:rPr>
            </w:pPr>
            <w:r w:rsidRPr="009A6B16">
              <w:rPr>
                <w:rFonts w:ascii="Times New Roman" w:hAnsi="Times New Roman" w:cs="Times New Roman"/>
                <w:color w:val="000000"/>
              </w:rPr>
              <w:t xml:space="preserve">5,01±0,88d </w:t>
            </w:r>
          </w:p>
        </w:tc>
      </w:tr>
      <w:tr w:rsidR="009A6B16" w:rsidRPr="009A6B16" w14:paraId="7B88D8F0" w14:textId="77777777" w:rsidTr="004B4C02">
        <w:trPr>
          <w:trHeight w:val="442"/>
          <w:jc w:val="center"/>
        </w:trPr>
        <w:tc>
          <w:tcPr>
            <w:tcW w:w="4472" w:type="dxa"/>
            <w:tcBorders>
              <w:top w:val="single" w:sz="4" w:space="0" w:color="000000"/>
              <w:left w:val="nil"/>
              <w:bottom w:val="single" w:sz="4" w:space="0" w:color="000000"/>
              <w:right w:val="nil"/>
            </w:tcBorders>
          </w:tcPr>
          <w:p w14:paraId="7F42AFA1" w14:textId="77777777" w:rsidR="009A6B16" w:rsidRPr="009A6B16" w:rsidRDefault="009A6B16" w:rsidP="009A6B16">
            <w:pPr>
              <w:ind w:right="45"/>
              <w:jc w:val="center"/>
              <w:rPr>
                <w:rFonts w:ascii="Times New Roman" w:hAnsi="Times New Roman" w:cs="Times New Roman"/>
                <w:color w:val="000000"/>
              </w:rPr>
            </w:pPr>
            <w:r w:rsidRPr="009A6B16">
              <w:rPr>
                <w:rFonts w:ascii="Times New Roman" w:hAnsi="Times New Roman" w:cs="Times New Roman"/>
                <w:color w:val="000000"/>
              </w:rPr>
              <w:t xml:space="preserve">F </w:t>
            </w:r>
          </w:p>
        </w:tc>
        <w:tc>
          <w:tcPr>
            <w:tcW w:w="3027" w:type="dxa"/>
            <w:tcBorders>
              <w:top w:val="single" w:sz="4" w:space="0" w:color="000000"/>
              <w:left w:val="nil"/>
              <w:bottom w:val="single" w:sz="4" w:space="0" w:color="000000"/>
              <w:right w:val="nil"/>
            </w:tcBorders>
          </w:tcPr>
          <w:p w14:paraId="3C58A66E" w14:textId="77777777" w:rsidR="009A6B16" w:rsidRPr="009A6B16" w:rsidRDefault="009A6B16" w:rsidP="009A6B16">
            <w:pPr>
              <w:ind w:left="788"/>
              <w:rPr>
                <w:rFonts w:ascii="Times New Roman" w:hAnsi="Times New Roman" w:cs="Times New Roman"/>
                <w:color w:val="000000"/>
              </w:rPr>
            </w:pPr>
            <w:r w:rsidRPr="009A6B16">
              <w:rPr>
                <w:rFonts w:ascii="Times New Roman" w:hAnsi="Times New Roman" w:cs="Times New Roman"/>
                <w:color w:val="000000"/>
              </w:rPr>
              <w:t xml:space="preserve">15,014 </w:t>
            </w:r>
          </w:p>
        </w:tc>
        <w:tc>
          <w:tcPr>
            <w:tcW w:w="1966" w:type="dxa"/>
            <w:tcBorders>
              <w:top w:val="single" w:sz="4" w:space="0" w:color="000000"/>
              <w:left w:val="nil"/>
              <w:bottom w:val="single" w:sz="4" w:space="0" w:color="000000"/>
              <w:right w:val="nil"/>
            </w:tcBorders>
          </w:tcPr>
          <w:p w14:paraId="2FF59604" w14:textId="77777777" w:rsidR="009A6B16" w:rsidRPr="009A6B16" w:rsidRDefault="009A6B16" w:rsidP="009A6B16">
            <w:pPr>
              <w:ind w:left="329"/>
              <w:rPr>
                <w:rFonts w:ascii="Times New Roman" w:hAnsi="Times New Roman" w:cs="Times New Roman"/>
                <w:color w:val="000000"/>
              </w:rPr>
            </w:pPr>
            <w:r w:rsidRPr="009A6B16">
              <w:rPr>
                <w:rFonts w:ascii="Times New Roman" w:hAnsi="Times New Roman" w:cs="Times New Roman"/>
                <w:color w:val="000000"/>
              </w:rPr>
              <w:t xml:space="preserve">33,619 </w:t>
            </w:r>
          </w:p>
        </w:tc>
      </w:tr>
      <w:tr w:rsidR="009A6B16" w:rsidRPr="009A6B16" w14:paraId="6F2B78E5" w14:textId="77777777" w:rsidTr="004B4C02">
        <w:trPr>
          <w:trHeight w:val="444"/>
          <w:jc w:val="center"/>
        </w:trPr>
        <w:tc>
          <w:tcPr>
            <w:tcW w:w="4472" w:type="dxa"/>
            <w:tcBorders>
              <w:top w:val="single" w:sz="4" w:space="0" w:color="000000"/>
              <w:left w:val="nil"/>
              <w:bottom w:val="single" w:sz="4" w:space="0" w:color="000000"/>
              <w:right w:val="nil"/>
            </w:tcBorders>
          </w:tcPr>
          <w:p w14:paraId="4BF765F3" w14:textId="77777777" w:rsidR="009A6B16" w:rsidRPr="009A6B16" w:rsidRDefault="009A6B16" w:rsidP="009A6B16">
            <w:pPr>
              <w:ind w:right="45"/>
              <w:jc w:val="center"/>
              <w:rPr>
                <w:rFonts w:ascii="Times New Roman" w:hAnsi="Times New Roman" w:cs="Times New Roman"/>
                <w:color w:val="000000"/>
              </w:rPr>
            </w:pPr>
            <w:r w:rsidRPr="009A6B16">
              <w:rPr>
                <w:rFonts w:ascii="Times New Roman" w:hAnsi="Times New Roman" w:cs="Times New Roman"/>
                <w:color w:val="000000"/>
              </w:rPr>
              <w:lastRenderedPageBreak/>
              <w:t xml:space="preserve">P </w:t>
            </w:r>
          </w:p>
        </w:tc>
        <w:tc>
          <w:tcPr>
            <w:tcW w:w="3027" w:type="dxa"/>
            <w:tcBorders>
              <w:top w:val="single" w:sz="4" w:space="0" w:color="000000"/>
              <w:left w:val="nil"/>
              <w:bottom w:val="single" w:sz="4" w:space="0" w:color="000000"/>
              <w:right w:val="nil"/>
            </w:tcBorders>
          </w:tcPr>
          <w:p w14:paraId="6D0EF15E" w14:textId="77777777" w:rsidR="009A6B16" w:rsidRPr="009A6B16" w:rsidRDefault="009A6B16" w:rsidP="009A6B16">
            <w:pPr>
              <w:ind w:left="780"/>
              <w:rPr>
                <w:rFonts w:ascii="Times New Roman" w:hAnsi="Times New Roman" w:cs="Times New Roman"/>
                <w:color w:val="000000"/>
              </w:rPr>
            </w:pPr>
            <w:r w:rsidRPr="009A6B16">
              <w:rPr>
                <w:rFonts w:ascii="Times New Roman" w:hAnsi="Times New Roman" w:cs="Times New Roman"/>
                <w:color w:val="000000"/>
              </w:rPr>
              <w:t xml:space="preserve">&lt;0,001 </w:t>
            </w:r>
          </w:p>
        </w:tc>
        <w:tc>
          <w:tcPr>
            <w:tcW w:w="1966" w:type="dxa"/>
            <w:tcBorders>
              <w:top w:val="single" w:sz="4" w:space="0" w:color="000000"/>
              <w:left w:val="nil"/>
              <w:bottom w:val="single" w:sz="4" w:space="0" w:color="000000"/>
              <w:right w:val="nil"/>
            </w:tcBorders>
          </w:tcPr>
          <w:p w14:paraId="714E9809" w14:textId="77777777" w:rsidR="009A6B16" w:rsidRPr="009A6B16" w:rsidRDefault="009A6B16" w:rsidP="009A6B16">
            <w:pPr>
              <w:ind w:left="322"/>
              <w:rPr>
                <w:rFonts w:ascii="Times New Roman" w:hAnsi="Times New Roman" w:cs="Times New Roman"/>
                <w:color w:val="000000"/>
              </w:rPr>
            </w:pPr>
            <w:r w:rsidRPr="009A6B16">
              <w:rPr>
                <w:rFonts w:ascii="Times New Roman" w:hAnsi="Times New Roman" w:cs="Times New Roman"/>
                <w:color w:val="000000"/>
              </w:rPr>
              <w:t xml:space="preserve">&lt;0,001 </w:t>
            </w:r>
          </w:p>
        </w:tc>
      </w:tr>
    </w:tbl>
    <w:p w14:paraId="143D633D" w14:textId="0B74B20F" w:rsidR="001D31F1" w:rsidRPr="001D31F1" w:rsidRDefault="001D31F1" w:rsidP="001D31F1">
      <w:pPr>
        <w:spacing w:after="3" w:line="357" w:lineRule="auto"/>
        <w:jc w:val="both"/>
        <w:rPr>
          <w:rFonts w:ascii="Times New Roman" w:eastAsia="Times New Roman" w:hAnsi="Times New Roman" w:cs="Times New Roman"/>
          <w:color w:val="000000"/>
          <w:sz w:val="24"/>
          <w:szCs w:val="24"/>
          <w:lang w:val="en-GB" w:eastAsia="fr-FR"/>
        </w:rPr>
      </w:pPr>
      <w:r w:rsidRPr="001D31F1">
        <w:rPr>
          <w:rFonts w:ascii="Times New Roman" w:eastAsia="Times New Roman" w:hAnsi="Times New Roman" w:cs="Times New Roman"/>
          <w:color w:val="000000"/>
          <w:sz w:val="24"/>
          <w:szCs w:val="24"/>
          <w:lang w:val="en-GB" w:eastAsia="fr-FR"/>
        </w:rPr>
        <w:t>Means within the same column followed by the same letters are not significantly different according to the Student–Newman–Keuls (SNK) test at the 5% level.</w:t>
      </w:r>
    </w:p>
    <w:p w14:paraId="1214E9EA" w14:textId="77777777" w:rsidR="001D31F1" w:rsidRPr="001D31F1" w:rsidRDefault="001D31F1" w:rsidP="001D31F1">
      <w:pPr>
        <w:spacing w:after="3" w:line="357" w:lineRule="auto"/>
        <w:jc w:val="both"/>
        <w:rPr>
          <w:rFonts w:ascii="Times New Roman" w:eastAsia="Times New Roman" w:hAnsi="Times New Roman" w:cs="Times New Roman"/>
          <w:color w:val="000000"/>
          <w:sz w:val="24"/>
          <w:szCs w:val="24"/>
          <w:lang w:val="en-GB" w:eastAsia="fr-FR"/>
        </w:rPr>
      </w:pPr>
      <w:r w:rsidRPr="001D31F1">
        <w:rPr>
          <w:rFonts w:ascii="Times New Roman" w:eastAsia="Times New Roman" w:hAnsi="Times New Roman" w:cs="Times New Roman"/>
          <w:color w:val="000000"/>
          <w:sz w:val="24"/>
          <w:szCs w:val="24"/>
          <w:lang w:val="en-GB" w:eastAsia="fr-FR"/>
        </w:rPr>
        <w:t>P/A = Aerial part; P/Im = Submerged part</w:t>
      </w:r>
    </w:p>
    <w:p w14:paraId="3C910699" w14:textId="475E65D0" w:rsidR="009A6B16" w:rsidRPr="001D31F1" w:rsidRDefault="001D31F1" w:rsidP="001D31F1">
      <w:pPr>
        <w:spacing w:after="3" w:line="357" w:lineRule="auto"/>
        <w:jc w:val="both"/>
        <w:rPr>
          <w:rFonts w:ascii="Times New Roman" w:eastAsia="Times New Roman" w:hAnsi="Times New Roman" w:cs="Times New Roman"/>
          <w:color w:val="000000"/>
          <w:sz w:val="24"/>
          <w:szCs w:val="24"/>
          <w:lang w:val="en-GB" w:eastAsia="fr-FR"/>
        </w:rPr>
      </w:pPr>
      <w:r w:rsidRPr="001D31F1">
        <w:rPr>
          <w:rFonts w:ascii="Times New Roman" w:eastAsia="Times New Roman" w:hAnsi="Times New Roman" w:cs="Times New Roman"/>
          <w:color w:val="000000"/>
          <w:sz w:val="24"/>
          <w:szCs w:val="24"/>
          <w:lang w:val="en-GB" w:eastAsia="fr-FR"/>
        </w:rPr>
        <w:t>F = F-value; P = p-value</w:t>
      </w:r>
    </w:p>
    <w:p w14:paraId="18B9704D" w14:textId="303D8F36" w:rsidR="00037CC9" w:rsidRPr="00663955" w:rsidRDefault="00663955" w:rsidP="003607D0">
      <w:pPr>
        <w:pStyle w:val="Titre2"/>
        <w:numPr>
          <w:ilvl w:val="1"/>
          <w:numId w:val="3"/>
        </w:numPr>
        <w:rPr>
          <w:rFonts w:eastAsia="Times New Roman"/>
          <w:lang w:val="en-GB" w:eastAsia="fr-FR"/>
        </w:rPr>
      </w:pPr>
      <w:r w:rsidRPr="00663955">
        <w:rPr>
          <w:rFonts w:eastAsia="Times New Roman"/>
          <w:lang w:val="en-GB" w:eastAsia="fr-FR"/>
        </w:rPr>
        <w:t>Effects of Organic Manure Rate Combined with Furadan- or Water Hyacinth–Based Formulations on the Gall Index of Beetroot Nematodes</w:t>
      </w:r>
    </w:p>
    <w:p w14:paraId="1D15EB0E" w14:textId="77777777" w:rsidR="00037CC9" w:rsidRPr="00663955" w:rsidRDefault="00037CC9" w:rsidP="00037CC9">
      <w:pPr>
        <w:spacing w:after="148"/>
        <w:ind w:left="696"/>
        <w:rPr>
          <w:rFonts w:ascii="Times New Roman" w:eastAsia="Times New Roman" w:hAnsi="Times New Roman" w:cs="Times New Roman"/>
          <w:color w:val="000000"/>
          <w:sz w:val="24"/>
          <w:szCs w:val="24"/>
          <w:lang w:val="en-GB" w:eastAsia="fr-FR"/>
        </w:rPr>
      </w:pPr>
      <w:r w:rsidRPr="00663955">
        <w:rPr>
          <w:rFonts w:ascii="Times New Roman" w:eastAsia="Times New Roman" w:hAnsi="Times New Roman" w:cs="Times New Roman"/>
          <w:color w:val="000000"/>
          <w:sz w:val="24"/>
          <w:szCs w:val="24"/>
          <w:lang w:val="en-GB" w:eastAsia="fr-FR"/>
        </w:rPr>
        <w:t xml:space="preserve"> </w:t>
      </w:r>
    </w:p>
    <w:p w14:paraId="6CE72A96" w14:textId="257D75B2" w:rsidR="00037CC9" w:rsidRPr="00537F56" w:rsidRDefault="00537F56" w:rsidP="00537F56">
      <w:pPr>
        <w:spacing w:after="3" w:line="363" w:lineRule="auto"/>
        <w:ind w:hanging="6"/>
        <w:jc w:val="both"/>
        <w:rPr>
          <w:rFonts w:ascii="Times New Roman" w:eastAsia="Times New Roman" w:hAnsi="Times New Roman" w:cs="Times New Roman"/>
          <w:color w:val="000000"/>
          <w:sz w:val="24"/>
          <w:szCs w:val="24"/>
          <w:lang w:val="en-GB" w:eastAsia="fr-FR"/>
        </w:rPr>
      </w:pPr>
      <w:r w:rsidRPr="00537F56">
        <w:rPr>
          <w:rFonts w:ascii="Times New Roman" w:eastAsia="Times New Roman" w:hAnsi="Times New Roman" w:cs="Times New Roman"/>
          <w:color w:val="000000"/>
          <w:sz w:val="24"/>
          <w:szCs w:val="24"/>
          <w:lang w:val="en-GB" w:eastAsia="fr-FR"/>
        </w:rPr>
        <w:t>The results presented in Figures 3 and 4 show that the combination of aqueous water hyacinth extracts or Furadan with higher rates of organic manure enhanced protection against nematode infestation in beetroot.The lowest gall index (1.93) was recorded with the application of 15 t/ha of organic manure combined with the aqueous extract from the submerged part of water hyacinth. This treatment reduced nematode infestation, as reflected by gall formation, by 69.56% compared with the control treatment receiving Furadan alone</w:t>
      </w:r>
      <w:r w:rsidR="00037CC9" w:rsidRPr="00537F56">
        <w:rPr>
          <w:rFonts w:ascii="Times New Roman" w:eastAsia="Times New Roman" w:hAnsi="Times New Roman" w:cs="Times New Roman"/>
          <w:color w:val="000000"/>
          <w:sz w:val="24"/>
          <w:szCs w:val="24"/>
          <w:lang w:val="en-GB" w:eastAsia="fr-FR"/>
        </w:rPr>
        <w:t xml:space="preserve">. </w:t>
      </w:r>
    </w:p>
    <w:p w14:paraId="7B59A6AA" w14:textId="77777777" w:rsidR="00037CC9" w:rsidRPr="00537F56" w:rsidRDefault="00037CC9" w:rsidP="00037CC9">
      <w:pPr>
        <w:spacing w:after="32"/>
        <w:ind w:left="1128"/>
        <w:rPr>
          <w:rFonts w:ascii="Times New Roman" w:eastAsia="Times New Roman" w:hAnsi="Times New Roman" w:cs="Times New Roman"/>
          <w:b/>
          <w:i/>
          <w:color w:val="000000"/>
          <w:sz w:val="24"/>
          <w:szCs w:val="24"/>
          <w:lang w:val="en-GB" w:eastAsia="fr-FR"/>
        </w:rPr>
      </w:pPr>
      <w:r w:rsidRPr="00537F56">
        <w:rPr>
          <w:rFonts w:ascii="Times New Roman" w:eastAsia="Times New Roman" w:hAnsi="Times New Roman" w:cs="Times New Roman"/>
          <w:b/>
          <w:i/>
          <w:color w:val="000000"/>
          <w:sz w:val="24"/>
          <w:szCs w:val="24"/>
          <w:lang w:val="en-GB" w:eastAsia="fr-FR"/>
        </w:rPr>
        <w:t xml:space="preserve"> </w:t>
      </w:r>
    </w:p>
    <w:p w14:paraId="395BB06F" w14:textId="77777777" w:rsidR="00037CC9" w:rsidRPr="00037CC9" w:rsidRDefault="00037CC9" w:rsidP="00037CC9">
      <w:pPr>
        <w:keepNext/>
        <w:spacing w:after="169" w:line="248" w:lineRule="auto"/>
        <w:ind w:hanging="10"/>
        <w:rPr>
          <w:rFonts w:ascii="Calibri" w:eastAsia="Calibri" w:hAnsi="Calibri" w:cs="Times New Roman"/>
          <w:kern w:val="0"/>
          <w14:ligatures w14:val="none"/>
        </w:rPr>
      </w:pPr>
      <w:r w:rsidRPr="00037CC9">
        <w:rPr>
          <w:rFonts w:ascii="Calibri" w:eastAsia="Calibri" w:hAnsi="Calibri" w:cs="Times New Roman"/>
          <w:noProof/>
        </w:rPr>
        <w:drawing>
          <wp:inline distT="0" distB="0" distL="0" distR="0" wp14:anchorId="5DB42939" wp14:editId="639E5DA0">
            <wp:extent cx="5598544" cy="3269160"/>
            <wp:effectExtent l="0" t="0" r="2540" b="7620"/>
            <wp:docPr id="1550050529" name="Graphique 1">
              <a:extLst xmlns:a="http://schemas.openxmlformats.org/drawingml/2006/main">
                <a:ext uri="{FF2B5EF4-FFF2-40B4-BE49-F238E27FC236}">
                  <a16:creationId xmlns:a16="http://schemas.microsoft.com/office/drawing/2014/main" id="{EE256F40-181D-9299-A2CA-95106D4AEE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0044BA" w14:textId="648D4345" w:rsidR="007545B1" w:rsidRPr="00FA1B5C" w:rsidRDefault="00FA1B5C" w:rsidP="00037CC9">
      <w:pPr>
        <w:rPr>
          <w:rFonts w:ascii="Times New Roman" w:eastAsia="Calibri" w:hAnsi="Times New Roman" w:cs="Times New Roman"/>
          <w:i/>
          <w:iCs/>
          <w:color w:val="000000"/>
          <w:kern w:val="0"/>
          <w:lang w:val="en-GB"/>
          <w14:ligatures w14:val="none"/>
        </w:rPr>
      </w:pPr>
      <w:r w:rsidRPr="00FA1B5C">
        <w:rPr>
          <w:rFonts w:ascii="Times New Roman" w:eastAsia="Calibri" w:hAnsi="Times New Roman" w:cs="Times New Roman"/>
          <w:i/>
          <w:iCs/>
          <w:color w:val="000000"/>
          <w:kern w:val="0"/>
          <w:lang w:val="en-GB"/>
          <w14:ligatures w14:val="none"/>
        </w:rPr>
        <w:t>Figure 3: Changes in the gall index of beetroot nematodes according to the different manure rates and formulations applied</w:t>
      </w:r>
    </w:p>
    <w:p w14:paraId="151D63C2" w14:textId="77777777" w:rsidR="007545B1" w:rsidRPr="00FA1B5C" w:rsidRDefault="007545B1" w:rsidP="007545B1">
      <w:pPr>
        <w:spacing w:after="168" w:line="248" w:lineRule="auto"/>
        <w:ind w:left="709" w:right="763" w:hanging="6"/>
        <w:jc w:val="both"/>
        <w:rPr>
          <w:rFonts w:ascii="Times New Roman" w:eastAsia="Times New Roman" w:hAnsi="Times New Roman"/>
          <w:color w:val="000000"/>
          <w:sz w:val="24"/>
          <w:szCs w:val="24"/>
          <w:lang w:val="en-GB" w:eastAsia="fr-FR"/>
        </w:rPr>
      </w:pPr>
      <w:r>
        <w:rPr>
          <w:rFonts w:ascii="Times New Roman" w:eastAsia="Times New Roman" w:hAnsi="Times New Roman"/>
          <w:noProof/>
          <w:color w:val="000000"/>
          <w:sz w:val="24"/>
          <w:szCs w:val="24"/>
          <w:lang w:eastAsia="fr-FR"/>
        </w:rPr>
        <mc:AlternateContent>
          <mc:Choice Requires="wps">
            <w:drawing>
              <wp:anchor distT="0" distB="0" distL="114300" distR="114300" simplePos="0" relativeHeight="251668480" behindDoc="0" locked="0" layoutInCell="1" allowOverlap="1" wp14:anchorId="73781F50" wp14:editId="62562D62">
                <wp:simplePos x="0" y="0"/>
                <wp:positionH relativeFrom="column">
                  <wp:posOffset>1783020</wp:posOffset>
                </wp:positionH>
                <wp:positionV relativeFrom="paragraph">
                  <wp:posOffset>127562</wp:posOffset>
                </wp:positionV>
                <wp:extent cx="396815" cy="353683"/>
                <wp:effectExtent l="0" t="0" r="22860" b="27940"/>
                <wp:wrapNone/>
                <wp:docPr id="965164505" name="Zone de texte 36"/>
                <wp:cNvGraphicFramePr/>
                <a:graphic xmlns:a="http://schemas.openxmlformats.org/drawingml/2006/main">
                  <a:graphicData uri="http://schemas.microsoft.com/office/word/2010/wordprocessingShape">
                    <wps:wsp>
                      <wps:cNvSpPr txBox="1"/>
                      <wps:spPr>
                        <a:xfrm>
                          <a:off x="0" y="0"/>
                          <a:ext cx="396815" cy="353683"/>
                        </a:xfrm>
                        <a:prstGeom prst="rect">
                          <a:avLst/>
                        </a:prstGeom>
                        <a:solidFill>
                          <a:schemeClr val="lt1"/>
                        </a:solidFill>
                        <a:ln w="6350">
                          <a:solidFill>
                            <a:prstClr val="black"/>
                          </a:solidFill>
                        </a:ln>
                      </wps:spPr>
                      <wps:txbx>
                        <w:txbxContent>
                          <w:p w14:paraId="1ADAEA19" w14:textId="77777777" w:rsidR="007545B1" w:rsidRPr="006C0CEA" w:rsidRDefault="007545B1" w:rsidP="007545B1">
                            <w:pPr>
                              <w:rPr>
                                <w:rFonts w:ascii="Times New Roman" w:hAnsi="Times New Roman"/>
                                <w:b/>
                                <w:bCs/>
                                <w:sz w:val="32"/>
                                <w:szCs w:val="32"/>
                              </w:rPr>
                            </w:pPr>
                            <w:r>
                              <w:rPr>
                                <w:rFonts w:ascii="Times New Roman" w:hAnsi="Times New Roman"/>
                                <w:b/>
                                <w:bCs/>
                                <w:sz w:val="32"/>
                                <w:szCs w:val="32"/>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81F50" id="Zone de texte 36" o:spid="_x0000_s1031" type="#_x0000_t202" style="position:absolute;left:0;text-align:left;margin-left:140.4pt;margin-top:10.05pt;width:31.25pt;height:27.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" fillcolor="white [3201]" strokeweight=".5pt">
                <v:textbox>
                  <w:txbxContent>
                    <w:p w14:paraId="1ADAEA19" w14:textId="77777777" w:rsidR="007545B1" w:rsidRPr="006C0CEA" w:rsidRDefault="007545B1" w:rsidP="007545B1">
                      <w:pPr>
                        <w:rPr>
                          <w:rFonts w:ascii="Times New Roman" w:hAnsi="Times New Roman"/>
                          <w:b/>
                          <w:bCs/>
                          <w:sz w:val="32"/>
                          <w:szCs w:val="32"/>
                        </w:rPr>
                      </w:pPr>
                      <w:r>
                        <w:rPr>
                          <w:rFonts w:ascii="Times New Roman" w:hAnsi="Times New Roman"/>
                          <w:b/>
                          <w:bCs/>
                          <w:sz w:val="32"/>
                          <w:szCs w:val="32"/>
                        </w:rPr>
                        <w:t>C</w:t>
                      </w:r>
                    </w:p>
                  </w:txbxContent>
                </v:textbox>
              </v:shape>
            </w:pict>
          </mc:Fallback>
        </mc:AlternateContent>
      </w:r>
      <w:r>
        <w:rPr>
          <w:rFonts w:ascii="Times New Roman" w:eastAsia="Times New Roman" w:hAnsi="Times New Roman"/>
          <w:noProof/>
          <w:color w:val="000000"/>
          <w:sz w:val="24"/>
          <w:szCs w:val="24"/>
          <w:lang w:eastAsia="fr-FR"/>
        </w:rPr>
        <mc:AlternateContent>
          <mc:Choice Requires="wps">
            <w:drawing>
              <wp:anchor distT="0" distB="0" distL="114300" distR="114300" simplePos="0" relativeHeight="251667456" behindDoc="0" locked="0" layoutInCell="1" allowOverlap="1" wp14:anchorId="1F17E30B" wp14:editId="726DD9AF">
                <wp:simplePos x="0" y="0"/>
                <wp:positionH relativeFrom="margin">
                  <wp:posOffset>230265</wp:posOffset>
                </wp:positionH>
                <wp:positionV relativeFrom="paragraph">
                  <wp:posOffset>15420</wp:posOffset>
                </wp:positionV>
                <wp:extent cx="5546330" cy="4044626"/>
                <wp:effectExtent l="0" t="0" r="16510" b="13335"/>
                <wp:wrapNone/>
                <wp:docPr id="1069815851" name="Zone de texte 35"/>
                <wp:cNvGraphicFramePr/>
                <a:graphic xmlns:a="http://schemas.openxmlformats.org/drawingml/2006/main">
                  <a:graphicData uri="http://schemas.microsoft.com/office/word/2010/wordprocessingShape">
                    <wps:wsp>
                      <wps:cNvSpPr txBox="1"/>
                      <wps:spPr>
                        <a:xfrm>
                          <a:off x="0" y="0"/>
                          <a:ext cx="5546330" cy="4044626"/>
                        </a:xfrm>
                        <a:prstGeom prst="rect">
                          <a:avLst/>
                        </a:prstGeom>
                        <a:solidFill>
                          <a:schemeClr val="lt1"/>
                        </a:solidFill>
                        <a:ln w="6350">
                          <a:solidFill>
                            <a:prstClr val="black"/>
                          </a:solidFill>
                        </a:ln>
                      </wps:spPr>
                      <wps:txbx>
                        <w:txbxContent>
                          <w:p w14:paraId="2DD90A89" w14:textId="77777777" w:rsidR="007545B1" w:rsidRDefault="007545B1" w:rsidP="007545B1">
                            <w:pPr>
                              <w:jc w:val="center"/>
                            </w:pPr>
                            <w:r>
                              <w:rPr>
                                <w:noProof/>
                              </w:rPr>
                              <w:drawing>
                                <wp:inline distT="0" distB="0" distL="0" distR="0" wp14:anchorId="179001BC" wp14:editId="0A9F362F">
                                  <wp:extent cx="1961928" cy="2908773"/>
                                  <wp:effectExtent l="2858" t="0" r="3492" b="3493"/>
                                  <wp:docPr id="476795628"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1992070" cy="295346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7E30B" id="Zone de texte 35" o:spid="_x0000_s1032" type="#_x0000_t202" style="position:absolute;left:0;text-align:left;margin-left:18.15pt;margin-top:1.2pt;width:436.7pt;height:318.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" fillcolor="white [3201]" strokeweight=".5pt">
                <v:textbox>
                  <w:txbxContent>
                    <w:p w14:paraId="2DD90A89" w14:textId="77777777" w:rsidR="007545B1" w:rsidRDefault="007545B1" w:rsidP="007545B1">
                      <w:pPr>
                        <w:jc w:val="center"/>
                      </w:pPr>
                      <w:r>
                        <w:rPr>
                          <w:noProof/>
                        </w:rPr>
                        <w:drawing>
                          <wp:inline distT="0" distB="0" distL="0" distR="0" wp14:anchorId="179001BC" wp14:editId="0A9F362F">
                            <wp:extent cx="1961928" cy="2908773"/>
                            <wp:effectExtent l="2858" t="0" r="3492" b="3493"/>
                            <wp:docPr id="476795628"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1992070" cy="2953462"/>
                                    </a:xfrm>
                                    <a:prstGeom prst="rect">
                                      <a:avLst/>
                                    </a:prstGeom>
                                    <a:noFill/>
                                    <a:ln>
                                      <a:noFill/>
                                    </a:ln>
                                  </pic:spPr>
                                </pic:pic>
                              </a:graphicData>
                            </a:graphic>
                          </wp:inline>
                        </w:drawing>
                      </w:r>
                    </w:p>
                  </w:txbxContent>
                </v:textbox>
                <w10:wrap anchorx="margin"/>
              </v:shape>
            </w:pict>
          </mc:Fallback>
        </mc:AlternateContent>
      </w:r>
    </w:p>
    <w:p w14:paraId="2388BB62" w14:textId="77777777" w:rsidR="007545B1" w:rsidRPr="00FA1B5C" w:rsidRDefault="007545B1" w:rsidP="007545B1">
      <w:pPr>
        <w:spacing w:after="168" w:line="248" w:lineRule="auto"/>
        <w:ind w:left="709" w:right="763" w:hanging="6"/>
        <w:jc w:val="both"/>
        <w:rPr>
          <w:rFonts w:ascii="Times New Roman" w:eastAsia="Times New Roman" w:hAnsi="Times New Roman"/>
          <w:color w:val="000000"/>
          <w:sz w:val="24"/>
          <w:szCs w:val="24"/>
          <w:lang w:val="en-GB" w:eastAsia="fr-FR"/>
        </w:rPr>
      </w:pPr>
    </w:p>
    <w:p w14:paraId="4F895107" w14:textId="77777777" w:rsidR="007545B1" w:rsidRPr="00FA1B5C" w:rsidRDefault="007545B1" w:rsidP="007545B1">
      <w:pPr>
        <w:spacing w:after="168" w:line="248" w:lineRule="auto"/>
        <w:ind w:left="709" w:right="763" w:hanging="6"/>
        <w:jc w:val="both"/>
        <w:rPr>
          <w:rFonts w:ascii="Times New Roman" w:eastAsia="Times New Roman" w:hAnsi="Times New Roman"/>
          <w:color w:val="000000"/>
          <w:sz w:val="24"/>
          <w:szCs w:val="24"/>
          <w:lang w:val="en-GB" w:eastAsia="fr-FR"/>
        </w:rPr>
      </w:pPr>
    </w:p>
    <w:p w14:paraId="61F65CBF" w14:textId="77777777" w:rsidR="007545B1" w:rsidRPr="00FA1B5C" w:rsidRDefault="007545B1" w:rsidP="007545B1">
      <w:pPr>
        <w:spacing w:after="168" w:line="248" w:lineRule="auto"/>
        <w:ind w:left="709" w:right="763" w:hanging="6"/>
        <w:jc w:val="both"/>
        <w:rPr>
          <w:rFonts w:ascii="Times New Roman" w:eastAsia="Times New Roman" w:hAnsi="Times New Roman"/>
          <w:color w:val="000000"/>
          <w:sz w:val="24"/>
          <w:szCs w:val="24"/>
          <w:lang w:val="en-GB" w:eastAsia="fr-FR"/>
        </w:rPr>
      </w:pPr>
    </w:p>
    <w:p w14:paraId="4350F81C" w14:textId="77777777" w:rsidR="007545B1" w:rsidRPr="00FA1B5C" w:rsidRDefault="007545B1" w:rsidP="007545B1">
      <w:pPr>
        <w:spacing w:after="168" w:line="248" w:lineRule="auto"/>
        <w:ind w:left="709" w:right="763" w:hanging="6"/>
        <w:jc w:val="both"/>
        <w:rPr>
          <w:rFonts w:ascii="Times New Roman" w:eastAsia="Times New Roman" w:hAnsi="Times New Roman"/>
          <w:color w:val="000000"/>
          <w:sz w:val="24"/>
          <w:szCs w:val="24"/>
          <w:lang w:val="en-GB" w:eastAsia="fr-FR"/>
        </w:rPr>
      </w:pPr>
    </w:p>
    <w:p w14:paraId="144B1328" w14:textId="77777777" w:rsidR="007545B1" w:rsidRPr="00FA1B5C" w:rsidRDefault="007545B1" w:rsidP="007545B1">
      <w:pPr>
        <w:spacing w:after="168" w:line="248" w:lineRule="auto"/>
        <w:ind w:left="709" w:right="763" w:hanging="6"/>
        <w:jc w:val="both"/>
        <w:rPr>
          <w:rFonts w:ascii="Times New Roman" w:eastAsia="Times New Roman" w:hAnsi="Times New Roman"/>
          <w:color w:val="000000"/>
          <w:sz w:val="24"/>
          <w:szCs w:val="24"/>
          <w:lang w:val="en-GB" w:eastAsia="fr-FR"/>
        </w:rPr>
      </w:pPr>
    </w:p>
    <w:p w14:paraId="1F2A95DD" w14:textId="77777777" w:rsidR="007545B1" w:rsidRPr="00FA1B5C" w:rsidRDefault="007545B1" w:rsidP="007545B1">
      <w:pPr>
        <w:spacing w:after="168" w:line="248" w:lineRule="auto"/>
        <w:ind w:left="709" w:right="763" w:hanging="6"/>
        <w:jc w:val="both"/>
        <w:rPr>
          <w:rFonts w:ascii="Times New Roman" w:eastAsia="Times New Roman" w:hAnsi="Times New Roman"/>
          <w:color w:val="000000"/>
          <w:sz w:val="24"/>
          <w:szCs w:val="24"/>
          <w:lang w:val="en-GB" w:eastAsia="fr-FR"/>
        </w:rPr>
      </w:pPr>
      <w:r>
        <w:rPr>
          <w:rFonts w:ascii="Times New Roman" w:eastAsia="Times New Roman" w:hAnsi="Times New Roman"/>
          <w:noProof/>
          <w:color w:val="000000"/>
          <w:sz w:val="24"/>
          <w:szCs w:val="24"/>
          <w:lang w:eastAsia="fr-FR"/>
        </w:rPr>
        <mc:AlternateContent>
          <mc:Choice Requires="wps">
            <w:drawing>
              <wp:anchor distT="0" distB="0" distL="114300" distR="114300" simplePos="0" relativeHeight="251670528" behindDoc="0" locked="0" layoutInCell="1" allowOverlap="1" wp14:anchorId="7B4513B8" wp14:editId="24127182">
                <wp:simplePos x="0" y="0"/>
                <wp:positionH relativeFrom="margin">
                  <wp:posOffset>3215005</wp:posOffset>
                </wp:positionH>
                <wp:positionV relativeFrom="paragraph">
                  <wp:posOffset>65896</wp:posOffset>
                </wp:positionV>
                <wp:extent cx="2562045" cy="2267957"/>
                <wp:effectExtent l="0" t="0" r="10160" b="18415"/>
                <wp:wrapNone/>
                <wp:docPr id="2126197825" name="Zone de texte 47"/>
                <wp:cNvGraphicFramePr/>
                <a:graphic xmlns:a="http://schemas.openxmlformats.org/drawingml/2006/main">
                  <a:graphicData uri="http://schemas.microsoft.com/office/word/2010/wordprocessingShape">
                    <wps:wsp>
                      <wps:cNvSpPr txBox="1"/>
                      <wps:spPr>
                        <a:xfrm>
                          <a:off x="0" y="0"/>
                          <a:ext cx="2562045" cy="2267957"/>
                        </a:xfrm>
                        <a:prstGeom prst="rect">
                          <a:avLst/>
                        </a:prstGeom>
                        <a:solidFill>
                          <a:schemeClr val="lt1"/>
                        </a:solidFill>
                        <a:ln w="6350">
                          <a:solidFill>
                            <a:prstClr val="black"/>
                          </a:solidFill>
                        </a:ln>
                      </wps:spPr>
                      <wps:txbx>
                        <w:txbxContent>
                          <w:p w14:paraId="18EE54FC" w14:textId="77777777" w:rsidR="007545B1" w:rsidRDefault="007545B1" w:rsidP="007545B1">
                            <w:r>
                              <w:rPr>
                                <w:noProof/>
                              </w:rPr>
                              <w:drawing>
                                <wp:inline distT="0" distB="0" distL="0" distR="0" wp14:anchorId="2FBA89A0" wp14:editId="223E8DE0">
                                  <wp:extent cx="2061713" cy="2405080"/>
                                  <wp:effectExtent l="0" t="0" r="0" b="0"/>
                                  <wp:docPr id="11253293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61929" name=""/>
                                          <pic:cNvPicPr/>
                                        </pic:nvPicPr>
                                        <pic:blipFill>
                                          <a:blip r:embed="rId12"/>
                                          <a:stretch>
                                            <a:fillRect/>
                                          </a:stretch>
                                        </pic:blipFill>
                                        <pic:spPr>
                                          <a:xfrm>
                                            <a:off x="0" y="0"/>
                                            <a:ext cx="2072810" cy="24180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513B8" id="Zone de texte 47" o:spid="_x0000_s1033" type="#_x0000_t202" style="position:absolute;left:0;text-align:left;margin-left:253.15pt;margin-top:5.2pt;width:201.75pt;height:178.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" fillcolor="white [3201]" strokeweight=".5pt">
                <v:textbox>
                  <w:txbxContent>
                    <w:p w14:paraId="18EE54FC" w14:textId="77777777" w:rsidR="007545B1" w:rsidRDefault="007545B1" w:rsidP="007545B1">
                      <w:r>
                        <w:rPr>
                          <w:noProof/>
                        </w:rPr>
                        <w:drawing>
                          <wp:inline distT="0" distB="0" distL="0" distR="0" wp14:anchorId="2FBA89A0" wp14:editId="223E8DE0">
                            <wp:extent cx="2061713" cy="2405080"/>
                            <wp:effectExtent l="0" t="0" r="0" b="0"/>
                            <wp:docPr id="11253293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61929" name=""/>
                                    <pic:cNvPicPr/>
                                  </pic:nvPicPr>
                                  <pic:blipFill>
                                    <a:blip r:embed="rId12"/>
                                    <a:stretch>
                                      <a:fillRect/>
                                    </a:stretch>
                                  </pic:blipFill>
                                  <pic:spPr>
                                    <a:xfrm>
                                      <a:off x="0" y="0"/>
                                      <a:ext cx="2072810" cy="2418025"/>
                                    </a:xfrm>
                                    <a:prstGeom prst="rect">
                                      <a:avLst/>
                                    </a:prstGeom>
                                  </pic:spPr>
                                </pic:pic>
                              </a:graphicData>
                            </a:graphic>
                          </wp:inline>
                        </w:drawing>
                      </w:r>
                    </w:p>
                  </w:txbxContent>
                </v:textbox>
                <w10:wrap anchorx="margin"/>
              </v:shape>
            </w:pict>
          </mc:Fallback>
        </mc:AlternateContent>
      </w:r>
      <w:r>
        <w:rPr>
          <w:rFonts w:ascii="Times New Roman" w:eastAsia="Times New Roman" w:hAnsi="Times New Roman"/>
          <w:noProof/>
          <w:color w:val="000000"/>
          <w:sz w:val="24"/>
          <w:szCs w:val="24"/>
          <w:lang w:eastAsia="fr-FR"/>
        </w:rPr>
        <mc:AlternateContent>
          <mc:Choice Requires="wps">
            <w:drawing>
              <wp:anchor distT="0" distB="0" distL="114300" distR="114300" simplePos="0" relativeHeight="251669504" behindDoc="0" locked="0" layoutInCell="1" allowOverlap="1" wp14:anchorId="72993ED9" wp14:editId="7C0CF4A1">
                <wp:simplePos x="0" y="0"/>
                <wp:positionH relativeFrom="column">
                  <wp:posOffset>264771</wp:posOffset>
                </wp:positionH>
                <wp:positionV relativeFrom="paragraph">
                  <wp:posOffset>57270</wp:posOffset>
                </wp:positionV>
                <wp:extent cx="2941608" cy="2260121"/>
                <wp:effectExtent l="0" t="0" r="11430" b="26035"/>
                <wp:wrapNone/>
                <wp:docPr id="1721601959" name="Zone de texte 46"/>
                <wp:cNvGraphicFramePr/>
                <a:graphic xmlns:a="http://schemas.openxmlformats.org/drawingml/2006/main">
                  <a:graphicData uri="http://schemas.microsoft.com/office/word/2010/wordprocessingShape">
                    <wps:wsp>
                      <wps:cNvSpPr txBox="1"/>
                      <wps:spPr>
                        <a:xfrm>
                          <a:off x="0" y="0"/>
                          <a:ext cx="2941608" cy="2260121"/>
                        </a:xfrm>
                        <a:prstGeom prst="rect">
                          <a:avLst/>
                        </a:prstGeom>
                        <a:solidFill>
                          <a:schemeClr val="lt1"/>
                        </a:solidFill>
                        <a:ln w="6350">
                          <a:solidFill>
                            <a:prstClr val="black"/>
                          </a:solidFill>
                        </a:ln>
                      </wps:spPr>
                      <wps:txbx>
                        <w:txbxContent>
                          <w:p w14:paraId="54D5A08B" w14:textId="77777777" w:rsidR="007545B1" w:rsidRDefault="007545B1" w:rsidP="007545B1">
                            <w:r>
                              <w:rPr>
                                <w:noProof/>
                              </w:rPr>
                              <w:drawing>
                                <wp:inline distT="0" distB="0" distL="0" distR="0" wp14:anchorId="285DD26B" wp14:editId="325E0EBD">
                                  <wp:extent cx="2583613" cy="2303253"/>
                                  <wp:effectExtent l="0" t="0" r="7620" b="1905"/>
                                  <wp:docPr id="5228034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801298" name=""/>
                                          <pic:cNvPicPr/>
                                        </pic:nvPicPr>
                                        <pic:blipFill>
                                          <a:blip r:embed="rId13"/>
                                          <a:stretch>
                                            <a:fillRect/>
                                          </a:stretch>
                                        </pic:blipFill>
                                        <pic:spPr>
                                          <a:xfrm>
                                            <a:off x="0" y="0"/>
                                            <a:ext cx="2594466" cy="23129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93ED9" id="Zone de texte 46" o:spid="_x0000_s1034" type="#_x0000_t202" style="position:absolute;left:0;text-align:left;margin-left:20.85pt;margin-top:4.5pt;width:231.6pt;height:17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" fillcolor="white [3201]" strokeweight=".5pt">
                <v:textbox>
                  <w:txbxContent>
                    <w:p w14:paraId="54D5A08B" w14:textId="77777777" w:rsidR="007545B1" w:rsidRDefault="007545B1" w:rsidP="007545B1">
                      <w:r>
                        <w:rPr>
                          <w:noProof/>
                        </w:rPr>
                        <w:drawing>
                          <wp:inline distT="0" distB="0" distL="0" distR="0" wp14:anchorId="285DD26B" wp14:editId="325E0EBD">
                            <wp:extent cx="2583613" cy="2303253"/>
                            <wp:effectExtent l="0" t="0" r="7620" b="1905"/>
                            <wp:docPr id="5228034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801298" name=""/>
                                    <pic:cNvPicPr/>
                                  </pic:nvPicPr>
                                  <pic:blipFill>
                                    <a:blip r:embed="rId13"/>
                                    <a:stretch>
                                      <a:fillRect/>
                                    </a:stretch>
                                  </pic:blipFill>
                                  <pic:spPr>
                                    <a:xfrm>
                                      <a:off x="0" y="0"/>
                                      <a:ext cx="2594466" cy="2312928"/>
                                    </a:xfrm>
                                    <a:prstGeom prst="rect">
                                      <a:avLst/>
                                    </a:prstGeom>
                                  </pic:spPr>
                                </pic:pic>
                              </a:graphicData>
                            </a:graphic>
                          </wp:inline>
                        </w:drawing>
                      </w:r>
                    </w:p>
                  </w:txbxContent>
                </v:textbox>
              </v:shape>
            </w:pict>
          </mc:Fallback>
        </mc:AlternateContent>
      </w:r>
    </w:p>
    <w:p w14:paraId="3FC3F8D5" w14:textId="77777777" w:rsidR="007545B1" w:rsidRPr="00FA1B5C" w:rsidRDefault="007545B1" w:rsidP="007545B1">
      <w:pPr>
        <w:spacing w:after="168" w:line="248" w:lineRule="auto"/>
        <w:ind w:left="709" w:right="763" w:hanging="6"/>
        <w:jc w:val="both"/>
        <w:rPr>
          <w:rFonts w:ascii="Times New Roman" w:eastAsia="Times New Roman" w:hAnsi="Times New Roman"/>
          <w:color w:val="000000"/>
          <w:sz w:val="24"/>
          <w:szCs w:val="24"/>
          <w:lang w:val="en-GB" w:eastAsia="fr-FR"/>
        </w:rPr>
      </w:pPr>
    </w:p>
    <w:p w14:paraId="5C2DCA09" w14:textId="77777777" w:rsidR="007545B1" w:rsidRPr="00FA1B5C" w:rsidRDefault="007545B1" w:rsidP="007545B1">
      <w:pPr>
        <w:spacing w:after="168" w:line="248" w:lineRule="auto"/>
        <w:ind w:left="709" w:right="763" w:hanging="6"/>
        <w:jc w:val="both"/>
        <w:rPr>
          <w:rFonts w:ascii="Times New Roman" w:eastAsia="Times New Roman" w:hAnsi="Times New Roman"/>
          <w:color w:val="000000"/>
          <w:sz w:val="24"/>
          <w:szCs w:val="24"/>
          <w:lang w:val="en-GB" w:eastAsia="fr-FR"/>
        </w:rPr>
      </w:pPr>
    </w:p>
    <w:p w14:paraId="63ACA01F" w14:textId="77777777" w:rsidR="007545B1" w:rsidRPr="00FA1B5C" w:rsidRDefault="007545B1" w:rsidP="007545B1">
      <w:pPr>
        <w:spacing w:after="168" w:line="248" w:lineRule="auto"/>
        <w:ind w:left="709" w:right="763" w:hanging="6"/>
        <w:jc w:val="both"/>
        <w:rPr>
          <w:rFonts w:ascii="Times New Roman" w:eastAsia="Times New Roman" w:hAnsi="Times New Roman"/>
          <w:color w:val="000000"/>
          <w:sz w:val="24"/>
          <w:szCs w:val="24"/>
          <w:lang w:val="en-GB" w:eastAsia="fr-FR"/>
        </w:rPr>
      </w:pPr>
    </w:p>
    <w:p w14:paraId="7087B1D5" w14:textId="77777777" w:rsidR="007545B1" w:rsidRPr="00FA1B5C" w:rsidRDefault="007545B1" w:rsidP="007545B1">
      <w:pPr>
        <w:keepNext/>
        <w:spacing w:after="3" w:line="357" w:lineRule="auto"/>
        <w:ind w:hanging="6"/>
        <w:jc w:val="both"/>
        <w:rPr>
          <w:lang w:val="en-GB"/>
        </w:rPr>
      </w:pPr>
      <w:r w:rsidRPr="00B93830">
        <w:rPr>
          <w:rFonts w:ascii="Times New Roman" w:eastAsia="Times New Roman" w:hAnsi="Times New Roman"/>
          <w:b/>
          <w:noProof/>
          <w:sz w:val="24"/>
          <w:szCs w:val="24"/>
          <w:lang w:eastAsia="fr-FR"/>
        </w:rPr>
        <mc:AlternateContent>
          <mc:Choice Requires="wps">
            <w:drawing>
              <wp:anchor distT="0" distB="0" distL="114300" distR="114300" simplePos="0" relativeHeight="251666432" behindDoc="0" locked="0" layoutInCell="1" allowOverlap="1" wp14:anchorId="1811B09D" wp14:editId="79B12EB4">
                <wp:simplePos x="0" y="0"/>
                <wp:positionH relativeFrom="column">
                  <wp:posOffset>5095563</wp:posOffset>
                </wp:positionH>
                <wp:positionV relativeFrom="paragraph">
                  <wp:posOffset>58275</wp:posOffset>
                </wp:positionV>
                <wp:extent cx="422383" cy="310551"/>
                <wp:effectExtent l="0" t="0" r="15875" b="13335"/>
                <wp:wrapNone/>
                <wp:docPr id="170933816" name="Zone de texte 29"/>
                <wp:cNvGraphicFramePr/>
                <a:graphic xmlns:a="http://schemas.openxmlformats.org/drawingml/2006/main">
                  <a:graphicData uri="http://schemas.microsoft.com/office/word/2010/wordprocessingShape">
                    <wps:wsp>
                      <wps:cNvSpPr txBox="1"/>
                      <wps:spPr>
                        <a:xfrm>
                          <a:off x="0" y="0"/>
                          <a:ext cx="422383" cy="310551"/>
                        </a:xfrm>
                        <a:prstGeom prst="rect">
                          <a:avLst/>
                        </a:prstGeom>
                        <a:solidFill>
                          <a:sysClr val="window" lastClr="FFFFFF"/>
                        </a:solidFill>
                        <a:ln w="6350">
                          <a:solidFill>
                            <a:prstClr val="black"/>
                          </a:solidFill>
                        </a:ln>
                      </wps:spPr>
                      <wps:txbx>
                        <w:txbxContent>
                          <w:p w14:paraId="5D684785" w14:textId="77777777" w:rsidR="007545B1" w:rsidRPr="00127DF1" w:rsidRDefault="007545B1" w:rsidP="007545B1">
                            <w:pPr>
                              <w:rPr>
                                <w:rFonts w:ascii="Times New Roman" w:hAnsi="Times New Roman"/>
                                <w:b/>
                                <w:bCs/>
                                <w:sz w:val="24"/>
                                <w:szCs w:val="24"/>
                              </w:rPr>
                            </w:pPr>
                            <w:r w:rsidRPr="00127DF1">
                              <w:rPr>
                                <w:rFonts w:ascii="Times New Roman" w:hAnsi="Times New Roman"/>
                                <w:b/>
                                <w:bCs/>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1B09D" id="Zone de texte 29" o:spid="_x0000_s1035" type="#_x0000_t202" style="position:absolute;left:0;text-align:left;margin-left:401.25pt;margin-top:4.6pt;width:33.25pt;height:2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" fillcolor="window" strokeweight=".5pt">
                <v:textbox>
                  <w:txbxContent>
                    <w:p w14:paraId="5D684785" w14:textId="77777777" w:rsidR="007545B1" w:rsidRPr="00127DF1" w:rsidRDefault="007545B1" w:rsidP="007545B1">
                      <w:pPr>
                        <w:rPr>
                          <w:rFonts w:ascii="Times New Roman" w:hAnsi="Times New Roman"/>
                          <w:b/>
                          <w:bCs/>
                          <w:sz w:val="24"/>
                          <w:szCs w:val="24"/>
                        </w:rPr>
                      </w:pPr>
                      <w:r w:rsidRPr="00127DF1">
                        <w:rPr>
                          <w:rFonts w:ascii="Times New Roman" w:hAnsi="Times New Roman"/>
                          <w:b/>
                          <w:bCs/>
                          <w:sz w:val="24"/>
                          <w:szCs w:val="24"/>
                        </w:rPr>
                        <w:t>B</w:t>
                      </w:r>
                    </w:p>
                  </w:txbxContent>
                </v:textbox>
              </v:shape>
            </w:pict>
          </mc:Fallback>
        </mc:AlternateContent>
      </w:r>
    </w:p>
    <w:p w14:paraId="20BE19CA" w14:textId="77777777" w:rsidR="007545B1" w:rsidRPr="00FA1B5C" w:rsidRDefault="007545B1" w:rsidP="007545B1">
      <w:pPr>
        <w:pStyle w:val="Lgende"/>
        <w:ind w:left="993" w:hanging="993"/>
        <w:jc w:val="both"/>
        <w:rPr>
          <w:rFonts w:ascii="Times New Roman" w:hAnsi="Times New Roman"/>
          <w:b/>
          <w:bCs/>
          <w:color w:val="000000" w:themeColor="text1"/>
          <w:sz w:val="22"/>
          <w:szCs w:val="22"/>
          <w:lang w:val="en-GB"/>
        </w:rPr>
      </w:pPr>
    </w:p>
    <w:p w14:paraId="37F012F4" w14:textId="77777777" w:rsidR="007545B1" w:rsidRPr="00FA1B5C" w:rsidRDefault="007545B1" w:rsidP="007545B1">
      <w:pPr>
        <w:rPr>
          <w:lang w:val="en-GB"/>
        </w:rPr>
      </w:pPr>
      <w:r>
        <w:rPr>
          <w:noProof/>
        </w:rPr>
        <mc:AlternateContent>
          <mc:Choice Requires="wps">
            <w:drawing>
              <wp:anchor distT="0" distB="0" distL="114300" distR="114300" simplePos="0" relativeHeight="251671552" behindDoc="0" locked="0" layoutInCell="1" allowOverlap="1" wp14:anchorId="1D59AE06" wp14:editId="1475CEC2">
                <wp:simplePos x="0" y="0"/>
                <wp:positionH relativeFrom="column">
                  <wp:posOffset>402794</wp:posOffset>
                </wp:positionH>
                <wp:positionV relativeFrom="paragraph">
                  <wp:posOffset>140130</wp:posOffset>
                </wp:positionV>
                <wp:extent cx="396815" cy="345057"/>
                <wp:effectExtent l="0" t="0" r="22860" b="17145"/>
                <wp:wrapNone/>
                <wp:docPr id="639415252" name="Zone de texte 48"/>
                <wp:cNvGraphicFramePr/>
                <a:graphic xmlns:a="http://schemas.openxmlformats.org/drawingml/2006/main">
                  <a:graphicData uri="http://schemas.microsoft.com/office/word/2010/wordprocessingShape">
                    <wps:wsp>
                      <wps:cNvSpPr txBox="1"/>
                      <wps:spPr>
                        <a:xfrm>
                          <a:off x="0" y="0"/>
                          <a:ext cx="396815" cy="345057"/>
                        </a:xfrm>
                        <a:prstGeom prst="rect">
                          <a:avLst/>
                        </a:prstGeom>
                        <a:solidFill>
                          <a:schemeClr val="lt1"/>
                        </a:solidFill>
                        <a:ln w="6350">
                          <a:solidFill>
                            <a:prstClr val="black"/>
                          </a:solidFill>
                        </a:ln>
                      </wps:spPr>
                      <wps:txbx>
                        <w:txbxContent>
                          <w:p w14:paraId="1FB6FA0D" w14:textId="77777777" w:rsidR="007545B1" w:rsidRPr="006178EC" w:rsidRDefault="007545B1" w:rsidP="007545B1">
                            <w:pPr>
                              <w:rPr>
                                <w:rFonts w:ascii="Times New Roman" w:hAnsi="Times New Roman"/>
                                <w:b/>
                                <w:bCs/>
                                <w:sz w:val="32"/>
                                <w:szCs w:val="32"/>
                              </w:rPr>
                            </w:pPr>
                            <w:r>
                              <w:rPr>
                                <w:rFonts w:ascii="Times New Roman" w:hAnsi="Times New Roman"/>
                                <w:b/>
                                <w:bCs/>
                                <w:sz w:val="32"/>
                                <w:szCs w:val="3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59AE06" id="Zone de texte 48" o:spid="_x0000_s1036" type="#_x0000_t202" style="position:absolute;margin-left:31.7pt;margin-top:11.05pt;width:31.25pt;height:27.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" fillcolor="white [3201]" strokeweight=".5pt">
                <v:textbox>
                  <w:txbxContent>
                    <w:p w14:paraId="1FB6FA0D" w14:textId="77777777" w:rsidR="007545B1" w:rsidRPr="006178EC" w:rsidRDefault="007545B1" w:rsidP="007545B1">
                      <w:pPr>
                        <w:rPr>
                          <w:rFonts w:ascii="Times New Roman" w:hAnsi="Times New Roman"/>
                          <w:b/>
                          <w:bCs/>
                          <w:sz w:val="32"/>
                          <w:szCs w:val="32"/>
                        </w:rPr>
                      </w:pPr>
                      <w:r>
                        <w:rPr>
                          <w:rFonts w:ascii="Times New Roman" w:hAnsi="Times New Roman"/>
                          <w:b/>
                          <w:bCs/>
                          <w:sz w:val="32"/>
                          <w:szCs w:val="32"/>
                        </w:rPr>
                        <w:t>B</w:t>
                      </w:r>
                    </w:p>
                  </w:txbxContent>
                </v:textbox>
              </v:shape>
            </w:pict>
          </mc:Fallback>
        </mc:AlternateContent>
      </w:r>
    </w:p>
    <w:p w14:paraId="02CC6787" w14:textId="77777777" w:rsidR="00565212" w:rsidRPr="00C25957" w:rsidRDefault="007545B1" w:rsidP="00565212">
      <w:pPr>
        <w:pStyle w:val="Lgende"/>
        <w:ind w:left="993" w:hanging="993"/>
        <w:jc w:val="both"/>
        <w:rPr>
          <w:rFonts w:ascii="Times New Roman" w:hAnsi="Times New Roman"/>
          <w:color w:val="000000" w:themeColor="text1"/>
          <w:lang w:val="en-IN"/>
        </w:rPr>
      </w:pPr>
      <w:r>
        <w:rPr>
          <w:rFonts w:ascii="Times New Roman" w:hAnsi="Times New Roman"/>
          <w:b/>
          <w:bCs/>
          <w:noProof/>
          <w:color w:val="000000" w:themeColor="text1"/>
          <w:sz w:val="22"/>
          <w:szCs w:val="22"/>
          <w14:ligatures w14:val="standardContextual"/>
        </w:rPr>
        <mc:AlternateContent>
          <mc:Choice Requires="wps">
            <w:drawing>
              <wp:anchor distT="0" distB="0" distL="114300" distR="114300" simplePos="0" relativeHeight="251672576" behindDoc="0" locked="0" layoutInCell="1" allowOverlap="1" wp14:anchorId="0689B342" wp14:editId="6BAEA917">
                <wp:simplePos x="0" y="0"/>
                <wp:positionH relativeFrom="column">
                  <wp:posOffset>4681435</wp:posOffset>
                </wp:positionH>
                <wp:positionV relativeFrom="paragraph">
                  <wp:posOffset>9153</wp:posOffset>
                </wp:positionV>
                <wp:extent cx="664234" cy="293298"/>
                <wp:effectExtent l="0" t="0" r="21590" b="12065"/>
                <wp:wrapNone/>
                <wp:docPr id="1344131429" name="Zone de texte 49"/>
                <wp:cNvGraphicFramePr/>
                <a:graphic xmlns:a="http://schemas.openxmlformats.org/drawingml/2006/main">
                  <a:graphicData uri="http://schemas.microsoft.com/office/word/2010/wordprocessingShape">
                    <wps:wsp>
                      <wps:cNvSpPr txBox="1"/>
                      <wps:spPr>
                        <a:xfrm>
                          <a:off x="0" y="0"/>
                          <a:ext cx="664234" cy="293298"/>
                        </a:xfrm>
                        <a:prstGeom prst="rect">
                          <a:avLst/>
                        </a:prstGeom>
                        <a:solidFill>
                          <a:schemeClr val="lt1"/>
                        </a:solidFill>
                        <a:ln w="6350">
                          <a:solidFill>
                            <a:prstClr val="black"/>
                          </a:solidFill>
                        </a:ln>
                      </wps:spPr>
                      <wps:txbx>
                        <w:txbxContent>
                          <w:p w14:paraId="214C76EC" w14:textId="77777777" w:rsidR="007545B1" w:rsidRPr="005B19F0" w:rsidRDefault="007545B1" w:rsidP="007545B1">
                            <w:pPr>
                              <w:rPr>
                                <w:rFonts w:ascii="Times New Roman" w:hAnsi="Times New Roman"/>
                                <w:sz w:val="32"/>
                                <w:szCs w:val="32"/>
                              </w:rPr>
                            </w:pPr>
                            <w:r>
                              <w:rPr>
                                <w:rFonts w:ascii="Times New Roman" w:hAnsi="Times New Roman"/>
                                <w:sz w:val="32"/>
                                <w:szCs w:val="3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9B342" id="Zone de texte 49" o:spid="_x0000_s1037" type="#_x0000_t202" style="position:absolute;left:0;text-align:left;margin-left:368.6pt;margin-top:.7pt;width:52.3pt;height:2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" fillcolor="white [3201]" strokeweight=".5pt">
                <v:textbox>
                  <w:txbxContent>
                    <w:p w14:paraId="214C76EC" w14:textId="77777777" w:rsidR="007545B1" w:rsidRPr="005B19F0" w:rsidRDefault="007545B1" w:rsidP="007545B1">
                      <w:pPr>
                        <w:rPr>
                          <w:rFonts w:ascii="Times New Roman" w:hAnsi="Times New Roman"/>
                          <w:sz w:val="32"/>
                          <w:szCs w:val="32"/>
                        </w:rPr>
                      </w:pPr>
                      <w:r>
                        <w:rPr>
                          <w:rFonts w:ascii="Times New Roman" w:hAnsi="Times New Roman"/>
                          <w:sz w:val="32"/>
                          <w:szCs w:val="32"/>
                        </w:rPr>
                        <w:t>A</w:t>
                      </w:r>
                    </w:p>
                  </w:txbxContent>
                </v:textbox>
              </v:shape>
            </w:pict>
          </mc:Fallback>
        </mc:AlternateContent>
      </w:r>
      <w:bookmarkStart w:id="6" w:name="_Toc223349586"/>
    </w:p>
    <w:p w14:paraId="4EE17EBF" w14:textId="77777777" w:rsidR="00565212" w:rsidRPr="00C25957" w:rsidRDefault="00565212" w:rsidP="00565212">
      <w:pPr>
        <w:pStyle w:val="Lgende"/>
        <w:ind w:left="993" w:hanging="993"/>
        <w:jc w:val="both"/>
        <w:rPr>
          <w:rFonts w:ascii="Times New Roman" w:hAnsi="Times New Roman"/>
          <w:color w:val="000000" w:themeColor="text1"/>
          <w:lang w:val="en-IN"/>
        </w:rPr>
      </w:pPr>
    </w:p>
    <w:p w14:paraId="22300A15" w14:textId="3BC84392" w:rsidR="00565212" w:rsidRPr="00565212" w:rsidRDefault="00565212" w:rsidP="00565212">
      <w:pPr>
        <w:pStyle w:val="Lgende"/>
        <w:ind w:left="993" w:hanging="993"/>
        <w:jc w:val="both"/>
        <w:rPr>
          <w:rFonts w:ascii="Times New Roman" w:hAnsi="Times New Roman"/>
          <w:b/>
          <w:bCs/>
          <w:color w:val="000000" w:themeColor="text1"/>
          <w:sz w:val="22"/>
          <w:szCs w:val="22"/>
          <w:lang w:val="en-GB"/>
        </w:rPr>
      </w:pPr>
      <w:r w:rsidRPr="00565212">
        <w:rPr>
          <w:rFonts w:ascii="Times New Roman" w:hAnsi="Times New Roman"/>
          <w:color w:val="000000" w:themeColor="text1"/>
          <w:lang w:val="en-GB"/>
        </w:rPr>
        <w:t>Figure 4: Effects of organic manure rate combined with Furadan- or water hyacinth–based formulations on the gall index of beetroot nematodes (October 2023)</w:t>
      </w:r>
    </w:p>
    <w:p w14:paraId="27FF8D9D" w14:textId="77777777" w:rsidR="00565212" w:rsidRPr="0046714C" w:rsidRDefault="00565212" w:rsidP="0046714C">
      <w:pPr>
        <w:rPr>
          <w:rFonts w:ascii="Times New Roman" w:hAnsi="Times New Roman" w:cs="Times New Roman"/>
          <w:i/>
          <w:iCs/>
          <w:lang w:val="en-GB"/>
        </w:rPr>
      </w:pPr>
      <w:r w:rsidRPr="0046714C">
        <w:rPr>
          <w:rFonts w:ascii="Times New Roman" w:hAnsi="Times New Roman" w:cs="Times New Roman"/>
          <w:i/>
          <w:iCs/>
          <w:lang w:val="en-GB"/>
        </w:rPr>
        <w:t>A: D15 Ja.P/Im (15 t/ha + water hyacinth submerged-part extract)</w:t>
      </w:r>
    </w:p>
    <w:p w14:paraId="66F60112" w14:textId="1B196F3D" w:rsidR="00565212" w:rsidRPr="0046714C" w:rsidRDefault="00565212" w:rsidP="0046714C">
      <w:pPr>
        <w:rPr>
          <w:rFonts w:ascii="Times New Roman" w:hAnsi="Times New Roman" w:cs="Times New Roman"/>
          <w:i/>
          <w:iCs/>
        </w:rPr>
      </w:pPr>
      <w:r w:rsidRPr="0046714C">
        <w:rPr>
          <w:rFonts w:ascii="Times New Roman" w:hAnsi="Times New Roman" w:cs="Times New Roman"/>
          <w:i/>
          <w:iCs/>
        </w:rPr>
        <w:t>B: D0FU (0 t/ha + Furadan)C: D15 Ja.P/Fu (15 t/ha + Furadan)</w:t>
      </w:r>
    </w:p>
    <w:p w14:paraId="623DE386" w14:textId="77777777" w:rsidR="0046714C" w:rsidRDefault="0046714C" w:rsidP="00565212">
      <w:pPr>
        <w:keepNext/>
        <w:keepLines/>
        <w:numPr>
          <w:ilvl w:val="2"/>
          <w:numId w:val="0"/>
        </w:numPr>
        <w:spacing w:before="40" w:after="0"/>
        <w:ind w:left="720" w:hanging="720"/>
        <w:outlineLvl w:val="2"/>
        <w:rPr>
          <w:rFonts w:ascii="Times New Roman" w:eastAsia="Calibri" w:hAnsi="Times New Roman" w:cs="Times New Roman"/>
          <w:i/>
          <w:iCs/>
          <w:color w:val="000000" w:themeColor="text1"/>
          <w:kern w:val="0"/>
          <w14:ligatures w14:val="none"/>
        </w:rPr>
      </w:pPr>
    </w:p>
    <w:bookmarkEnd w:id="6"/>
    <w:p w14:paraId="63EE9DBF" w14:textId="4277C13A" w:rsidR="00635C9A" w:rsidRPr="00565212" w:rsidRDefault="00565212" w:rsidP="00103142">
      <w:pPr>
        <w:pStyle w:val="Titre2"/>
        <w:numPr>
          <w:ilvl w:val="1"/>
          <w:numId w:val="3"/>
        </w:numPr>
        <w:rPr>
          <w:rFonts w:eastAsia="Times New Roman"/>
          <w:color w:val="000000"/>
          <w:lang w:val="en-GB" w:eastAsia="fr-FR"/>
        </w:rPr>
      </w:pPr>
      <w:r w:rsidRPr="00565212">
        <w:rPr>
          <w:rFonts w:eastAsia="Times New Roman"/>
          <w:lang w:val="en-GB" w:eastAsia="fr-FR"/>
        </w:rPr>
        <w:t>Effects of Organic Manure Combined with Furadan- or Water Hyacinth–Based Formulations on the Mean Number of Beetroot Leaves</w:t>
      </w:r>
      <w:r w:rsidR="00635C9A" w:rsidRPr="00565212">
        <w:rPr>
          <w:rFonts w:eastAsia="Times New Roman"/>
          <w:color w:val="000000"/>
          <w:lang w:val="en-GB" w:eastAsia="fr-FR"/>
        </w:rPr>
        <w:t xml:space="preserve"> </w:t>
      </w:r>
    </w:p>
    <w:p w14:paraId="54268A2B" w14:textId="10583B3A" w:rsidR="00635C9A" w:rsidRPr="004D2E48" w:rsidRDefault="004D2E48" w:rsidP="004D2E48">
      <w:pPr>
        <w:spacing w:after="31" w:line="360" w:lineRule="auto"/>
        <w:jc w:val="both"/>
        <w:rPr>
          <w:rFonts w:ascii="Times New Roman" w:eastAsia="Times New Roman" w:hAnsi="Times New Roman" w:cs="Times New Roman"/>
          <w:color w:val="000000"/>
          <w:sz w:val="24"/>
          <w:szCs w:val="24"/>
          <w:lang w:val="en-GB" w:eastAsia="fr-FR"/>
        </w:rPr>
      </w:pPr>
      <w:r w:rsidRPr="004D2E48">
        <w:rPr>
          <w:rFonts w:ascii="Times New Roman" w:eastAsia="Times New Roman" w:hAnsi="Times New Roman" w:cs="Times New Roman"/>
          <w:color w:val="000000"/>
          <w:sz w:val="24"/>
          <w:szCs w:val="24"/>
          <w:lang w:val="en-GB" w:eastAsia="fr-FR"/>
        </w:rPr>
        <w:t xml:space="preserve">The results (Figure 5) show the effect of the interaction between organic manure and Furadan- or water hyacinth–based formulations on the mean number of leaves per beetroot plant. Statistical analysis revealed a significant interaction between these factors on leaf development (P = 0.001). In general, increasing organic manure rates combined with the different formulations enhanced the mean leaf </w:t>
      </w:r>
      <w:r w:rsidR="0029124E" w:rsidRPr="004D2E48">
        <w:rPr>
          <w:rFonts w:ascii="Times New Roman" w:eastAsia="Times New Roman" w:hAnsi="Times New Roman" w:cs="Times New Roman"/>
          <w:color w:val="000000"/>
          <w:sz w:val="24"/>
          <w:szCs w:val="24"/>
          <w:lang w:val="en-GB" w:eastAsia="fr-FR"/>
        </w:rPr>
        <w:t>number. The</w:t>
      </w:r>
      <w:r w:rsidRPr="004D2E48">
        <w:rPr>
          <w:rFonts w:ascii="Times New Roman" w:eastAsia="Times New Roman" w:hAnsi="Times New Roman" w:cs="Times New Roman"/>
          <w:color w:val="000000"/>
          <w:sz w:val="24"/>
          <w:szCs w:val="24"/>
          <w:lang w:val="en-GB" w:eastAsia="fr-FR"/>
        </w:rPr>
        <w:t xml:space="preserve"> combination of organic manure with the submerged-part aqueous extract of water hyacinth was particularly effective. At 15 t/ha, the D15 Ja.P/Im treatment produced the highest mean (14.13 leaves per plant), followed by D15 Ja.P/A (12.78 leaves) and D15 FU (12 leaves). At 10 t/ha, D10 Ja.P/Im (12.46 leaves) also outperformed Furadan alone (11.94 leaves). Unfertilized controls (D0) showed the lowest values: 10 leaves for Ja.P/Im, 9.33 for Furadan, and 9 for Ja.P/A</w:t>
      </w:r>
      <w:r w:rsidR="00635C9A" w:rsidRPr="004D2E48">
        <w:rPr>
          <w:rFonts w:ascii="Times New Roman" w:eastAsia="Times New Roman" w:hAnsi="Times New Roman" w:cs="Times New Roman"/>
          <w:color w:val="000000"/>
          <w:sz w:val="24"/>
          <w:szCs w:val="24"/>
          <w:lang w:val="en-GB" w:eastAsia="fr-FR"/>
        </w:rPr>
        <w:t>.</w:t>
      </w:r>
      <w:r w:rsidR="00635C9A" w:rsidRPr="004D2E48">
        <w:rPr>
          <w:rFonts w:ascii="Times New Roman" w:eastAsia="Times New Roman" w:hAnsi="Times New Roman" w:cs="Times New Roman"/>
          <w:b/>
          <w:i/>
          <w:color w:val="000000"/>
          <w:sz w:val="24"/>
          <w:szCs w:val="24"/>
          <w:lang w:val="en-GB" w:eastAsia="fr-FR"/>
        </w:rPr>
        <w:t xml:space="preserve"> </w:t>
      </w:r>
    </w:p>
    <w:p w14:paraId="658F6F08" w14:textId="77777777" w:rsidR="00635C9A" w:rsidRPr="004D2E48" w:rsidRDefault="00635C9A" w:rsidP="00635C9A">
      <w:pPr>
        <w:spacing w:after="4" w:line="269" w:lineRule="auto"/>
        <w:rPr>
          <w:rFonts w:ascii="Times New Roman" w:eastAsia="Times New Roman" w:hAnsi="Times New Roman" w:cs="Times New Roman"/>
          <w:color w:val="000000"/>
          <w:sz w:val="24"/>
          <w:szCs w:val="24"/>
          <w:lang w:val="en-GB" w:eastAsia="fr-FR"/>
        </w:rPr>
      </w:pPr>
    </w:p>
    <w:p w14:paraId="4AA376D3" w14:textId="77777777" w:rsidR="00635C9A" w:rsidRPr="00635C9A" w:rsidRDefault="00635C9A" w:rsidP="00635C9A">
      <w:pPr>
        <w:keepNext/>
        <w:spacing w:after="188" w:line="248" w:lineRule="auto"/>
        <w:ind w:hanging="6"/>
        <w:jc w:val="both"/>
        <w:rPr>
          <w:rFonts w:ascii="Calibri" w:eastAsia="Calibri" w:hAnsi="Calibri" w:cs="Times New Roman"/>
          <w:kern w:val="0"/>
          <w14:ligatures w14:val="none"/>
        </w:rPr>
      </w:pPr>
      <w:r w:rsidRPr="00635C9A">
        <w:rPr>
          <w:rFonts w:ascii="Calibri" w:eastAsia="Calibri" w:hAnsi="Calibri" w:cs="Times New Roman"/>
          <w:noProof/>
          <w:kern w:val="0"/>
        </w:rPr>
        <w:lastRenderedPageBreak/>
        <w:drawing>
          <wp:inline distT="0" distB="0" distL="0" distR="0" wp14:anchorId="4468D0DC" wp14:editId="2B63A8AD">
            <wp:extent cx="5800725" cy="3962400"/>
            <wp:effectExtent l="0" t="0" r="9525" b="0"/>
            <wp:docPr id="1983913643" name="Graphique 1">
              <a:extLst xmlns:a="http://schemas.openxmlformats.org/drawingml/2006/main">
                <a:ext uri="{FF2B5EF4-FFF2-40B4-BE49-F238E27FC236}">
                  <a16:creationId xmlns:a16="http://schemas.microsoft.com/office/drawing/2014/main" id="{3A495110-5E12-E30C-14B6-5117411283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024769" w14:textId="4E23D281" w:rsidR="00E46428" w:rsidRPr="00E46428" w:rsidRDefault="00E46428" w:rsidP="00E46428">
      <w:pPr>
        <w:spacing w:after="200" w:line="240" w:lineRule="auto"/>
        <w:jc w:val="both"/>
        <w:rPr>
          <w:rFonts w:ascii="Times New Roman" w:eastAsia="Calibri" w:hAnsi="Times New Roman" w:cs="Times New Roman"/>
          <w:i/>
          <w:iCs/>
          <w:color w:val="000000"/>
          <w:kern w:val="0"/>
          <w:lang w:val="en-GB"/>
          <w14:ligatures w14:val="none"/>
        </w:rPr>
      </w:pPr>
      <w:r w:rsidRPr="00E46428">
        <w:rPr>
          <w:rFonts w:ascii="Times New Roman" w:eastAsia="Calibri" w:hAnsi="Times New Roman" w:cs="Times New Roman"/>
          <w:i/>
          <w:iCs/>
          <w:color w:val="000000"/>
          <w:kern w:val="0"/>
          <w:lang w:val="en-GB"/>
          <w14:ligatures w14:val="none"/>
        </w:rPr>
        <w:t>Figure 5: Effects of organic manure combined with Furadan- or water hyacinth–based formulations on the number of beetroot leaves.</w:t>
      </w:r>
    </w:p>
    <w:p w14:paraId="0565002E" w14:textId="0A3448C2" w:rsidR="004347C2" w:rsidRDefault="00E46428" w:rsidP="00E46428">
      <w:pPr>
        <w:spacing w:after="200" w:line="240" w:lineRule="auto"/>
        <w:jc w:val="both"/>
        <w:rPr>
          <w:rFonts w:ascii="Times New Roman" w:eastAsia="Calibri" w:hAnsi="Times New Roman" w:cs="Times New Roman"/>
          <w:i/>
          <w:iCs/>
          <w:color w:val="000000"/>
          <w:kern w:val="0"/>
          <w:lang w:val="en-GB"/>
          <w14:ligatures w14:val="none"/>
        </w:rPr>
      </w:pPr>
      <w:r w:rsidRPr="00E46428">
        <w:rPr>
          <w:rFonts w:ascii="Times New Roman" w:eastAsia="Calibri" w:hAnsi="Times New Roman" w:cs="Times New Roman"/>
          <w:i/>
          <w:iCs/>
          <w:color w:val="000000"/>
          <w:kern w:val="0"/>
          <w:lang w:val="en-GB"/>
          <w14:ligatures w14:val="none"/>
        </w:rPr>
        <w:t>P/A = Aerial part; P/Im = Submerged par</w:t>
      </w:r>
      <w:r w:rsidR="00F54DED">
        <w:rPr>
          <w:rFonts w:ascii="Times New Roman" w:eastAsia="Calibri" w:hAnsi="Times New Roman" w:cs="Times New Roman"/>
          <w:i/>
          <w:iCs/>
          <w:color w:val="000000"/>
          <w:kern w:val="0"/>
          <w:lang w:val="en-GB"/>
          <w14:ligatures w14:val="none"/>
        </w:rPr>
        <w:t>t</w:t>
      </w:r>
    </w:p>
    <w:p w14:paraId="028567A9" w14:textId="77777777" w:rsidR="00F54DED" w:rsidRPr="00E46428" w:rsidRDefault="00F54DED" w:rsidP="00E46428">
      <w:pPr>
        <w:spacing w:after="200" w:line="240" w:lineRule="auto"/>
        <w:jc w:val="both"/>
        <w:rPr>
          <w:rFonts w:ascii="Times New Roman" w:eastAsia="Times New Roman" w:hAnsi="Times New Roman" w:cs="Times New Roman"/>
          <w:i/>
          <w:iCs/>
          <w:color w:val="000000"/>
          <w:lang w:val="en-GB" w:eastAsia="fr-FR"/>
        </w:rPr>
      </w:pPr>
    </w:p>
    <w:p w14:paraId="254C50AE" w14:textId="2E52A935" w:rsidR="00F54DED" w:rsidRPr="00F54DED" w:rsidRDefault="00F54DED" w:rsidP="00103142">
      <w:pPr>
        <w:pStyle w:val="Titre2"/>
        <w:numPr>
          <w:ilvl w:val="1"/>
          <w:numId w:val="3"/>
        </w:numPr>
        <w:rPr>
          <w:rFonts w:eastAsia="Times New Roman"/>
          <w:lang w:val="en-GB" w:eastAsia="fr-FR"/>
        </w:rPr>
      </w:pPr>
      <w:r w:rsidRPr="00F54DED">
        <w:rPr>
          <w:rFonts w:eastAsia="Times New Roman"/>
          <w:lang w:val="en-GB" w:eastAsia="fr-FR"/>
        </w:rPr>
        <w:t>Effects of Organic Manure Rates on Beetroot Root Yield</w:t>
      </w:r>
    </w:p>
    <w:p w14:paraId="1B85EB29" w14:textId="7BBFDAA8" w:rsidR="004347C2" w:rsidRPr="00F54DED" w:rsidRDefault="00F54DED" w:rsidP="00F54DED">
      <w:pPr>
        <w:spacing w:after="3" w:line="360" w:lineRule="auto"/>
        <w:ind w:left="6" w:hanging="6"/>
        <w:jc w:val="both"/>
        <w:rPr>
          <w:rFonts w:ascii="Times New Roman" w:eastAsia="Times New Roman" w:hAnsi="Times New Roman" w:cs="Times New Roman"/>
          <w:bCs/>
          <w:color w:val="000000"/>
          <w:sz w:val="24"/>
          <w:szCs w:val="24"/>
          <w:lang w:val="en-GB" w:eastAsia="fr-FR"/>
        </w:rPr>
      </w:pPr>
      <w:r w:rsidRPr="00F54DED">
        <w:rPr>
          <w:rFonts w:ascii="Times New Roman" w:eastAsia="Times New Roman" w:hAnsi="Times New Roman" w:cs="Times New Roman"/>
          <w:bCs/>
          <w:kern w:val="0"/>
          <w:sz w:val="24"/>
          <w:szCs w:val="24"/>
          <w:lang w:val="en-GB" w:eastAsia="fr-FR"/>
          <w14:ligatures w14:val="none"/>
        </w:rPr>
        <w:t>The results presented in Figure 6 show a significant increase in beetroot root yield with increasing rates of organic manure (P &lt; 0.001). The lowest yield was recorded in the control (D0), without manure, at 17.21 t/ha. Application of 10 t/ha of manure resulted in an average yield of 35.15 t/ha, representing a 104.34% increase compared with the control. The highest yield was obtained with 15 t/ha, reaching 40.45 t/ha, corresponding to a 135.11% increase relative to the unfertilized treatment.</w:t>
      </w:r>
    </w:p>
    <w:p w14:paraId="7B9B478D" w14:textId="77777777" w:rsidR="004347C2" w:rsidRPr="00F54DED" w:rsidRDefault="004347C2" w:rsidP="004347C2">
      <w:pPr>
        <w:spacing w:after="3" w:line="248" w:lineRule="auto"/>
        <w:ind w:left="6" w:hanging="6"/>
        <w:jc w:val="both"/>
        <w:rPr>
          <w:rFonts w:ascii="Times New Roman" w:eastAsia="Times New Roman" w:hAnsi="Times New Roman" w:cs="Times New Roman"/>
          <w:color w:val="000000"/>
          <w:sz w:val="24"/>
          <w:szCs w:val="24"/>
          <w:lang w:val="en-GB" w:eastAsia="fr-FR"/>
        </w:rPr>
      </w:pPr>
    </w:p>
    <w:p w14:paraId="0F14ED41" w14:textId="77777777" w:rsidR="004347C2" w:rsidRPr="004347C2" w:rsidRDefault="004347C2" w:rsidP="004347C2">
      <w:pPr>
        <w:keepNext/>
        <w:spacing w:after="3" w:line="248" w:lineRule="auto"/>
        <w:ind w:left="6" w:hanging="6"/>
        <w:jc w:val="both"/>
        <w:rPr>
          <w:rFonts w:ascii="Calibri" w:eastAsia="Calibri" w:hAnsi="Calibri" w:cs="Times New Roman"/>
          <w:kern w:val="0"/>
          <w14:ligatures w14:val="none"/>
        </w:rPr>
      </w:pPr>
      <w:r w:rsidRPr="004347C2">
        <w:rPr>
          <w:rFonts w:ascii="Calibri" w:eastAsia="Calibri" w:hAnsi="Calibri" w:cs="Times New Roman"/>
          <w:noProof/>
          <w:kern w:val="0"/>
        </w:rPr>
        <w:lastRenderedPageBreak/>
        <w:drawing>
          <wp:inline distT="0" distB="0" distL="0" distR="0" wp14:anchorId="781FF519" wp14:editId="7908E74F">
            <wp:extent cx="4826442" cy="3490622"/>
            <wp:effectExtent l="0" t="0" r="12700" b="14605"/>
            <wp:docPr id="1490989034" name="Graphique 1">
              <a:extLst xmlns:a="http://schemas.openxmlformats.org/drawingml/2006/main">
                <a:ext uri="{FF2B5EF4-FFF2-40B4-BE49-F238E27FC236}">
                  <a16:creationId xmlns:a16="http://schemas.microsoft.com/office/drawing/2014/main" id="{3686FB0E-FA36-2BE7-EEAE-B06C61A400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0DE81FF" w14:textId="77777777" w:rsidR="004347C2" w:rsidRPr="004347C2" w:rsidRDefault="004347C2" w:rsidP="004347C2">
      <w:pPr>
        <w:spacing w:after="200" w:line="240" w:lineRule="auto"/>
        <w:jc w:val="both"/>
        <w:rPr>
          <w:rFonts w:ascii="Calibri" w:eastAsia="Calibri" w:hAnsi="Calibri" w:cs="Times New Roman"/>
          <w:i/>
          <w:iCs/>
          <w:color w:val="44546A"/>
          <w:kern w:val="0"/>
          <w:sz w:val="18"/>
          <w:szCs w:val="18"/>
          <w14:ligatures w14:val="none"/>
        </w:rPr>
      </w:pPr>
    </w:p>
    <w:p w14:paraId="74F647BD" w14:textId="01560BC5" w:rsidR="004347C2" w:rsidRPr="0059291D" w:rsidRDefault="0059291D" w:rsidP="004347C2">
      <w:pPr>
        <w:spacing w:after="3" w:line="248" w:lineRule="auto"/>
        <w:ind w:left="6" w:hanging="6"/>
        <w:jc w:val="both"/>
        <w:rPr>
          <w:rFonts w:ascii="Times New Roman" w:eastAsia="Times New Roman" w:hAnsi="Times New Roman" w:cs="Times New Roman"/>
          <w:b/>
          <w:bCs/>
          <w:color w:val="000000"/>
          <w:lang w:val="en-GB" w:eastAsia="fr-FR"/>
        </w:rPr>
      </w:pPr>
      <w:r w:rsidRPr="0059291D">
        <w:rPr>
          <w:rFonts w:ascii="Times New Roman" w:eastAsia="Calibri" w:hAnsi="Times New Roman" w:cs="Times New Roman"/>
          <w:i/>
          <w:iCs/>
          <w:color w:val="000000"/>
          <w:kern w:val="0"/>
          <w:lang w:val="en-GB"/>
          <w14:ligatures w14:val="none"/>
        </w:rPr>
        <w:t>Figure 6: Effects of organic manure rates on beetroot root yield</w:t>
      </w:r>
    </w:p>
    <w:p w14:paraId="272B1027" w14:textId="77777777" w:rsidR="004347C2" w:rsidRPr="0059291D" w:rsidRDefault="004347C2" w:rsidP="004347C2">
      <w:pPr>
        <w:spacing w:after="3" w:line="248" w:lineRule="auto"/>
        <w:ind w:left="6" w:hanging="6"/>
        <w:jc w:val="both"/>
        <w:rPr>
          <w:rFonts w:ascii="Times New Roman" w:eastAsia="Times New Roman" w:hAnsi="Times New Roman" w:cs="Times New Roman"/>
          <w:color w:val="000000"/>
          <w:sz w:val="24"/>
          <w:szCs w:val="24"/>
          <w:lang w:val="en-GB" w:eastAsia="fr-FR"/>
        </w:rPr>
      </w:pPr>
    </w:p>
    <w:p w14:paraId="3A1770A0" w14:textId="77777777" w:rsidR="004347C2" w:rsidRPr="0059291D" w:rsidRDefault="004347C2" w:rsidP="004347C2">
      <w:pPr>
        <w:spacing w:after="3" w:line="248" w:lineRule="auto"/>
        <w:ind w:left="6" w:hanging="6"/>
        <w:jc w:val="both"/>
        <w:rPr>
          <w:rFonts w:ascii="Times New Roman" w:eastAsia="Times New Roman" w:hAnsi="Times New Roman" w:cs="Times New Roman"/>
          <w:noProof/>
          <w:color w:val="000000"/>
          <w:sz w:val="24"/>
          <w:szCs w:val="24"/>
          <w:lang w:val="en-GB" w:eastAsia="fr-FR"/>
        </w:rPr>
      </w:pPr>
    </w:p>
    <w:p w14:paraId="3CE77B0F" w14:textId="523D58C7" w:rsidR="0086583C" w:rsidRPr="0086583C" w:rsidRDefault="0086583C" w:rsidP="00103142">
      <w:pPr>
        <w:pStyle w:val="Titre2"/>
        <w:numPr>
          <w:ilvl w:val="1"/>
          <w:numId w:val="3"/>
        </w:numPr>
        <w:rPr>
          <w:rFonts w:eastAsia="Times New Roman"/>
          <w:lang w:val="en-GB" w:eastAsia="fr-FR"/>
        </w:rPr>
      </w:pPr>
      <w:r w:rsidRPr="0086583C">
        <w:rPr>
          <w:rFonts w:eastAsia="Times New Roman"/>
          <w:lang w:val="en-GB" w:eastAsia="fr-FR"/>
        </w:rPr>
        <w:t>Effects of Furadan- and Water Hyacinth–Based Formulations on Beetroot Root Yield</w:t>
      </w:r>
    </w:p>
    <w:p w14:paraId="18B1A69A" w14:textId="1768B842" w:rsidR="004347C2" w:rsidRPr="0086583C" w:rsidRDefault="0086583C" w:rsidP="0086583C">
      <w:pPr>
        <w:spacing w:line="358" w:lineRule="auto"/>
        <w:jc w:val="both"/>
        <w:rPr>
          <w:rFonts w:ascii="Times New Roman" w:eastAsia="Times New Roman" w:hAnsi="Times New Roman" w:cs="Times New Roman"/>
          <w:bCs/>
          <w:color w:val="000000"/>
          <w:sz w:val="24"/>
          <w:szCs w:val="24"/>
          <w:lang w:val="en-GB" w:eastAsia="fr-FR"/>
        </w:rPr>
      </w:pPr>
      <w:r w:rsidRPr="0086583C">
        <w:rPr>
          <w:rFonts w:ascii="Times New Roman" w:eastAsia="Times New Roman" w:hAnsi="Times New Roman" w:cs="Times New Roman"/>
          <w:bCs/>
          <w:kern w:val="0"/>
          <w:sz w:val="24"/>
          <w:szCs w:val="24"/>
          <w:lang w:val="en-GB" w:eastAsia="fr-FR"/>
          <w14:ligatures w14:val="none"/>
        </w:rPr>
        <w:t>The results presented in Figure 7 show a notable variation in beetroot root yield depending on the formulation applied. Furadan alone (FU) produced an average yield of 28.83 t/ha, serving as the reference value in this study. Application of the aqueous extract from the aerial part of water hyacinth (P/A) resulted in a yield of 25.43 t/ha, slightly lower than Furadan, indicating no significant effect on root yield. In contrast, the submerged-part extract (P/Im) produced the highest yield, 38.54 t/ha, corresponding to a 33.75% increase compared with the Furadan-only treatment</w:t>
      </w:r>
      <w:r w:rsidR="004347C2" w:rsidRPr="0086583C">
        <w:rPr>
          <w:rFonts w:ascii="Times New Roman" w:eastAsia="Times New Roman" w:hAnsi="Times New Roman" w:cs="Times New Roman"/>
          <w:bCs/>
          <w:color w:val="000000"/>
          <w:sz w:val="24"/>
          <w:szCs w:val="24"/>
          <w:lang w:val="en-GB" w:eastAsia="fr-FR"/>
        </w:rPr>
        <w:t>.</w:t>
      </w:r>
    </w:p>
    <w:p w14:paraId="725112B9" w14:textId="3C40A4CF" w:rsidR="004347C2" w:rsidRPr="004347C2" w:rsidRDefault="005E779A" w:rsidP="004347C2">
      <w:pPr>
        <w:keepNext/>
        <w:tabs>
          <w:tab w:val="left" w:pos="1345"/>
        </w:tabs>
        <w:spacing w:after="3" w:line="248" w:lineRule="auto"/>
        <w:ind w:left="6" w:hanging="6"/>
        <w:jc w:val="both"/>
        <w:rPr>
          <w:rFonts w:ascii="Calibri" w:eastAsia="Calibri" w:hAnsi="Calibri" w:cs="Times New Roman"/>
          <w:kern w:val="0"/>
          <w14:ligatures w14:val="none"/>
        </w:rPr>
      </w:pPr>
      <w:r>
        <w:rPr>
          <w:rFonts w:ascii="Calibri" w:eastAsia="Calibri" w:hAnsi="Calibri" w:cs="Times New Roman"/>
          <w:noProof/>
          <w:kern w:val="0"/>
        </w:rPr>
        <w:lastRenderedPageBreak/>
        <mc:AlternateContent>
          <mc:Choice Requires="wps">
            <w:drawing>
              <wp:anchor distT="0" distB="0" distL="114300" distR="114300" simplePos="0" relativeHeight="251673600" behindDoc="0" locked="0" layoutInCell="1" allowOverlap="1" wp14:anchorId="16FF682D" wp14:editId="73485F74">
                <wp:simplePos x="0" y="0"/>
                <wp:positionH relativeFrom="column">
                  <wp:posOffset>595630</wp:posOffset>
                </wp:positionH>
                <wp:positionV relativeFrom="paragraph">
                  <wp:posOffset>2938780</wp:posOffset>
                </wp:positionV>
                <wp:extent cx="1419225" cy="295275"/>
                <wp:effectExtent l="0" t="0" r="9525" b="9525"/>
                <wp:wrapNone/>
                <wp:docPr id="427952979" name="Zone de texte 10"/>
                <wp:cNvGraphicFramePr/>
                <a:graphic xmlns:a="http://schemas.openxmlformats.org/drawingml/2006/main">
                  <a:graphicData uri="http://schemas.microsoft.com/office/word/2010/wordprocessingShape">
                    <wps:wsp>
                      <wps:cNvSpPr txBox="1"/>
                      <wps:spPr>
                        <a:xfrm>
                          <a:off x="0" y="0"/>
                          <a:ext cx="1419225" cy="295275"/>
                        </a:xfrm>
                        <a:prstGeom prst="rect">
                          <a:avLst/>
                        </a:prstGeom>
                        <a:solidFill>
                          <a:schemeClr val="lt1"/>
                        </a:solidFill>
                        <a:ln w="6350">
                          <a:noFill/>
                        </a:ln>
                      </wps:spPr>
                      <wps:txbx>
                        <w:txbxContent>
                          <w:p w14:paraId="460EDD65" w14:textId="20DE0647" w:rsidR="005E779A" w:rsidRDefault="005E779A">
                            <w:r>
                              <w:t>Root yield (t/ha)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F682D" id="Zone de texte 10" o:spid="_x0000_s1038" type="#_x0000_t202" style="position:absolute;left:0;text-align:left;margin-left:46.9pt;margin-top:231.4pt;width:111.7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" fillcolor="white [3201]" stroked="f" strokeweight=".5pt">
                <v:textbox>
                  <w:txbxContent>
                    <w:p w14:paraId="460EDD65" w14:textId="20DE0647" w:rsidR="005E779A" w:rsidRDefault="005E779A">
                      <w:r>
                        <w:t>Root yield (t/ha)</w:t>
                      </w:r>
                    </w:p>
                  </w:txbxContent>
                </v:textbox>
              </v:shape>
            </w:pict>
          </mc:Fallback>
        </mc:AlternateContent>
      </w:r>
      <w:r w:rsidR="004347C2" w:rsidRPr="004347C2">
        <w:rPr>
          <w:rFonts w:ascii="Calibri" w:eastAsia="Calibri" w:hAnsi="Calibri" w:cs="Times New Roman"/>
          <w:noProof/>
          <w:kern w:val="0"/>
        </w:rPr>
        <w:drawing>
          <wp:inline distT="0" distB="0" distL="0" distR="0" wp14:anchorId="1FB64B52" wp14:editId="3A512A95">
            <wp:extent cx="4659465" cy="3450866"/>
            <wp:effectExtent l="0" t="0" r="8255" b="16510"/>
            <wp:docPr id="146444133" name="Graphique 1">
              <a:extLst xmlns:a="http://schemas.openxmlformats.org/drawingml/2006/main">
                <a:ext uri="{FF2B5EF4-FFF2-40B4-BE49-F238E27FC236}">
                  <a16:creationId xmlns:a16="http://schemas.microsoft.com/office/drawing/2014/main" id="{0104F4FF-ED55-2037-93F2-673E4EFF18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9FC36C3" w14:textId="38C4E8D9" w:rsidR="004347C2" w:rsidRPr="00394749" w:rsidRDefault="00394749" w:rsidP="004347C2">
      <w:pPr>
        <w:spacing w:after="3" w:line="248" w:lineRule="auto"/>
        <w:ind w:left="6" w:hanging="6"/>
        <w:jc w:val="both"/>
        <w:rPr>
          <w:rFonts w:ascii="Times New Roman" w:eastAsia="Times New Roman" w:hAnsi="Times New Roman" w:cs="Times New Roman"/>
          <w:b/>
          <w:bCs/>
          <w:color w:val="000000"/>
          <w:lang w:val="en-GB" w:eastAsia="fr-FR"/>
        </w:rPr>
      </w:pPr>
      <w:r w:rsidRPr="00394749">
        <w:rPr>
          <w:rFonts w:ascii="Times New Roman" w:eastAsia="Calibri" w:hAnsi="Times New Roman" w:cs="Times New Roman"/>
          <w:i/>
          <w:iCs/>
          <w:color w:val="000000"/>
          <w:kern w:val="0"/>
          <w:lang w:val="en-GB"/>
          <w14:ligatures w14:val="none"/>
        </w:rPr>
        <w:t>Figure 7: Effects of Furadan- and water hyacinth–based formulations on beetroot root yield</w:t>
      </w:r>
    </w:p>
    <w:p w14:paraId="2BCD7F27" w14:textId="77777777" w:rsidR="004347C2" w:rsidRPr="00394749" w:rsidRDefault="004347C2" w:rsidP="004347C2">
      <w:pPr>
        <w:spacing w:after="156"/>
        <w:rPr>
          <w:rFonts w:ascii="Times New Roman" w:eastAsia="Times New Roman" w:hAnsi="Times New Roman" w:cs="Times New Roman"/>
          <w:color w:val="000000"/>
          <w:sz w:val="24"/>
          <w:szCs w:val="24"/>
          <w:lang w:val="en-GB" w:eastAsia="fr-FR"/>
        </w:rPr>
      </w:pPr>
    </w:p>
    <w:p w14:paraId="629D1F05" w14:textId="5611F7BB" w:rsidR="00394749" w:rsidRPr="00394749" w:rsidRDefault="00394749" w:rsidP="00103142">
      <w:pPr>
        <w:pStyle w:val="Titre2"/>
        <w:numPr>
          <w:ilvl w:val="1"/>
          <w:numId w:val="3"/>
        </w:numPr>
        <w:rPr>
          <w:rFonts w:eastAsia="Times New Roman"/>
          <w:lang w:val="en-GB" w:eastAsia="fr-FR"/>
        </w:rPr>
      </w:pPr>
      <w:r w:rsidRPr="00394749">
        <w:rPr>
          <w:rFonts w:eastAsia="Times New Roman"/>
          <w:lang w:val="en-GB" w:eastAsia="fr-FR"/>
        </w:rPr>
        <w:t>Effects of Organic Manure Combined with Furadan- or Water Hyacinth–Based Formulations on Beetroot Root Yield</w:t>
      </w:r>
    </w:p>
    <w:p w14:paraId="40BBFBAD" w14:textId="77777777" w:rsidR="00394749" w:rsidRPr="00394749" w:rsidRDefault="00394749" w:rsidP="00394749">
      <w:pPr>
        <w:spacing w:after="0"/>
        <w:rPr>
          <w:rFonts w:ascii="Times New Roman" w:eastAsia="Times New Roman" w:hAnsi="Times New Roman" w:cs="Times New Roman"/>
          <w:b/>
          <w:kern w:val="0"/>
          <w:sz w:val="24"/>
          <w:szCs w:val="24"/>
          <w:lang w:val="en-GB" w:eastAsia="fr-FR"/>
          <w14:ligatures w14:val="none"/>
        </w:rPr>
      </w:pPr>
    </w:p>
    <w:p w14:paraId="50DBDF82" w14:textId="79AE1D1E" w:rsidR="004347C2" w:rsidRPr="00394749" w:rsidRDefault="00394749" w:rsidP="00394749">
      <w:pPr>
        <w:spacing w:after="0" w:line="360" w:lineRule="auto"/>
        <w:jc w:val="both"/>
        <w:rPr>
          <w:rFonts w:ascii="Times New Roman" w:eastAsia="Times New Roman" w:hAnsi="Times New Roman" w:cs="Times New Roman"/>
          <w:bCs/>
          <w:kern w:val="0"/>
          <w:sz w:val="24"/>
          <w:szCs w:val="24"/>
          <w:lang w:val="en-GB" w:eastAsia="fr-FR"/>
          <w14:ligatures w14:val="none"/>
        </w:rPr>
      </w:pPr>
      <w:r w:rsidRPr="00394749">
        <w:rPr>
          <w:rFonts w:ascii="Times New Roman" w:eastAsia="Times New Roman" w:hAnsi="Times New Roman" w:cs="Times New Roman"/>
          <w:bCs/>
          <w:kern w:val="0"/>
          <w:sz w:val="24"/>
          <w:szCs w:val="24"/>
          <w:lang w:val="en-GB" w:eastAsia="fr-FR"/>
          <w14:ligatures w14:val="none"/>
        </w:rPr>
        <w:t>The results presented in Table 3 show that combining organic manure with Furadan- or water hyacinth–based formulations had a highly significant effect on beetroot root yield (P = 0.003). The lowest yields were observed in treatments without organic manure (0 t/ha), particularly with the aerial-part extract of water hyacinth (D0 Ja.P/A, 9.43 t/ha), which was markedly lower than Furadan alone (D0 FU, 17.86 t/ha) and the submerged-part extract (D0 Ja.P/Im, 24.35 t/ha).Applying 10 t/ha of manure significantly increased yields across all treatments (33.68–37.03 t/ha). The highest yield was achieved with 15 t/ha combined with the submerged-part extract (D15 Ja.P/Im), reaching 54.25 t/ha</w:t>
      </w:r>
      <w:r w:rsidR="00370FB5">
        <w:rPr>
          <w:rFonts w:ascii="Times New Roman" w:eastAsia="Times New Roman" w:hAnsi="Times New Roman" w:cs="Times New Roman"/>
          <w:bCs/>
          <w:kern w:val="0"/>
          <w:sz w:val="24"/>
          <w:szCs w:val="24"/>
          <w:lang w:val="en-GB" w:eastAsia="fr-FR"/>
          <w14:ligatures w14:val="none"/>
        </w:rPr>
        <w:t xml:space="preserve"> </w:t>
      </w:r>
      <w:r w:rsidRPr="00394749">
        <w:rPr>
          <w:rFonts w:ascii="Times New Roman" w:eastAsia="Times New Roman" w:hAnsi="Times New Roman" w:cs="Times New Roman"/>
          <w:bCs/>
          <w:kern w:val="0"/>
          <w:sz w:val="24"/>
          <w:szCs w:val="24"/>
          <w:lang w:val="en-GB" w:eastAsia="fr-FR"/>
          <w14:ligatures w14:val="none"/>
        </w:rPr>
        <w:t>a 203.8% increase compared with the control (D0 FU). This yield was significantly higher than other 15 t/ha combinations, including D15 FU (33.91 t/ha) and D15 Ja.P/A (33.2 t/ha).</w:t>
      </w:r>
    </w:p>
    <w:p w14:paraId="78E2CFE0" w14:textId="77777777" w:rsidR="00394749" w:rsidRPr="00394749" w:rsidRDefault="00394749" w:rsidP="00394749">
      <w:pPr>
        <w:spacing w:after="0"/>
        <w:rPr>
          <w:rFonts w:ascii="Times New Roman" w:eastAsia="Times New Roman" w:hAnsi="Times New Roman" w:cs="Times New Roman"/>
          <w:color w:val="000000"/>
          <w:sz w:val="24"/>
          <w:szCs w:val="24"/>
          <w:lang w:val="en-GB" w:eastAsia="fr-FR"/>
        </w:rPr>
      </w:pPr>
    </w:p>
    <w:p w14:paraId="1E1A597E" w14:textId="2406C668" w:rsidR="004347C2" w:rsidRPr="007765CA" w:rsidRDefault="007765CA" w:rsidP="004347C2">
      <w:pPr>
        <w:keepNext/>
        <w:spacing w:after="200" w:line="240" w:lineRule="auto"/>
        <w:ind w:left="1276" w:hanging="1276"/>
        <w:rPr>
          <w:rFonts w:ascii="Times New Roman" w:eastAsia="Calibri" w:hAnsi="Times New Roman" w:cs="Times New Roman"/>
          <w:b/>
          <w:bCs/>
          <w:i/>
          <w:iCs/>
          <w:color w:val="000000"/>
          <w:kern w:val="0"/>
          <w:lang w:val="en-GB"/>
          <w14:ligatures w14:val="none"/>
        </w:rPr>
      </w:pPr>
      <w:r w:rsidRPr="007765CA">
        <w:rPr>
          <w:rFonts w:ascii="Times New Roman" w:eastAsia="Calibri" w:hAnsi="Times New Roman" w:cs="Times New Roman"/>
          <w:b/>
          <w:bCs/>
          <w:i/>
          <w:iCs/>
          <w:color w:val="000000"/>
          <w:kern w:val="0"/>
          <w:lang w:val="en-GB"/>
          <w14:ligatures w14:val="none"/>
        </w:rPr>
        <w:t xml:space="preserve">Table 3: Effects of organic manure combined with Furadan- or water </w:t>
      </w:r>
      <w:r w:rsidR="00D253DA" w:rsidRPr="007765CA">
        <w:rPr>
          <w:rFonts w:ascii="Times New Roman" w:eastAsia="Calibri" w:hAnsi="Times New Roman" w:cs="Times New Roman"/>
          <w:b/>
          <w:bCs/>
          <w:i/>
          <w:iCs/>
          <w:color w:val="000000"/>
          <w:kern w:val="0"/>
          <w:lang w:val="en-GB"/>
          <w14:ligatures w14:val="none"/>
        </w:rPr>
        <w:t>hyacinth</w:t>
      </w:r>
      <w:r w:rsidR="00D253DA">
        <w:rPr>
          <w:rFonts w:ascii="Times New Roman" w:eastAsia="Calibri" w:hAnsi="Times New Roman" w:cs="Times New Roman"/>
          <w:b/>
          <w:bCs/>
          <w:i/>
          <w:iCs/>
          <w:color w:val="000000"/>
          <w:kern w:val="0"/>
          <w:lang w:val="en-GB"/>
          <w14:ligatures w14:val="none"/>
        </w:rPr>
        <w:t>-based</w:t>
      </w:r>
      <w:r w:rsidRPr="007765CA">
        <w:rPr>
          <w:rFonts w:ascii="Times New Roman" w:eastAsia="Calibri" w:hAnsi="Times New Roman" w:cs="Times New Roman"/>
          <w:b/>
          <w:bCs/>
          <w:i/>
          <w:iCs/>
          <w:color w:val="000000"/>
          <w:kern w:val="0"/>
          <w:lang w:val="en-GB"/>
          <w14:ligatures w14:val="none"/>
        </w:rPr>
        <w:t xml:space="preserve"> formulations on beetroot root yield</w:t>
      </w:r>
    </w:p>
    <w:tbl>
      <w:tblPr>
        <w:tblStyle w:val="TableGrid2"/>
        <w:tblW w:w="7667" w:type="dxa"/>
        <w:jc w:val="center"/>
        <w:tblInd w:w="0" w:type="dxa"/>
        <w:tblCellMar>
          <w:top w:w="19" w:type="dxa"/>
          <w:right w:w="115" w:type="dxa"/>
        </w:tblCellMar>
        <w:tblLook w:val="04A0" w:firstRow="1" w:lastRow="0" w:firstColumn="1" w:lastColumn="0" w:noHBand="0" w:noVBand="1"/>
      </w:tblPr>
      <w:tblGrid>
        <w:gridCol w:w="4892"/>
        <w:gridCol w:w="2775"/>
      </w:tblGrid>
      <w:tr w:rsidR="004347C2" w:rsidRPr="004347C2" w14:paraId="222B2FC9" w14:textId="77777777" w:rsidTr="004B4C02">
        <w:trPr>
          <w:trHeight w:val="442"/>
          <w:jc w:val="center"/>
        </w:trPr>
        <w:tc>
          <w:tcPr>
            <w:tcW w:w="4892" w:type="dxa"/>
            <w:tcBorders>
              <w:top w:val="single" w:sz="4" w:space="0" w:color="000000"/>
              <w:left w:val="nil"/>
              <w:bottom w:val="single" w:sz="4" w:space="0" w:color="000000"/>
              <w:right w:val="nil"/>
            </w:tcBorders>
          </w:tcPr>
          <w:p w14:paraId="73E7F363" w14:textId="186988B5" w:rsidR="004347C2" w:rsidRPr="004347C2" w:rsidRDefault="00BC096E" w:rsidP="004347C2">
            <w:pPr>
              <w:ind w:right="70"/>
              <w:jc w:val="center"/>
              <w:rPr>
                <w:rFonts w:ascii="Times New Roman" w:hAnsi="Times New Roman" w:cs="Times New Roman"/>
                <w:color w:val="000000"/>
              </w:rPr>
            </w:pPr>
            <w:r w:rsidRPr="00BC096E">
              <w:rPr>
                <w:rFonts w:ascii="Times New Roman" w:hAnsi="Times New Roman" w:cs="Times New Roman"/>
                <w:b/>
                <w:color w:val="000000"/>
              </w:rPr>
              <w:t>Treatments</w:t>
            </w:r>
            <w:r w:rsidR="004347C2" w:rsidRPr="004347C2">
              <w:rPr>
                <w:rFonts w:ascii="Times New Roman" w:hAnsi="Times New Roman" w:cs="Times New Roman"/>
                <w:b/>
                <w:color w:val="000000"/>
              </w:rPr>
              <w:t xml:space="preserve"> </w:t>
            </w:r>
          </w:p>
        </w:tc>
        <w:tc>
          <w:tcPr>
            <w:tcW w:w="2775" w:type="dxa"/>
            <w:tcBorders>
              <w:top w:val="single" w:sz="4" w:space="0" w:color="000000"/>
              <w:left w:val="nil"/>
              <w:bottom w:val="single" w:sz="4" w:space="0" w:color="000000"/>
              <w:right w:val="nil"/>
            </w:tcBorders>
          </w:tcPr>
          <w:p w14:paraId="24711B25" w14:textId="2BE9A4FC" w:rsidR="004347C2" w:rsidRPr="004347C2" w:rsidRDefault="00BC096E" w:rsidP="004347C2">
            <w:pPr>
              <w:rPr>
                <w:rFonts w:ascii="Times New Roman" w:hAnsi="Times New Roman" w:cs="Times New Roman"/>
                <w:color w:val="000000"/>
              </w:rPr>
            </w:pPr>
            <w:r w:rsidRPr="00BC096E">
              <w:rPr>
                <w:rFonts w:ascii="Times New Roman" w:hAnsi="Times New Roman" w:cs="Times New Roman"/>
                <w:b/>
                <w:color w:val="000000"/>
              </w:rPr>
              <w:t>Root Yield (t/ha)</w:t>
            </w:r>
          </w:p>
        </w:tc>
      </w:tr>
      <w:tr w:rsidR="004347C2" w:rsidRPr="004347C2" w14:paraId="7352B4EA" w14:textId="77777777" w:rsidTr="004B4C02">
        <w:trPr>
          <w:trHeight w:val="368"/>
          <w:jc w:val="center"/>
        </w:trPr>
        <w:tc>
          <w:tcPr>
            <w:tcW w:w="4892" w:type="dxa"/>
            <w:tcBorders>
              <w:top w:val="single" w:sz="4" w:space="0" w:color="000000"/>
              <w:left w:val="nil"/>
              <w:bottom w:val="nil"/>
              <w:right w:val="nil"/>
            </w:tcBorders>
          </w:tcPr>
          <w:p w14:paraId="6DD50796" w14:textId="77777777" w:rsidR="004347C2" w:rsidRPr="004347C2" w:rsidRDefault="004347C2" w:rsidP="004347C2">
            <w:pPr>
              <w:ind w:left="122"/>
              <w:rPr>
                <w:rFonts w:ascii="Times New Roman" w:hAnsi="Times New Roman" w:cs="Times New Roman"/>
                <w:color w:val="000000"/>
              </w:rPr>
            </w:pPr>
            <w:r w:rsidRPr="004347C2">
              <w:rPr>
                <w:rFonts w:ascii="Times New Roman" w:hAnsi="Times New Roman" w:cs="Times New Roman"/>
                <w:color w:val="000000"/>
              </w:rPr>
              <w:t xml:space="preserve">D0FU (0t/ha+ FURADAN) </w:t>
            </w:r>
          </w:p>
        </w:tc>
        <w:tc>
          <w:tcPr>
            <w:tcW w:w="2775" w:type="dxa"/>
            <w:tcBorders>
              <w:top w:val="single" w:sz="4" w:space="0" w:color="000000"/>
              <w:left w:val="nil"/>
              <w:bottom w:val="nil"/>
              <w:right w:val="nil"/>
            </w:tcBorders>
          </w:tcPr>
          <w:p w14:paraId="2090EFF8" w14:textId="77777777" w:rsidR="004347C2" w:rsidRPr="004347C2" w:rsidRDefault="004347C2" w:rsidP="004347C2">
            <w:pPr>
              <w:ind w:right="84"/>
              <w:jc w:val="center"/>
              <w:rPr>
                <w:rFonts w:ascii="Times New Roman" w:hAnsi="Times New Roman" w:cs="Times New Roman"/>
                <w:color w:val="000000"/>
              </w:rPr>
            </w:pPr>
            <w:r w:rsidRPr="004347C2">
              <w:rPr>
                <w:rFonts w:ascii="Times New Roman" w:hAnsi="Times New Roman" w:cs="Times New Roman"/>
                <w:color w:val="000000"/>
              </w:rPr>
              <w:t xml:space="preserve">17,86±5,54c </w:t>
            </w:r>
          </w:p>
        </w:tc>
      </w:tr>
      <w:tr w:rsidR="004347C2" w:rsidRPr="004347C2" w14:paraId="505CEA36" w14:textId="77777777" w:rsidTr="004B4C02">
        <w:trPr>
          <w:trHeight w:val="432"/>
          <w:jc w:val="center"/>
        </w:trPr>
        <w:tc>
          <w:tcPr>
            <w:tcW w:w="4892" w:type="dxa"/>
            <w:tcBorders>
              <w:top w:val="nil"/>
              <w:left w:val="nil"/>
              <w:bottom w:val="nil"/>
              <w:right w:val="nil"/>
            </w:tcBorders>
          </w:tcPr>
          <w:p w14:paraId="46F35B36" w14:textId="0C9FC1E6" w:rsidR="004347C2" w:rsidRPr="004347C2" w:rsidRDefault="004347C2" w:rsidP="004347C2">
            <w:pPr>
              <w:ind w:left="122"/>
              <w:rPr>
                <w:rFonts w:ascii="Times New Roman" w:hAnsi="Times New Roman" w:cs="Times New Roman"/>
                <w:color w:val="000000"/>
              </w:rPr>
            </w:pPr>
            <w:r w:rsidRPr="004347C2">
              <w:rPr>
                <w:rFonts w:ascii="Times New Roman" w:hAnsi="Times New Roman" w:cs="Times New Roman"/>
                <w:color w:val="000000"/>
              </w:rPr>
              <w:t xml:space="preserve">D0Ja.P/A (0t/ha+ JACINTH.P/A) </w:t>
            </w:r>
          </w:p>
        </w:tc>
        <w:tc>
          <w:tcPr>
            <w:tcW w:w="2775" w:type="dxa"/>
            <w:tcBorders>
              <w:top w:val="nil"/>
              <w:left w:val="nil"/>
              <w:bottom w:val="nil"/>
              <w:right w:val="nil"/>
            </w:tcBorders>
          </w:tcPr>
          <w:p w14:paraId="00FEF72B" w14:textId="77777777" w:rsidR="004347C2" w:rsidRPr="004347C2" w:rsidRDefault="004347C2" w:rsidP="004347C2">
            <w:pPr>
              <w:ind w:right="84"/>
              <w:jc w:val="center"/>
              <w:rPr>
                <w:rFonts w:ascii="Times New Roman" w:hAnsi="Times New Roman" w:cs="Times New Roman"/>
                <w:color w:val="000000"/>
              </w:rPr>
            </w:pPr>
            <w:r w:rsidRPr="004347C2">
              <w:rPr>
                <w:rFonts w:ascii="Times New Roman" w:hAnsi="Times New Roman" w:cs="Times New Roman"/>
                <w:color w:val="000000"/>
              </w:rPr>
              <w:t xml:space="preserve">9,43±8,14c </w:t>
            </w:r>
          </w:p>
        </w:tc>
      </w:tr>
      <w:tr w:rsidR="004347C2" w:rsidRPr="004347C2" w14:paraId="16A23BAE" w14:textId="77777777" w:rsidTr="004B4C02">
        <w:trPr>
          <w:trHeight w:val="432"/>
          <w:jc w:val="center"/>
        </w:trPr>
        <w:tc>
          <w:tcPr>
            <w:tcW w:w="4892" w:type="dxa"/>
            <w:tcBorders>
              <w:top w:val="nil"/>
              <w:left w:val="nil"/>
              <w:bottom w:val="nil"/>
              <w:right w:val="nil"/>
            </w:tcBorders>
          </w:tcPr>
          <w:p w14:paraId="1791FF4D" w14:textId="67DE3C7D" w:rsidR="004347C2" w:rsidRPr="004347C2" w:rsidRDefault="004347C2" w:rsidP="004347C2">
            <w:pPr>
              <w:ind w:left="122"/>
              <w:rPr>
                <w:rFonts w:ascii="Times New Roman" w:hAnsi="Times New Roman" w:cs="Times New Roman"/>
                <w:color w:val="000000"/>
              </w:rPr>
            </w:pPr>
            <w:r w:rsidRPr="004347C2">
              <w:rPr>
                <w:rFonts w:ascii="Times New Roman" w:hAnsi="Times New Roman" w:cs="Times New Roman"/>
                <w:color w:val="000000"/>
              </w:rPr>
              <w:lastRenderedPageBreak/>
              <w:t xml:space="preserve">D0 Ja.P/Im (0t/ha+ JACINTH.P/Im) </w:t>
            </w:r>
          </w:p>
        </w:tc>
        <w:tc>
          <w:tcPr>
            <w:tcW w:w="2775" w:type="dxa"/>
            <w:tcBorders>
              <w:top w:val="nil"/>
              <w:left w:val="nil"/>
              <w:bottom w:val="nil"/>
              <w:right w:val="nil"/>
            </w:tcBorders>
          </w:tcPr>
          <w:p w14:paraId="56FBD835" w14:textId="77777777" w:rsidR="004347C2" w:rsidRPr="004347C2" w:rsidRDefault="004347C2" w:rsidP="004347C2">
            <w:pPr>
              <w:ind w:right="84"/>
              <w:jc w:val="center"/>
              <w:rPr>
                <w:rFonts w:ascii="Times New Roman" w:hAnsi="Times New Roman" w:cs="Times New Roman"/>
                <w:color w:val="000000"/>
              </w:rPr>
            </w:pPr>
            <w:r w:rsidRPr="004347C2">
              <w:rPr>
                <w:rFonts w:ascii="Times New Roman" w:hAnsi="Times New Roman" w:cs="Times New Roman"/>
                <w:color w:val="000000"/>
              </w:rPr>
              <w:t xml:space="preserve">24,35±4,53bc </w:t>
            </w:r>
          </w:p>
        </w:tc>
      </w:tr>
      <w:tr w:rsidR="004347C2" w:rsidRPr="004347C2" w14:paraId="320846FF" w14:textId="77777777" w:rsidTr="004B4C02">
        <w:trPr>
          <w:trHeight w:val="432"/>
          <w:jc w:val="center"/>
        </w:trPr>
        <w:tc>
          <w:tcPr>
            <w:tcW w:w="4892" w:type="dxa"/>
            <w:tcBorders>
              <w:top w:val="nil"/>
              <w:left w:val="nil"/>
              <w:bottom w:val="nil"/>
              <w:right w:val="nil"/>
            </w:tcBorders>
          </w:tcPr>
          <w:p w14:paraId="68D82E31" w14:textId="77777777" w:rsidR="004347C2" w:rsidRPr="004347C2" w:rsidRDefault="004347C2" w:rsidP="004347C2">
            <w:pPr>
              <w:ind w:left="122"/>
              <w:rPr>
                <w:rFonts w:ascii="Times New Roman" w:hAnsi="Times New Roman" w:cs="Times New Roman"/>
                <w:color w:val="000000"/>
              </w:rPr>
            </w:pPr>
            <w:r w:rsidRPr="004347C2">
              <w:rPr>
                <w:rFonts w:ascii="Times New Roman" w:hAnsi="Times New Roman" w:cs="Times New Roman"/>
                <w:color w:val="000000"/>
              </w:rPr>
              <w:t xml:space="preserve">D10FU (10t/ha+ FURADAN) </w:t>
            </w:r>
          </w:p>
        </w:tc>
        <w:tc>
          <w:tcPr>
            <w:tcW w:w="2775" w:type="dxa"/>
            <w:tcBorders>
              <w:top w:val="nil"/>
              <w:left w:val="nil"/>
              <w:bottom w:val="nil"/>
              <w:right w:val="nil"/>
            </w:tcBorders>
          </w:tcPr>
          <w:p w14:paraId="4870FF8B" w14:textId="77777777" w:rsidR="004347C2" w:rsidRPr="004347C2" w:rsidRDefault="004347C2" w:rsidP="004347C2">
            <w:pPr>
              <w:ind w:right="85"/>
              <w:jc w:val="center"/>
              <w:rPr>
                <w:rFonts w:ascii="Times New Roman" w:hAnsi="Times New Roman" w:cs="Times New Roman"/>
                <w:color w:val="000000"/>
              </w:rPr>
            </w:pPr>
            <w:r w:rsidRPr="004347C2">
              <w:rPr>
                <w:rFonts w:ascii="Times New Roman" w:hAnsi="Times New Roman" w:cs="Times New Roman"/>
                <w:color w:val="000000"/>
              </w:rPr>
              <w:t xml:space="preserve">34,73±3,84b </w:t>
            </w:r>
          </w:p>
        </w:tc>
      </w:tr>
      <w:tr w:rsidR="004347C2" w:rsidRPr="004347C2" w14:paraId="1AA0C64E" w14:textId="77777777" w:rsidTr="004B4C02">
        <w:trPr>
          <w:trHeight w:val="432"/>
          <w:jc w:val="center"/>
        </w:trPr>
        <w:tc>
          <w:tcPr>
            <w:tcW w:w="4892" w:type="dxa"/>
            <w:tcBorders>
              <w:top w:val="nil"/>
              <w:left w:val="nil"/>
              <w:bottom w:val="nil"/>
              <w:right w:val="nil"/>
            </w:tcBorders>
          </w:tcPr>
          <w:p w14:paraId="029873C4" w14:textId="1EA9DB1E" w:rsidR="004347C2" w:rsidRPr="004347C2" w:rsidRDefault="004347C2" w:rsidP="004347C2">
            <w:pPr>
              <w:ind w:left="122"/>
              <w:rPr>
                <w:rFonts w:ascii="Times New Roman" w:hAnsi="Times New Roman" w:cs="Times New Roman"/>
                <w:color w:val="000000"/>
              </w:rPr>
            </w:pPr>
            <w:r w:rsidRPr="004347C2">
              <w:rPr>
                <w:rFonts w:ascii="Times New Roman" w:hAnsi="Times New Roman" w:cs="Times New Roman"/>
                <w:color w:val="000000"/>
              </w:rPr>
              <w:t xml:space="preserve">D10Ja.P/A (10t/ha+ </w:t>
            </w:r>
            <w:r w:rsidR="003E0B8E" w:rsidRPr="004347C2">
              <w:rPr>
                <w:rFonts w:ascii="Times New Roman" w:hAnsi="Times New Roman" w:cs="Times New Roman"/>
                <w:color w:val="000000"/>
              </w:rPr>
              <w:t xml:space="preserve">JACINTH </w:t>
            </w:r>
            <w:r w:rsidRPr="004347C2">
              <w:rPr>
                <w:rFonts w:ascii="Times New Roman" w:hAnsi="Times New Roman" w:cs="Times New Roman"/>
                <w:color w:val="000000"/>
              </w:rPr>
              <w:t xml:space="preserve">/A) </w:t>
            </w:r>
          </w:p>
        </w:tc>
        <w:tc>
          <w:tcPr>
            <w:tcW w:w="2775" w:type="dxa"/>
            <w:tcBorders>
              <w:top w:val="nil"/>
              <w:left w:val="nil"/>
              <w:bottom w:val="nil"/>
              <w:right w:val="nil"/>
            </w:tcBorders>
          </w:tcPr>
          <w:p w14:paraId="2D9DD27D" w14:textId="77777777" w:rsidR="004347C2" w:rsidRPr="004347C2" w:rsidRDefault="004347C2" w:rsidP="004347C2">
            <w:pPr>
              <w:ind w:right="85"/>
              <w:jc w:val="center"/>
              <w:rPr>
                <w:rFonts w:ascii="Times New Roman" w:hAnsi="Times New Roman" w:cs="Times New Roman"/>
                <w:color w:val="000000"/>
              </w:rPr>
            </w:pPr>
            <w:r w:rsidRPr="004347C2">
              <w:rPr>
                <w:rFonts w:ascii="Times New Roman" w:hAnsi="Times New Roman" w:cs="Times New Roman"/>
                <w:color w:val="000000"/>
              </w:rPr>
              <w:t xml:space="preserve">33,68±7,19b </w:t>
            </w:r>
          </w:p>
        </w:tc>
      </w:tr>
      <w:tr w:rsidR="004347C2" w:rsidRPr="004347C2" w14:paraId="7FA840C2" w14:textId="77777777" w:rsidTr="004B4C02">
        <w:trPr>
          <w:trHeight w:val="432"/>
          <w:jc w:val="center"/>
        </w:trPr>
        <w:tc>
          <w:tcPr>
            <w:tcW w:w="4892" w:type="dxa"/>
            <w:tcBorders>
              <w:top w:val="nil"/>
              <w:left w:val="nil"/>
              <w:bottom w:val="nil"/>
              <w:right w:val="nil"/>
            </w:tcBorders>
          </w:tcPr>
          <w:p w14:paraId="24E44DFE" w14:textId="7547E0EB" w:rsidR="004347C2" w:rsidRPr="004347C2" w:rsidRDefault="004347C2" w:rsidP="004347C2">
            <w:pPr>
              <w:ind w:left="122"/>
              <w:rPr>
                <w:rFonts w:ascii="Times New Roman" w:hAnsi="Times New Roman" w:cs="Times New Roman"/>
                <w:color w:val="000000"/>
              </w:rPr>
            </w:pPr>
            <w:r w:rsidRPr="004347C2">
              <w:rPr>
                <w:rFonts w:ascii="Times New Roman" w:hAnsi="Times New Roman" w:cs="Times New Roman"/>
                <w:color w:val="000000"/>
              </w:rPr>
              <w:t xml:space="preserve">D10 Ja.P/Im (10t/ha+ JACINTH.P/Im) </w:t>
            </w:r>
          </w:p>
        </w:tc>
        <w:tc>
          <w:tcPr>
            <w:tcW w:w="2775" w:type="dxa"/>
            <w:tcBorders>
              <w:top w:val="nil"/>
              <w:left w:val="nil"/>
              <w:bottom w:val="nil"/>
              <w:right w:val="nil"/>
            </w:tcBorders>
          </w:tcPr>
          <w:p w14:paraId="6590D0D4" w14:textId="77777777" w:rsidR="004347C2" w:rsidRPr="004347C2" w:rsidRDefault="004347C2" w:rsidP="004347C2">
            <w:pPr>
              <w:ind w:right="84"/>
              <w:jc w:val="center"/>
              <w:rPr>
                <w:rFonts w:ascii="Times New Roman" w:hAnsi="Times New Roman" w:cs="Times New Roman"/>
                <w:color w:val="000000"/>
              </w:rPr>
            </w:pPr>
            <w:r w:rsidRPr="004347C2">
              <w:rPr>
                <w:rFonts w:ascii="Times New Roman" w:hAnsi="Times New Roman" w:cs="Times New Roman"/>
                <w:color w:val="000000"/>
              </w:rPr>
              <w:t xml:space="preserve">37,03±4,91ab </w:t>
            </w:r>
          </w:p>
        </w:tc>
      </w:tr>
      <w:tr w:rsidR="004347C2" w:rsidRPr="004347C2" w14:paraId="2FD3FE49" w14:textId="77777777" w:rsidTr="004B4C02">
        <w:trPr>
          <w:trHeight w:val="432"/>
          <w:jc w:val="center"/>
        </w:trPr>
        <w:tc>
          <w:tcPr>
            <w:tcW w:w="4892" w:type="dxa"/>
            <w:tcBorders>
              <w:top w:val="nil"/>
              <w:left w:val="nil"/>
              <w:bottom w:val="nil"/>
              <w:right w:val="nil"/>
            </w:tcBorders>
          </w:tcPr>
          <w:p w14:paraId="74C95A52" w14:textId="77777777" w:rsidR="004347C2" w:rsidRPr="004347C2" w:rsidRDefault="004347C2" w:rsidP="004347C2">
            <w:pPr>
              <w:ind w:left="122"/>
              <w:rPr>
                <w:rFonts w:ascii="Times New Roman" w:hAnsi="Times New Roman" w:cs="Times New Roman"/>
                <w:color w:val="000000"/>
              </w:rPr>
            </w:pPr>
            <w:r w:rsidRPr="004347C2">
              <w:rPr>
                <w:rFonts w:ascii="Times New Roman" w:hAnsi="Times New Roman" w:cs="Times New Roman"/>
                <w:color w:val="000000"/>
              </w:rPr>
              <w:t xml:space="preserve">D15FU (15t/ha+ FURADAN) </w:t>
            </w:r>
          </w:p>
        </w:tc>
        <w:tc>
          <w:tcPr>
            <w:tcW w:w="2775" w:type="dxa"/>
            <w:tcBorders>
              <w:top w:val="nil"/>
              <w:left w:val="nil"/>
              <w:bottom w:val="nil"/>
              <w:right w:val="nil"/>
            </w:tcBorders>
          </w:tcPr>
          <w:p w14:paraId="6B9AE1C4" w14:textId="77777777" w:rsidR="004347C2" w:rsidRPr="004347C2" w:rsidRDefault="004347C2" w:rsidP="004347C2">
            <w:pPr>
              <w:ind w:right="84"/>
              <w:jc w:val="center"/>
              <w:rPr>
                <w:rFonts w:ascii="Times New Roman" w:hAnsi="Times New Roman" w:cs="Times New Roman"/>
                <w:color w:val="000000"/>
              </w:rPr>
            </w:pPr>
            <w:r w:rsidRPr="004347C2">
              <w:rPr>
                <w:rFonts w:ascii="Times New Roman" w:hAnsi="Times New Roman" w:cs="Times New Roman"/>
                <w:color w:val="000000"/>
              </w:rPr>
              <w:t>33,91±7,96b</w:t>
            </w:r>
          </w:p>
        </w:tc>
      </w:tr>
      <w:tr w:rsidR="004347C2" w:rsidRPr="004347C2" w14:paraId="05AB8204" w14:textId="77777777" w:rsidTr="004B4C02">
        <w:trPr>
          <w:trHeight w:val="432"/>
          <w:jc w:val="center"/>
        </w:trPr>
        <w:tc>
          <w:tcPr>
            <w:tcW w:w="4892" w:type="dxa"/>
            <w:tcBorders>
              <w:top w:val="nil"/>
              <w:left w:val="nil"/>
              <w:bottom w:val="nil"/>
              <w:right w:val="nil"/>
            </w:tcBorders>
          </w:tcPr>
          <w:p w14:paraId="72CF0784" w14:textId="618C7B19" w:rsidR="004347C2" w:rsidRPr="004347C2" w:rsidRDefault="004347C2" w:rsidP="004347C2">
            <w:pPr>
              <w:ind w:left="122"/>
              <w:rPr>
                <w:rFonts w:ascii="Times New Roman" w:hAnsi="Times New Roman" w:cs="Times New Roman"/>
                <w:color w:val="000000"/>
              </w:rPr>
            </w:pPr>
            <w:r w:rsidRPr="004347C2">
              <w:rPr>
                <w:rFonts w:ascii="Times New Roman" w:hAnsi="Times New Roman" w:cs="Times New Roman"/>
                <w:color w:val="000000"/>
              </w:rPr>
              <w:t xml:space="preserve">D15Ja.P/A (15t/ha+ JACINTH.P/A) </w:t>
            </w:r>
          </w:p>
        </w:tc>
        <w:tc>
          <w:tcPr>
            <w:tcW w:w="2775" w:type="dxa"/>
            <w:tcBorders>
              <w:top w:val="nil"/>
              <w:left w:val="nil"/>
              <w:bottom w:val="nil"/>
              <w:right w:val="nil"/>
            </w:tcBorders>
          </w:tcPr>
          <w:p w14:paraId="0B603A5C" w14:textId="77777777" w:rsidR="004347C2" w:rsidRPr="004347C2" w:rsidRDefault="004347C2" w:rsidP="004347C2">
            <w:pPr>
              <w:ind w:right="84"/>
              <w:jc w:val="center"/>
              <w:rPr>
                <w:rFonts w:ascii="Times New Roman" w:hAnsi="Times New Roman" w:cs="Times New Roman"/>
                <w:color w:val="000000"/>
              </w:rPr>
            </w:pPr>
            <w:r w:rsidRPr="004347C2">
              <w:rPr>
                <w:rFonts w:ascii="Times New Roman" w:hAnsi="Times New Roman" w:cs="Times New Roman"/>
                <w:color w:val="000000"/>
              </w:rPr>
              <w:t xml:space="preserve">33,2±7,77b </w:t>
            </w:r>
          </w:p>
        </w:tc>
      </w:tr>
      <w:tr w:rsidR="004347C2" w:rsidRPr="004347C2" w14:paraId="5276D337" w14:textId="77777777" w:rsidTr="004B4C02">
        <w:trPr>
          <w:trHeight w:val="506"/>
          <w:jc w:val="center"/>
        </w:trPr>
        <w:tc>
          <w:tcPr>
            <w:tcW w:w="4892" w:type="dxa"/>
            <w:tcBorders>
              <w:top w:val="nil"/>
              <w:left w:val="nil"/>
              <w:bottom w:val="single" w:sz="4" w:space="0" w:color="000000"/>
              <w:right w:val="nil"/>
            </w:tcBorders>
          </w:tcPr>
          <w:p w14:paraId="1FA77579" w14:textId="655B654A" w:rsidR="004347C2" w:rsidRPr="004347C2" w:rsidRDefault="004347C2" w:rsidP="004347C2">
            <w:pPr>
              <w:ind w:left="122"/>
              <w:rPr>
                <w:rFonts w:ascii="Times New Roman" w:hAnsi="Times New Roman" w:cs="Times New Roman"/>
                <w:color w:val="000000"/>
              </w:rPr>
            </w:pPr>
            <w:r w:rsidRPr="004347C2">
              <w:rPr>
                <w:rFonts w:ascii="Times New Roman" w:hAnsi="Times New Roman" w:cs="Times New Roman"/>
                <w:color w:val="000000"/>
              </w:rPr>
              <w:t xml:space="preserve">D15 Ja.P/Im (15t/ha+ JACINTH.P/Im) </w:t>
            </w:r>
          </w:p>
        </w:tc>
        <w:tc>
          <w:tcPr>
            <w:tcW w:w="2775" w:type="dxa"/>
            <w:tcBorders>
              <w:top w:val="nil"/>
              <w:left w:val="nil"/>
              <w:bottom w:val="single" w:sz="4" w:space="0" w:color="000000"/>
              <w:right w:val="nil"/>
            </w:tcBorders>
          </w:tcPr>
          <w:p w14:paraId="76526843" w14:textId="77777777" w:rsidR="004347C2" w:rsidRPr="004347C2" w:rsidRDefault="004347C2" w:rsidP="004347C2">
            <w:pPr>
              <w:ind w:right="84"/>
              <w:jc w:val="center"/>
              <w:rPr>
                <w:rFonts w:ascii="Times New Roman" w:hAnsi="Times New Roman" w:cs="Times New Roman"/>
                <w:color w:val="000000"/>
              </w:rPr>
            </w:pPr>
            <w:r w:rsidRPr="004347C2">
              <w:rPr>
                <w:rFonts w:ascii="Times New Roman" w:hAnsi="Times New Roman" w:cs="Times New Roman"/>
                <w:color w:val="000000"/>
              </w:rPr>
              <w:t xml:space="preserve">54,25±2,34a </w:t>
            </w:r>
          </w:p>
        </w:tc>
      </w:tr>
      <w:tr w:rsidR="004347C2" w:rsidRPr="004347C2" w14:paraId="713BC223" w14:textId="77777777" w:rsidTr="004B4C02">
        <w:trPr>
          <w:trHeight w:val="442"/>
          <w:jc w:val="center"/>
        </w:trPr>
        <w:tc>
          <w:tcPr>
            <w:tcW w:w="4892" w:type="dxa"/>
            <w:tcBorders>
              <w:top w:val="single" w:sz="4" w:space="0" w:color="000000"/>
              <w:left w:val="nil"/>
              <w:bottom w:val="single" w:sz="4" w:space="0" w:color="000000"/>
              <w:right w:val="nil"/>
            </w:tcBorders>
          </w:tcPr>
          <w:p w14:paraId="3391CF01" w14:textId="77777777" w:rsidR="004347C2" w:rsidRPr="004347C2" w:rsidRDefault="004347C2" w:rsidP="004347C2">
            <w:pPr>
              <w:ind w:right="68"/>
              <w:jc w:val="center"/>
              <w:rPr>
                <w:rFonts w:ascii="Times New Roman" w:hAnsi="Times New Roman" w:cs="Times New Roman"/>
                <w:color w:val="000000"/>
              </w:rPr>
            </w:pPr>
            <w:r w:rsidRPr="004347C2">
              <w:rPr>
                <w:rFonts w:ascii="Times New Roman" w:hAnsi="Times New Roman" w:cs="Times New Roman"/>
                <w:color w:val="000000"/>
              </w:rPr>
              <w:t xml:space="preserve">F </w:t>
            </w:r>
          </w:p>
        </w:tc>
        <w:tc>
          <w:tcPr>
            <w:tcW w:w="2775" w:type="dxa"/>
            <w:tcBorders>
              <w:top w:val="single" w:sz="4" w:space="0" w:color="000000"/>
              <w:left w:val="nil"/>
              <w:bottom w:val="single" w:sz="4" w:space="0" w:color="000000"/>
              <w:right w:val="nil"/>
            </w:tcBorders>
          </w:tcPr>
          <w:p w14:paraId="7BBF3406" w14:textId="77777777" w:rsidR="004347C2" w:rsidRPr="004347C2" w:rsidRDefault="004347C2" w:rsidP="004347C2">
            <w:pPr>
              <w:ind w:right="84"/>
              <w:jc w:val="center"/>
              <w:rPr>
                <w:rFonts w:ascii="Times New Roman" w:hAnsi="Times New Roman" w:cs="Times New Roman"/>
                <w:color w:val="000000"/>
              </w:rPr>
            </w:pPr>
            <w:r w:rsidRPr="004347C2">
              <w:rPr>
                <w:rFonts w:ascii="Times New Roman" w:hAnsi="Times New Roman" w:cs="Times New Roman"/>
                <w:color w:val="000000"/>
              </w:rPr>
              <w:t xml:space="preserve">5,152 </w:t>
            </w:r>
          </w:p>
        </w:tc>
      </w:tr>
      <w:tr w:rsidR="004347C2" w:rsidRPr="004347C2" w14:paraId="2CB992F9" w14:textId="77777777" w:rsidTr="004B4C02">
        <w:trPr>
          <w:trHeight w:val="442"/>
          <w:jc w:val="center"/>
        </w:trPr>
        <w:tc>
          <w:tcPr>
            <w:tcW w:w="4892" w:type="dxa"/>
            <w:tcBorders>
              <w:top w:val="single" w:sz="4" w:space="0" w:color="000000"/>
              <w:left w:val="nil"/>
              <w:bottom w:val="single" w:sz="4" w:space="0" w:color="000000"/>
              <w:right w:val="nil"/>
            </w:tcBorders>
          </w:tcPr>
          <w:p w14:paraId="1C93B194" w14:textId="77777777" w:rsidR="004347C2" w:rsidRPr="004347C2" w:rsidRDefault="004347C2" w:rsidP="004347C2">
            <w:pPr>
              <w:ind w:right="68"/>
              <w:jc w:val="center"/>
              <w:rPr>
                <w:rFonts w:ascii="Times New Roman" w:hAnsi="Times New Roman" w:cs="Times New Roman"/>
                <w:color w:val="000000"/>
              </w:rPr>
            </w:pPr>
            <w:r w:rsidRPr="004347C2">
              <w:rPr>
                <w:rFonts w:ascii="Times New Roman" w:hAnsi="Times New Roman" w:cs="Times New Roman"/>
                <w:color w:val="000000"/>
              </w:rPr>
              <w:t xml:space="preserve">P </w:t>
            </w:r>
          </w:p>
        </w:tc>
        <w:tc>
          <w:tcPr>
            <w:tcW w:w="2775" w:type="dxa"/>
            <w:tcBorders>
              <w:top w:val="single" w:sz="4" w:space="0" w:color="000000"/>
              <w:left w:val="nil"/>
              <w:bottom w:val="single" w:sz="4" w:space="0" w:color="000000"/>
              <w:right w:val="nil"/>
            </w:tcBorders>
          </w:tcPr>
          <w:p w14:paraId="69102DCA" w14:textId="77777777" w:rsidR="004347C2" w:rsidRPr="004347C2" w:rsidRDefault="004347C2" w:rsidP="004347C2">
            <w:pPr>
              <w:ind w:right="84"/>
              <w:jc w:val="center"/>
              <w:rPr>
                <w:rFonts w:ascii="Times New Roman" w:hAnsi="Times New Roman" w:cs="Times New Roman"/>
                <w:color w:val="000000"/>
              </w:rPr>
            </w:pPr>
            <w:r w:rsidRPr="004347C2">
              <w:rPr>
                <w:rFonts w:ascii="Times New Roman" w:hAnsi="Times New Roman" w:cs="Times New Roman"/>
                <w:color w:val="000000"/>
              </w:rPr>
              <w:t xml:space="preserve">0,003 </w:t>
            </w:r>
          </w:p>
        </w:tc>
      </w:tr>
    </w:tbl>
    <w:p w14:paraId="437DF58A" w14:textId="77777777" w:rsidR="00D325BE" w:rsidRPr="001D31F1" w:rsidRDefault="00D325BE" w:rsidP="00D325BE">
      <w:pPr>
        <w:spacing w:after="3" w:line="357" w:lineRule="auto"/>
        <w:jc w:val="both"/>
        <w:rPr>
          <w:rFonts w:ascii="Times New Roman" w:eastAsia="Times New Roman" w:hAnsi="Times New Roman" w:cs="Times New Roman"/>
          <w:color w:val="000000"/>
          <w:sz w:val="24"/>
          <w:szCs w:val="24"/>
          <w:lang w:val="en-GB" w:eastAsia="fr-FR"/>
        </w:rPr>
      </w:pPr>
      <w:r w:rsidRPr="001D31F1">
        <w:rPr>
          <w:rFonts w:ascii="Times New Roman" w:eastAsia="Times New Roman" w:hAnsi="Times New Roman" w:cs="Times New Roman"/>
          <w:color w:val="000000"/>
          <w:sz w:val="24"/>
          <w:szCs w:val="24"/>
          <w:lang w:val="en-GB" w:eastAsia="fr-FR"/>
        </w:rPr>
        <w:t>Means within the same column followed by the same letters are not significantly different according to the Student–Newman–Keuls (SNK) test at the 5% level.</w:t>
      </w:r>
    </w:p>
    <w:p w14:paraId="524182FA" w14:textId="77777777" w:rsidR="00D325BE" w:rsidRPr="001D31F1" w:rsidRDefault="00D325BE" w:rsidP="00D325BE">
      <w:pPr>
        <w:spacing w:after="3" w:line="357" w:lineRule="auto"/>
        <w:jc w:val="both"/>
        <w:rPr>
          <w:rFonts w:ascii="Times New Roman" w:eastAsia="Times New Roman" w:hAnsi="Times New Roman" w:cs="Times New Roman"/>
          <w:color w:val="000000"/>
          <w:sz w:val="24"/>
          <w:szCs w:val="24"/>
          <w:lang w:val="en-GB" w:eastAsia="fr-FR"/>
        </w:rPr>
      </w:pPr>
      <w:r w:rsidRPr="001D31F1">
        <w:rPr>
          <w:rFonts w:ascii="Times New Roman" w:eastAsia="Times New Roman" w:hAnsi="Times New Roman" w:cs="Times New Roman"/>
          <w:color w:val="000000"/>
          <w:sz w:val="24"/>
          <w:szCs w:val="24"/>
          <w:lang w:val="en-GB" w:eastAsia="fr-FR"/>
        </w:rPr>
        <w:t>P/A = Aerial part; P/Im = Submerged part</w:t>
      </w:r>
    </w:p>
    <w:p w14:paraId="364A947A" w14:textId="77777777" w:rsidR="00D325BE" w:rsidRPr="001D31F1" w:rsidRDefault="00D325BE" w:rsidP="00D325BE">
      <w:pPr>
        <w:spacing w:after="3" w:line="357" w:lineRule="auto"/>
        <w:jc w:val="both"/>
        <w:rPr>
          <w:rFonts w:ascii="Times New Roman" w:eastAsia="Times New Roman" w:hAnsi="Times New Roman" w:cs="Times New Roman"/>
          <w:color w:val="000000"/>
          <w:sz w:val="24"/>
          <w:szCs w:val="24"/>
          <w:lang w:val="en-GB" w:eastAsia="fr-FR"/>
        </w:rPr>
      </w:pPr>
      <w:r w:rsidRPr="001D31F1">
        <w:rPr>
          <w:rFonts w:ascii="Times New Roman" w:eastAsia="Times New Roman" w:hAnsi="Times New Roman" w:cs="Times New Roman"/>
          <w:color w:val="000000"/>
          <w:sz w:val="24"/>
          <w:szCs w:val="24"/>
          <w:lang w:val="en-GB" w:eastAsia="fr-FR"/>
        </w:rPr>
        <w:t>F = F-value; P = p-value</w:t>
      </w:r>
    </w:p>
    <w:p w14:paraId="78EEB197" w14:textId="6FE87283" w:rsidR="004347C2" w:rsidRPr="00D325BE" w:rsidRDefault="004347C2" w:rsidP="004347C2">
      <w:pPr>
        <w:spacing w:after="3" w:line="240" w:lineRule="auto"/>
        <w:ind w:firstLine="709"/>
        <w:jc w:val="both"/>
        <w:rPr>
          <w:rFonts w:ascii="Times New Roman" w:eastAsia="Times New Roman" w:hAnsi="Times New Roman" w:cs="Times New Roman"/>
          <w:color w:val="000000"/>
          <w:sz w:val="24"/>
          <w:szCs w:val="24"/>
          <w:lang w:val="en-GB" w:eastAsia="fr-FR"/>
        </w:rPr>
      </w:pPr>
    </w:p>
    <w:p w14:paraId="60946A42" w14:textId="77777777" w:rsidR="004347C2" w:rsidRPr="00D325BE" w:rsidRDefault="004347C2" w:rsidP="00635C9A">
      <w:pPr>
        <w:spacing w:after="200" w:line="240" w:lineRule="auto"/>
        <w:jc w:val="both"/>
        <w:rPr>
          <w:rFonts w:ascii="Times New Roman" w:eastAsia="Times New Roman" w:hAnsi="Times New Roman" w:cs="Times New Roman"/>
          <w:i/>
          <w:iCs/>
          <w:color w:val="000000"/>
          <w:lang w:val="en-GB" w:eastAsia="fr-FR"/>
        </w:rPr>
      </w:pPr>
    </w:p>
    <w:p w14:paraId="06F353E3" w14:textId="724A4257" w:rsidR="00D37D32" w:rsidRPr="00D37D32" w:rsidRDefault="00D37D32" w:rsidP="00115EB4">
      <w:pPr>
        <w:pStyle w:val="Titre1"/>
        <w:rPr>
          <w:rFonts w:eastAsia="Times New Roman"/>
          <w:lang w:val="en-GB" w:eastAsia="fr-FR"/>
        </w:rPr>
      </w:pPr>
      <w:r w:rsidRPr="00D37D32">
        <w:rPr>
          <w:rFonts w:eastAsia="Times New Roman"/>
          <w:lang w:val="en-GB" w:eastAsia="fr-FR"/>
        </w:rPr>
        <w:t>Discussion</w:t>
      </w:r>
    </w:p>
    <w:p w14:paraId="68053AE7" w14:textId="3FE5E9E1" w:rsidR="001F3AB5" w:rsidRPr="00D37D32" w:rsidRDefault="00D37D32" w:rsidP="00D37D32">
      <w:pPr>
        <w:spacing w:line="360" w:lineRule="auto"/>
        <w:jc w:val="both"/>
        <w:rPr>
          <w:rFonts w:ascii="Times New Roman" w:eastAsia="Times New Roman" w:hAnsi="Times New Roman" w:cs="Times New Roman"/>
          <w:kern w:val="0"/>
          <w:sz w:val="24"/>
          <w:szCs w:val="24"/>
          <w:lang w:val="en-GB" w:eastAsia="fr-FR"/>
          <w14:ligatures w14:val="none"/>
        </w:rPr>
      </w:pPr>
      <w:r w:rsidRPr="00D37D32">
        <w:rPr>
          <w:rFonts w:ascii="Times New Roman" w:eastAsia="Times New Roman" w:hAnsi="Times New Roman" w:cs="Times New Roman"/>
          <w:color w:val="000000"/>
          <w:kern w:val="0"/>
          <w:sz w:val="24"/>
          <w:szCs w:val="26"/>
          <w:lang w:val="en-GB" w:eastAsia="fr-FR"/>
          <w14:ligatures w14:val="none"/>
        </w:rPr>
        <w:t xml:space="preserve">The results of this study indicate that organic fertilization and formulations based on Eichhornia crassipes extracts or Furadan significantly influence nematode density, galling index, leaf development, and beetroot root yield. These findings support the growing interest in alternative and environmentally sustainable approaches for managing plant-parasitic nematodes, aligning with the principles of agroecology and integrated pest management (Oka, 2010; Gebrehiwot </w:t>
      </w:r>
      <w:r w:rsidRPr="003E0B8E">
        <w:rPr>
          <w:rFonts w:ascii="Times New Roman" w:eastAsia="Times New Roman" w:hAnsi="Times New Roman" w:cs="Times New Roman"/>
          <w:i/>
          <w:iCs/>
          <w:color w:val="000000"/>
          <w:kern w:val="0"/>
          <w:sz w:val="24"/>
          <w:szCs w:val="26"/>
          <w:lang w:val="en-GB" w:eastAsia="fr-FR"/>
          <w14:ligatures w14:val="none"/>
        </w:rPr>
        <w:t xml:space="preserve">et al., </w:t>
      </w:r>
      <w:r w:rsidRPr="00D37D32">
        <w:rPr>
          <w:rFonts w:ascii="Times New Roman" w:eastAsia="Times New Roman" w:hAnsi="Times New Roman" w:cs="Times New Roman"/>
          <w:color w:val="000000"/>
          <w:kern w:val="0"/>
          <w:sz w:val="24"/>
          <w:szCs w:val="26"/>
          <w:lang w:val="en-GB" w:eastAsia="fr-FR"/>
          <w14:ligatures w14:val="none"/>
        </w:rPr>
        <w:t>2022).</w:t>
      </w:r>
    </w:p>
    <w:p w14:paraId="347A1B54" w14:textId="6ECB029D" w:rsidR="008F690B" w:rsidRPr="008F690B" w:rsidRDefault="008F690B" w:rsidP="00103142">
      <w:pPr>
        <w:pStyle w:val="Titre2"/>
        <w:numPr>
          <w:ilvl w:val="1"/>
          <w:numId w:val="3"/>
        </w:numPr>
        <w:rPr>
          <w:rFonts w:eastAsia="Times New Roman"/>
          <w:lang w:val="en-GB" w:eastAsia="fr-FR"/>
        </w:rPr>
      </w:pPr>
      <w:bookmarkStart w:id="7" w:name="_Toc223349592"/>
      <w:r w:rsidRPr="008F690B">
        <w:rPr>
          <w:rFonts w:eastAsia="Times New Roman"/>
          <w:lang w:val="en-GB" w:eastAsia="fr-FR"/>
        </w:rPr>
        <w:t>Effects of Organic Manure on Nematodes and Galling Index</w:t>
      </w:r>
    </w:p>
    <w:p w14:paraId="4B773145" w14:textId="77777777" w:rsidR="008F690B" w:rsidRPr="008F690B" w:rsidRDefault="008F690B" w:rsidP="008F690B">
      <w:pPr>
        <w:spacing w:before="100" w:beforeAutospacing="1" w:after="100" w:afterAutospacing="1" w:line="360" w:lineRule="auto"/>
        <w:jc w:val="both"/>
        <w:rPr>
          <w:rFonts w:ascii="Times New Roman" w:eastAsia="Times New Roman" w:hAnsi="Times New Roman" w:cs="Times New Roman"/>
          <w:kern w:val="0"/>
          <w:sz w:val="24"/>
          <w:szCs w:val="24"/>
          <w:lang w:val="en-GB" w:eastAsia="fr-FR"/>
          <w14:ligatures w14:val="none"/>
        </w:rPr>
      </w:pPr>
      <w:r w:rsidRPr="008F690B">
        <w:rPr>
          <w:rFonts w:ascii="Times New Roman" w:eastAsia="Times New Roman" w:hAnsi="Times New Roman" w:cs="Times New Roman"/>
          <w:kern w:val="0"/>
          <w:sz w:val="24"/>
          <w:szCs w:val="24"/>
          <w:lang w:val="en-GB" w:eastAsia="fr-FR"/>
          <w14:ligatures w14:val="none"/>
        </w:rPr>
        <w:t xml:space="preserve">Application of organic manure significantly reduced nematode populations in both soil and roots, with efficacy increasing with higher doses. At 15 t/ha, nematode density decreased by 69.73% in soil and 82.75% in roots, accompanied by a notable reduction in the galling index (1.32), representing an 81.46% decrease compared with the control. These findings are consistent with Devi and Das (1998) and Assih </w:t>
      </w:r>
      <w:r w:rsidRPr="008F690B">
        <w:rPr>
          <w:rFonts w:ascii="Times New Roman" w:eastAsia="Times New Roman" w:hAnsi="Times New Roman" w:cs="Times New Roman"/>
          <w:i/>
          <w:iCs/>
          <w:kern w:val="0"/>
          <w:sz w:val="24"/>
          <w:szCs w:val="24"/>
          <w:lang w:val="en-GB" w:eastAsia="fr-FR"/>
          <w14:ligatures w14:val="none"/>
        </w:rPr>
        <w:t xml:space="preserve">et al. </w:t>
      </w:r>
      <w:r w:rsidRPr="008F690B">
        <w:rPr>
          <w:rFonts w:ascii="Times New Roman" w:eastAsia="Times New Roman" w:hAnsi="Times New Roman" w:cs="Times New Roman"/>
          <w:kern w:val="0"/>
          <w:sz w:val="24"/>
          <w:szCs w:val="24"/>
          <w:lang w:val="en-GB" w:eastAsia="fr-FR"/>
          <w14:ligatures w14:val="none"/>
        </w:rPr>
        <w:t xml:space="preserve">(2018), who reported that organic amendments reduce </w:t>
      </w:r>
      <w:r w:rsidRPr="008F690B">
        <w:rPr>
          <w:rFonts w:ascii="Times New Roman" w:eastAsia="Times New Roman" w:hAnsi="Times New Roman" w:cs="Times New Roman"/>
          <w:i/>
          <w:iCs/>
          <w:kern w:val="0"/>
          <w:sz w:val="24"/>
          <w:szCs w:val="24"/>
          <w:lang w:val="en-GB" w:eastAsia="fr-FR"/>
          <w14:ligatures w14:val="none"/>
        </w:rPr>
        <w:t>Meloidogyne</w:t>
      </w:r>
      <w:r w:rsidRPr="008F690B">
        <w:rPr>
          <w:rFonts w:ascii="Times New Roman" w:eastAsia="Times New Roman" w:hAnsi="Times New Roman" w:cs="Times New Roman"/>
          <w:kern w:val="0"/>
          <w:sz w:val="24"/>
          <w:szCs w:val="24"/>
          <w:lang w:val="en-GB" w:eastAsia="fr-FR"/>
          <w14:ligatures w14:val="none"/>
        </w:rPr>
        <w:t xml:space="preserve"> spp. infestation through gradual release of bioactive compounds (volatile fatty acids, phenols) and stimulation of antagonistic microflora (Arancon </w:t>
      </w:r>
      <w:r w:rsidRPr="008F690B">
        <w:rPr>
          <w:rFonts w:ascii="Times New Roman" w:eastAsia="Times New Roman" w:hAnsi="Times New Roman" w:cs="Times New Roman"/>
          <w:i/>
          <w:iCs/>
          <w:kern w:val="0"/>
          <w:sz w:val="24"/>
          <w:szCs w:val="24"/>
          <w:lang w:val="en-GB" w:eastAsia="fr-FR"/>
          <w14:ligatures w14:val="none"/>
        </w:rPr>
        <w:t>et al.,</w:t>
      </w:r>
      <w:r w:rsidRPr="008F690B">
        <w:rPr>
          <w:rFonts w:ascii="Times New Roman" w:eastAsia="Times New Roman" w:hAnsi="Times New Roman" w:cs="Times New Roman"/>
          <w:kern w:val="0"/>
          <w:sz w:val="24"/>
          <w:szCs w:val="24"/>
          <w:lang w:val="en-GB" w:eastAsia="fr-FR"/>
          <w14:ligatures w14:val="none"/>
        </w:rPr>
        <w:t xml:space="preserve"> 2006). Organic amendments also improve soil structure, enhance water retention, and promote biological interactions unfavorable to nematodes (Oka, 2010; Stevenson, 1999).</w:t>
      </w:r>
    </w:p>
    <w:bookmarkEnd w:id="7"/>
    <w:p w14:paraId="3515F9CC" w14:textId="7707B173" w:rsidR="0041724C" w:rsidRPr="009A5EE9" w:rsidRDefault="0041724C" w:rsidP="00103142">
      <w:pPr>
        <w:pStyle w:val="Titre2"/>
        <w:numPr>
          <w:ilvl w:val="1"/>
          <w:numId w:val="3"/>
        </w:numPr>
        <w:rPr>
          <w:rFonts w:eastAsia="Times New Roman"/>
          <w:lang w:val="en-GB" w:eastAsia="fr-FR"/>
        </w:rPr>
      </w:pPr>
      <w:r w:rsidRPr="0041724C">
        <w:rPr>
          <w:rFonts w:eastAsia="Times New Roman"/>
          <w:lang w:val="en-GB" w:eastAsia="fr-FR"/>
        </w:rPr>
        <w:lastRenderedPageBreak/>
        <w:t>Effects of Furadan- and Water Hyacinth–Based Formulations</w:t>
      </w:r>
    </w:p>
    <w:p w14:paraId="1628C768" w14:textId="219B3438" w:rsidR="0041724C" w:rsidRPr="0041724C" w:rsidRDefault="0041724C" w:rsidP="0041724C">
      <w:pPr>
        <w:spacing w:line="360" w:lineRule="auto"/>
        <w:jc w:val="both"/>
        <w:rPr>
          <w:rFonts w:ascii="Times New Roman" w:eastAsia="Times New Roman" w:hAnsi="Times New Roman" w:cs="Times New Roman"/>
          <w:bCs/>
          <w:kern w:val="0"/>
          <w:sz w:val="24"/>
          <w:szCs w:val="24"/>
          <w:lang w:val="en-GB" w:eastAsia="fr-FR"/>
          <w14:ligatures w14:val="none"/>
        </w:rPr>
      </w:pPr>
      <w:r w:rsidRPr="0041724C">
        <w:rPr>
          <w:rFonts w:ascii="Times New Roman" w:eastAsia="Times New Roman" w:hAnsi="Times New Roman" w:cs="Times New Roman"/>
          <w:bCs/>
          <w:kern w:val="0"/>
          <w:sz w:val="24"/>
          <w:szCs w:val="24"/>
          <w:lang w:val="en-GB" w:eastAsia="fr-FR"/>
          <w14:ligatures w14:val="none"/>
        </w:rPr>
        <w:t xml:space="preserve">The aqueous extract from the submerged part of water hyacinth (P/Im) proved more effective than that from the aerial part (P/A), significantly reducing nematode density in roots with efficacy comparable to Furadan. This superior performance may be attributed to higher concentrations of secondary metabolites in the submerged tissues, including flavonoids, saponins, tannins, and phenols, known for their nematicidal and antifungal properties (Adeleke &amp; Babalola, 2020). In vitro studies have shown that crude water hyacinth extracts can cause up to 100% mortality of Meloidogyne incognita juveniles (Umar &amp; Mohammed, 2013; Atungwu </w:t>
      </w:r>
      <w:r w:rsidRPr="00984276">
        <w:rPr>
          <w:rFonts w:ascii="Times New Roman" w:eastAsia="Times New Roman" w:hAnsi="Times New Roman" w:cs="Times New Roman"/>
          <w:bCs/>
          <w:i/>
          <w:iCs/>
          <w:kern w:val="0"/>
          <w:sz w:val="24"/>
          <w:szCs w:val="24"/>
          <w:lang w:val="en-GB" w:eastAsia="fr-FR"/>
          <w14:ligatures w14:val="none"/>
        </w:rPr>
        <w:t>et al.,</w:t>
      </w:r>
      <w:r w:rsidRPr="0041724C">
        <w:rPr>
          <w:rFonts w:ascii="Times New Roman" w:eastAsia="Times New Roman" w:hAnsi="Times New Roman" w:cs="Times New Roman"/>
          <w:bCs/>
          <w:kern w:val="0"/>
          <w:sz w:val="24"/>
          <w:szCs w:val="24"/>
          <w:lang w:val="en-GB" w:eastAsia="fr-FR"/>
          <w14:ligatures w14:val="none"/>
        </w:rPr>
        <w:t xml:space="preserve"> 2009).</w:t>
      </w:r>
    </w:p>
    <w:p w14:paraId="40E5A655" w14:textId="5A2F0E1A" w:rsidR="001F3AB5" w:rsidRPr="0041724C" w:rsidRDefault="0041724C" w:rsidP="0041724C">
      <w:pPr>
        <w:spacing w:line="360" w:lineRule="auto"/>
        <w:jc w:val="both"/>
        <w:rPr>
          <w:rFonts w:ascii="Times New Roman" w:eastAsia="Times New Roman" w:hAnsi="Times New Roman" w:cs="Times New Roman"/>
          <w:bCs/>
          <w:kern w:val="0"/>
          <w:sz w:val="24"/>
          <w:szCs w:val="24"/>
          <w:lang w:val="en-GB" w:eastAsia="fr-FR"/>
          <w14:ligatures w14:val="none"/>
        </w:rPr>
      </w:pPr>
      <w:r w:rsidRPr="0041724C">
        <w:rPr>
          <w:rFonts w:ascii="Times New Roman" w:eastAsia="Times New Roman" w:hAnsi="Times New Roman" w:cs="Times New Roman"/>
          <w:bCs/>
          <w:kern w:val="0"/>
          <w:sz w:val="24"/>
          <w:szCs w:val="24"/>
          <w:lang w:val="en-GB" w:eastAsia="fr-FR"/>
          <w14:ligatures w14:val="none"/>
        </w:rPr>
        <w:t xml:space="preserve">Carbofuran (marketed as Furadan) is recognized for its high effectiveness against soil pests but is also highly toxic to the environment due to persistence and potential contamination of soil and water (Ariffin &amp; Abdul Rahman, 2018; Zafar </w:t>
      </w:r>
      <w:r w:rsidRPr="00B572EC">
        <w:rPr>
          <w:rFonts w:ascii="Times New Roman" w:eastAsia="Times New Roman" w:hAnsi="Times New Roman" w:cs="Times New Roman"/>
          <w:bCs/>
          <w:i/>
          <w:iCs/>
          <w:kern w:val="0"/>
          <w:sz w:val="24"/>
          <w:szCs w:val="24"/>
          <w:lang w:val="en-GB" w:eastAsia="fr-FR"/>
          <w14:ligatures w14:val="none"/>
        </w:rPr>
        <w:t>et al.,</w:t>
      </w:r>
      <w:r w:rsidRPr="0041724C">
        <w:rPr>
          <w:rFonts w:ascii="Times New Roman" w:eastAsia="Times New Roman" w:hAnsi="Times New Roman" w:cs="Times New Roman"/>
          <w:bCs/>
          <w:kern w:val="0"/>
          <w:sz w:val="24"/>
          <w:szCs w:val="24"/>
          <w:lang w:val="en-GB" w:eastAsia="fr-FR"/>
          <w14:ligatures w14:val="none"/>
        </w:rPr>
        <w:t xml:space="preserve"> 2022). In contrast, the use of plant extracts or organic amendments as plant protection solutions offers ecological and sustainable advantages, reducing risks associated with chemical residues in soil and the environment while contributing to crop protection.</w:t>
      </w:r>
    </w:p>
    <w:p w14:paraId="7EC9E143" w14:textId="138E80D2" w:rsidR="005C7CAA" w:rsidRPr="005C7CAA" w:rsidRDefault="005C7CAA" w:rsidP="00103142">
      <w:pPr>
        <w:pStyle w:val="Titre2"/>
        <w:numPr>
          <w:ilvl w:val="1"/>
          <w:numId w:val="3"/>
        </w:numPr>
        <w:rPr>
          <w:rFonts w:eastAsia="Times New Roman"/>
          <w:lang w:val="en-GB" w:eastAsia="fr-FR"/>
        </w:rPr>
      </w:pPr>
      <w:bookmarkStart w:id="8" w:name="_Toc223349594"/>
      <w:r w:rsidRPr="005C7CAA">
        <w:rPr>
          <w:rFonts w:eastAsia="Times New Roman"/>
          <w:lang w:val="en-GB" w:eastAsia="fr-FR"/>
        </w:rPr>
        <w:t>Synergistic Effects of Organic Fertilizer and Formulations</w:t>
      </w:r>
    </w:p>
    <w:p w14:paraId="21D3B9AF" w14:textId="0D1D32AD" w:rsidR="005C7CAA" w:rsidRPr="005C7CAA" w:rsidRDefault="005C7CAA" w:rsidP="005C7CAA">
      <w:pPr>
        <w:spacing w:before="100" w:beforeAutospacing="1" w:after="100" w:afterAutospacing="1" w:line="360" w:lineRule="auto"/>
        <w:jc w:val="both"/>
        <w:rPr>
          <w:rFonts w:ascii="Times New Roman" w:eastAsia="Times New Roman" w:hAnsi="Times New Roman" w:cs="Times New Roman"/>
          <w:kern w:val="0"/>
          <w:sz w:val="24"/>
          <w:szCs w:val="24"/>
          <w:lang w:val="en-GB" w:eastAsia="fr-FR"/>
          <w14:ligatures w14:val="none"/>
        </w:rPr>
      </w:pPr>
      <w:r w:rsidRPr="005C7CAA">
        <w:rPr>
          <w:rFonts w:ascii="Times New Roman" w:eastAsia="Times New Roman" w:hAnsi="Times New Roman" w:cs="Times New Roman"/>
          <w:kern w:val="0"/>
          <w:sz w:val="24"/>
          <w:szCs w:val="24"/>
          <w:lang w:val="en-GB" w:eastAsia="fr-FR"/>
          <w14:ligatures w14:val="none"/>
        </w:rPr>
        <w:t xml:space="preserve">The combination of organic fertilizer with water </w:t>
      </w:r>
      <w:r w:rsidR="00B572EC" w:rsidRPr="005C7CAA">
        <w:rPr>
          <w:rFonts w:ascii="Times New Roman" w:eastAsia="Times New Roman" w:hAnsi="Times New Roman" w:cs="Times New Roman"/>
          <w:kern w:val="0"/>
          <w:sz w:val="24"/>
          <w:szCs w:val="24"/>
          <w:lang w:val="en-GB" w:eastAsia="fr-FR"/>
          <w14:ligatures w14:val="none"/>
        </w:rPr>
        <w:t>hyacinth</w:t>
      </w:r>
      <w:r w:rsidR="00B572EC">
        <w:rPr>
          <w:rFonts w:ascii="Times New Roman" w:eastAsia="Times New Roman" w:hAnsi="Times New Roman" w:cs="Times New Roman"/>
          <w:kern w:val="0"/>
          <w:sz w:val="24"/>
          <w:szCs w:val="24"/>
          <w:lang w:val="en-GB" w:eastAsia="fr-FR"/>
          <w14:ligatures w14:val="none"/>
        </w:rPr>
        <w:t>-based</w:t>
      </w:r>
      <w:r w:rsidRPr="005C7CAA">
        <w:rPr>
          <w:rFonts w:ascii="Times New Roman" w:eastAsia="Times New Roman" w:hAnsi="Times New Roman" w:cs="Times New Roman"/>
          <w:kern w:val="0"/>
          <w:sz w:val="24"/>
          <w:szCs w:val="24"/>
          <w:lang w:val="en-GB" w:eastAsia="fr-FR"/>
          <w14:ligatures w14:val="none"/>
        </w:rPr>
        <w:t xml:space="preserve"> formulations, particularly the submerged part (P/Im), produced significant synergistic effects. This approach not only controlled nematode populations but also enhanced foliar development and root yield. For instance, the 15 t/ha dose combined with the submerged extract (D15 Ja.P/Im) achieved a record root yield of 54.25 t/ha</w:t>
      </w:r>
      <w:r w:rsidR="00566FE8">
        <w:rPr>
          <w:rFonts w:ascii="Times New Roman" w:eastAsia="Times New Roman" w:hAnsi="Times New Roman" w:cs="Times New Roman"/>
          <w:kern w:val="0"/>
          <w:sz w:val="24"/>
          <w:szCs w:val="24"/>
          <w:lang w:val="en-GB" w:eastAsia="fr-FR"/>
          <w14:ligatures w14:val="none"/>
        </w:rPr>
        <w:t xml:space="preserve"> </w:t>
      </w:r>
      <w:r w:rsidRPr="005C7CAA">
        <w:rPr>
          <w:rFonts w:ascii="Times New Roman" w:eastAsia="Times New Roman" w:hAnsi="Times New Roman" w:cs="Times New Roman"/>
          <w:kern w:val="0"/>
          <w:sz w:val="24"/>
          <w:szCs w:val="24"/>
          <w:lang w:val="en-GB" w:eastAsia="fr-FR"/>
          <w14:ligatures w14:val="none"/>
        </w:rPr>
        <w:t>a 203.8% increase compared to the Furadan-only control without fertilizer</w:t>
      </w:r>
      <w:r w:rsidR="00566FE8">
        <w:rPr>
          <w:rFonts w:ascii="Times New Roman" w:eastAsia="Times New Roman" w:hAnsi="Times New Roman" w:cs="Times New Roman"/>
          <w:kern w:val="0"/>
          <w:sz w:val="24"/>
          <w:szCs w:val="24"/>
          <w:lang w:val="en-GB" w:eastAsia="fr-FR"/>
          <w14:ligatures w14:val="none"/>
        </w:rPr>
        <w:t xml:space="preserve"> </w:t>
      </w:r>
      <w:r w:rsidRPr="005C7CAA">
        <w:rPr>
          <w:rFonts w:ascii="Times New Roman" w:eastAsia="Times New Roman" w:hAnsi="Times New Roman" w:cs="Times New Roman"/>
          <w:kern w:val="0"/>
          <w:sz w:val="24"/>
          <w:szCs w:val="24"/>
          <w:lang w:val="en-GB" w:eastAsia="fr-FR"/>
          <w14:ligatures w14:val="none"/>
        </w:rPr>
        <w:t>and reduced root nematode density by 65.03%.</w:t>
      </w:r>
    </w:p>
    <w:p w14:paraId="5287293E" w14:textId="77777777" w:rsidR="005C7CAA" w:rsidRPr="005C7CAA" w:rsidRDefault="005C7CAA" w:rsidP="005C7CAA">
      <w:pPr>
        <w:spacing w:before="100" w:beforeAutospacing="1" w:after="100" w:afterAutospacing="1" w:line="360" w:lineRule="auto"/>
        <w:jc w:val="both"/>
        <w:rPr>
          <w:rFonts w:ascii="Times New Roman" w:eastAsia="Times New Roman" w:hAnsi="Times New Roman" w:cs="Times New Roman"/>
          <w:kern w:val="0"/>
          <w:sz w:val="24"/>
          <w:szCs w:val="24"/>
          <w:lang w:val="en-GB" w:eastAsia="fr-FR"/>
          <w14:ligatures w14:val="none"/>
        </w:rPr>
      </w:pPr>
      <w:r w:rsidRPr="005C7CAA">
        <w:rPr>
          <w:rFonts w:ascii="Times New Roman" w:eastAsia="Times New Roman" w:hAnsi="Times New Roman" w:cs="Times New Roman"/>
          <w:kern w:val="0"/>
          <w:sz w:val="24"/>
          <w:szCs w:val="24"/>
          <w:lang w:val="en-GB" w:eastAsia="fr-FR"/>
          <w14:ligatures w14:val="none"/>
        </w:rPr>
        <w:t xml:space="preserve">These findings indicate that vegetative growth stimulation by organic amendments and plant extracts improves plant resistance to biotic stress. The increased mean number of leaves observed with D15 Ja.P/Im (14.13 leaves/plant) reflects enhanced aboveground biomass, consistent with Stevenson (1999) and Tchaniley </w:t>
      </w:r>
      <w:r w:rsidRPr="005C7CAA">
        <w:rPr>
          <w:rFonts w:ascii="Times New Roman" w:eastAsia="Times New Roman" w:hAnsi="Times New Roman" w:cs="Times New Roman"/>
          <w:i/>
          <w:iCs/>
          <w:kern w:val="0"/>
          <w:sz w:val="24"/>
          <w:szCs w:val="24"/>
          <w:lang w:val="en-GB" w:eastAsia="fr-FR"/>
          <w14:ligatures w14:val="none"/>
        </w:rPr>
        <w:t>et al.</w:t>
      </w:r>
      <w:r w:rsidRPr="005C7CAA">
        <w:rPr>
          <w:rFonts w:ascii="Times New Roman" w:eastAsia="Times New Roman" w:hAnsi="Times New Roman" w:cs="Times New Roman"/>
          <w:kern w:val="0"/>
          <w:sz w:val="24"/>
          <w:szCs w:val="24"/>
          <w:lang w:val="en-GB" w:eastAsia="fr-FR"/>
          <w14:ligatures w14:val="none"/>
        </w:rPr>
        <w:t xml:space="preserve"> (2020), who reported that nitrogenous organic inputs stimulate vegetative growth and photosynthesis. Furthermore, Tigoun (2021) demonstrated that water hyacinth extracts can function as biofertilizers, improving nutrient availability and activating plant natural defenses.</w:t>
      </w:r>
    </w:p>
    <w:bookmarkEnd w:id="8"/>
    <w:p w14:paraId="2DCCE5C4" w14:textId="51C3644C" w:rsidR="00566FE8" w:rsidRPr="00566FE8" w:rsidRDefault="00566FE8" w:rsidP="00115EB4">
      <w:pPr>
        <w:pStyle w:val="Titre1"/>
        <w:rPr>
          <w:rFonts w:eastAsia="Times New Roman"/>
          <w:lang w:val="en-GB" w:eastAsia="fr-FR"/>
        </w:rPr>
      </w:pPr>
      <w:r w:rsidRPr="00566FE8">
        <w:rPr>
          <w:rFonts w:eastAsia="Times New Roman"/>
          <w:lang w:val="en-GB" w:eastAsia="fr-FR"/>
        </w:rPr>
        <w:lastRenderedPageBreak/>
        <w:t>Conclusion</w:t>
      </w:r>
    </w:p>
    <w:p w14:paraId="57371E7A" w14:textId="6E16FA03" w:rsidR="00566FE8" w:rsidRPr="00566FE8" w:rsidRDefault="00566FE8" w:rsidP="00566FE8">
      <w:pPr>
        <w:spacing w:before="100" w:beforeAutospacing="1" w:after="100" w:afterAutospacing="1" w:line="360" w:lineRule="auto"/>
        <w:jc w:val="both"/>
        <w:rPr>
          <w:rFonts w:ascii="Times New Roman" w:eastAsia="Times New Roman" w:hAnsi="Times New Roman" w:cs="Times New Roman"/>
          <w:kern w:val="0"/>
          <w:sz w:val="24"/>
          <w:szCs w:val="24"/>
          <w:lang w:val="en-GB" w:eastAsia="fr-FR"/>
          <w14:ligatures w14:val="none"/>
        </w:rPr>
      </w:pPr>
      <w:r w:rsidRPr="00566FE8">
        <w:rPr>
          <w:rFonts w:ascii="Times New Roman" w:eastAsia="Times New Roman" w:hAnsi="Times New Roman" w:cs="Times New Roman"/>
          <w:kern w:val="0"/>
          <w:sz w:val="24"/>
          <w:szCs w:val="24"/>
          <w:lang w:val="en-GB" w:eastAsia="fr-FR"/>
          <w14:ligatures w14:val="none"/>
        </w:rPr>
        <w:t>This study aimed to evaluate the effectiveness of combining organic fertilizer with aqueous extracts of water hyacinth (</w:t>
      </w:r>
      <w:r w:rsidRPr="00566FE8">
        <w:rPr>
          <w:rFonts w:ascii="Times New Roman" w:eastAsia="Times New Roman" w:hAnsi="Times New Roman" w:cs="Times New Roman"/>
          <w:i/>
          <w:iCs/>
          <w:kern w:val="0"/>
          <w:sz w:val="24"/>
          <w:szCs w:val="24"/>
          <w:lang w:val="en-GB" w:eastAsia="fr-FR"/>
          <w14:ligatures w14:val="none"/>
        </w:rPr>
        <w:t>Eichhornia crassipes</w:t>
      </w:r>
      <w:r w:rsidRPr="00566FE8">
        <w:rPr>
          <w:rFonts w:ascii="Times New Roman" w:eastAsia="Times New Roman" w:hAnsi="Times New Roman" w:cs="Times New Roman"/>
          <w:kern w:val="0"/>
          <w:sz w:val="24"/>
          <w:szCs w:val="24"/>
          <w:lang w:val="en-GB" w:eastAsia="fr-FR"/>
          <w14:ligatures w14:val="none"/>
        </w:rPr>
        <w:t>) in reducing phytoparasitic nematode populations and improving sugar beet productivity in Togo. The results demonstrated that the use of organic fertilizer, combined with either Furadan or water hyacinth extracts</w:t>
      </w:r>
      <w:r>
        <w:rPr>
          <w:rFonts w:ascii="Times New Roman" w:eastAsia="Times New Roman" w:hAnsi="Times New Roman" w:cs="Times New Roman"/>
          <w:kern w:val="0"/>
          <w:sz w:val="24"/>
          <w:szCs w:val="24"/>
          <w:lang w:val="en-GB" w:eastAsia="fr-FR"/>
          <w14:ligatures w14:val="none"/>
        </w:rPr>
        <w:t xml:space="preserve"> </w:t>
      </w:r>
      <w:r w:rsidRPr="00566FE8">
        <w:rPr>
          <w:rFonts w:ascii="Times New Roman" w:eastAsia="Times New Roman" w:hAnsi="Times New Roman" w:cs="Times New Roman"/>
          <w:kern w:val="0"/>
          <w:sz w:val="24"/>
          <w:szCs w:val="24"/>
          <w:lang w:val="en-GB" w:eastAsia="fr-FR"/>
          <w14:ligatures w14:val="none"/>
        </w:rPr>
        <w:t>particularly from the submerged part</w:t>
      </w:r>
      <w:r>
        <w:rPr>
          <w:rFonts w:ascii="Times New Roman" w:eastAsia="Times New Roman" w:hAnsi="Times New Roman" w:cs="Times New Roman"/>
          <w:kern w:val="0"/>
          <w:sz w:val="24"/>
          <w:szCs w:val="24"/>
          <w:lang w:val="en-GB" w:eastAsia="fr-FR"/>
          <w14:ligatures w14:val="none"/>
        </w:rPr>
        <w:t xml:space="preserve"> </w:t>
      </w:r>
      <w:r w:rsidRPr="00566FE8">
        <w:rPr>
          <w:rFonts w:ascii="Times New Roman" w:eastAsia="Times New Roman" w:hAnsi="Times New Roman" w:cs="Times New Roman"/>
          <w:kern w:val="0"/>
          <w:sz w:val="24"/>
          <w:szCs w:val="24"/>
          <w:lang w:val="en-GB" w:eastAsia="fr-FR"/>
          <w14:ligatures w14:val="none"/>
        </w:rPr>
        <w:t>provides an effective and sustainable strategy for nematode management and crop improvement.Increasing doses of organic fertilizer significantly reduced mean nematode numbers in soil and roots, as well as the galling index, while promoting foliar growth and root yield, with the maximum effect observed at 15 t/ha. The combination of 15 t/ha fertilizer with Furadan produced the greatest reduction in soil nematodes (6.14 nematodes), representing a 60.69% decrease compared to the unfertilized control. In roots, the combination of 15 t/ha fertilizer with the submerged water hyacinth extract was most effective, reducing mean nematode numbers to 5.01a 65.03% reduction relative to the Furadan-only control.Regarding yield, 15 t/ha fertilizer combined with the submerged extract achieved the highest root yield of 54.25 t/ha, surpassing all other treatments, whereas fertilizer alone or aerial-part extracts produced lower yields. The observed synergistic effect on leaf number and root biomass confirms that this strategy optimizes both nematode protection and overall plant development.These findings highlight the potential of water hyacinth aqueous extracts, particularly from the submerged part, as a promising agroecological alternative to chemical nematicides. Future research should focus on optimizing doses, identifying active compounds, and integrating them into various cropping systems for sustainable, large-scale adoption</w:t>
      </w:r>
    </w:p>
    <w:p w14:paraId="2E960E4B" w14:textId="53C07DE8" w:rsidR="00951BA0" w:rsidRPr="00951BA0" w:rsidRDefault="00951BA0" w:rsidP="00951BA0">
      <w:pPr>
        <w:spacing w:line="360" w:lineRule="auto"/>
        <w:jc w:val="both"/>
        <w:rPr>
          <w:rFonts w:ascii="Times New Roman" w:hAnsi="Times New Roman" w:cs="Times New Roman"/>
          <w:b/>
          <w:bCs/>
          <w:sz w:val="24"/>
          <w:szCs w:val="24"/>
          <w:lang w:val="en-GB"/>
        </w:rPr>
      </w:pPr>
      <w:r w:rsidRPr="00951BA0">
        <w:rPr>
          <w:rFonts w:ascii="Times New Roman" w:hAnsi="Times New Roman" w:cs="Times New Roman"/>
          <w:b/>
          <w:bCs/>
          <w:sz w:val="24"/>
          <w:szCs w:val="24"/>
          <w:lang w:val="en-GB"/>
        </w:rPr>
        <w:t>Disclaimer (Artificial intelligence)</w:t>
      </w:r>
    </w:p>
    <w:p w14:paraId="5FD4DEF7" w14:textId="4DAF28E3" w:rsidR="00951BA0" w:rsidRPr="00951BA0" w:rsidRDefault="00951BA0" w:rsidP="00951BA0">
      <w:pPr>
        <w:spacing w:line="360" w:lineRule="auto"/>
        <w:jc w:val="both"/>
        <w:rPr>
          <w:rFonts w:ascii="Times New Roman" w:hAnsi="Times New Roman" w:cs="Times New Roman"/>
          <w:sz w:val="24"/>
          <w:szCs w:val="24"/>
          <w:lang w:val="en-GB"/>
        </w:rPr>
      </w:pPr>
      <w:r w:rsidRPr="00951BA0">
        <w:rPr>
          <w:rFonts w:ascii="Times New Roman" w:hAnsi="Times New Roman" w:cs="Times New Roman"/>
          <w:sz w:val="24"/>
          <w:szCs w:val="24"/>
          <w:lang w:val="en-GB"/>
        </w:rPr>
        <w:t>Author(s) hereby declare that NO generative AI technologies such as Large Language Models (ChatGPT, COPILOT, etc.) and text-to-image generators have been used during the writing or editing of this manuscript.</w:t>
      </w:r>
    </w:p>
    <w:p w14:paraId="2E22E2C7" w14:textId="38062C0E" w:rsidR="00951BA0" w:rsidRPr="00951BA0" w:rsidRDefault="00951BA0" w:rsidP="00951BA0">
      <w:pPr>
        <w:spacing w:line="360" w:lineRule="auto"/>
        <w:jc w:val="both"/>
        <w:rPr>
          <w:rFonts w:ascii="Times New Roman" w:hAnsi="Times New Roman" w:cs="Times New Roman"/>
          <w:b/>
          <w:bCs/>
          <w:sz w:val="24"/>
          <w:szCs w:val="24"/>
          <w:lang w:val="en-GB"/>
        </w:rPr>
      </w:pPr>
      <w:r w:rsidRPr="00951BA0">
        <w:rPr>
          <w:rFonts w:ascii="Times New Roman" w:hAnsi="Times New Roman" w:cs="Times New Roman"/>
          <w:b/>
          <w:bCs/>
          <w:sz w:val="24"/>
          <w:szCs w:val="24"/>
          <w:lang w:val="en-GB"/>
        </w:rPr>
        <w:t>Acknowledgements</w:t>
      </w:r>
    </w:p>
    <w:p w14:paraId="778F424D" w14:textId="44E2488D" w:rsidR="00951BA0" w:rsidRPr="00CE3A27" w:rsidRDefault="00951BA0" w:rsidP="00CE3A27">
      <w:pPr>
        <w:spacing w:line="360" w:lineRule="auto"/>
        <w:jc w:val="both"/>
        <w:rPr>
          <w:rFonts w:ascii="Times New Roman" w:hAnsi="Times New Roman" w:cs="Times New Roman"/>
          <w:sz w:val="24"/>
          <w:szCs w:val="24"/>
          <w:lang w:val="en-GB"/>
        </w:rPr>
      </w:pPr>
      <w:r w:rsidRPr="00951BA0">
        <w:rPr>
          <w:rFonts w:ascii="Times New Roman" w:hAnsi="Times New Roman" w:cs="Times New Roman"/>
          <w:sz w:val="24"/>
          <w:szCs w:val="24"/>
          <w:lang w:val="en-GB"/>
        </w:rPr>
        <w:t>We sincerely thank all individuals and institutions who contributed to this study, particularly the laboratory and field teams. Their valuable assistance and guidance greatly enriched our research on the combined effect of Eichhornia crassipes extract and organic manure on nematode management and beetroot productivity.</w:t>
      </w:r>
    </w:p>
    <w:p w14:paraId="3ADC8A1C" w14:textId="77777777" w:rsidR="00CE3A27" w:rsidRPr="00CE3A27" w:rsidRDefault="00CE3A27" w:rsidP="00CE3A27">
      <w:pPr>
        <w:rPr>
          <w:rFonts w:ascii="Times New Roman" w:hAnsi="Times New Roman" w:cs="Times New Roman"/>
          <w:b/>
          <w:bCs/>
          <w:sz w:val="24"/>
          <w:szCs w:val="24"/>
          <w:lang w:val="en-GB"/>
        </w:rPr>
      </w:pPr>
      <w:r w:rsidRPr="00CE3A27">
        <w:rPr>
          <w:rFonts w:ascii="Times New Roman" w:hAnsi="Times New Roman" w:cs="Times New Roman"/>
          <w:b/>
          <w:bCs/>
          <w:sz w:val="24"/>
          <w:szCs w:val="24"/>
          <w:lang w:val="en-GB"/>
        </w:rPr>
        <w:t>Competing Interests</w:t>
      </w:r>
    </w:p>
    <w:p w14:paraId="4FF83667" w14:textId="39AB2FF6" w:rsidR="00CE3A27" w:rsidRDefault="00CE3A27" w:rsidP="00CE3A27">
      <w:pPr>
        <w:rPr>
          <w:rFonts w:ascii="Times New Roman" w:hAnsi="Times New Roman" w:cs="Times New Roman"/>
          <w:sz w:val="24"/>
          <w:szCs w:val="24"/>
          <w:lang w:val="en-GB"/>
        </w:rPr>
      </w:pPr>
      <w:r w:rsidRPr="00CE3A27">
        <w:rPr>
          <w:rFonts w:ascii="Times New Roman" w:hAnsi="Times New Roman" w:cs="Times New Roman"/>
          <w:sz w:val="24"/>
          <w:szCs w:val="24"/>
          <w:lang w:val="en-GB"/>
        </w:rPr>
        <w:lastRenderedPageBreak/>
        <w:t>The authors declare that they have no competing financial or personal interests that could have influenced the work reported in this study.</w:t>
      </w:r>
    </w:p>
    <w:p w14:paraId="7A7AE614" w14:textId="77777777" w:rsidR="00CE3A27" w:rsidRPr="00C25957" w:rsidRDefault="00CE3A27" w:rsidP="00037CC9">
      <w:pPr>
        <w:rPr>
          <w:rFonts w:ascii="Times New Roman" w:hAnsi="Times New Roman" w:cs="Times New Roman"/>
          <w:sz w:val="24"/>
          <w:szCs w:val="24"/>
          <w:lang w:val="en-US"/>
        </w:rPr>
      </w:pPr>
    </w:p>
    <w:p w14:paraId="76550C3B" w14:textId="47713C1A" w:rsidR="00C25957" w:rsidRDefault="00C25957" w:rsidP="00037CC9">
      <w:pPr>
        <w:rPr>
          <w:rFonts w:ascii="Times New Roman" w:hAnsi="Times New Roman" w:cs="Times New Roman"/>
          <w:sz w:val="24"/>
          <w:szCs w:val="24"/>
          <w:lang w:val="en-GB"/>
        </w:rPr>
      </w:pPr>
    </w:p>
    <w:p w14:paraId="5E1B848A" w14:textId="77777777" w:rsidR="00C25957" w:rsidRPr="00566FE8" w:rsidRDefault="00C25957" w:rsidP="00037CC9">
      <w:pPr>
        <w:rPr>
          <w:rFonts w:ascii="Times New Roman" w:hAnsi="Times New Roman" w:cs="Times New Roman"/>
          <w:sz w:val="24"/>
          <w:szCs w:val="24"/>
          <w:lang w:val="en-GB"/>
        </w:rPr>
      </w:pPr>
    </w:p>
    <w:p w14:paraId="1A8DF029" w14:textId="5B78ADE1" w:rsidR="00C20B72" w:rsidRPr="00C25957" w:rsidRDefault="00115EB4" w:rsidP="00037CC9">
      <w:pPr>
        <w:rPr>
          <w:rFonts w:ascii="Times New Roman" w:hAnsi="Times New Roman" w:cs="Times New Roman"/>
          <w:b/>
          <w:bCs/>
          <w:sz w:val="24"/>
          <w:szCs w:val="24"/>
          <w:lang w:val="en-IN"/>
        </w:rPr>
      </w:pPr>
      <w:r w:rsidRPr="00C25957">
        <w:rPr>
          <w:rFonts w:ascii="Times New Roman" w:hAnsi="Times New Roman" w:cs="Times New Roman"/>
          <w:b/>
          <w:bCs/>
          <w:sz w:val="24"/>
          <w:szCs w:val="24"/>
          <w:lang w:val="en-IN"/>
        </w:rPr>
        <w:t>References</w:t>
      </w:r>
    </w:p>
    <w:p w14:paraId="7AC257DB" w14:textId="48C02C05" w:rsidR="009E3D93" w:rsidRPr="00C25957" w:rsidRDefault="009E3D93" w:rsidP="00733497">
      <w:pPr>
        <w:spacing w:before="100" w:beforeAutospacing="1" w:after="100" w:afterAutospacing="1" w:line="240" w:lineRule="auto"/>
        <w:ind w:left="284" w:hanging="426"/>
        <w:jc w:val="both"/>
        <w:rPr>
          <w:rFonts w:ascii="Times New Roman" w:eastAsia="Times New Roman" w:hAnsi="Times New Roman" w:cs="Times New Roman"/>
          <w:kern w:val="0"/>
          <w:lang w:val="en-GB" w:eastAsia="fr-FR"/>
          <w14:ligatures w14:val="none"/>
        </w:rPr>
      </w:pPr>
      <w:r w:rsidRPr="00C25957">
        <w:rPr>
          <w:rFonts w:ascii="Times New Roman" w:eastAsia="Times New Roman" w:hAnsi="Times New Roman" w:cs="Times New Roman"/>
          <w:b/>
          <w:bCs/>
          <w:kern w:val="0"/>
          <w:lang w:val="en-IN" w:eastAsia="fr-FR"/>
          <w14:ligatures w14:val="none"/>
        </w:rPr>
        <w:t>Adeleke, B. S., et Babalola, O. O. (2020).</w:t>
      </w:r>
      <w:r w:rsidRPr="00C25957">
        <w:rPr>
          <w:rFonts w:ascii="Times New Roman" w:eastAsia="Times New Roman" w:hAnsi="Times New Roman" w:cs="Times New Roman"/>
          <w:kern w:val="0"/>
          <w:lang w:val="en-IN" w:eastAsia="fr-FR"/>
          <w14:ligatures w14:val="none"/>
        </w:rPr>
        <w:t xml:space="preserve"> </w:t>
      </w:r>
      <w:r w:rsidRPr="009E3D93">
        <w:rPr>
          <w:rFonts w:ascii="Times New Roman" w:eastAsia="Times New Roman" w:hAnsi="Times New Roman" w:cs="Times New Roman"/>
          <w:kern w:val="0"/>
          <w:lang w:val="en-GB" w:eastAsia="fr-FR"/>
          <w14:ligatures w14:val="none"/>
        </w:rPr>
        <w:t>Oilseed crop sunflower (</w:t>
      </w:r>
      <w:r w:rsidRPr="009E3D93">
        <w:rPr>
          <w:rFonts w:ascii="Times New Roman" w:eastAsia="Times New Roman" w:hAnsi="Times New Roman" w:cs="Times New Roman"/>
          <w:i/>
          <w:iCs/>
          <w:kern w:val="0"/>
          <w:lang w:val="en-GB" w:eastAsia="fr-FR"/>
          <w14:ligatures w14:val="none"/>
        </w:rPr>
        <w:t>Helianthus annuus</w:t>
      </w:r>
      <w:r w:rsidRPr="009E3D93">
        <w:rPr>
          <w:rFonts w:ascii="Times New Roman" w:eastAsia="Times New Roman" w:hAnsi="Times New Roman" w:cs="Times New Roman"/>
          <w:kern w:val="0"/>
          <w:lang w:val="en-GB" w:eastAsia="fr-FR"/>
          <w14:ligatures w14:val="none"/>
        </w:rPr>
        <w:t xml:space="preserve">) as a source of food: Nutritional and health benefits. </w:t>
      </w:r>
      <w:r w:rsidRPr="00C25957">
        <w:rPr>
          <w:rFonts w:ascii="Times New Roman" w:eastAsia="Times New Roman" w:hAnsi="Times New Roman" w:cs="Times New Roman"/>
          <w:kern w:val="0"/>
          <w:lang w:val="en-GB" w:eastAsia="fr-FR"/>
          <w14:ligatures w14:val="none"/>
        </w:rPr>
        <w:t>Food Science et Nutrition, 8(9), 4666-4684.</w:t>
      </w:r>
    </w:p>
    <w:p w14:paraId="54CA3EF8" w14:textId="77777777" w:rsidR="00CF621F" w:rsidRDefault="00344366" w:rsidP="00733497">
      <w:pPr>
        <w:spacing w:before="100" w:beforeAutospacing="1" w:after="100" w:afterAutospacing="1" w:line="240" w:lineRule="auto"/>
        <w:ind w:left="284" w:hanging="426"/>
        <w:jc w:val="both"/>
        <w:rPr>
          <w:rFonts w:ascii="Times New Roman" w:eastAsia="Times New Roman" w:hAnsi="Times New Roman" w:cs="Times New Roman"/>
          <w:b/>
          <w:bCs/>
          <w:kern w:val="0"/>
          <w:lang w:eastAsia="fr-FR"/>
          <w14:ligatures w14:val="none"/>
        </w:rPr>
      </w:pPr>
      <w:r w:rsidRPr="00C25957">
        <w:rPr>
          <w:rFonts w:ascii="Times New Roman" w:eastAsia="Times New Roman" w:hAnsi="Times New Roman" w:cs="Times New Roman"/>
          <w:b/>
          <w:bCs/>
          <w:kern w:val="0"/>
          <w:lang w:val="en-GB" w:eastAsia="fr-FR"/>
          <w14:ligatures w14:val="none"/>
        </w:rPr>
        <w:t>Afouda, L., Baimey, H., Bachabi, F. X., Sero-Kpera, D. H., et Balogoun, R. (</w:t>
      </w:r>
      <w:r w:rsidRPr="00C25957">
        <w:rPr>
          <w:rFonts w:ascii="Times New Roman" w:eastAsia="Times New Roman" w:hAnsi="Times New Roman" w:cs="Times New Roman"/>
          <w:kern w:val="0"/>
          <w:lang w:val="en-GB" w:eastAsia="fr-FR"/>
          <w14:ligatures w14:val="none"/>
        </w:rPr>
        <w:t>2012</w:t>
      </w:r>
      <w:r w:rsidR="00CF621F" w:rsidRPr="00C25957">
        <w:rPr>
          <w:rFonts w:ascii="Times New Roman" w:eastAsia="Times New Roman" w:hAnsi="Times New Roman" w:cs="Times New Roman"/>
          <w:kern w:val="0"/>
          <w:lang w:val="en-GB" w:eastAsia="fr-FR"/>
          <w14:ligatures w14:val="none"/>
        </w:rPr>
        <w:t xml:space="preserve">Effect of Hyptis (Hyptis suaveolens), Neem (Azadirachta indica), Vernonia (Vernonia amygdalina), and Amaranth (Amaranthus sp.) on root-knot nematodes (Meloidogyne spp.) in vegetable crops. </w:t>
      </w:r>
      <w:r w:rsidR="00CF621F" w:rsidRPr="00CF621F">
        <w:rPr>
          <w:rFonts w:ascii="Times New Roman" w:eastAsia="Times New Roman" w:hAnsi="Times New Roman" w:cs="Times New Roman"/>
          <w:kern w:val="0"/>
          <w:lang w:eastAsia="fr-FR"/>
          <w14:ligatures w14:val="none"/>
        </w:rPr>
        <w:t>Agronomie Africaine, 24(3).</w:t>
      </w:r>
    </w:p>
    <w:p w14:paraId="1C83B6B2" w14:textId="57904595" w:rsidR="007A6FE3" w:rsidRPr="007A6FE3" w:rsidRDefault="007A6FE3" w:rsidP="00733497">
      <w:pPr>
        <w:spacing w:before="100" w:beforeAutospacing="1" w:after="100" w:afterAutospacing="1" w:line="240" w:lineRule="auto"/>
        <w:ind w:left="284" w:hanging="426"/>
        <w:jc w:val="both"/>
        <w:rPr>
          <w:rFonts w:ascii="Calibri" w:eastAsia="Calibri" w:hAnsi="Calibri" w:cs="Times New Roman"/>
          <w:kern w:val="0"/>
          <w:lang w:val="en-GB"/>
          <w14:ligatures w14:val="none"/>
        </w:rPr>
      </w:pPr>
      <w:r w:rsidRPr="007A6FE3">
        <w:rPr>
          <w:rFonts w:ascii="Times New Roman" w:eastAsia="Times New Roman" w:hAnsi="Times New Roman" w:cs="Times New Roman"/>
          <w:b/>
          <w:bCs/>
          <w:kern w:val="0"/>
          <w:lang w:eastAsia="fr-FR"/>
          <w14:ligatures w14:val="none"/>
        </w:rPr>
        <w:t>Arancon, N. Q., Edwards, C. A., Lee, S., et Byrne, R. (2006).</w:t>
      </w:r>
      <w:r w:rsidRPr="007A6FE3">
        <w:rPr>
          <w:rFonts w:ascii="Times New Roman" w:eastAsia="Times New Roman" w:hAnsi="Times New Roman" w:cs="Times New Roman"/>
          <w:kern w:val="0"/>
          <w:lang w:eastAsia="fr-FR"/>
          <w14:ligatures w14:val="none"/>
        </w:rPr>
        <w:t xml:space="preserve"> </w:t>
      </w:r>
      <w:r w:rsidRPr="007A6FE3">
        <w:rPr>
          <w:rFonts w:ascii="Times New Roman" w:eastAsia="Times New Roman" w:hAnsi="Times New Roman" w:cs="Times New Roman"/>
          <w:kern w:val="0"/>
          <w:lang w:val="en-GB" w:eastAsia="fr-FR"/>
          <w14:ligatures w14:val="none"/>
        </w:rPr>
        <w:t xml:space="preserve">Effects of humic acids from vermicomposts on plant growth. European journal of soil biology, 42, S65-S69. </w:t>
      </w:r>
      <w:hyperlink r:id="rId17" w:history="1">
        <w:r w:rsidRPr="007A6FE3">
          <w:rPr>
            <w:rFonts w:ascii="Times New Roman" w:eastAsia="Times New Roman" w:hAnsi="Times New Roman" w:cs="Times New Roman"/>
            <w:color w:val="0000FF"/>
            <w:kern w:val="0"/>
            <w:u w:val="single"/>
            <w:lang w:val="en-GB" w:eastAsia="fr-FR"/>
            <w14:ligatures w14:val="none"/>
          </w:rPr>
          <w:t>https://doi.org/10.1016/j.ejsobi.2006.06.004</w:t>
        </w:r>
      </w:hyperlink>
    </w:p>
    <w:p w14:paraId="52A5E86F" w14:textId="77777777" w:rsidR="000C76D5" w:rsidRDefault="00906323" w:rsidP="00733497">
      <w:pPr>
        <w:spacing w:before="100" w:beforeAutospacing="1" w:after="100" w:afterAutospacing="1" w:line="240" w:lineRule="auto"/>
        <w:ind w:left="284" w:hanging="426"/>
        <w:jc w:val="both"/>
        <w:rPr>
          <w:rFonts w:ascii="Times New Roman" w:eastAsia="Calibri" w:hAnsi="Times New Roman" w:cs="Times New Roman"/>
          <w:kern w:val="0"/>
          <w:lang w:val="en-GB"/>
          <w14:ligatures w14:val="none"/>
        </w:rPr>
      </w:pPr>
      <w:r w:rsidRPr="00906323">
        <w:rPr>
          <w:rFonts w:ascii="Times New Roman" w:eastAsia="Calibri" w:hAnsi="Times New Roman" w:cs="Times New Roman"/>
          <w:b/>
          <w:bCs/>
          <w:kern w:val="0"/>
          <w14:ligatures w14:val="none"/>
        </w:rPr>
        <w:t>Ariffin, F., et Rahman, S. A. (2020).</w:t>
      </w:r>
      <w:r w:rsidRPr="00906323">
        <w:rPr>
          <w:rFonts w:ascii="Times New Roman" w:eastAsia="Calibri" w:hAnsi="Times New Roman" w:cs="Times New Roman"/>
          <w:kern w:val="0"/>
          <w14:ligatures w14:val="none"/>
        </w:rPr>
        <w:t xml:space="preserve"> </w:t>
      </w:r>
      <w:r w:rsidR="000C76D5" w:rsidRPr="000C76D5">
        <w:rPr>
          <w:rFonts w:ascii="Times New Roman" w:eastAsia="Calibri" w:hAnsi="Times New Roman" w:cs="Times New Roman"/>
          <w:kern w:val="0"/>
          <w:lang w:val="en-GB"/>
          <w14:ligatures w14:val="none"/>
        </w:rPr>
        <w:t>Biodegradation of carbofuran: a review. Journal of Environmental Microbiology and Toxicology, 8(1), 50–57.</w:t>
      </w:r>
    </w:p>
    <w:p w14:paraId="2FC9DA56" w14:textId="7F0DE20C" w:rsidR="00D2381E" w:rsidRPr="00991688" w:rsidRDefault="00D23BC4" w:rsidP="00733497">
      <w:pPr>
        <w:spacing w:before="100" w:beforeAutospacing="1" w:after="100" w:afterAutospacing="1" w:line="240" w:lineRule="auto"/>
        <w:ind w:left="284" w:hanging="426"/>
        <w:jc w:val="both"/>
        <w:rPr>
          <w:rFonts w:ascii="Times New Roman" w:eastAsia="Times New Roman" w:hAnsi="Times New Roman" w:cs="Times New Roman"/>
          <w:kern w:val="0"/>
          <w:lang w:eastAsia="fr-FR"/>
          <w14:ligatures w14:val="none"/>
        </w:rPr>
      </w:pPr>
      <w:r w:rsidRPr="00C25957">
        <w:rPr>
          <w:rFonts w:ascii="Times New Roman" w:eastAsia="Times New Roman" w:hAnsi="Times New Roman" w:cs="Times New Roman"/>
          <w:b/>
          <w:bCs/>
          <w:kern w:val="0"/>
          <w:lang w:eastAsia="fr-FR"/>
          <w14:ligatures w14:val="none"/>
        </w:rPr>
        <w:t xml:space="preserve">Assih Alèdi., Amen, Nenonene. </w:t>
      </w:r>
      <w:r w:rsidRPr="00D23BC4">
        <w:rPr>
          <w:rFonts w:ascii="Times New Roman" w:eastAsia="Times New Roman" w:hAnsi="Times New Roman" w:cs="Times New Roman"/>
          <w:b/>
          <w:bCs/>
          <w:kern w:val="0"/>
          <w:lang w:eastAsia="fr-FR"/>
          <w14:ligatures w14:val="none"/>
        </w:rPr>
        <w:t>Y., Atti, T., Rodrigue, F. K., et Pikassalé, A. K.(2018)</w:t>
      </w:r>
      <w:r w:rsidRPr="00D23BC4">
        <w:rPr>
          <w:rFonts w:ascii="Times New Roman" w:eastAsia="Times New Roman" w:hAnsi="Times New Roman" w:cs="Times New Roman"/>
          <w:kern w:val="0"/>
          <w:lang w:eastAsia="fr-FR"/>
          <w14:ligatures w14:val="none"/>
        </w:rPr>
        <w:t>.  Effets de la fertilisation sur les nématodes parasites et le rendement en rhizomes frais du gingembre, Zingiber officinale Rosc. URL:http://dx.doi.org/10.19044/esj.2018.v14n24p216</w:t>
      </w:r>
    </w:p>
    <w:p w14:paraId="3495AA9F" w14:textId="23F0BCCA" w:rsidR="002833B9" w:rsidRPr="002833B9" w:rsidRDefault="00D23BC4" w:rsidP="002833B9">
      <w:pPr>
        <w:spacing w:before="100" w:beforeAutospacing="1" w:after="100" w:afterAutospacing="1" w:line="240" w:lineRule="auto"/>
        <w:ind w:left="284" w:hanging="426"/>
        <w:jc w:val="both"/>
        <w:rPr>
          <w:rFonts w:ascii="Times New Roman" w:eastAsia="Times New Roman" w:hAnsi="Times New Roman" w:cs="Times New Roman"/>
          <w:kern w:val="0"/>
          <w:lang w:val="en-GB" w:eastAsia="fr-FR"/>
          <w14:ligatures w14:val="none"/>
        </w:rPr>
      </w:pPr>
      <w:r w:rsidRPr="00D23BC4">
        <w:rPr>
          <w:rFonts w:ascii="Times New Roman" w:eastAsia="Times New Roman" w:hAnsi="Times New Roman" w:cs="Times New Roman"/>
          <w:b/>
          <w:bCs/>
          <w:kern w:val="0"/>
          <w:lang w:eastAsia="fr-FR"/>
          <w14:ligatures w14:val="none"/>
        </w:rPr>
        <w:t>Atungwu, JJ, Ademola, AA et Aiyelaagbe, IOO (2009).</w:t>
      </w:r>
      <w:r w:rsidRPr="00D23BC4">
        <w:rPr>
          <w:rFonts w:ascii="Times New Roman" w:eastAsia="Times New Roman" w:hAnsi="Times New Roman" w:cs="Times New Roman"/>
          <w:kern w:val="0"/>
          <w:lang w:eastAsia="fr-FR"/>
          <w14:ligatures w14:val="none"/>
        </w:rPr>
        <w:t xml:space="preserve"> </w:t>
      </w:r>
      <w:r w:rsidR="002833B9" w:rsidRPr="002833B9">
        <w:rPr>
          <w:rFonts w:ascii="Times New Roman" w:eastAsia="Times New Roman" w:hAnsi="Times New Roman" w:cs="Times New Roman"/>
          <w:kern w:val="0"/>
          <w:lang w:val="en-GB" w:eastAsia="fr-FR"/>
          <w14:ligatures w14:val="none"/>
        </w:rPr>
        <w:t xml:space="preserve">Evaluation of organic materials for inhibiting nematode reproduction in soybean. African Journal of Crop Science, 17(4). </w:t>
      </w:r>
      <w:hyperlink r:id="rId18" w:history="1">
        <w:r w:rsidR="002833B9" w:rsidRPr="00FD5732">
          <w:rPr>
            <w:rStyle w:val="Lienhypertexte"/>
            <w:rFonts w:ascii="Times New Roman" w:eastAsia="Times New Roman" w:hAnsi="Times New Roman" w:cs="Times New Roman"/>
            <w:kern w:val="0"/>
            <w:lang w:val="en-GB" w:eastAsia="fr-FR"/>
            <w14:ligatures w14:val="none"/>
          </w:rPr>
          <w:t>https://doi.org/10.4314/acsj.v17i4.54292</w:t>
        </w:r>
      </w:hyperlink>
    </w:p>
    <w:p w14:paraId="18C0A03D" w14:textId="4844B1C1" w:rsidR="008A31F4" w:rsidRDefault="008A31F4" w:rsidP="00733497">
      <w:pPr>
        <w:spacing w:before="100" w:beforeAutospacing="1" w:after="100" w:afterAutospacing="1" w:line="240" w:lineRule="auto"/>
        <w:ind w:left="284" w:hanging="426"/>
        <w:jc w:val="both"/>
        <w:rPr>
          <w:rFonts w:ascii="Calibri" w:eastAsia="Calibri" w:hAnsi="Calibri" w:cs="Times New Roman"/>
          <w:kern w:val="0"/>
          <w14:ligatures w14:val="none"/>
        </w:rPr>
      </w:pPr>
      <w:r w:rsidRPr="008A31F4">
        <w:rPr>
          <w:rFonts w:ascii="Times New Roman" w:eastAsia="Times New Roman" w:hAnsi="Times New Roman" w:cs="Times New Roman"/>
          <w:b/>
          <w:bCs/>
          <w:kern w:val="0"/>
          <w:lang w:eastAsia="fr-FR"/>
          <w14:ligatures w14:val="none"/>
        </w:rPr>
        <w:t>Bridge, J., et Page, S. L. J. (1980).</w:t>
      </w:r>
      <w:r w:rsidRPr="008A31F4">
        <w:rPr>
          <w:rFonts w:ascii="Times New Roman" w:eastAsia="Times New Roman" w:hAnsi="Times New Roman" w:cs="Times New Roman"/>
          <w:kern w:val="0"/>
          <w:lang w:eastAsia="fr-FR"/>
          <w14:ligatures w14:val="none"/>
        </w:rPr>
        <w:t xml:space="preserve"> </w:t>
      </w:r>
      <w:r w:rsidRPr="008A31F4">
        <w:rPr>
          <w:rFonts w:ascii="Times New Roman" w:eastAsia="Times New Roman" w:hAnsi="Times New Roman" w:cs="Times New Roman"/>
          <w:kern w:val="0"/>
          <w:lang w:val="en-GB" w:eastAsia="fr-FR"/>
          <w14:ligatures w14:val="none"/>
        </w:rPr>
        <w:t xml:space="preserve">Estimation of root-knot nematode infestation levels on roots using a rating chart. </w:t>
      </w:r>
      <w:r w:rsidRPr="008A31F4">
        <w:rPr>
          <w:rFonts w:ascii="Times New Roman" w:eastAsia="Times New Roman" w:hAnsi="Times New Roman" w:cs="Times New Roman"/>
          <w:kern w:val="0"/>
          <w:lang w:eastAsia="fr-FR"/>
          <w14:ligatures w14:val="none"/>
        </w:rPr>
        <w:t xml:space="preserve">International journal of pest management, 26(3), 296-298. </w:t>
      </w:r>
      <w:hyperlink r:id="rId19" w:history="1">
        <w:r w:rsidRPr="008A31F4">
          <w:rPr>
            <w:rFonts w:ascii="Times New Roman" w:eastAsia="Times New Roman" w:hAnsi="Times New Roman" w:cs="Times New Roman"/>
            <w:color w:val="0000FF"/>
            <w:kern w:val="0"/>
            <w:u w:val="single"/>
            <w:lang w:eastAsia="fr-FR"/>
            <w14:ligatures w14:val="none"/>
          </w:rPr>
          <w:t>https://doi.org/10.1080/09670878009414416</w:t>
        </w:r>
      </w:hyperlink>
    </w:p>
    <w:p w14:paraId="3CCCF822" w14:textId="3094437F" w:rsidR="009D5C03" w:rsidRPr="002833B9" w:rsidRDefault="009D5C03" w:rsidP="00733497">
      <w:pPr>
        <w:spacing w:before="100" w:beforeAutospacing="1" w:after="100" w:afterAutospacing="1" w:line="240" w:lineRule="auto"/>
        <w:ind w:left="284" w:hanging="426"/>
        <w:jc w:val="both"/>
        <w:rPr>
          <w:rFonts w:ascii="Times New Roman" w:eastAsia="Times New Roman" w:hAnsi="Times New Roman" w:cs="Times New Roman"/>
          <w:kern w:val="0"/>
          <w:lang w:val="en-GB" w:eastAsia="fr-FR"/>
          <w14:ligatures w14:val="none"/>
        </w:rPr>
      </w:pPr>
      <w:r w:rsidRPr="009D5C03">
        <w:rPr>
          <w:rFonts w:ascii="Times New Roman" w:eastAsia="Times New Roman" w:hAnsi="Times New Roman" w:cs="Times New Roman"/>
          <w:b/>
          <w:bCs/>
          <w:kern w:val="0"/>
          <w:lang w:eastAsia="fr-FR"/>
          <w14:ligatures w14:val="none"/>
        </w:rPr>
        <w:t>Coyne, D. L., Nicol, J. M., et Claudius-Cole, B. (2010).</w:t>
      </w:r>
      <w:r w:rsidRPr="009D5C03">
        <w:rPr>
          <w:rFonts w:ascii="Times New Roman" w:eastAsia="Times New Roman" w:hAnsi="Times New Roman" w:cs="Times New Roman"/>
          <w:kern w:val="0"/>
          <w:lang w:eastAsia="fr-FR"/>
          <w14:ligatures w14:val="none"/>
        </w:rPr>
        <w:t xml:space="preserve"> </w:t>
      </w:r>
      <w:r w:rsidR="002833B9" w:rsidRPr="002833B9">
        <w:rPr>
          <w:rFonts w:ascii="Times New Roman" w:eastAsia="Times New Roman" w:hAnsi="Times New Roman" w:cs="Times New Roman"/>
          <w:kern w:val="0"/>
          <w:lang w:val="en-GB" w:eastAsia="fr-FR"/>
          <w14:ligatures w14:val="none"/>
        </w:rPr>
        <w:t>Plant Nematodes: A Practical Guide to Field and Laboratory Techniques</w:t>
      </w:r>
      <w:r w:rsidRPr="002833B9">
        <w:rPr>
          <w:rFonts w:ascii="Times New Roman" w:eastAsia="Times New Roman" w:hAnsi="Times New Roman" w:cs="Times New Roman"/>
          <w:kern w:val="0"/>
          <w:lang w:val="en-GB" w:eastAsia="fr-FR"/>
          <w14:ligatures w14:val="none"/>
        </w:rPr>
        <w:t>.</w:t>
      </w:r>
    </w:p>
    <w:p w14:paraId="6FA53CA5" w14:textId="72A8940D" w:rsidR="009D5C03" w:rsidRPr="004B6575" w:rsidRDefault="007A6FE3" w:rsidP="00733497">
      <w:pPr>
        <w:spacing w:before="100" w:beforeAutospacing="1" w:after="100" w:afterAutospacing="1" w:line="240" w:lineRule="auto"/>
        <w:ind w:left="284" w:hanging="426"/>
        <w:jc w:val="both"/>
        <w:rPr>
          <w:rFonts w:ascii="Times New Roman" w:eastAsia="Times New Roman" w:hAnsi="Times New Roman" w:cs="Times New Roman"/>
          <w:kern w:val="0"/>
          <w:lang w:val="en-GB" w:eastAsia="fr-FR"/>
          <w14:ligatures w14:val="none"/>
        </w:rPr>
      </w:pPr>
      <w:r w:rsidRPr="007A6FE3">
        <w:rPr>
          <w:rFonts w:ascii="Times New Roman" w:eastAsia="Times New Roman" w:hAnsi="Times New Roman" w:cs="Times New Roman"/>
          <w:b/>
          <w:bCs/>
          <w:kern w:val="0"/>
          <w:lang w:eastAsia="fr-FR"/>
          <w14:ligatures w14:val="none"/>
        </w:rPr>
        <w:t>Devi, G., et Das, P. (1998).</w:t>
      </w:r>
      <w:r w:rsidRPr="007A6FE3">
        <w:rPr>
          <w:rFonts w:ascii="Times New Roman" w:eastAsia="Times New Roman" w:hAnsi="Times New Roman" w:cs="Times New Roman"/>
          <w:kern w:val="0"/>
          <w:lang w:eastAsia="fr-FR"/>
          <w14:ligatures w14:val="none"/>
        </w:rPr>
        <w:t xml:space="preserve"> </w:t>
      </w:r>
      <w:r w:rsidRPr="007A6FE3">
        <w:rPr>
          <w:rFonts w:ascii="Times New Roman" w:eastAsia="Times New Roman" w:hAnsi="Times New Roman" w:cs="Times New Roman"/>
          <w:kern w:val="0"/>
          <w:lang w:val="en-GB" w:eastAsia="fr-FR"/>
          <w14:ligatures w14:val="none"/>
        </w:rPr>
        <w:t xml:space="preserve">Effect of different organic amendments for the management of root-knot nematode, Meloidogyne Incognita on carrot. </w:t>
      </w:r>
      <w:r w:rsidRPr="004B6575">
        <w:rPr>
          <w:rFonts w:ascii="Times New Roman" w:eastAsia="Times New Roman" w:hAnsi="Times New Roman" w:cs="Times New Roman"/>
          <w:kern w:val="0"/>
          <w:lang w:val="en-GB" w:eastAsia="fr-FR"/>
          <w14:ligatures w14:val="none"/>
        </w:rPr>
        <w:t>Indian Journal of Nematology, 28(2), 203-207.</w:t>
      </w:r>
    </w:p>
    <w:p w14:paraId="2F8FC9D2" w14:textId="42C5B3E2" w:rsidR="00B87D8F" w:rsidRPr="00B87D8F" w:rsidRDefault="00344366" w:rsidP="00B87D8F">
      <w:pPr>
        <w:spacing w:before="100" w:beforeAutospacing="1" w:after="100" w:afterAutospacing="1" w:line="240" w:lineRule="auto"/>
        <w:ind w:left="284" w:hanging="426"/>
        <w:jc w:val="both"/>
        <w:rPr>
          <w:rFonts w:ascii="Times New Roman" w:eastAsia="Times New Roman" w:hAnsi="Times New Roman" w:cs="Times New Roman"/>
          <w:kern w:val="0"/>
          <w:lang w:eastAsia="fr-FR"/>
          <w14:ligatures w14:val="none"/>
        </w:rPr>
      </w:pPr>
      <w:r w:rsidRPr="00344366">
        <w:rPr>
          <w:rFonts w:ascii="Times New Roman" w:eastAsia="Times New Roman" w:hAnsi="Times New Roman" w:cs="Times New Roman"/>
          <w:b/>
          <w:bCs/>
          <w:kern w:val="0"/>
          <w:lang w:val="en-GB" w:eastAsia="fr-FR"/>
          <w14:ligatures w14:val="none"/>
        </w:rPr>
        <w:t xml:space="preserve">Feyisa, B., Lencho, A., Selvaraj, T., </w:t>
      </w:r>
      <w:r w:rsidR="005E1461" w:rsidRPr="00344366">
        <w:rPr>
          <w:rFonts w:ascii="Times New Roman" w:eastAsia="Times New Roman" w:hAnsi="Times New Roman" w:cs="Times New Roman"/>
          <w:b/>
          <w:bCs/>
          <w:kern w:val="0"/>
          <w:lang w:val="en-GB" w:eastAsia="fr-FR"/>
          <w14:ligatures w14:val="none"/>
        </w:rPr>
        <w:t>et Getaneh</w:t>
      </w:r>
      <w:r w:rsidRPr="00344366">
        <w:rPr>
          <w:rFonts w:ascii="Times New Roman" w:eastAsia="Times New Roman" w:hAnsi="Times New Roman" w:cs="Times New Roman"/>
          <w:b/>
          <w:bCs/>
          <w:kern w:val="0"/>
          <w:lang w:val="en-GB" w:eastAsia="fr-FR"/>
          <w14:ligatures w14:val="none"/>
        </w:rPr>
        <w:t>, G. (2016).</w:t>
      </w:r>
      <w:r w:rsidRPr="00344366">
        <w:rPr>
          <w:rFonts w:ascii="Times New Roman" w:eastAsia="Times New Roman" w:hAnsi="Times New Roman" w:cs="Times New Roman"/>
          <w:kern w:val="0"/>
          <w:lang w:val="en-GB" w:eastAsia="fr-FR"/>
          <w14:ligatures w14:val="none"/>
        </w:rPr>
        <w:t xml:space="preserve"> </w:t>
      </w:r>
      <w:r w:rsidR="00652445" w:rsidRPr="00652445">
        <w:rPr>
          <w:rFonts w:ascii="Times New Roman" w:eastAsia="Times New Roman" w:hAnsi="Times New Roman" w:cs="Times New Roman"/>
          <w:kern w:val="0"/>
          <w:lang w:val="en-GB" w:eastAsia="fr-FR"/>
          <w14:ligatures w14:val="none"/>
        </w:rPr>
        <w:t xml:space="preserve">Evaluation of some botanicals and Trichoderma harzianum against root-knot nematode (Meloidogyne incognita (Kofoid &amp; White) Chitwood) in tomato. Journal of Entomology and Nematology, 8(2), 11–18. </w:t>
      </w:r>
      <w:hyperlink r:id="rId20" w:history="1">
        <w:r w:rsidR="00B87D8F" w:rsidRPr="00B87D8F">
          <w:rPr>
            <w:rStyle w:val="Lienhypertexte"/>
            <w:rFonts w:ascii="Times New Roman" w:eastAsia="Times New Roman" w:hAnsi="Times New Roman" w:cs="Times New Roman"/>
            <w:kern w:val="0"/>
            <w:lang w:eastAsia="fr-FR"/>
            <w14:ligatures w14:val="none"/>
          </w:rPr>
          <w:t>https://doi.org/10.5897/JEN2015.0145</w:t>
        </w:r>
      </w:hyperlink>
    </w:p>
    <w:p w14:paraId="646A4663" w14:textId="470048C5" w:rsidR="00EB46D4" w:rsidRDefault="00C63FF0" w:rsidP="00EB46D4">
      <w:pPr>
        <w:spacing w:before="100" w:beforeAutospacing="1" w:after="100" w:afterAutospacing="1" w:line="240" w:lineRule="auto"/>
        <w:ind w:left="284" w:hanging="426"/>
        <w:jc w:val="both"/>
        <w:rPr>
          <w:rFonts w:ascii="Times New Roman" w:eastAsia="Times New Roman" w:hAnsi="Times New Roman" w:cs="Times New Roman"/>
          <w:kern w:val="0"/>
          <w:lang w:val="en-IN" w:eastAsia="fr-FR"/>
          <w14:ligatures w14:val="none"/>
        </w:rPr>
      </w:pPr>
      <w:r w:rsidRPr="00C63FF0">
        <w:rPr>
          <w:rFonts w:ascii="Times New Roman" w:eastAsia="Times New Roman" w:hAnsi="Times New Roman" w:cs="Times New Roman"/>
          <w:b/>
          <w:bCs/>
          <w:kern w:val="0"/>
          <w:lang w:eastAsia="fr-FR"/>
          <w14:ligatures w14:val="none"/>
        </w:rPr>
        <w:t xml:space="preserve">Gamliel, A., Grinstein, A., &amp; Katan, J. (1997). </w:t>
      </w:r>
      <w:r w:rsidRPr="00C63FF0">
        <w:rPr>
          <w:rFonts w:ascii="Times New Roman" w:eastAsia="Times New Roman" w:hAnsi="Times New Roman" w:cs="Times New Roman"/>
          <w:kern w:val="0"/>
          <w:lang w:val="en-GB" w:eastAsia="fr-FR"/>
          <w14:ligatures w14:val="none"/>
        </w:rPr>
        <w:t xml:space="preserve">Improved technologies to reduce emission of methyl bromide from fumigated soil. </w:t>
      </w:r>
      <w:r w:rsidRPr="00C63FF0">
        <w:rPr>
          <w:rFonts w:ascii="Times New Roman" w:eastAsia="Times New Roman" w:hAnsi="Times New Roman" w:cs="Times New Roman"/>
          <w:kern w:val="0"/>
          <w:lang w:eastAsia="fr-FR"/>
          <w14:ligatures w14:val="none"/>
        </w:rPr>
        <w:t>Phytoparasitica, 25(Suppl 1), S21-S30.</w:t>
      </w:r>
      <w:r w:rsidR="00EB46D4" w:rsidRPr="00C63FF0">
        <w:rPr>
          <w:rFonts w:ascii="Times New Roman" w:eastAsia="Times New Roman" w:hAnsi="Times New Roman" w:cs="Times New Roman"/>
          <w:kern w:val="0"/>
          <w:lang w:val="en-IN" w:eastAsia="fr-FR"/>
          <w14:ligatures w14:val="none"/>
        </w:rPr>
        <w:t>,</w:t>
      </w:r>
      <w:r w:rsidR="00EB46D4" w:rsidRPr="00C25957">
        <w:rPr>
          <w:rFonts w:ascii="Times New Roman" w:eastAsia="Times New Roman" w:hAnsi="Times New Roman" w:cs="Times New Roman"/>
          <w:kern w:val="0"/>
          <w:lang w:val="en-IN" w:eastAsia="fr-FR"/>
          <w14:ligatures w14:val="none"/>
        </w:rPr>
        <w:t xml:space="preserve"> 25, S21–S30. </w:t>
      </w:r>
    </w:p>
    <w:p w14:paraId="372F1130" w14:textId="77777777" w:rsidR="00C63FF0" w:rsidRPr="00C25957" w:rsidRDefault="00C63FF0" w:rsidP="00EB46D4">
      <w:pPr>
        <w:spacing w:before="100" w:beforeAutospacing="1" w:after="100" w:afterAutospacing="1" w:line="240" w:lineRule="auto"/>
        <w:ind w:left="284" w:hanging="426"/>
        <w:jc w:val="both"/>
        <w:rPr>
          <w:rFonts w:ascii="Times New Roman" w:eastAsia="Times New Roman" w:hAnsi="Times New Roman" w:cs="Times New Roman"/>
          <w:kern w:val="0"/>
          <w:lang w:val="en-IN" w:eastAsia="fr-FR"/>
          <w14:ligatures w14:val="none"/>
        </w:rPr>
      </w:pPr>
    </w:p>
    <w:p w14:paraId="6F2E0CCC" w14:textId="7E9F7097" w:rsidR="00D2381E" w:rsidRPr="00991688" w:rsidRDefault="003735B4" w:rsidP="00733497">
      <w:pPr>
        <w:spacing w:before="100" w:beforeAutospacing="1" w:after="100" w:afterAutospacing="1" w:line="240" w:lineRule="auto"/>
        <w:ind w:left="284" w:hanging="426"/>
        <w:jc w:val="both"/>
        <w:rPr>
          <w:rFonts w:ascii="Times New Roman" w:eastAsia="Times New Roman" w:hAnsi="Times New Roman" w:cs="Times New Roman"/>
          <w:kern w:val="0"/>
          <w:lang w:val="en-GB" w:eastAsia="fr-FR"/>
          <w14:ligatures w14:val="none"/>
        </w:rPr>
      </w:pPr>
      <w:r w:rsidRPr="00C25957">
        <w:rPr>
          <w:rFonts w:ascii="Times New Roman" w:eastAsia="Times New Roman" w:hAnsi="Times New Roman" w:cs="Times New Roman"/>
          <w:b/>
          <w:bCs/>
          <w:kern w:val="0"/>
          <w:lang w:val="en-IN" w:eastAsia="fr-FR"/>
          <w14:ligatures w14:val="none"/>
        </w:rPr>
        <w:lastRenderedPageBreak/>
        <w:t>Gebrehiwot, H., Dekebo, A., et Annisa, M. E. (2022).</w:t>
      </w:r>
      <w:r w:rsidRPr="00C25957">
        <w:rPr>
          <w:rFonts w:ascii="Times New Roman" w:eastAsia="Times New Roman" w:hAnsi="Times New Roman" w:cs="Times New Roman"/>
          <w:kern w:val="0"/>
          <w:lang w:val="en-IN" w:eastAsia="fr-FR"/>
          <w14:ligatures w14:val="none"/>
        </w:rPr>
        <w:t xml:space="preserve"> </w:t>
      </w:r>
      <w:r w:rsidRPr="003735B4">
        <w:rPr>
          <w:rFonts w:ascii="Times New Roman" w:eastAsia="Times New Roman" w:hAnsi="Times New Roman" w:cs="Times New Roman"/>
          <w:kern w:val="0"/>
          <w:lang w:val="en-GB" w:eastAsia="fr-FR"/>
          <w14:ligatures w14:val="none"/>
        </w:rPr>
        <w:t xml:space="preserve">Chemical composition, pharmacological activities and biofuel production of </w:t>
      </w:r>
      <w:r w:rsidRPr="003735B4">
        <w:rPr>
          <w:rFonts w:ascii="Times New Roman" w:eastAsia="Times New Roman" w:hAnsi="Times New Roman" w:cs="Times New Roman"/>
          <w:i/>
          <w:iCs/>
          <w:kern w:val="0"/>
          <w:lang w:val="en-GB" w:eastAsia="fr-FR"/>
          <w14:ligatures w14:val="none"/>
        </w:rPr>
        <w:t>Eichhornia crassipes</w:t>
      </w:r>
      <w:r w:rsidRPr="003735B4">
        <w:rPr>
          <w:rFonts w:ascii="Times New Roman" w:eastAsia="Times New Roman" w:hAnsi="Times New Roman" w:cs="Times New Roman"/>
          <w:kern w:val="0"/>
          <w:lang w:val="en-GB" w:eastAsia="fr-FR"/>
          <w14:ligatures w14:val="none"/>
        </w:rPr>
        <w:t xml:space="preserve"> (water hyacinth): a review. Journal of the Turkish Chemical Society Section A: Chemistry, 9(3), 849-866. DOI: </w:t>
      </w:r>
      <w:hyperlink r:id="rId21" w:history="1">
        <w:r w:rsidRPr="003735B4">
          <w:rPr>
            <w:rFonts w:ascii="Times New Roman" w:eastAsia="Times New Roman" w:hAnsi="Times New Roman" w:cs="Times New Roman"/>
            <w:color w:val="0000FF"/>
            <w:kern w:val="0"/>
            <w:u w:val="single"/>
            <w:lang w:val="en-GB" w:eastAsia="fr-FR"/>
            <w14:ligatures w14:val="none"/>
          </w:rPr>
          <w:t>https://doi.org/10.18596/jotcsa</w:t>
        </w:r>
      </w:hyperlink>
      <w:r w:rsidRPr="003735B4">
        <w:rPr>
          <w:rFonts w:ascii="Times New Roman" w:eastAsia="Times New Roman" w:hAnsi="Times New Roman" w:cs="Times New Roman"/>
          <w:kern w:val="0"/>
          <w:lang w:val="en-GB" w:eastAsia="fr-FR"/>
          <w14:ligatures w14:val="none"/>
        </w:rPr>
        <w:t>.</w:t>
      </w:r>
    </w:p>
    <w:p w14:paraId="465D22BD" w14:textId="77777777" w:rsidR="00D2381E" w:rsidRPr="00D2381E" w:rsidRDefault="00D2381E" w:rsidP="00733497">
      <w:pPr>
        <w:spacing w:before="100" w:beforeAutospacing="1" w:after="100" w:afterAutospacing="1" w:line="240" w:lineRule="auto"/>
        <w:ind w:left="284" w:hanging="426"/>
        <w:jc w:val="both"/>
        <w:rPr>
          <w:rFonts w:ascii="Times New Roman" w:eastAsia="Times New Roman" w:hAnsi="Times New Roman" w:cs="Times New Roman"/>
          <w:kern w:val="0"/>
          <w:lang w:val="en-GB" w:eastAsia="fr-FR"/>
          <w14:ligatures w14:val="none"/>
        </w:rPr>
      </w:pPr>
      <w:r w:rsidRPr="00D2381E">
        <w:rPr>
          <w:rFonts w:ascii="Times New Roman" w:eastAsia="Times New Roman" w:hAnsi="Times New Roman" w:cs="Times New Roman"/>
          <w:b/>
          <w:bCs/>
          <w:kern w:val="0"/>
          <w:lang w:val="en-GB" w:eastAsia="fr-FR"/>
          <w14:ligatures w14:val="none"/>
        </w:rPr>
        <w:t>Gohar, I. M., Alyamani, A., Shafi, M. E., Mohamed, E. A., Ghareeb, R. Y., Desoky, E. M., ... et Elnahal, A. S. (2023).</w:t>
      </w:r>
      <w:r w:rsidRPr="00D2381E">
        <w:rPr>
          <w:rFonts w:ascii="Times New Roman" w:eastAsia="Times New Roman" w:hAnsi="Times New Roman" w:cs="Times New Roman"/>
          <w:kern w:val="0"/>
          <w:lang w:val="en-GB" w:eastAsia="fr-FR"/>
          <w14:ligatures w14:val="none"/>
        </w:rPr>
        <w:t xml:space="preserve"> A quantitative and qualitative assessment of sugar beet genotype resistance to root-knot nematode, Meloidogyne incognita. Frontiers in plant science, 13, 966377.</w:t>
      </w:r>
    </w:p>
    <w:p w14:paraId="7658C8AA" w14:textId="77777777" w:rsidR="00D2381E" w:rsidRPr="004B6575" w:rsidRDefault="00D2381E" w:rsidP="00733497">
      <w:pPr>
        <w:spacing w:before="100" w:beforeAutospacing="1" w:after="100" w:afterAutospacing="1" w:line="240" w:lineRule="auto"/>
        <w:ind w:left="284" w:hanging="426"/>
        <w:jc w:val="both"/>
        <w:rPr>
          <w:rFonts w:ascii="Times New Roman" w:eastAsia="Times New Roman" w:hAnsi="Times New Roman" w:cs="Times New Roman"/>
          <w:kern w:val="0"/>
          <w:lang w:val="en-GB" w:eastAsia="fr-FR"/>
          <w14:ligatures w14:val="none"/>
        </w:rPr>
      </w:pPr>
      <w:r w:rsidRPr="00D2381E">
        <w:rPr>
          <w:rFonts w:ascii="Times New Roman" w:eastAsia="Times New Roman" w:hAnsi="Times New Roman" w:cs="Times New Roman"/>
          <w:b/>
          <w:bCs/>
          <w:kern w:val="0"/>
          <w:lang w:val="en-GB" w:eastAsia="fr-FR"/>
          <w14:ligatures w14:val="none"/>
        </w:rPr>
        <w:t>Hassan, M. H., Khattab, S. A., Gohar, I., et El-Sharnoby, H. M. (2024).</w:t>
      </w:r>
      <w:r w:rsidRPr="00D2381E">
        <w:rPr>
          <w:rFonts w:ascii="Times New Roman" w:eastAsia="Times New Roman" w:hAnsi="Times New Roman" w:cs="Times New Roman"/>
          <w:kern w:val="0"/>
          <w:lang w:val="en-GB" w:eastAsia="fr-FR"/>
          <w14:ligatures w14:val="none"/>
        </w:rPr>
        <w:t xml:space="preserve"> Ecofriendly management approaches for sugar beet root-knot nematodes Meloidogyne spp. by seed treatment with bio-origin compounds and Oxamyl. </w:t>
      </w:r>
      <w:r w:rsidRPr="004B6575">
        <w:rPr>
          <w:rFonts w:ascii="Times New Roman" w:eastAsia="Times New Roman" w:hAnsi="Times New Roman" w:cs="Times New Roman"/>
          <w:kern w:val="0"/>
          <w:lang w:val="en-GB" w:eastAsia="fr-FR"/>
          <w14:ligatures w14:val="none"/>
        </w:rPr>
        <w:t>Egyptian Sugar Journal, 22(22), 19-33.</w:t>
      </w:r>
    </w:p>
    <w:p w14:paraId="0CC9086A" w14:textId="23193F57" w:rsidR="004B31CE" w:rsidRPr="004B31CE" w:rsidRDefault="009D5C03" w:rsidP="004B31CE">
      <w:pPr>
        <w:spacing w:before="100" w:beforeAutospacing="1" w:after="100" w:afterAutospacing="1" w:line="240" w:lineRule="auto"/>
        <w:ind w:left="284" w:hanging="426"/>
        <w:jc w:val="both"/>
        <w:rPr>
          <w:rFonts w:ascii="Times New Roman" w:eastAsia="Times New Roman" w:hAnsi="Times New Roman" w:cs="Times New Roman"/>
          <w:kern w:val="0"/>
          <w:lang w:eastAsia="fr-FR"/>
          <w14:ligatures w14:val="none"/>
        </w:rPr>
      </w:pPr>
      <w:r w:rsidRPr="009D5C03">
        <w:rPr>
          <w:rFonts w:ascii="Times New Roman" w:eastAsia="Times New Roman" w:hAnsi="Times New Roman" w:cs="Times New Roman"/>
          <w:b/>
          <w:bCs/>
          <w:kern w:val="0"/>
          <w:lang w:val="en-GB" w:eastAsia="fr-FR"/>
          <w14:ligatures w14:val="none"/>
        </w:rPr>
        <w:t>Hooper, D. J., Hallmann, J., et Subbotin, S. A. (2005).</w:t>
      </w:r>
      <w:r w:rsidRPr="009D5C03">
        <w:rPr>
          <w:rFonts w:ascii="Times New Roman" w:eastAsia="Times New Roman" w:hAnsi="Times New Roman" w:cs="Times New Roman"/>
          <w:kern w:val="0"/>
          <w:lang w:val="en-GB" w:eastAsia="fr-FR"/>
          <w14:ligatures w14:val="none"/>
        </w:rPr>
        <w:t xml:space="preserve"> Methods for extraction, processing and detection of plant and soil nematodes. In Plant parasitic nematodes in subtropical and tropical agriculture (pp. 53-86). </w:t>
      </w:r>
      <w:r w:rsidRPr="004B6575">
        <w:rPr>
          <w:rFonts w:ascii="Times New Roman" w:eastAsia="Times New Roman" w:hAnsi="Times New Roman" w:cs="Times New Roman"/>
          <w:kern w:val="0"/>
          <w:lang w:eastAsia="fr-FR"/>
          <w14:ligatures w14:val="none"/>
        </w:rPr>
        <w:t xml:space="preserve">Wallingford UK: CABI Publishing. </w:t>
      </w:r>
      <w:hyperlink r:id="rId22" w:history="1">
        <w:r w:rsidRPr="004B6575">
          <w:rPr>
            <w:rFonts w:ascii="Times New Roman" w:eastAsia="Times New Roman" w:hAnsi="Times New Roman" w:cs="Times New Roman"/>
            <w:color w:val="0000FF"/>
            <w:kern w:val="0"/>
            <w:u w:val="single"/>
            <w:lang w:eastAsia="fr-FR"/>
            <w14:ligatures w14:val="none"/>
          </w:rPr>
          <w:t>https://doi.org/10.1079/9780851997278.0053</w:t>
        </w:r>
      </w:hyperlink>
    </w:p>
    <w:p w14:paraId="1455150B" w14:textId="7AD65D5F" w:rsidR="00D2381E" w:rsidRPr="004B6575" w:rsidRDefault="00D2381E" w:rsidP="00733497">
      <w:pPr>
        <w:spacing w:before="100" w:beforeAutospacing="1" w:after="100" w:afterAutospacing="1" w:line="240" w:lineRule="auto"/>
        <w:ind w:left="284" w:hanging="426"/>
        <w:jc w:val="both"/>
        <w:rPr>
          <w:rFonts w:ascii="Calibri" w:eastAsia="Calibri" w:hAnsi="Calibri" w:cs="Times New Roman"/>
          <w:kern w:val="0"/>
          <w:lang w:val="en-GB"/>
          <w14:ligatures w14:val="none"/>
        </w:rPr>
      </w:pPr>
      <w:r w:rsidRPr="00D2381E">
        <w:rPr>
          <w:rFonts w:ascii="Times New Roman" w:eastAsia="Times New Roman" w:hAnsi="Times New Roman" w:cs="Times New Roman"/>
          <w:b/>
          <w:bCs/>
          <w:kern w:val="0"/>
          <w:lang w:eastAsia="fr-FR"/>
          <w14:ligatures w14:val="none"/>
        </w:rPr>
        <w:t>Kanda, M., Akpavi, S., Wala, K., Djaneye-Boundjou, G., et Akpagana, K. (2014).</w:t>
      </w:r>
      <w:r w:rsidRPr="00D2381E">
        <w:rPr>
          <w:rFonts w:ascii="Times New Roman" w:eastAsia="Times New Roman" w:hAnsi="Times New Roman" w:cs="Times New Roman"/>
          <w:kern w:val="0"/>
          <w:lang w:eastAsia="fr-FR"/>
          <w14:ligatures w14:val="none"/>
        </w:rPr>
        <w:t xml:space="preserve"> Diversité des espèces cultivées et contraintes à la production en agriculture maraîchère au Togo. </w:t>
      </w:r>
      <w:r w:rsidRPr="00D2381E">
        <w:rPr>
          <w:rFonts w:ascii="Times New Roman" w:eastAsia="Times New Roman" w:hAnsi="Times New Roman" w:cs="Times New Roman"/>
          <w:kern w:val="0"/>
          <w:lang w:val="en-GB" w:eastAsia="fr-FR"/>
          <w14:ligatures w14:val="none"/>
        </w:rPr>
        <w:t xml:space="preserve">International Journal of Biological and Chemical Sciences, 8(1), 115-127. </w:t>
      </w:r>
      <w:hyperlink r:id="rId23" w:history="1">
        <w:r w:rsidRPr="00D2381E">
          <w:rPr>
            <w:rFonts w:ascii="Times New Roman" w:eastAsia="Times New Roman" w:hAnsi="Times New Roman" w:cs="Times New Roman"/>
            <w:color w:val="0000FF"/>
            <w:kern w:val="0"/>
            <w:u w:val="single"/>
            <w:lang w:val="en-GB" w:eastAsia="fr-FR"/>
            <w14:ligatures w14:val="none"/>
          </w:rPr>
          <w:t>https://doi.org/10.4314/ijbcs.v8i1.11</w:t>
        </w:r>
      </w:hyperlink>
    </w:p>
    <w:p w14:paraId="00845457" w14:textId="6FA43670" w:rsidR="00116FFE" w:rsidRPr="00116FFE" w:rsidRDefault="008E779E" w:rsidP="00116FFE">
      <w:pPr>
        <w:spacing w:before="100" w:beforeAutospacing="1" w:after="100" w:afterAutospacing="1" w:line="240" w:lineRule="auto"/>
        <w:ind w:left="284" w:hanging="426"/>
        <w:jc w:val="both"/>
        <w:rPr>
          <w:rFonts w:ascii="Times New Roman" w:eastAsia="Times New Roman" w:hAnsi="Times New Roman" w:cs="Times New Roman"/>
          <w:kern w:val="0"/>
          <w:lang w:val="en-GB" w:eastAsia="fr-FR"/>
          <w14:ligatures w14:val="none"/>
        </w:rPr>
      </w:pPr>
      <w:r w:rsidRPr="00744C93">
        <w:rPr>
          <w:rFonts w:ascii="Times New Roman" w:eastAsia="Times New Roman" w:hAnsi="Times New Roman" w:cs="Times New Roman"/>
          <w:b/>
          <w:bCs/>
          <w:kern w:val="0"/>
          <w:lang w:eastAsia="fr-FR"/>
          <w14:ligatures w14:val="none"/>
        </w:rPr>
        <w:t xml:space="preserve">Kouakou, </w:t>
      </w:r>
      <w:r w:rsidR="00744C93" w:rsidRPr="00744C93">
        <w:rPr>
          <w:rFonts w:ascii="Times New Roman" w:eastAsia="Times New Roman" w:hAnsi="Times New Roman" w:cs="Times New Roman"/>
          <w:b/>
          <w:bCs/>
          <w:kern w:val="0"/>
          <w:lang w:eastAsia="fr-FR"/>
          <w14:ligatures w14:val="none"/>
        </w:rPr>
        <w:t xml:space="preserve">Yadom Yao François Regis </w:t>
      </w:r>
      <w:r w:rsidRPr="00744C93">
        <w:rPr>
          <w:rFonts w:ascii="Times New Roman" w:eastAsia="Times New Roman" w:hAnsi="Times New Roman" w:cs="Times New Roman"/>
          <w:b/>
          <w:bCs/>
          <w:kern w:val="0"/>
          <w:lang w:eastAsia="fr-FR"/>
          <w14:ligatures w14:val="none"/>
        </w:rPr>
        <w:t xml:space="preserve">Kra, </w:t>
      </w:r>
      <w:r w:rsidR="00744C93" w:rsidRPr="00744C93">
        <w:rPr>
          <w:rFonts w:ascii="Times New Roman" w:eastAsia="Times New Roman" w:hAnsi="Times New Roman" w:cs="Times New Roman"/>
          <w:b/>
          <w:bCs/>
          <w:kern w:val="0"/>
          <w:lang w:eastAsia="fr-FR"/>
          <w14:ligatures w14:val="none"/>
        </w:rPr>
        <w:t>Kouamé Daniel Kra, Kouamé Patrice Assiri</w:t>
      </w:r>
      <w:r w:rsidRPr="00744C93">
        <w:rPr>
          <w:rFonts w:ascii="Times New Roman" w:eastAsia="Times New Roman" w:hAnsi="Times New Roman" w:cs="Times New Roman"/>
          <w:b/>
          <w:bCs/>
          <w:kern w:val="0"/>
          <w:lang w:eastAsia="fr-FR"/>
          <w14:ligatures w14:val="none"/>
        </w:rPr>
        <w:t xml:space="preserve">, Assiri, </w:t>
      </w:r>
      <w:r w:rsidR="00744C93" w:rsidRPr="00744C93">
        <w:rPr>
          <w:rFonts w:ascii="Times New Roman" w:eastAsia="Times New Roman" w:hAnsi="Times New Roman" w:cs="Times New Roman"/>
          <w:b/>
          <w:bCs/>
          <w:kern w:val="0"/>
          <w:lang w:eastAsia="fr-FR"/>
          <w14:ligatures w14:val="none"/>
        </w:rPr>
        <w:t>Hortense Atta Diallo</w:t>
      </w:r>
      <w:r w:rsidR="00744C93" w:rsidRPr="00744C93">
        <w:rPr>
          <w:rFonts w:ascii="Times New Roman" w:eastAsia="Times New Roman" w:hAnsi="Times New Roman" w:cs="Times New Roman"/>
          <w:b/>
          <w:bCs/>
          <w:kern w:val="0"/>
          <w:lang w:eastAsia="fr-FR"/>
          <w14:ligatures w14:val="none"/>
        </w:rPr>
        <w:t xml:space="preserve"> </w:t>
      </w:r>
      <w:r w:rsidRPr="00744C93">
        <w:rPr>
          <w:rFonts w:ascii="Times New Roman" w:eastAsia="Times New Roman" w:hAnsi="Times New Roman" w:cs="Times New Roman"/>
          <w:b/>
          <w:bCs/>
          <w:kern w:val="0"/>
          <w:lang w:eastAsia="fr-FR"/>
          <w14:ligatures w14:val="none"/>
        </w:rPr>
        <w:t>(2017).</w:t>
      </w:r>
      <w:r w:rsidRPr="00744C93">
        <w:rPr>
          <w:rFonts w:ascii="Times New Roman" w:eastAsia="Times New Roman" w:hAnsi="Times New Roman" w:cs="Times New Roman"/>
          <w:kern w:val="0"/>
          <w:lang w:eastAsia="fr-FR"/>
          <w14:ligatures w14:val="none"/>
        </w:rPr>
        <w:t xml:space="preserve"> </w:t>
      </w:r>
      <w:r w:rsidR="008129E0" w:rsidRPr="00116FFE">
        <w:rPr>
          <w:rFonts w:ascii="Times New Roman" w:eastAsia="Times New Roman" w:hAnsi="Times New Roman" w:cs="Times New Roman"/>
          <w:kern w:val="0"/>
          <w:lang w:val="en-GB" w:eastAsia="fr-FR"/>
          <w14:ligatures w14:val="none"/>
        </w:rPr>
        <w:t>Nematicidal effectiveness of products stemming from dried</w:t>
      </w:r>
      <w:r w:rsidR="008129E0" w:rsidRPr="00116FFE">
        <w:rPr>
          <w:rFonts w:ascii="Times New Roman" w:eastAsia="Times New Roman" w:hAnsi="Times New Roman" w:cs="Times New Roman"/>
          <w:kern w:val="0"/>
          <w:lang w:val="en-GB" w:eastAsia="fr-FR"/>
          <w14:ligatures w14:val="none"/>
        </w:rPr>
        <w:t xml:space="preserve"> </w:t>
      </w:r>
      <w:r w:rsidR="008129E0" w:rsidRPr="00116FFE">
        <w:rPr>
          <w:rFonts w:ascii="Times New Roman" w:eastAsia="Times New Roman" w:hAnsi="Times New Roman" w:cs="Times New Roman"/>
          <w:kern w:val="0"/>
          <w:lang w:val="en-GB" w:eastAsia="fr-FR"/>
          <w14:ligatures w14:val="none"/>
        </w:rPr>
        <w:t>leaves of castor-oil plant (</w:t>
      </w:r>
      <w:r w:rsidR="008129E0" w:rsidRPr="00116FFE">
        <w:rPr>
          <w:rFonts w:ascii="Times New Roman" w:eastAsia="Times New Roman" w:hAnsi="Times New Roman" w:cs="Times New Roman"/>
          <w:i/>
          <w:iCs/>
          <w:kern w:val="0"/>
          <w:lang w:val="en-GB" w:eastAsia="fr-FR"/>
          <w14:ligatures w14:val="none"/>
        </w:rPr>
        <w:t>Ricinus communis</w:t>
      </w:r>
      <w:r w:rsidR="008129E0" w:rsidRPr="00116FFE">
        <w:rPr>
          <w:rFonts w:ascii="Times New Roman" w:eastAsia="Times New Roman" w:hAnsi="Times New Roman" w:cs="Times New Roman"/>
          <w:kern w:val="0"/>
          <w:lang w:val="en-GB" w:eastAsia="fr-FR"/>
          <w14:ligatures w14:val="none"/>
        </w:rPr>
        <w:t xml:space="preserve"> L.) on Meloidogyneand Pratylenchus, yam pathogenic nematodes in Côte d’Ivoire</w:t>
      </w:r>
      <w:r w:rsidRPr="00116FFE">
        <w:rPr>
          <w:rFonts w:ascii="Times New Roman" w:eastAsia="Times New Roman" w:hAnsi="Times New Roman" w:cs="Times New Roman"/>
          <w:kern w:val="0"/>
          <w:lang w:val="en-GB" w:eastAsia="fr-FR"/>
          <w14:ligatures w14:val="none"/>
        </w:rPr>
        <w:t xml:space="preserve"> </w:t>
      </w:r>
      <w:r w:rsidR="00116FFE" w:rsidRPr="00116FFE">
        <w:rPr>
          <w:rFonts w:ascii="Times New Roman" w:eastAsia="Times New Roman" w:hAnsi="Times New Roman" w:cs="Times New Roman"/>
          <w:kern w:val="0"/>
          <w:lang w:val="en-GB" w:eastAsia="fr-FR"/>
          <w14:ligatures w14:val="none"/>
        </w:rPr>
        <w:t>International Journal of Agronomy and Agricultural Research (IJAAR)</w:t>
      </w:r>
      <w:r w:rsidR="00116FFE">
        <w:rPr>
          <w:rFonts w:ascii="Times New Roman" w:eastAsia="Times New Roman" w:hAnsi="Times New Roman" w:cs="Times New Roman"/>
          <w:kern w:val="0"/>
          <w:lang w:val="en-GB" w:eastAsia="fr-FR"/>
          <w14:ligatures w14:val="none"/>
        </w:rPr>
        <w:t xml:space="preserve"> </w:t>
      </w:r>
      <w:r w:rsidR="00116FFE" w:rsidRPr="00116FFE">
        <w:rPr>
          <w:rFonts w:ascii="Times New Roman" w:eastAsia="Times New Roman" w:hAnsi="Times New Roman" w:cs="Times New Roman"/>
          <w:kern w:val="0"/>
          <w:lang w:val="en-GB" w:eastAsia="fr-FR"/>
          <w14:ligatures w14:val="none"/>
        </w:rPr>
        <w:t>ISSN: 2223-7054 (Print) 2225-3610 (Online)http://www.innspub.net</w:t>
      </w:r>
      <w:r w:rsidR="00116FFE" w:rsidRPr="00583404">
        <w:rPr>
          <w:rFonts w:ascii="Times New Roman" w:eastAsia="Times New Roman" w:hAnsi="Times New Roman" w:cs="Times New Roman"/>
          <w:kern w:val="0"/>
          <w:lang w:val="en-GB" w:eastAsia="fr-FR"/>
          <w14:ligatures w14:val="none"/>
        </w:rPr>
        <w:t>Vol. 11, No. 5, p. 57-68, 2017</w:t>
      </w:r>
    </w:p>
    <w:p w14:paraId="75B84B00" w14:textId="6B24DECD" w:rsidR="00D2381E" w:rsidRPr="00D2381E" w:rsidRDefault="00D2381E" w:rsidP="00116FFE">
      <w:pPr>
        <w:spacing w:before="100" w:beforeAutospacing="1" w:after="100" w:afterAutospacing="1" w:line="240" w:lineRule="auto"/>
        <w:ind w:left="284" w:hanging="426"/>
        <w:jc w:val="both"/>
        <w:rPr>
          <w:rFonts w:ascii="Times New Roman" w:eastAsia="Times New Roman" w:hAnsi="Times New Roman" w:cs="Times New Roman"/>
          <w:kern w:val="0"/>
          <w:lang w:val="en-GB" w:eastAsia="fr-FR"/>
          <w14:ligatures w14:val="none"/>
        </w:rPr>
      </w:pPr>
      <w:r w:rsidRPr="00D2381E">
        <w:rPr>
          <w:rFonts w:ascii="Times New Roman" w:eastAsia="Times New Roman" w:hAnsi="Times New Roman" w:cs="Times New Roman"/>
          <w:b/>
          <w:bCs/>
          <w:kern w:val="0"/>
          <w:lang w:eastAsia="fr-FR"/>
          <w14:ligatures w14:val="none"/>
        </w:rPr>
        <w:t>Lata, N., et Dubey, V. (2010).</w:t>
      </w:r>
      <w:r w:rsidRPr="00D2381E">
        <w:rPr>
          <w:rFonts w:ascii="Times New Roman" w:eastAsia="Times New Roman" w:hAnsi="Times New Roman" w:cs="Times New Roman"/>
          <w:kern w:val="0"/>
          <w:lang w:eastAsia="fr-FR"/>
          <w14:ligatures w14:val="none"/>
        </w:rPr>
        <w:t xml:space="preserve"> Criblage phytochimique préliminaire </w:t>
      </w:r>
      <w:r w:rsidRPr="00EB46D4">
        <w:rPr>
          <w:rFonts w:ascii="Times New Roman" w:eastAsia="Times New Roman" w:hAnsi="Times New Roman" w:cs="Times New Roman"/>
          <w:i/>
          <w:iCs/>
          <w:kern w:val="0"/>
          <w:lang w:eastAsia="fr-FR"/>
          <w14:ligatures w14:val="none"/>
        </w:rPr>
        <w:t>d'Eichhornia crassipes</w:t>
      </w:r>
      <w:r w:rsidRPr="00D2381E">
        <w:rPr>
          <w:rFonts w:ascii="Times New Roman" w:eastAsia="Times New Roman" w:hAnsi="Times New Roman" w:cs="Times New Roman"/>
          <w:kern w:val="0"/>
          <w:lang w:eastAsia="fr-FR"/>
          <w14:ligatures w14:val="none"/>
        </w:rPr>
        <w:t xml:space="preserve"> : la pire mauvaise herbe aquatique au monde. </w:t>
      </w:r>
      <w:r w:rsidRPr="00D2381E">
        <w:rPr>
          <w:rFonts w:ascii="Times New Roman" w:eastAsia="Times New Roman" w:hAnsi="Times New Roman" w:cs="Times New Roman"/>
          <w:kern w:val="0"/>
          <w:lang w:val="en-GB" w:eastAsia="fr-FR"/>
          <w14:ligatures w14:val="none"/>
        </w:rPr>
        <w:t>Journal of pharmacy Research , 3 (6), 1240-1242.</w:t>
      </w:r>
    </w:p>
    <w:p w14:paraId="7486D6D5" w14:textId="371A189A" w:rsidR="00D2381E" w:rsidRPr="00991688" w:rsidRDefault="00D2381E" w:rsidP="00733497">
      <w:pPr>
        <w:spacing w:before="100" w:beforeAutospacing="1" w:after="100" w:afterAutospacing="1" w:line="240" w:lineRule="auto"/>
        <w:ind w:left="284" w:hanging="426"/>
        <w:jc w:val="both"/>
        <w:rPr>
          <w:rFonts w:ascii="Times New Roman" w:eastAsia="Times New Roman" w:hAnsi="Times New Roman" w:cs="Times New Roman"/>
          <w:kern w:val="0"/>
          <w:lang w:val="en-GB" w:eastAsia="fr-FR"/>
          <w14:ligatures w14:val="none"/>
        </w:rPr>
      </w:pPr>
      <w:r w:rsidRPr="00D2381E">
        <w:rPr>
          <w:rFonts w:ascii="Times New Roman" w:eastAsia="Times New Roman" w:hAnsi="Times New Roman" w:cs="Times New Roman"/>
          <w:b/>
          <w:bCs/>
          <w:kern w:val="0"/>
          <w:lang w:val="en-GB" w:eastAsia="fr-FR"/>
          <w14:ligatures w14:val="none"/>
        </w:rPr>
        <w:t>Mailu, A. M. (2001).</w:t>
      </w:r>
      <w:r w:rsidRPr="00D2381E">
        <w:rPr>
          <w:rFonts w:ascii="Times New Roman" w:eastAsia="Times New Roman" w:hAnsi="Times New Roman" w:cs="Times New Roman"/>
          <w:kern w:val="0"/>
          <w:lang w:val="en-GB" w:eastAsia="fr-FR"/>
          <w14:ligatures w14:val="none"/>
        </w:rPr>
        <w:t xml:space="preserve"> Preliminary assessment of the social, economic and environmental impacts of Water Hyacinth in Lake Victoria basin and status of control.</w:t>
      </w:r>
    </w:p>
    <w:p w14:paraId="5112F510" w14:textId="77777777" w:rsidR="00D2381E" w:rsidRPr="00D2381E" w:rsidRDefault="00D2381E" w:rsidP="00733497">
      <w:pPr>
        <w:spacing w:before="100" w:beforeAutospacing="1" w:after="100" w:afterAutospacing="1" w:line="240" w:lineRule="auto"/>
        <w:ind w:left="284" w:hanging="426"/>
        <w:jc w:val="both"/>
        <w:rPr>
          <w:rFonts w:ascii="Times New Roman" w:eastAsia="Times New Roman" w:hAnsi="Times New Roman" w:cs="Times New Roman"/>
          <w:kern w:val="0"/>
          <w:lang w:val="en-GB" w:eastAsia="fr-FR"/>
          <w14:ligatures w14:val="none"/>
        </w:rPr>
      </w:pPr>
      <w:r w:rsidRPr="00D2381E">
        <w:rPr>
          <w:rFonts w:ascii="Times New Roman" w:eastAsia="Times New Roman" w:hAnsi="Times New Roman" w:cs="Times New Roman"/>
          <w:b/>
          <w:bCs/>
          <w:kern w:val="0"/>
          <w:lang w:eastAsia="fr-FR"/>
          <w14:ligatures w14:val="none"/>
        </w:rPr>
        <w:t>Ntalli, N. G., et Caboni, P. (2012).</w:t>
      </w:r>
      <w:r w:rsidRPr="00D2381E">
        <w:rPr>
          <w:rFonts w:ascii="Times New Roman" w:eastAsia="Times New Roman" w:hAnsi="Times New Roman" w:cs="Times New Roman"/>
          <w:kern w:val="0"/>
          <w:lang w:eastAsia="fr-FR"/>
          <w14:ligatures w14:val="none"/>
        </w:rPr>
        <w:t xml:space="preserve"> </w:t>
      </w:r>
      <w:r w:rsidRPr="00D2381E">
        <w:rPr>
          <w:rFonts w:ascii="Times New Roman" w:eastAsia="Times New Roman" w:hAnsi="Times New Roman" w:cs="Times New Roman"/>
          <w:kern w:val="0"/>
          <w:lang w:val="en-GB" w:eastAsia="fr-FR"/>
          <w14:ligatures w14:val="none"/>
        </w:rPr>
        <w:t>Botanical nematicides: a review. Journal of agricultural and food chemistry, 60(40), 9929-9940.</w:t>
      </w:r>
    </w:p>
    <w:p w14:paraId="04519741" w14:textId="057365EE" w:rsidR="00D2381E" w:rsidRPr="004B6575" w:rsidRDefault="00DA17A5" w:rsidP="00733497">
      <w:pPr>
        <w:spacing w:before="100" w:beforeAutospacing="1" w:after="100" w:afterAutospacing="1" w:line="240" w:lineRule="auto"/>
        <w:ind w:left="284" w:hanging="426"/>
        <w:jc w:val="both"/>
        <w:rPr>
          <w:rFonts w:ascii="Times New Roman" w:eastAsia="Calibri" w:hAnsi="Times New Roman" w:cs="Times New Roman"/>
          <w:kern w:val="0"/>
          <w:lang w:val="en-GB"/>
          <w14:ligatures w14:val="none"/>
        </w:rPr>
      </w:pPr>
      <w:r w:rsidRPr="00DA17A5">
        <w:rPr>
          <w:rFonts w:ascii="Times New Roman" w:eastAsia="Times New Roman" w:hAnsi="Times New Roman" w:cs="Times New Roman"/>
          <w:b/>
          <w:bCs/>
          <w:kern w:val="0"/>
          <w:lang w:eastAsia="fr-FR"/>
          <w14:ligatures w14:val="none"/>
        </w:rPr>
        <w:t>Oka, Y. (2010).</w:t>
      </w:r>
      <w:r w:rsidRPr="00DA17A5">
        <w:rPr>
          <w:rFonts w:ascii="Times New Roman" w:eastAsia="Times New Roman" w:hAnsi="Times New Roman" w:cs="Times New Roman"/>
          <w:kern w:val="0"/>
          <w:lang w:eastAsia="fr-FR"/>
          <w14:ligatures w14:val="none"/>
        </w:rPr>
        <w:t xml:space="preserve"> Mécanismes de suppression des nématodes par les amendements organiques du sol – une revue. </w:t>
      </w:r>
      <w:r w:rsidRPr="004B6575">
        <w:rPr>
          <w:rFonts w:ascii="Times New Roman" w:eastAsia="Times New Roman" w:hAnsi="Times New Roman" w:cs="Times New Roman"/>
          <w:kern w:val="0"/>
          <w:lang w:val="en-GB" w:eastAsia="fr-FR"/>
          <w14:ligatures w14:val="none"/>
        </w:rPr>
        <w:t xml:space="preserve">Applied Soil Ecology , 44 (2), 101-115. </w:t>
      </w:r>
      <w:hyperlink r:id="rId24" w:history="1">
        <w:r w:rsidRPr="004B6575">
          <w:rPr>
            <w:rFonts w:ascii="Times New Roman" w:eastAsia="Times New Roman" w:hAnsi="Times New Roman" w:cs="Times New Roman"/>
            <w:color w:val="0000FF"/>
            <w:kern w:val="0"/>
            <w:u w:val="single"/>
            <w:lang w:val="en-GB" w:eastAsia="fr-FR"/>
            <w14:ligatures w14:val="none"/>
          </w:rPr>
          <w:t>https://doi.org/10.1016/j.apsoil.2009.11.003</w:t>
        </w:r>
      </w:hyperlink>
    </w:p>
    <w:p w14:paraId="3D284C94" w14:textId="18C5AAF1" w:rsidR="00D2381E" w:rsidRPr="00BF0AF0" w:rsidRDefault="00583404" w:rsidP="00733497">
      <w:pPr>
        <w:spacing w:before="100" w:beforeAutospacing="1" w:after="100" w:afterAutospacing="1" w:line="240" w:lineRule="auto"/>
        <w:ind w:left="284" w:hanging="426"/>
        <w:jc w:val="both"/>
        <w:rPr>
          <w:rFonts w:ascii="Times New Roman" w:eastAsia="Times New Roman" w:hAnsi="Times New Roman" w:cs="Times New Roman"/>
          <w:kern w:val="0"/>
          <w:lang w:val="en-GB" w:eastAsia="fr-FR"/>
          <w14:ligatures w14:val="none"/>
        </w:rPr>
      </w:pPr>
      <w:r w:rsidRPr="00583404">
        <w:rPr>
          <w:rFonts w:ascii="Times New Roman" w:eastAsia="Times New Roman" w:hAnsi="Times New Roman" w:cs="Times New Roman"/>
          <w:b/>
          <w:bCs/>
          <w:kern w:val="0"/>
          <w:lang w:val="en-GB" w:eastAsia="fr-FR"/>
          <w14:ligatures w14:val="none"/>
        </w:rPr>
        <w:t xml:space="preserve">Rady, G. H. H.; Abdelnabby, H. M.; Gohar, I. M. A.; Mohamed, Gh. R. Y.; and Sabra, T. F. Y. </w:t>
      </w:r>
      <w:r w:rsidR="00D2381E" w:rsidRPr="00D2381E">
        <w:rPr>
          <w:rFonts w:ascii="Times New Roman" w:eastAsia="Times New Roman" w:hAnsi="Times New Roman" w:cs="Times New Roman"/>
          <w:b/>
          <w:bCs/>
          <w:kern w:val="0"/>
          <w:lang w:val="en-GB" w:eastAsia="fr-FR"/>
          <w14:ligatures w14:val="none"/>
        </w:rPr>
        <w:t>(2021).</w:t>
      </w:r>
      <w:r w:rsidR="00D2381E" w:rsidRPr="00D2381E">
        <w:rPr>
          <w:rFonts w:ascii="Times New Roman" w:eastAsia="Times New Roman" w:hAnsi="Times New Roman" w:cs="Times New Roman"/>
          <w:kern w:val="0"/>
          <w:lang w:val="en-GB" w:eastAsia="fr-FR"/>
          <w14:ligatures w14:val="none"/>
        </w:rPr>
        <w:t xml:space="preserve"> Evaluation of some root-knot nematode management strategies in sugarbeet fields at West Nubaryia district. </w:t>
      </w:r>
      <w:r w:rsidR="00BF0AF0" w:rsidRPr="00BF0AF0">
        <w:rPr>
          <w:rFonts w:ascii="Times New Roman" w:eastAsia="Times New Roman" w:hAnsi="Times New Roman" w:cs="Times New Roman"/>
          <w:kern w:val="0"/>
          <w:lang w:val="en-GB" w:eastAsia="fr-FR"/>
          <w14:ligatures w14:val="none"/>
        </w:rPr>
        <w:t>5th International Conference on Biotechnology Applications in Agriculture (ICBAA), Benha University, 8 April 2021, Egypt (Conference Online)</w:t>
      </w:r>
      <w:r w:rsidR="00D2381E" w:rsidRPr="00BF0AF0">
        <w:rPr>
          <w:rFonts w:ascii="Times New Roman" w:eastAsia="Times New Roman" w:hAnsi="Times New Roman" w:cs="Times New Roman"/>
          <w:kern w:val="0"/>
          <w:lang w:val="en-GB" w:eastAsia="fr-FR"/>
          <w14:ligatures w14:val="none"/>
        </w:rPr>
        <w:t>.</w:t>
      </w:r>
    </w:p>
    <w:p w14:paraId="7096100E" w14:textId="638FFE20" w:rsidR="00A27C02" w:rsidRPr="00A27C02" w:rsidRDefault="00D2381E" w:rsidP="00A27C02">
      <w:pPr>
        <w:spacing w:before="100" w:beforeAutospacing="1" w:after="100" w:afterAutospacing="1" w:line="240" w:lineRule="auto"/>
        <w:ind w:left="284" w:hanging="426"/>
        <w:jc w:val="both"/>
        <w:rPr>
          <w:rFonts w:ascii="Times New Roman" w:eastAsia="Times New Roman" w:hAnsi="Times New Roman" w:cs="Times New Roman"/>
          <w:kern w:val="0"/>
          <w:lang w:eastAsia="fr-FR"/>
          <w14:ligatures w14:val="none"/>
        </w:rPr>
      </w:pPr>
      <w:r w:rsidRPr="00C25957">
        <w:rPr>
          <w:rFonts w:ascii="Times New Roman" w:eastAsia="Times New Roman" w:hAnsi="Times New Roman" w:cs="Times New Roman"/>
          <w:b/>
          <w:bCs/>
          <w:kern w:val="0"/>
          <w:lang w:val="en-IN" w:eastAsia="fr-FR"/>
          <w14:ligatures w14:val="none"/>
        </w:rPr>
        <w:t>Regnault-Roger, C. (2002).</w:t>
      </w:r>
      <w:r w:rsidRPr="00C25957">
        <w:rPr>
          <w:rFonts w:ascii="Times New Roman" w:eastAsia="Times New Roman" w:hAnsi="Times New Roman" w:cs="Times New Roman"/>
          <w:kern w:val="0"/>
          <w:lang w:val="en-IN" w:eastAsia="fr-FR"/>
          <w14:ligatures w14:val="none"/>
        </w:rPr>
        <w:t xml:space="preserve"> </w:t>
      </w:r>
      <w:r w:rsidR="00A27C02" w:rsidRPr="00A27C02">
        <w:rPr>
          <w:rFonts w:ascii="Times New Roman" w:eastAsia="Times New Roman" w:hAnsi="Times New Roman" w:cs="Times New Roman"/>
          <w:kern w:val="0"/>
          <w:lang w:val="en-GB" w:eastAsia="fr-FR"/>
          <w14:ligatures w14:val="none"/>
        </w:rPr>
        <w:t xml:space="preserve">Philogène, B.J.R., Regnault-Roger, C., &amp; Vincent, C. (2012). New plant-derived phyto-insecticides for the third millennium. </w:t>
      </w:r>
      <w:r w:rsidR="00A27C02" w:rsidRPr="00C25957">
        <w:rPr>
          <w:rFonts w:ascii="Times New Roman" w:eastAsia="Times New Roman" w:hAnsi="Times New Roman" w:cs="Times New Roman"/>
          <w:kern w:val="0"/>
          <w:lang w:val="en-IN" w:eastAsia="fr-FR"/>
          <w14:ligatures w14:val="none"/>
        </w:rPr>
        <w:t xml:space="preserve">In Plant-derived biopesticides (pp. 19–39). </w:t>
      </w:r>
      <w:r w:rsidR="00A27C02" w:rsidRPr="00A27C02">
        <w:rPr>
          <w:rFonts w:ascii="Times New Roman" w:eastAsia="Times New Roman" w:hAnsi="Times New Roman" w:cs="Times New Roman"/>
          <w:kern w:val="0"/>
          <w:lang w:eastAsia="fr-FR"/>
          <w14:ligatures w14:val="none"/>
        </w:rPr>
        <w:t xml:space="preserve">Paris: Lavoisier – Tec &amp; Doc. </w:t>
      </w:r>
      <w:hyperlink r:id="rId25" w:history="1">
        <w:r w:rsidR="00A27C02" w:rsidRPr="00FD5732">
          <w:rPr>
            <w:rStyle w:val="Lienhypertexte"/>
            <w:rFonts w:ascii="Times New Roman" w:eastAsia="Times New Roman" w:hAnsi="Times New Roman" w:cs="Times New Roman"/>
            <w:kern w:val="0"/>
            <w:lang w:eastAsia="fr-FR"/>
            <w14:ligatures w14:val="none"/>
          </w:rPr>
          <w:t>https://doi.org/10.4236/ojots.2012.24009</w:t>
        </w:r>
      </w:hyperlink>
    </w:p>
    <w:p w14:paraId="4686DF5E" w14:textId="77777777" w:rsidR="00FD0015" w:rsidRPr="00FD0015" w:rsidRDefault="00FD0015" w:rsidP="00733497">
      <w:pPr>
        <w:spacing w:before="100" w:beforeAutospacing="1" w:after="100" w:afterAutospacing="1" w:line="240" w:lineRule="auto"/>
        <w:ind w:left="284" w:hanging="426"/>
        <w:jc w:val="both"/>
        <w:rPr>
          <w:rFonts w:ascii="Times New Roman" w:eastAsia="Times New Roman" w:hAnsi="Times New Roman" w:cs="Times New Roman"/>
          <w:kern w:val="0"/>
          <w:lang w:eastAsia="fr-FR"/>
          <w14:ligatures w14:val="none"/>
        </w:rPr>
      </w:pPr>
      <w:r w:rsidRPr="004B6575">
        <w:rPr>
          <w:rFonts w:ascii="Times New Roman" w:eastAsia="Times New Roman" w:hAnsi="Times New Roman" w:cs="Times New Roman"/>
          <w:b/>
          <w:bCs/>
          <w:kern w:val="0"/>
          <w:lang w:eastAsia="fr-FR"/>
          <w14:ligatures w14:val="none"/>
        </w:rPr>
        <w:t>Sharon, E., Bar-Eyal, M., Chet, I., Herrera-Estrella, A., Kleifeld, O., et Spiegel, Y. (2001)</w:t>
      </w:r>
      <w:r w:rsidRPr="004B6575">
        <w:rPr>
          <w:rFonts w:ascii="Times New Roman" w:eastAsia="Times New Roman" w:hAnsi="Times New Roman" w:cs="Times New Roman"/>
          <w:kern w:val="0"/>
          <w:lang w:eastAsia="fr-FR"/>
          <w14:ligatures w14:val="none"/>
        </w:rPr>
        <w:t xml:space="preserve">. </w:t>
      </w:r>
      <w:r w:rsidRPr="00FD0015">
        <w:rPr>
          <w:rFonts w:ascii="Times New Roman" w:eastAsia="Times New Roman" w:hAnsi="Times New Roman" w:cs="Times New Roman"/>
          <w:kern w:val="0"/>
          <w:lang w:val="en-GB" w:eastAsia="fr-FR"/>
          <w14:ligatures w14:val="none"/>
        </w:rPr>
        <w:t xml:space="preserve">Biological control of the root-knot nematode Meloidogyne javanica by </w:t>
      </w:r>
      <w:r w:rsidRPr="00FD0015">
        <w:rPr>
          <w:rFonts w:ascii="Times New Roman" w:eastAsia="Times New Roman" w:hAnsi="Times New Roman" w:cs="Times New Roman"/>
          <w:i/>
          <w:iCs/>
          <w:kern w:val="0"/>
          <w:lang w:val="en-GB" w:eastAsia="fr-FR"/>
          <w14:ligatures w14:val="none"/>
        </w:rPr>
        <w:t>Trichoderma harzianum.</w:t>
      </w:r>
      <w:r w:rsidRPr="00FD0015">
        <w:rPr>
          <w:rFonts w:ascii="Times New Roman" w:eastAsia="Times New Roman" w:hAnsi="Times New Roman" w:cs="Times New Roman"/>
          <w:kern w:val="0"/>
          <w:lang w:val="en-GB" w:eastAsia="fr-FR"/>
          <w14:ligatures w14:val="none"/>
        </w:rPr>
        <w:t xml:space="preserve"> </w:t>
      </w:r>
      <w:r w:rsidRPr="00FD0015">
        <w:rPr>
          <w:rFonts w:ascii="Times New Roman" w:eastAsia="Times New Roman" w:hAnsi="Times New Roman" w:cs="Times New Roman"/>
          <w:kern w:val="0"/>
          <w:lang w:eastAsia="fr-FR"/>
          <w14:ligatures w14:val="none"/>
        </w:rPr>
        <w:t xml:space="preserve">Phytopathology, 91(7), 687-693. </w:t>
      </w:r>
      <w:hyperlink r:id="rId26" w:history="1">
        <w:r w:rsidRPr="00FD0015">
          <w:rPr>
            <w:rFonts w:ascii="Times New Roman" w:eastAsia="Times New Roman" w:hAnsi="Times New Roman" w:cs="Times New Roman"/>
            <w:color w:val="0000FF"/>
            <w:kern w:val="0"/>
            <w:u w:val="single"/>
            <w:lang w:eastAsia="fr-FR"/>
            <w14:ligatures w14:val="none"/>
          </w:rPr>
          <w:t>https://doi.org/10.1094/PHYTO.2001.91.7.687</w:t>
        </w:r>
      </w:hyperlink>
    </w:p>
    <w:p w14:paraId="61CB462C" w14:textId="4D670D3B" w:rsidR="00FD0015" w:rsidRPr="004B6575" w:rsidRDefault="007A6FE3" w:rsidP="00733497">
      <w:pPr>
        <w:spacing w:before="100" w:beforeAutospacing="1" w:after="100" w:afterAutospacing="1" w:line="240" w:lineRule="auto"/>
        <w:ind w:left="284" w:hanging="426"/>
        <w:jc w:val="both"/>
        <w:rPr>
          <w:rFonts w:ascii="Times New Roman" w:eastAsia="Times New Roman" w:hAnsi="Times New Roman" w:cs="Times New Roman"/>
          <w:kern w:val="0"/>
          <w:lang w:eastAsia="fr-FR"/>
          <w14:ligatures w14:val="none"/>
        </w:rPr>
      </w:pPr>
      <w:r w:rsidRPr="007A6FE3">
        <w:rPr>
          <w:rFonts w:ascii="Times New Roman" w:eastAsia="Times New Roman" w:hAnsi="Times New Roman" w:cs="Times New Roman"/>
          <w:b/>
          <w:bCs/>
          <w:kern w:val="0"/>
          <w:lang w:eastAsia="fr-FR"/>
          <w14:ligatures w14:val="none"/>
        </w:rPr>
        <w:t>Stevenson, F. J., et Cole, M. A. (1999).</w:t>
      </w:r>
      <w:r w:rsidRPr="007A6FE3">
        <w:rPr>
          <w:rFonts w:ascii="Times New Roman" w:eastAsia="Times New Roman" w:hAnsi="Times New Roman" w:cs="Times New Roman"/>
          <w:kern w:val="0"/>
          <w:lang w:eastAsia="fr-FR"/>
          <w14:ligatures w14:val="none"/>
        </w:rPr>
        <w:t xml:space="preserve"> Cycles of soils: carbon, nitrogen, phosphorus, sulfur, micronutrients. </w:t>
      </w:r>
      <w:r w:rsidRPr="004B6575">
        <w:rPr>
          <w:rFonts w:ascii="Times New Roman" w:eastAsia="Times New Roman" w:hAnsi="Times New Roman" w:cs="Times New Roman"/>
          <w:kern w:val="0"/>
          <w:lang w:eastAsia="fr-FR"/>
          <w14:ligatures w14:val="none"/>
        </w:rPr>
        <w:t>John Wiley et Sons.</w:t>
      </w:r>
    </w:p>
    <w:p w14:paraId="2840DDCF" w14:textId="3D64C4C8" w:rsidR="003B022D" w:rsidRPr="008E779E" w:rsidRDefault="003B022D" w:rsidP="00733497">
      <w:pPr>
        <w:spacing w:before="100" w:beforeAutospacing="1" w:after="100" w:afterAutospacing="1" w:line="240" w:lineRule="auto"/>
        <w:ind w:left="284" w:hanging="426"/>
        <w:jc w:val="both"/>
        <w:rPr>
          <w:rFonts w:ascii="Times New Roman" w:eastAsia="Times New Roman" w:hAnsi="Times New Roman" w:cs="Times New Roman"/>
          <w:kern w:val="0"/>
          <w:lang w:val="en-GB" w:eastAsia="fr-FR"/>
          <w14:ligatures w14:val="none"/>
        </w:rPr>
      </w:pPr>
      <w:r w:rsidRPr="003B022D">
        <w:rPr>
          <w:rFonts w:ascii="Times New Roman" w:eastAsia="Times New Roman" w:hAnsi="Times New Roman" w:cs="Times New Roman"/>
          <w:b/>
          <w:bCs/>
          <w:kern w:val="0"/>
          <w:lang w:eastAsia="fr-FR"/>
          <w14:ligatures w14:val="none"/>
        </w:rPr>
        <w:lastRenderedPageBreak/>
        <w:t>Tchabi, A., Sokame, B. M., Agboka, K., Tounou, A. K., &amp; Penoukou, E. (2019).</w:t>
      </w:r>
      <w:r w:rsidRPr="003B022D">
        <w:rPr>
          <w:rFonts w:ascii="Times New Roman" w:eastAsia="Times New Roman" w:hAnsi="Times New Roman" w:cs="Times New Roman"/>
          <w:kern w:val="0"/>
          <w:lang w:eastAsia="fr-FR"/>
          <w14:ligatures w14:val="none"/>
        </w:rPr>
        <w:t xml:space="preserve"> </w:t>
      </w:r>
      <w:r w:rsidRPr="003B022D">
        <w:rPr>
          <w:rFonts w:ascii="Times New Roman" w:eastAsia="Times New Roman" w:hAnsi="Times New Roman" w:cs="Times New Roman"/>
          <w:kern w:val="0"/>
          <w:lang w:val="en-GB" w:eastAsia="fr-FR"/>
          <w14:ligatures w14:val="none"/>
        </w:rPr>
        <w:t>Screening For Native Arbuscular Mycorhizal Fungi to Promote Solanum Macrocarpon L. Yield and Meloidogyne Spp. Suppression in the Field Conditions. J. Pharm. Chem. Biol. Sci, 6(4), 282-291.</w:t>
      </w:r>
    </w:p>
    <w:p w14:paraId="51F668AA" w14:textId="77777777" w:rsidR="00B779AF" w:rsidRPr="00B779AF" w:rsidRDefault="00B779AF" w:rsidP="00733497">
      <w:pPr>
        <w:spacing w:before="100" w:beforeAutospacing="1" w:after="100" w:afterAutospacing="1" w:line="240" w:lineRule="auto"/>
        <w:ind w:left="284" w:hanging="426"/>
        <w:jc w:val="both"/>
        <w:rPr>
          <w:rFonts w:ascii="Times New Roman" w:eastAsia="Times New Roman" w:hAnsi="Times New Roman" w:cs="Times New Roman"/>
          <w:kern w:val="0"/>
          <w:lang w:val="en-GB" w:eastAsia="fr-FR"/>
          <w14:ligatures w14:val="none"/>
        </w:rPr>
      </w:pPr>
      <w:r w:rsidRPr="004B6575">
        <w:rPr>
          <w:rFonts w:ascii="Times New Roman" w:eastAsia="Times New Roman" w:hAnsi="Times New Roman" w:cs="Times New Roman"/>
          <w:b/>
          <w:bCs/>
          <w:kern w:val="0"/>
          <w:lang w:eastAsia="fr-FR"/>
          <w14:ligatures w14:val="none"/>
        </w:rPr>
        <w:t>Tchaniley, L., Ayisah, K. D., et Kassa, K. A. D. (2020).</w:t>
      </w:r>
      <w:r w:rsidRPr="004B6575">
        <w:rPr>
          <w:rFonts w:ascii="Times New Roman" w:eastAsia="Times New Roman" w:hAnsi="Times New Roman" w:cs="Times New Roman"/>
          <w:kern w:val="0"/>
          <w:lang w:eastAsia="fr-FR"/>
          <w14:ligatures w14:val="none"/>
        </w:rPr>
        <w:t xml:space="preserve"> </w:t>
      </w:r>
      <w:r w:rsidRPr="00B779AF">
        <w:rPr>
          <w:rFonts w:ascii="Times New Roman" w:eastAsia="Times New Roman" w:hAnsi="Times New Roman" w:cs="Times New Roman"/>
          <w:kern w:val="0"/>
          <w:lang w:eastAsia="fr-FR"/>
          <w14:ligatures w14:val="none"/>
        </w:rPr>
        <w:t>Effet de la combinaison des fertilisants organiques et minéraux (NPK 15-15-15 et urée) sur le rendement de la laitue (</w:t>
      </w:r>
      <w:r w:rsidRPr="00B779AF">
        <w:rPr>
          <w:rFonts w:ascii="Times New Roman" w:eastAsia="Times New Roman" w:hAnsi="Times New Roman" w:cs="Times New Roman"/>
          <w:i/>
          <w:iCs/>
          <w:kern w:val="0"/>
          <w:lang w:eastAsia="fr-FR"/>
          <w14:ligatures w14:val="none"/>
        </w:rPr>
        <w:t xml:space="preserve">Lactuca sativa </w:t>
      </w:r>
      <w:r w:rsidRPr="00B779AF">
        <w:rPr>
          <w:rFonts w:ascii="Times New Roman" w:eastAsia="Times New Roman" w:hAnsi="Times New Roman" w:cs="Times New Roman"/>
          <w:kern w:val="0"/>
          <w:lang w:eastAsia="fr-FR"/>
          <w14:ligatures w14:val="none"/>
        </w:rPr>
        <w:t xml:space="preserve">L.) dans le sud du Togo: Effect of the combination of organic and mineral fertilizers (NPK 15-15-15 and urea) on the yield of lettuce (Lactuca sativa L.) in southern Togo. </w:t>
      </w:r>
      <w:r w:rsidRPr="00B779AF">
        <w:rPr>
          <w:rFonts w:ascii="Times New Roman" w:eastAsia="Times New Roman" w:hAnsi="Times New Roman" w:cs="Times New Roman"/>
          <w:kern w:val="0"/>
          <w:lang w:val="en-GB" w:eastAsia="fr-FR"/>
          <w14:ligatures w14:val="none"/>
        </w:rPr>
        <w:t xml:space="preserve">Journal of Applied Biosciences, 151(1), 15540-15549. </w:t>
      </w:r>
      <w:hyperlink r:id="rId27" w:history="1">
        <w:r w:rsidRPr="00B779AF">
          <w:rPr>
            <w:rFonts w:ascii="Times New Roman" w:eastAsia="Times New Roman" w:hAnsi="Times New Roman" w:cs="Times New Roman"/>
            <w:color w:val="0000FF"/>
            <w:kern w:val="0"/>
            <w:u w:val="single"/>
            <w:lang w:val="en-GB" w:eastAsia="fr-FR"/>
            <w14:ligatures w14:val="none"/>
          </w:rPr>
          <w:t>https://doi.org/10.35759/JABs.151.3</w:t>
        </w:r>
      </w:hyperlink>
    </w:p>
    <w:p w14:paraId="52AC3F82" w14:textId="409E83D4" w:rsidR="00D170DE" w:rsidRPr="00D2381E" w:rsidRDefault="00B779AF" w:rsidP="00D170DE">
      <w:pPr>
        <w:spacing w:before="100" w:beforeAutospacing="1" w:after="100" w:afterAutospacing="1" w:line="240" w:lineRule="auto"/>
        <w:ind w:left="284" w:hanging="426"/>
        <w:jc w:val="both"/>
        <w:rPr>
          <w:rFonts w:ascii="Times New Roman" w:eastAsia="Times New Roman" w:hAnsi="Times New Roman" w:cs="Times New Roman"/>
          <w:kern w:val="0"/>
          <w:lang w:eastAsia="fr-FR"/>
          <w14:ligatures w14:val="none"/>
        </w:rPr>
      </w:pPr>
      <w:r w:rsidRPr="00B779AF">
        <w:rPr>
          <w:rFonts w:ascii="Times New Roman" w:eastAsia="Times New Roman" w:hAnsi="Times New Roman" w:cs="Times New Roman"/>
          <w:b/>
          <w:bCs/>
          <w:kern w:val="0"/>
          <w:lang w:val="en-GB" w:eastAsia="fr-FR"/>
          <w14:ligatures w14:val="none"/>
        </w:rPr>
        <w:t>Tigoun, A. E. (2021).</w:t>
      </w:r>
      <w:r w:rsidRPr="00B779AF">
        <w:rPr>
          <w:rFonts w:ascii="Times New Roman" w:eastAsia="Times New Roman" w:hAnsi="Times New Roman" w:cs="Times New Roman"/>
          <w:kern w:val="0"/>
          <w:lang w:val="en-GB" w:eastAsia="fr-FR"/>
          <w14:ligatures w14:val="none"/>
        </w:rPr>
        <w:t xml:space="preserve"> </w:t>
      </w:r>
      <w:r w:rsidRPr="00B779AF">
        <w:rPr>
          <w:rFonts w:ascii="Times New Roman" w:eastAsia="Times New Roman" w:hAnsi="Times New Roman" w:cs="Times New Roman"/>
          <w:kern w:val="0"/>
          <w:lang w:eastAsia="fr-FR"/>
          <w14:ligatures w14:val="none"/>
        </w:rPr>
        <w:t>Détermination de la dose optimale des composts à base de jacinthe d'eau pour la production de légumes feuilles sur sol ferralitique au Sud-Bénin.</w:t>
      </w:r>
      <w:r w:rsidR="00D170DE" w:rsidRPr="00D170DE">
        <w:t xml:space="preserve"> </w:t>
      </w:r>
      <w:hyperlink r:id="rId28" w:history="1">
        <w:r w:rsidR="00D170DE" w:rsidRPr="00A76931">
          <w:rPr>
            <w:rStyle w:val="Lienhypertexte"/>
            <w:rFonts w:ascii="Times New Roman" w:eastAsia="Times New Roman" w:hAnsi="Times New Roman" w:cs="Times New Roman"/>
            <w:kern w:val="0"/>
            <w:lang w:eastAsia="fr-FR"/>
            <w14:ligatures w14:val="none"/>
          </w:rPr>
          <w:t>http://hdl.handle.net/2268.2/13067</w:t>
        </w:r>
      </w:hyperlink>
    </w:p>
    <w:p w14:paraId="025D20BF" w14:textId="1BFE812A" w:rsidR="00D23BC4" w:rsidRDefault="00D23BC4" w:rsidP="00733497">
      <w:pPr>
        <w:spacing w:before="100" w:beforeAutospacing="1" w:after="100" w:afterAutospacing="1" w:line="240" w:lineRule="auto"/>
        <w:ind w:left="284" w:hanging="426"/>
        <w:jc w:val="both"/>
        <w:rPr>
          <w:rFonts w:ascii="Times New Roman" w:eastAsia="Times New Roman" w:hAnsi="Times New Roman" w:cs="Times New Roman"/>
          <w:kern w:val="0"/>
          <w:lang w:val="en-GB" w:eastAsia="fr-FR"/>
          <w14:ligatures w14:val="none"/>
        </w:rPr>
      </w:pPr>
      <w:r w:rsidRPr="00D23BC4">
        <w:rPr>
          <w:rFonts w:ascii="Times New Roman" w:eastAsia="Times New Roman" w:hAnsi="Times New Roman" w:cs="Times New Roman"/>
          <w:b/>
          <w:bCs/>
          <w:kern w:val="0"/>
          <w:lang w:eastAsia="fr-FR"/>
          <w14:ligatures w14:val="none"/>
        </w:rPr>
        <w:t>Umar, I., et Mohammed, B. A. (2013).</w:t>
      </w:r>
      <w:r w:rsidRPr="00D23BC4">
        <w:rPr>
          <w:rFonts w:ascii="Times New Roman" w:eastAsia="Times New Roman" w:hAnsi="Times New Roman" w:cs="Times New Roman"/>
          <w:kern w:val="0"/>
          <w:lang w:eastAsia="fr-FR"/>
          <w14:ligatures w14:val="none"/>
        </w:rPr>
        <w:t xml:space="preserve"> </w:t>
      </w:r>
      <w:r w:rsidRPr="00D23BC4">
        <w:rPr>
          <w:rFonts w:ascii="Times New Roman" w:eastAsia="Times New Roman" w:hAnsi="Times New Roman" w:cs="Times New Roman"/>
          <w:kern w:val="0"/>
          <w:lang w:val="en-GB" w:eastAsia="fr-FR"/>
          <w14:ligatures w14:val="none"/>
        </w:rPr>
        <w:t>Effect of Water Hyacinth (</w:t>
      </w:r>
      <w:r w:rsidRPr="00D23BC4">
        <w:rPr>
          <w:rFonts w:ascii="Times New Roman" w:eastAsia="Times New Roman" w:hAnsi="Times New Roman" w:cs="Times New Roman"/>
          <w:i/>
          <w:iCs/>
          <w:kern w:val="0"/>
          <w:lang w:val="en-GB" w:eastAsia="fr-FR"/>
          <w14:ligatures w14:val="none"/>
        </w:rPr>
        <w:t>Eichhornia Crassipes</w:t>
      </w:r>
      <w:r w:rsidRPr="00D23BC4">
        <w:rPr>
          <w:rFonts w:ascii="Times New Roman" w:eastAsia="Times New Roman" w:hAnsi="Times New Roman" w:cs="Times New Roman"/>
          <w:kern w:val="0"/>
          <w:lang w:val="en-GB" w:eastAsia="fr-FR"/>
          <w14:ligatures w14:val="none"/>
        </w:rPr>
        <w:t xml:space="preserve"> (Mart) Solms Leaf Extract on the Juvenile Mortality of Meloidogyne Incognita. IOSR Journal of Agriculture and Veterinary Science, 4, 46-48. </w:t>
      </w:r>
    </w:p>
    <w:p w14:paraId="24319BAD" w14:textId="77777777" w:rsidR="00906323" w:rsidRPr="00906323" w:rsidRDefault="00906323" w:rsidP="00733497">
      <w:pPr>
        <w:spacing w:before="100" w:beforeAutospacing="1" w:after="100" w:afterAutospacing="1" w:line="240" w:lineRule="auto"/>
        <w:ind w:left="284" w:hanging="426"/>
        <w:jc w:val="both"/>
        <w:rPr>
          <w:rFonts w:ascii="Times New Roman" w:eastAsia="Times New Roman" w:hAnsi="Times New Roman" w:cs="Times New Roman"/>
          <w:kern w:val="0"/>
          <w:lang w:val="en-GB" w:eastAsia="fr-FR"/>
          <w14:ligatures w14:val="none"/>
        </w:rPr>
      </w:pPr>
      <w:r w:rsidRPr="00906323">
        <w:rPr>
          <w:rFonts w:ascii="Times New Roman" w:eastAsia="Times New Roman" w:hAnsi="Times New Roman" w:cs="Times New Roman"/>
          <w:b/>
          <w:bCs/>
          <w:kern w:val="0"/>
          <w:lang w:val="en-GB" w:eastAsia="fr-FR"/>
          <w14:ligatures w14:val="none"/>
        </w:rPr>
        <w:t>Zafar, M. I., Khalid, A., Kali, S., Khan, F., Tahir, M., Ali, M., et Siddiqa, A. (2022).</w:t>
      </w:r>
      <w:r w:rsidRPr="00906323">
        <w:rPr>
          <w:rFonts w:ascii="Times New Roman" w:eastAsia="Times New Roman" w:hAnsi="Times New Roman" w:cs="Times New Roman"/>
          <w:kern w:val="0"/>
          <w:lang w:val="en-GB" w:eastAsia="fr-FR"/>
          <w14:ligatures w14:val="none"/>
        </w:rPr>
        <w:t xml:space="preserve"> Organic amendments as an ecofriendly substitute of carbofuran for the suppression of nematodes associated with Malus pumila. South African Journal of Botany, 144, 187-193.</w:t>
      </w:r>
    </w:p>
    <w:p w14:paraId="41ABF334" w14:textId="77777777" w:rsidR="00D2381E" w:rsidRPr="00D2381E" w:rsidRDefault="00D2381E" w:rsidP="00037CC9">
      <w:pPr>
        <w:rPr>
          <w:rFonts w:ascii="Times New Roman" w:hAnsi="Times New Roman" w:cs="Times New Roman"/>
          <w:sz w:val="24"/>
          <w:szCs w:val="24"/>
          <w:lang w:val="en-GB"/>
        </w:rPr>
      </w:pPr>
    </w:p>
    <w:sectPr w:rsidR="00D2381E" w:rsidRPr="00D2381E" w:rsidSect="005A6F8E">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7ED65" w14:textId="77777777" w:rsidR="00762B06" w:rsidRDefault="00762B06" w:rsidP="005A6F8E">
      <w:pPr>
        <w:spacing w:after="0" w:line="240" w:lineRule="auto"/>
      </w:pPr>
      <w:r>
        <w:separator/>
      </w:r>
    </w:p>
  </w:endnote>
  <w:endnote w:type="continuationSeparator" w:id="0">
    <w:p w14:paraId="0BDA8643" w14:textId="77777777" w:rsidR="00762B06" w:rsidRDefault="00762B06" w:rsidP="005A6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F83B" w14:textId="77777777" w:rsidR="005A6F8E" w:rsidRDefault="005A6F8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E117" w14:textId="77777777" w:rsidR="005A6F8E" w:rsidRDefault="005A6F8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1E0E" w14:textId="77777777" w:rsidR="005A6F8E" w:rsidRDefault="005A6F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353EB" w14:textId="77777777" w:rsidR="00762B06" w:rsidRDefault="00762B06" w:rsidP="005A6F8E">
      <w:pPr>
        <w:spacing w:after="0" w:line="240" w:lineRule="auto"/>
      </w:pPr>
      <w:r>
        <w:separator/>
      </w:r>
    </w:p>
  </w:footnote>
  <w:footnote w:type="continuationSeparator" w:id="0">
    <w:p w14:paraId="1D797A40" w14:textId="77777777" w:rsidR="00762B06" w:rsidRDefault="00762B06" w:rsidP="005A6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B0BE" w14:textId="3E418D80" w:rsidR="005A6F8E" w:rsidRDefault="00000000">
    <w:pPr>
      <w:pStyle w:val="En-tte"/>
    </w:pPr>
    <w:r>
      <w:rPr>
        <w:noProof/>
      </w:rPr>
      <w:pict w14:anchorId="2D5F5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650955" o:sp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837E" w14:textId="6DE599CD" w:rsidR="005A6F8E" w:rsidRDefault="00000000">
    <w:pPr>
      <w:pStyle w:val="En-tte"/>
    </w:pPr>
    <w:r>
      <w:rPr>
        <w:noProof/>
      </w:rPr>
      <w:pict w14:anchorId="3C8FA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650956" o:sp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E7C7" w14:textId="05FC12A0" w:rsidR="005A6F8E" w:rsidRDefault="00000000">
    <w:pPr>
      <w:pStyle w:val="En-tte"/>
    </w:pPr>
    <w:r>
      <w:rPr>
        <w:noProof/>
      </w:rPr>
      <w:pict w14:anchorId="1C01A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650954"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76A90"/>
    <w:multiLevelType w:val="hybridMultilevel"/>
    <w:tmpl w:val="6DCCA58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4E495C"/>
    <w:multiLevelType w:val="multilevel"/>
    <w:tmpl w:val="D4183AF8"/>
    <w:lvl w:ilvl="0">
      <w:start w:val="1"/>
      <w:numFmt w:val="decimal"/>
      <w:pStyle w:val="Titre1"/>
      <w:lvlText w:val="%1."/>
      <w:lvlJc w:val="left"/>
      <w:pPr>
        <w:ind w:left="720"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520" w:hanging="216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 w15:restartNumberingAfterBreak="0">
    <w:nsid w:val="7305628A"/>
    <w:multiLevelType w:val="hybridMultilevel"/>
    <w:tmpl w:val="13F610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8689181">
    <w:abstractNumId w:val="0"/>
  </w:num>
  <w:num w:numId="2" w16cid:durableId="2141412699">
    <w:abstractNumId w:val="2"/>
  </w:num>
  <w:num w:numId="3" w16cid:durableId="924922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26"/>
    <w:rsid w:val="0003520B"/>
    <w:rsid w:val="000369CE"/>
    <w:rsid w:val="00037CC9"/>
    <w:rsid w:val="000502F3"/>
    <w:rsid w:val="0005534A"/>
    <w:rsid w:val="00063A0E"/>
    <w:rsid w:val="000A0FF1"/>
    <w:rsid w:val="000B14CC"/>
    <w:rsid w:val="000C76D5"/>
    <w:rsid w:val="000D6670"/>
    <w:rsid w:val="000E7F8A"/>
    <w:rsid w:val="00103142"/>
    <w:rsid w:val="00104133"/>
    <w:rsid w:val="00115EB4"/>
    <w:rsid w:val="00116FFE"/>
    <w:rsid w:val="001274FC"/>
    <w:rsid w:val="00151307"/>
    <w:rsid w:val="00172FD5"/>
    <w:rsid w:val="001B583A"/>
    <w:rsid w:val="001D31F1"/>
    <w:rsid w:val="001D6652"/>
    <w:rsid w:val="001F0D3C"/>
    <w:rsid w:val="001F25EB"/>
    <w:rsid w:val="001F31E5"/>
    <w:rsid w:val="001F3AB5"/>
    <w:rsid w:val="001F4A45"/>
    <w:rsid w:val="001F4C85"/>
    <w:rsid w:val="00217089"/>
    <w:rsid w:val="00227DE9"/>
    <w:rsid w:val="00275D52"/>
    <w:rsid w:val="002833B9"/>
    <w:rsid w:val="0029124E"/>
    <w:rsid w:val="002F4A46"/>
    <w:rsid w:val="00344366"/>
    <w:rsid w:val="00346417"/>
    <w:rsid w:val="00347C0B"/>
    <w:rsid w:val="003607D0"/>
    <w:rsid w:val="00370FB5"/>
    <w:rsid w:val="003735B4"/>
    <w:rsid w:val="00381DC3"/>
    <w:rsid w:val="00394749"/>
    <w:rsid w:val="003A5FA5"/>
    <w:rsid w:val="003B022D"/>
    <w:rsid w:val="003E0B8E"/>
    <w:rsid w:val="003F3034"/>
    <w:rsid w:val="0041724C"/>
    <w:rsid w:val="004347C2"/>
    <w:rsid w:val="004533E8"/>
    <w:rsid w:val="00457AD7"/>
    <w:rsid w:val="004660DB"/>
    <w:rsid w:val="0046714C"/>
    <w:rsid w:val="00467D95"/>
    <w:rsid w:val="0047028B"/>
    <w:rsid w:val="00475EF2"/>
    <w:rsid w:val="00497D1F"/>
    <w:rsid w:val="004B31CE"/>
    <w:rsid w:val="004B3441"/>
    <w:rsid w:val="004B6575"/>
    <w:rsid w:val="004D2E48"/>
    <w:rsid w:val="004F3949"/>
    <w:rsid w:val="0050358F"/>
    <w:rsid w:val="0050737B"/>
    <w:rsid w:val="005150DF"/>
    <w:rsid w:val="00523FB2"/>
    <w:rsid w:val="00530C3E"/>
    <w:rsid w:val="00533C6A"/>
    <w:rsid w:val="00534556"/>
    <w:rsid w:val="005375B1"/>
    <w:rsid w:val="00537F56"/>
    <w:rsid w:val="0054748D"/>
    <w:rsid w:val="00565212"/>
    <w:rsid w:val="00566FE8"/>
    <w:rsid w:val="005670A6"/>
    <w:rsid w:val="00583404"/>
    <w:rsid w:val="00586059"/>
    <w:rsid w:val="0059291D"/>
    <w:rsid w:val="005A6F8E"/>
    <w:rsid w:val="005C4507"/>
    <w:rsid w:val="005C7CAA"/>
    <w:rsid w:val="005D6EBF"/>
    <w:rsid w:val="005E0381"/>
    <w:rsid w:val="005E1461"/>
    <w:rsid w:val="005E779A"/>
    <w:rsid w:val="005F1110"/>
    <w:rsid w:val="005F72D7"/>
    <w:rsid w:val="00601C04"/>
    <w:rsid w:val="00622306"/>
    <w:rsid w:val="00623A8D"/>
    <w:rsid w:val="0062528C"/>
    <w:rsid w:val="00635C9A"/>
    <w:rsid w:val="00640247"/>
    <w:rsid w:val="00645DAE"/>
    <w:rsid w:val="00650588"/>
    <w:rsid w:val="00652445"/>
    <w:rsid w:val="00663955"/>
    <w:rsid w:val="00666C22"/>
    <w:rsid w:val="006845B2"/>
    <w:rsid w:val="006922CB"/>
    <w:rsid w:val="00712358"/>
    <w:rsid w:val="00712F5B"/>
    <w:rsid w:val="007178E4"/>
    <w:rsid w:val="00733497"/>
    <w:rsid w:val="00733538"/>
    <w:rsid w:val="00744C93"/>
    <w:rsid w:val="007545B1"/>
    <w:rsid w:val="00762B06"/>
    <w:rsid w:val="007753AD"/>
    <w:rsid w:val="007765CA"/>
    <w:rsid w:val="00794E00"/>
    <w:rsid w:val="007A22E9"/>
    <w:rsid w:val="007A6FE3"/>
    <w:rsid w:val="007B311B"/>
    <w:rsid w:val="007D7031"/>
    <w:rsid w:val="007E55C3"/>
    <w:rsid w:val="008129E0"/>
    <w:rsid w:val="008469A9"/>
    <w:rsid w:val="0086583C"/>
    <w:rsid w:val="00865C9C"/>
    <w:rsid w:val="008A31F4"/>
    <w:rsid w:val="008B2B5D"/>
    <w:rsid w:val="008E1F10"/>
    <w:rsid w:val="008E779E"/>
    <w:rsid w:val="008F690B"/>
    <w:rsid w:val="00906323"/>
    <w:rsid w:val="00951BA0"/>
    <w:rsid w:val="00984276"/>
    <w:rsid w:val="00991688"/>
    <w:rsid w:val="009A5EE9"/>
    <w:rsid w:val="009A6B16"/>
    <w:rsid w:val="009C076F"/>
    <w:rsid w:val="009D5C03"/>
    <w:rsid w:val="009E3D93"/>
    <w:rsid w:val="009E4FF9"/>
    <w:rsid w:val="00A15A18"/>
    <w:rsid w:val="00A208F4"/>
    <w:rsid w:val="00A27C02"/>
    <w:rsid w:val="00A40DD3"/>
    <w:rsid w:val="00A56956"/>
    <w:rsid w:val="00A7620F"/>
    <w:rsid w:val="00AA2012"/>
    <w:rsid w:val="00AC3AB3"/>
    <w:rsid w:val="00AE5126"/>
    <w:rsid w:val="00B143BC"/>
    <w:rsid w:val="00B572EC"/>
    <w:rsid w:val="00B726F9"/>
    <w:rsid w:val="00B779AF"/>
    <w:rsid w:val="00B87D8F"/>
    <w:rsid w:val="00B94E56"/>
    <w:rsid w:val="00BA01B3"/>
    <w:rsid w:val="00BC096E"/>
    <w:rsid w:val="00BC4843"/>
    <w:rsid w:val="00BC538F"/>
    <w:rsid w:val="00BF0AF0"/>
    <w:rsid w:val="00C20B72"/>
    <w:rsid w:val="00C23602"/>
    <w:rsid w:val="00C25957"/>
    <w:rsid w:val="00C31255"/>
    <w:rsid w:val="00C63FF0"/>
    <w:rsid w:val="00C94A84"/>
    <w:rsid w:val="00CA1610"/>
    <w:rsid w:val="00CA4E7F"/>
    <w:rsid w:val="00CE3A27"/>
    <w:rsid w:val="00CF0150"/>
    <w:rsid w:val="00CF1E93"/>
    <w:rsid w:val="00CF2FB1"/>
    <w:rsid w:val="00CF621F"/>
    <w:rsid w:val="00D158BD"/>
    <w:rsid w:val="00D170DE"/>
    <w:rsid w:val="00D210DB"/>
    <w:rsid w:val="00D2381E"/>
    <w:rsid w:val="00D23BC4"/>
    <w:rsid w:val="00D253DA"/>
    <w:rsid w:val="00D325BE"/>
    <w:rsid w:val="00D36322"/>
    <w:rsid w:val="00D37D32"/>
    <w:rsid w:val="00D95EF6"/>
    <w:rsid w:val="00DA07BC"/>
    <w:rsid w:val="00DA17A5"/>
    <w:rsid w:val="00DB2AEA"/>
    <w:rsid w:val="00DE6020"/>
    <w:rsid w:val="00E40C9C"/>
    <w:rsid w:val="00E46428"/>
    <w:rsid w:val="00E93710"/>
    <w:rsid w:val="00EB46D4"/>
    <w:rsid w:val="00EC3510"/>
    <w:rsid w:val="00F0490A"/>
    <w:rsid w:val="00F11457"/>
    <w:rsid w:val="00F176A0"/>
    <w:rsid w:val="00F54DED"/>
    <w:rsid w:val="00F74065"/>
    <w:rsid w:val="00FA1B5C"/>
    <w:rsid w:val="00FA4B7D"/>
    <w:rsid w:val="00FD00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DA913"/>
  <w15:chartTrackingRefBased/>
  <w15:docId w15:val="{D37935A0-DA91-4121-A905-7842FB41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A1610"/>
    <w:pPr>
      <w:keepNext/>
      <w:keepLines/>
      <w:numPr>
        <w:numId w:val="3"/>
      </w:numPr>
      <w:spacing w:before="360" w:after="80"/>
      <w:jc w:val="both"/>
      <w:outlineLvl w:val="0"/>
    </w:pPr>
    <w:rPr>
      <w:rFonts w:ascii="Times New Roman" w:eastAsiaTheme="majorEastAsia" w:hAnsi="Times New Roman" w:cstheme="majorBidi"/>
      <w:b/>
      <w:color w:val="000000" w:themeColor="text1"/>
      <w:sz w:val="24"/>
      <w:szCs w:val="40"/>
    </w:rPr>
  </w:style>
  <w:style w:type="paragraph" w:styleId="Titre2">
    <w:name w:val="heading 2"/>
    <w:basedOn w:val="Normal"/>
    <w:next w:val="Normal"/>
    <w:link w:val="Titre2Car"/>
    <w:uiPriority w:val="9"/>
    <w:unhideWhenUsed/>
    <w:qFormat/>
    <w:rsid w:val="00A40DD3"/>
    <w:pPr>
      <w:keepNext/>
      <w:keepLines/>
      <w:spacing w:before="160" w:after="80"/>
      <w:jc w:val="both"/>
      <w:outlineLvl w:val="1"/>
    </w:pPr>
    <w:rPr>
      <w:rFonts w:ascii="Times New Roman" w:eastAsiaTheme="majorEastAsia" w:hAnsi="Times New Roman" w:cstheme="majorBidi"/>
      <w:color w:val="000000" w:themeColor="text1"/>
      <w:sz w:val="24"/>
      <w:szCs w:val="32"/>
    </w:rPr>
  </w:style>
  <w:style w:type="paragraph" w:styleId="Titre3">
    <w:name w:val="heading 3"/>
    <w:basedOn w:val="Normal"/>
    <w:next w:val="Normal"/>
    <w:link w:val="Titre3Car"/>
    <w:uiPriority w:val="9"/>
    <w:semiHidden/>
    <w:unhideWhenUsed/>
    <w:qFormat/>
    <w:rsid w:val="00AE512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E512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E512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E512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E512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E512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E512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A1610"/>
    <w:rPr>
      <w:rFonts w:ascii="Times New Roman" w:eastAsiaTheme="majorEastAsia" w:hAnsi="Times New Roman" w:cstheme="majorBidi"/>
      <w:b/>
      <w:color w:val="000000" w:themeColor="text1"/>
      <w:sz w:val="24"/>
      <w:szCs w:val="40"/>
    </w:rPr>
  </w:style>
  <w:style w:type="character" w:customStyle="1" w:styleId="Titre2Car">
    <w:name w:val="Titre 2 Car"/>
    <w:basedOn w:val="Policepardfaut"/>
    <w:link w:val="Titre2"/>
    <w:uiPriority w:val="9"/>
    <w:rsid w:val="00A40DD3"/>
    <w:rPr>
      <w:rFonts w:ascii="Times New Roman" w:eastAsiaTheme="majorEastAsia" w:hAnsi="Times New Roman" w:cstheme="majorBidi"/>
      <w:color w:val="000000" w:themeColor="text1"/>
      <w:sz w:val="24"/>
      <w:szCs w:val="32"/>
    </w:rPr>
  </w:style>
  <w:style w:type="character" w:customStyle="1" w:styleId="Titre3Car">
    <w:name w:val="Titre 3 Car"/>
    <w:basedOn w:val="Policepardfaut"/>
    <w:link w:val="Titre3"/>
    <w:uiPriority w:val="9"/>
    <w:semiHidden/>
    <w:rsid w:val="00AE512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E512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E512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E512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E512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E512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E5126"/>
    <w:rPr>
      <w:rFonts w:eastAsiaTheme="majorEastAsia" w:cstheme="majorBidi"/>
      <w:color w:val="272727" w:themeColor="text1" w:themeTint="D8"/>
    </w:rPr>
  </w:style>
  <w:style w:type="paragraph" w:styleId="Titre">
    <w:name w:val="Title"/>
    <w:basedOn w:val="Normal"/>
    <w:next w:val="Normal"/>
    <w:link w:val="TitreCar"/>
    <w:uiPriority w:val="10"/>
    <w:qFormat/>
    <w:rsid w:val="00AE5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E512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E512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E512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E5126"/>
    <w:pPr>
      <w:spacing w:before="160"/>
      <w:jc w:val="center"/>
    </w:pPr>
    <w:rPr>
      <w:i/>
      <w:iCs/>
      <w:color w:val="404040" w:themeColor="text1" w:themeTint="BF"/>
    </w:rPr>
  </w:style>
  <w:style w:type="character" w:customStyle="1" w:styleId="CitationCar">
    <w:name w:val="Citation Car"/>
    <w:basedOn w:val="Policepardfaut"/>
    <w:link w:val="Citation"/>
    <w:uiPriority w:val="29"/>
    <w:rsid w:val="00AE5126"/>
    <w:rPr>
      <w:i/>
      <w:iCs/>
      <w:color w:val="404040" w:themeColor="text1" w:themeTint="BF"/>
    </w:rPr>
  </w:style>
  <w:style w:type="paragraph" w:styleId="Paragraphedeliste">
    <w:name w:val="List Paragraph"/>
    <w:basedOn w:val="Normal"/>
    <w:uiPriority w:val="34"/>
    <w:qFormat/>
    <w:rsid w:val="00AE5126"/>
    <w:pPr>
      <w:ind w:left="720"/>
      <w:contextualSpacing/>
    </w:pPr>
  </w:style>
  <w:style w:type="character" w:styleId="Accentuationintense">
    <w:name w:val="Intense Emphasis"/>
    <w:basedOn w:val="Policepardfaut"/>
    <w:uiPriority w:val="21"/>
    <w:qFormat/>
    <w:rsid w:val="00AE5126"/>
    <w:rPr>
      <w:i/>
      <w:iCs/>
      <w:color w:val="2F5496" w:themeColor="accent1" w:themeShade="BF"/>
    </w:rPr>
  </w:style>
  <w:style w:type="paragraph" w:styleId="Citationintense">
    <w:name w:val="Intense Quote"/>
    <w:basedOn w:val="Normal"/>
    <w:next w:val="Normal"/>
    <w:link w:val="CitationintenseCar"/>
    <w:uiPriority w:val="30"/>
    <w:qFormat/>
    <w:rsid w:val="00AE51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E5126"/>
    <w:rPr>
      <w:i/>
      <w:iCs/>
      <w:color w:val="2F5496" w:themeColor="accent1" w:themeShade="BF"/>
    </w:rPr>
  </w:style>
  <w:style w:type="character" w:styleId="Rfrenceintense">
    <w:name w:val="Intense Reference"/>
    <w:basedOn w:val="Policepardfaut"/>
    <w:uiPriority w:val="32"/>
    <w:qFormat/>
    <w:rsid w:val="00AE5126"/>
    <w:rPr>
      <w:b/>
      <w:bCs/>
      <w:smallCaps/>
      <w:color w:val="2F5496" w:themeColor="accent1" w:themeShade="BF"/>
      <w:spacing w:val="5"/>
    </w:rPr>
  </w:style>
  <w:style w:type="paragraph" w:styleId="Lgende">
    <w:name w:val="caption"/>
    <w:basedOn w:val="Normal"/>
    <w:next w:val="Normal"/>
    <w:uiPriority w:val="35"/>
    <w:unhideWhenUsed/>
    <w:qFormat/>
    <w:rsid w:val="00D210DB"/>
    <w:pPr>
      <w:spacing w:after="200" w:line="240" w:lineRule="auto"/>
    </w:pPr>
    <w:rPr>
      <w:rFonts w:ascii="Calibri" w:eastAsia="Calibri" w:hAnsi="Calibri" w:cs="Times New Roman"/>
      <w:i/>
      <w:iCs/>
      <w:color w:val="44546A" w:themeColor="text2"/>
      <w:kern w:val="0"/>
      <w:sz w:val="18"/>
      <w:szCs w:val="18"/>
      <w14:ligatures w14:val="none"/>
    </w:rPr>
  </w:style>
  <w:style w:type="table" w:styleId="Grilledutableau">
    <w:name w:val="Table Grid"/>
    <w:basedOn w:val="TableauNormal"/>
    <w:uiPriority w:val="39"/>
    <w:rsid w:val="00601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9A6B16"/>
    <w:pPr>
      <w:spacing w:after="0" w:line="240" w:lineRule="auto"/>
    </w:pPr>
    <w:rPr>
      <w:rFonts w:eastAsia="Times New Roman"/>
      <w:sz w:val="24"/>
      <w:szCs w:val="24"/>
      <w:lang w:eastAsia="fr-FR"/>
    </w:rPr>
    <w:tblPr>
      <w:tblCellMar>
        <w:top w:w="0" w:type="dxa"/>
        <w:left w:w="0" w:type="dxa"/>
        <w:bottom w:w="0" w:type="dxa"/>
        <w:right w:w="0" w:type="dxa"/>
      </w:tblCellMar>
    </w:tblPr>
  </w:style>
  <w:style w:type="table" w:customStyle="1" w:styleId="TableGrid2">
    <w:name w:val="TableGrid2"/>
    <w:rsid w:val="004347C2"/>
    <w:pPr>
      <w:spacing w:after="0" w:line="240" w:lineRule="auto"/>
    </w:pPr>
    <w:rPr>
      <w:rFonts w:eastAsia="Times New Roman"/>
      <w:sz w:val="24"/>
      <w:szCs w:val="24"/>
      <w:lang w:eastAsia="fr-FR"/>
    </w:rPr>
    <w:tblPr>
      <w:tblCellMar>
        <w:top w:w="0" w:type="dxa"/>
        <w:left w:w="0" w:type="dxa"/>
        <w:bottom w:w="0" w:type="dxa"/>
        <w:right w:w="0" w:type="dxa"/>
      </w:tblCellMar>
    </w:tblPr>
  </w:style>
  <w:style w:type="paragraph" w:styleId="NormalWeb">
    <w:name w:val="Normal (Web)"/>
    <w:basedOn w:val="Normal"/>
    <w:uiPriority w:val="99"/>
    <w:unhideWhenUsed/>
    <w:rsid w:val="000E7F8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0E7F8A"/>
    <w:rPr>
      <w:i/>
      <w:iCs/>
    </w:rPr>
  </w:style>
  <w:style w:type="paragraph" w:styleId="Sansinterligne">
    <w:name w:val="No Spacing"/>
    <w:uiPriority w:val="1"/>
    <w:qFormat/>
    <w:rsid w:val="005F72D7"/>
    <w:pPr>
      <w:spacing w:after="0" w:line="240" w:lineRule="auto"/>
    </w:pPr>
  </w:style>
  <w:style w:type="character" w:styleId="Lienhypertexte">
    <w:name w:val="Hyperlink"/>
    <w:basedOn w:val="Policepardfaut"/>
    <w:uiPriority w:val="99"/>
    <w:unhideWhenUsed/>
    <w:rsid w:val="002833B9"/>
    <w:rPr>
      <w:color w:val="0563C1" w:themeColor="hyperlink"/>
      <w:u w:val="single"/>
    </w:rPr>
  </w:style>
  <w:style w:type="character" w:styleId="Mentionnonrsolue">
    <w:name w:val="Unresolved Mention"/>
    <w:basedOn w:val="Policepardfaut"/>
    <w:uiPriority w:val="99"/>
    <w:semiHidden/>
    <w:unhideWhenUsed/>
    <w:rsid w:val="002833B9"/>
    <w:rPr>
      <w:color w:val="605E5C"/>
      <w:shd w:val="clear" w:color="auto" w:fill="E1DFDD"/>
    </w:rPr>
  </w:style>
  <w:style w:type="character" w:styleId="Numrodeligne">
    <w:name w:val="line number"/>
    <w:basedOn w:val="Policepardfaut"/>
    <w:uiPriority w:val="99"/>
    <w:semiHidden/>
    <w:unhideWhenUsed/>
    <w:rsid w:val="001B583A"/>
  </w:style>
  <w:style w:type="paragraph" w:styleId="En-tte">
    <w:name w:val="header"/>
    <w:basedOn w:val="Normal"/>
    <w:link w:val="En-tteCar"/>
    <w:uiPriority w:val="99"/>
    <w:unhideWhenUsed/>
    <w:rsid w:val="005A6F8E"/>
    <w:pPr>
      <w:tabs>
        <w:tab w:val="center" w:pos="4680"/>
        <w:tab w:val="right" w:pos="9360"/>
      </w:tabs>
      <w:spacing w:after="0" w:line="240" w:lineRule="auto"/>
    </w:pPr>
  </w:style>
  <w:style w:type="character" w:customStyle="1" w:styleId="En-tteCar">
    <w:name w:val="En-tête Car"/>
    <w:basedOn w:val="Policepardfaut"/>
    <w:link w:val="En-tte"/>
    <w:uiPriority w:val="99"/>
    <w:rsid w:val="005A6F8E"/>
  </w:style>
  <w:style w:type="paragraph" w:styleId="Pieddepage">
    <w:name w:val="footer"/>
    <w:basedOn w:val="Normal"/>
    <w:link w:val="PieddepageCar"/>
    <w:uiPriority w:val="99"/>
    <w:unhideWhenUsed/>
    <w:rsid w:val="005A6F8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A6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png"/><Relationship Id="rId18" Type="http://schemas.openxmlformats.org/officeDocument/2006/relationships/hyperlink" Target="https://doi.org/10.4314/acsj.v17i4.54292" TargetMode="External"/><Relationship Id="rId26" Type="http://schemas.openxmlformats.org/officeDocument/2006/relationships/hyperlink" Target="https://doi.org/10.1094/PHYTO.2001.91.7.687" TargetMode="External"/><Relationship Id="rId3" Type="http://schemas.openxmlformats.org/officeDocument/2006/relationships/settings" Target="settings.xml"/><Relationship Id="rId21" Type="http://schemas.openxmlformats.org/officeDocument/2006/relationships/hyperlink" Target="https://doi.org/10.18596/jotcsa" TargetMode="External"/><Relationship Id="rId34"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s://doi.org/10.1016/j.ejsobi.2006.06.004" TargetMode="External"/><Relationship Id="rId25" Type="http://schemas.openxmlformats.org/officeDocument/2006/relationships/hyperlink" Target="https://doi.org/10.4236/ojots.2012.24009"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hyperlink" Target="https://doi.org/10.5897/JEN2015.0145"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doi.org/10.1016/j.apsoil.2009.11.003"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hyperlink" Target="https://doi.org/10.4314/ijbcs.v8i1.11" TargetMode="External"/><Relationship Id="rId28" Type="http://schemas.openxmlformats.org/officeDocument/2006/relationships/hyperlink" Target="http://hdl.handle.net/2268.2/13067" TargetMode="External"/><Relationship Id="rId36"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doi.org/10.1080/09670878009414416"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3.xml"/><Relationship Id="rId22" Type="http://schemas.openxmlformats.org/officeDocument/2006/relationships/hyperlink" Target="https://doi.org/10.1079/9780851997278.0053" TargetMode="External"/><Relationship Id="rId27" Type="http://schemas.openxmlformats.org/officeDocument/2006/relationships/hyperlink" Target="https://doi.org/10.35759/JABs.151.3" TargetMode="External"/><Relationship Id="rId30" Type="http://schemas.openxmlformats.org/officeDocument/2006/relationships/header" Target="header2.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DELL\Downloads\RESULTAT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DELL\Downloads\RESULTAT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1.xml"/><Relationship Id="rId4" Type="http://schemas.openxmlformats.org/officeDocument/2006/relationships/oleObject" Target="file:///C:\Users\DELL\Downloads\DONNEE%20STAGE%20AMENUTI%202023.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2.xml"/><Relationship Id="rId4" Type="http://schemas.openxmlformats.org/officeDocument/2006/relationships/oleObject" Target="file:///C:\Users\DELL\Downloads\DONNEE%20STAGE%20AMENUTI%202023.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3.xml"/><Relationship Id="rId4" Type="http://schemas.openxmlformats.org/officeDocument/2006/relationships/oleObject" Target="file:///C:\Users\DELL\Downloads\DONNEE%20STAGE%20AMENUTI%20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Feuil1!$L$3</c:f>
              <c:strCache>
                <c:ptCount val="1"/>
                <c:pt idx="0">
                  <c:v>SOL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Feuil1!$K$4:$K$6</c:f>
              <c:strCache>
                <c:ptCount val="3"/>
                <c:pt idx="0">
                  <c:v>0 T/ha</c:v>
                </c:pt>
                <c:pt idx="1">
                  <c:v>10T/ha</c:v>
                </c:pt>
                <c:pt idx="2">
                  <c:v>15T/ha</c:v>
                </c:pt>
              </c:strCache>
            </c:strRef>
          </c:cat>
          <c:val>
            <c:numRef>
              <c:f>Feuil1!$L$4:$L$6</c:f>
              <c:numCache>
                <c:formatCode>General</c:formatCode>
                <c:ptCount val="3"/>
                <c:pt idx="0">
                  <c:v>33.770000000000003</c:v>
                </c:pt>
                <c:pt idx="1">
                  <c:v>18.239999999999998</c:v>
                </c:pt>
                <c:pt idx="2">
                  <c:v>10.220000000000001</c:v>
                </c:pt>
              </c:numCache>
            </c:numRef>
          </c:val>
          <c:extLst>
            <c:ext xmlns:c16="http://schemas.microsoft.com/office/drawing/2014/chart" uri="{C3380CC4-5D6E-409C-BE32-E72D297353CC}">
              <c16:uniqueId val="{00000000-5F06-4B05-8E9B-B41ECB59CD13}"/>
            </c:ext>
          </c:extLst>
        </c:ser>
        <c:ser>
          <c:idx val="1"/>
          <c:order val="1"/>
          <c:tx>
            <c:strRef>
              <c:f>Feuil1!$M$3</c:f>
              <c:strCache>
                <c:ptCount val="1"/>
                <c:pt idx="0">
                  <c:v>RACINE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Feuil1!$K$4:$K$6</c:f>
              <c:strCache>
                <c:ptCount val="3"/>
                <c:pt idx="0">
                  <c:v>0 T/ha</c:v>
                </c:pt>
                <c:pt idx="1">
                  <c:v>10T/ha</c:v>
                </c:pt>
                <c:pt idx="2">
                  <c:v>15T/ha</c:v>
                </c:pt>
              </c:strCache>
            </c:strRef>
          </c:cat>
          <c:val>
            <c:numRef>
              <c:f>Feuil1!$M$4:$M$6</c:f>
              <c:numCache>
                <c:formatCode>General</c:formatCode>
                <c:ptCount val="3"/>
                <c:pt idx="0">
                  <c:v>25.11</c:v>
                </c:pt>
                <c:pt idx="1">
                  <c:v>12.33</c:v>
                </c:pt>
                <c:pt idx="2">
                  <c:v>4.33</c:v>
                </c:pt>
              </c:numCache>
            </c:numRef>
          </c:val>
          <c:extLst>
            <c:ext xmlns:c16="http://schemas.microsoft.com/office/drawing/2014/chart" uri="{C3380CC4-5D6E-409C-BE32-E72D297353CC}">
              <c16:uniqueId val="{00000001-5F06-4B05-8E9B-B41ECB59CD13}"/>
            </c:ext>
          </c:extLst>
        </c:ser>
        <c:ser>
          <c:idx val="2"/>
          <c:order val="2"/>
          <c:tx>
            <c:strRef>
              <c:f>Feuil1!$N$3</c:f>
              <c:strCache>
                <c:ptCount val="1"/>
                <c:pt idx="0">
                  <c:v>INDICE DE GALLE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Feuil1!$K$4:$K$6</c:f>
              <c:strCache>
                <c:ptCount val="3"/>
                <c:pt idx="0">
                  <c:v>0 T/ha</c:v>
                </c:pt>
                <c:pt idx="1">
                  <c:v>10T/ha</c:v>
                </c:pt>
                <c:pt idx="2">
                  <c:v>15T/ha</c:v>
                </c:pt>
              </c:strCache>
            </c:strRef>
          </c:cat>
          <c:val>
            <c:numRef>
              <c:f>Feuil1!$N$4:$N$6</c:f>
              <c:numCache>
                <c:formatCode>General</c:formatCode>
                <c:ptCount val="3"/>
                <c:pt idx="0">
                  <c:v>7.12</c:v>
                </c:pt>
                <c:pt idx="1">
                  <c:v>2.4700000000000002</c:v>
                </c:pt>
                <c:pt idx="2">
                  <c:v>1.32</c:v>
                </c:pt>
              </c:numCache>
            </c:numRef>
          </c:val>
          <c:extLst>
            <c:ext xmlns:c16="http://schemas.microsoft.com/office/drawing/2014/chart" uri="{C3380CC4-5D6E-409C-BE32-E72D297353CC}">
              <c16:uniqueId val="{00000002-5F06-4B05-8E9B-B41ECB59CD13}"/>
            </c:ext>
          </c:extLst>
        </c:ser>
        <c:dLbls>
          <c:showLegendKey val="0"/>
          <c:showVal val="0"/>
          <c:showCatName val="0"/>
          <c:showSerName val="0"/>
          <c:showPercent val="0"/>
          <c:showBubbleSize val="0"/>
        </c:dLbls>
        <c:gapWidth val="267"/>
        <c:overlap val="-43"/>
        <c:axId val="1360597279"/>
        <c:axId val="1360593535"/>
      </c:barChart>
      <c:catAx>
        <c:axId val="1360597279"/>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360593535"/>
        <c:crosses val="autoZero"/>
        <c:auto val="1"/>
        <c:lblAlgn val="ctr"/>
        <c:lblOffset val="100"/>
        <c:noMultiLvlLbl val="0"/>
      </c:catAx>
      <c:valAx>
        <c:axId val="1360593535"/>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360597279"/>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Feuil10!$E$5</c:f>
              <c:strCache>
                <c:ptCount val="1"/>
                <c:pt idx="0">
                  <c:v>Indice de Galle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Feuil10!$D$6:$D$14</c:f>
              <c:strCache>
                <c:ptCount val="9"/>
                <c:pt idx="0">
                  <c:v>D0FU (0t/ha+ FURADAN) </c:v>
                </c:pt>
                <c:pt idx="1">
                  <c:v>D0Ja.P/A (0t/ha+ JACINTHE.P/A) </c:v>
                </c:pt>
                <c:pt idx="2">
                  <c:v>D0 Ja.P/Im (0t/ha+ JACINTHE.P/Im) </c:v>
                </c:pt>
                <c:pt idx="3">
                  <c:v>D10FU (10t/ha+ FURADAN) </c:v>
                </c:pt>
                <c:pt idx="4">
                  <c:v>D10Ja.P/A (10t/ha+ Jacinthe/A) </c:v>
                </c:pt>
                <c:pt idx="5">
                  <c:v>D10 Ja.P/Im (10t/ha+ JACINTHE.P/Im) </c:v>
                </c:pt>
                <c:pt idx="6">
                  <c:v>D15FU (15t/ha+ FURADAN) </c:v>
                </c:pt>
                <c:pt idx="7">
                  <c:v>D15Ja.P/A (15t/ha+ JACINTHE.P/A) </c:v>
                </c:pt>
                <c:pt idx="8">
                  <c:v>D15 Ja.P/Im (15t/ha+ JACINTHE.P/Im) </c:v>
                </c:pt>
              </c:strCache>
            </c:strRef>
          </c:cat>
          <c:val>
            <c:numRef>
              <c:f>Feuil10!$E$6:$E$14</c:f>
              <c:numCache>
                <c:formatCode>General</c:formatCode>
                <c:ptCount val="9"/>
                <c:pt idx="0">
                  <c:v>6.34</c:v>
                </c:pt>
                <c:pt idx="1">
                  <c:v>6.23</c:v>
                </c:pt>
                <c:pt idx="2">
                  <c:v>6.33</c:v>
                </c:pt>
                <c:pt idx="3">
                  <c:v>3.01</c:v>
                </c:pt>
                <c:pt idx="4">
                  <c:v>2.67</c:v>
                </c:pt>
                <c:pt idx="5">
                  <c:v>2.13</c:v>
                </c:pt>
                <c:pt idx="6">
                  <c:v>2.54</c:v>
                </c:pt>
                <c:pt idx="7">
                  <c:v>2.09</c:v>
                </c:pt>
                <c:pt idx="8">
                  <c:v>1.93</c:v>
                </c:pt>
              </c:numCache>
            </c:numRef>
          </c:val>
          <c:extLst>
            <c:ext xmlns:c16="http://schemas.microsoft.com/office/drawing/2014/chart" uri="{C3380CC4-5D6E-409C-BE32-E72D297353CC}">
              <c16:uniqueId val="{00000000-C711-425B-B77F-781352F6E033}"/>
            </c:ext>
          </c:extLst>
        </c:ser>
        <c:dLbls>
          <c:dLblPos val="inEnd"/>
          <c:showLegendKey val="0"/>
          <c:showVal val="1"/>
          <c:showCatName val="0"/>
          <c:showSerName val="0"/>
          <c:showPercent val="0"/>
          <c:showBubbleSize val="0"/>
        </c:dLbls>
        <c:gapWidth val="65"/>
        <c:axId val="406208712"/>
        <c:axId val="406207272"/>
      </c:barChart>
      <c:catAx>
        <c:axId val="40620871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06207272"/>
        <c:crosses val="autoZero"/>
        <c:auto val="1"/>
        <c:lblAlgn val="ctr"/>
        <c:lblOffset val="100"/>
        <c:noMultiLvlLbl val="0"/>
      </c:catAx>
      <c:valAx>
        <c:axId val="40620727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40620871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Combinaison!$D$5</c:f>
              <c:strCache>
                <c:ptCount val="1"/>
                <c:pt idx="0">
                  <c:v>Nombre de Feuilles à 6 semaines</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Combinaison!$C$6:$C$14</c:f>
              <c:strCache>
                <c:ptCount val="9"/>
                <c:pt idx="0">
                  <c:v>D0FU (0t/ha+ FURADAN)</c:v>
                </c:pt>
                <c:pt idx="1">
                  <c:v>D0Ja.P/A (0t/ha+ JACINTHE.P/A)</c:v>
                </c:pt>
                <c:pt idx="2">
                  <c:v>D0 Ja.P/Im (0t/ha+ JACINTHE.P/Im)</c:v>
                </c:pt>
                <c:pt idx="3">
                  <c:v>D10FU (10t/ha+ FURADAN)</c:v>
                </c:pt>
                <c:pt idx="4">
                  <c:v>D10Ja.P/A (10t/ha+ Jacinthe/A)</c:v>
                </c:pt>
                <c:pt idx="5">
                  <c:v>D10 Ja.P/Im (10t/ha+ JACINTHE.P/Im)</c:v>
                </c:pt>
                <c:pt idx="6">
                  <c:v>D15FU (15t/ha+ FURADAN)</c:v>
                </c:pt>
                <c:pt idx="7">
                  <c:v>D15Ja.P/A (15t/ha+ JACINTHE.P/A)</c:v>
                </c:pt>
                <c:pt idx="8">
                  <c:v>D15 Ja.P/Im (15t/ha+ JACINTHE.P/Im)</c:v>
                </c:pt>
              </c:strCache>
            </c:strRef>
          </c:cat>
          <c:val>
            <c:numRef>
              <c:f>Combinaison!$D$6:$D$14</c:f>
              <c:numCache>
                <c:formatCode>General</c:formatCode>
                <c:ptCount val="9"/>
                <c:pt idx="0">
                  <c:v>9.33</c:v>
                </c:pt>
                <c:pt idx="1">
                  <c:v>9</c:v>
                </c:pt>
                <c:pt idx="2">
                  <c:v>10</c:v>
                </c:pt>
                <c:pt idx="3">
                  <c:v>11.94</c:v>
                </c:pt>
                <c:pt idx="4">
                  <c:v>11.86</c:v>
                </c:pt>
                <c:pt idx="5">
                  <c:v>12.46</c:v>
                </c:pt>
                <c:pt idx="6">
                  <c:v>12</c:v>
                </c:pt>
                <c:pt idx="7">
                  <c:v>12.78</c:v>
                </c:pt>
                <c:pt idx="8">
                  <c:v>14.13</c:v>
                </c:pt>
              </c:numCache>
            </c:numRef>
          </c:val>
          <c:extLst>
            <c:ext xmlns:c16="http://schemas.microsoft.com/office/drawing/2014/chart" uri="{C3380CC4-5D6E-409C-BE32-E72D297353CC}">
              <c16:uniqueId val="{00000000-E906-41D7-A4DC-051C2F905E10}"/>
            </c:ext>
          </c:extLst>
        </c:ser>
        <c:dLbls>
          <c:dLblPos val="outEnd"/>
          <c:showLegendKey val="0"/>
          <c:showVal val="1"/>
          <c:showCatName val="0"/>
          <c:showSerName val="0"/>
          <c:showPercent val="0"/>
          <c:showBubbleSize val="0"/>
        </c:dLbls>
        <c:gapWidth val="164"/>
        <c:overlap val="-22"/>
        <c:axId val="584596704"/>
        <c:axId val="584604264"/>
      </c:barChart>
      <c:catAx>
        <c:axId val="58459670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604264"/>
        <c:crosses val="autoZero"/>
        <c:auto val="1"/>
        <c:lblAlgn val="ctr"/>
        <c:lblOffset val="100"/>
        <c:noMultiLvlLbl val="0"/>
      </c:catAx>
      <c:valAx>
        <c:axId val="5846042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596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'tbcroisé rdt'!$H$4</c:f>
              <c:strCache>
                <c:ptCount val="1"/>
                <c:pt idx="0">
                  <c:v>D0t/ha</c:v>
                </c:pt>
              </c:strCache>
            </c:strRef>
          </c:tx>
          <c:spPr>
            <a:solidFill>
              <a:schemeClr val="accent1"/>
            </a:solidFill>
            <a:ln>
              <a:noFill/>
            </a:ln>
            <a:effectLst/>
            <a:sp3d/>
          </c:spPr>
          <c:invertIfNegative val="0"/>
          <c:dLbls>
            <c:dLbl>
              <c:idx val="0"/>
              <c:layout>
                <c:manualLayout>
                  <c:x val="2.631578947368421E-3"/>
                  <c:y val="-2.91067855193741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71F-48FB-B8FF-E2FE5744EE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'tbcroisé rdt'!$I$3</c:f>
              <c:strCache>
                <c:ptCount val="1"/>
                <c:pt idx="0">
                  <c:v>Rendement racine (t/ha)</c:v>
                </c:pt>
              </c:strCache>
            </c:strRef>
          </c:cat>
          <c:val>
            <c:numRef>
              <c:f>'tbcroisé rdt'!$I$4</c:f>
              <c:numCache>
                <c:formatCode>General</c:formatCode>
                <c:ptCount val="1"/>
                <c:pt idx="0">
                  <c:v>17.21</c:v>
                </c:pt>
              </c:numCache>
            </c:numRef>
          </c:val>
          <c:extLst>
            <c:ext xmlns:c16="http://schemas.microsoft.com/office/drawing/2014/chart" uri="{C3380CC4-5D6E-409C-BE32-E72D297353CC}">
              <c16:uniqueId val="{00000001-471F-48FB-B8FF-E2FE5744EE61}"/>
            </c:ext>
          </c:extLst>
        </c:ser>
        <c:ser>
          <c:idx val="1"/>
          <c:order val="1"/>
          <c:tx>
            <c:strRef>
              <c:f>'tbcroisé rdt'!$H$5</c:f>
              <c:strCache>
                <c:ptCount val="1"/>
                <c:pt idx="0">
                  <c:v>D10t/ha</c:v>
                </c:pt>
              </c:strCache>
            </c:strRef>
          </c:tx>
          <c:spPr>
            <a:solidFill>
              <a:schemeClr val="accent2"/>
            </a:solidFill>
            <a:ln>
              <a:noFill/>
            </a:ln>
            <a:effectLst/>
            <a:sp3d/>
          </c:spPr>
          <c:invertIfNegative val="0"/>
          <c:dLbls>
            <c:dLbl>
              <c:idx val="0"/>
              <c:layout>
                <c:manualLayout>
                  <c:x val="5.263157894736842E-3"/>
                  <c:y val="-2.91067855193742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71F-48FB-B8FF-E2FE5744EE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'tbcroisé rdt'!$I$3</c:f>
              <c:strCache>
                <c:ptCount val="1"/>
                <c:pt idx="0">
                  <c:v>Rendement racine (t/ha)</c:v>
                </c:pt>
              </c:strCache>
            </c:strRef>
          </c:cat>
          <c:val>
            <c:numRef>
              <c:f>'tbcroisé rdt'!$I$5</c:f>
              <c:numCache>
                <c:formatCode>General</c:formatCode>
                <c:ptCount val="1"/>
                <c:pt idx="0">
                  <c:v>35.150000000000006</c:v>
                </c:pt>
              </c:numCache>
            </c:numRef>
          </c:val>
          <c:extLst>
            <c:ext xmlns:c16="http://schemas.microsoft.com/office/drawing/2014/chart" uri="{C3380CC4-5D6E-409C-BE32-E72D297353CC}">
              <c16:uniqueId val="{00000003-471F-48FB-B8FF-E2FE5744EE61}"/>
            </c:ext>
          </c:extLst>
        </c:ser>
        <c:ser>
          <c:idx val="2"/>
          <c:order val="2"/>
          <c:tx>
            <c:strRef>
              <c:f>'tbcroisé rdt'!$H$6</c:f>
              <c:strCache>
                <c:ptCount val="1"/>
                <c:pt idx="0">
                  <c:v>D15t/ha</c:v>
                </c:pt>
              </c:strCache>
            </c:strRef>
          </c:tx>
          <c:spPr>
            <a:solidFill>
              <a:schemeClr val="accent3"/>
            </a:solidFill>
            <a:ln>
              <a:noFill/>
            </a:ln>
            <a:effectLst/>
            <a:sp3d/>
          </c:spPr>
          <c:invertIfNegative val="0"/>
          <c:dLbls>
            <c:dLbl>
              <c:idx val="0"/>
              <c:layout>
                <c:manualLayout>
                  <c:x val="0"/>
                  <c:y val="-2.54684373294524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71F-48FB-B8FF-E2FE5744EE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'tbcroisé rdt'!$I$3</c:f>
              <c:strCache>
                <c:ptCount val="1"/>
                <c:pt idx="0">
                  <c:v>Rendement racine (t/ha)</c:v>
                </c:pt>
              </c:strCache>
            </c:strRef>
          </c:cat>
          <c:val>
            <c:numRef>
              <c:f>'tbcroisé rdt'!$I$6</c:f>
              <c:numCache>
                <c:formatCode>General</c:formatCode>
                <c:ptCount val="1"/>
                <c:pt idx="0">
                  <c:v>40.450000000000003</c:v>
                </c:pt>
              </c:numCache>
            </c:numRef>
          </c:val>
          <c:extLst>
            <c:ext xmlns:c16="http://schemas.microsoft.com/office/drawing/2014/chart" uri="{C3380CC4-5D6E-409C-BE32-E72D297353CC}">
              <c16:uniqueId val="{00000005-471F-48FB-B8FF-E2FE5744EE61}"/>
            </c:ext>
          </c:extLst>
        </c:ser>
        <c:dLbls>
          <c:showLegendKey val="0"/>
          <c:showVal val="1"/>
          <c:showCatName val="0"/>
          <c:showSerName val="0"/>
          <c:showPercent val="0"/>
          <c:showBubbleSize val="0"/>
        </c:dLbls>
        <c:gapWidth val="150"/>
        <c:shape val="box"/>
        <c:axId val="617024576"/>
        <c:axId val="617022416"/>
        <c:axId val="579014168"/>
      </c:bar3DChart>
      <c:catAx>
        <c:axId val="617024576"/>
        <c:scaling>
          <c:orientation val="minMax"/>
        </c:scaling>
        <c:delete val="1"/>
        <c:axPos val="b"/>
        <c:numFmt formatCode="General" sourceLinked="1"/>
        <c:majorTickMark val="none"/>
        <c:minorTickMark val="none"/>
        <c:tickLblPos val="nextTo"/>
        <c:crossAx val="617022416"/>
        <c:crosses val="autoZero"/>
        <c:auto val="1"/>
        <c:lblAlgn val="ctr"/>
        <c:lblOffset val="100"/>
        <c:noMultiLvlLbl val="0"/>
      </c:catAx>
      <c:valAx>
        <c:axId val="617022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7024576"/>
        <c:crosses val="autoZero"/>
        <c:crossBetween val="between"/>
      </c:valAx>
      <c:serAx>
        <c:axId val="57901416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7022416"/>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'tbcroisé rdt'!$I$24</c:f>
              <c:strCache>
                <c:ptCount val="1"/>
                <c:pt idx="0">
                  <c:v>FU</c:v>
                </c:pt>
              </c:strCache>
            </c:strRef>
          </c:tx>
          <c:spPr>
            <a:solidFill>
              <a:schemeClr val="accent1"/>
            </a:solidFill>
            <a:ln>
              <a:noFill/>
            </a:ln>
            <a:effectLst/>
            <a:sp3d/>
          </c:spPr>
          <c:invertIfNegative val="0"/>
          <c:dLbls>
            <c:dLbl>
              <c:idx val="0"/>
              <c:layout>
                <c:manualLayout>
                  <c:x val="0"/>
                  <c:y val="-3.68052999631946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5D9-41D2-88E9-EEDC59DCC0F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'tbcroisé rdt'!$J$23:$K$23</c:f>
              <c:strCache>
                <c:ptCount val="1"/>
                <c:pt idx="0">
                  <c:v>Rendement racine (t/ha)</c:v>
                </c:pt>
              </c:strCache>
            </c:strRef>
          </c:cat>
          <c:val>
            <c:numRef>
              <c:f>'tbcroisé rdt'!$J$24:$K$24</c:f>
              <c:numCache>
                <c:formatCode>General</c:formatCode>
                <c:ptCount val="2"/>
                <c:pt idx="0">
                  <c:v>28.83</c:v>
                </c:pt>
              </c:numCache>
            </c:numRef>
          </c:val>
          <c:extLst>
            <c:ext xmlns:c16="http://schemas.microsoft.com/office/drawing/2014/chart" uri="{C3380CC4-5D6E-409C-BE32-E72D297353CC}">
              <c16:uniqueId val="{00000001-E5D9-41D2-88E9-EEDC59DCC0F2}"/>
            </c:ext>
          </c:extLst>
        </c:ser>
        <c:ser>
          <c:idx val="1"/>
          <c:order val="1"/>
          <c:tx>
            <c:strRef>
              <c:f>'tbcroisé rdt'!$I$25</c:f>
              <c:strCache>
                <c:ptCount val="1"/>
                <c:pt idx="0">
                  <c:v>PA</c:v>
                </c:pt>
              </c:strCache>
            </c:strRef>
          </c:tx>
          <c:spPr>
            <a:solidFill>
              <a:schemeClr val="accent2"/>
            </a:solidFill>
            <a:ln>
              <a:noFill/>
            </a:ln>
            <a:effectLst/>
            <a:sp3d/>
          </c:spPr>
          <c:invertIfNegative val="0"/>
          <c:dLbls>
            <c:dLbl>
              <c:idx val="0"/>
              <c:layout>
                <c:manualLayout>
                  <c:x val="-5.4518195447730679E-3"/>
                  <c:y val="-4.7846889952153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5D9-41D2-88E9-EEDC59DCC0F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'tbcroisé rdt'!$J$23:$K$23</c:f>
              <c:strCache>
                <c:ptCount val="1"/>
                <c:pt idx="0">
                  <c:v>Rendement racine (t/ha)</c:v>
                </c:pt>
              </c:strCache>
            </c:strRef>
          </c:cat>
          <c:val>
            <c:numRef>
              <c:f>'tbcroisé rdt'!$J$25:$K$25</c:f>
              <c:numCache>
                <c:formatCode>General</c:formatCode>
                <c:ptCount val="2"/>
                <c:pt idx="0">
                  <c:v>25.43</c:v>
                </c:pt>
              </c:numCache>
            </c:numRef>
          </c:val>
          <c:extLst>
            <c:ext xmlns:c16="http://schemas.microsoft.com/office/drawing/2014/chart" uri="{C3380CC4-5D6E-409C-BE32-E72D297353CC}">
              <c16:uniqueId val="{00000003-E5D9-41D2-88E9-EEDC59DCC0F2}"/>
            </c:ext>
          </c:extLst>
        </c:ser>
        <c:ser>
          <c:idx val="2"/>
          <c:order val="2"/>
          <c:tx>
            <c:strRef>
              <c:f>'tbcroisé rdt'!$I$26</c:f>
              <c:strCache>
                <c:ptCount val="1"/>
                <c:pt idx="0">
                  <c:v>Pim</c:v>
                </c:pt>
              </c:strCache>
            </c:strRef>
          </c:tx>
          <c:spPr>
            <a:solidFill>
              <a:schemeClr val="accent3"/>
            </a:solidFill>
            <a:ln>
              <a:noFill/>
            </a:ln>
            <a:effectLst/>
            <a:sp3d/>
          </c:spPr>
          <c:invertIfNegative val="0"/>
          <c:dLbls>
            <c:dLbl>
              <c:idx val="0"/>
              <c:layout>
                <c:manualLayout>
                  <c:x val="0"/>
                  <c:y val="-2.94442399705557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5D9-41D2-88E9-EEDC59DCC0F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'tbcroisé rdt'!$J$23:$K$23</c:f>
              <c:strCache>
                <c:ptCount val="1"/>
                <c:pt idx="0">
                  <c:v>Rendement racine (t/ha)</c:v>
                </c:pt>
              </c:strCache>
            </c:strRef>
          </c:cat>
          <c:val>
            <c:numRef>
              <c:f>'tbcroisé rdt'!$J$26:$K$26</c:f>
              <c:numCache>
                <c:formatCode>General</c:formatCode>
                <c:ptCount val="2"/>
                <c:pt idx="0">
                  <c:v>38.54</c:v>
                </c:pt>
              </c:numCache>
            </c:numRef>
          </c:val>
          <c:extLst>
            <c:ext xmlns:c16="http://schemas.microsoft.com/office/drawing/2014/chart" uri="{C3380CC4-5D6E-409C-BE32-E72D297353CC}">
              <c16:uniqueId val="{00000005-E5D9-41D2-88E9-EEDC59DCC0F2}"/>
            </c:ext>
          </c:extLst>
        </c:ser>
        <c:dLbls>
          <c:showLegendKey val="0"/>
          <c:showVal val="1"/>
          <c:showCatName val="0"/>
          <c:showSerName val="0"/>
          <c:showPercent val="0"/>
          <c:showBubbleSize val="0"/>
        </c:dLbls>
        <c:gapWidth val="150"/>
        <c:shape val="box"/>
        <c:axId val="618667544"/>
        <c:axId val="618668264"/>
        <c:axId val="616381776"/>
      </c:bar3DChart>
      <c:catAx>
        <c:axId val="618667544"/>
        <c:scaling>
          <c:orientation val="minMax"/>
        </c:scaling>
        <c:delete val="1"/>
        <c:axPos val="b"/>
        <c:numFmt formatCode="General" sourceLinked="1"/>
        <c:majorTickMark val="none"/>
        <c:minorTickMark val="none"/>
        <c:tickLblPos val="nextTo"/>
        <c:crossAx val="618668264"/>
        <c:crosses val="autoZero"/>
        <c:auto val="1"/>
        <c:lblAlgn val="ctr"/>
        <c:lblOffset val="100"/>
        <c:noMultiLvlLbl val="0"/>
      </c:catAx>
      <c:valAx>
        <c:axId val="618668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667544"/>
        <c:crosses val="autoZero"/>
        <c:crossBetween val="between"/>
      </c:valAx>
      <c:serAx>
        <c:axId val="61638177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8668264"/>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cdr:y>
    </cdr:from>
    <cdr:to>
      <cdr:x>0.07143</cdr:x>
      <cdr:y>0.68865</cdr:y>
    </cdr:to>
    <cdr:sp macro="" textlink="">
      <cdr:nvSpPr>
        <cdr:cNvPr id="2" name="Zone de texte 52"/>
        <cdr:cNvSpPr txBox="1"/>
      </cdr:nvSpPr>
      <cdr:spPr>
        <a:xfrm xmlns:a="http://schemas.openxmlformats.org/drawingml/2006/main">
          <a:off x="-895350" y="-1095375"/>
          <a:ext cx="333375" cy="231457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vert270"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fr-FR" sz="1100" b="1">
              <a:effectLst/>
              <a:latin typeface="+mn-lt"/>
              <a:ea typeface="+mn-ea"/>
              <a:cs typeface="+mn-cs"/>
            </a:rPr>
            <a:t>Number of leaves</a:t>
          </a:r>
          <a:endParaRPr lang="fr-FR" sz="1100">
            <a:effectLst/>
            <a:latin typeface="+mn-lt"/>
            <a:ea typeface="+mn-ea"/>
            <a:cs typeface="+mn-cs"/>
          </a:endParaRPr>
        </a:p>
        <a:p xmlns:a="http://schemas.openxmlformats.org/drawingml/2006/main">
          <a:pPr marL="3810" indent="-3810" algn="just">
            <a:lnSpc>
              <a:spcPct val="103000"/>
            </a:lnSpc>
            <a:spcAft>
              <a:spcPts val="15"/>
            </a:spcAft>
            <a:buNone/>
          </a:pPr>
          <a:r>
            <a:rPr lang="fr-FR" sz="1200" b="1">
              <a:solidFill>
                <a:srgbClr val="000000"/>
              </a:solidFill>
              <a:effectLst/>
              <a:latin typeface="Times New Roman" panose="02020603050405020304" pitchFamily="18" charset="0"/>
              <a:ea typeface="Times New Roman" panose="02020603050405020304" pitchFamily="18" charset="0"/>
              <a:cs typeface="Times New Roman" panose="02020603050405020304" pitchFamily="18" charset="0"/>
            </a:rPr>
            <a:t> </a:t>
          </a:r>
          <a:endParaRPr lang="fr-FR" sz="1100">
            <a:effectLst/>
            <a:latin typeface="Calibri" panose="020F0502020204030204" pitchFamily="34" charset="0"/>
            <a:ea typeface="Calibri" panose="020F0502020204030204" pitchFamily="34" charset="0"/>
            <a:cs typeface="Times New Roman" panose="02020603050405020304" pitchFamily="18" charset="0"/>
          </a:endParaRPr>
        </a:p>
        <a:p xmlns:a="http://schemas.openxmlformats.org/drawingml/2006/main">
          <a:pPr>
            <a:lnSpc>
              <a:spcPct val="107000"/>
            </a:lnSpc>
            <a:spcAft>
              <a:spcPts val="800"/>
            </a:spcAft>
            <a:buNone/>
          </a:pPr>
          <a:r>
            <a:rPr lang="fr-FR" sz="1100">
              <a:effectLst/>
              <a:latin typeface="Calibri" panose="020F0502020204030204" pitchFamily="34" charset="0"/>
              <a:ea typeface="Calibri" panose="020F0502020204030204" pitchFamily="34" charset="0"/>
              <a:cs typeface="Times New Roman" panose="02020603050405020304" pitchFamily="18" charset="0"/>
            </a:rPr>
            <a:t> </a:t>
          </a:r>
        </a:p>
      </cdr:txBody>
    </cdr:sp>
  </cdr:relSizeAnchor>
</c:userShapes>
</file>

<file path=word/drawings/drawing2.xml><?xml version="1.0" encoding="utf-8"?>
<c:userShapes xmlns:c="http://schemas.openxmlformats.org/drawingml/2006/chart">
  <cdr:relSizeAnchor xmlns:cdr="http://schemas.openxmlformats.org/drawingml/2006/chartDrawing">
    <cdr:from>
      <cdr:x>0.18158</cdr:x>
      <cdr:y>0.89631</cdr:y>
    </cdr:from>
    <cdr:to>
      <cdr:x>0.43224</cdr:x>
      <cdr:y>0.96871</cdr:y>
    </cdr:to>
    <cdr:sp macro="" textlink="">
      <cdr:nvSpPr>
        <cdr:cNvPr id="2" name="Zone de texte 10"/>
        <cdr:cNvSpPr txBox="1"/>
      </cdr:nvSpPr>
      <cdr:spPr>
        <a:xfrm xmlns:a="http://schemas.openxmlformats.org/drawingml/2006/main">
          <a:off x="876300" y="3128646"/>
          <a:ext cx="1209675" cy="252729"/>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buNone/>
          </a:pPr>
          <a:r>
            <a:rPr lang="fr-FR" sz="1100" kern="100">
              <a:effectLst/>
              <a:latin typeface="Calibri" panose="020F0502020204030204" pitchFamily="34" charset="0"/>
              <a:ea typeface="Calibri" panose="020F0502020204030204" pitchFamily="34" charset="0"/>
              <a:cs typeface="Times New Roman" panose="02020603050405020304" pitchFamily="18" charset="0"/>
            </a:rPr>
            <a:t>Root yield (t/ha)</a:t>
          </a:r>
        </a:p>
      </cdr:txBody>
    </cdr:sp>
  </cdr:relSizeAnchor>
</c:userShapes>
</file>

<file path=word/drawings/drawing3.xml><?xml version="1.0" encoding="utf-8"?>
<c:userShapes xmlns:c="http://schemas.openxmlformats.org/drawingml/2006/chart">
  <cdr:relSizeAnchor xmlns:cdr="http://schemas.openxmlformats.org/drawingml/2006/chartDrawing">
    <cdr:from>
      <cdr:x>0.11449</cdr:x>
      <cdr:y>0.87781</cdr:y>
    </cdr:from>
    <cdr:to>
      <cdr:x>0.3864</cdr:x>
      <cdr:y>0.93577</cdr:y>
    </cdr:to>
    <cdr:sp macro="" textlink="">
      <cdr:nvSpPr>
        <cdr:cNvPr id="2" name="Zone de texte 1"/>
        <cdr:cNvSpPr txBox="1"/>
      </cdr:nvSpPr>
      <cdr:spPr>
        <a:xfrm xmlns:a="http://schemas.openxmlformats.org/drawingml/2006/main">
          <a:off x="533400" y="3028949"/>
          <a:ext cx="1266825"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fr-FR" sz="1100" kern="1200"/>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95</TotalTime>
  <Pages>18</Pages>
  <Words>5191</Words>
  <Characters>28553</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Henoc Yao F. AMENUTI</dc:creator>
  <cp:keywords/>
  <dc:description/>
  <cp:lastModifiedBy>Henoc Yao F. AMENUTI</cp:lastModifiedBy>
  <cp:revision>37</cp:revision>
  <cp:lastPrinted>2026-03-02T16:01:00Z</cp:lastPrinted>
  <dcterms:created xsi:type="dcterms:W3CDTF">2026-03-03T08:57:00Z</dcterms:created>
  <dcterms:modified xsi:type="dcterms:W3CDTF">2026-03-15T21:21:00Z</dcterms:modified>
</cp:coreProperties>
</file>