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E67F" w14:textId="77777777" w:rsidR="00331605" w:rsidRDefault="00240697">
      <w:r>
        <w:t>Original Research Article</w:t>
      </w:r>
    </w:p>
    <w:p w14:paraId="4FF575D2" w14:textId="77777777" w:rsidR="00331605" w:rsidRDefault="00331605"/>
    <w:p w14:paraId="58DF7058" w14:textId="09326A44" w:rsidR="00634434" w:rsidRDefault="00634434">
      <w:pPr>
        <w:spacing w:line="360" w:lineRule="auto"/>
        <w:jc w:val="center"/>
        <w:rPr>
          <w:lang w:val="en-GB"/>
        </w:rPr>
      </w:pPr>
      <w:bookmarkStart w:id="0" w:name="_GoBack"/>
      <w:bookmarkEnd w:id="0"/>
      <w:r w:rsidRPr="00634434">
        <w:rPr>
          <w:lang w:val="en-GB"/>
        </w:rPr>
        <w:t>Assessment of Trace Metal Accumulation in Compost Produced from Water Hyacinth Biomass in Southern Togo</w:t>
      </w:r>
    </w:p>
    <w:p w14:paraId="582F4DA2" w14:textId="77777777" w:rsidR="00331605" w:rsidRDefault="00331605">
      <w:pPr>
        <w:rPr>
          <w:lang w:val="en-GB"/>
        </w:rPr>
      </w:pPr>
    </w:p>
    <w:p w14:paraId="29C22B4D" w14:textId="77777777" w:rsidR="00331605" w:rsidRDefault="00331605">
      <w:pPr>
        <w:rPr>
          <w:lang w:val="en-GB"/>
        </w:rPr>
      </w:pPr>
    </w:p>
    <w:p w14:paraId="1903EE95" w14:textId="77777777" w:rsidR="00331605" w:rsidRDefault="00331605">
      <w:pPr>
        <w:rPr>
          <w:lang w:val="en-GB"/>
        </w:rPr>
      </w:pPr>
    </w:p>
    <w:p w14:paraId="46E49A27" w14:textId="77777777" w:rsidR="00331605" w:rsidRDefault="00331605">
      <w:pPr>
        <w:rPr>
          <w:lang w:val="en-GB"/>
        </w:rPr>
      </w:pPr>
    </w:p>
    <w:p w14:paraId="4AFAA3B5" w14:textId="77777777" w:rsidR="00331605" w:rsidRDefault="00331605">
      <w:pPr>
        <w:rPr>
          <w:lang w:val="en-GB"/>
        </w:rPr>
      </w:pPr>
    </w:p>
    <w:p w14:paraId="0C6732EB" w14:textId="77777777" w:rsidR="00331605" w:rsidRDefault="00331605">
      <w:pPr>
        <w:rPr>
          <w:lang w:val="en-GB"/>
        </w:rPr>
      </w:pPr>
    </w:p>
    <w:p w14:paraId="6E1924E1" w14:textId="77777777" w:rsidR="00331605" w:rsidRDefault="00331605">
      <w:pPr>
        <w:rPr>
          <w:lang w:val="en-GB"/>
        </w:rPr>
      </w:pPr>
    </w:p>
    <w:p w14:paraId="55A8BED4" w14:textId="77777777" w:rsidR="00331605" w:rsidRDefault="00331605">
      <w:pPr>
        <w:rPr>
          <w:lang w:val="en-GB"/>
        </w:rPr>
      </w:pPr>
    </w:p>
    <w:p w14:paraId="45ADA4DB" w14:textId="77777777" w:rsidR="00331605" w:rsidRDefault="00331605">
      <w:pPr>
        <w:rPr>
          <w:lang w:val="en-GB"/>
        </w:rPr>
      </w:pPr>
    </w:p>
    <w:p w14:paraId="319A373B" w14:textId="77777777" w:rsidR="00331605" w:rsidRDefault="00331605">
      <w:pPr>
        <w:rPr>
          <w:lang w:val="en-GB"/>
        </w:rPr>
      </w:pPr>
    </w:p>
    <w:p w14:paraId="0445ABD4" w14:textId="77777777" w:rsidR="00331605" w:rsidRDefault="00240697">
      <w:pPr>
        <w:pStyle w:val="NormalWeb"/>
        <w:spacing w:line="276" w:lineRule="auto"/>
        <w:jc w:val="both"/>
        <w:rPr>
          <w:lang w:val="en-GB"/>
        </w:rPr>
      </w:pPr>
      <w:r>
        <w:rPr>
          <w:rStyle w:val="Strong"/>
          <w:rFonts w:eastAsiaTheme="majorEastAsia"/>
          <w:lang w:val="en-GB"/>
        </w:rPr>
        <w:t>Abstract</w:t>
      </w:r>
      <w:r>
        <w:rPr>
          <w:lang w:val="en-GB"/>
        </w:rPr>
        <w:br/>
        <w:t>Water hyacinth (</w:t>
      </w:r>
      <w:proofErr w:type="spellStart"/>
      <w:r>
        <w:rPr>
          <w:rStyle w:val="Emphasis"/>
          <w:rFonts w:eastAsiaTheme="majorEastAsia"/>
          <w:lang w:val="en-GB"/>
        </w:rPr>
        <w:t>Eichhornia</w:t>
      </w:r>
      <w:proofErr w:type="spellEnd"/>
      <w:r>
        <w:rPr>
          <w:rStyle w:val="Emphasis"/>
          <w:rFonts w:eastAsiaTheme="majorEastAsia"/>
          <w:lang w:val="en-GB"/>
        </w:rPr>
        <w:t xml:space="preserve"> </w:t>
      </w:r>
      <w:proofErr w:type="spellStart"/>
      <w:r>
        <w:rPr>
          <w:rStyle w:val="Emphasis"/>
          <w:rFonts w:eastAsiaTheme="majorEastAsia"/>
          <w:lang w:val="en-GB"/>
        </w:rPr>
        <w:t>crassipes</w:t>
      </w:r>
      <w:proofErr w:type="spellEnd"/>
      <w:r>
        <w:rPr>
          <w:lang w:val="en-GB"/>
        </w:rPr>
        <w:t xml:space="preserve">) is an invasive aquatic plant that rapidly proliferates in the lagoons of Greater Lomé, Togo, disrupting aquatic ecosystems and human activities by obstructing waterways, reducing light penetration, and decreasing dissolved oxygen. However, this plant is of significant scientific interest due to its ability to absorb and concentrate trace metals (TMs) in its tissues, offering potential for pollution monitoring and biomass </w:t>
      </w:r>
      <w:proofErr w:type="spellStart"/>
      <w:r>
        <w:rPr>
          <w:lang w:val="en-GB"/>
        </w:rPr>
        <w:t>valorization</w:t>
      </w:r>
      <w:proofErr w:type="spellEnd"/>
      <w:r>
        <w:rPr>
          <w:lang w:val="en-GB"/>
        </w:rPr>
        <w:t xml:space="preserve">. This study assessed the bioaccumulation of TMs in water hyacinth and the quality of compost produced from this biomass. Samples were collected from three lagoons heavily impacted by anthropogenic activities: </w:t>
      </w:r>
      <w:proofErr w:type="spellStart"/>
      <w:r>
        <w:rPr>
          <w:lang w:val="en-GB"/>
        </w:rPr>
        <w:t>Nyékonakpoè</w:t>
      </w:r>
      <w:proofErr w:type="spellEnd"/>
      <w:r>
        <w:rPr>
          <w:lang w:val="en-GB"/>
        </w:rPr>
        <w:t xml:space="preserve">, </w:t>
      </w:r>
      <w:proofErr w:type="spellStart"/>
      <w:r>
        <w:rPr>
          <w:lang w:val="en-GB"/>
        </w:rPr>
        <w:t>Bè</w:t>
      </w:r>
      <w:proofErr w:type="spellEnd"/>
      <w:r>
        <w:rPr>
          <w:lang w:val="en-GB"/>
        </w:rPr>
        <w:t xml:space="preserve">, and </w:t>
      </w:r>
      <w:proofErr w:type="spellStart"/>
      <w:r>
        <w:rPr>
          <w:lang w:val="en-GB"/>
        </w:rPr>
        <w:t>Hanoukopé</w:t>
      </w:r>
      <w:proofErr w:type="spellEnd"/>
      <w:r>
        <w:rPr>
          <w:lang w:val="en-GB"/>
        </w:rPr>
        <w:t xml:space="preserve">. Water hyacinth was processed into compost in two forms: chopped biomass and whole biomass, each enriched with 5% cow manure and subjected to a 16-week aerobic composting process. Results showed higher TM accumulation in the submerged parts, with maximum concentrations of Hg up to 809.84 µg/kg at </w:t>
      </w:r>
      <w:proofErr w:type="spellStart"/>
      <w:r>
        <w:rPr>
          <w:lang w:val="en-GB"/>
        </w:rPr>
        <w:t>Bè</w:t>
      </w:r>
      <w:proofErr w:type="spellEnd"/>
      <w:r>
        <w:rPr>
          <w:lang w:val="en-GB"/>
        </w:rPr>
        <w:t xml:space="preserve">, Cu up to 14.48 mg/kg, and Pb up to 12.941 mg/kg at </w:t>
      </w:r>
      <w:proofErr w:type="spellStart"/>
      <w:r>
        <w:rPr>
          <w:lang w:val="en-GB"/>
        </w:rPr>
        <w:t>Hanoukopé</w:t>
      </w:r>
      <w:proofErr w:type="spellEnd"/>
      <w:r>
        <w:rPr>
          <w:lang w:val="en-GB"/>
        </w:rPr>
        <w:t xml:space="preserve">. The final compost contained TMs well below regulatory limits (Cd ≤ 3 mg/kg, Pb ≤ 180 mg/kg, Cu ≤ 300 mg/kg, Ni ≤ 60 mg/kg), with notable values for Cd (0.35 mg/kg) and Pb (7.23 mg/kg). Chopped compost exhibited higher essential nutrient contents: K = 8,453.84 mg/kg, N = 8,307.25 mg/kg, and P = 1,095 mg/kg, reflecting improved mineralization. An alkaline pH (≈ 8.0) </w:t>
      </w:r>
      <w:proofErr w:type="spellStart"/>
      <w:r>
        <w:rPr>
          <w:lang w:val="en-GB"/>
        </w:rPr>
        <w:t>favored</w:t>
      </w:r>
      <w:proofErr w:type="spellEnd"/>
      <w:r>
        <w:rPr>
          <w:lang w:val="en-GB"/>
        </w:rPr>
        <w:t xml:space="preserve"> nutrient stabilization and reduced TM bioavailability.</w:t>
      </w:r>
    </w:p>
    <w:p w14:paraId="7FDD8BE0" w14:textId="77777777" w:rsidR="00331605" w:rsidRDefault="00240697">
      <w:pPr>
        <w:pStyle w:val="NormalWeb"/>
        <w:spacing w:line="276" w:lineRule="auto"/>
        <w:jc w:val="both"/>
        <w:rPr>
          <w:lang w:val="en-GB"/>
        </w:rPr>
      </w:pPr>
      <w:r>
        <w:rPr>
          <w:lang w:val="en-GB"/>
        </w:rPr>
        <w:t xml:space="preserve">These findings demonstrate that </w:t>
      </w:r>
      <w:proofErr w:type="spellStart"/>
      <w:r>
        <w:rPr>
          <w:lang w:val="en-GB"/>
        </w:rPr>
        <w:t>valorizing</w:t>
      </w:r>
      <w:proofErr w:type="spellEnd"/>
      <w:r>
        <w:rPr>
          <w:lang w:val="en-GB"/>
        </w:rPr>
        <w:t xml:space="preserve"> water hyacinth as compost provides a sustainable solution, combining invasive biomass management with the production of a nutrient-rich and safe organic amendment for agriculture, while allowing environmental monitoring of trace metals.</w:t>
      </w:r>
    </w:p>
    <w:p w14:paraId="714C027D" w14:textId="77777777" w:rsidR="00331605" w:rsidRDefault="00240697">
      <w:pPr>
        <w:pStyle w:val="NormalWeb"/>
        <w:spacing w:line="276" w:lineRule="auto"/>
        <w:jc w:val="both"/>
      </w:pPr>
      <w:r>
        <w:rPr>
          <w:rFonts w:eastAsia="Calibri"/>
          <w:b/>
          <w:sz w:val="22"/>
          <w:szCs w:val="22"/>
          <w:u w:val="single"/>
          <w:lang w:val="en-GB"/>
        </w:rPr>
        <w:t xml:space="preserve"> </w:t>
      </w:r>
      <w:r>
        <w:rPr>
          <w:rStyle w:val="Strong"/>
          <w:rFonts w:eastAsiaTheme="majorEastAsia"/>
        </w:rPr>
        <w:t>Keywords :</w:t>
      </w:r>
      <w:r>
        <w:t xml:space="preserve"> </w:t>
      </w:r>
      <w:proofErr w:type="spellStart"/>
      <w:r>
        <w:t>Environmental</w:t>
      </w:r>
      <w:proofErr w:type="spellEnd"/>
      <w:r>
        <w:t xml:space="preserve"> </w:t>
      </w:r>
      <w:proofErr w:type="spellStart"/>
      <w:r>
        <w:t>risks</w:t>
      </w:r>
      <w:proofErr w:type="spellEnd"/>
      <w:r>
        <w:t xml:space="preserve">, Bioaccumulation, </w:t>
      </w:r>
      <w:proofErr w:type="spellStart"/>
      <w:r>
        <w:rPr>
          <w:rStyle w:val="Emphasis"/>
          <w:rFonts w:eastAsiaTheme="majorEastAsia"/>
        </w:rPr>
        <w:t>Eichhornia</w:t>
      </w:r>
      <w:proofErr w:type="spellEnd"/>
      <w:r>
        <w:rPr>
          <w:rStyle w:val="Emphasis"/>
          <w:rFonts w:eastAsiaTheme="majorEastAsia"/>
        </w:rPr>
        <w:t xml:space="preserve"> </w:t>
      </w:r>
      <w:proofErr w:type="spellStart"/>
      <w:r>
        <w:rPr>
          <w:rStyle w:val="Emphasis"/>
          <w:rFonts w:eastAsiaTheme="majorEastAsia"/>
        </w:rPr>
        <w:t>crassipes</w:t>
      </w:r>
      <w:proofErr w:type="spellEnd"/>
      <w:r>
        <w:t xml:space="preserve">, Trace </w:t>
      </w:r>
      <w:proofErr w:type="spellStart"/>
      <w:r>
        <w:t>metals</w:t>
      </w:r>
      <w:proofErr w:type="spellEnd"/>
    </w:p>
    <w:p w14:paraId="0C0867D4" w14:textId="77777777" w:rsidR="00331605" w:rsidRDefault="00331605">
      <w:pPr>
        <w:rPr>
          <w:lang w:val="fr-FR"/>
        </w:rPr>
      </w:pPr>
    </w:p>
    <w:p w14:paraId="3983F194" w14:textId="77777777" w:rsidR="00331605" w:rsidRDefault="00331605">
      <w:pPr>
        <w:rPr>
          <w:lang w:val="fr-FR"/>
        </w:rPr>
      </w:pPr>
    </w:p>
    <w:p w14:paraId="15D79223" w14:textId="77777777" w:rsidR="00331605" w:rsidRDefault="00331605">
      <w:pPr>
        <w:rPr>
          <w:lang w:val="fr-FR"/>
        </w:rPr>
      </w:pPr>
    </w:p>
    <w:p w14:paraId="0A0DF440" w14:textId="77777777" w:rsidR="00331605" w:rsidRDefault="00331605">
      <w:pPr>
        <w:rPr>
          <w:lang w:val="fr-FR"/>
        </w:rPr>
      </w:pPr>
    </w:p>
    <w:p w14:paraId="5460032E" w14:textId="77777777" w:rsidR="00331605" w:rsidRDefault="00331605">
      <w:pPr>
        <w:rPr>
          <w:lang w:val="fr-FR"/>
        </w:rPr>
      </w:pPr>
    </w:p>
    <w:p w14:paraId="0266E3F1" w14:textId="77777777" w:rsidR="00331605" w:rsidRDefault="00331605">
      <w:pPr>
        <w:rPr>
          <w:lang w:val="fr-FR"/>
        </w:rPr>
      </w:pPr>
    </w:p>
    <w:p w14:paraId="40433B10" w14:textId="77777777" w:rsidR="00331605" w:rsidRDefault="00240697">
      <w:pPr>
        <w:pStyle w:val="Heading1"/>
        <w:rPr>
          <w:rStyle w:val="Strong"/>
          <w:lang w:val="en-GB"/>
        </w:rPr>
      </w:pPr>
      <w:r>
        <w:rPr>
          <w:rStyle w:val="Strong"/>
          <w:lang w:val="en-GB"/>
        </w:rPr>
        <w:lastRenderedPageBreak/>
        <w:t xml:space="preserve">Introduction </w:t>
      </w:r>
    </w:p>
    <w:p w14:paraId="6E3DBC97" w14:textId="77777777" w:rsidR="00331605" w:rsidRDefault="00240697">
      <w:pPr>
        <w:pStyle w:val="NormalWeb"/>
        <w:spacing w:line="360" w:lineRule="auto"/>
        <w:jc w:val="both"/>
        <w:rPr>
          <w:lang w:val="en-GB"/>
        </w:rPr>
      </w:pPr>
      <w:r>
        <w:rPr>
          <w:lang w:val="en-GB"/>
        </w:rPr>
        <w:br/>
        <w:t>Water hyacinth (</w:t>
      </w:r>
      <w:proofErr w:type="spellStart"/>
      <w:r>
        <w:rPr>
          <w:rStyle w:val="Emphasis"/>
          <w:rFonts w:eastAsiaTheme="majorEastAsia"/>
          <w:lang w:val="en-GB"/>
        </w:rPr>
        <w:t>Eichhornia</w:t>
      </w:r>
      <w:proofErr w:type="spellEnd"/>
      <w:r>
        <w:rPr>
          <w:rStyle w:val="Emphasis"/>
          <w:rFonts w:eastAsiaTheme="majorEastAsia"/>
          <w:lang w:val="en-GB"/>
        </w:rPr>
        <w:t xml:space="preserve"> </w:t>
      </w:r>
      <w:proofErr w:type="spellStart"/>
      <w:r>
        <w:rPr>
          <w:rStyle w:val="Emphasis"/>
          <w:rFonts w:eastAsiaTheme="majorEastAsia"/>
          <w:lang w:val="en-GB"/>
        </w:rPr>
        <w:t>crassipes</w:t>
      </w:r>
      <w:proofErr w:type="spellEnd"/>
      <w:r>
        <w:rPr>
          <w:lang w:val="en-GB"/>
        </w:rPr>
        <w:t>) is an invasive aquatic plant that rapidly proliferates in freshwater ecosystems, causing numerous environmental and socio-economic problems. Its uncontrolled expansion leads to the obstruction of waterways, a reduction in aquatic biodiversity, increased evapotranspiration, and deterioration of water quality (</w:t>
      </w:r>
      <w:proofErr w:type="spellStart"/>
      <w:r>
        <w:rPr>
          <w:lang w:val="en-GB"/>
        </w:rPr>
        <w:t>Villamagna</w:t>
      </w:r>
      <w:proofErr w:type="spellEnd"/>
      <w:r>
        <w:rPr>
          <w:lang w:val="en-GB"/>
        </w:rPr>
        <w:t xml:space="preserve"> and Murphy, 2010). Due to its remarkable ability to absorb nutrients and various pollutants, including trace metals (TMs), water hyacinth has been increasingly studied for its potential in the bioremediation of contaminated waters (</w:t>
      </w:r>
      <w:proofErr w:type="spellStart"/>
      <w:r>
        <w:rPr>
          <w:lang w:val="en-GB"/>
        </w:rPr>
        <w:t>Atakpa-Bassabi</w:t>
      </w:r>
      <w:proofErr w:type="spellEnd"/>
      <w:r>
        <w:rPr>
          <w:lang w:val="en-GB"/>
        </w:rPr>
        <w:t xml:space="preserve"> </w:t>
      </w:r>
      <w:r w:rsidRPr="00BC6212">
        <w:rPr>
          <w:i/>
          <w:iCs/>
          <w:lang w:val="en-GB"/>
        </w:rPr>
        <w:t>et al.,</w:t>
      </w:r>
      <w:r>
        <w:rPr>
          <w:lang w:val="en-GB"/>
        </w:rPr>
        <w:t xml:space="preserve"> 2023; Monroy-Licht et al., 2024</w:t>
      </w:r>
      <w:proofErr w:type="gramStart"/>
      <w:r>
        <w:rPr>
          <w:lang w:val="en-GB"/>
        </w:rPr>
        <w:t>).Trace</w:t>
      </w:r>
      <w:proofErr w:type="gramEnd"/>
      <w:r>
        <w:rPr>
          <w:lang w:val="en-GB"/>
        </w:rPr>
        <w:t xml:space="preserve"> metals, such as cadmium (Cd), lead (Pb), zinc (Zn), nickel (Ni), and copper (Cu), are concerning contaminants due to their toxicity and persistence in the environment. Excessive accumulation in agricultural soils can adversely affect soil biology, plant growth, and pose health risks to consumers (Fowler, 2009; Nordberg, 2009). In Togo, studies have reported that phosphate deposits exploited in the </w:t>
      </w:r>
      <w:proofErr w:type="spellStart"/>
      <w:r>
        <w:rPr>
          <w:lang w:val="en-GB"/>
        </w:rPr>
        <w:t>Hahotoé</w:t>
      </w:r>
      <w:proofErr w:type="spellEnd"/>
      <w:r>
        <w:rPr>
          <w:lang w:val="en-GB"/>
        </w:rPr>
        <w:t xml:space="preserve"> and </w:t>
      </w:r>
      <w:proofErr w:type="spellStart"/>
      <w:r>
        <w:rPr>
          <w:lang w:val="en-GB"/>
        </w:rPr>
        <w:t>Kpogamé</w:t>
      </w:r>
      <w:proofErr w:type="spellEnd"/>
      <w:r>
        <w:rPr>
          <w:lang w:val="en-GB"/>
        </w:rPr>
        <w:t xml:space="preserve"> regions contain elevated levels of these TMs, increasing the risk of contamination of surrounding ecosystems (</w:t>
      </w:r>
      <w:proofErr w:type="spellStart"/>
      <w:r>
        <w:rPr>
          <w:lang w:val="en-GB"/>
        </w:rPr>
        <w:t>Tanouayi</w:t>
      </w:r>
      <w:proofErr w:type="spellEnd"/>
      <w:r>
        <w:rPr>
          <w:lang w:val="en-GB"/>
        </w:rPr>
        <w:t xml:space="preserve"> </w:t>
      </w:r>
      <w:r w:rsidRPr="00BC6212">
        <w:rPr>
          <w:i/>
          <w:iCs/>
          <w:lang w:val="en-GB"/>
        </w:rPr>
        <w:t>et al.,</w:t>
      </w:r>
      <w:r>
        <w:rPr>
          <w:lang w:val="en-GB"/>
        </w:rPr>
        <w:t xml:space="preserve"> 2015; </w:t>
      </w:r>
      <w:proofErr w:type="spellStart"/>
      <w:r>
        <w:rPr>
          <w:lang w:val="en-GB"/>
        </w:rPr>
        <w:t>Gnandi</w:t>
      </w:r>
      <w:proofErr w:type="spellEnd"/>
      <w:r>
        <w:rPr>
          <w:lang w:val="en-GB"/>
        </w:rPr>
        <w:t xml:space="preserve">, 1998). In this context, </w:t>
      </w:r>
      <w:proofErr w:type="spellStart"/>
      <w:r>
        <w:rPr>
          <w:lang w:val="en-GB"/>
        </w:rPr>
        <w:t>valorizing</w:t>
      </w:r>
      <w:proofErr w:type="spellEnd"/>
      <w:r>
        <w:rPr>
          <w:lang w:val="en-GB"/>
        </w:rPr>
        <w:t xml:space="preserve"> water hyacinth through composting represents a promising approach to mitigate its environmental impact while producing an organic amendment beneficial for agriculture. Composting is a biological process that converts organic matter into a stabilized product rich in nutrients and beneficial microorganisms (</w:t>
      </w:r>
      <w:proofErr w:type="spellStart"/>
      <w:r>
        <w:rPr>
          <w:lang w:val="en-GB"/>
        </w:rPr>
        <w:t>Ghabbour</w:t>
      </w:r>
      <w:proofErr w:type="spellEnd"/>
      <w:r>
        <w:rPr>
          <w:lang w:val="en-GB"/>
        </w:rPr>
        <w:t xml:space="preserve"> </w:t>
      </w:r>
      <w:r w:rsidRPr="00BC6212">
        <w:rPr>
          <w:i/>
          <w:iCs/>
          <w:lang w:val="en-GB"/>
        </w:rPr>
        <w:t>et al.,</w:t>
      </w:r>
      <w:r>
        <w:rPr>
          <w:lang w:val="en-GB"/>
        </w:rPr>
        <w:t xml:space="preserve"> 2004; </w:t>
      </w:r>
      <w:proofErr w:type="spellStart"/>
      <w:r>
        <w:rPr>
          <w:lang w:val="en-GB"/>
        </w:rPr>
        <w:t>Center</w:t>
      </w:r>
      <w:proofErr w:type="spellEnd"/>
      <w:r>
        <w:rPr>
          <w:lang w:val="en-GB"/>
        </w:rPr>
        <w:t>, 2002). However, given the plant’s capacity to accumulate TMs, it is crucial to assess the quality of compost derived from water hyacinth to prevent potential contamination of agricultural soils. Previous research has shown that most metals absorbed by the plant accumulate in the root system (</w:t>
      </w:r>
      <w:proofErr w:type="spellStart"/>
      <w:r>
        <w:rPr>
          <w:lang w:val="en-GB"/>
        </w:rPr>
        <w:t>Atakpa-Bassabi</w:t>
      </w:r>
      <w:proofErr w:type="spellEnd"/>
      <w:r>
        <w:rPr>
          <w:lang w:val="en-GB"/>
        </w:rPr>
        <w:t xml:space="preserve"> </w:t>
      </w:r>
      <w:r w:rsidRPr="00BC6212">
        <w:rPr>
          <w:i/>
          <w:iCs/>
          <w:lang w:val="en-GB"/>
        </w:rPr>
        <w:t>et al.,</w:t>
      </w:r>
      <w:r>
        <w:rPr>
          <w:lang w:val="en-GB"/>
        </w:rPr>
        <w:t xml:space="preserve"> 2023). Evaluating TMs in compost derived from water hyacinth allows for the assessment of its agronomic potential and identification of necessary precautions before large-scale application. Very few studies have addressed this issue in Togo, highlighting the relevance of this research. The main objective of this study is to determine the presence of trace metals in compost produced from water hyacinth in southern Togo to evaluate its suitability for agricultural use and minimize soil contamination risks.</w:t>
      </w:r>
    </w:p>
    <w:p w14:paraId="5178CD4A" w14:textId="77777777" w:rsidR="00331605" w:rsidRDefault="00240697">
      <w:pPr>
        <w:pStyle w:val="Heading1"/>
        <w:rPr>
          <w:rStyle w:val="Strong"/>
          <w:lang w:val="en-GB"/>
        </w:rPr>
      </w:pPr>
      <w:bookmarkStart w:id="1" w:name="_Toc222577603"/>
      <w:r>
        <w:rPr>
          <w:rStyle w:val="Strong"/>
          <w:lang w:val="en-GB"/>
        </w:rPr>
        <w:t>Objectives</w:t>
      </w:r>
    </w:p>
    <w:p w14:paraId="3C0B8EC3" w14:textId="77777777" w:rsidR="00A87055" w:rsidRDefault="00240697" w:rsidP="00A87055">
      <w:pPr>
        <w:rPr>
          <w:lang w:val="en-GB"/>
        </w:rPr>
      </w:pPr>
      <w:r>
        <w:rPr>
          <w:lang w:val="en-GB"/>
        </w:rPr>
        <w:br/>
      </w:r>
      <w:bookmarkEnd w:id="1"/>
      <w:r w:rsidR="00A87055" w:rsidRPr="00A87055">
        <w:rPr>
          <w:lang w:val="en-GB"/>
        </w:rPr>
        <w:t>The main objective of this study was to determine the presence of trace metals in compost produced from water hyacinth in southern Togo to evaluate its suitability for agricultural use and minimize soil contamination risks</w:t>
      </w:r>
    </w:p>
    <w:p w14:paraId="75FC28CF" w14:textId="70B71E1F" w:rsidR="00331605" w:rsidRDefault="00240697" w:rsidP="00A87055">
      <w:pPr>
        <w:rPr>
          <w:rStyle w:val="Strong"/>
        </w:rPr>
      </w:pPr>
      <w:r>
        <w:rPr>
          <w:rStyle w:val="Strong"/>
        </w:rPr>
        <w:t xml:space="preserve">Specific Objectives </w:t>
      </w:r>
    </w:p>
    <w:p w14:paraId="35668638" w14:textId="77777777" w:rsidR="00491885" w:rsidRDefault="00491885" w:rsidP="00A87055">
      <w:pPr>
        <w:rPr>
          <w:rStyle w:val="Strong"/>
        </w:rPr>
      </w:pPr>
    </w:p>
    <w:p w14:paraId="38319780" w14:textId="3D67D694" w:rsidR="00491885" w:rsidRPr="00A87055" w:rsidRDefault="00491885" w:rsidP="00A87055">
      <w:pPr>
        <w:rPr>
          <w:rFonts w:eastAsia="Times New Roman"/>
          <w:lang w:val="en-GB"/>
        </w:rPr>
      </w:pPr>
      <w:r w:rsidRPr="00491885">
        <w:rPr>
          <w:rFonts w:eastAsia="Times New Roman"/>
          <w:lang w:val="en-GB"/>
        </w:rPr>
        <w:t>The Objectives of the study were;</w:t>
      </w:r>
    </w:p>
    <w:p w14:paraId="65B67CB1" w14:textId="77777777" w:rsidR="00331605" w:rsidRDefault="00240697">
      <w:pPr>
        <w:pStyle w:val="NormalWeb"/>
        <w:numPr>
          <w:ilvl w:val="0"/>
          <w:numId w:val="7"/>
        </w:numPr>
        <w:spacing w:line="360" w:lineRule="auto"/>
        <w:jc w:val="both"/>
        <w:rPr>
          <w:lang w:val="en-GB"/>
        </w:rPr>
      </w:pPr>
      <w:r>
        <w:rPr>
          <w:lang w:val="en-GB"/>
        </w:rPr>
        <w:t xml:space="preserve">To </w:t>
      </w:r>
      <w:proofErr w:type="spellStart"/>
      <w:r>
        <w:rPr>
          <w:lang w:val="en-GB"/>
        </w:rPr>
        <w:t>analyze</w:t>
      </w:r>
      <w:proofErr w:type="spellEnd"/>
      <w:r>
        <w:rPr>
          <w:lang w:val="en-GB"/>
        </w:rPr>
        <w:t xml:space="preserve"> the bioaccumulation of trace metals (TMs) in the aerial and root parts of water hyacinth to assess their contamination risk.</w:t>
      </w:r>
    </w:p>
    <w:p w14:paraId="24DA76EE" w14:textId="77777777" w:rsidR="00331605" w:rsidRDefault="00240697">
      <w:pPr>
        <w:pStyle w:val="NormalWeb"/>
        <w:numPr>
          <w:ilvl w:val="0"/>
          <w:numId w:val="7"/>
        </w:numPr>
        <w:spacing w:line="360" w:lineRule="auto"/>
        <w:jc w:val="both"/>
        <w:rPr>
          <w:lang w:val="en-GB"/>
        </w:rPr>
      </w:pPr>
      <w:r>
        <w:rPr>
          <w:lang w:val="en-GB"/>
        </w:rPr>
        <w:t>To evaluate the levels of TMs in water hyacinth compost with respect to regulations for agricultural use.</w:t>
      </w:r>
    </w:p>
    <w:p w14:paraId="6C116020" w14:textId="77777777" w:rsidR="00331605" w:rsidRDefault="00240697">
      <w:pPr>
        <w:pStyle w:val="NormalWeb"/>
        <w:numPr>
          <w:ilvl w:val="0"/>
          <w:numId w:val="7"/>
        </w:numPr>
        <w:spacing w:line="360" w:lineRule="auto"/>
        <w:jc w:val="both"/>
        <w:rPr>
          <w:lang w:val="en-GB"/>
        </w:rPr>
      </w:pPr>
      <w:r>
        <w:rPr>
          <w:lang w:val="en-GB"/>
        </w:rPr>
        <w:t xml:space="preserve">To determine the </w:t>
      </w:r>
      <w:proofErr w:type="spellStart"/>
      <w:r>
        <w:rPr>
          <w:lang w:val="en-GB"/>
        </w:rPr>
        <w:t>physico</w:t>
      </w:r>
      <w:proofErr w:type="spellEnd"/>
      <w:r>
        <w:rPr>
          <w:lang w:val="en-GB"/>
        </w:rPr>
        <w:t>-chemical properties of the compost in order to assess its fertilization potential.</w:t>
      </w:r>
    </w:p>
    <w:p w14:paraId="71A19964" w14:textId="77777777" w:rsidR="00331605" w:rsidRDefault="00240697">
      <w:pPr>
        <w:pStyle w:val="Heading1"/>
        <w:rPr>
          <w:rStyle w:val="Strong"/>
          <w:lang w:val="en-GB"/>
        </w:rPr>
      </w:pPr>
      <w:r>
        <w:rPr>
          <w:rStyle w:val="Strong"/>
          <w:lang w:val="en-GB"/>
        </w:rPr>
        <w:t>Materials and Methods</w:t>
      </w:r>
    </w:p>
    <w:p w14:paraId="5F869593" w14:textId="77777777" w:rsidR="00331605" w:rsidRDefault="00240697">
      <w:pPr>
        <w:pStyle w:val="Heading1"/>
        <w:numPr>
          <w:ilvl w:val="1"/>
          <w:numId w:val="11"/>
        </w:numPr>
        <w:rPr>
          <w:rFonts w:eastAsia="Times New Roman"/>
          <w:lang w:val="en-GB"/>
        </w:rPr>
      </w:pPr>
      <w:r>
        <w:rPr>
          <w:rStyle w:val="Strong"/>
          <w:lang w:val="en-GB"/>
        </w:rPr>
        <w:t xml:space="preserve">Study Area </w:t>
      </w:r>
    </w:p>
    <w:p w14:paraId="4925192B" w14:textId="77777777" w:rsidR="00331605" w:rsidRDefault="00240697">
      <w:pPr>
        <w:pStyle w:val="NormalWeb"/>
        <w:spacing w:line="360" w:lineRule="auto"/>
        <w:jc w:val="both"/>
        <w:rPr>
          <w:lang w:val="en-GB"/>
        </w:rPr>
      </w:pPr>
      <w:r>
        <w:rPr>
          <w:lang w:val="en-GB"/>
        </w:rPr>
        <w:t xml:space="preserve">This study was conducted in the southwestern region of Togo, specifically in the Greater Lomé area, which covers an area of 425.6 km². The selection of sampling sites was guided by the significant presence of water hyacinth and the environmental issues associated with its proliferation. Samples were therefore collected from three lagoons: </w:t>
      </w:r>
      <w:proofErr w:type="spellStart"/>
      <w:r>
        <w:rPr>
          <w:lang w:val="en-GB"/>
        </w:rPr>
        <w:t>Nyékonakpoè</w:t>
      </w:r>
      <w:proofErr w:type="spellEnd"/>
      <w:r>
        <w:rPr>
          <w:lang w:val="en-GB"/>
        </w:rPr>
        <w:t xml:space="preserve">, </w:t>
      </w:r>
      <w:proofErr w:type="spellStart"/>
      <w:r>
        <w:rPr>
          <w:lang w:val="en-GB"/>
        </w:rPr>
        <w:t>Bè</w:t>
      </w:r>
      <w:proofErr w:type="spellEnd"/>
      <w:r>
        <w:rPr>
          <w:lang w:val="en-GB"/>
        </w:rPr>
        <w:t xml:space="preserve">, and </w:t>
      </w:r>
      <w:proofErr w:type="spellStart"/>
      <w:r>
        <w:rPr>
          <w:lang w:val="en-GB"/>
        </w:rPr>
        <w:t>Hanoukopé</w:t>
      </w:r>
      <w:proofErr w:type="spellEnd"/>
      <w:r>
        <w:rPr>
          <w:lang w:val="en-GB"/>
        </w:rPr>
        <w:t>, known for their exposure to anthropogenic activities and the risk of contamination by trace metals (TMs) due to their use as informal waste disposal sites by local populations. Composting experiments were carried out at the Lomé Agronomic Experimentation Station (SEAL). Lomé is located on the coastal strip at 6°10′ latitude and 1°10′ east longitude, with an elevation ranging from 19 to 60 meters above sea level.</w:t>
      </w:r>
    </w:p>
    <w:p w14:paraId="2F436E9F" w14:textId="77777777" w:rsidR="00331605" w:rsidRDefault="00240697">
      <w:pPr>
        <w:pStyle w:val="Heading1"/>
        <w:numPr>
          <w:ilvl w:val="1"/>
          <w:numId w:val="11"/>
        </w:numPr>
        <w:rPr>
          <w:rFonts w:eastAsia="Times New Roman"/>
          <w:lang w:val="en-GB"/>
        </w:rPr>
      </w:pPr>
      <w:r>
        <w:rPr>
          <w:rStyle w:val="Strong"/>
          <w:lang w:val="en-GB"/>
        </w:rPr>
        <w:t>Composting Methodology and Biomass Decomposition Monitoring</w:t>
      </w:r>
    </w:p>
    <w:p w14:paraId="48F7A819" w14:textId="77777777" w:rsidR="00331605" w:rsidRDefault="00240697">
      <w:pPr>
        <w:pStyle w:val="NormalWeb"/>
        <w:spacing w:line="360" w:lineRule="auto"/>
        <w:jc w:val="both"/>
      </w:pPr>
      <w:r>
        <w:rPr>
          <w:lang w:val="en-GB"/>
        </w:rPr>
        <w:t xml:space="preserve">Water hyacinth biomass was collected from the </w:t>
      </w:r>
      <w:proofErr w:type="spellStart"/>
      <w:r>
        <w:rPr>
          <w:lang w:val="en-GB"/>
        </w:rPr>
        <w:t>Nyékonakpoè</w:t>
      </w:r>
      <w:proofErr w:type="spellEnd"/>
      <w:r>
        <w:rPr>
          <w:lang w:val="en-GB"/>
        </w:rPr>
        <w:t xml:space="preserve">, </w:t>
      </w:r>
      <w:proofErr w:type="spellStart"/>
      <w:r>
        <w:rPr>
          <w:lang w:val="en-GB"/>
        </w:rPr>
        <w:t>Bè</w:t>
      </w:r>
      <w:proofErr w:type="spellEnd"/>
      <w:r>
        <w:rPr>
          <w:lang w:val="en-GB"/>
        </w:rPr>
        <w:t xml:space="preserve">, and </w:t>
      </w:r>
      <w:proofErr w:type="spellStart"/>
      <w:r>
        <w:rPr>
          <w:lang w:val="en-GB"/>
        </w:rPr>
        <w:t>Hanoukopé</w:t>
      </w:r>
      <w:proofErr w:type="spellEnd"/>
      <w:r>
        <w:rPr>
          <w:lang w:val="en-GB"/>
        </w:rPr>
        <w:t xml:space="preserve"> lagoons (Lomé) and transported to SEAL. Following the recommendations of </w:t>
      </w:r>
      <w:proofErr w:type="spellStart"/>
      <w:r>
        <w:rPr>
          <w:lang w:val="en-GB"/>
        </w:rPr>
        <w:t>Gajalakshmi</w:t>
      </w:r>
      <w:proofErr w:type="spellEnd"/>
      <w:r>
        <w:rPr>
          <w:lang w:val="en-GB"/>
        </w:rPr>
        <w:t xml:space="preserve"> and Abbasi (2008) and </w:t>
      </w:r>
      <w:proofErr w:type="spellStart"/>
      <w:r>
        <w:rPr>
          <w:lang w:val="en-GB"/>
        </w:rPr>
        <w:t>Haug</w:t>
      </w:r>
      <w:proofErr w:type="spellEnd"/>
      <w:r>
        <w:rPr>
          <w:lang w:val="en-GB"/>
        </w:rPr>
        <w:t xml:space="preserve"> (2018), the biomass was drained for 48 hours in the shade. Composting was carried out in inclined cemented bins to reduce leachates and excess moisture (</w:t>
      </w:r>
      <w:proofErr w:type="spellStart"/>
      <w:r>
        <w:rPr>
          <w:lang w:val="en-GB"/>
        </w:rPr>
        <w:t>Haug</w:t>
      </w:r>
      <w:proofErr w:type="spellEnd"/>
      <w:r>
        <w:rPr>
          <w:lang w:val="en-GB"/>
        </w:rPr>
        <w:t xml:space="preserve">, 2018; Epstein, 2017). An aerobic composting method, inspired by the Indore and Bangalore techniques (Howard, 1943; </w:t>
      </w:r>
      <w:proofErr w:type="spellStart"/>
      <w:r>
        <w:rPr>
          <w:lang w:val="en-GB"/>
        </w:rPr>
        <w:t>Gotaas</w:t>
      </w:r>
      <w:proofErr w:type="spellEnd"/>
      <w:r>
        <w:rPr>
          <w:lang w:val="en-GB"/>
        </w:rPr>
        <w:t>, 1956) and adapted with plastic covers (</w:t>
      </w:r>
      <w:proofErr w:type="spellStart"/>
      <w:r>
        <w:rPr>
          <w:lang w:val="en-GB"/>
        </w:rPr>
        <w:t>Tiquia</w:t>
      </w:r>
      <w:proofErr w:type="spellEnd"/>
      <w:r>
        <w:rPr>
          <w:lang w:val="en-GB"/>
        </w:rPr>
        <w:t xml:space="preserve"> and Tam, 2002), was applied. Four turnings were performed at weeks 2, 5, 8, and 12 to ensure proper aeration and homogenization. </w:t>
      </w:r>
      <w:r>
        <w:t xml:space="preserve">The compost </w:t>
      </w:r>
      <w:proofErr w:type="spellStart"/>
      <w:r>
        <w:t>reached</w:t>
      </w:r>
      <w:proofErr w:type="spellEnd"/>
      <w:r>
        <w:t xml:space="preserve"> </w:t>
      </w:r>
      <w:proofErr w:type="spellStart"/>
      <w:r>
        <w:t>maturity</w:t>
      </w:r>
      <w:proofErr w:type="spellEnd"/>
      <w:r>
        <w:t xml:space="preserve"> </w:t>
      </w:r>
      <w:proofErr w:type="spellStart"/>
      <w:r>
        <w:t>after</w:t>
      </w:r>
      <w:proofErr w:type="spellEnd"/>
      <w:r>
        <w:t xml:space="preserve"> 16 </w:t>
      </w:r>
      <w:proofErr w:type="spellStart"/>
      <w:r>
        <w:t>weeks</w:t>
      </w:r>
      <w:proofErr w:type="spellEnd"/>
      <w:r>
        <w:t>.</w:t>
      </w:r>
    </w:p>
    <w:p w14:paraId="5FF894DB" w14:textId="77777777" w:rsidR="00331605" w:rsidRDefault="00240697">
      <w:pPr>
        <w:pStyle w:val="Heading1"/>
        <w:numPr>
          <w:ilvl w:val="1"/>
          <w:numId w:val="11"/>
        </w:numPr>
        <w:rPr>
          <w:rFonts w:eastAsia="Times New Roman"/>
          <w:lang w:val="en-GB"/>
        </w:rPr>
      </w:pPr>
      <w:r>
        <w:rPr>
          <w:rStyle w:val="Strong"/>
          <w:lang w:val="en-GB"/>
        </w:rPr>
        <w:lastRenderedPageBreak/>
        <w:t>Experimental Design of the Agronomic Trial</w:t>
      </w:r>
    </w:p>
    <w:p w14:paraId="5E73843A" w14:textId="262B8C03" w:rsidR="00331605" w:rsidRDefault="00240697">
      <w:pPr>
        <w:pStyle w:val="NormalWeb"/>
        <w:spacing w:line="360" w:lineRule="auto"/>
        <w:jc w:val="both"/>
        <w:rPr>
          <w:lang w:val="en-GB"/>
        </w:rPr>
      </w:pPr>
      <w:r>
        <w:rPr>
          <w:noProof/>
          <w:lang w:val="en-GB"/>
          <w14:ligatures w14:val="standardContextual"/>
        </w:rPr>
        <mc:AlternateContent>
          <mc:Choice Requires="wps">
            <w:drawing>
              <wp:anchor distT="0" distB="0" distL="114300" distR="114300" simplePos="0" relativeHeight="251659264" behindDoc="0" locked="0" layoutInCell="1" allowOverlap="1" wp14:anchorId="294B08B3" wp14:editId="3E997DCA">
                <wp:simplePos x="0" y="0"/>
                <wp:positionH relativeFrom="margin">
                  <wp:posOffset>3110230</wp:posOffset>
                </wp:positionH>
                <wp:positionV relativeFrom="paragraph">
                  <wp:posOffset>1881505</wp:posOffset>
                </wp:positionV>
                <wp:extent cx="3419475" cy="2076450"/>
                <wp:effectExtent l="0" t="0" r="28575" b="19050"/>
                <wp:wrapNone/>
                <wp:docPr id="620927750" name="Zone de texte 1"/>
                <wp:cNvGraphicFramePr/>
                <a:graphic xmlns:a="http://schemas.openxmlformats.org/drawingml/2006/main">
                  <a:graphicData uri="http://schemas.microsoft.com/office/word/2010/wordprocessingShape">
                    <wps:wsp>
                      <wps:cNvSpPr txBox="1"/>
                      <wps:spPr>
                        <a:xfrm>
                          <a:off x="0" y="0"/>
                          <a:ext cx="3419475" cy="2076450"/>
                        </a:xfrm>
                        <a:prstGeom prst="rect">
                          <a:avLst/>
                        </a:prstGeom>
                        <a:solidFill>
                          <a:schemeClr val="lt1"/>
                        </a:solidFill>
                        <a:ln w="6350">
                          <a:solidFill>
                            <a:prstClr val="black"/>
                          </a:solidFill>
                        </a:ln>
                      </wps:spPr>
                      <wps:txbx>
                        <w:txbxContent>
                          <w:p w14:paraId="663753E2" w14:textId="77777777" w:rsidR="00331605" w:rsidRDefault="00240697">
                            <w:r>
                              <w:rPr>
                                <w:noProof/>
                              </w:rPr>
                              <w:drawing>
                                <wp:inline distT="0" distB="0" distL="0" distR="0" wp14:anchorId="79C08EAE" wp14:editId="6B2EACC8">
                                  <wp:extent cx="3014345" cy="1966823"/>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78" cy="19805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B08B3" id="_x0000_t202" coordsize="21600,21600" o:spt="202" path="m,l,21600r21600,l21600,xe">
                <v:stroke joinstyle="miter"/>
                <v:path gradientshapeok="t" o:connecttype="rect"/>
              </v:shapetype>
              <v:shape id="Zone de texte 1" o:spid="_x0000_s1026" type="#_x0000_t202" style="position:absolute;left:0;text-align:left;margin-left:244.9pt;margin-top:148.15pt;width:269.25pt;height:16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" fillcolor="white [3201]" strokeweight=".5pt">
                <v:textbox>
                  <w:txbxContent>
                    <w:p w14:paraId="663753E2" w14:textId="77777777" w:rsidR="00331605" w:rsidRDefault="00240697">
                      <w:r>
                        <w:rPr>
                          <w:noProof/>
                        </w:rPr>
                        <w:drawing>
                          <wp:inline distT="0" distB="0" distL="0" distR="0" wp14:anchorId="79C08EAE" wp14:editId="6B2EACC8">
                            <wp:extent cx="3014345" cy="1966823"/>
                            <wp:effectExtent l="0" t="0" r="0" b="0"/>
                            <wp:docPr id="193361336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378" cy="1980547"/>
                                    </a:xfrm>
                                    <a:prstGeom prst="rect">
                                      <a:avLst/>
                                    </a:prstGeom>
                                    <a:noFill/>
                                    <a:ln>
                                      <a:noFill/>
                                    </a:ln>
                                  </pic:spPr>
                                </pic:pic>
                              </a:graphicData>
                            </a:graphic>
                          </wp:inline>
                        </w:drawing>
                      </w:r>
                    </w:p>
                  </w:txbxContent>
                </v:textbox>
                <w10:wrap anchorx="margin"/>
              </v:shape>
            </w:pict>
          </mc:Fallback>
        </mc:AlternateContent>
      </w:r>
      <w:r>
        <w:rPr>
          <w:lang w:val="en-GB"/>
        </w:rPr>
        <w:t xml:space="preserve">A completely randomized design was implemented, consisting of two treatments with three replicates each, </w:t>
      </w:r>
      <w:proofErr w:type="spellStart"/>
      <w:r>
        <w:rPr>
          <w:lang w:val="en-GB"/>
        </w:rPr>
        <w:t>totaling</w:t>
      </w:r>
      <w:proofErr w:type="spellEnd"/>
      <w:r>
        <w:rPr>
          <w:lang w:val="en-GB"/>
        </w:rPr>
        <w:t xml:space="preserve"> six </w:t>
      </w:r>
      <w:r w:rsidR="007A1701">
        <w:rPr>
          <w:lang w:val="en-GB"/>
        </w:rPr>
        <w:t xml:space="preserve">(6) </w:t>
      </w:r>
      <w:r>
        <w:rPr>
          <w:lang w:val="en-GB"/>
        </w:rPr>
        <w:t xml:space="preserve">experimental units (Figure 1). The first treatment combined 95% chopped water hyacinth with 5% cow dung, while the second used </w:t>
      </w:r>
      <w:proofErr w:type="spellStart"/>
      <w:r>
        <w:rPr>
          <w:lang w:val="en-GB"/>
        </w:rPr>
        <w:t>unchopped</w:t>
      </w:r>
      <w:proofErr w:type="spellEnd"/>
      <w:r>
        <w:rPr>
          <w:lang w:val="en-GB"/>
        </w:rPr>
        <w:t xml:space="preserve"> water hyacinth in the same proportions. Each experimental unit contained 9.5 kg of biomass and 500 g of cow dung (</w:t>
      </w:r>
      <w:r>
        <w:rPr>
          <w:rStyle w:val="Strong"/>
          <w:rFonts w:eastAsiaTheme="majorEastAsia"/>
          <w:b w:val="0"/>
          <w:bCs w:val="0"/>
          <w:lang w:val="en-GB"/>
        </w:rPr>
        <w:t>Figure 2)</w:t>
      </w:r>
      <w:r>
        <w:rPr>
          <w:lang w:val="en-GB"/>
        </w:rPr>
        <w:t>. This trial aimed to evaluate the influence of particle size on decomposition and the bioavailability of trace elements at the end of the composting process.</w:t>
      </w:r>
    </w:p>
    <w:tbl>
      <w:tblPr>
        <w:tblStyle w:val="TableGrid"/>
        <w:tblW w:w="0" w:type="auto"/>
        <w:tblInd w:w="-687" w:type="dxa"/>
        <w:tblBorders>
          <w:insideH w:val="none" w:sz="0" w:space="0" w:color="auto"/>
          <w:insideV w:val="none" w:sz="0" w:space="0" w:color="auto"/>
        </w:tblBorders>
        <w:tblLook w:val="04A0" w:firstRow="1" w:lastRow="0" w:firstColumn="1" w:lastColumn="0" w:noHBand="0" w:noVBand="1"/>
      </w:tblPr>
      <w:tblGrid>
        <w:gridCol w:w="445"/>
        <w:gridCol w:w="1296"/>
        <w:gridCol w:w="468"/>
        <w:gridCol w:w="1152"/>
        <w:gridCol w:w="468"/>
        <w:gridCol w:w="1170"/>
        <w:gridCol w:w="236"/>
      </w:tblGrid>
      <w:tr w:rsidR="00331605" w14:paraId="43F96F5F" w14:textId="77777777">
        <w:trPr>
          <w:trHeight w:val="288"/>
        </w:trPr>
        <w:tc>
          <w:tcPr>
            <w:tcW w:w="445" w:type="dxa"/>
          </w:tcPr>
          <w:p w14:paraId="10A489C7" w14:textId="77777777" w:rsidR="00331605" w:rsidRDefault="00331605">
            <w:pPr>
              <w:jc w:val="left"/>
              <w:rPr>
                <w:rFonts w:eastAsia="Calibri"/>
                <w:sz w:val="24"/>
                <w:szCs w:val="24"/>
                <w:lang w:val="en-GB"/>
              </w:rPr>
            </w:pPr>
          </w:p>
        </w:tc>
        <w:tc>
          <w:tcPr>
            <w:tcW w:w="1296" w:type="dxa"/>
            <w:tcBorders>
              <w:bottom w:val="single" w:sz="4" w:space="0" w:color="auto"/>
            </w:tcBorders>
          </w:tcPr>
          <w:p w14:paraId="13464F91" w14:textId="77777777" w:rsidR="00331605" w:rsidRDefault="00331605">
            <w:pPr>
              <w:jc w:val="left"/>
              <w:rPr>
                <w:rFonts w:eastAsia="Calibri"/>
                <w:sz w:val="24"/>
                <w:szCs w:val="24"/>
                <w:lang w:val="en-GB"/>
              </w:rPr>
            </w:pPr>
          </w:p>
        </w:tc>
        <w:tc>
          <w:tcPr>
            <w:tcW w:w="468" w:type="dxa"/>
          </w:tcPr>
          <w:p w14:paraId="0B6730F7" w14:textId="77777777" w:rsidR="00331605" w:rsidRDefault="00331605">
            <w:pPr>
              <w:jc w:val="left"/>
              <w:rPr>
                <w:rFonts w:eastAsia="Calibri"/>
                <w:sz w:val="24"/>
                <w:szCs w:val="24"/>
                <w:lang w:val="en-GB"/>
              </w:rPr>
            </w:pPr>
          </w:p>
        </w:tc>
        <w:tc>
          <w:tcPr>
            <w:tcW w:w="1152" w:type="dxa"/>
            <w:tcBorders>
              <w:bottom w:val="single" w:sz="4" w:space="0" w:color="auto"/>
            </w:tcBorders>
          </w:tcPr>
          <w:p w14:paraId="10CE2B8E" w14:textId="77777777" w:rsidR="00331605" w:rsidRDefault="00331605">
            <w:pPr>
              <w:jc w:val="left"/>
              <w:rPr>
                <w:rFonts w:eastAsia="Calibri"/>
                <w:sz w:val="24"/>
                <w:szCs w:val="24"/>
                <w:lang w:val="en-GB"/>
              </w:rPr>
            </w:pPr>
          </w:p>
        </w:tc>
        <w:tc>
          <w:tcPr>
            <w:tcW w:w="468" w:type="dxa"/>
          </w:tcPr>
          <w:p w14:paraId="5069A66D" w14:textId="77777777" w:rsidR="00331605" w:rsidRDefault="00331605">
            <w:pPr>
              <w:jc w:val="left"/>
              <w:rPr>
                <w:rFonts w:eastAsia="Calibri"/>
                <w:sz w:val="24"/>
                <w:szCs w:val="24"/>
                <w:lang w:val="en-GB"/>
              </w:rPr>
            </w:pPr>
          </w:p>
        </w:tc>
        <w:tc>
          <w:tcPr>
            <w:tcW w:w="1170" w:type="dxa"/>
            <w:tcBorders>
              <w:bottom w:val="single" w:sz="4" w:space="0" w:color="auto"/>
            </w:tcBorders>
          </w:tcPr>
          <w:p w14:paraId="00227426" w14:textId="77777777" w:rsidR="00331605" w:rsidRDefault="00331605">
            <w:pPr>
              <w:jc w:val="left"/>
              <w:rPr>
                <w:rFonts w:eastAsia="Calibri"/>
                <w:sz w:val="24"/>
                <w:szCs w:val="24"/>
                <w:lang w:val="en-GB"/>
              </w:rPr>
            </w:pPr>
          </w:p>
        </w:tc>
        <w:tc>
          <w:tcPr>
            <w:tcW w:w="236" w:type="dxa"/>
          </w:tcPr>
          <w:p w14:paraId="44CE9365" w14:textId="77777777" w:rsidR="00331605" w:rsidRDefault="00331605">
            <w:pPr>
              <w:jc w:val="left"/>
              <w:rPr>
                <w:rFonts w:eastAsia="Calibri"/>
                <w:sz w:val="24"/>
                <w:szCs w:val="24"/>
                <w:lang w:val="en-GB"/>
              </w:rPr>
            </w:pPr>
          </w:p>
        </w:tc>
      </w:tr>
      <w:tr w:rsidR="00331605" w14:paraId="5A834AD1" w14:textId="77777777">
        <w:trPr>
          <w:trHeight w:val="1152"/>
        </w:trPr>
        <w:tc>
          <w:tcPr>
            <w:tcW w:w="445" w:type="dxa"/>
            <w:tcBorders>
              <w:right w:val="single" w:sz="4" w:space="0" w:color="auto"/>
            </w:tcBorders>
            <w:vAlign w:val="center"/>
          </w:tcPr>
          <w:p w14:paraId="53326408" w14:textId="77777777" w:rsidR="00331605" w:rsidRDefault="00331605">
            <w:pPr>
              <w:jc w:val="center"/>
              <w:rPr>
                <w:rFonts w:eastAsia="Calibri"/>
                <w:sz w:val="24"/>
                <w:szCs w:val="24"/>
                <w:lang w:val="en-GB"/>
              </w:rPr>
            </w:pPr>
          </w:p>
        </w:tc>
        <w:tc>
          <w:tcPr>
            <w:tcW w:w="1296" w:type="dxa"/>
            <w:tcBorders>
              <w:top w:val="single" w:sz="4" w:space="0" w:color="auto"/>
              <w:left w:val="single" w:sz="4" w:space="0" w:color="auto"/>
              <w:bottom w:val="single" w:sz="4" w:space="0" w:color="auto"/>
              <w:right w:val="single" w:sz="4" w:space="0" w:color="auto"/>
            </w:tcBorders>
            <w:shd w:val="clear" w:color="auto" w:fill="FBE4D5"/>
            <w:vAlign w:val="center"/>
          </w:tcPr>
          <w:p w14:paraId="4F345C8C" w14:textId="77777777" w:rsidR="00331605" w:rsidRDefault="00240697">
            <w:pPr>
              <w:jc w:val="center"/>
              <w:rPr>
                <w:rFonts w:eastAsia="Calibri"/>
                <w:sz w:val="24"/>
                <w:szCs w:val="24"/>
                <w:lang w:val="fr-FR"/>
              </w:rPr>
            </w:pPr>
            <w:r>
              <w:rPr>
                <w:rFonts w:eastAsia="Calibri"/>
                <w:sz w:val="24"/>
                <w:szCs w:val="24"/>
                <w:lang w:val="fr-FR"/>
              </w:rPr>
              <w:t>NH</w:t>
            </w:r>
          </w:p>
          <w:p w14:paraId="26CF584D" w14:textId="77777777" w:rsidR="00331605" w:rsidRDefault="00240697">
            <w:pPr>
              <w:jc w:val="center"/>
              <w:rPr>
                <w:rFonts w:eastAsia="Calibri"/>
                <w:sz w:val="24"/>
                <w:szCs w:val="24"/>
                <w:lang w:val="fr-FR"/>
              </w:rPr>
            </w:pPr>
            <w:r>
              <w:rPr>
                <w:rFonts w:eastAsia="Calibri"/>
                <w:sz w:val="24"/>
                <w:szCs w:val="24"/>
                <w:lang w:val="fr-FR"/>
              </w:rPr>
              <w:t>Rep. 1</w:t>
            </w:r>
          </w:p>
        </w:tc>
        <w:tc>
          <w:tcPr>
            <w:tcW w:w="468" w:type="dxa"/>
            <w:tcBorders>
              <w:left w:val="single" w:sz="4" w:space="0" w:color="auto"/>
              <w:right w:val="single" w:sz="4" w:space="0" w:color="auto"/>
            </w:tcBorders>
            <w:vAlign w:val="center"/>
          </w:tcPr>
          <w:p w14:paraId="7B7B5BF5" w14:textId="77777777" w:rsidR="00331605" w:rsidRDefault="00331605">
            <w:pPr>
              <w:jc w:val="center"/>
              <w:rPr>
                <w:rFonts w:eastAsia="Calibri"/>
                <w:sz w:val="24"/>
                <w:szCs w:val="24"/>
                <w:lang w:val="fr-FR"/>
              </w:rPr>
            </w:pPr>
          </w:p>
        </w:tc>
        <w:tc>
          <w:tcPr>
            <w:tcW w:w="1152" w:type="dxa"/>
            <w:tcBorders>
              <w:top w:val="single" w:sz="4" w:space="0" w:color="auto"/>
              <w:left w:val="single" w:sz="4" w:space="0" w:color="auto"/>
              <w:bottom w:val="single" w:sz="4" w:space="0" w:color="auto"/>
              <w:right w:val="single" w:sz="4" w:space="0" w:color="auto"/>
            </w:tcBorders>
            <w:shd w:val="clear" w:color="auto" w:fill="BDD6EE"/>
            <w:vAlign w:val="center"/>
          </w:tcPr>
          <w:p w14:paraId="4683CBFA" w14:textId="77777777" w:rsidR="00331605" w:rsidRDefault="00240697">
            <w:pPr>
              <w:jc w:val="center"/>
              <w:rPr>
                <w:rFonts w:eastAsia="Calibri"/>
                <w:sz w:val="24"/>
                <w:szCs w:val="24"/>
                <w:lang w:val="fr-FR"/>
              </w:rPr>
            </w:pPr>
            <w:r>
              <w:rPr>
                <w:rFonts w:eastAsia="Calibri"/>
                <w:sz w:val="24"/>
                <w:szCs w:val="24"/>
                <w:lang w:val="fr-FR"/>
              </w:rPr>
              <w:t>H</w:t>
            </w:r>
          </w:p>
          <w:p w14:paraId="493506F8" w14:textId="77777777" w:rsidR="00331605" w:rsidRDefault="00240697">
            <w:pPr>
              <w:jc w:val="center"/>
              <w:rPr>
                <w:rFonts w:eastAsia="Calibri"/>
                <w:sz w:val="24"/>
                <w:szCs w:val="24"/>
                <w:lang w:val="fr-FR"/>
              </w:rPr>
            </w:pPr>
            <w:r>
              <w:rPr>
                <w:rFonts w:eastAsia="Calibri"/>
                <w:sz w:val="24"/>
                <w:szCs w:val="24"/>
                <w:lang w:val="fr-FR"/>
              </w:rPr>
              <w:t>Rep. 1</w:t>
            </w:r>
          </w:p>
        </w:tc>
        <w:tc>
          <w:tcPr>
            <w:tcW w:w="468" w:type="dxa"/>
            <w:tcBorders>
              <w:left w:val="single" w:sz="4" w:space="0" w:color="auto"/>
              <w:right w:val="single" w:sz="4" w:space="0" w:color="auto"/>
            </w:tcBorders>
            <w:vAlign w:val="center"/>
          </w:tcPr>
          <w:p w14:paraId="12592712" w14:textId="77777777" w:rsidR="00331605" w:rsidRDefault="00331605">
            <w:pPr>
              <w:jc w:val="center"/>
              <w:rPr>
                <w:rFonts w:eastAsia="Calibri"/>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FBE4D5"/>
            <w:vAlign w:val="center"/>
          </w:tcPr>
          <w:p w14:paraId="013CA241" w14:textId="77777777" w:rsidR="00331605" w:rsidRDefault="00240697">
            <w:pPr>
              <w:jc w:val="center"/>
              <w:rPr>
                <w:rFonts w:eastAsia="Calibri"/>
                <w:sz w:val="24"/>
                <w:szCs w:val="24"/>
                <w:lang w:val="fr-FR"/>
              </w:rPr>
            </w:pPr>
            <w:r>
              <w:rPr>
                <w:rFonts w:eastAsia="Calibri"/>
                <w:sz w:val="24"/>
                <w:szCs w:val="24"/>
                <w:lang w:val="fr-FR"/>
              </w:rPr>
              <w:t>NH</w:t>
            </w:r>
          </w:p>
          <w:p w14:paraId="0E293A62" w14:textId="77777777" w:rsidR="00331605" w:rsidRDefault="00240697">
            <w:pPr>
              <w:jc w:val="center"/>
              <w:rPr>
                <w:rFonts w:eastAsia="Calibri"/>
                <w:sz w:val="24"/>
                <w:szCs w:val="24"/>
                <w:lang w:val="fr-FR"/>
              </w:rPr>
            </w:pPr>
            <w:r>
              <w:rPr>
                <w:rFonts w:eastAsia="Calibri"/>
                <w:sz w:val="24"/>
                <w:szCs w:val="24"/>
                <w:lang w:val="fr-FR"/>
              </w:rPr>
              <w:t>Rep. 3</w:t>
            </w:r>
          </w:p>
        </w:tc>
        <w:tc>
          <w:tcPr>
            <w:tcW w:w="236" w:type="dxa"/>
            <w:tcBorders>
              <w:left w:val="single" w:sz="4" w:space="0" w:color="auto"/>
            </w:tcBorders>
            <w:vAlign w:val="center"/>
          </w:tcPr>
          <w:p w14:paraId="5EB17FDE" w14:textId="77777777" w:rsidR="00331605" w:rsidRDefault="00331605">
            <w:pPr>
              <w:jc w:val="center"/>
              <w:rPr>
                <w:rFonts w:eastAsia="Calibri"/>
                <w:sz w:val="24"/>
                <w:szCs w:val="24"/>
                <w:lang w:val="fr-FR"/>
              </w:rPr>
            </w:pPr>
          </w:p>
        </w:tc>
      </w:tr>
      <w:tr w:rsidR="00331605" w14:paraId="2BA2E413" w14:textId="77777777">
        <w:trPr>
          <w:trHeight w:val="288"/>
        </w:trPr>
        <w:tc>
          <w:tcPr>
            <w:tcW w:w="445" w:type="dxa"/>
          </w:tcPr>
          <w:p w14:paraId="79DA09F1" w14:textId="77777777" w:rsidR="00331605" w:rsidRDefault="00331605">
            <w:pPr>
              <w:jc w:val="left"/>
              <w:rPr>
                <w:rFonts w:eastAsia="Calibri"/>
                <w:sz w:val="24"/>
                <w:szCs w:val="24"/>
                <w:lang w:val="fr-FR"/>
              </w:rPr>
            </w:pPr>
          </w:p>
        </w:tc>
        <w:tc>
          <w:tcPr>
            <w:tcW w:w="1296" w:type="dxa"/>
            <w:tcBorders>
              <w:top w:val="single" w:sz="4" w:space="0" w:color="auto"/>
              <w:bottom w:val="single" w:sz="4" w:space="0" w:color="auto"/>
            </w:tcBorders>
          </w:tcPr>
          <w:p w14:paraId="3CBC5079" w14:textId="77777777" w:rsidR="00331605" w:rsidRDefault="00331605">
            <w:pPr>
              <w:jc w:val="left"/>
              <w:rPr>
                <w:rFonts w:eastAsia="Calibri"/>
                <w:sz w:val="24"/>
                <w:szCs w:val="24"/>
                <w:lang w:val="fr-FR"/>
              </w:rPr>
            </w:pPr>
          </w:p>
        </w:tc>
        <w:tc>
          <w:tcPr>
            <w:tcW w:w="468" w:type="dxa"/>
          </w:tcPr>
          <w:p w14:paraId="1F67F76B" w14:textId="77777777" w:rsidR="00331605" w:rsidRDefault="00331605">
            <w:pPr>
              <w:jc w:val="left"/>
              <w:rPr>
                <w:rFonts w:eastAsia="Calibri"/>
                <w:sz w:val="24"/>
                <w:szCs w:val="24"/>
                <w:lang w:val="fr-FR"/>
              </w:rPr>
            </w:pPr>
          </w:p>
        </w:tc>
        <w:tc>
          <w:tcPr>
            <w:tcW w:w="1152" w:type="dxa"/>
            <w:tcBorders>
              <w:top w:val="single" w:sz="4" w:space="0" w:color="auto"/>
              <w:bottom w:val="single" w:sz="4" w:space="0" w:color="auto"/>
            </w:tcBorders>
          </w:tcPr>
          <w:p w14:paraId="728B85F5" w14:textId="77777777" w:rsidR="00331605" w:rsidRDefault="00331605">
            <w:pPr>
              <w:jc w:val="left"/>
              <w:rPr>
                <w:rFonts w:eastAsia="Calibri"/>
                <w:sz w:val="24"/>
                <w:szCs w:val="24"/>
                <w:lang w:val="fr-FR"/>
              </w:rPr>
            </w:pPr>
          </w:p>
        </w:tc>
        <w:tc>
          <w:tcPr>
            <w:tcW w:w="468" w:type="dxa"/>
          </w:tcPr>
          <w:p w14:paraId="6D9EE9C8" w14:textId="77777777" w:rsidR="00331605" w:rsidRDefault="00331605">
            <w:pPr>
              <w:jc w:val="left"/>
              <w:rPr>
                <w:rFonts w:eastAsia="Calibri"/>
                <w:sz w:val="24"/>
                <w:szCs w:val="24"/>
                <w:lang w:val="fr-FR"/>
              </w:rPr>
            </w:pPr>
          </w:p>
        </w:tc>
        <w:tc>
          <w:tcPr>
            <w:tcW w:w="1170" w:type="dxa"/>
            <w:tcBorders>
              <w:top w:val="single" w:sz="4" w:space="0" w:color="auto"/>
              <w:bottom w:val="single" w:sz="4" w:space="0" w:color="auto"/>
            </w:tcBorders>
          </w:tcPr>
          <w:p w14:paraId="047B9F83" w14:textId="77777777" w:rsidR="00331605" w:rsidRDefault="00331605">
            <w:pPr>
              <w:jc w:val="left"/>
              <w:rPr>
                <w:rFonts w:eastAsia="Calibri"/>
                <w:sz w:val="24"/>
                <w:szCs w:val="24"/>
                <w:lang w:val="fr-FR"/>
              </w:rPr>
            </w:pPr>
          </w:p>
        </w:tc>
        <w:tc>
          <w:tcPr>
            <w:tcW w:w="236" w:type="dxa"/>
          </w:tcPr>
          <w:p w14:paraId="15A30FD4" w14:textId="77777777" w:rsidR="00331605" w:rsidRDefault="00331605">
            <w:pPr>
              <w:jc w:val="left"/>
              <w:rPr>
                <w:rFonts w:eastAsia="Calibri"/>
                <w:sz w:val="24"/>
                <w:szCs w:val="24"/>
                <w:lang w:val="fr-FR"/>
              </w:rPr>
            </w:pPr>
          </w:p>
        </w:tc>
      </w:tr>
      <w:tr w:rsidR="00331605" w14:paraId="4F442318" w14:textId="77777777">
        <w:trPr>
          <w:trHeight w:val="1152"/>
        </w:trPr>
        <w:tc>
          <w:tcPr>
            <w:tcW w:w="445" w:type="dxa"/>
            <w:tcBorders>
              <w:right w:val="single" w:sz="4" w:space="0" w:color="auto"/>
            </w:tcBorders>
            <w:vAlign w:val="center"/>
          </w:tcPr>
          <w:p w14:paraId="23147F40" w14:textId="77777777" w:rsidR="00331605" w:rsidRDefault="00331605">
            <w:pPr>
              <w:jc w:val="center"/>
              <w:rPr>
                <w:rFonts w:eastAsia="Calibri"/>
                <w:sz w:val="24"/>
                <w:szCs w:val="24"/>
                <w:lang w:val="fr-FR"/>
              </w:rPr>
            </w:pPr>
          </w:p>
        </w:tc>
        <w:tc>
          <w:tcPr>
            <w:tcW w:w="1296" w:type="dxa"/>
            <w:tcBorders>
              <w:top w:val="single" w:sz="4" w:space="0" w:color="auto"/>
              <w:left w:val="single" w:sz="4" w:space="0" w:color="auto"/>
              <w:bottom w:val="single" w:sz="4" w:space="0" w:color="auto"/>
              <w:right w:val="single" w:sz="4" w:space="0" w:color="auto"/>
            </w:tcBorders>
            <w:shd w:val="clear" w:color="auto" w:fill="BDD6EE"/>
            <w:vAlign w:val="center"/>
          </w:tcPr>
          <w:p w14:paraId="646285A0" w14:textId="77777777" w:rsidR="00331605" w:rsidRDefault="00240697">
            <w:pPr>
              <w:jc w:val="center"/>
              <w:rPr>
                <w:rFonts w:eastAsia="Calibri"/>
                <w:sz w:val="24"/>
                <w:szCs w:val="24"/>
                <w:lang w:val="fr-FR"/>
              </w:rPr>
            </w:pPr>
            <w:r>
              <w:rPr>
                <w:rFonts w:eastAsia="Calibri"/>
                <w:sz w:val="24"/>
                <w:szCs w:val="24"/>
                <w:lang w:val="fr-FR"/>
              </w:rPr>
              <w:t>H</w:t>
            </w:r>
          </w:p>
          <w:p w14:paraId="32AD40FD" w14:textId="77777777" w:rsidR="00331605" w:rsidRDefault="00240697">
            <w:pPr>
              <w:jc w:val="center"/>
              <w:rPr>
                <w:rFonts w:eastAsia="Calibri"/>
                <w:sz w:val="24"/>
                <w:szCs w:val="24"/>
                <w:lang w:val="fr-FR"/>
              </w:rPr>
            </w:pPr>
            <w:r>
              <w:rPr>
                <w:rFonts w:eastAsia="Calibri"/>
                <w:sz w:val="24"/>
                <w:szCs w:val="24"/>
                <w:lang w:val="fr-FR"/>
              </w:rPr>
              <w:t>Rep. 2</w:t>
            </w:r>
          </w:p>
        </w:tc>
        <w:tc>
          <w:tcPr>
            <w:tcW w:w="468" w:type="dxa"/>
            <w:tcBorders>
              <w:left w:val="single" w:sz="4" w:space="0" w:color="auto"/>
              <w:right w:val="single" w:sz="4" w:space="0" w:color="auto"/>
            </w:tcBorders>
            <w:vAlign w:val="center"/>
          </w:tcPr>
          <w:p w14:paraId="3BA2F909" w14:textId="77777777" w:rsidR="00331605" w:rsidRDefault="00331605">
            <w:pPr>
              <w:jc w:val="center"/>
              <w:rPr>
                <w:rFonts w:eastAsia="Calibri"/>
                <w:sz w:val="24"/>
                <w:szCs w:val="24"/>
                <w:lang w:val="fr-FR"/>
              </w:rPr>
            </w:pPr>
          </w:p>
        </w:tc>
        <w:tc>
          <w:tcPr>
            <w:tcW w:w="1152" w:type="dxa"/>
            <w:tcBorders>
              <w:top w:val="single" w:sz="4" w:space="0" w:color="auto"/>
              <w:left w:val="single" w:sz="4" w:space="0" w:color="auto"/>
              <w:bottom w:val="single" w:sz="4" w:space="0" w:color="auto"/>
              <w:right w:val="single" w:sz="4" w:space="0" w:color="auto"/>
            </w:tcBorders>
            <w:shd w:val="clear" w:color="auto" w:fill="FBE4D5"/>
            <w:vAlign w:val="center"/>
          </w:tcPr>
          <w:p w14:paraId="7638A0EA" w14:textId="77777777" w:rsidR="00331605" w:rsidRDefault="00240697">
            <w:pPr>
              <w:jc w:val="center"/>
              <w:rPr>
                <w:rFonts w:eastAsia="Calibri"/>
                <w:sz w:val="24"/>
                <w:szCs w:val="24"/>
                <w:lang w:val="fr-FR"/>
              </w:rPr>
            </w:pPr>
            <w:r>
              <w:rPr>
                <w:rFonts w:eastAsia="Calibri"/>
                <w:sz w:val="24"/>
                <w:szCs w:val="24"/>
                <w:lang w:val="fr-FR"/>
              </w:rPr>
              <w:t>NH</w:t>
            </w:r>
          </w:p>
          <w:p w14:paraId="75821842" w14:textId="77777777" w:rsidR="00331605" w:rsidRDefault="00240697">
            <w:pPr>
              <w:jc w:val="center"/>
              <w:rPr>
                <w:rFonts w:eastAsia="Calibri"/>
                <w:sz w:val="24"/>
                <w:szCs w:val="24"/>
                <w:lang w:val="fr-FR"/>
              </w:rPr>
            </w:pPr>
            <w:r>
              <w:rPr>
                <w:rFonts w:eastAsia="Calibri"/>
                <w:sz w:val="24"/>
                <w:szCs w:val="24"/>
                <w:lang w:val="fr-FR"/>
              </w:rPr>
              <w:t>Rep. 2</w:t>
            </w:r>
          </w:p>
        </w:tc>
        <w:tc>
          <w:tcPr>
            <w:tcW w:w="468" w:type="dxa"/>
            <w:tcBorders>
              <w:left w:val="single" w:sz="4" w:space="0" w:color="auto"/>
              <w:right w:val="single" w:sz="4" w:space="0" w:color="auto"/>
            </w:tcBorders>
            <w:vAlign w:val="center"/>
          </w:tcPr>
          <w:p w14:paraId="1AE98182" w14:textId="77777777" w:rsidR="00331605" w:rsidRDefault="00331605">
            <w:pPr>
              <w:jc w:val="center"/>
              <w:rPr>
                <w:rFonts w:eastAsia="Calibri"/>
                <w:sz w:val="24"/>
                <w:szCs w:val="24"/>
                <w:lang w:val="fr-FR"/>
              </w:rPr>
            </w:pPr>
          </w:p>
        </w:tc>
        <w:tc>
          <w:tcPr>
            <w:tcW w:w="1170" w:type="dxa"/>
            <w:tcBorders>
              <w:top w:val="single" w:sz="4" w:space="0" w:color="auto"/>
              <w:left w:val="single" w:sz="4" w:space="0" w:color="auto"/>
              <w:bottom w:val="single" w:sz="4" w:space="0" w:color="auto"/>
              <w:right w:val="single" w:sz="4" w:space="0" w:color="auto"/>
            </w:tcBorders>
            <w:shd w:val="clear" w:color="auto" w:fill="BDD6EE"/>
            <w:vAlign w:val="center"/>
          </w:tcPr>
          <w:p w14:paraId="0B1A1080" w14:textId="77777777" w:rsidR="00331605" w:rsidRDefault="00240697">
            <w:pPr>
              <w:jc w:val="center"/>
              <w:rPr>
                <w:rFonts w:eastAsia="Calibri"/>
                <w:sz w:val="24"/>
                <w:szCs w:val="24"/>
                <w:lang w:val="fr-FR"/>
              </w:rPr>
            </w:pPr>
            <w:r>
              <w:rPr>
                <w:rFonts w:eastAsia="Calibri"/>
                <w:sz w:val="24"/>
                <w:szCs w:val="24"/>
                <w:lang w:val="fr-FR"/>
              </w:rPr>
              <w:t>H</w:t>
            </w:r>
          </w:p>
          <w:p w14:paraId="01F7C1CA" w14:textId="77777777" w:rsidR="00331605" w:rsidRDefault="00240697">
            <w:pPr>
              <w:jc w:val="center"/>
              <w:rPr>
                <w:rFonts w:eastAsia="Calibri"/>
                <w:sz w:val="24"/>
                <w:szCs w:val="24"/>
                <w:lang w:val="fr-FR"/>
              </w:rPr>
            </w:pPr>
            <w:r>
              <w:rPr>
                <w:rFonts w:eastAsia="Calibri"/>
                <w:sz w:val="24"/>
                <w:szCs w:val="24"/>
                <w:lang w:val="fr-FR"/>
              </w:rPr>
              <w:t>Rep. 3</w:t>
            </w:r>
          </w:p>
        </w:tc>
        <w:tc>
          <w:tcPr>
            <w:tcW w:w="236" w:type="dxa"/>
            <w:tcBorders>
              <w:left w:val="single" w:sz="4" w:space="0" w:color="auto"/>
            </w:tcBorders>
            <w:vAlign w:val="center"/>
          </w:tcPr>
          <w:p w14:paraId="18D21A35" w14:textId="77777777" w:rsidR="00331605" w:rsidRDefault="00331605">
            <w:pPr>
              <w:jc w:val="center"/>
              <w:rPr>
                <w:rFonts w:eastAsia="Calibri"/>
                <w:sz w:val="24"/>
                <w:szCs w:val="24"/>
                <w:lang w:val="fr-FR"/>
              </w:rPr>
            </w:pPr>
          </w:p>
        </w:tc>
      </w:tr>
      <w:tr w:rsidR="00331605" w14:paraId="0206A445" w14:textId="77777777">
        <w:trPr>
          <w:trHeight w:val="288"/>
        </w:trPr>
        <w:tc>
          <w:tcPr>
            <w:tcW w:w="445" w:type="dxa"/>
          </w:tcPr>
          <w:p w14:paraId="04033746" w14:textId="77777777" w:rsidR="00331605" w:rsidRDefault="00331605">
            <w:pPr>
              <w:jc w:val="left"/>
              <w:rPr>
                <w:rFonts w:eastAsia="Calibri"/>
                <w:sz w:val="24"/>
                <w:szCs w:val="24"/>
                <w:lang w:val="fr-FR"/>
              </w:rPr>
            </w:pPr>
          </w:p>
        </w:tc>
        <w:tc>
          <w:tcPr>
            <w:tcW w:w="1296" w:type="dxa"/>
            <w:tcBorders>
              <w:top w:val="single" w:sz="4" w:space="0" w:color="auto"/>
            </w:tcBorders>
          </w:tcPr>
          <w:p w14:paraId="0A6C2CF5" w14:textId="77777777" w:rsidR="00331605" w:rsidRDefault="00331605">
            <w:pPr>
              <w:jc w:val="left"/>
              <w:rPr>
                <w:rFonts w:eastAsia="Calibri"/>
                <w:sz w:val="24"/>
                <w:szCs w:val="24"/>
                <w:lang w:val="fr-FR"/>
              </w:rPr>
            </w:pPr>
          </w:p>
        </w:tc>
        <w:tc>
          <w:tcPr>
            <w:tcW w:w="468" w:type="dxa"/>
          </w:tcPr>
          <w:p w14:paraId="73057324" w14:textId="77777777" w:rsidR="00331605" w:rsidRDefault="00331605">
            <w:pPr>
              <w:jc w:val="left"/>
              <w:rPr>
                <w:rFonts w:eastAsia="Calibri"/>
                <w:sz w:val="24"/>
                <w:szCs w:val="24"/>
                <w:lang w:val="fr-FR"/>
              </w:rPr>
            </w:pPr>
          </w:p>
        </w:tc>
        <w:tc>
          <w:tcPr>
            <w:tcW w:w="1152" w:type="dxa"/>
            <w:tcBorders>
              <w:top w:val="single" w:sz="4" w:space="0" w:color="auto"/>
            </w:tcBorders>
          </w:tcPr>
          <w:p w14:paraId="331F1880" w14:textId="77777777" w:rsidR="00331605" w:rsidRDefault="00331605">
            <w:pPr>
              <w:jc w:val="left"/>
              <w:rPr>
                <w:rFonts w:eastAsia="Calibri"/>
                <w:sz w:val="24"/>
                <w:szCs w:val="24"/>
                <w:lang w:val="fr-FR"/>
              </w:rPr>
            </w:pPr>
          </w:p>
        </w:tc>
        <w:tc>
          <w:tcPr>
            <w:tcW w:w="468" w:type="dxa"/>
          </w:tcPr>
          <w:p w14:paraId="4AFBBA0B" w14:textId="77777777" w:rsidR="00331605" w:rsidRDefault="00331605">
            <w:pPr>
              <w:jc w:val="left"/>
              <w:rPr>
                <w:rFonts w:eastAsia="Calibri"/>
                <w:sz w:val="24"/>
                <w:szCs w:val="24"/>
                <w:lang w:val="fr-FR"/>
              </w:rPr>
            </w:pPr>
          </w:p>
        </w:tc>
        <w:tc>
          <w:tcPr>
            <w:tcW w:w="1170" w:type="dxa"/>
            <w:tcBorders>
              <w:top w:val="single" w:sz="4" w:space="0" w:color="auto"/>
            </w:tcBorders>
          </w:tcPr>
          <w:p w14:paraId="361D2624" w14:textId="77777777" w:rsidR="00331605" w:rsidRDefault="00331605">
            <w:pPr>
              <w:jc w:val="left"/>
              <w:rPr>
                <w:rFonts w:eastAsia="Calibri"/>
                <w:sz w:val="24"/>
                <w:szCs w:val="24"/>
                <w:lang w:val="fr-FR"/>
              </w:rPr>
            </w:pPr>
          </w:p>
        </w:tc>
        <w:tc>
          <w:tcPr>
            <w:tcW w:w="236" w:type="dxa"/>
          </w:tcPr>
          <w:p w14:paraId="174D0D5F" w14:textId="77777777" w:rsidR="00331605" w:rsidRDefault="00331605">
            <w:pPr>
              <w:jc w:val="left"/>
              <w:rPr>
                <w:rFonts w:eastAsia="Calibri"/>
                <w:sz w:val="24"/>
                <w:szCs w:val="24"/>
                <w:lang w:val="fr-FR"/>
              </w:rPr>
            </w:pPr>
          </w:p>
        </w:tc>
      </w:tr>
    </w:tbl>
    <w:p w14:paraId="53D8ABBB" w14:textId="77777777" w:rsidR="00331605" w:rsidRDefault="00240697">
      <w:pPr>
        <w:ind w:left="-567" w:hanging="142"/>
        <w:rPr>
          <w:sz w:val="24"/>
          <w:szCs w:val="24"/>
          <w:lang w:val="en-GB"/>
        </w:rPr>
      </w:pPr>
      <w:r>
        <w:rPr>
          <w:noProof/>
          <w:sz w:val="24"/>
          <w:szCs w:val="24"/>
          <w:lang w:val="en-GB"/>
          <w14:ligatures w14:val="standardContextual"/>
        </w:rPr>
        <mc:AlternateContent>
          <mc:Choice Requires="wps">
            <w:drawing>
              <wp:anchor distT="0" distB="0" distL="114300" distR="114300" simplePos="0" relativeHeight="251660288" behindDoc="0" locked="0" layoutInCell="1" allowOverlap="1" wp14:anchorId="217B8228" wp14:editId="1A3CEEDB">
                <wp:simplePos x="0" y="0"/>
                <wp:positionH relativeFrom="column">
                  <wp:posOffset>3567430</wp:posOffset>
                </wp:positionH>
                <wp:positionV relativeFrom="paragraph">
                  <wp:posOffset>103505</wp:posOffset>
                </wp:positionV>
                <wp:extent cx="2847975" cy="571500"/>
                <wp:effectExtent l="0" t="0" r="9525" b="0"/>
                <wp:wrapNone/>
                <wp:docPr id="2109911823" name="Zone de texte 2"/>
                <wp:cNvGraphicFramePr/>
                <a:graphic xmlns:a="http://schemas.openxmlformats.org/drawingml/2006/main">
                  <a:graphicData uri="http://schemas.microsoft.com/office/word/2010/wordprocessingShape">
                    <wps:wsp>
                      <wps:cNvSpPr txBox="1"/>
                      <wps:spPr>
                        <a:xfrm>
                          <a:off x="0" y="0"/>
                          <a:ext cx="2847975" cy="571500"/>
                        </a:xfrm>
                        <a:prstGeom prst="rect">
                          <a:avLst/>
                        </a:prstGeom>
                        <a:solidFill>
                          <a:schemeClr val="lt1"/>
                        </a:solidFill>
                        <a:ln w="6350">
                          <a:noFill/>
                        </a:ln>
                      </wps:spPr>
                      <wps:txbx>
                        <w:txbxContent>
                          <w:p w14:paraId="723587C5" w14:textId="77777777" w:rsidR="00331605" w:rsidRDefault="00240697">
                            <w:pPr>
                              <w:keepNext/>
                              <w:keepLines/>
                              <w:numPr>
                                <w:ilvl w:val="1"/>
                                <w:numId w:val="0"/>
                              </w:numPr>
                              <w:spacing w:before="200" w:line="276" w:lineRule="auto"/>
                              <w:ind w:left="576" w:hanging="576"/>
                              <w:jc w:val="center"/>
                              <w:outlineLvl w:val="1"/>
                              <w:rPr>
                                <w:rStyle w:val="Emphasis"/>
                                <w:sz w:val="24"/>
                                <w:szCs w:val="24"/>
                              </w:rPr>
                            </w:pPr>
                            <w:r>
                              <w:rPr>
                                <w:rStyle w:val="Strong"/>
                                <w:b w:val="0"/>
                                <w:bCs w:val="0"/>
                                <w:sz w:val="24"/>
                                <w:szCs w:val="24"/>
                              </w:rPr>
                              <w:t>Figure 2</w:t>
                            </w:r>
                            <w:r>
                              <w:rPr>
                                <w:rStyle w:val="Strong"/>
                                <w:sz w:val="24"/>
                                <w:szCs w:val="24"/>
                              </w:rPr>
                              <w:t>:</w:t>
                            </w:r>
                            <w:r>
                              <w:rPr>
                                <w:sz w:val="24"/>
                                <w:szCs w:val="24"/>
                              </w:rPr>
                              <w:t xml:space="preserve"> Setup of composting bins</w:t>
                            </w:r>
                            <w:r>
                              <w:rPr>
                                <w:sz w:val="24"/>
                                <w:szCs w:val="24"/>
                              </w:rPr>
                              <w:br/>
                            </w:r>
                            <w:r>
                              <w:rPr>
                                <w:rStyle w:val="Emphasis"/>
                                <w:sz w:val="24"/>
                                <w:szCs w:val="24"/>
                              </w:rPr>
                              <w:t>(Photo by AMENUTI, April 2023)</w:t>
                            </w:r>
                          </w:p>
                          <w:p w14:paraId="0AA689E1" w14:textId="77777777" w:rsidR="00331605" w:rsidRDefault="003316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B8228" id="Zone de texte 2" o:spid="_x0000_s1027" type="#_x0000_t202" style="position:absolute;left:0;text-align:left;margin-left:280.9pt;margin-top:8.15pt;width:224.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" fillcolor="white [3201]" stroked="f" strokeweight=".5pt">
                <v:textbox>
                  <w:txbxContent>
                    <w:p w14:paraId="723587C5" w14:textId="77777777" w:rsidR="00331605" w:rsidRDefault="00240697">
                      <w:pPr>
                        <w:keepNext/>
                        <w:keepLines/>
                        <w:numPr>
                          <w:ilvl w:val="1"/>
                          <w:numId w:val="0"/>
                        </w:numPr>
                        <w:spacing w:before="200" w:line="276" w:lineRule="auto"/>
                        <w:ind w:left="576" w:hanging="576"/>
                        <w:jc w:val="center"/>
                        <w:outlineLvl w:val="1"/>
                        <w:rPr>
                          <w:rStyle w:val="Emphasis"/>
                          <w:sz w:val="24"/>
                          <w:szCs w:val="24"/>
                        </w:rPr>
                      </w:pPr>
                      <w:r>
                        <w:rPr>
                          <w:rStyle w:val="Strong"/>
                          <w:b w:val="0"/>
                          <w:bCs w:val="0"/>
                          <w:sz w:val="24"/>
                          <w:szCs w:val="24"/>
                        </w:rPr>
                        <w:t>Figure 2</w:t>
                      </w:r>
                      <w:r>
                        <w:rPr>
                          <w:rStyle w:val="Strong"/>
                          <w:sz w:val="24"/>
                          <w:szCs w:val="24"/>
                        </w:rPr>
                        <w:t>:</w:t>
                      </w:r>
                      <w:r>
                        <w:rPr>
                          <w:sz w:val="24"/>
                          <w:szCs w:val="24"/>
                        </w:rPr>
                        <w:t xml:space="preserve"> Setup of composting bins</w:t>
                      </w:r>
                      <w:r>
                        <w:rPr>
                          <w:sz w:val="24"/>
                          <w:szCs w:val="24"/>
                        </w:rPr>
                        <w:br/>
                      </w:r>
                      <w:r>
                        <w:rPr>
                          <w:rStyle w:val="Emphasis"/>
                          <w:sz w:val="24"/>
                          <w:szCs w:val="24"/>
                        </w:rPr>
                        <w:t>(Photo by AMENUTI, April 2023)</w:t>
                      </w:r>
                    </w:p>
                    <w:p w14:paraId="0AA689E1" w14:textId="77777777" w:rsidR="00331605" w:rsidRDefault="00331605"/>
                  </w:txbxContent>
                </v:textbox>
              </v:shape>
            </w:pict>
          </mc:Fallback>
        </mc:AlternateContent>
      </w:r>
      <w:r>
        <w:rPr>
          <w:sz w:val="24"/>
          <w:szCs w:val="24"/>
          <w:lang w:val="en-GB"/>
        </w:rPr>
        <w:t xml:space="preserve">H: Chopped water hyacinth NH: </w:t>
      </w:r>
      <w:proofErr w:type="spellStart"/>
      <w:r>
        <w:rPr>
          <w:sz w:val="24"/>
          <w:szCs w:val="24"/>
          <w:lang w:val="en-GB"/>
        </w:rPr>
        <w:t>Unchopped</w:t>
      </w:r>
      <w:proofErr w:type="spellEnd"/>
      <w:r>
        <w:rPr>
          <w:sz w:val="24"/>
          <w:szCs w:val="24"/>
          <w:lang w:val="en-GB"/>
        </w:rPr>
        <w:t xml:space="preserve"> water </w:t>
      </w:r>
    </w:p>
    <w:p w14:paraId="3A40F569" w14:textId="77777777" w:rsidR="00331605" w:rsidRDefault="00240697">
      <w:pPr>
        <w:ind w:left="-567" w:hanging="142"/>
        <w:rPr>
          <w:sz w:val="24"/>
          <w:szCs w:val="24"/>
          <w:lang w:val="en-GB"/>
        </w:rPr>
      </w:pPr>
      <w:r>
        <w:rPr>
          <w:sz w:val="24"/>
          <w:szCs w:val="24"/>
          <w:lang w:val="en-GB"/>
        </w:rPr>
        <w:t>hyacinth</w:t>
      </w:r>
    </w:p>
    <w:p w14:paraId="69138AC5" w14:textId="77777777" w:rsidR="00331605" w:rsidRDefault="00240697">
      <w:pPr>
        <w:ind w:hanging="709"/>
        <w:rPr>
          <w:sz w:val="24"/>
          <w:szCs w:val="24"/>
          <w:lang w:val="en-GB"/>
        </w:rPr>
      </w:pPr>
      <w:r>
        <w:rPr>
          <w:sz w:val="24"/>
          <w:szCs w:val="24"/>
          <w:lang w:val="en-GB"/>
        </w:rPr>
        <w:t xml:space="preserve">Figure 1: Experimental design of the agronomic </w:t>
      </w:r>
    </w:p>
    <w:p w14:paraId="2DBF884D" w14:textId="77777777" w:rsidR="00331605" w:rsidRDefault="00240697">
      <w:pPr>
        <w:ind w:hanging="709"/>
        <w:rPr>
          <w:sz w:val="24"/>
          <w:szCs w:val="24"/>
          <w:lang w:val="en-GB"/>
        </w:rPr>
      </w:pPr>
      <w:r>
        <w:rPr>
          <w:sz w:val="24"/>
          <w:szCs w:val="24"/>
          <w:lang w:val="en-GB"/>
        </w:rPr>
        <w:t>trial for water hyacinth compost</w:t>
      </w:r>
    </w:p>
    <w:p w14:paraId="27DCB88F" w14:textId="36EA92D8" w:rsidR="00331605" w:rsidRDefault="00240697" w:rsidP="00626E9D">
      <w:pPr>
        <w:pStyle w:val="Heading1"/>
        <w:numPr>
          <w:ilvl w:val="1"/>
          <w:numId w:val="11"/>
        </w:numPr>
        <w:rPr>
          <w:rFonts w:eastAsia="Times New Roman"/>
          <w:lang w:val="en-GB"/>
        </w:rPr>
      </w:pPr>
      <w:bookmarkStart w:id="2" w:name="_Hlk202458395"/>
      <w:r>
        <w:rPr>
          <w:rStyle w:val="Strong"/>
          <w:lang w:val="en-GB"/>
        </w:rPr>
        <w:t>Laboratory Work</w:t>
      </w:r>
    </w:p>
    <w:p w14:paraId="59A0FD78" w14:textId="77777777" w:rsidR="00331605" w:rsidRDefault="00240697">
      <w:pPr>
        <w:pStyle w:val="NormalWeb"/>
        <w:spacing w:line="360" w:lineRule="auto"/>
        <w:jc w:val="both"/>
        <w:rPr>
          <w:lang w:val="en-GB"/>
        </w:rPr>
      </w:pPr>
      <w:r>
        <w:rPr>
          <w:lang w:val="en-GB"/>
        </w:rPr>
        <w:t xml:space="preserve">Laboratory analyses were conducted at the Laboratory for Research on </w:t>
      </w:r>
      <w:proofErr w:type="spellStart"/>
      <w:r>
        <w:rPr>
          <w:lang w:val="en-GB"/>
        </w:rPr>
        <w:t>Agro</w:t>
      </w:r>
      <w:proofErr w:type="spellEnd"/>
      <w:r>
        <w:rPr>
          <w:lang w:val="en-GB"/>
        </w:rPr>
        <w:t xml:space="preserve">-resources and Environmental Health (LARASE) and at the Waste Management, Treatment, and </w:t>
      </w:r>
      <w:proofErr w:type="spellStart"/>
      <w:r>
        <w:rPr>
          <w:lang w:val="en-GB"/>
        </w:rPr>
        <w:t>Valorization</w:t>
      </w:r>
      <w:proofErr w:type="spellEnd"/>
      <w:r>
        <w:rPr>
          <w:lang w:val="en-GB"/>
        </w:rPr>
        <w:t xml:space="preserve"> Laboratory (GTVD), in the Environmental Geochemistry Analysis section of the Faculty of Sciences, University of Lomé. Samples of water hyacinth, compost, and leachates were transported to GTVD for the quantification of trace metals (TMs).</w:t>
      </w:r>
      <w:bookmarkEnd w:id="2"/>
    </w:p>
    <w:p w14:paraId="1028D54A" w14:textId="77777777" w:rsidR="00331605" w:rsidRDefault="00240697">
      <w:pPr>
        <w:pStyle w:val="Heading3"/>
        <w:rPr>
          <w:rFonts w:eastAsia="Times New Roman"/>
          <w:lang w:val="en-GB"/>
        </w:rPr>
      </w:pPr>
      <w:r>
        <w:rPr>
          <w:rStyle w:val="Strong"/>
          <w:lang w:val="en-GB"/>
        </w:rPr>
        <w:t>Preparation and Analysis of Plant Samples</w:t>
      </w:r>
    </w:p>
    <w:p w14:paraId="098B328E" w14:textId="77777777" w:rsidR="00331605" w:rsidRDefault="00240697">
      <w:pPr>
        <w:pStyle w:val="NormalWeb"/>
        <w:spacing w:line="360" w:lineRule="auto"/>
        <w:jc w:val="both"/>
        <w:rPr>
          <w:lang w:val="en-GB"/>
        </w:rPr>
      </w:pPr>
      <w:r>
        <w:rPr>
          <w:lang w:val="en-GB"/>
        </w:rPr>
        <w:t>Water hyacinth (</w:t>
      </w:r>
      <w:proofErr w:type="spellStart"/>
      <w:r>
        <w:rPr>
          <w:i/>
          <w:iCs/>
          <w:lang w:val="en-GB"/>
        </w:rPr>
        <w:t>Eichhornia</w:t>
      </w:r>
      <w:proofErr w:type="spellEnd"/>
      <w:r>
        <w:rPr>
          <w:i/>
          <w:iCs/>
          <w:lang w:val="en-GB"/>
        </w:rPr>
        <w:t xml:space="preserve"> </w:t>
      </w:r>
      <w:proofErr w:type="spellStart"/>
      <w:r>
        <w:rPr>
          <w:i/>
          <w:iCs/>
          <w:lang w:val="en-GB"/>
        </w:rPr>
        <w:t>crassipes</w:t>
      </w:r>
      <w:proofErr w:type="spellEnd"/>
      <w:r>
        <w:rPr>
          <w:lang w:val="en-GB"/>
        </w:rPr>
        <w:t xml:space="preserve">) samples were collected from three sites and transported to the laboratory. After rinsing with distilled water, the samples were separated into aerial biomass (leaves, stems, flowers) and submerged biomass (roots). Each fraction was oven-dried at 105 °C for 5 days following Pinta (1980), then ground into a fine powder and stored in airtight containers. Concentrations of Cd, Cu, Hg, Ni, and Pb were determined using flame atomic </w:t>
      </w:r>
      <w:r>
        <w:rPr>
          <w:lang w:val="en-GB"/>
        </w:rPr>
        <w:lastRenderedPageBreak/>
        <w:t xml:space="preserve">absorption spectroscopy (FAAS), according to the methods described by Pinta (1980) and </w:t>
      </w:r>
      <w:proofErr w:type="spellStart"/>
      <w:r>
        <w:rPr>
          <w:lang w:val="en-GB"/>
        </w:rPr>
        <w:t>Welz</w:t>
      </w:r>
      <w:proofErr w:type="spellEnd"/>
      <w:r>
        <w:rPr>
          <w:lang w:val="en-GB"/>
        </w:rPr>
        <w:t xml:space="preserve"> and Sperling (2008).</w:t>
      </w:r>
    </w:p>
    <w:p w14:paraId="3C1F2DAE" w14:textId="77777777" w:rsidR="00331605" w:rsidRDefault="00240697">
      <w:pPr>
        <w:pStyle w:val="Heading3"/>
        <w:rPr>
          <w:rFonts w:eastAsia="Times New Roman"/>
          <w:lang w:val="en-GB"/>
        </w:rPr>
      </w:pPr>
      <w:r>
        <w:rPr>
          <w:rStyle w:val="Strong"/>
          <w:lang w:val="en-GB"/>
        </w:rPr>
        <w:t>Sampling and Analysis of Compost</w:t>
      </w:r>
    </w:p>
    <w:p w14:paraId="1328399D" w14:textId="77777777" w:rsidR="00331605" w:rsidRDefault="00240697">
      <w:pPr>
        <w:pStyle w:val="NormalWeb"/>
        <w:spacing w:line="360" w:lineRule="auto"/>
        <w:jc w:val="both"/>
        <w:rPr>
          <w:lang w:val="en-GB"/>
        </w:rPr>
      </w:pPr>
      <w:r>
        <w:rPr>
          <w:lang w:val="en-GB"/>
        </w:rPr>
        <w:t xml:space="preserve">At maturity (16 weeks), three fresh 1 kg samples were collected from the </w:t>
      </w:r>
      <w:proofErr w:type="spellStart"/>
      <w:r>
        <w:rPr>
          <w:lang w:val="en-GB"/>
        </w:rPr>
        <w:t>center</w:t>
      </w:r>
      <w:proofErr w:type="spellEnd"/>
      <w:r>
        <w:rPr>
          <w:lang w:val="en-GB"/>
        </w:rPr>
        <w:t xml:space="preserve"> and the ends of each compost pile and combined to form a 3 kg composite sample. A 1.5 kg aliquot was oven-dried at 105 °C for 48 h, ground, and sieved through a 1 mm mesh (ISO 11464:2006). Analyses included concentrations of Cd, Cu, Hg, Ni, and Pb using flame atomic absorption spectroscopy (FAAS) (Pinta, 1980), total nitrogen (</w:t>
      </w:r>
      <w:proofErr w:type="spellStart"/>
      <w:r>
        <w:rPr>
          <w:lang w:val="en-GB"/>
        </w:rPr>
        <w:t>Kjeldahl</w:t>
      </w:r>
      <w:proofErr w:type="spellEnd"/>
      <w:r>
        <w:rPr>
          <w:lang w:val="en-GB"/>
        </w:rPr>
        <w:t xml:space="preserve"> method; </w:t>
      </w:r>
      <w:proofErr w:type="spellStart"/>
      <w:r>
        <w:rPr>
          <w:lang w:val="en-GB"/>
        </w:rPr>
        <w:t>Bremner</w:t>
      </w:r>
      <w:proofErr w:type="spellEnd"/>
      <w:r>
        <w:rPr>
          <w:lang w:val="en-GB"/>
        </w:rPr>
        <w:t xml:space="preserve">, 1996), available phosphorus (Bray and Kurtz, 1945), total organic carbon (Walkley and Black, 1934), and pH in water and </w:t>
      </w:r>
      <w:proofErr w:type="spellStart"/>
      <w:r>
        <w:rPr>
          <w:lang w:val="en-GB"/>
        </w:rPr>
        <w:t>KCl</w:t>
      </w:r>
      <w:proofErr w:type="spellEnd"/>
      <w:r>
        <w:rPr>
          <w:lang w:val="en-GB"/>
        </w:rPr>
        <w:t xml:space="preserve"> solution (AFNOR NF X31-103, 1999).</w:t>
      </w:r>
    </w:p>
    <w:p w14:paraId="093707DE" w14:textId="77777777" w:rsidR="00331605" w:rsidRDefault="00240697">
      <w:pPr>
        <w:pStyle w:val="Heading3"/>
        <w:rPr>
          <w:rFonts w:eastAsia="Times New Roman"/>
          <w:lang w:val="en-GB"/>
        </w:rPr>
      </w:pPr>
      <w:r>
        <w:rPr>
          <w:rStyle w:val="Strong"/>
          <w:lang w:val="en-GB"/>
        </w:rPr>
        <w:t>Analysis of Compost Leachates</w:t>
      </w:r>
    </w:p>
    <w:p w14:paraId="1F357C3C" w14:textId="77777777" w:rsidR="00331605" w:rsidRDefault="00240697">
      <w:pPr>
        <w:pStyle w:val="NormalWeb"/>
        <w:spacing w:line="360" w:lineRule="auto"/>
        <w:jc w:val="both"/>
        <w:rPr>
          <w:lang w:val="en-GB"/>
        </w:rPr>
      </w:pPr>
      <w:r>
        <w:rPr>
          <w:lang w:val="en-GB"/>
        </w:rPr>
        <w:t xml:space="preserve">Leachates from the composts were collected at the drainage outlets of the experimental bins. A 500 mL sample was taken from each water hyacinth-based compost. The leachates were then filtered through a 0.45 µm membrane and </w:t>
      </w:r>
      <w:proofErr w:type="spellStart"/>
      <w:r>
        <w:rPr>
          <w:lang w:val="en-GB"/>
        </w:rPr>
        <w:t>analyzed</w:t>
      </w:r>
      <w:proofErr w:type="spellEnd"/>
      <w:r>
        <w:rPr>
          <w:lang w:val="en-GB"/>
        </w:rPr>
        <w:t xml:space="preserve"> for concentrations of trace metals (Cd, Cu, Hg, Ni, Pb) using flame atomic absorption spectroscopy (FAAS) (Pinta, 1980).</w:t>
      </w:r>
    </w:p>
    <w:p w14:paraId="61EBC031" w14:textId="77777777" w:rsidR="00331605" w:rsidRDefault="00240697">
      <w:pPr>
        <w:pStyle w:val="NormalWeb"/>
        <w:numPr>
          <w:ilvl w:val="0"/>
          <w:numId w:val="8"/>
        </w:numPr>
        <w:rPr>
          <w:lang w:val="en-GB"/>
        </w:rPr>
      </w:pPr>
      <w:r>
        <w:rPr>
          <w:rStyle w:val="Strong"/>
          <w:rFonts w:eastAsiaTheme="majorEastAsia"/>
          <w:lang w:val="en-GB"/>
        </w:rPr>
        <w:t>Weighted Mean Formula</w:t>
      </w:r>
    </w:p>
    <w:p w14:paraId="2C39130F" w14:textId="77777777" w:rsidR="00331605" w:rsidRDefault="00240697">
      <w:pPr>
        <w:pStyle w:val="NormalWeb"/>
        <w:rPr>
          <w:lang w:val="en-GB"/>
        </w:rPr>
      </w:pPr>
      <w:r>
        <w:rPr>
          <w:lang w:val="en-GB"/>
        </w:rPr>
        <w:t>The weighted mean of trace metal (ETM) concentrations was calculated for each site using the following formula:</w:t>
      </w:r>
    </w:p>
    <w:p w14:paraId="249CF893" w14:textId="77777777" w:rsidR="00331605" w:rsidRDefault="00240697">
      <w:pPr>
        <w:spacing w:before="100" w:beforeAutospacing="1" w:after="100" w:afterAutospacing="1" w:line="360" w:lineRule="auto"/>
        <w:rPr>
          <w:rFonts w:eastAsia="Times New Roman"/>
          <w:sz w:val="24"/>
          <w:szCs w:val="24"/>
          <w:lang w:val="fr-FR" w:eastAsia="fr-FR"/>
        </w:rPr>
      </w:pPr>
      <w:r>
        <w:rPr>
          <w:rFonts w:eastAsia="Times New Roman"/>
          <w:noProof/>
          <w:sz w:val="24"/>
          <w:szCs w:val="24"/>
          <w:lang w:val="fr-FR" w:eastAsia="fr-FR"/>
        </w:rPr>
        <w:drawing>
          <wp:inline distT="0" distB="0" distL="0" distR="0" wp14:anchorId="2EA4157C" wp14:editId="67D90C4A">
            <wp:extent cx="2313271" cy="781050"/>
            <wp:effectExtent l="0" t="0" r="0" b="0"/>
            <wp:docPr id="15380071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07166" name=""/>
                    <pic:cNvPicPr/>
                  </pic:nvPicPr>
                  <pic:blipFill>
                    <a:blip r:embed="rId9"/>
                    <a:stretch>
                      <a:fillRect/>
                    </a:stretch>
                  </pic:blipFill>
                  <pic:spPr>
                    <a:xfrm>
                      <a:off x="0" y="0"/>
                      <a:ext cx="2337142" cy="789110"/>
                    </a:xfrm>
                    <a:prstGeom prst="rect">
                      <a:avLst/>
                    </a:prstGeom>
                  </pic:spPr>
                </pic:pic>
              </a:graphicData>
            </a:graphic>
          </wp:inline>
        </w:drawing>
      </w:r>
    </w:p>
    <w:p w14:paraId="34F8D5E0" w14:textId="77777777" w:rsidR="00331605" w:rsidRDefault="00240697">
      <w:pPr>
        <w:pStyle w:val="NormalWeb"/>
      </w:pPr>
      <w:proofErr w:type="spellStart"/>
      <w:proofErr w:type="gramStart"/>
      <w:r>
        <w:t>Where</w:t>
      </w:r>
      <w:proofErr w:type="spellEnd"/>
      <w:r>
        <w:t>:</w:t>
      </w:r>
      <w:proofErr w:type="gramEnd"/>
    </w:p>
    <w:p w14:paraId="4931CE3D" w14:textId="77777777" w:rsidR="00331605" w:rsidRDefault="00240697">
      <w:pPr>
        <w:pStyle w:val="NormalWeb"/>
        <w:numPr>
          <w:ilvl w:val="0"/>
          <w:numId w:val="5"/>
        </w:numPr>
        <w:rPr>
          <w:lang w:val="en-GB"/>
        </w:rPr>
      </w:pPr>
      <w:proofErr w:type="spellStart"/>
      <w:r>
        <w:rPr>
          <w:rStyle w:val="Strong"/>
          <w:rFonts w:eastAsiaTheme="majorEastAsia"/>
          <w:lang w:val="en-GB"/>
        </w:rPr>
        <w:t>Cmp</w:t>
      </w:r>
      <w:proofErr w:type="spellEnd"/>
      <w:r>
        <w:rPr>
          <w:lang w:val="en-GB"/>
        </w:rPr>
        <w:t xml:space="preserve"> = weighted mean concentration of the element at the site;</w:t>
      </w:r>
    </w:p>
    <w:p w14:paraId="16C1C82A" w14:textId="77777777" w:rsidR="00331605" w:rsidRDefault="00240697">
      <w:pPr>
        <w:pStyle w:val="NormalWeb"/>
        <w:numPr>
          <w:ilvl w:val="0"/>
          <w:numId w:val="5"/>
        </w:numPr>
        <w:rPr>
          <w:lang w:val="en-GB"/>
        </w:rPr>
      </w:pPr>
      <w:r>
        <w:rPr>
          <w:rStyle w:val="Strong"/>
          <w:rFonts w:eastAsiaTheme="majorEastAsia"/>
          <w:lang w:val="en-GB"/>
        </w:rPr>
        <w:t>Ci</w:t>
      </w:r>
      <w:r>
        <w:rPr>
          <w:lang w:val="en-GB"/>
        </w:rPr>
        <w:t xml:space="preserve"> = concentration of the element in part </w:t>
      </w:r>
      <w:proofErr w:type="spellStart"/>
      <w:r>
        <w:rPr>
          <w:rStyle w:val="Emphasis"/>
          <w:rFonts w:eastAsiaTheme="majorEastAsia"/>
          <w:lang w:val="en-GB"/>
        </w:rPr>
        <w:t>i</w:t>
      </w:r>
      <w:proofErr w:type="spellEnd"/>
      <w:r>
        <w:rPr>
          <w:lang w:val="en-GB"/>
        </w:rPr>
        <w:t xml:space="preserve"> of the plant (aerial or submerged part);</w:t>
      </w:r>
    </w:p>
    <w:p w14:paraId="2328AA1B" w14:textId="77777777" w:rsidR="00331605" w:rsidRDefault="00240697">
      <w:pPr>
        <w:pStyle w:val="NormalWeb"/>
        <w:numPr>
          <w:ilvl w:val="0"/>
          <w:numId w:val="5"/>
        </w:numPr>
        <w:rPr>
          <w:lang w:val="en-GB"/>
        </w:rPr>
      </w:pPr>
      <w:r>
        <w:rPr>
          <w:rStyle w:val="Strong"/>
          <w:rFonts w:eastAsiaTheme="majorEastAsia"/>
          <w:lang w:val="en-GB"/>
        </w:rPr>
        <w:t>Pi</w:t>
      </w:r>
      <w:r>
        <w:rPr>
          <w:lang w:val="en-GB"/>
        </w:rPr>
        <w:t xml:space="preserve"> = proportion of the dry weight of part </w:t>
      </w:r>
      <w:proofErr w:type="spellStart"/>
      <w:r>
        <w:rPr>
          <w:rStyle w:val="Emphasis"/>
          <w:rFonts w:eastAsiaTheme="majorEastAsia"/>
          <w:lang w:val="en-GB"/>
        </w:rPr>
        <w:t>i</w:t>
      </w:r>
      <w:proofErr w:type="spellEnd"/>
      <w:r>
        <w:rPr>
          <w:lang w:val="en-GB"/>
        </w:rPr>
        <w:t xml:space="preserve"> in the total plant biomass;</w:t>
      </w:r>
    </w:p>
    <w:p w14:paraId="6A12A626" w14:textId="77777777" w:rsidR="00331605" w:rsidRDefault="00240697">
      <w:pPr>
        <w:pStyle w:val="NormalWeb"/>
        <w:numPr>
          <w:ilvl w:val="0"/>
          <w:numId w:val="5"/>
        </w:numPr>
        <w:rPr>
          <w:lang w:val="en-GB"/>
        </w:rPr>
      </w:pPr>
      <w:r>
        <w:rPr>
          <w:rStyle w:val="Strong"/>
          <w:rFonts w:eastAsiaTheme="majorEastAsia"/>
          <w:lang w:val="en-GB"/>
        </w:rPr>
        <w:t>n</w:t>
      </w:r>
      <w:r>
        <w:rPr>
          <w:lang w:val="en-GB"/>
        </w:rPr>
        <w:t xml:space="preserve"> = total number of parts considered (here, two: aerial part (PA) and submerged part (</w:t>
      </w:r>
      <w:proofErr w:type="spellStart"/>
      <w:r>
        <w:rPr>
          <w:lang w:val="en-GB"/>
        </w:rPr>
        <w:t>Pim</w:t>
      </w:r>
      <w:proofErr w:type="spellEnd"/>
      <w:r>
        <w:rPr>
          <w:lang w:val="en-GB"/>
        </w:rPr>
        <w:t>)).</w:t>
      </w:r>
    </w:p>
    <w:p w14:paraId="687CDF90" w14:textId="77777777" w:rsidR="00331605" w:rsidRDefault="00240697">
      <w:pPr>
        <w:spacing w:before="100" w:beforeAutospacing="1" w:after="100" w:afterAutospacing="1" w:line="276" w:lineRule="auto"/>
        <w:rPr>
          <w:rFonts w:eastAsia="Times New Roman"/>
          <w:sz w:val="24"/>
          <w:szCs w:val="24"/>
          <w:lang w:val="fr-FR" w:eastAsia="fr-FR"/>
        </w:rPr>
      </w:pPr>
      <w:r>
        <w:rPr>
          <w:rFonts w:eastAsia="Times New Roman"/>
          <w:sz w:val="24"/>
          <w:szCs w:val="24"/>
          <w:lang w:val="en-GB" w:eastAsia="fr-FR"/>
        </w:rPr>
        <w:t xml:space="preserve">This method allows integrating the relative contribution of each plant compartment in the overall assessment of metal contamination at the site. </w:t>
      </w:r>
      <w:r>
        <w:rPr>
          <w:rFonts w:eastAsia="Times New Roman"/>
          <w:sz w:val="24"/>
          <w:szCs w:val="24"/>
          <w:lang w:val="fr-FR" w:eastAsia="fr-FR"/>
        </w:rPr>
        <w:t xml:space="preserve">The proportions </w:t>
      </w:r>
      <w:proofErr w:type="spellStart"/>
      <w:r>
        <w:rPr>
          <w:rFonts w:eastAsia="Times New Roman"/>
          <w:sz w:val="24"/>
          <w:szCs w:val="24"/>
          <w:lang w:val="fr-FR" w:eastAsia="fr-FR"/>
        </w:rPr>
        <w:t>used</w:t>
      </w:r>
      <w:proofErr w:type="spellEnd"/>
      <w:r>
        <w:rPr>
          <w:rFonts w:eastAsia="Times New Roman"/>
          <w:sz w:val="24"/>
          <w:szCs w:val="24"/>
          <w:lang w:val="fr-FR" w:eastAsia="fr-FR"/>
        </w:rPr>
        <w:t xml:space="preserve"> </w:t>
      </w:r>
      <w:proofErr w:type="spellStart"/>
      <w:r>
        <w:rPr>
          <w:rFonts w:eastAsia="Times New Roman"/>
          <w:sz w:val="24"/>
          <w:szCs w:val="24"/>
          <w:lang w:val="fr-FR" w:eastAsia="fr-FR"/>
        </w:rPr>
        <w:t>after</w:t>
      </w:r>
      <w:proofErr w:type="spellEnd"/>
      <w:r>
        <w:rPr>
          <w:rFonts w:eastAsia="Times New Roman"/>
          <w:sz w:val="24"/>
          <w:szCs w:val="24"/>
          <w:lang w:val="fr-FR" w:eastAsia="fr-FR"/>
        </w:rPr>
        <w:t xml:space="preserve"> </w:t>
      </w:r>
      <w:proofErr w:type="spellStart"/>
      <w:r>
        <w:rPr>
          <w:rFonts w:eastAsia="Times New Roman"/>
          <w:sz w:val="24"/>
          <w:szCs w:val="24"/>
          <w:lang w:val="fr-FR" w:eastAsia="fr-FR"/>
        </w:rPr>
        <w:t>calculation</w:t>
      </w:r>
      <w:proofErr w:type="spellEnd"/>
      <w:r>
        <w:rPr>
          <w:rFonts w:eastAsia="Times New Roman"/>
          <w:sz w:val="24"/>
          <w:szCs w:val="24"/>
          <w:lang w:val="fr-FR" w:eastAsia="fr-FR"/>
        </w:rPr>
        <w:t xml:space="preserve"> </w:t>
      </w:r>
      <w:proofErr w:type="spellStart"/>
      <w:proofErr w:type="gramStart"/>
      <w:r>
        <w:rPr>
          <w:rFonts w:eastAsia="Times New Roman"/>
          <w:sz w:val="24"/>
          <w:szCs w:val="24"/>
          <w:lang w:val="fr-FR" w:eastAsia="fr-FR"/>
        </w:rPr>
        <w:t>were</w:t>
      </w:r>
      <w:proofErr w:type="spellEnd"/>
      <w:r>
        <w:rPr>
          <w:rFonts w:eastAsia="Times New Roman"/>
          <w:sz w:val="24"/>
          <w:szCs w:val="24"/>
          <w:lang w:val="fr-FR" w:eastAsia="fr-FR"/>
        </w:rPr>
        <w:t>:</w:t>
      </w:r>
      <w:proofErr w:type="gramEnd"/>
    </w:p>
    <w:p w14:paraId="19997666" w14:textId="77777777" w:rsidR="00331605" w:rsidRDefault="00240697">
      <w:pPr>
        <w:numPr>
          <w:ilvl w:val="0"/>
          <w:numId w:val="4"/>
        </w:numPr>
        <w:spacing w:before="100" w:beforeAutospacing="1" w:after="100" w:afterAutospacing="1" w:line="360" w:lineRule="auto"/>
        <w:jc w:val="left"/>
        <w:rPr>
          <w:rFonts w:eastAsia="Times New Roman"/>
          <w:sz w:val="24"/>
          <w:szCs w:val="24"/>
          <w:lang w:val="fr-FR" w:eastAsia="fr-FR"/>
        </w:rPr>
      </w:pPr>
      <w:proofErr w:type="spellStart"/>
      <w:r>
        <w:rPr>
          <w:rFonts w:eastAsia="Times New Roman"/>
          <w:b/>
          <w:bCs/>
          <w:sz w:val="24"/>
          <w:szCs w:val="24"/>
          <w:lang w:val="fr-FR" w:eastAsia="fr-FR"/>
        </w:rPr>
        <w:lastRenderedPageBreak/>
        <w:t>Bè</w:t>
      </w:r>
      <w:proofErr w:type="spellEnd"/>
      <w:r>
        <w:rPr>
          <w:rFonts w:eastAsia="Times New Roman"/>
          <w:sz w:val="24"/>
          <w:szCs w:val="24"/>
          <w:lang w:val="fr-FR" w:eastAsia="fr-FR"/>
        </w:rPr>
        <w:t xml:space="preserve"> : PA = 0,619 ; Pim = 0,381</w:t>
      </w:r>
    </w:p>
    <w:p w14:paraId="2F5FEDCA" w14:textId="77777777" w:rsidR="00331605" w:rsidRDefault="00240697">
      <w:pPr>
        <w:numPr>
          <w:ilvl w:val="0"/>
          <w:numId w:val="4"/>
        </w:numPr>
        <w:spacing w:before="100" w:beforeAutospacing="1" w:after="100" w:afterAutospacing="1" w:line="360" w:lineRule="auto"/>
        <w:jc w:val="left"/>
        <w:rPr>
          <w:rFonts w:eastAsia="Times New Roman"/>
          <w:sz w:val="24"/>
          <w:szCs w:val="24"/>
          <w:lang w:val="fr-FR" w:eastAsia="fr-FR"/>
        </w:rPr>
      </w:pPr>
      <w:proofErr w:type="spellStart"/>
      <w:r>
        <w:rPr>
          <w:rFonts w:eastAsia="Times New Roman"/>
          <w:b/>
          <w:bCs/>
          <w:sz w:val="24"/>
          <w:szCs w:val="24"/>
          <w:lang w:val="fr-FR" w:eastAsia="fr-FR"/>
        </w:rPr>
        <w:t>Hanoukopé</w:t>
      </w:r>
      <w:proofErr w:type="spellEnd"/>
      <w:r>
        <w:rPr>
          <w:rFonts w:eastAsia="Times New Roman"/>
          <w:sz w:val="24"/>
          <w:szCs w:val="24"/>
          <w:lang w:val="fr-FR" w:eastAsia="fr-FR"/>
        </w:rPr>
        <w:t xml:space="preserve"> : PA = 0,614 ; Pim = 0,386</w:t>
      </w:r>
    </w:p>
    <w:p w14:paraId="0E3223D8" w14:textId="77777777" w:rsidR="00331605" w:rsidRDefault="00240697">
      <w:pPr>
        <w:numPr>
          <w:ilvl w:val="0"/>
          <w:numId w:val="4"/>
        </w:numPr>
        <w:spacing w:before="100" w:beforeAutospacing="1" w:after="100" w:afterAutospacing="1" w:line="360" w:lineRule="auto"/>
        <w:jc w:val="left"/>
        <w:rPr>
          <w:rFonts w:eastAsia="Times New Roman"/>
          <w:sz w:val="24"/>
          <w:szCs w:val="24"/>
          <w:lang w:val="fr-FR" w:eastAsia="fr-FR"/>
        </w:rPr>
      </w:pPr>
      <w:proofErr w:type="spellStart"/>
      <w:r>
        <w:rPr>
          <w:rFonts w:eastAsia="Times New Roman"/>
          <w:b/>
          <w:bCs/>
          <w:sz w:val="24"/>
          <w:szCs w:val="24"/>
          <w:lang w:val="fr-FR" w:eastAsia="fr-FR"/>
        </w:rPr>
        <w:t>Nyékonakpoé</w:t>
      </w:r>
      <w:proofErr w:type="spellEnd"/>
      <w:r>
        <w:rPr>
          <w:rFonts w:eastAsia="Times New Roman"/>
          <w:sz w:val="24"/>
          <w:szCs w:val="24"/>
          <w:lang w:val="fr-FR" w:eastAsia="fr-FR"/>
        </w:rPr>
        <w:t xml:space="preserve"> : PA = 0,609 ; Pim = 0,391</w:t>
      </w:r>
    </w:p>
    <w:p w14:paraId="3495D78E" w14:textId="77777777" w:rsidR="00331605" w:rsidRDefault="00240697">
      <w:pPr>
        <w:spacing w:after="160" w:line="276" w:lineRule="auto"/>
        <w:rPr>
          <w:rFonts w:eastAsia="Calibri"/>
          <w:sz w:val="24"/>
          <w:szCs w:val="24"/>
          <w:lang w:val="en-GB"/>
        </w:rPr>
      </w:pPr>
      <w:r>
        <w:rPr>
          <w:rFonts w:eastAsia="Calibri"/>
          <w:sz w:val="24"/>
          <w:szCs w:val="24"/>
          <w:lang w:val="en-GB"/>
        </w:rPr>
        <w:t>Thus, the weighted mean concentration (</w:t>
      </w:r>
      <w:proofErr w:type="spellStart"/>
      <w:r>
        <w:rPr>
          <w:rFonts w:eastAsia="Calibri"/>
          <w:sz w:val="24"/>
          <w:szCs w:val="24"/>
          <w:lang w:val="en-GB"/>
        </w:rPr>
        <w:t>Cmp</w:t>
      </w:r>
      <w:proofErr w:type="spellEnd"/>
      <w:r>
        <w:rPr>
          <w:rFonts w:eastAsia="Calibri"/>
          <w:sz w:val="24"/>
          <w:szCs w:val="24"/>
          <w:lang w:val="en-GB"/>
        </w:rPr>
        <w:t xml:space="preserve">) more accurately reflects the distribution of metals in the total plant biomass, </w:t>
      </w:r>
      <w:proofErr w:type="gramStart"/>
      <w:r>
        <w:rPr>
          <w:rFonts w:eastAsia="Calibri"/>
          <w:sz w:val="24"/>
          <w:szCs w:val="24"/>
          <w:lang w:val="en-GB"/>
        </w:rPr>
        <w:t>taking into account</w:t>
      </w:r>
      <w:proofErr w:type="gramEnd"/>
      <w:r>
        <w:rPr>
          <w:rFonts w:eastAsia="Calibri"/>
          <w:sz w:val="24"/>
          <w:szCs w:val="24"/>
          <w:lang w:val="en-GB"/>
        </w:rPr>
        <w:t xml:space="preserve"> the actual contribution of each organ to the overall dry weight.</w:t>
      </w:r>
    </w:p>
    <w:p w14:paraId="737B445D" w14:textId="07132DA7" w:rsidR="00331605" w:rsidRDefault="00240697" w:rsidP="00F154BB">
      <w:pPr>
        <w:pStyle w:val="Heading1"/>
        <w:numPr>
          <w:ilvl w:val="1"/>
          <w:numId w:val="11"/>
        </w:numPr>
        <w:rPr>
          <w:rFonts w:eastAsia="Times New Roman"/>
          <w:lang w:val="en-GB" w:eastAsia="fr-FR"/>
        </w:rPr>
      </w:pPr>
      <w:r>
        <w:rPr>
          <w:rFonts w:eastAsia="Times New Roman"/>
          <w:lang w:val="en-GB" w:eastAsia="fr-FR"/>
        </w:rPr>
        <w:t>Statistical Analysis of Collected Data</w:t>
      </w:r>
    </w:p>
    <w:p w14:paraId="5AFAA58F" w14:textId="77777777" w:rsidR="00331605" w:rsidRDefault="00240697">
      <w:pPr>
        <w:spacing w:before="100" w:beforeAutospacing="1" w:after="100" w:afterAutospacing="1" w:line="360" w:lineRule="auto"/>
        <w:rPr>
          <w:rFonts w:eastAsia="Times New Roman"/>
          <w:sz w:val="24"/>
          <w:szCs w:val="24"/>
          <w:lang w:val="en-GB" w:eastAsia="fr-FR"/>
        </w:rPr>
      </w:pPr>
      <w:r>
        <w:rPr>
          <w:rFonts w:eastAsia="Times New Roman"/>
          <w:color w:val="000000"/>
          <w:sz w:val="24"/>
          <w:szCs w:val="26"/>
          <w:lang w:val="en-GB" w:eastAsia="fr-FR"/>
        </w:rPr>
        <w:t xml:space="preserve">All collected data were entered into Microsoft Excel and subsequently </w:t>
      </w:r>
      <w:proofErr w:type="spellStart"/>
      <w:r>
        <w:rPr>
          <w:rFonts w:eastAsia="Times New Roman"/>
          <w:color w:val="000000"/>
          <w:sz w:val="24"/>
          <w:szCs w:val="26"/>
          <w:lang w:val="en-GB" w:eastAsia="fr-FR"/>
        </w:rPr>
        <w:t>analyzed</w:t>
      </w:r>
      <w:proofErr w:type="spellEnd"/>
      <w:r>
        <w:rPr>
          <w:rFonts w:eastAsia="Times New Roman"/>
          <w:color w:val="000000"/>
          <w:sz w:val="24"/>
          <w:szCs w:val="26"/>
          <w:lang w:val="en-GB" w:eastAsia="fr-FR"/>
        </w:rPr>
        <w:t xml:space="preserve"> using SPSS (Statistical Package for the Social Sciences), version 21.1</w:t>
      </w:r>
      <w:r>
        <w:rPr>
          <w:rFonts w:eastAsia="Times New Roman"/>
          <w:sz w:val="24"/>
          <w:szCs w:val="24"/>
          <w:lang w:val="en-GB" w:eastAsia="fr-FR"/>
        </w:rPr>
        <w:t>.</w:t>
      </w:r>
    </w:p>
    <w:p w14:paraId="5CAE4FDD" w14:textId="77777777" w:rsidR="00331605" w:rsidRDefault="00240697">
      <w:pPr>
        <w:pStyle w:val="Heading1"/>
        <w:rPr>
          <w:rFonts w:eastAsia="Times New Roman"/>
          <w:lang w:val="fr-FR"/>
        </w:rPr>
      </w:pPr>
      <w:bookmarkStart w:id="3" w:name="_Toc222577618"/>
      <w:bookmarkStart w:id="4" w:name="_Hlk192862045"/>
      <w:proofErr w:type="spellStart"/>
      <w:r>
        <w:rPr>
          <w:rFonts w:eastAsia="Times New Roman"/>
          <w:lang w:val="fr-FR"/>
        </w:rPr>
        <w:t>Results</w:t>
      </w:r>
      <w:proofErr w:type="spellEnd"/>
    </w:p>
    <w:bookmarkEnd w:id="3"/>
    <w:bookmarkEnd w:id="4"/>
    <w:p w14:paraId="263AC739" w14:textId="77777777" w:rsidR="00331605" w:rsidRDefault="00240697">
      <w:pPr>
        <w:pStyle w:val="Heading1"/>
        <w:numPr>
          <w:ilvl w:val="1"/>
          <w:numId w:val="11"/>
        </w:numPr>
        <w:rPr>
          <w:rFonts w:eastAsia="Times New Roman"/>
          <w:lang w:val="en-GB"/>
        </w:rPr>
      </w:pPr>
      <w:r>
        <w:rPr>
          <w:rStyle w:val="Strong"/>
          <w:lang w:val="en-GB"/>
        </w:rPr>
        <w:t>Bioaccumulation of Trace Elements in Water Hyacinth Collected from Different Sites</w:t>
      </w:r>
    </w:p>
    <w:p w14:paraId="37F9ABCD" w14:textId="77777777" w:rsidR="00331605" w:rsidRDefault="00240697">
      <w:pPr>
        <w:pStyle w:val="NormalWeb"/>
        <w:spacing w:line="360" w:lineRule="auto"/>
        <w:jc w:val="both"/>
        <w:rPr>
          <w:lang w:val="en-GB"/>
        </w:rPr>
      </w:pPr>
      <w:r>
        <w:rPr>
          <w:lang w:val="en-GB"/>
        </w:rPr>
        <w:t>The analysis of trace element (TE) bioaccumulation in water hyacinth (</w:t>
      </w:r>
      <w:proofErr w:type="spellStart"/>
      <w:r>
        <w:rPr>
          <w:i/>
          <w:iCs/>
          <w:lang w:val="en-GB"/>
        </w:rPr>
        <w:t>Eichhornia</w:t>
      </w:r>
      <w:proofErr w:type="spellEnd"/>
      <w:r>
        <w:rPr>
          <w:i/>
          <w:iCs/>
          <w:lang w:val="en-GB"/>
        </w:rPr>
        <w:t xml:space="preserve"> </w:t>
      </w:r>
      <w:proofErr w:type="spellStart"/>
      <w:r>
        <w:rPr>
          <w:i/>
          <w:iCs/>
          <w:lang w:val="en-GB"/>
        </w:rPr>
        <w:t>crassipes</w:t>
      </w:r>
      <w:proofErr w:type="spellEnd"/>
      <w:r>
        <w:rPr>
          <w:lang w:val="en-GB"/>
        </w:rPr>
        <w:t>) collected from the three studied sites (</w:t>
      </w:r>
      <w:proofErr w:type="spellStart"/>
      <w:r>
        <w:rPr>
          <w:lang w:val="en-GB"/>
        </w:rPr>
        <w:t>Nyékonakpoé</w:t>
      </w:r>
      <w:proofErr w:type="spellEnd"/>
      <w:r>
        <w:rPr>
          <w:lang w:val="en-GB"/>
        </w:rPr>
        <w:t xml:space="preserve">, </w:t>
      </w:r>
      <w:proofErr w:type="spellStart"/>
      <w:r>
        <w:rPr>
          <w:lang w:val="en-GB"/>
        </w:rPr>
        <w:t>Bè</w:t>
      </w:r>
      <w:proofErr w:type="spellEnd"/>
      <w:r>
        <w:rPr>
          <w:lang w:val="en-GB"/>
        </w:rPr>
        <w:t xml:space="preserve">, and </w:t>
      </w:r>
      <w:proofErr w:type="spellStart"/>
      <w:r>
        <w:rPr>
          <w:lang w:val="en-GB"/>
        </w:rPr>
        <w:t>Hanoukopé</w:t>
      </w:r>
      <w:proofErr w:type="spellEnd"/>
      <w:r>
        <w:rPr>
          <w:lang w:val="en-GB"/>
        </w:rPr>
        <w:t>) revealed marked variations in concentrations depending on both the sampling site and the plant part considered (Table 1). Overall, the submerged portion (roots and basal tissues) exhibited higher concentrations of Cd, Pb, Cu, and Ni than the aerial parts.</w:t>
      </w:r>
    </w:p>
    <w:p w14:paraId="0040A600" w14:textId="77777777" w:rsidR="00331605" w:rsidRDefault="00240697">
      <w:pPr>
        <w:pStyle w:val="NormalWeb"/>
        <w:numPr>
          <w:ilvl w:val="0"/>
          <w:numId w:val="10"/>
        </w:numPr>
        <w:spacing w:line="360" w:lineRule="auto"/>
        <w:jc w:val="both"/>
        <w:rPr>
          <w:lang w:val="en-GB"/>
        </w:rPr>
      </w:pPr>
      <w:r>
        <w:rPr>
          <w:lang w:val="en-GB"/>
        </w:rPr>
        <w:t xml:space="preserve">At </w:t>
      </w:r>
      <w:proofErr w:type="spellStart"/>
      <w:r>
        <w:rPr>
          <w:rStyle w:val="Strong"/>
          <w:rFonts w:eastAsiaTheme="majorEastAsia"/>
          <w:lang w:val="en-GB"/>
        </w:rPr>
        <w:t>Nyékonakpoé</w:t>
      </w:r>
      <w:proofErr w:type="spellEnd"/>
      <w:r>
        <w:rPr>
          <w:lang w:val="en-GB"/>
        </w:rPr>
        <w:t>, the submerged tissues showed notably higher levels of Pb (7.57 mg/kg), Cu (5.42 mg/kg), and Ni (2.24 mg/kg) compared to the aerial tissues (1.08, 1.36, and 1.03 mg/kg, respectively). Cadmium (Cd) accumulation (0.35 mg/kg) was also more pronounced in submerged parts. However, Hg concentration was higher in the aerial tissues (372.99 µg/kg).</w:t>
      </w:r>
    </w:p>
    <w:p w14:paraId="4B2D0F43" w14:textId="77777777" w:rsidR="00331605" w:rsidRDefault="00240697">
      <w:pPr>
        <w:pStyle w:val="NormalWeb"/>
        <w:numPr>
          <w:ilvl w:val="0"/>
          <w:numId w:val="10"/>
        </w:numPr>
        <w:spacing w:line="360" w:lineRule="auto"/>
        <w:jc w:val="both"/>
        <w:rPr>
          <w:lang w:val="en-GB"/>
        </w:rPr>
      </w:pPr>
      <w:r>
        <w:rPr>
          <w:lang w:val="en-GB"/>
        </w:rPr>
        <w:t xml:space="preserve">At </w:t>
      </w:r>
      <w:proofErr w:type="spellStart"/>
      <w:r>
        <w:rPr>
          <w:rStyle w:val="Strong"/>
          <w:rFonts w:eastAsiaTheme="majorEastAsia"/>
          <w:lang w:val="en-GB"/>
        </w:rPr>
        <w:t>Bè</w:t>
      </w:r>
      <w:proofErr w:type="spellEnd"/>
      <w:r>
        <w:rPr>
          <w:lang w:val="en-GB"/>
        </w:rPr>
        <w:t>, the difference between submerged and aerial parts was even more pronounced. Submerged tissues contained very high levels of Pb (12.22 mg/kg), Cu (13.23 mg/kg), and Ni (3.337 mg/kg) versus aerial tissues (5.55, 5.40, and 2.623 mg/kg, respectively), i.e., more than double the aerial concentrations. Conversely, Hg was primarily concentrated in aerial tissues (809.84 µg/kg), more than twenty times higher than in submerged tissues (37.88 µg/kg).</w:t>
      </w:r>
    </w:p>
    <w:p w14:paraId="1AAF5F33" w14:textId="77777777" w:rsidR="00331605" w:rsidRDefault="00240697">
      <w:pPr>
        <w:pStyle w:val="NormalWeb"/>
        <w:numPr>
          <w:ilvl w:val="0"/>
          <w:numId w:val="10"/>
        </w:numPr>
        <w:spacing w:line="360" w:lineRule="auto"/>
        <w:jc w:val="both"/>
        <w:rPr>
          <w:lang w:val="en-GB"/>
        </w:rPr>
      </w:pPr>
      <w:r>
        <w:rPr>
          <w:lang w:val="en-GB"/>
        </w:rPr>
        <w:t xml:space="preserve">At </w:t>
      </w:r>
      <w:proofErr w:type="spellStart"/>
      <w:r>
        <w:rPr>
          <w:rStyle w:val="Strong"/>
          <w:rFonts w:eastAsiaTheme="majorEastAsia"/>
          <w:lang w:val="en-GB"/>
        </w:rPr>
        <w:t>Hanoukopé</w:t>
      </w:r>
      <w:proofErr w:type="spellEnd"/>
      <w:r>
        <w:rPr>
          <w:lang w:val="en-GB"/>
        </w:rPr>
        <w:t xml:space="preserve">, the pattern was similar to </w:t>
      </w:r>
      <w:proofErr w:type="spellStart"/>
      <w:r>
        <w:rPr>
          <w:lang w:val="en-GB"/>
        </w:rPr>
        <w:t>Bè</w:t>
      </w:r>
      <w:proofErr w:type="spellEnd"/>
      <w:r>
        <w:rPr>
          <w:lang w:val="en-GB"/>
        </w:rPr>
        <w:t xml:space="preserve">. Submerged tissues accumulated more Pb (12.941 mg/kg), Cu (14.48 mg/kg), and Ni (3.45 mg/kg) than aerial parts (2.53, 3.93, </w:t>
      </w:r>
      <w:r>
        <w:rPr>
          <w:lang w:val="en-GB"/>
        </w:rPr>
        <w:lastRenderedPageBreak/>
        <w:t>and 1.852 mg/kg). This site showed the highest overall Pb and Cu levels. Hg concentrations were lower (101.52 µg/kg in aerial parts; 53.696 µg/kg in submerged parts) but still indicated background pollution.</w:t>
      </w:r>
    </w:p>
    <w:p w14:paraId="54E3F1EE" w14:textId="77777777" w:rsidR="00331605" w:rsidRDefault="00240697">
      <w:pPr>
        <w:pStyle w:val="NormalWeb"/>
        <w:spacing w:line="360" w:lineRule="auto"/>
        <w:jc w:val="both"/>
        <w:rPr>
          <w:lang w:val="en-GB"/>
        </w:rPr>
      </w:pPr>
      <w:r>
        <w:rPr>
          <w:lang w:val="en-GB"/>
        </w:rPr>
        <w:t>These intra-site observations highlight the differential uptake and translocation capacities of water hyacinth. Metals with strong affinity for particulate matter and carboxyl groups (Pb, Cu, Ni) accumulate preferentially in roots, whereas Hg, being more volatile and able to adsorb on leaf surfaces, concentrates in aerial tissues.</w:t>
      </w:r>
    </w:p>
    <w:p w14:paraId="47C51F76" w14:textId="77777777" w:rsidR="00331605" w:rsidRDefault="00240697">
      <w:pPr>
        <w:pStyle w:val="NormalWeb"/>
        <w:spacing w:line="360" w:lineRule="auto"/>
        <w:jc w:val="both"/>
        <w:rPr>
          <w:lang w:val="en-GB"/>
        </w:rPr>
      </w:pPr>
      <w:r>
        <w:rPr>
          <w:lang w:val="en-GB"/>
        </w:rPr>
        <w:t xml:space="preserve">Inter-site analysis, based on weighted averages accounting for dry biomass proportions, showed a clear contamination gradient. Overall, TE levels decreased from </w:t>
      </w:r>
      <w:proofErr w:type="spellStart"/>
      <w:r>
        <w:rPr>
          <w:lang w:val="en-GB"/>
        </w:rPr>
        <w:t>Bè</w:t>
      </w:r>
      <w:proofErr w:type="spellEnd"/>
      <w:r>
        <w:rPr>
          <w:lang w:val="en-GB"/>
        </w:rPr>
        <w:t xml:space="preserve"> (Pb: 8.097 mg/kg; Cu: 8.385 mg/kg; Ni: 2.895 mg/kg) to </w:t>
      </w:r>
      <w:proofErr w:type="spellStart"/>
      <w:r>
        <w:rPr>
          <w:lang w:val="en-GB"/>
        </w:rPr>
        <w:t>Nyékonakpoé</w:t>
      </w:r>
      <w:proofErr w:type="spellEnd"/>
      <w:r>
        <w:rPr>
          <w:lang w:val="en-GB"/>
        </w:rPr>
        <w:t xml:space="preserve"> (3.61; 2.94; 1.50 mg/kg) via </w:t>
      </w:r>
      <w:proofErr w:type="spellStart"/>
      <w:r>
        <w:rPr>
          <w:lang w:val="en-GB"/>
        </w:rPr>
        <w:t>Hanoukopé</w:t>
      </w:r>
      <w:proofErr w:type="spellEnd"/>
      <w:r>
        <w:rPr>
          <w:lang w:val="en-GB"/>
        </w:rPr>
        <w:t xml:space="preserve"> (6.55; 8.012; 2.47 mg/kg) for Pb, Cu, and Ni, indicating a pronounced spatial influence of anthropogenic pressure with a west-to-east increase in metal enrichment in the southern Togo lagoon.</w:t>
      </w:r>
    </w:p>
    <w:p w14:paraId="7054D033" w14:textId="77777777" w:rsidR="00331605" w:rsidRDefault="00240697">
      <w:pPr>
        <w:pStyle w:val="NormalWeb"/>
        <w:spacing w:line="360" w:lineRule="auto"/>
        <w:jc w:val="both"/>
        <w:rPr>
          <w:lang w:val="en-GB"/>
        </w:rPr>
      </w:pPr>
      <w:r>
        <w:rPr>
          <w:lang w:val="en-GB"/>
        </w:rPr>
        <w:t>Cd inter-site differences were smaller (</w:t>
      </w:r>
      <w:proofErr w:type="spellStart"/>
      <w:r>
        <w:rPr>
          <w:lang w:val="en-GB"/>
        </w:rPr>
        <w:t>Bè</w:t>
      </w:r>
      <w:proofErr w:type="spellEnd"/>
      <w:r>
        <w:rPr>
          <w:lang w:val="en-GB"/>
        </w:rPr>
        <w:t xml:space="preserve">: 0.25 mg/kg; </w:t>
      </w:r>
      <w:proofErr w:type="spellStart"/>
      <w:r>
        <w:rPr>
          <w:lang w:val="en-GB"/>
        </w:rPr>
        <w:t>Nyékonakpoé</w:t>
      </w:r>
      <w:proofErr w:type="spellEnd"/>
      <w:r>
        <w:rPr>
          <w:lang w:val="en-GB"/>
        </w:rPr>
        <w:t xml:space="preserve">: 0.19 mg/kg; </w:t>
      </w:r>
      <w:proofErr w:type="spellStart"/>
      <w:r>
        <w:rPr>
          <w:lang w:val="en-GB"/>
        </w:rPr>
        <w:t>Hanoukopé</w:t>
      </w:r>
      <w:proofErr w:type="spellEnd"/>
      <w:r>
        <w:rPr>
          <w:lang w:val="en-GB"/>
        </w:rPr>
        <w:t>: 0.12 mg/kg). In contrast, Hg showed extreme variability (</w:t>
      </w:r>
      <w:proofErr w:type="spellStart"/>
      <w:r>
        <w:rPr>
          <w:lang w:val="en-GB"/>
        </w:rPr>
        <w:t>Bè</w:t>
      </w:r>
      <w:proofErr w:type="spellEnd"/>
      <w:r>
        <w:rPr>
          <w:lang w:val="en-GB"/>
        </w:rPr>
        <w:t xml:space="preserve">: 515.76 µg/kg; </w:t>
      </w:r>
      <w:proofErr w:type="spellStart"/>
      <w:r>
        <w:rPr>
          <w:lang w:val="en-GB"/>
        </w:rPr>
        <w:t>Nyékonakpoé</w:t>
      </w:r>
      <w:proofErr w:type="spellEnd"/>
      <w:r>
        <w:rPr>
          <w:lang w:val="en-GB"/>
        </w:rPr>
        <w:t xml:space="preserve">: 227.48 µg/kg; </w:t>
      </w:r>
      <w:proofErr w:type="spellStart"/>
      <w:r>
        <w:rPr>
          <w:lang w:val="en-GB"/>
        </w:rPr>
        <w:t>Hanoukopé</w:t>
      </w:r>
      <w:proofErr w:type="spellEnd"/>
      <w:r>
        <w:rPr>
          <w:lang w:val="en-GB"/>
        </w:rPr>
        <w:t xml:space="preserve">: 83.06 µg/kg). </w:t>
      </w:r>
      <w:proofErr w:type="spellStart"/>
      <w:r>
        <w:rPr>
          <w:lang w:val="en-GB"/>
        </w:rPr>
        <w:t>Bè</w:t>
      </w:r>
      <w:proofErr w:type="spellEnd"/>
      <w:r>
        <w:rPr>
          <w:lang w:val="en-GB"/>
        </w:rPr>
        <w:t xml:space="preserve"> emerged as the most heavily contaminated site overall, whereas Cd was highest in </w:t>
      </w:r>
      <w:proofErr w:type="spellStart"/>
      <w:r>
        <w:rPr>
          <w:lang w:val="en-GB"/>
        </w:rPr>
        <w:t>Nyékonakpoé</w:t>
      </w:r>
      <w:proofErr w:type="spellEnd"/>
      <w:r>
        <w:rPr>
          <w:lang w:val="en-GB"/>
        </w:rPr>
        <w:t xml:space="preserve">. </w:t>
      </w:r>
      <w:proofErr w:type="spellStart"/>
      <w:r>
        <w:rPr>
          <w:lang w:val="en-GB"/>
        </w:rPr>
        <w:t>Hanoukopé</w:t>
      </w:r>
      <w:proofErr w:type="spellEnd"/>
      <w:r>
        <w:rPr>
          <w:lang w:val="en-GB"/>
        </w:rPr>
        <w:t xml:space="preserve"> presented intermediate contamination, with moderate Hg atmospheric exposure.</w:t>
      </w:r>
    </w:p>
    <w:p w14:paraId="00C428AC" w14:textId="77777777" w:rsidR="00331605" w:rsidRDefault="00331605">
      <w:pPr>
        <w:spacing w:before="100" w:beforeAutospacing="1" w:after="100" w:afterAutospacing="1" w:line="360" w:lineRule="auto"/>
        <w:rPr>
          <w:rFonts w:eastAsia="Times New Roman"/>
          <w:sz w:val="24"/>
          <w:szCs w:val="24"/>
          <w:lang w:val="en-GB" w:eastAsia="fr-FR"/>
        </w:rPr>
        <w:sectPr w:rsidR="00331605">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7" w:right="1417" w:bottom="1417" w:left="1417" w:header="708" w:footer="708" w:gutter="0"/>
          <w:cols w:space="708"/>
          <w:docGrid w:linePitch="360"/>
        </w:sectPr>
      </w:pPr>
    </w:p>
    <w:p w14:paraId="0058F095" w14:textId="77777777" w:rsidR="00331605" w:rsidRDefault="00331605">
      <w:pPr>
        <w:spacing w:line="360" w:lineRule="auto"/>
        <w:rPr>
          <w:rFonts w:eastAsia="Calibri"/>
          <w:sz w:val="24"/>
          <w:szCs w:val="24"/>
          <w:lang w:val="en-GB"/>
        </w:rPr>
      </w:pPr>
    </w:p>
    <w:p w14:paraId="6F122A0B" w14:textId="77777777" w:rsidR="00331605" w:rsidRDefault="00240697">
      <w:pPr>
        <w:keepNext/>
        <w:spacing w:after="200"/>
        <w:jc w:val="left"/>
        <w:rPr>
          <w:rFonts w:eastAsia="Calibri"/>
          <w:b/>
          <w:bCs/>
          <w:i/>
          <w:iCs/>
          <w:color w:val="000000"/>
          <w:sz w:val="22"/>
          <w:szCs w:val="22"/>
          <w:lang w:val="en-GB"/>
        </w:rPr>
      </w:pPr>
      <w:bookmarkStart w:id="5" w:name="_Hlk211526375"/>
      <w:r>
        <w:rPr>
          <w:rFonts w:eastAsia="Calibri"/>
          <w:b/>
          <w:bCs/>
          <w:i/>
          <w:iCs/>
          <w:color w:val="000000"/>
          <w:sz w:val="22"/>
          <w:szCs w:val="22"/>
          <w:lang w:val="en-GB"/>
        </w:rPr>
        <w:t>Table 1: Bioaccumulation of Trace Elements in Water Hyacinth Collected from Different Sites</w:t>
      </w:r>
    </w:p>
    <w:tbl>
      <w:tblPr>
        <w:tblW w:w="12480" w:type="dxa"/>
        <w:tblCellMar>
          <w:left w:w="70" w:type="dxa"/>
          <w:right w:w="70" w:type="dxa"/>
        </w:tblCellMar>
        <w:tblLook w:val="04A0" w:firstRow="1" w:lastRow="0" w:firstColumn="1" w:lastColumn="0" w:noHBand="0" w:noVBand="1"/>
      </w:tblPr>
      <w:tblGrid>
        <w:gridCol w:w="1282"/>
        <w:gridCol w:w="1487"/>
        <w:gridCol w:w="1342"/>
        <w:gridCol w:w="1326"/>
        <w:gridCol w:w="1178"/>
        <w:gridCol w:w="1931"/>
        <w:gridCol w:w="1931"/>
        <w:gridCol w:w="1857"/>
        <w:gridCol w:w="146"/>
      </w:tblGrid>
      <w:tr w:rsidR="00331605" w14:paraId="4C02FA22" w14:textId="77777777">
        <w:trPr>
          <w:gridAfter w:val="1"/>
          <w:wAfter w:w="36" w:type="dxa"/>
          <w:trHeight w:val="930"/>
        </w:trPr>
        <w:tc>
          <w:tcPr>
            <w:tcW w:w="1293" w:type="dxa"/>
            <w:vMerge w:val="restart"/>
            <w:tcBorders>
              <w:top w:val="single" w:sz="8" w:space="0" w:color="auto"/>
              <w:left w:val="nil"/>
              <w:bottom w:val="nil"/>
              <w:right w:val="nil"/>
            </w:tcBorders>
            <w:vAlign w:val="center"/>
            <w:hideMark/>
          </w:tcPr>
          <w:p w14:paraId="26E3C9E4" w14:textId="77777777" w:rsidR="00331605" w:rsidRDefault="00240697">
            <w:pPr>
              <w:jc w:val="center"/>
              <w:rPr>
                <w:rFonts w:eastAsia="Times New Roman"/>
                <w:b/>
                <w:bCs/>
                <w:color w:val="000000"/>
                <w:sz w:val="24"/>
                <w:szCs w:val="24"/>
                <w:lang w:val="en-GB" w:eastAsia="fr-FR"/>
              </w:rPr>
            </w:pPr>
            <w:proofErr w:type="spellStart"/>
            <w:r>
              <w:rPr>
                <w:rFonts w:eastAsia="Times New Roman"/>
                <w:b/>
                <w:bCs/>
                <w:color w:val="000000"/>
                <w:sz w:val="24"/>
                <w:szCs w:val="24"/>
                <w:lang w:val="en-GB" w:eastAsia="fr-FR"/>
              </w:rPr>
              <w:t>Analyzed</w:t>
            </w:r>
            <w:proofErr w:type="spellEnd"/>
            <w:r>
              <w:rPr>
                <w:rFonts w:eastAsia="Times New Roman"/>
                <w:b/>
                <w:bCs/>
                <w:color w:val="000000"/>
                <w:sz w:val="24"/>
                <w:szCs w:val="24"/>
                <w:lang w:val="en-GB" w:eastAsia="fr-FR"/>
              </w:rPr>
              <w:t xml:space="preserve"> Part of Water Hyacinth</w:t>
            </w:r>
          </w:p>
        </w:tc>
        <w:tc>
          <w:tcPr>
            <w:tcW w:w="1377" w:type="dxa"/>
            <w:vMerge w:val="restart"/>
            <w:tcBorders>
              <w:top w:val="single" w:sz="8" w:space="0" w:color="auto"/>
              <w:left w:val="nil"/>
              <w:bottom w:val="nil"/>
              <w:right w:val="nil"/>
            </w:tcBorders>
            <w:vAlign w:val="center"/>
            <w:hideMark/>
          </w:tcPr>
          <w:p w14:paraId="0BC4EE66"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Sampling Site</w:t>
            </w:r>
          </w:p>
        </w:tc>
        <w:tc>
          <w:tcPr>
            <w:tcW w:w="1355" w:type="dxa"/>
            <w:vMerge w:val="restart"/>
            <w:tcBorders>
              <w:top w:val="single" w:sz="8" w:space="0" w:color="auto"/>
              <w:left w:val="nil"/>
              <w:bottom w:val="nil"/>
              <w:right w:val="nil"/>
            </w:tcBorders>
            <w:vAlign w:val="center"/>
            <w:hideMark/>
          </w:tcPr>
          <w:p w14:paraId="1CFA65DF"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Sampling Date</w:t>
            </w:r>
          </w:p>
        </w:tc>
        <w:tc>
          <w:tcPr>
            <w:tcW w:w="8419" w:type="dxa"/>
            <w:gridSpan w:val="5"/>
            <w:vMerge w:val="restart"/>
            <w:tcBorders>
              <w:top w:val="single" w:sz="8" w:space="0" w:color="auto"/>
              <w:left w:val="nil"/>
              <w:bottom w:val="single" w:sz="8" w:space="0" w:color="000000"/>
              <w:right w:val="nil"/>
            </w:tcBorders>
            <w:vAlign w:val="center"/>
            <w:hideMark/>
          </w:tcPr>
          <w:p w14:paraId="4D22D2EF" w14:textId="77777777" w:rsidR="00331605" w:rsidRDefault="00240697">
            <w:pPr>
              <w:jc w:val="center"/>
              <w:rPr>
                <w:rFonts w:eastAsia="Times New Roman"/>
                <w:b/>
                <w:bCs/>
                <w:color w:val="000000"/>
                <w:sz w:val="24"/>
                <w:szCs w:val="24"/>
                <w:lang w:val="fr-FR" w:eastAsia="fr-FR"/>
              </w:rPr>
            </w:pPr>
            <w:proofErr w:type="spellStart"/>
            <w:r>
              <w:rPr>
                <w:rFonts w:eastAsia="Times New Roman"/>
                <w:b/>
                <w:bCs/>
                <w:color w:val="000000"/>
                <w:sz w:val="24"/>
                <w:szCs w:val="24"/>
                <w:lang w:val="fr-FR" w:eastAsia="fr-FR"/>
              </w:rPr>
              <w:t>Analyzed</w:t>
            </w:r>
            <w:proofErr w:type="spellEnd"/>
            <w:r>
              <w:rPr>
                <w:rFonts w:eastAsia="Times New Roman"/>
                <w:b/>
                <w:bCs/>
                <w:color w:val="000000"/>
                <w:sz w:val="24"/>
                <w:szCs w:val="24"/>
                <w:lang w:val="fr-FR" w:eastAsia="fr-FR"/>
              </w:rPr>
              <w:t xml:space="preserve"> Trace </w:t>
            </w:r>
            <w:proofErr w:type="spellStart"/>
            <w:r>
              <w:rPr>
                <w:rFonts w:eastAsia="Times New Roman"/>
                <w:b/>
                <w:bCs/>
                <w:color w:val="000000"/>
                <w:sz w:val="24"/>
                <w:szCs w:val="24"/>
                <w:lang w:val="fr-FR" w:eastAsia="fr-FR"/>
              </w:rPr>
              <w:t>Elements</w:t>
            </w:r>
            <w:proofErr w:type="spellEnd"/>
            <w:r>
              <w:rPr>
                <w:rFonts w:eastAsia="Times New Roman"/>
                <w:b/>
                <w:bCs/>
                <w:color w:val="000000"/>
                <w:sz w:val="24"/>
                <w:szCs w:val="24"/>
                <w:lang w:val="fr-FR" w:eastAsia="fr-FR"/>
              </w:rPr>
              <w:t xml:space="preserve"> (</w:t>
            </w:r>
            <w:proofErr w:type="spellStart"/>
            <w:r>
              <w:rPr>
                <w:rFonts w:eastAsia="Times New Roman"/>
                <w:b/>
                <w:bCs/>
                <w:color w:val="000000"/>
                <w:sz w:val="24"/>
                <w:szCs w:val="24"/>
                <w:lang w:val="fr-FR" w:eastAsia="fr-FR"/>
              </w:rPr>
              <w:t>TEs</w:t>
            </w:r>
            <w:proofErr w:type="spellEnd"/>
            <w:r>
              <w:rPr>
                <w:rFonts w:eastAsia="Times New Roman"/>
                <w:b/>
                <w:bCs/>
                <w:color w:val="000000"/>
                <w:sz w:val="24"/>
                <w:szCs w:val="24"/>
                <w:lang w:val="fr-FR" w:eastAsia="fr-FR"/>
              </w:rPr>
              <w:t>)</w:t>
            </w:r>
          </w:p>
        </w:tc>
      </w:tr>
      <w:tr w:rsidR="00331605" w14:paraId="2F96506C" w14:textId="77777777">
        <w:trPr>
          <w:trHeight w:val="330"/>
        </w:trPr>
        <w:tc>
          <w:tcPr>
            <w:tcW w:w="1293" w:type="dxa"/>
            <w:vMerge/>
            <w:tcBorders>
              <w:top w:val="single" w:sz="8" w:space="0" w:color="auto"/>
              <w:left w:val="nil"/>
              <w:bottom w:val="nil"/>
              <w:right w:val="nil"/>
            </w:tcBorders>
            <w:vAlign w:val="center"/>
            <w:hideMark/>
          </w:tcPr>
          <w:p w14:paraId="2942C5FE" w14:textId="77777777" w:rsidR="00331605" w:rsidRDefault="00331605">
            <w:pPr>
              <w:jc w:val="center"/>
              <w:rPr>
                <w:rFonts w:eastAsia="Times New Roman"/>
                <w:b/>
                <w:bCs/>
                <w:color w:val="000000"/>
                <w:sz w:val="24"/>
                <w:szCs w:val="24"/>
                <w:lang w:val="fr-FR" w:eastAsia="fr-FR"/>
              </w:rPr>
            </w:pPr>
          </w:p>
        </w:tc>
        <w:tc>
          <w:tcPr>
            <w:tcW w:w="1377" w:type="dxa"/>
            <w:vMerge/>
            <w:tcBorders>
              <w:top w:val="single" w:sz="8" w:space="0" w:color="auto"/>
              <w:left w:val="nil"/>
              <w:bottom w:val="nil"/>
              <w:right w:val="nil"/>
            </w:tcBorders>
            <w:vAlign w:val="center"/>
            <w:hideMark/>
          </w:tcPr>
          <w:p w14:paraId="01B25A5F" w14:textId="77777777" w:rsidR="00331605" w:rsidRDefault="00331605">
            <w:pPr>
              <w:jc w:val="center"/>
              <w:rPr>
                <w:rFonts w:eastAsia="Times New Roman"/>
                <w:b/>
                <w:bCs/>
                <w:color w:val="000000"/>
                <w:sz w:val="24"/>
                <w:szCs w:val="24"/>
                <w:lang w:val="fr-FR" w:eastAsia="fr-FR"/>
              </w:rPr>
            </w:pPr>
          </w:p>
        </w:tc>
        <w:tc>
          <w:tcPr>
            <w:tcW w:w="1355" w:type="dxa"/>
            <w:vMerge/>
            <w:tcBorders>
              <w:top w:val="single" w:sz="8" w:space="0" w:color="auto"/>
              <w:left w:val="nil"/>
              <w:bottom w:val="nil"/>
              <w:right w:val="nil"/>
            </w:tcBorders>
            <w:vAlign w:val="center"/>
            <w:hideMark/>
          </w:tcPr>
          <w:p w14:paraId="3241B1B9" w14:textId="77777777" w:rsidR="00331605" w:rsidRDefault="00331605">
            <w:pPr>
              <w:jc w:val="center"/>
              <w:rPr>
                <w:rFonts w:eastAsia="Times New Roman"/>
                <w:b/>
                <w:bCs/>
                <w:color w:val="000000"/>
                <w:sz w:val="24"/>
                <w:szCs w:val="24"/>
                <w:lang w:val="fr-FR" w:eastAsia="fr-FR"/>
              </w:rPr>
            </w:pPr>
          </w:p>
        </w:tc>
        <w:tc>
          <w:tcPr>
            <w:tcW w:w="8419" w:type="dxa"/>
            <w:gridSpan w:val="5"/>
            <w:vMerge/>
            <w:tcBorders>
              <w:top w:val="single" w:sz="8" w:space="0" w:color="auto"/>
              <w:left w:val="nil"/>
              <w:bottom w:val="single" w:sz="8" w:space="0" w:color="000000"/>
              <w:right w:val="nil"/>
            </w:tcBorders>
            <w:vAlign w:val="center"/>
            <w:hideMark/>
          </w:tcPr>
          <w:p w14:paraId="1D4BDD6E" w14:textId="77777777" w:rsidR="00331605" w:rsidRDefault="00331605">
            <w:pPr>
              <w:jc w:val="center"/>
              <w:rPr>
                <w:rFonts w:eastAsia="Times New Roman"/>
                <w:b/>
                <w:bCs/>
                <w:color w:val="000000"/>
                <w:sz w:val="24"/>
                <w:szCs w:val="24"/>
                <w:lang w:val="fr-FR" w:eastAsia="fr-FR"/>
              </w:rPr>
            </w:pPr>
          </w:p>
        </w:tc>
        <w:tc>
          <w:tcPr>
            <w:tcW w:w="36" w:type="dxa"/>
            <w:tcBorders>
              <w:top w:val="nil"/>
              <w:left w:val="nil"/>
              <w:bottom w:val="nil"/>
              <w:right w:val="nil"/>
            </w:tcBorders>
            <w:noWrap/>
            <w:vAlign w:val="center"/>
            <w:hideMark/>
          </w:tcPr>
          <w:p w14:paraId="027A7991" w14:textId="77777777" w:rsidR="00331605" w:rsidRDefault="00331605">
            <w:pPr>
              <w:jc w:val="center"/>
              <w:rPr>
                <w:rFonts w:eastAsia="Times New Roman"/>
                <w:b/>
                <w:bCs/>
                <w:color w:val="000000"/>
                <w:sz w:val="24"/>
                <w:szCs w:val="24"/>
                <w:lang w:val="fr-FR" w:eastAsia="fr-FR"/>
              </w:rPr>
            </w:pPr>
          </w:p>
        </w:tc>
      </w:tr>
      <w:tr w:rsidR="00331605" w14:paraId="50DABA3C" w14:textId="77777777">
        <w:trPr>
          <w:trHeight w:val="315"/>
        </w:trPr>
        <w:tc>
          <w:tcPr>
            <w:tcW w:w="1293" w:type="dxa"/>
            <w:vMerge w:val="restart"/>
            <w:tcBorders>
              <w:top w:val="nil"/>
              <w:left w:val="nil"/>
              <w:bottom w:val="single" w:sz="8" w:space="0" w:color="000000"/>
              <w:right w:val="nil"/>
            </w:tcBorders>
            <w:vAlign w:val="center"/>
            <w:hideMark/>
          </w:tcPr>
          <w:p w14:paraId="3498012D" w14:textId="77777777" w:rsidR="00331605" w:rsidRDefault="00331605">
            <w:pPr>
              <w:jc w:val="center"/>
              <w:rPr>
                <w:rFonts w:eastAsia="Times New Roman"/>
                <w:lang w:val="fr-FR" w:eastAsia="fr-FR"/>
              </w:rPr>
            </w:pPr>
          </w:p>
        </w:tc>
        <w:tc>
          <w:tcPr>
            <w:tcW w:w="1377" w:type="dxa"/>
            <w:vMerge w:val="restart"/>
            <w:tcBorders>
              <w:top w:val="nil"/>
              <w:left w:val="nil"/>
              <w:bottom w:val="single" w:sz="8" w:space="0" w:color="000000"/>
              <w:right w:val="nil"/>
            </w:tcBorders>
            <w:vAlign w:val="center"/>
            <w:hideMark/>
          </w:tcPr>
          <w:p w14:paraId="4671DFD5" w14:textId="77777777" w:rsidR="00331605" w:rsidRDefault="00331605">
            <w:pPr>
              <w:jc w:val="center"/>
              <w:rPr>
                <w:rFonts w:eastAsia="Times New Roman"/>
                <w:lang w:val="fr-FR" w:eastAsia="fr-FR"/>
              </w:rPr>
            </w:pPr>
          </w:p>
        </w:tc>
        <w:tc>
          <w:tcPr>
            <w:tcW w:w="1355" w:type="dxa"/>
            <w:vMerge w:val="restart"/>
            <w:tcBorders>
              <w:top w:val="nil"/>
              <w:left w:val="nil"/>
              <w:bottom w:val="single" w:sz="8" w:space="0" w:color="000000"/>
              <w:right w:val="nil"/>
            </w:tcBorders>
            <w:vAlign w:val="center"/>
            <w:hideMark/>
          </w:tcPr>
          <w:p w14:paraId="19A4C8F8" w14:textId="77777777" w:rsidR="00331605" w:rsidRDefault="00331605">
            <w:pPr>
              <w:jc w:val="center"/>
              <w:rPr>
                <w:rFonts w:eastAsia="Times New Roman"/>
                <w:lang w:val="fr-FR" w:eastAsia="fr-FR"/>
              </w:rPr>
            </w:pPr>
          </w:p>
        </w:tc>
        <w:tc>
          <w:tcPr>
            <w:tcW w:w="1346" w:type="dxa"/>
            <w:tcBorders>
              <w:top w:val="nil"/>
              <w:left w:val="nil"/>
              <w:bottom w:val="nil"/>
              <w:right w:val="nil"/>
            </w:tcBorders>
            <w:vAlign w:val="center"/>
            <w:hideMark/>
          </w:tcPr>
          <w:p w14:paraId="61BE9CB8"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Cd</w:t>
            </w:r>
          </w:p>
        </w:tc>
        <w:tc>
          <w:tcPr>
            <w:tcW w:w="1189" w:type="dxa"/>
            <w:tcBorders>
              <w:top w:val="nil"/>
              <w:left w:val="nil"/>
              <w:bottom w:val="nil"/>
              <w:right w:val="nil"/>
            </w:tcBorders>
            <w:vAlign w:val="center"/>
            <w:hideMark/>
          </w:tcPr>
          <w:p w14:paraId="688F3BBF"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Pb</w:t>
            </w:r>
          </w:p>
        </w:tc>
        <w:tc>
          <w:tcPr>
            <w:tcW w:w="1986" w:type="dxa"/>
            <w:tcBorders>
              <w:top w:val="nil"/>
              <w:left w:val="nil"/>
              <w:bottom w:val="nil"/>
              <w:right w:val="nil"/>
            </w:tcBorders>
            <w:vAlign w:val="center"/>
            <w:hideMark/>
          </w:tcPr>
          <w:p w14:paraId="59F406B8"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Cu</w:t>
            </w:r>
          </w:p>
        </w:tc>
        <w:tc>
          <w:tcPr>
            <w:tcW w:w="1986" w:type="dxa"/>
            <w:tcBorders>
              <w:top w:val="nil"/>
              <w:left w:val="nil"/>
              <w:bottom w:val="nil"/>
              <w:right w:val="nil"/>
            </w:tcBorders>
            <w:vAlign w:val="center"/>
            <w:hideMark/>
          </w:tcPr>
          <w:p w14:paraId="01B2B61C"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Ni</w:t>
            </w:r>
          </w:p>
        </w:tc>
        <w:tc>
          <w:tcPr>
            <w:tcW w:w="1912" w:type="dxa"/>
            <w:tcBorders>
              <w:top w:val="nil"/>
              <w:left w:val="nil"/>
              <w:bottom w:val="nil"/>
              <w:right w:val="nil"/>
            </w:tcBorders>
            <w:vAlign w:val="center"/>
            <w:hideMark/>
          </w:tcPr>
          <w:p w14:paraId="40010DEA"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Hg</w:t>
            </w:r>
          </w:p>
        </w:tc>
        <w:tc>
          <w:tcPr>
            <w:tcW w:w="36" w:type="dxa"/>
            <w:vAlign w:val="center"/>
            <w:hideMark/>
          </w:tcPr>
          <w:p w14:paraId="037F9744" w14:textId="77777777" w:rsidR="00331605" w:rsidRDefault="00331605">
            <w:pPr>
              <w:jc w:val="center"/>
              <w:rPr>
                <w:rFonts w:eastAsia="Times New Roman"/>
                <w:lang w:val="fr-FR" w:eastAsia="fr-FR"/>
              </w:rPr>
            </w:pPr>
          </w:p>
        </w:tc>
      </w:tr>
      <w:tr w:rsidR="00331605" w14:paraId="3A0BD960" w14:textId="77777777">
        <w:trPr>
          <w:trHeight w:val="330"/>
        </w:trPr>
        <w:tc>
          <w:tcPr>
            <w:tcW w:w="1293" w:type="dxa"/>
            <w:vMerge/>
            <w:tcBorders>
              <w:top w:val="nil"/>
              <w:left w:val="nil"/>
              <w:bottom w:val="single" w:sz="8" w:space="0" w:color="000000"/>
              <w:right w:val="nil"/>
            </w:tcBorders>
            <w:vAlign w:val="center"/>
            <w:hideMark/>
          </w:tcPr>
          <w:p w14:paraId="722761EA" w14:textId="77777777" w:rsidR="00331605" w:rsidRDefault="00331605">
            <w:pPr>
              <w:jc w:val="center"/>
              <w:rPr>
                <w:rFonts w:eastAsia="Times New Roman"/>
                <w:lang w:val="fr-FR" w:eastAsia="fr-FR"/>
              </w:rPr>
            </w:pPr>
          </w:p>
        </w:tc>
        <w:tc>
          <w:tcPr>
            <w:tcW w:w="1377" w:type="dxa"/>
            <w:vMerge/>
            <w:tcBorders>
              <w:top w:val="nil"/>
              <w:left w:val="nil"/>
              <w:bottom w:val="single" w:sz="8" w:space="0" w:color="000000"/>
              <w:right w:val="nil"/>
            </w:tcBorders>
            <w:vAlign w:val="center"/>
            <w:hideMark/>
          </w:tcPr>
          <w:p w14:paraId="6BE45134" w14:textId="77777777" w:rsidR="00331605" w:rsidRDefault="00331605">
            <w:pPr>
              <w:jc w:val="center"/>
              <w:rPr>
                <w:rFonts w:eastAsia="Times New Roman"/>
                <w:lang w:val="fr-FR" w:eastAsia="fr-FR"/>
              </w:rPr>
            </w:pPr>
          </w:p>
        </w:tc>
        <w:tc>
          <w:tcPr>
            <w:tcW w:w="1355" w:type="dxa"/>
            <w:vMerge/>
            <w:tcBorders>
              <w:top w:val="nil"/>
              <w:left w:val="nil"/>
              <w:bottom w:val="single" w:sz="8" w:space="0" w:color="000000"/>
              <w:right w:val="nil"/>
            </w:tcBorders>
            <w:vAlign w:val="center"/>
            <w:hideMark/>
          </w:tcPr>
          <w:p w14:paraId="310C3A31" w14:textId="77777777" w:rsidR="00331605" w:rsidRDefault="00331605">
            <w:pPr>
              <w:jc w:val="center"/>
              <w:rPr>
                <w:rFonts w:eastAsia="Times New Roman"/>
                <w:lang w:val="fr-FR" w:eastAsia="fr-FR"/>
              </w:rPr>
            </w:pPr>
          </w:p>
        </w:tc>
        <w:tc>
          <w:tcPr>
            <w:tcW w:w="1346" w:type="dxa"/>
            <w:tcBorders>
              <w:top w:val="nil"/>
              <w:left w:val="nil"/>
              <w:bottom w:val="single" w:sz="8" w:space="0" w:color="auto"/>
              <w:right w:val="nil"/>
            </w:tcBorders>
            <w:vAlign w:val="center"/>
            <w:hideMark/>
          </w:tcPr>
          <w:p w14:paraId="3D213ED8"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proofErr w:type="gramStart"/>
            <w:r>
              <w:rPr>
                <w:rFonts w:eastAsia="Times New Roman"/>
                <w:b/>
                <w:bCs/>
                <w:color w:val="000000"/>
                <w:sz w:val="24"/>
                <w:szCs w:val="24"/>
                <w:lang w:val="fr-FR" w:eastAsia="fr-FR"/>
              </w:rPr>
              <w:t>mg</w:t>
            </w:r>
            <w:proofErr w:type="gramEnd"/>
            <w:r>
              <w:rPr>
                <w:rFonts w:eastAsia="Times New Roman"/>
                <w:b/>
                <w:bCs/>
                <w:color w:val="000000"/>
                <w:sz w:val="24"/>
                <w:szCs w:val="24"/>
                <w:lang w:val="fr-FR" w:eastAsia="fr-FR"/>
              </w:rPr>
              <w:t>/Kg)</w:t>
            </w:r>
          </w:p>
        </w:tc>
        <w:tc>
          <w:tcPr>
            <w:tcW w:w="1189" w:type="dxa"/>
            <w:tcBorders>
              <w:top w:val="nil"/>
              <w:left w:val="nil"/>
              <w:bottom w:val="single" w:sz="8" w:space="0" w:color="auto"/>
              <w:right w:val="nil"/>
            </w:tcBorders>
            <w:vAlign w:val="center"/>
            <w:hideMark/>
          </w:tcPr>
          <w:p w14:paraId="3F74C487"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proofErr w:type="gramStart"/>
            <w:r>
              <w:rPr>
                <w:rFonts w:eastAsia="Times New Roman"/>
                <w:b/>
                <w:bCs/>
                <w:color w:val="000000"/>
                <w:sz w:val="24"/>
                <w:szCs w:val="24"/>
                <w:lang w:val="fr-FR" w:eastAsia="fr-FR"/>
              </w:rPr>
              <w:t>mg</w:t>
            </w:r>
            <w:proofErr w:type="gramEnd"/>
            <w:r>
              <w:rPr>
                <w:rFonts w:eastAsia="Times New Roman"/>
                <w:b/>
                <w:bCs/>
                <w:color w:val="000000"/>
                <w:sz w:val="24"/>
                <w:szCs w:val="24"/>
                <w:lang w:val="fr-FR" w:eastAsia="fr-FR"/>
              </w:rPr>
              <w:t>/Kg)</w:t>
            </w:r>
          </w:p>
        </w:tc>
        <w:tc>
          <w:tcPr>
            <w:tcW w:w="1986" w:type="dxa"/>
            <w:tcBorders>
              <w:top w:val="nil"/>
              <w:left w:val="nil"/>
              <w:bottom w:val="single" w:sz="8" w:space="0" w:color="auto"/>
              <w:right w:val="nil"/>
            </w:tcBorders>
            <w:vAlign w:val="center"/>
            <w:hideMark/>
          </w:tcPr>
          <w:p w14:paraId="7DA443A2"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proofErr w:type="gramStart"/>
            <w:r>
              <w:rPr>
                <w:rFonts w:eastAsia="Times New Roman"/>
                <w:b/>
                <w:bCs/>
                <w:color w:val="000000"/>
                <w:sz w:val="24"/>
                <w:szCs w:val="24"/>
                <w:lang w:val="fr-FR" w:eastAsia="fr-FR"/>
              </w:rPr>
              <w:t>mg</w:t>
            </w:r>
            <w:proofErr w:type="gramEnd"/>
            <w:r>
              <w:rPr>
                <w:rFonts w:eastAsia="Times New Roman"/>
                <w:b/>
                <w:bCs/>
                <w:color w:val="000000"/>
                <w:sz w:val="24"/>
                <w:szCs w:val="24"/>
                <w:lang w:val="fr-FR" w:eastAsia="fr-FR"/>
              </w:rPr>
              <w:t>/Kg)</w:t>
            </w:r>
          </w:p>
        </w:tc>
        <w:tc>
          <w:tcPr>
            <w:tcW w:w="1986" w:type="dxa"/>
            <w:tcBorders>
              <w:top w:val="nil"/>
              <w:left w:val="nil"/>
              <w:bottom w:val="single" w:sz="8" w:space="0" w:color="auto"/>
              <w:right w:val="nil"/>
            </w:tcBorders>
            <w:vAlign w:val="center"/>
            <w:hideMark/>
          </w:tcPr>
          <w:p w14:paraId="21C3A0D4"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proofErr w:type="gramStart"/>
            <w:r>
              <w:rPr>
                <w:rFonts w:eastAsia="Times New Roman"/>
                <w:b/>
                <w:bCs/>
                <w:color w:val="000000"/>
                <w:sz w:val="24"/>
                <w:szCs w:val="24"/>
                <w:lang w:val="fr-FR" w:eastAsia="fr-FR"/>
              </w:rPr>
              <w:t>mg</w:t>
            </w:r>
            <w:proofErr w:type="gramEnd"/>
            <w:r>
              <w:rPr>
                <w:rFonts w:eastAsia="Times New Roman"/>
                <w:b/>
                <w:bCs/>
                <w:color w:val="000000"/>
                <w:sz w:val="24"/>
                <w:szCs w:val="24"/>
                <w:lang w:val="fr-FR" w:eastAsia="fr-FR"/>
              </w:rPr>
              <w:t>/Kg)</w:t>
            </w:r>
          </w:p>
        </w:tc>
        <w:tc>
          <w:tcPr>
            <w:tcW w:w="1912" w:type="dxa"/>
            <w:tcBorders>
              <w:top w:val="nil"/>
              <w:left w:val="nil"/>
              <w:bottom w:val="single" w:sz="8" w:space="0" w:color="auto"/>
              <w:right w:val="nil"/>
            </w:tcBorders>
            <w:vAlign w:val="center"/>
            <w:hideMark/>
          </w:tcPr>
          <w:p w14:paraId="68FDABF8" w14:textId="77777777" w:rsidR="00331605" w:rsidRDefault="00240697">
            <w:pPr>
              <w:jc w:val="center"/>
              <w:rPr>
                <w:rFonts w:eastAsia="Times New Roman"/>
                <w:b/>
                <w:bCs/>
                <w:color w:val="000000"/>
                <w:sz w:val="24"/>
                <w:szCs w:val="24"/>
                <w:lang w:val="fr-FR" w:eastAsia="fr-FR"/>
              </w:rPr>
            </w:pPr>
            <w:r>
              <w:rPr>
                <w:rFonts w:eastAsia="Times New Roman"/>
                <w:b/>
                <w:bCs/>
                <w:color w:val="000000"/>
                <w:sz w:val="24"/>
                <w:szCs w:val="24"/>
                <w:lang w:val="fr-FR" w:eastAsia="fr-FR"/>
              </w:rPr>
              <w:t>(</w:t>
            </w:r>
            <w:proofErr w:type="gramStart"/>
            <w:r>
              <w:rPr>
                <w:rFonts w:eastAsia="Times New Roman"/>
                <w:b/>
                <w:bCs/>
                <w:color w:val="000000"/>
                <w:sz w:val="24"/>
                <w:szCs w:val="24"/>
                <w:lang w:val="fr-FR" w:eastAsia="fr-FR"/>
              </w:rPr>
              <w:t>µ</w:t>
            </w:r>
            <w:proofErr w:type="gramEnd"/>
            <w:r>
              <w:rPr>
                <w:rFonts w:eastAsia="Times New Roman"/>
                <w:b/>
                <w:bCs/>
                <w:color w:val="000000"/>
                <w:sz w:val="24"/>
                <w:szCs w:val="24"/>
                <w:lang w:val="fr-FR" w:eastAsia="fr-FR"/>
              </w:rPr>
              <w:t>g/Kg)</w:t>
            </w:r>
          </w:p>
        </w:tc>
        <w:tc>
          <w:tcPr>
            <w:tcW w:w="36" w:type="dxa"/>
            <w:vAlign w:val="center"/>
            <w:hideMark/>
          </w:tcPr>
          <w:p w14:paraId="66BB49D2" w14:textId="77777777" w:rsidR="00331605" w:rsidRDefault="00331605">
            <w:pPr>
              <w:jc w:val="center"/>
              <w:rPr>
                <w:rFonts w:eastAsia="Times New Roman"/>
                <w:lang w:val="fr-FR" w:eastAsia="fr-FR"/>
              </w:rPr>
            </w:pPr>
          </w:p>
        </w:tc>
      </w:tr>
      <w:tr w:rsidR="00331605" w14:paraId="1D71E52F" w14:textId="77777777">
        <w:trPr>
          <w:trHeight w:val="315"/>
        </w:trPr>
        <w:tc>
          <w:tcPr>
            <w:tcW w:w="1293" w:type="dxa"/>
            <w:tcBorders>
              <w:top w:val="nil"/>
              <w:left w:val="nil"/>
              <w:bottom w:val="nil"/>
              <w:right w:val="nil"/>
            </w:tcBorders>
            <w:vAlign w:val="center"/>
            <w:hideMark/>
          </w:tcPr>
          <w:p w14:paraId="739F1AC7"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377" w:type="dxa"/>
            <w:vMerge w:val="restart"/>
            <w:tcBorders>
              <w:top w:val="nil"/>
              <w:left w:val="nil"/>
              <w:bottom w:val="nil"/>
              <w:right w:val="nil"/>
            </w:tcBorders>
            <w:vAlign w:val="center"/>
            <w:hideMark/>
          </w:tcPr>
          <w:p w14:paraId="39D33B81" w14:textId="77777777" w:rsidR="00331605" w:rsidRDefault="00240697">
            <w:pPr>
              <w:jc w:val="center"/>
              <w:rPr>
                <w:rFonts w:eastAsia="Times New Roman"/>
                <w:b/>
                <w:bCs/>
                <w:i/>
                <w:iCs/>
                <w:color w:val="000000"/>
                <w:sz w:val="24"/>
                <w:szCs w:val="24"/>
                <w:lang w:val="fr-FR" w:eastAsia="fr-FR"/>
              </w:rPr>
            </w:pPr>
            <w:proofErr w:type="spellStart"/>
            <w:r>
              <w:rPr>
                <w:rFonts w:eastAsia="Times New Roman"/>
                <w:b/>
                <w:bCs/>
                <w:i/>
                <w:iCs/>
                <w:color w:val="000000"/>
                <w:sz w:val="24"/>
                <w:szCs w:val="24"/>
                <w:lang w:val="fr-FR" w:eastAsia="fr-FR"/>
              </w:rPr>
              <w:t>Nyékonakpoe</w:t>
            </w:r>
            <w:proofErr w:type="spellEnd"/>
          </w:p>
        </w:tc>
        <w:tc>
          <w:tcPr>
            <w:tcW w:w="1355" w:type="dxa"/>
            <w:vMerge w:val="restart"/>
            <w:tcBorders>
              <w:top w:val="nil"/>
              <w:left w:val="nil"/>
              <w:bottom w:val="single" w:sz="4" w:space="0" w:color="000000"/>
              <w:right w:val="nil"/>
            </w:tcBorders>
            <w:vAlign w:val="center"/>
            <w:hideMark/>
          </w:tcPr>
          <w:p w14:paraId="779E9D66"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2023-07-13</w:t>
            </w:r>
          </w:p>
        </w:tc>
        <w:tc>
          <w:tcPr>
            <w:tcW w:w="1346" w:type="dxa"/>
            <w:tcBorders>
              <w:top w:val="nil"/>
              <w:left w:val="nil"/>
              <w:bottom w:val="nil"/>
              <w:right w:val="nil"/>
            </w:tcBorders>
            <w:vAlign w:val="center"/>
            <w:hideMark/>
          </w:tcPr>
          <w:p w14:paraId="1B095495"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0,18</w:t>
            </w:r>
          </w:p>
        </w:tc>
        <w:tc>
          <w:tcPr>
            <w:tcW w:w="1189" w:type="dxa"/>
            <w:tcBorders>
              <w:top w:val="nil"/>
              <w:left w:val="nil"/>
              <w:bottom w:val="nil"/>
              <w:right w:val="nil"/>
            </w:tcBorders>
            <w:vAlign w:val="center"/>
            <w:hideMark/>
          </w:tcPr>
          <w:p w14:paraId="4FFE9BCA"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1,08</w:t>
            </w:r>
          </w:p>
        </w:tc>
        <w:tc>
          <w:tcPr>
            <w:tcW w:w="1986" w:type="dxa"/>
            <w:tcBorders>
              <w:top w:val="nil"/>
              <w:left w:val="nil"/>
              <w:bottom w:val="nil"/>
              <w:right w:val="nil"/>
            </w:tcBorders>
            <w:vAlign w:val="center"/>
            <w:hideMark/>
          </w:tcPr>
          <w:p w14:paraId="75AB6F0B"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1,36</w:t>
            </w:r>
          </w:p>
        </w:tc>
        <w:tc>
          <w:tcPr>
            <w:tcW w:w="1986" w:type="dxa"/>
            <w:tcBorders>
              <w:top w:val="nil"/>
              <w:left w:val="nil"/>
              <w:bottom w:val="nil"/>
              <w:right w:val="nil"/>
            </w:tcBorders>
            <w:vAlign w:val="center"/>
            <w:hideMark/>
          </w:tcPr>
          <w:p w14:paraId="4CCFF0F5"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1,03</w:t>
            </w:r>
          </w:p>
        </w:tc>
        <w:tc>
          <w:tcPr>
            <w:tcW w:w="1912" w:type="dxa"/>
            <w:tcBorders>
              <w:top w:val="nil"/>
              <w:left w:val="nil"/>
              <w:bottom w:val="nil"/>
              <w:right w:val="nil"/>
            </w:tcBorders>
            <w:vAlign w:val="center"/>
            <w:hideMark/>
          </w:tcPr>
          <w:p w14:paraId="605BB980"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372,99</w:t>
            </w:r>
          </w:p>
        </w:tc>
        <w:tc>
          <w:tcPr>
            <w:tcW w:w="36" w:type="dxa"/>
            <w:vAlign w:val="center"/>
            <w:hideMark/>
          </w:tcPr>
          <w:p w14:paraId="39E83CD1" w14:textId="77777777" w:rsidR="00331605" w:rsidRDefault="00331605">
            <w:pPr>
              <w:jc w:val="center"/>
              <w:rPr>
                <w:rFonts w:eastAsia="Times New Roman"/>
                <w:lang w:val="fr-FR" w:eastAsia="fr-FR"/>
              </w:rPr>
            </w:pPr>
          </w:p>
        </w:tc>
      </w:tr>
      <w:tr w:rsidR="00331605" w14:paraId="5D359C93" w14:textId="77777777">
        <w:trPr>
          <w:trHeight w:val="315"/>
        </w:trPr>
        <w:tc>
          <w:tcPr>
            <w:tcW w:w="1293" w:type="dxa"/>
            <w:tcBorders>
              <w:top w:val="nil"/>
              <w:left w:val="nil"/>
              <w:bottom w:val="nil"/>
              <w:right w:val="nil"/>
            </w:tcBorders>
            <w:vAlign w:val="center"/>
            <w:hideMark/>
          </w:tcPr>
          <w:p w14:paraId="35720BF3" w14:textId="77777777" w:rsidR="00331605" w:rsidRDefault="00240697">
            <w:pPr>
              <w:jc w:val="center"/>
              <w:rPr>
                <w:rFonts w:eastAsia="Times New Roman"/>
                <w:color w:val="000000"/>
                <w:sz w:val="24"/>
                <w:szCs w:val="24"/>
                <w:lang w:val="fr-FR" w:eastAsia="fr-FR"/>
              </w:rPr>
            </w:pPr>
            <w:proofErr w:type="spellStart"/>
            <w:proofErr w:type="gramStart"/>
            <w:r>
              <w:rPr>
                <w:rFonts w:eastAsia="Times New Roman"/>
                <w:color w:val="000000"/>
                <w:sz w:val="24"/>
                <w:szCs w:val="24"/>
                <w:lang w:val="fr-FR" w:eastAsia="fr-FR"/>
              </w:rPr>
              <w:t>P.Im</w:t>
            </w:r>
            <w:proofErr w:type="spellEnd"/>
            <w:proofErr w:type="gramEnd"/>
          </w:p>
        </w:tc>
        <w:tc>
          <w:tcPr>
            <w:tcW w:w="1377" w:type="dxa"/>
            <w:vMerge/>
            <w:tcBorders>
              <w:top w:val="nil"/>
              <w:left w:val="nil"/>
              <w:bottom w:val="nil"/>
              <w:right w:val="nil"/>
            </w:tcBorders>
            <w:vAlign w:val="center"/>
            <w:hideMark/>
          </w:tcPr>
          <w:p w14:paraId="734134E1" w14:textId="77777777" w:rsidR="00331605" w:rsidRDefault="00331605">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27968025"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53BECE34"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0,35</w:t>
            </w:r>
          </w:p>
        </w:tc>
        <w:tc>
          <w:tcPr>
            <w:tcW w:w="1189" w:type="dxa"/>
            <w:tcBorders>
              <w:top w:val="nil"/>
              <w:left w:val="nil"/>
              <w:bottom w:val="nil"/>
              <w:right w:val="nil"/>
            </w:tcBorders>
            <w:vAlign w:val="center"/>
            <w:hideMark/>
          </w:tcPr>
          <w:p w14:paraId="59F974A9"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7,57</w:t>
            </w:r>
          </w:p>
        </w:tc>
        <w:tc>
          <w:tcPr>
            <w:tcW w:w="1986" w:type="dxa"/>
            <w:tcBorders>
              <w:top w:val="nil"/>
              <w:left w:val="nil"/>
              <w:bottom w:val="nil"/>
              <w:right w:val="nil"/>
            </w:tcBorders>
            <w:vAlign w:val="center"/>
            <w:hideMark/>
          </w:tcPr>
          <w:p w14:paraId="51FD5414"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5,42</w:t>
            </w:r>
          </w:p>
        </w:tc>
        <w:tc>
          <w:tcPr>
            <w:tcW w:w="1986" w:type="dxa"/>
            <w:tcBorders>
              <w:top w:val="nil"/>
              <w:left w:val="nil"/>
              <w:bottom w:val="nil"/>
              <w:right w:val="nil"/>
            </w:tcBorders>
            <w:vAlign w:val="center"/>
            <w:hideMark/>
          </w:tcPr>
          <w:p w14:paraId="7E8F778D"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2,24</w:t>
            </w:r>
          </w:p>
        </w:tc>
        <w:tc>
          <w:tcPr>
            <w:tcW w:w="1912" w:type="dxa"/>
            <w:tcBorders>
              <w:top w:val="nil"/>
              <w:left w:val="nil"/>
              <w:bottom w:val="nil"/>
              <w:right w:val="nil"/>
            </w:tcBorders>
            <w:vAlign w:val="center"/>
            <w:hideMark/>
          </w:tcPr>
          <w:p w14:paraId="60EA58D4"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0,39</w:t>
            </w:r>
          </w:p>
        </w:tc>
        <w:tc>
          <w:tcPr>
            <w:tcW w:w="36" w:type="dxa"/>
            <w:vAlign w:val="center"/>
            <w:hideMark/>
          </w:tcPr>
          <w:p w14:paraId="195E998E" w14:textId="77777777" w:rsidR="00331605" w:rsidRDefault="00331605">
            <w:pPr>
              <w:jc w:val="center"/>
              <w:rPr>
                <w:rFonts w:eastAsia="Times New Roman"/>
                <w:lang w:val="fr-FR" w:eastAsia="fr-FR"/>
              </w:rPr>
            </w:pPr>
          </w:p>
        </w:tc>
      </w:tr>
      <w:tr w:rsidR="00331605" w14:paraId="7B59A16C" w14:textId="77777777">
        <w:trPr>
          <w:trHeight w:val="315"/>
        </w:trPr>
        <w:tc>
          <w:tcPr>
            <w:tcW w:w="1293" w:type="dxa"/>
            <w:tcBorders>
              <w:top w:val="nil"/>
              <w:left w:val="nil"/>
              <w:bottom w:val="nil"/>
              <w:right w:val="nil"/>
            </w:tcBorders>
            <w:shd w:val="clear" w:color="000000" w:fill="F4B084"/>
            <w:vAlign w:val="center"/>
            <w:hideMark/>
          </w:tcPr>
          <w:p w14:paraId="6CC491E2" w14:textId="77777777" w:rsidR="00331605" w:rsidRDefault="00240697">
            <w:pPr>
              <w:jc w:val="center"/>
              <w:rPr>
                <w:rFonts w:eastAsia="Times New Roman"/>
                <w:color w:val="000000"/>
                <w:sz w:val="24"/>
                <w:szCs w:val="24"/>
                <w:lang w:val="fr-FR" w:eastAsia="fr-FR"/>
              </w:rPr>
            </w:pPr>
            <w:proofErr w:type="spellStart"/>
            <w:r>
              <w:rPr>
                <w:rFonts w:eastAsia="Times New Roman"/>
                <w:color w:val="000000"/>
                <w:sz w:val="24"/>
                <w:szCs w:val="24"/>
                <w:lang w:val="fr-FR" w:eastAsia="fr-FR"/>
              </w:rPr>
              <w:t>Mean</w:t>
            </w:r>
            <w:proofErr w:type="spellEnd"/>
          </w:p>
        </w:tc>
        <w:tc>
          <w:tcPr>
            <w:tcW w:w="1377" w:type="dxa"/>
            <w:vMerge/>
            <w:tcBorders>
              <w:top w:val="nil"/>
              <w:left w:val="nil"/>
              <w:bottom w:val="nil"/>
              <w:right w:val="nil"/>
            </w:tcBorders>
            <w:vAlign w:val="center"/>
            <w:hideMark/>
          </w:tcPr>
          <w:p w14:paraId="4C1D8D2D" w14:textId="77777777" w:rsidR="00331605" w:rsidRDefault="00331605">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24BDDDC7"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shd w:val="clear" w:color="000000" w:fill="F4B084"/>
            <w:vAlign w:val="center"/>
            <w:hideMark/>
          </w:tcPr>
          <w:p w14:paraId="22F1DA62"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0,25</w:t>
            </w:r>
          </w:p>
        </w:tc>
        <w:tc>
          <w:tcPr>
            <w:tcW w:w="1189" w:type="dxa"/>
            <w:tcBorders>
              <w:top w:val="nil"/>
              <w:left w:val="nil"/>
              <w:bottom w:val="nil"/>
              <w:right w:val="nil"/>
            </w:tcBorders>
            <w:shd w:val="clear" w:color="000000" w:fill="F4B084"/>
            <w:vAlign w:val="center"/>
            <w:hideMark/>
          </w:tcPr>
          <w:p w14:paraId="3353B932"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3,61</w:t>
            </w:r>
          </w:p>
        </w:tc>
        <w:tc>
          <w:tcPr>
            <w:tcW w:w="1986" w:type="dxa"/>
            <w:tcBorders>
              <w:top w:val="nil"/>
              <w:left w:val="nil"/>
              <w:bottom w:val="nil"/>
              <w:right w:val="nil"/>
            </w:tcBorders>
            <w:shd w:val="clear" w:color="000000" w:fill="F4B084"/>
            <w:vAlign w:val="center"/>
            <w:hideMark/>
          </w:tcPr>
          <w:p w14:paraId="2DF4739B"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2,94</w:t>
            </w:r>
          </w:p>
        </w:tc>
        <w:tc>
          <w:tcPr>
            <w:tcW w:w="1986" w:type="dxa"/>
            <w:tcBorders>
              <w:top w:val="nil"/>
              <w:left w:val="nil"/>
              <w:bottom w:val="nil"/>
              <w:right w:val="nil"/>
            </w:tcBorders>
            <w:shd w:val="clear" w:color="000000" w:fill="F4B084"/>
            <w:vAlign w:val="center"/>
            <w:hideMark/>
          </w:tcPr>
          <w:p w14:paraId="1603BCE1"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1,50</w:t>
            </w:r>
          </w:p>
        </w:tc>
        <w:tc>
          <w:tcPr>
            <w:tcW w:w="1912" w:type="dxa"/>
            <w:tcBorders>
              <w:top w:val="nil"/>
              <w:left w:val="nil"/>
              <w:bottom w:val="nil"/>
              <w:right w:val="nil"/>
            </w:tcBorders>
            <w:shd w:val="clear" w:color="000000" w:fill="F4B084"/>
            <w:vAlign w:val="center"/>
            <w:hideMark/>
          </w:tcPr>
          <w:p w14:paraId="2871C6BA"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227,47</w:t>
            </w:r>
          </w:p>
        </w:tc>
        <w:tc>
          <w:tcPr>
            <w:tcW w:w="36" w:type="dxa"/>
            <w:vAlign w:val="center"/>
            <w:hideMark/>
          </w:tcPr>
          <w:p w14:paraId="2FE18FE2" w14:textId="77777777" w:rsidR="00331605" w:rsidRDefault="00331605">
            <w:pPr>
              <w:jc w:val="center"/>
              <w:rPr>
                <w:rFonts w:eastAsia="Times New Roman"/>
                <w:lang w:val="fr-FR" w:eastAsia="fr-FR"/>
              </w:rPr>
            </w:pPr>
          </w:p>
        </w:tc>
      </w:tr>
      <w:tr w:rsidR="00331605" w14:paraId="011417C1" w14:textId="77777777">
        <w:trPr>
          <w:trHeight w:val="315"/>
        </w:trPr>
        <w:tc>
          <w:tcPr>
            <w:tcW w:w="1293" w:type="dxa"/>
            <w:tcBorders>
              <w:top w:val="nil"/>
              <w:left w:val="nil"/>
              <w:bottom w:val="nil"/>
              <w:right w:val="nil"/>
            </w:tcBorders>
            <w:vAlign w:val="center"/>
            <w:hideMark/>
          </w:tcPr>
          <w:p w14:paraId="3892A1A6"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377" w:type="dxa"/>
            <w:vMerge w:val="restart"/>
            <w:tcBorders>
              <w:top w:val="nil"/>
              <w:left w:val="nil"/>
              <w:bottom w:val="nil"/>
              <w:right w:val="nil"/>
            </w:tcBorders>
            <w:vAlign w:val="center"/>
            <w:hideMark/>
          </w:tcPr>
          <w:p w14:paraId="6C50290E" w14:textId="77777777" w:rsidR="00331605" w:rsidRDefault="00240697">
            <w:pPr>
              <w:jc w:val="center"/>
              <w:rPr>
                <w:rFonts w:eastAsia="Times New Roman"/>
                <w:b/>
                <w:bCs/>
                <w:color w:val="000000"/>
                <w:sz w:val="24"/>
                <w:szCs w:val="24"/>
                <w:lang w:val="fr-FR" w:eastAsia="fr-FR"/>
              </w:rPr>
            </w:pPr>
            <w:proofErr w:type="spellStart"/>
            <w:r>
              <w:rPr>
                <w:rFonts w:eastAsia="Times New Roman"/>
                <w:b/>
                <w:bCs/>
                <w:color w:val="000000"/>
                <w:sz w:val="24"/>
                <w:szCs w:val="24"/>
                <w:lang w:val="fr-FR" w:eastAsia="fr-FR"/>
              </w:rPr>
              <w:t>Bè</w:t>
            </w:r>
            <w:proofErr w:type="spellEnd"/>
          </w:p>
        </w:tc>
        <w:tc>
          <w:tcPr>
            <w:tcW w:w="1355" w:type="dxa"/>
            <w:vMerge/>
            <w:tcBorders>
              <w:top w:val="nil"/>
              <w:left w:val="nil"/>
              <w:bottom w:val="single" w:sz="4" w:space="0" w:color="000000"/>
              <w:right w:val="nil"/>
            </w:tcBorders>
            <w:vAlign w:val="center"/>
            <w:hideMark/>
          </w:tcPr>
          <w:p w14:paraId="5A43F06D"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7B6B66A0"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0,17</w:t>
            </w:r>
          </w:p>
        </w:tc>
        <w:tc>
          <w:tcPr>
            <w:tcW w:w="1189" w:type="dxa"/>
            <w:tcBorders>
              <w:top w:val="nil"/>
              <w:left w:val="nil"/>
              <w:bottom w:val="nil"/>
              <w:right w:val="nil"/>
            </w:tcBorders>
            <w:vAlign w:val="center"/>
            <w:hideMark/>
          </w:tcPr>
          <w:p w14:paraId="624D10F1"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5,55</w:t>
            </w:r>
          </w:p>
        </w:tc>
        <w:tc>
          <w:tcPr>
            <w:tcW w:w="1986" w:type="dxa"/>
            <w:tcBorders>
              <w:top w:val="nil"/>
              <w:left w:val="nil"/>
              <w:bottom w:val="nil"/>
              <w:right w:val="nil"/>
            </w:tcBorders>
            <w:vAlign w:val="center"/>
            <w:hideMark/>
          </w:tcPr>
          <w:p w14:paraId="418FE177"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5,40</w:t>
            </w:r>
          </w:p>
        </w:tc>
        <w:tc>
          <w:tcPr>
            <w:tcW w:w="1986" w:type="dxa"/>
            <w:tcBorders>
              <w:top w:val="nil"/>
              <w:left w:val="nil"/>
              <w:bottom w:val="nil"/>
              <w:right w:val="nil"/>
            </w:tcBorders>
            <w:vAlign w:val="center"/>
            <w:hideMark/>
          </w:tcPr>
          <w:p w14:paraId="47C96BFF"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2,62</w:t>
            </w:r>
          </w:p>
        </w:tc>
        <w:tc>
          <w:tcPr>
            <w:tcW w:w="1912" w:type="dxa"/>
            <w:tcBorders>
              <w:top w:val="nil"/>
              <w:left w:val="nil"/>
              <w:bottom w:val="nil"/>
              <w:right w:val="nil"/>
            </w:tcBorders>
            <w:vAlign w:val="center"/>
            <w:hideMark/>
          </w:tcPr>
          <w:p w14:paraId="1540E058"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809,84</w:t>
            </w:r>
          </w:p>
        </w:tc>
        <w:tc>
          <w:tcPr>
            <w:tcW w:w="36" w:type="dxa"/>
            <w:vAlign w:val="center"/>
            <w:hideMark/>
          </w:tcPr>
          <w:p w14:paraId="74EB471D" w14:textId="77777777" w:rsidR="00331605" w:rsidRDefault="00331605">
            <w:pPr>
              <w:jc w:val="center"/>
              <w:rPr>
                <w:rFonts w:eastAsia="Times New Roman"/>
                <w:lang w:val="fr-FR" w:eastAsia="fr-FR"/>
              </w:rPr>
            </w:pPr>
          </w:p>
        </w:tc>
      </w:tr>
      <w:tr w:rsidR="00331605" w14:paraId="05514C2A" w14:textId="77777777">
        <w:trPr>
          <w:trHeight w:val="315"/>
        </w:trPr>
        <w:tc>
          <w:tcPr>
            <w:tcW w:w="1293" w:type="dxa"/>
            <w:tcBorders>
              <w:top w:val="nil"/>
              <w:left w:val="nil"/>
              <w:bottom w:val="nil"/>
              <w:right w:val="nil"/>
            </w:tcBorders>
            <w:vAlign w:val="center"/>
            <w:hideMark/>
          </w:tcPr>
          <w:p w14:paraId="7ADFF019" w14:textId="77777777" w:rsidR="00331605" w:rsidRDefault="00240697">
            <w:pPr>
              <w:jc w:val="center"/>
              <w:rPr>
                <w:rFonts w:eastAsia="Times New Roman"/>
                <w:color w:val="000000"/>
                <w:sz w:val="24"/>
                <w:szCs w:val="24"/>
                <w:lang w:val="fr-FR" w:eastAsia="fr-FR"/>
              </w:rPr>
            </w:pPr>
            <w:proofErr w:type="spellStart"/>
            <w:proofErr w:type="gramStart"/>
            <w:r>
              <w:rPr>
                <w:rFonts w:eastAsia="Times New Roman"/>
                <w:color w:val="000000"/>
                <w:sz w:val="24"/>
                <w:szCs w:val="24"/>
                <w:lang w:val="fr-FR" w:eastAsia="fr-FR"/>
              </w:rPr>
              <w:t>P.Im</w:t>
            </w:r>
            <w:proofErr w:type="spellEnd"/>
            <w:proofErr w:type="gramEnd"/>
          </w:p>
        </w:tc>
        <w:tc>
          <w:tcPr>
            <w:tcW w:w="1377" w:type="dxa"/>
            <w:vMerge/>
            <w:tcBorders>
              <w:top w:val="nil"/>
              <w:left w:val="nil"/>
              <w:bottom w:val="nil"/>
              <w:right w:val="nil"/>
            </w:tcBorders>
            <w:vAlign w:val="center"/>
            <w:hideMark/>
          </w:tcPr>
          <w:p w14:paraId="7C0AD6A1" w14:textId="77777777" w:rsidR="00331605" w:rsidRDefault="00331605">
            <w:pPr>
              <w:jc w:val="center"/>
              <w:rPr>
                <w:rFonts w:eastAsia="Times New Roman"/>
                <w:b/>
                <w:b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46D8EB47"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0AC6E853"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0,20</w:t>
            </w:r>
          </w:p>
        </w:tc>
        <w:tc>
          <w:tcPr>
            <w:tcW w:w="1189" w:type="dxa"/>
            <w:tcBorders>
              <w:top w:val="nil"/>
              <w:left w:val="nil"/>
              <w:bottom w:val="nil"/>
              <w:right w:val="nil"/>
            </w:tcBorders>
            <w:vAlign w:val="center"/>
            <w:hideMark/>
          </w:tcPr>
          <w:p w14:paraId="0BCB705A"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12,22</w:t>
            </w:r>
          </w:p>
        </w:tc>
        <w:tc>
          <w:tcPr>
            <w:tcW w:w="1986" w:type="dxa"/>
            <w:tcBorders>
              <w:top w:val="nil"/>
              <w:left w:val="nil"/>
              <w:bottom w:val="nil"/>
              <w:right w:val="nil"/>
            </w:tcBorders>
            <w:vAlign w:val="center"/>
            <w:hideMark/>
          </w:tcPr>
          <w:p w14:paraId="16A1E904"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13,23</w:t>
            </w:r>
          </w:p>
        </w:tc>
        <w:tc>
          <w:tcPr>
            <w:tcW w:w="1986" w:type="dxa"/>
            <w:tcBorders>
              <w:top w:val="nil"/>
              <w:left w:val="nil"/>
              <w:bottom w:val="nil"/>
              <w:right w:val="nil"/>
            </w:tcBorders>
            <w:vAlign w:val="center"/>
            <w:hideMark/>
          </w:tcPr>
          <w:p w14:paraId="5C74FA65"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3,33</w:t>
            </w:r>
          </w:p>
        </w:tc>
        <w:tc>
          <w:tcPr>
            <w:tcW w:w="1912" w:type="dxa"/>
            <w:tcBorders>
              <w:top w:val="nil"/>
              <w:left w:val="nil"/>
              <w:bottom w:val="nil"/>
              <w:right w:val="nil"/>
            </w:tcBorders>
            <w:vAlign w:val="center"/>
            <w:hideMark/>
          </w:tcPr>
          <w:p w14:paraId="0EB6DA86"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37,88</w:t>
            </w:r>
          </w:p>
        </w:tc>
        <w:tc>
          <w:tcPr>
            <w:tcW w:w="36" w:type="dxa"/>
            <w:vAlign w:val="center"/>
            <w:hideMark/>
          </w:tcPr>
          <w:p w14:paraId="17E9F464" w14:textId="77777777" w:rsidR="00331605" w:rsidRDefault="00331605">
            <w:pPr>
              <w:jc w:val="center"/>
              <w:rPr>
                <w:rFonts w:eastAsia="Times New Roman"/>
                <w:lang w:val="fr-FR" w:eastAsia="fr-FR"/>
              </w:rPr>
            </w:pPr>
          </w:p>
        </w:tc>
      </w:tr>
      <w:tr w:rsidR="00331605" w14:paraId="14F877CC" w14:textId="77777777">
        <w:trPr>
          <w:trHeight w:val="315"/>
        </w:trPr>
        <w:tc>
          <w:tcPr>
            <w:tcW w:w="1293" w:type="dxa"/>
            <w:tcBorders>
              <w:top w:val="nil"/>
              <w:left w:val="nil"/>
              <w:bottom w:val="nil"/>
              <w:right w:val="nil"/>
            </w:tcBorders>
            <w:shd w:val="clear" w:color="000000" w:fill="F4B084"/>
            <w:vAlign w:val="center"/>
            <w:hideMark/>
          </w:tcPr>
          <w:p w14:paraId="1AE3A4B4" w14:textId="77777777" w:rsidR="00331605" w:rsidRDefault="00240697">
            <w:pPr>
              <w:jc w:val="center"/>
              <w:rPr>
                <w:rFonts w:eastAsia="Times New Roman"/>
                <w:color w:val="000000"/>
                <w:sz w:val="24"/>
                <w:szCs w:val="24"/>
                <w:lang w:val="fr-FR" w:eastAsia="fr-FR"/>
              </w:rPr>
            </w:pPr>
            <w:proofErr w:type="spellStart"/>
            <w:r>
              <w:rPr>
                <w:rFonts w:eastAsia="Times New Roman"/>
                <w:color w:val="000000"/>
                <w:sz w:val="24"/>
                <w:szCs w:val="24"/>
                <w:lang w:val="fr-FR" w:eastAsia="fr-FR"/>
              </w:rPr>
              <w:t>Mean</w:t>
            </w:r>
            <w:proofErr w:type="spellEnd"/>
          </w:p>
        </w:tc>
        <w:tc>
          <w:tcPr>
            <w:tcW w:w="1377" w:type="dxa"/>
            <w:vMerge/>
            <w:tcBorders>
              <w:top w:val="nil"/>
              <w:left w:val="nil"/>
              <w:bottom w:val="nil"/>
              <w:right w:val="nil"/>
            </w:tcBorders>
            <w:vAlign w:val="center"/>
            <w:hideMark/>
          </w:tcPr>
          <w:p w14:paraId="2A323EC5" w14:textId="77777777" w:rsidR="00331605" w:rsidRDefault="00331605">
            <w:pPr>
              <w:jc w:val="center"/>
              <w:rPr>
                <w:rFonts w:eastAsia="Times New Roman"/>
                <w:b/>
                <w:b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649ED9F1"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shd w:val="clear" w:color="000000" w:fill="F4B084"/>
            <w:vAlign w:val="center"/>
            <w:hideMark/>
          </w:tcPr>
          <w:p w14:paraId="3D1BCC3E"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0,18</w:t>
            </w:r>
          </w:p>
        </w:tc>
        <w:tc>
          <w:tcPr>
            <w:tcW w:w="1189" w:type="dxa"/>
            <w:tcBorders>
              <w:top w:val="nil"/>
              <w:left w:val="nil"/>
              <w:bottom w:val="nil"/>
              <w:right w:val="nil"/>
            </w:tcBorders>
            <w:shd w:val="clear" w:color="000000" w:fill="F4B084"/>
            <w:vAlign w:val="center"/>
            <w:hideMark/>
          </w:tcPr>
          <w:p w14:paraId="6E772A42"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8,09</w:t>
            </w:r>
          </w:p>
        </w:tc>
        <w:tc>
          <w:tcPr>
            <w:tcW w:w="1986" w:type="dxa"/>
            <w:tcBorders>
              <w:top w:val="nil"/>
              <w:left w:val="nil"/>
              <w:bottom w:val="nil"/>
              <w:right w:val="nil"/>
            </w:tcBorders>
            <w:shd w:val="clear" w:color="000000" w:fill="F4B084"/>
            <w:vAlign w:val="center"/>
            <w:hideMark/>
          </w:tcPr>
          <w:p w14:paraId="6C9D079B"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8,38</w:t>
            </w:r>
          </w:p>
        </w:tc>
        <w:tc>
          <w:tcPr>
            <w:tcW w:w="1986" w:type="dxa"/>
            <w:tcBorders>
              <w:top w:val="nil"/>
              <w:left w:val="nil"/>
              <w:bottom w:val="nil"/>
              <w:right w:val="nil"/>
            </w:tcBorders>
            <w:shd w:val="clear" w:color="000000" w:fill="F4B084"/>
            <w:vAlign w:val="center"/>
            <w:hideMark/>
          </w:tcPr>
          <w:p w14:paraId="5F39B939"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2,89</w:t>
            </w:r>
          </w:p>
        </w:tc>
        <w:tc>
          <w:tcPr>
            <w:tcW w:w="1912" w:type="dxa"/>
            <w:tcBorders>
              <w:top w:val="nil"/>
              <w:left w:val="nil"/>
              <w:bottom w:val="nil"/>
              <w:right w:val="nil"/>
            </w:tcBorders>
            <w:shd w:val="clear" w:color="000000" w:fill="F4B084"/>
            <w:vAlign w:val="center"/>
            <w:hideMark/>
          </w:tcPr>
          <w:p w14:paraId="4483998C"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515,76</w:t>
            </w:r>
          </w:p>
        </w:tc>
        <w:tc>
          <w:tcPr>
            <w:tcW w:w="36" w:type="dxa"/>
            <w:vAlign w:val="center"/>
            <w:hideMark/>
          </w:tcPr>
          <w:p w14:paraId="07A66189" w14:textId="77777777" w:rsidR="00331605" w:rsidRDefault="00331605">
            <w:pPr>
              <w:jc w:val="center"/>
              <w:rPr>
                <w:rFonts w:eastAsia="Times New Roman"/>
                <w:lang w:val="fr-FR" w:eastAsia="fr-FR"/>
              </w:rPr>
            </w:pPr>
          </w:p>
        </w:tc>
      </w:tr>
      <w:tr w:rsidR="00331605" w14:paraId="53E453A3" w14:textId="77777777">
        <w:trPr>
          <w:trHeight w:val="315"/>
        </w:trPr>
        <w:tc>
          <w:tcPr>
            <w:tcW w:w="1293" w:type="dxa"/>
            <w:tcBorders>
              <w:top w:val="nil"/>
              <w:left w:val="nil"/>
              <w:bottom w:val="nil"/>
              <w:right w:val="nil"/>
            </w:tcBorders>
            <w:vAlign w:val="center"/>
            <w:hideMark/>
          </w:tcPr>
          <w:p w14:paraId="1B189B56"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P. A</w:t>
            </w:r>
          </w:p>
        </w:tc>
        <w:tc>
          <w:tcPr>
            <w:tcW w:w="1377" w:type="dxa"/>
            <w:vMerge w:val="restart"/>
            <w:tcBorders>
              <w:top w:val="nil"/>
              <w:left w:val="nil"/>
              <w:bottom w:val="single" w:sz="4" w:space="0" w:color="000000"/>
              <w:right w:val="nil"/>
            </w:tcBorders>
            <w:vAlign w:val="center"/>
            <w:hideMark/>
          </w:tcPr>
          <w:p w14:paraId="1A0BFDFF" w14:textId="77777777" w:rsidR="00331605" w:rsidRDefault="00240697">
            <w:pPr>
              <w:jc w:val="center"/>
              <w:rPr>
                <w:rFonts w:eastAsia="Times New Roman"/>
                <w:b/>
                <w:bCs/>
                <w:i/>
                <w:iCs/>
                <w:color w:val="000000"/>
                <w:sz w:val="24"/>
                <w:szCs w:val="24"/>
                <w:lang w:val="fr-FR" w:eastAsia="fr-FR"/>
              </w:rPr>
            </w:pPr>
            <w:proofErr w:type="spellStart"/>
            <w:r>
              <w:rPr>
                <w:rFonts w:eastAsia="Times New Roman"/>
                <w:b/>
                <w:bCs/>
                <w:i/>
                <w:iCs/>
                <w:color w:val="000000"/>
                <w:sz w:val="24"/>
                <w:szCs w:val="24"/>
                <w:lang w:val="fr-FR" w:eastAsia="fr-FR"/>
              </w:rPr>
              <w:t>Hanoukopé</w:t>
            </w:r>
            <w:proofErr w:type="spellEnd"/>
          </w:p>
        </w:tc>
        <w:tc>
          <w:tcPr>
            <w:tcW w:w="1355" w:type="dxa"/>
            <w:vMerge/>
            <w:tcBorders>
              <w:top w:val="nil"/>
              <w:left w:val="nil"/>
              <w:bottom w:val="single" w:sz="4" w:space="0" w:color="000000"/>
              <w:right w:val="nil"/>
            </w:tcBorders>
            <w:vAlign w:val="center"/>
            <w:hideMark/>
          </w:tcPr>
          <w:p w14:paraId="591BEB9D"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1F2AC6EB"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0,09</w:t>
            </w:r>
          </w:p>
        </w:tc>
        <w:tc>
          <w:tcPr>
            <w:tcW w:w="1189" w:type="dxa"/>
            <w:tcBorders>
              <w:top w:val="nil"/>
              <w:left w:val="nil"/>
              <w:bottom w:val="nil"/>
              <w:right w:val="nil"/>
            </w:tcBorders>
            <w:vAlign w:val="center"/>
            <w:hideMark/>
          </w:tcPr>
          <w:p w14:paraId="471DF9E4"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2,53</w:t>
            </w:r>
          </w:p>
        </w:tc>
        <w:tc>
          <w:tcPr>
            <w:tcW w:w="1986" w:type="dxa"/>
            <w:tcBorders>
              <w:top w:val="nil"/>
              <w:left w:val="nil"/>
              <w:bottom w:val="nil"/>
              <w:right w:val="nil"/>
            </w:tcBorders>
            <w:vAlign w:val="center"/>
            <w:hideMark/>
          </w:tcPr>
          <w:p w14:paraId="64087578"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3,93</w:t>
            </w:r>
          </w:p>
        </w:tc>
        <w:tc>
          <w:tcPr>
            <w:tcW w:w="1986" w:type="dxa"/>
            <w:tcBorders>
              <w:top w:val="nil"/>
              <w:left w:val="nil"/>
              <w:bottom w:val="nil"/>
              <w:right w:val="nil"/>
            </w:tcBorders>
            <w:vAlign w:val="center"/>
            <w:hideMark/>
          </w:tcPr>
          <w:p w14:paraId="338F6E09"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1,85</w:t>
            </w:r>
          </w:p>
        </w:tc>
        <w:tc>
          <w:tcPr>
            <w:tcW w:w="1912" w:type="dxa"/>
            <w:tcBorders>
              <w:top w:val="nil"/>
              <w:left w:val="nil"/>
              <w:bottom w:val="nil"/>
              <w:right w:val="nil"/>
            </w:tcBorders>
            <w:vAlign w:val="center"/>
            <w:hideMark/>
          </w:tcPr>
          <w:p w14:paraId="207D2943"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101,52</w:t>
            </w:r>
          </w:p>
        </w:tc>
        <w:tc>
          <w:tcPr>
            <w:tcW w:w="36" w:type="dxa"/>
            <w:vAlign w:val="center"/>
            <w:hideMark/>
          </w:tcPr>
          <w:p w14:paraId="7CA4A895" w14:textId="77777777" w:rsidR="00331605" w:rsidRDefault="00331605">
            <w:pPr>
              <w:jc w:val="center"/>
              <w:rPr>
                <w:rFonts w:eastAsia="Times New Roman"/>
                <w:lang w:val="fr-FR" w:eastAsia="fr-FR"/>
              </w:rPr>
            </w:pPr>
          </w:p>
        </w:tc>
      </w:tr>
      <w:tr w:rsidR="00331605" w14:paraId="1520B5D0" w14:textId="77777777">
        <w:trPr>
          <w:trHeight w:val="315"/>
        </w:trPr>
        <w:tc>
          <w:tcPr>
            <w:tcW w:w="1293" w:type="dxa"/>
            <w:tcBorders>
              <w:top w:val="nil"/>
              <w:left w:val="nil"/>
              <w:bottom w:val="nil"/>
              <w:right w:val="nil"/>
            </w:tcBorders>
            <w:vAlign w:val="center"/>
            <w:hideMark/>
          </w:tcPr>
          <w:p w14:paraId="796989A0" w14:textId="77777777" w:rsidR="00331605" w:rsidRDefault="00240697">
            <w:pPr>
              <w:jc w:val="center"/>
              <w:rPr>
                <w:rFonts w:eastAsia="Times New Roman"/>
                <w:color w:val="000000"/>
                <w:sz w:val="24"/>
                <w:szCs w:val="24"/>
                <w:lang w:val="fr-FR" w:eastAsia="fr-FR"/>
              </w:rPr>
            </w:pPr>
            <w:proofErr w:type="spellStart"/>
            <w:proofErr w:type="gramStart"/>
            <w:r>
              <w:rPr>
                <w:rFonts w:eastAsia="Times New Roman"/>
                <w:color w:val="000000"/>
                <w:sz w:val="24"/>
                <w:szCs w:val="24"/>
                <w:lang w:val="fr-FR" w:eastAsia="fr-FR"/>
              </w:rPr>
              <w:t>P.Im</w:t>
            </w:r>
            <w:proofErr w:type="spellEnd"/>
            <w:proofErr w:type="gramEnd"/>
          </w:p>
        </w:tc>
        <w:tc>
          <w:tcPr>
            <w:tcW w:w="1377" w:type="dxa"/>
            <w:vMerge/>
            <w:tcBorders>
              <w:top w:val="nil"/>
              <w:left w:val="nil"/>
              <w:bottom w:val="single" w:sz="4" w:space="0" w:color="000000"/>
              <w:right w:val="nil"/>
            </w:tcBorders>
            <w:vAlign w:val="center"/>
            <w:hideMark/>
          </w:tcPr>
          <w:p w14:paraId="60D1B12A" w14:textId="77777777" w:rsidR="00331605" w:rsidRDefault="00331605">
            <w:pPr>
              <w:jc w:val="center"/>
              <w:rPr>
                <w:rFonts w:eastAsia="Times New Roman"/>
                <w:b/>
                <w:bCs/>
                <w:i/>
                <w:iCs/>
                <w:color w:val="000000"/>
                <w:sz w:val="24"/>
                <w:szCs w:val="24"/>
                <w:lang w:val="fr-FR" w:eastAsia="fr-FR"/>
              </w:rPr>
            </w:pPr>
          </w:p>
        </w:tc>
        <w:tc>
          <w:tcPr>
            <w:tcW w:w="1355" w:type="dxa"/>
            <w:vMerge/>
            <w:tcBorders>
              <w:top w:val="nil"/>
              <w:left w:val="nil"/>
              <w:bottom w:val="single" w:sz="4" w:space="0" w:color="000000"/>
              <w:right w:val="nil"/>
            </w:tcBorders>
            <w:vAlign w:val="center"/>
            <w:hideMark/>
          </w:tcPr>
          <w:p w14:paraId="678683C7"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nil"/>
              <w:right w:val="nil"/>
            </w:tcBorders>
            <w:vAlign w:val="center"/>
            <w:hideMark/>
          </w:tcPr>
          <w:p w14:paraId="2E7A5C3C"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0,15</w:t>
            </w:r>
          </w:p>
        </w:tc>
        <w:tc>
          <w:tcPr>
            <w:tcW w:w="1189" w:type="dxa"/>
            <w:tcBorders>
              <w:top w:val="nil"/>
              <w:left w:val="nil"/>
              <w:bottom w:val="nil"/>
              <w:right w:val="nil"/>
            </w:tcBorders>
            <w:vAlign w:val="center"/>
            <w:hideMark/>
          </w:tcPr>
          <w:p w14:paraId="273135B3"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12,94</w:t>
            </w:r>
          </w:p>
        </w:tc>
        <w:tc>
          <w:tcPr>
            <w:tcW w:w="1986" w:type="dxa"/>
            <w:tcBorders>
              <w:top w:val="nil"/>
              <w:left w:val="nil"/>
              <w:bottom w:val="nil"/>
              <w:right w:val="nil"/>
            </w:tcBorders>
            <w:vAlign w:val="center"/>
            <w:hideMark/>
          </w:tcPr>
          <w:p w14:paraId="25E5EDF1"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14,48</w:t>
            </w:r>
          </w:p>
        </w:tc>
        <w:tc>
          <w:tcPr>
            <w:tcW w:w="1986" w:type="dxa"/>
            <w:tcBorders>
              <w:top w:val="nil"/>
              <w:left w:val="nil"/>
              <w:bottom w:val="nil"/>
              <w:right w:val="nil"/>
            </w:tcBorders>
            <w:vAlign w:val="center"/>
            <w:hideMark/>
          </w:tcPr>
          <w:p w14:paraId="00E60F32"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3,45</w:t>
            </w:r>
          </w:p>
        </w:tc>
        <w:tc>
          <w:tcPr>
            <w:tcW w:w="1912" w:type="dxa"/>
            <w:tcBorders>
              <w:top w:val="nil"/>
              <w:left w:val="nil"/>
              <w:bottom w:val="nil"/>
              <w:right w:val="nil"/>
            </w:tcBorders>
            <w:vAlign w:val="center"/>
            <w:hideMark/>
          </w:tcPr>
          <w:p w14:paraId="14E1A012"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53,69</w:t>
            </w:r>
          </w:p>
        </w:tc>
        <w:tc>
          <w:tcPr>
            <w:tcW w:w="36" w:type="dxa"/>
            <w:vAlign w:val="center"/>
            <w:hideMark/>
          </w:tcPr>
          <w:p w14:paraId="2EC6A124" w14:textId="77777777" w:rsidR="00331605" w:rsidRDefault="00331605">
            <w:pPr>
              <w:jc w:val="center"/>
              <w:rPr>
                <w:rFonts w:eastAsia="Times New Roman"/>
                <w:lang w:val="fr-FR" w:eastAsia="fr-FR"/>
              </w:rPr>
            </w:pPr>
          </w:p>
        </w:tc>
      </w:tr>
      <w:tr w:rsidR="00331605" w14:paraId="7D767F1C" w14:textId="77777777">
        <w:trPr>
          <w:trHeight w:val="315"/>
        </w:trPr>
        <w:tc>
          <w:tcPr>
            <w:tcW w:w="1293" w:type="dxa"/>
            <w:tcBorders>
              <w:top w:val="nil"/>
              <w:left w:val="nil"/>
              <w:bottom w:val="single" w:sz="4" w:space="0" w:color="auto"/>
              <w:right w:val="nil"/>
            </w:tcBorders>
            <w:shd w:val="clear" w:color="auto" w:fill="F4B083"/>
            <w:vAlign w:val="center"/>
            <w:hideMark/>
          </w:tcPr>
          <w:p w14:paraId="22EBB296" w14:textId="77777777" w:rsidR="00331605" w:rsidRDefault="00240697">
            <w:pPr>
              <w:jc w:val="center"/>
              <w:rPr>
                <w:rFonts w:eastAsia="Times New Roman"/>
                <w:color w:val="000000"/>
                <w:sz w:val="24"/>
                <w:szCs w:val="24"/>
                <w:lang w:val="fr-FR" w:eastAsia="fr-FR"/>
              </w:rPr>
            </w:pPr>
            <w:proofErr w:type="spellStart"/>
            <w:r>
              <w:rPr>
                <w:rFonts w:eastAsia="Times New Roman"/>
                <w:color w:val="000000"/>
                <w:sz w:val="24"/>
                <w:szCs w:val="24"/>
                <w:lang w:val="fr-FR" w:eastAsia="fr-FR"/>
              </w:rPr>
              <w:t>Mean</w:t>
            </w:r>
            <w:proofErr w:type="spellEnd"/>
          </w:p>
        </w:tc>
        <w:tc>
          <w:tcPr>
            <w:tcW w:w="1377" w:type="dxa"/>
            <w:vMerge/>
            <w:tcBorders>
              <w:top w:val="nil"/>
              <w:left w:val="nil"/>
              <w:bottom w:val="single" w:sz="4" w:space="0" w:color="000000"/>
              <w:right w:val="nil"/>
            </w:tcBorders>
            <w:shd w:val="clear" w:color="auto" w:fill="F4B083"/>
            <w:vAlign w:val="center"/>
            <w:hideMark/>
          </w:tcPr>
          <w:p w14:paraId="472EE14C" w14:textId="77777777" w:rsidR="00331605" w:rsidRDefault="00331605">
            <w:pPr>
              <w:jc w:val="center"/>
              <w:rPr>
                <w:rFonts w:eastAsia="Times New Roman"/>
                <w:color w:val="000000"/>
                <w:sz w:val="24"/>
                <w:szCs w:val="24"/>
                <w:lang w:val="fr-FR" w:eastAsia="fr-FR"/>
              </w:rPr>
            </w:pPr>
          </w:p>
        </w:tc>
        <w:tc>
          <w:tcPr>
            <w:tcW w:w="1355" w:type="dxa"/>
            <w:vMerge/>
            <w:tcBorders>
              <w:top w:val="nil"/>
              <w:left w:val="nil"/>
              <w:bottom w:val="single" w:sz="4" w:space="0" w:color="000000"/>
              <w:right w:val="nil"/>
            </w:tcBorders>
            <w:shd w:val="clear" w:color="auto" w:fill="F4B083"/>
            <w:vAlign w:val="center"/>
            <w:hideMark/>
          </w:tcPr>
          <w:p w14:paraId="6C85F6AA" w14:textId="77777777" w:rsidR="00331605" w:rsidRDefault="00331605">
            <w:pPr>
              <w:jc w:val="center"/>
              <w:rPr>
                <w:rFonts w:eastAsia="Times New Roman"/>
                <w:color w:val="000000"/>
                <w:sz w:val="24"/>
                <w:szCs w:val="24"/>
                <w:lang w:val="fr-FR" w:eastAsia="fr-FR"/>
              </w:rPr>
            </w:pPr>
          </w:p>
        </w:tc>
        <w:tc>
          <w:tcPr>
            <w:tcW w:w="1346" w:type="dxa"/>
            <w:tcBorders>
              <w:top w:val="nil"/>
              <w:left w:val="nil"/>
              <w:bottom w:val="single" w:sz="4" w:space="0" w:color="auto"/>
              <w:right w:val="nil"/>
            </w:tcBorders>
            <w:shd w:val="clear" w:color="auto" w:fill="F4B083"/>
            <w:vAlign w:val="center"/>
            <w:hideMark/>
          </w:tcPr>
          <w:p w14:paraId="6A54B604"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0,11</w:t>
            </w:r>
          </w:p>
        </w:tc>
        <w:tc>
          <w:tcPr>
            <w:tcW w:w="1189" w:type="dxa"/>
            <w:tcBorders>
              <w:top w:val="nil"/>
              <w:left w:val="nil"/>
              <w:bottom w:val="single" w:sz="4" w:space="0" w:color="auto"/>
              <w:right w:val="nil"/>
            </w:tcBorders>
            <w:shd w:val="clear" w:color="auto" w:fill="F4B083"/>
            <w:vAlign w:val="center"/>
            <w:hideMark/>
          </w:tcPr>
          <w:p w14:paraId="4ED7A4C6"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6,55</w:t>
            </w:r>
          </w:p>
        </w:tc>
        <w:tc>
          <w:tcPr>
            <w:tcW w:w="1986" w:type="dxa"/>
            <w:tcBorders>
              <w:top w:val="nil"/>
              <w:left w:val="nil"/>
              <w:bottom w:val="single" w:sz="4" w:space="0" w:color="auto"/>
              <w:right w:val="nil"/>
            </w:tcBorders>
            <w:shd w:val="clear" w:color="auto" w:fill="F4B083"/>
            <w:vAlign w:val="center"/>
            <w:hideMark/>
          </w:tcPr>
          <w:p w14:paraId="41D91A4B"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8,01</w:t>
            </w:r>
          </w:p>
        </w:tc>
        <w:tc>
          <w:tcPr>
            <w:tcW w:w="1986" w:type="dxa"/>
            <w:tcBorders>
              <w:top w:val="nil"/>
              <w:left w:val="nil"/>
              <w:bottom w:val="single" w:sz="4" w:space="0" w:color="auto"/>
              <w:right w:val="nil"/>
            </w:tcBorders>
            <w:shd w:val="clear" w:color="auto" w:fill="F4B083"/>
            <w:vAlign w:val="center"/>
            <w:hideMark/>
          </w:tcPr>
          <w:p w14:paraId="40D28B55"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2,47</w:t>
            </w:r>
          </w:p>
        </w:tc>
        <w:tc>
          <w:tcPr>
            <w:tcW w:w="1912" w:type="dxa"/>
            <w:tcBorders>
              <w:top w:val="nil"/>
              <w:left w:val="nil"/>
              <w:bottom w:val="single" w:sz="4" w:space="0" w:color="auto"/>
              <w:right w:val="nil"/>
            </w:tcBorders>
            <w:shd w:val="clear" w:color="auto" w:fill="F4B083"/>
            <w:vAlign w:val="center"/>
            <w:hideMark/>
          </w:tcPr>
          <w:p w14:paraId="68381EC8" w14:textId="77777777" w:rsidR="00331605" w:rsidRDefault="00240697">
            <w:pPr>
              <w:jc w:val="center"/>
              <w:rPr>
                <w:rFonts w:eastAsia="Times New Roman"/>
                <w:color w:val="000000"/>
                <w:sz w:val="24"/>
                <w:szCs w:val="24"/>
                <w:lang w:val="fr-FR" w:eastAsia="fr-FR"/>
              </w:rPr>
            </w:pPr>
            <w:r>
              <w:rPr>
                <w:rFonts w:eastAsia="Times New Roman"/>
                <w:color w:val="000000"/>
                <w:sz w:val="24"/>
                <w:szCs w:val="24"/>
                <w:lang w:val="fr-FR" w:eastAsia="fr-FR"/>
              </w:rPr>
              <w:t>83,05</w:t>
            </w:r>
          </w:p>
        </w:tc>
        <w:tc>
          <w:tcPr>
            <w:tcW w:w="36" w:type="dxa"/>
            <w:vAlign w:val="center"/>
            <w:hideMark/>
          </w:tcPr>
          <w:p w14:paraId="4C01D5DE" w14:textId="77777777" w:rsidR="00331605" w:rsidRDefault="00331605">
            <w:pPr>
              <w:jc w:val="center"/>
              <w:rPr>
                <w:rFonts w:eastAsia="Times New Roman"/>
                <w:color w:val="000000"/>
                <w:sz w:val="24"/>
                <w:szCs w:val="24"/>
                <w:lang w:val="fr-FR" w:eastAsia="fr-FR"/>
              </w:rPr>
            </w:pPr>
          </w:p>
        </w:tc>
      </w:tr>
    </w:tbl>
    <w:p w14:paraId="45F750BB" w14:textId="77777777" w:rsidR="00331605" w:rsidRDefault="00331605">
      <w:pPr>
        <w:jc w:val="center"/>
        <w:rPr>
          <w:rFonts w:eastAsia="Times New Roman"/>
          <w:color w:val="000000"/>
          <w:sz w:val="24"/>
          <w:szCs w:val="24"/>
          <w:lang w:val="fr-FR" w:eastAsia="fr-FR"/>
        </w:rPr>
      </w:pPr>
    </w:p>
    <w:p w14:paraId="3BE0DDA4" w14:textId="77777777" w:rsidR="00331605" w:rsidRDefault="00240697">
      <w:pPr>
        <w:suppressAutoHyphens/>
        <w:autoSpaceDN w:val="0"/>
        <w:spacing w:after="160"/>
        <w:jc w:val="left"/>
        <w:textAlignment w:val="baseline"/>
        <w:rPr>
          <w:rFonts w:eastAsia="Calibri"/>
          <w:sz w:val="24"/>
          <w:szCs w:val="24"/>
          <w:lang w:val="en-GB"/>
        </w:rPr>
      </w:pPr>
      <w:r>
        <w:rPr>
          <w:rFonts w:eastAsia="Calibri"/>
          <w:sz w:val="24"/>
          <w:szCs w:val="24"/>
          <w:lang w:val="en-GB"/>
        </w:rPr>
        <w:t>P.A: Aerial part of the water hyacinth</w:t>
      </w:r>
    </w:p>
    <w:p w14:paraId="3CA3AFE6" w14:textId="77777777" w:rsidR="00331605" w:rsidRDefault="00240697">
      <w:pPr>
        <w:suppressAutoHyphens/>
        <w:autoSpaceDN w:val="0"/>
        <w:spacing w:after="160"/>
        <w:jc w:val="left"/>
        <w:textAlignment w:val="baseline"/>
        <w:rPr>
          <w:rFonts w:eastAsia="Calibri"/>
          <w:sz w:val="24"/>
          <w:szCs w:val="24"/>
          <w:lang w:val="en-GB"/>
        </w:rPr>
      </w:pPr>
      <w:proofErr w:type="spellStart"/>
      <w:proofErr w:type="gramStart"/>
      <w:r>
        <w:rPr>
          <w:rFonts w:eastAsia="Calibri"/>
          <w:sz w:val="24"/>
          <w:szCs w:val="24"/>
          <w:lang w:val="en-GB"/>
        </w:rPr>
        <w:t>P.Im</w:t>
      </w:r>
      <w:proofErr w:type="spellEnd"/>
      <w:proofErr w:type="gramEnd"/>
      <w:r>
        <w:rPr>
          <w:rFonts w:eastAsia="Calibri"/>
          <w:sz w:val="24"/>
          <w:szCs w:val="24"/>
          <w:lang w:val="en-GB"/>
        </w:rPr>
        <w:t xml:space="preserve"> : Submerged part of the water hyacinth</w:t>
      </w:r>
    </w:p>
    <w:bookmarkEnd w:id="5"/>
    <w:p w14:paraId="6E9FE3CB" w14:textId="77777777" w:rsidR="00331605" w:rsidRDefault="00331605">
      <w:pPr>
        <w:suppressAutoHyphens/>
        <w:autoSpaceDN w:val="0"/>
        <w:spacing w:after="160"/>
        <w:jc w:val="left"/>
        <w:textAlignment w:val="baseline"/>
        <w:rPr>
          <w:rFonts w:eastAsia="Calibri"/>
          <w:sz w:val="24"/>
          <w:szCs w:val="24"/>
          <w:lang w:val="en-GB"/>
        </w:rPr>
        <w:sectPr w:rsidR="00331605">
          <w:type w:val="continuous"/>
          <w:pgSz w:w="16838" w:h="11906" w:orient="landscape"/>
          <w:pgMar w:top="1418" w:right="1418" w:bottom="1418" w:left="1418" w:header="708" w:footer="708" w:gutter="0"/>
          <w:pgNumType w:start="63"/>
          <w:cols w:space="708"/>
          <w:titlePg/>
          <w:docGrid w:linePitch="360"/>
        </w:sectPr>
      </w:pPr>
    </w:p>
    <w:p w14:paraId="06F2C967" w14:textId="77777777" w:rsidR="00331605" w:rsidRDefault="00331605">
      <w:pPr>
        <w:suppressAutoHyphens/>
        <w:autoSpaceDN w:val="0"/>
        <w:spacing w:after="160"/>
        <w:jc w:val="left"/>
        <w:textAlignment w:val="baseline"/>
        <w:rPr>
          <w:rFonts w:eastAsia="Calibri"/>
          <w:sz w:val="24"/>
          <w:szCs w:val="24"/>
          <w:lang w:val="en-GB"/>
        </w:rPr>
      </w:pPr>
    </w:p>
    <w:p w14:paraId="2B252233" w14:textId="77777777" w:rsidR="00331605" w:rsidRDefault="00240697">
      <w:pPr>
        <w:pStyle w:val="Heading1"/>
        <w:numPr>
          <w:ilvl w:val="1"/>
          <w:numId w:val="11"/>
        </w:numPr>
        <w:rPr>
          <w:rFonts w:eastAsia="Calibri"/>
          <w:lang w:val="en-GB"/>
        </w:rPr>
      </w:pPr>
      <w:r>
        <w:rPr>
          <w:rFonts w:eastAsia="Calibri"/>
          <w:lang w:val="en-GB"/>
        </w:rPr>
        <w:t>Assessment of Trace Metal Contents in Water Hyacinth Compost</w:t>
      </w:r>
    </w:p>
    <w:p w14:paraId="4A9DD7B1" w14:textId="77777777" w:rsidR="00331605" w:rsidRDefault="00240697">
      <w:pPr>
        <w:spacing w:line="360" w:lineRule="auto"/>
        <w:rPr>
          <w:rFonts w:eastAsia="Calibri"/>
          <w:bCs/>
          <w:sz w:val="24"/>
          <w:szCs w:val="24"/>
          <w:lang w:val="en-GB"/>
        </w:rPr>
      </w:pPr>
      <w:r>
        <w:rPr>
          <w:rFonts w:eastAsia="Calibri"/>
          <w:bCs/>
          <w:sz w:val="24"/>
          <w:szCs w:val="24"/>
          <w:lang w:val="en-GB"/>
        </w:rPr>
        <w:t xml:space="preserve">The analysis of trace metal (TM) concentrations in composts derived from water hyacinth, whether shredded or whole, revealed generally low levels of the heavy metals studied (Table 2). These concentrations are well below the regulatory thresholds established by the AFNOR NF U44-051 (2006) standard for composts intended for agricultural use, indicating a final product of good environmental quality. The measured values ranged from 0.20 to 0.35 mg/kg for cadmium (Cd), 6.07 to 7.23 mg/kg for lead (Pb), 6.78 to 7.18 mg/kg for copper (Cu), and 2.35 to 2.82 mg/kg for nickel (Ni). Mercury (Hg) was not detected in any of the samples </w:t>
      </w:r>
      <w:proofErr w:type="spellStart"/>
      <w:r>
        <w:rPr>
          <w:rFonts w:eastAsia="Calibri"/>
          <w:bCs/>
          <w:sz w:val="24"/>
          <w:szCs w:val="24"/>
          <w:lang w:val="en-GB"/>
        </w:rPr>
        <w:t>analyzed</w:t>
      </w:r>
      <w:proofErr w:type="spellEnd"/>
      <w:r>
        <w:rPr>
          <w:rFonts w:eastAsia="Calibri"/>
          <w:bCs/>
          <w:sz w:val="24"/>
          <w:szCs w:val="24"/>
          <w:lang w:val="en-GB"/>
        </w:rPr>
        <w:t>. The differences observed between the two compost types were minor but informative. The shredded compost exhibited slightly higher concentrations of Cd (0.35 mg/kg) and Ni (2.82 mg/kg), but lower Pb levels (6.07 mg/kg) compared to the non-shredded compost (Pb: 7.23 mg/kg).</w:t>
      </w:r>
    </w:p>
    <w:p w14:paraId="246880FC" w14:textId="77777777" w:rsidR="00331605" w:rsidRDefault="00331605">
      <w:pPr>
        <w:rPr>
          <w:rFonts w:eastAsia="Calibri"/>
          <w:sz w:val="24"/>
          <w:szCs w:val="24"/>
          <w:lang w:val="en-GB"/>
        </w:rPr>
      </w:pPr>
    </w:p>
    <w:p w14:paraId="58291BA9" w14:textId="77777777" w:rsidR="00331605" w:rsidRDefault="00240697">
      <w:pPr>
        <w:keepNext/>
        <w:spacing w:after="200"/>
        <w:jc w:val="left"/>
        <w:rPr>
          <w:rFonts w:eastAsia="Calibri"/>
          <w:b/>
          <w:bCs/>
          <w:i/>
          <w:iCs/>
          <w:color w:val="000000"/>
          <w:sz w:val="22"/>
          <w:szCs w:val="22"/>
          <w:lang w:val="en-GB"/>
        </w:rPr>
      </w:pPr>
      <w:bookmarkStart w:id="6" w:name="_Hlk211526941"/>
      <w:r>
        <w:rPr>
          <w:rFonts w:eastAsia="Calibri"/>
          <w:b/>
          <w:bCs/>
          <w:i/>
          <w:iCs/>
          <w:color w:val="000000"/>
          <w:sz w:val="22"/>
          <w:szCs w:val="22"/>
          <w:lang w:val="en-GB"/>
        </w:rPr>
        <w:t>Table 2: Assessment of Trace Metal Contents in Water Hyacinth Compos</w:t>
      </w:r>
    </w:p>
    <w:tbl>
      <w:tblPr>
        <w:tblStyle w:val="TableGrid"/>
        <w:tblW w:w="9788" w:type="dxa"/>
        <w:jc w:val="center"/>
        <w:tblLook w:val="04A0" w:firstRow="1" w:lastRow="0" w:firstColumn="1" w:lastColumn="0" w:noHBand="0" w:noVBand="1"/>
      </w:tblPr>
      <w:tblGrid>
        <w:gridCol w:w="3969"/>
        <w:gridCol w:w="1070"/>
        <w:gridCol w:w="1095"/>
        <w:gridCol w:w="1132"/>
        <w:gridCol w:w="1070"/>
        <w:gridCol w:w="1443"/>
        <w:gridCol w:w="9"/>
      </w:tblGrid>
      <w:tr w:rsidR="00331605" w14:paraId="3EADF1DF" w14:textId="77777777">
        <w:trPr>
          <w:gridAfter w:val="1"/>
          <w:wAfter w:w="9" w:type="dxa"/>
          <w:jc w:val="center"/>
        </w:trPr>
        <w:tc>
          <w:tcPr>
            <w:tcW w:w="3969" w:type="dxa"/>
            <w:vMerge w:val="restart"/>
            <w:tcBorders>
              <w:left w:val="nil"/>
              <w:bottom w:val="single" w:sz="4" w:space="0" w:color="auto"/>
              <w:right w:val="nil"/>
            </w:tcBorders>
            <w:vAlign w:val="center"/>
          </w:tcPr>
          <w:p w14:paraId="3C17139D"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Type of Compost</w:t>
            </w:r>
          </w:p>
        </w:tc>
        <w:tc>
          <w:tcPr>
            <w:tcW w:w="5810" w:type="dxa"/>
            <w:gridSpan w:val="5"/>
            <w:tcBorders>
              <w:left w:val="nil"/>
              <w:right w:val="nil"/>
            </w:tcBorders>
            <w:vAlign w:val="center"/>
          </w:tcPr>
          <w:p w14:paraId="5C58331E" w14:textId="77777777" w:rsidR="00331605" w:rsidRDefault="00240697">
            <w:pPr>
              <w:spacing w:line="276" w:lineRule="auto"/>
              <w:jc w:val="center"/>
              <w:rPr>
                <w:rFonts w:eastAsia="Times New Roman"/>
                <w:b/>
                <w:bCs/>
                <w:sz w:val="27"/>
                <w:szCs w:val="27"/>
                <w:lang w:val="fr-FR" w:eastAsia="fr-FR"/>
              </w:rPr>
            </w:pPr>
            <w:proofErr w:type="spellStart"/>
            <w:r>
              <w:rPr>
                <w:rFonts w:eastAsia="Calibri"/>
                <w:b/>
                <w:bCs/>
                <w:kern w:val="2"/>
                <w:sz w:val="24"/>
                <w:szCs w:val="24"/>
                <w:lang w:val="fr-FR"/>
                <w14:ligatures w14:val="standardContextual"/>
              </w:rPr>
              <w:t>Analyzed</w:t>
            </w:r>
            <w:proofErr w:type="spellEnd"/>
            <w:r>
              <w:rPr>
                <w:rFonts w:eastAsia="Calibri"/>
                <w:b/>
                <w:bCs/>
                <w:kern w:val="2"/>
                <w:sz w:val="24"/>
                <w:szCs w:val="24"/>
                <w:lang w:val="fr-FR"/>
                <w14:ligatures w14:val="standardContextual"/>
              </w:rPr>
              <w:t xml:space="preserve"> Trace </w:t>
            </w:r>
            <w:proofErr w:type="spellStart"/>
            <w:r>
              <w:rPr>
                <w:rFonts w:eastAsia="Calibri"/>
                <w:b/>
                <w:bCs/>
                <w:kern w:val="2"/>
                <w:sz w:val="24"/>
                <w:szCs w:val="24"/>
                <w:lang w:val="fr-FR"/>
                <w14:ligatures w14:val="standardContextual"/>
              </w:rPr>
              <w:t>Elements</w:t>
            </w:r>
            <w:proofErr w:type="spellEnd"/>
            <w:r>
              <w:rPr>
                <w:rFonts w:eastAsia="Calibri"/>
                <w:b/>
                <w:bCs/>
                <w:kern w:val="2"/>
                <w:sz w:val="24"/>
                <w:szCs w:val="24"/>
                <w:lang w:val="fr-FR"/>
                <w14:ligatures w14:val="standardContextual"/>
              </w:rPr>
              <w:t xml:space="preserve"> (</w:t>
            </w:r>
            <w:proofErr w:type="spellStart"/>
            <w:r>
              <w:rPr>
                <w:rFonts w:eastAsia="Calibri"/>
                <w:b/>
                <w:bCs/>
                <w:kern w:val="2"/>
                <w:sz w:val="24"/>
                <w:szCs w:val="24"/>
                <w:lang w:val="fr-FR"/>
                <w14:ligatures w14:val="standardContextual"/>
              </w:rPr>
              <w:t>TEs</w:t>
            </w:r>
            <w:proofErr w:type="spellEnd"/>
            <w:r>
              <w:rPr>
                <w:rFonts w:eastAsia="Calibri"/>
                <w:b/>
                <w:bCs/>
                <w:kern w:val="2"/>
                <w:sz w:val="24"/>
                <w:szCs w:val="24"/>
                <w:lang w:val="fr-FR"/>
                <w14:ligatures w14:val="standardContextual"/>
              </w:rPr>
              <w:t>)</w:t>
            </w:r>
          </w:p>
        </w:tc>
      </w:tr>
      <w:tr w:rsidR="00331605" w14:paraId="3E90524D" w14:textId="77777777">
        <w:trPr>
          <w:jc w:val="center"/>
        </w:trPr>
        <w:tc>
          <w:tcPr>
            <w:tcW w:w="3969" w:type="dxa"/>
            <w:vMerge/>
            <w:tcBorders>
              <w:left w:val="nil"/>
              <w:bottom w:val="single" w:sz="4" w:space="0" w:color="auto"/>
              <w:right w:val="nil"/>
            </w:tcBorders>
            <w:vAlign w:val="center"/>
          </w:tcPr>
          <w:p w14:paraId="3224C809" w14:textId="77777777" w:rsidR="00331605" w:rsidRDefault="00331605">
            <w:pPr>
              <w:spacing w:line="276" w:lineRule="auto"/>
              <w:jc w:val="center"/>
              <w:rPr>
                <w:rFonts w:eastAsia="Times New Roman"/>
                <w:b/>
                <w:bCs/>
                <w:sz w:val="27"/>
                <w:szCs w:val="27"/>
                <w:lang w:val="fr-FR" w:eastAsia="fr-FR"/>
              </w:rPr>
            </w:pPr>
          </w:p>
        </w:tc>
        <w:tc>
          <w:tcPr>
            <w:tcW w:w="1070" w:type="dxa"/>
            <w:tcBorders>
              <w:left w:val="nil"/>
              <w:bottom w:val="single" w:sz="4" w:space="0" w:color="auto"/>
              <w:right w:val="nil"/>
            </w:tcBorders>
            <w:vAlign w:val="center"/>
          </w:tcPr>
          <w:p w14:paraId="481ADACF"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Cd </w:t>
            </w:r>
            <w:r>
              <w:rPr>
                <w:rFonts w:eastAsia="Calibri"/>
                <w:b/>
                <w:bCs/>
                <w:kern w:val="2"/>
                <w:sz w:val="24"/>
                <w:szCs w:val="24"/>
                <w:lang w:val="fr-FR"/>
                <w14:ligatures w14:val="standardContextual"/>
              </w:rPr>
              <w:br/>
              <w:t>(mg/Kg)</w:t>
            </w:r>
          </w:p>
        </w:tc>
        <w:tc>
          <w:tcPr>
            <w:tcW w:w="1095" w:type="dxa"/>
            <w:tcBorders>
              <w:left w:val="nil"/>
              <w:bottom w:val="single" w:sz="4" w:space="0" w:color="auto"/>
              <w:right w:val="nil"/>
            </w:tcBorders>
            <w:vAlign w:val="center"/>
          </w:tcPr>
          <w:p w14:paraId="4949135C"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Pb </w:t>
            </w:r>
            <w:r>
              <w:rPr>
                <w:rFonts w:eastAsia="Calibri"/>
                <w:b/>
                <w:bCs/>
                <w:kern w:val="2"/>
                <w:sz w:val="24"/>
                <w:szCs w:val="24"/>
                <w:lang w:val="fr-FR"/>
                <w14:ligatures w14:val="standardContextual"/>
              </w:rPr>
              <w:br/>
              <w:t>(mg/Kg)</w:t>
            </w:r>
          </w:p>
        </w:tc>
        <w:tc>
          <w:tcPr>
            <w:tcW w:w="1132" w:type="dxa"/>
            <w:tcBorders>
              <w:left w:val="nil"/>
              <w:bottom w:val="single" w:sz="4" w:space="0" w:color="auto"/>
              <w:right w:val="nil"/>
            </w:tcBorders>
            <w:vAlign w:val="center"/>
          </w:tcPr>
          <w:p w14:paraId="13789A4C"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Cu </w:t>
            </w:r>
            <w:r>
              <w:rPr>
                <w:rFonts w:eastAsia="Calibri"/>
                <w:b/>
                <w:bCs/>
                <w:kern w:val="2"/>
                <w:sz w:val="24"/>
                <w:szCs w:val="24"/>
                <w:lang w:val="fr-FR"/>
                <w14:ligatures w14:val="standardContextual"/>
              </w:rPr>
              <w:br/>
              <w:t>(mg/Kg)</w:t>
            </w:r>
          </w:p>
        </w:tc>
        <w:tc>
          <w:tcPr>
            <w:tcW w:w="1070" w:type="dxa"/>
            <w:tcBorders>
              <w:left w:val="nil"/>
              <w:bottom w:val="single" w:sz="4" w:space="0" w:color="auto"/>
              <w:right w:val="nil"/>
            </w:tcBorders>
            <w:vAlign w:val="center"/>
          </w:tcPr>
          <w:p w14:paraId="14C42257"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Ni </w:t>
            </w:r>
            <w:r>
              <w:rPr>
                <w:rFonts w:eastAsia="Calibri"/>
                <w:b/>
                <w:bCs/>
                <w:kern w:val="2"/>
                <w:sz w:val="24"/>
                <w:szCs w:val="24"/>
                <w:lang w:val="fr-FR"/>
                <w14:ligatures w14:val="standardContextual"/>
              </w:rPr>
              <w:br/>
              <w:t>(mg/Kg)</w:t>
            </w:r>
          </w:p>
        </w:tc>
        <w:tc>
          <w:tcPr>
            <w:tcW w:w="1452" w:type="dxa"/>
            <w:gridSpan w:val="2"/>
            <w:tcBorders>
              <w:left w:val="nil"/>
              <w:bottom w:val="single" w:sz="4" w:space="0" w:color="auto"/>
              <w:right w:val="nil"/>
            </w:tcBorders>
            <w:vAlign w:val="center"/>
          </w:tcPr>
          <w:p w14:paraId="43661715"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Hg </w:t>
            </w:r>
            <w:r>
              <w:rPr>
                <w:rFonts w:eastAsia="Calibri"/>
                <w:b/>
                <w:bCs/>
                <w:kern w:val="2"/>
                <w:sz w:val="24"/>
                <w:szCs w:val="24"/>
                <w:lang w:val="fr-FR"/>
                <w14:ligatures w14:val="standardContextual"/>
              </w:rPr>
              <w:br/>
              <w:t>(mg/Kg)</w:t>
            </w:r>
          </w:p>
        </w:tc>
      </w:tr>
      <w:tr w:rsidR="00331605" w14:paraId="095250EA" w14:textId="77777777">
        <w:trPr>
          <w:jc w:val="center"/>
        </w:trPr>
        <w:tc>
          <w:tcPr>
            <w:tcW w:w="3969" w:type="dxa"/>
            <w:tcBorders>
              <w:top w:val="single" w:sz="4" w:space="0" w:color="auto"/>
              <w:left w:val="nil"/>
              <w:bottom w:val="nil"/>
              <w:right w:val="nil"/>
            </w:tcBorders>
            <w:vAlign w:val="center"/>
          </w:tcPr>
          <w:p w14:paraId="41B22D5D" w14:textId="77777777" w:rsidR="00331605" w:rsidRDefault="00240697">
            <w:pPr>
              <w:spacing w:line="276" w:lineRule="auto"/>
              <w:jc w:val="right"/>
              <w:rPr>
                <w:rFonts w:eastAsia="Calibri"/>
                <w:kern w:val="2"/>
                <w:sz w:val="24"/>
                <w:szCs w:val="24"/>
                <w:lang w:val="fr-FR"/>
                <w14:ligatures w14:val="standardContextual"/>
              </w:rPr>
            </w:pPr>
            <w:proofErr w:type="spellStart"/>
            <w:r>
              <w:rPr>
                <w:rFonts w:eastAsia="Calibri"/>
                <w:kern w:val="2"/>
                <w:sz w:val="24"/>
                <w:szCs w:val="24"/>
                <w:lang w:val="fr-FR"/>
                <w14:ligatures w14:val="standardContextual"/>
              </w:rPr>
              <w:t>Admissibility</w:t>
            </w:r>
            <w:proofErr w:type="spellEnd"/>
            <w:r>
              <w:rPr>
                <w:rFonts w:eastAsia="Calibri"/>
                <w:kern w:val="2"/>
                <w:sz w:val="24"/>
                <w:szCs w:val="24"/>
                <w:lang w:val="fr-FR"/>
                <w14:ligatures w14:val="standardContextual"/>
              </w:rPr>
              <w:t xml:space="preserve"> </w:t>
            </w:r>
            <w:proofErr w:type="spellStart"/>
            <w:r>
              <w:rPr>
                <w:rFonts w:eastAsia="Calibri"/>
                <w:kern w:val="2"/>
                <w:sz w:val="24"/>
                <w:szCs w:val="24"/>
                <w:lang w:val="fr-FR"/>
                <w14:ligatures w14:val="standardContextual"/>
              </w:rPr>
              <w:t>Threshold</w:t>
            </w:r>
            <w:proofErr w:type="spellEnd"/>
            <w:r>
              <w:rPr>
                <w:rFonts w:eastAsia="Calibri"/>
                <w:kern w:val="2"/>
                <w:sz w:val="24"/>
                <w:szCs w:val="24"/>
                <w:lang w:val="fr-FR"/>
                <w14:ligatures w14:val="standardContextual"/>
              </w:rPr>
              <w:t xml:space="preserve"> *    </w:t>
            </w:r>
          </w:p>
        </w:tc>
        <w:tc>
          <w:tcPr>
            <w:tcW w:w="1070" w:type="dxa"/>
            <w:tcBorders>
              <w:left w:val="nil"/>
              <w:bottom w:val="nil"/>
              <w:right w:val="nil"/>
            </w:tcBorders>
            <w:vAlign w:val="center"/>
          </w:tcPr>
          <w:p w14:paraId="6B831702" w14:textId="77777777" w:rsidR="00331605" w:rsidRDefault="00240697">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xml:space="preserve">≤ 3 </w:t>
            </w:r>
          </w:p>
        </w:tc>
        <w:tc>
          <w:tcPr>
            <w:tcW w:w="1095" w:type="dxa"/>
            <w:tcBorders>
              <w:left w:val="nil"/>
              <w:bottom w:val="nil"/>
              <w:right w:val="nil"/>
            </w:tcBorders>
            <w:vAlign w:val="center"/>
          </w:tcPr>
          <w:p w14:paraId="1F1699D8" w14:textId="77777777" w:rsidR="00331605" w:rsidRDefault="00240697">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180</w:t>
            </w:r>
          </w:p>
        </w:tc>
        <w:tc>
          <w:tcPr>
            <w:tcW w:w="1132" w:type="dxa"/>
            <w:tcBorders>
              <w:left w:val="nil"/>
              <w:bottom w:val="nil"/>
              <w:right w:val="nil"/>
            </w:tcBorders>
            <w:vAlign w:val="center"/>
          </w:tcPr>
          <w:p w14:paraId="4118BF85" w14:textId="77777777" w:rsidR="00331605" w:rsidRDefault="00240697">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300</w:t>
            </w:r>
          </w:p>
        </w:tc>
        <w:tc>
          <w:tcPr>
            <w:tcW w:w="1070" w:type="dxa"/>
            <w:tcBorders>
              <w:left w:val="nil"/>
              <w:bottom w:val="nil"/>
              <w:right w:val="nil"/>
            </w:tcBorders>
            <w:vAlign w:val="center"/>
          </w:tcPr>
          <w:p w14:paraId="6D78392A" w14:textId="77777777" w:rsidR="00331605" w:rsidRDefault="00240697">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 60</w:t>
            </w:r>
          </w:p>
        </w:tc>
        <w:tc>
          <w:tcPr>
            <w:tcW w:w="1452" w:type="dxa"/>
            <w:gridSpan w:val="2"/>
            <w:tcBorders>
              <w:left w:val="nil"/>
              <w:bottom w:val="nil"/>
              <w:right w:val="nil"/>
            </w:tcBorders>
            <w:vAlign w:val="center"/>
          </w:tcPr>
          <w:p w14:paraId="3835F705" w14:textId="77777777" w:rsidR="00331605" w:rsidRDefault="00240697">
            <w:pPr>
              <w:spacing w:line="276" w:lineRule="auto"/>
              <w:jc w:val="center"/>
              <w:rPr>
                <w:rFonts w:eastAsia="Calibri"/>
                <w:kern w:val="2"/>
                <w:sz w:val="24"/>
                <w:szCs w:val="24"/>
                <w:lang w:val="fr-FR"/>
                <w14:ligatures w14:val="standardContextual"/>
              </w:rPr>
            </w:pPr>
            <w:r>
              <w:rPr>
                <w:rFonts w:eastAsia="Calibri"/>
                <w:kern w:val="2"/>
                <w:sz w:val="24"/>
                <w:szCs w:val="24"/>
                <w:lang w:val="fr-FR"/>
                <w14:ligatures w14:val="standardContextual"/>
              </w:rPr>
              <w:t>&lt;2 mg/kg MS</w:t>
            </w:r>
          </w:p>
        </w:tc>
      </w:tr>
      <w:tr w:rsidR="00331605" w14:paraId="18C13109" w14:textId="77777777">
        <w:trPr>
          <w:jc w:val="center"/>
        </w:trPr>
        <w:tc>
          <w:tcPr>
            <w:tcW w:w="3969" w:type="dxa"/>
            <w:tcBorders>
              <w:top w:val="single" w:sz="4" w:space="0" w:color="auto"/>
              <w:left w:val="nil"/>
              <w:bottom w:val="nil"/>
              <w:right w:val="nil"/>
            </w:tcBorders>
            <w:vAlign w:val="center"/>
          </w:tcPr>
          <w:p w14:paraId="35F6C92C" w14:textId="77777777" w:rsidR="00331605" w:rsidRDefault="00240697">
            <w:pPr>
              <w:spacing w:line="276" w:lineRule="auto"/>
              <w:jc w:val="center"/>
              <w:rPr>
                <w:rFonts w:eastAsia="Times New Roman"/>
                <w:sz w:val="24"/>
                <w:szCs w:val="24"/>
                <w:lang w:val="en-GB" w:eastAsia="fr-FR"/>
              </w:rPr>
            </w:pPr>
            <w:r>
              <w:rPr>
                <w:rFonts w:eastAsia="Calibri"/>
                <w:kern w:val="2"/>
                <w:sz w:val="24"/>
                <w:szCs w:val="24"/>
                <w:lang w:val="en-GB"/>
                <w14:ligatures w14:val="standardContextual"/>
              </w:rPr>
              <w:t>Non-chopped Water Hyacinth Compost</w:t>
            </w:r>
          </w:p>
        </w:tc>
        <w:tc>
          <w:tcPr>
            <w:tcW w:w="1070" w:type="dxa"/>
            <w:tcBorders>
              <w:left w:val="nil"/>
              <w:bottom w:val="nil"/>
              <w:right w:val="nil"/>
            </w:tcBorders>
            <w:vAlign w:val="center"/>
          </w:tcPr>
          <w:p w14:paraId="57905E3F"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0,20</w:t>
            </w:r>
          </w:p>
        </w:tc>
        <w:tc>
          <w:tcPr>
            <w:tcW w:w="1095" w:type="dxa"/>
            <w:tcBorders>
              <w:left w:val="nil"/>
              <w:bottom w:val="nil"/>
              <w:right w:val="nil"/>
            </w:tcBorders>
            <w:vAlign w:val="center"/>
          </w:tcPr>
          <w:p w14:paraId="587C78BE"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7,23</w:t>
            </w:r>
          </w:p>
        </w:tc>
        <w:tc>
          <w:tcPr>
            <w:tcW w:w="1132" w:type="dxa"/>
            <w:tcBorders>
              <w:left w:val="nil"/>
              <w:bottom w:val="nil"/>
              <w:right w:val="nil"/>
            </w:tcBorders>
            <w:vAlign w:val="center"/>
          </w:tcPr>
          <w:p w14:paraId="3A30F368"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6,78</w:t>
            </w:r>
          </w:p>
        </w:tc>
        <w:tc>
          <w:tcPr>
            <w:tcW w:w="1070" w:type="dxa"/>
            <w:tcBorders>
              <w:left w:val="nil"/>
              <w:bottom w:val="nil"/>
              <w:right w:val="nil"/>
            </w:tcBorders>
            <w:vAlign w:val="center"/>
          </w:tcPr>
          <w:p w14:paraId="02F6A338"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2,35</w:t>
            </w:r>
          </w:p>
        </w:tc>
        <w:tc>
          <w:tcPr>
            <w:tcW w:w="1452" w:type="dxa"/>
            <w:gridSpan w:val="2"/>
            <w:tcBorders>
              <w:left w:val="nil"/>
              <w:bottom w:val="nil"/>
              <w:right w:val="nil"/>
            </w:tcBorders>
            <w:vAlign w:val="center"/>
          </w:tcPr>
          <w:p w14:paraId="4AE044EE" w14:textId="77777777" w:rsidR="00331605" w:rsidRDefault="00240697">
            <w:pPr>
              <w:spacing w:line="276" w:lineRule="auto"/>
              <w:jc w:val="center"/>
              <w:rPr>
                <w:rFonts w:eastAsia="Times New Roman"/>
                <w:sz w:val="24"/>
                <w:szCs w:val="24"/>
                <w:lang w:val="fr-FR" w:eastAsia="fr-FR"/>
              </w:rPr>
            </w:pPr>
            <w:proofErr w:type="spellStart"/>
            <w:r>
              <w:rPr>
                <w:rFonts w:eastAsia="Calibri"/>
                <w:kern w:val="2"/>
                <w:sz w:val="24"/>
                <w:szCs w:val="24"/>
                <w:lang w:val="fr-FR"/>
                <w14:ligatures w14:val="standardContextual"/>
              </w:rPr>
              <w:t>n.d</w:t>
            </w:r>
            <w:proofErr w:type="spellEnd"/>
            <w:r>
              <w:rPr>
                <w:rFonts w:eastAsia="Calibri"/>
                <w:kern w:val="2"/>
                <w:sz w:val="24"/>
                <w:szCs w:val="24"/>
                <w:lang w:val="fr-FR"/>
                <w14:ligatures w14:val="standardContextual"/>
              </w:rPr>
              <w:t>.</w:t>
            </w:r>
          </w:p>
        </w:tc>
      </w:tr>
      <w:tr w:rsidR="00331605" w14:paraId="269B789B" w14:textId="77777777">
        <w:trPr>
          <w:jc w:val="center"/>
        </w:trPr>
        <w:tc>
          <w:tcPr>
            <w:tcW w:w="3969" w:type="dxa"/>
            <w:tcBorders>
              <w:top w:val="nil"/>
              <w:left w:val="nil"/>
              <w:right w:val="nil"/>
            </w:tcBorders>
            <w:vAlign w:val="center"/>
          </w:tcPr>
          <w:p w14:paraId="4682F731" w14:textId="77777777" w:rsidR="00331605" w:rsidRDefault="00240697">
            <w:pPr>
              <w:spacing w:line="276" w:lineRule="auto"/>
              <w:jc w:val="center"/>
              <w:rPr>
                <w:rFonts w:eastAsia="Times New Roman"/>
                <w:sz w:val="24"/>
                <w:szCs w:val="24"/>
                <w:lang w:val="fr-FR" w:eastAsia="fr-FR"/>
              </w:rPr>
            </w:pPr>
            <w:proofErr w:type="spellStart"/>
            <w:r>
              <w:rPr>
                <w:rFonts w:eastAsia="Calibri"/>
                <w:kern w:val="2"/>
                <w:sz w:val="24"/>
                <w:szCs w:val="24"/>
                <w:lang w:val="fr-FR"/>
                <w14:ligatures w14:val="standardContextual"/>
              </w:rPr>
              <w:t>Chopped</w:t>
            </w:r>
            <w:proofErr w:type="spellEnd"/>
            <w:r>
              <w:rPr>
                <w:rFonts w:eastAsia="Calibri"/>
                <w:kern w:val="2"/>
                <w:sz w:val="24"/>
                <w:szCs w:val="24"/>
                <w:lang w:val="fr-FR"/>
                <w14:ligatures w14:val="standardContextual"/>
              </w:rPr>
              <w:t xml:space="preserve"> Water </w:t>
            </w:r>
            <w:proofErr w:type="spellStart"/>
            <w:r>
              <w:rPr>
                <w:rFonts w:eastAsia="Calibri"/>
                <w:kern w:val="2"/>
                <w:sz w:val="24"/>
                <w:szCs w:val="24"/>
                <w:lang w:val="fr-FR"/>
                <w14:ligatures w14:val="standardContextual"/>
              </w:rPr>
              <w:t>Hyacinth</w:t>
            </w:r>
            <w:proofErr w:type="spellEnd"/>
            <w:r>
              <w:rPr>
                <w:rFonts w:eastAsia="Calibri"/>
                <w:kern w:val="2"/>
                <w:sz w:val="24"/>
                <w:szCs w:val="24"/>
                <w:lang w:val="fr-FR"/>
                <w14:ligatures w14:val="standardContextual"/>
              </w:rPr>
              <w:t xml:space="preserve"> Compost</w:t>
            </w:r>
          </w:p>
        </w:tc>
        <w:tc>
          <w:tcPr>
            <w:tcW w:w="1070" w:type="dxa"/>
            <w:tcBorders>
              <w:top w:val="nil"/>
              <w:left w:val="nil"/>
              <w:right w:val="nil"/>
            </w:tcBorders>
            <w:vAlign w:val="center"/>
          </w:tcPr>
          <w:p w14:paraId="2951F33C"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0,35</w:t>
            </w:r>
          </w:p>
        </w:tc>
        <w:tc>
          <w:tcPr>
            <w:tcW w:w="1095" w:type="dxa"/>
            <w:tcBorders>
              <w:top w:val="nil"/>
              <w:left w:val="nil"/>
              <w:right w:val="nil"/>
            </w:tcBorders>
            <w:vAlign w:val="center"/>
          </w:tcPr>
          <w:p w14:paraId="47ED15DE"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6,07</w:t>
            </w:r>
          </w:p>
        </w:tc>
        <w:tc>
          <w:tcPr>
            <w:tcW w:w="1132" w:type="dxa"/>
            <w:tcBorders>
              <w:top w:val="nil"/>
              <w:left w:val="nil"/>
              <w:right w:val="nil"/>
            </w:tcBorders>
            <w:vAlign w:val="center"/>
          </w:tcPr>
          <w:p w14:paraId="6D6CD404"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7,18</w:t>
            </w:r>
          </w:p>
        </w:tc>
        <w:tc>
          <w:tcPr>
            <w:tcW w:w="1070" w:type="dxa"/>
            <w:tcBorders>
              <w:top w:val="nil"/>
              <w:left w:val="nil"/>
              <w:right w:val="nil"/>
            </w:tcBorders>
            <w:vAlign w:val="center"/>
          </w:tcPr>
          <w:p w14:paraId="030E8CA7"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2,82</w:t>
            </w:r>
          </w:p>
        </w:tc>
        <w:tc>
          <w:tcPr>
            <w:tcW w:w="1452" w:type="dxa"/>
            <w:gridSpan w:val="2"/>
            <w:tcBorders>
              <w:top w:val="nil"/>
              <w:left w:val="nil"/>
              <w:right w:val="nil"/>
            </w:tcBorders>
            <w:vAlign w:val="center"/>
          </w:tcPr>
          <w:p w14:paraId="6036850F" w14:textId="77777777" w:rsidR="00331605" w:rsidRDefault="00240697">
            <w:pPr>
              <w:spacing w:line="276" w:lineRule="auto"/>
              <w:jc w:val="center"/>
              <w:rPr>
                <w:rFonts w:eastAsia="Times New Roman"/>
                <w:sz w:val="24"/>
                <w:szCs w:val="24"/>
                <w:lang w:val="fr-FR" w:eastAsia="fr-FR"/>
              </w:rPr>
            </w:pPr>
            <w:proofErr w:type="spellStart"/>
            <w:r>
              <w:rPr>
                <w:rFonts w:eastAsia="Calibri"/>
                <w:kern w:val="2"/>
                <w:sz w:val="24"/>
                <w:szCs w:val="24"/>
                <w:lang w:val="fr-FR"/>
                <w14:ligatures w14:val="standardContextual"/>
              </w:rPr>
              <w:t>n.d</w:t>
            </w:r>
            <w:proofErr w:type="spellEnd"/>
            <w:r>
              <w:rPr>
                <w:rFonts w:eastAsia="Calibri"/>
                <w:kern w:val="2"/>
                <w:sz w:val="24"/>
                <w:szCs w:val="24"/>
                <w:lang w:val="fr-FR"/>
                <w14:ligatures w14:val="standardContextual"/>
              </w:rPr>
              <w:t>.</w:t>
            </w:r>
          </w:p>
        </w:tc>
      </w:tr>
    </w:tbl>
    <w:p w14:paraId="356E88DB" w14:textId="77777777" w:rsidR="00331605" w:rsidRDefault="00331605">
      <w:pPr>
        <w:spacing w:after="160" w:line="259" w:lineRule="auto"/>
        <w:jc w:val="left"/>
        <w:rPr>
          <w:rFonts w:eastAsia="Times New Roman"/>
          <w:b/>
          <w:bCs/>
          <w:sz w:val="27"/>
          <w:szCs w:val="27"/>
          <w:lang w:val="fr-FR" w:eastAsia="fr-FR"/>
        </w:rPr>
      </w:pPr>
    </w:p>
    <w:p w14:paraId="6C851C63" w14:textId="77777777" w:rsidR="00331605" w:rsidRDefault="00240697">
      <w:pPr>
        <w:spacing w:after="160" w:line="259" w:lineRule="auto"/>
        <w:jc w:val="left"/>
        <w:rPr>
          <w:rFonts w:eastAsia="Times New Roman"/>
          <w:b/>
          <w:bCs/>
          <w:sz w:val="24"/>
          <w:szCs w:val="24"/>
          <w:lang w:val="fr-FR" w:eastAsia="fr-FR"/>
        </w:rPr>
      </w:pPr>
      <w:r>
        <w:rPr>
          <w:rFonts w:eastAsia="Times New Roman"/>
          <w:b/>
          <w:bCs/>
          <w:sz w:val="24"/>
          <w:szCs w:val="24"/>
          <w:lang w:val="fr-FR" w:eastAsia="fr-FR"/>
        </w:rPr>
        <w:t>*</w:t>
      </w:r>
      <w:r>
        <w:rPr>
          <w:rFonts w:ascii="Calibri" w:eastAsia="Calibri" w:hAnsi="Calibri"/>
          <w:sz w:val="24"/>
          <w:szCs w:val="24"/>
          <w:lang w:val="fr-FR"/>
        </w:rPr>
        <w:t xml:space="preserve"> </w:t>
      </w:r>
      <w:r>
        <w:rPr>
          <w:rFonts w:eastAsia="Times New Roman"/>
          <w:b/>
          <w:bCs/>
          <w:sz w:val="24"/>
          <w:szCs w:val="24"/>
          <w:lang w:val="fr-FR" w:eastAsia="fr-FR"/>
        </w:rPr>
        <w:t>AFNOR Standard NF U44-051 (2006)</w:t>
      </w:r>
    </w:p>
    <w:p w14:paraId="499EF235" w14:textId="77777777" w:rsidR="00331605" w:rsidRDefault="00240697">
      <w:pPr>
        <w:spacing w:after="160" w:line="259" w:lineRule="auto"/>
        <w:jc w:val="left"/>
        <w:rPr>
          <w:rFonts w:eastAsia="Times New Roman"/>
          <w:sz w:val="27"/>
          <w:szCs w:val="27"/>
          <w:lang w:val="fr-FR" w:eastAsia="fr-FR"/>
        </w:rPr>
      </w:pPr>
      <w:proofErr w:type="spellStart"/>
      <w:r>
        <w:rPr>
          <w:rFonts w:eastAsia="Times New Roman"/>
          <w:b/>
          <w:bCs/>
          <w:sz w:val="24"/>
          <w:szCs w:val="24"/>
          <w:lang w:val="fr-FR" w:eastAsia="fr-FR"/>
        </w:rPr>
        <w:t>n.d</w:t>
      </w:r>
      <w:proofErr w:type="spellEnd"/>
      <w:r>
        <w:rPr>
          <w:rFonts w:eastAsia="Times New Roman"/>
          <w:b/>
          <w:bCs/>
          <w:sz w:val="24"/>
          <w:szCs w:val="24"/>
          <w:lang w:val="fr-FR" w:eastAsia="fr-FR"/>
        </w:rPr>
        <w:t xml:space="preserve">. = Not </w:t>
      </w:r>
      <w:proofErr w:type="spellStart"/>
      <w:r>
        <w:rPr>
          <w:rFonts w:eastAsia="Times New Roman"/>
          <w:b/>
          <w:bCs/>
          <w:sz w:val="24"/>
          <w:szCs w:val="24"/>
          <w:lang w:val="fr-FR" w:eastAsia="fr-FR"/>
        </w:rPr>
        <w:t>detected</w:t>
      </w:r>
      <w:proofErr w:type="spellEnd"/>
    </w:p>
    <w:bookmarkEnd w:id="6"/>
    <w:p w14:paraId="71BEB8FD" w14:textId="77777777" w:rsidR="00331605" w:rsidRDefault="00240697">
      <w:pPr>
        <w:pStyle w:val="Heading1"/>
        <w:numPr>
          <w:ilvl w:val="1"/>
          <w:numId w:val="11"/>
        </w:numPr>
        <w:rPr>
          <w:rFonts w:eastAsia="Times New Roman"/>
          <w:lang w:val="en-GB" w:eastAsia="fr-FR"/>
        </w:rPr>
      </w:pPr>
      <w:r>
        <w:rPr>
          <w:rFonts w:eastAsia="Times New Roman"/>
          <w:lang w:val="en-GB" w:eastAsia="fr-FR"/>
        </w:rPr>
        <w:t>Assessment of Trace Metal (TM) Contents in Leachates from Water Hyacinth Compost</w:t>
      </w:r>
    </w:p>
    <w:p w14:paraId="3CCBA4AB" w14:textId="77777777" w:rsidR="00331605" w:rsidRDefault="00331605">
      <w:pPr>
        <w:rPr>
          <w:rFonts w:eastAsia="Times New Roman"/>
          <w:b/>
          <w:sz w:val="24"/>
          <w:szCs w:val="24"/>
          <w:lang w:val="en-GB" w:eastAsia="fr-FR"/>
        </w:rPr>
      </w:pPr>
    </w:p>
    <w:p w14:paraId="6B78F72E" w14:textId="77777777" w:rsidR="00331605" w:rsidRDefault="00240697">
      <w:pPr>
        <w:spacing w:line="360" w:lineRule="auto"/>
        <w:rPr>
          <w:rFonts w:eastAsia="Times New Roman"/>
          <w:bCs/>
          <w:sz w:val="24"/>
          <w:szCs w:val="24"/>
          <w:lang w:val="en-GB" w:eastAsia="fr-FR"/>
        </w:rPr>
      </w:pPr>
      <w:r>
        <w:rPr>
          <w:rFonts w:eastAsia="Times New Roman"/>
          <w:bCs/>
          <w:sz w:val="24"/>
          <w:szCs w:val="24"/>
          <w:lang w:val="en-GB" w:eastAsia="fr-FR"/>
        </w:rPr>
        <w:t xml:space="preserve">The analysis of liquid leachates from water hyacinth composts, both shredded and </w:t>
      </w:r>
      <w:proofErr w:type="spellStart"/>
      <w:r>
        <w:rPr>
          <w:rFonts w:eastAsia="Times New Roman"/>
          <w:bCs/>
          <w:sz w:val="24"/>
          <w:szCs w:val="24"/>
          <w:lang w:val="en-GB" w:eastAsia="fr-FR"/>
        </w:rPr>
        <w:t>unshredded</w:t>
      </w:r>
      <w:proofErr w:type="spellEnd"/>
      <w:r>
        <w:rPr>
          <w:rFonts w:eastAsia="Times New Roman"/>
          <w:bCs/>
          <w:sz w:val="24"/>
          <w:szCs w:val="24"/>
          <w:lang w:val="en-GB" w:eastAsia="fr-FR"/>
        </w:rPr>
        <w:t>, revealed residual trace metal (TM) concentrations at low levels. Overall, the measured TM contents in the compost leachates remained well below the admissible limi</w:t>
      </w:r>
      <w:r>
        <w:rPr>
          <w:rFonts w:eastAsia="Times New Roman" w:hint="eastAsia"/>
          <w:bCs/>
          <w:sz w:val="24"/>
          <w:szCs w:val="24"/>
          <w:lang w:val="en-GB" w:eastAsia="fr-FR"/>
        </w:rPr>
        <w:t>ts set by the AFNOR NF U44-051 (2006) standard (Cd ≤ 3 mg/kg, Pb ≤ 180 mg/kg, Cu ≤ 300 mg/kg, Ni ≤ 60 mg/kg)</w:t>
      </w:r>
      <w:r>
        <w:rPr>
          <w:rFonts w:eastAsia="Times New Roman"/>
          <w:bCs/>
          <w:sz w:val="24"/>
          <w:szCs w:val="24"/>
          <w:lang w:val="en-GB" w:eastAsia="fr-FR"/>
        </w:rPr>
        <w:t xml:space="preserve"> (</w:t>
      </w:r>
      <w:r>
        <w:rPr>
          <w:rFonts w:eastAsia="Calibri"/>
          <w:bCs/>
          <w:i/>
          <w:iCs/>
          <w:color w:val="000000"/>
          <w:sz w:val="22"/>
          <w:szCs w:val="22"/>
          <w:lang w:val="en-GB"/>
        </w:rPr>
        <w:t>Table 3)</w:t>
      </w:r>
      <w:r>
        <w:rPr>
          <w:rFonts w:eastAsia="Times New Roman" w:hint="eastAsia"/>
          <w:bCs/>
          <w:sz w:val="24"/>
          <w:szCs w:val="24"/>
          <w:lang w:val="en-GB" w:eastAsia="fr-FR"/>
        </w:rPr>
        <w:t xml:space="preserve">. The observed concentrations were as follows: Cd at 0.021 mg/kg for </w:t>
      </w:r>
      <w:proofErr w:type="spellStart"/>
      <w:r>
        <w:rPr>
          <w:rFonts w:eastAsia="Times New Roman" w:hint="eastAsia"/>
          <w:bCs/>
          <w:sz w:val="24"/>
          <w:szCs w:val="24"/>
          <w:lang w:val="en-GB" w:eastAsia="fr-FR"/>
        </w:rPr>
        <w:t>unshredded</w:t>
      </w:r>
      <w:proofErr w:type="spellEnd"/>
      <w:r>
        <w:rPr>
          <w:rFonts w:eastAsia="Times New Roman" w:hint="eastAsia"/>
          <w:bCs/>
          <w:sz w:val="24"/>
          <w:szCs w:val="24"/>
          <w:lang w:val="en-GB" w:eastAsia="fr-FR"/>
        </w:rPr>
        <w:t xml:space="preserve"> compost and 0.005 mg/kg for shredded compost, Pb at 0.090 mg/kg and </w:t>
      </w:r>
      <w:r>
        <w:rPr>
          <w:rFonts w:eastAsia="Times New Roman"/>
          <w:bCs/>
          <w:sz w:val="24"/>
          <w:szCs w:val="24"/>
          <w:lang w:val="en-GB" w:eastAsia="fr-FR"/>
        </w:rPr>
        <w:t xml:space="preserve">0.039 mg/kg, Cu at </w:t>
      </w:r>
      <w:r>
        <w:rPr>
          <w:rFonts w:eastAsia="Times New Roman"/>
          <w:bCs/>
          <w:sz w:val="24"/>
          <w:szCs w:val="24"/>
          <w:lang w:val="en-GB" w:eastAsia="fr-FR"/>
        </w:rPr>
        <w:lastRenderedPageBreak/>
        <w:t>0.145 mg/kg and 0.101 mg/kg, and Ni &lt;0.004 mg/kg in both cases, all significantly below regulatory thresholds.</w:t>
      </w:r>
    </w:p>
    <w:p w14:paraId="1AAF8F5B" w14:textId="77777777" w:rsidR="00331605" w:rsidRDefault="00240697">
      <w:pPr>
        <w:spacing w:line="360" w:lineRule="auto"/>
        <w:rPr>
          <w:rFonts w:eastAsia="Times New Roman"/>
          <w:bCs/>
          <w:sz w:val="24"/>
          <w:szCs w:val="24"/>
          <w:lang w:val="en-GB" w:eastAsia="fr-FR"/>
        </w:rPr>
      </w:pPr>
      <w:r>
        <w:rPr>
          <w:rFonts w:eastAsia="Times New Roman"/>
          <w:bCs/>
          <w:sz w:val="24"/>
          <w:szCs w:val="24"/>
          <w:lang w:val="en-GB" w:eastAsia="fr-FR"/>
        </w:rPr>
        <w:t xml:space="preserve">In contrast, mercury (Hg) exhibited higher mobility, with concentrations of 24.286 µg/L in the </w:t>
      </w:r>
      <w:proofErr w:type="spellStart"/>
      <w:r>
        <w:rPr>
          <w:rFonts w:eastAsia="Times New Roman"/>
          <w:bCs/>
          <w:sz w:val="24"/>
          <w:szCs w:val="24"/>
          <w:lang w:val="en-GB" w:eastAsia="fr-FR"/>
        </w:rPr>
        <w:t>unshredded</w:t>
      </w:r>
      <w:proofErr w:type="spellEnd"/>
      <w:r>
        <w:rPr>
          <w:rFonts w:eastAsia="Times New Roman"/>
          <w:bCs/>
          <w:sz w:val="24"/>
          <w:szCs w:val="24"/>
          <w:lang w:val="en-GB" w:eastAsia="fr-FR"/>
        </w:rPr>
        <w:t xml:space="preserve"> compost leachate and 54.825 µg/L in the shredded compost leachate.</w:t>
      </w:r>
    </w:p>
    <w:p w14:paraId="5C1B6269" w14:textId="77777777" w:rsidR="00331605" w:rsidRDefault="00331605">
      <w:pPr>
        <w:rPr>
          <w:rFonts w:eastAsia="Calibri"/>
          <w:sz w:val="24"/>
          <w:szCs w:val="24"/>
          <w:lang w:val="en-GB"/>
        </w:rPr>
      </w:pPr>
    </w:p>
    <w:p w14:paraId="219B3382" w14:textId="77777777" w:rsidR="00331605" w:rsidRDefault="00240697">
      <w:pPr>
        <w:keepNext/>
        <w:spacing w:after="200"/>
        <w:ind w:left="1134" w:hanging="1134"/>
        <w:jc w:val="left"/>
        <w:rPr>
          <w:rFonts w:eastAsia="Calibri"/>
          <w:b/>
          <w:bCs/>
          <w:i/>
          <w:iCs/>
          <w:color w:val="000000"/>
          <w:sz w:val="22"/>
          <w:szCs w:val="22"/>
          <w:lang w:val="en-GB"/>
        </w:rPr>
      </w:pPr>
      <w:bookmarkStart w:id="7" w:name="_Hlk211526967"/>
      <w:r>
        <w:rPr>
          <w:rFonts w:eastAsia="Calibri"/>
          <w:b/>
          <w:bCs/>
          <w:i/>
          <w:iCs/>
          <w:color w:val="000000"/>
          <w:sz w:val="22"/>
          <w:szCs w:val="22"/>
          <w:lang w:val="en-GB"/>
        </w:rPr>
        <w:t>Table 3: Assessment of Trace Metal (TM) Contents in Leachates from Water Hyacinth Compost</w:t>
      </w:r>
    </w:p>
    <w:tbl>
      <w:tblPr>
        <w:tblStyle w:val="TableGrid"/>
        <w:tblW w:w="9788" w:type="dxa"/>
        <w:jc w:val="center"/>
        <w:tblLook w:val="04A0" w:firstRow="1" w:lastRow="0" w:firstColumn="1" w:lastColumn="0" w:noHBand="0" w:noVBand="1"/>
      </w:tblPr>
      <w:tblGrid>
        <w:gridCol w:w="3969"/>
        <w:gridCol w:w="1070"/>
        <w:gridCol w:w="1095"/>
        <w:gridCol w:w="1132"/>
        <w:gridCol w:w="1070"/>
        <w:gridCol w:w="1443"/>
        <w:gridCol w:w="9"/>
      </w:tblGrid>
      <w:tr w:rsidR="00331605" w14:paraId="3368C50E" w14:textId="77777777">
        <w:trPr>
          <w:gridAfter w:val="1"/>
          <w:wAfter w:w="9" w:type="dxa"/>
          <w:jc w:val="center"/>
        </w:trPr>
        <w:tc>
          <w:tcPr>
            <w:tcW w:w="3969" w:type="dxa"/>
            <w:vMerge w:val="restart"/>
            <w:tcBorders>
              <w:left w:val="nil"/>
              <w:bottom w:val="single" w:sz="4" w:space="0" w:color="auto"/>
              <w:right w:val="nil"/>
            </w:tcBorders>
            <w:vAlign w:val="center"/>
          </w:tcPr>
          <w:p w14:paraId="5A13C224"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Type of Compost</w:t>
            </w:r>
          </w:p>
        </w:tc>
        <w:tc>
          <w:tcPr>
            <w:tcW w:w="5810" w:type="dxa"/>
            <w:gridSpan w:val="5"/>
            <w:tcBorders>
              <w:left w:val="nil"/>
              <w:right w:val="nil"/>
            </w:tcBorders>
            <w:vAlign w:val="center"/>
          </w:tcPr>
          <w:p w14:paraId="430BB698" w14:textId="77777777" w:rsidR="00331605" w:rsidRDefault="00240697">
            <w:pPr>
              <w:spacing w:line="276" w:lineRule="auto"/>
              <w:jc w:val="center"/>
              <w:rPr>
                <w:rFonts w:eastAsia="Times New Roman"/>
                <w:b/>
                <w:bCs/>
                <w:sz w:val="27"/>
                <w:szCs w:val="27"/>
                <w:lang w:val="fr-FR" w:eastAsia="fr-FR"/>
              </w:rPr>
            </w:pPr>
            <w:proofErr w:type="spellStart"/>
            <w:r>
              <w:rPr>
                <w:rFonts w:eastAsia="Calibri"/>
                <w:b/>
                <w:bCs/>
                <w:kern w:val="2"/>
                <w:sz w:val="24"/>
                <w:szCs w:val="24"/>
                <w:lang w:val="fr-FR"/>
                <w14:ligatures w14:val="standardContextual"/>
              </w:rPr>
              <w:t>Analyzed</w:t>
            </w:r>
            <w:proofErr w:type="spellEnd"/>
            <w:r>
              <w:rPr>
                <w:rFonts w:eastAsia="Calibri"/>
                <w:b/>
                <w:bCs/>
                <w:kern w:val="2"/>
                <w:sz w:val="24"/>
                <w:szCs w:val="24"/>
                <w:lang w:val="fr-FR"/>
                <w14:ligatures w14:val="standardContextual"/>
              </w:rPr>
              <w:t xml:space="preserve"> Trace </w:t>
            </w:r>
            <w:proofErr w:type="spellStart"/>
            <w:r>
              <w:rPr>
                <w:rFonts w:eastAsia="Calibri"/>
                <w:b/>
                <w:bCs/>
                <w:kern w:val="2"/>
                <w:sz w:val="24"/>
                <w:szCs w:val="24"/>
                <w:lang w:val="fr-FR"/>
                <w14:ligatures w14:val="standardContextual"/>
              </w:rPr>
              <w:t>Elements</w:t>
            </w:r>
            <w:proofErr w:type="spellEnd"/>
            <w:r>
              <w:rPr>
                <w:rFonts w:eastAsia="Calibri"/>
                <w:b/>
                <w:bCs/>
                <w:kern w:val="2"/>
                <w:sz w:val="24"/>
                <w:szCs w:val="24"/>
                <w:lang w:val="fr-FR"/>
                <w14:ligatures w14:val="standardContextual"/>
              </w:rPr>
              <w:t xml:space="preserve"> (</w:t>
            </w:r>
            <w:proofErr w:type="spellStart"/>
            <w:r>
              <w:rPr>
                <w:rFonts w:eastAsia="Calibri"/>
                <w:b/>
                <w:bCs/>
                <w:kern w:val="2"/>
                <w:sz w:val="24"/>
                <w:szCs w:val="24"/>
                <w:lang w:val="fr-FR"/>
                <w14:ligatures w14:val="standardContextual"/>
              </w:rPr>
              <w:t>TEs</w:t>
            </w:r>
            <w:proofErr w:type="spellEnd"/>
            <w:r>
              <w:rPr>
                <w:rFonts w:eastAsia="Calibri"/>
                <w:b/>
                <w:bCs/>
                <w:kern w:val="2"/>
                <w:sz w:val="24"/>
                <w:szCs w:val="24"/>
                <w:lang w:val="fr-FR"/>
                <w14:ligatures w14:val="standardContextual"/>
              </w:rPr>
              <w:t>)</w:t>
            </w:r>
          </w:p>
        </w:tc>
      </w:tr>
      <w:tr w:rsidR="00331605" w14:paraId="47E3847C" w14:textId="77777777">
        <w:trPr>
          <w:jc w:val="center"/>
        </w:trPr>
        <w:tc>
          <w:tcPr>
            <w:tcW w:w="3969" w:type="dxa"/>
            <w:vMerge/>
            <w:tcBorders>
              <w:left w:val="nil"/>
              <w:bottom w:val="single" w:sz="4" w:space="0" w:color="auto"/>
              <w:right w:val="nil"/>
            </w:tcBorders>
            <w:vAlign w:val="center"/>
          </w:tcPr>
          <w:p w14:paraId="555C69C6" w14:textId="77777777" w:rsidR="00331605" w:rsidRDefault="00331605">
            <w:pPr>
              <w:spacing w:line="276" w:lineRule="auto"/>
              <w:jc w:val="center"/>
              <w:rPr>
                <w:rFonts w:eastAsia="Times New Roman"/>
                <w:b/>
                <w:bCs/>
                <w:sz w:val="27"/>
                <w:szCs w:val="27"/>
                <w:lang w:val="fr-FR" w:eastAsia="fr-FR"/>
              </w:rPr>
            </w:pPr>
          </w:p>
        </w:tc>
        <w:tc>
          <w:tcPr>
            <w:tcW w:w="1070" w:type="dxa"/>
            <w:tcBorders>
              <w:left w:val="nil"/>
              <w:bottom w:val="single" w:sz="4" w:space="0" w:color="auto"/>
              <w:right w:val="nil"/>
            </w:tcBorders>
            <w:vAlign w:val="center"/>
          </w:tcPr>
          <w:p w14:paraId="5552B9E7"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Cd </w:t>
            </w:r>
            <w:r>
              <w:rPr>
                <w:rFonts w:eastAsia="Calibri"/>
                <w:b/>
                <w:bCs/>
                <w:kern w:val="2"/>
                <w:sz w:val="24"/>
                <w:szCs w:val="24"/>
                <w:lang w:val="fr-FR"/>
                <w14:ligatures w14:val="standardContextual"/>
              </w:rPr>
              <w:br/>
              <w:t>(mg/Kg)</w:t>
            </w:r>
          </w:p>
        </w:tc>
        <w:tc>
          <w:tcPr>
            <w:tcW w:w="1095" w:type="dxa"/>
            <w:tcBorders>
              <w:left w:val="nil"/>
              <w:bottom w:val="single" w:sz="4" w:space="0" w:color="auto"/>
              <w:right w:val="nil"/>
            </w:tcBorders>
            <w:vAlign w:val="center"/>
          </w:tcPr>
          <w:p w14:paraId="61B2BF1D"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Pb </w:t>
            </w:r>
            <w:r>
              <w:rPr>
                <w:rFonts w:eastAsia="Calibri"/>
                <w:b/>
                <w:bCs/>
                <w:kern w:val="2"/>
                <w:sz w:val="24"/>
                <w:szCs w:val="24"/>
                <w:lang w:val="fr-FR"/>
                <w14:ligatures w14:val="standardContextual"/>
              </w:rPr>
              <w:br/>
              <w:t>(mg/Kg)</w:t>
            </w:r>
          </w:p>
        </w:tc>
        <w:tc>
          <w:tcPr>
            <w:tcW w:w="1132" w:type="dxa"/>
            <w:tcBorders>
              <w:left w:val="nil"/>
              <w:bottom w:val="single" w:sz="4" w:space="0" w:color="auto"/>
              <w:right w:val="nil"/>
            </w:tcBorders>
            <w:vAlign w:val="center"/>
          </w:tcPr>
          <w:p w14:paraId="215AA077"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Cu </w:t>
            </w:r>
            <w:r>
              <w:rPr>
                <w:rFonts w:eastAsia="Calibri"/>
                <w:b/>
                <w:bCs/>
                <w:kern w:val="2"/>
                <w:sz w:val="24"/>
                <w:szCs w:val="24"/>
                <w:lang w:val="fr-FR"/>
                <w14:ligatures w14:val="standardContextual"/>
              </w:rPr>
              <w:br/>
              <w:t>(mg/Kg)</w:t>
            </w:r>
          </w:p>
        </w:tc>
        <w:tc>
          <w:tcPr>
            <w:tcW w:w="1070" w:type="dxa"/>
            <w:tcBorders>
              <w:left w:val="nil"/>
              <w:bottom w:val="single" w:sz="4" w:space="0" w:color="auto"/>
              <w:right w:val="nil"/>
            </w:tcBorders>
            <w:vAlign w:val="center"/>
          </w:tcPr>
          <w:p w14:paraId="2CCAC268"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Ni </w:t>
            </w:r>
            <w:r>
              <w:rPr>
                <w:rFonts w:eastAsia="Calibri"/>
                <w:b/>
                <w:bCs/>
                <w:kern w:val="2"/>
                <w:sz w:val="24"/>
                <w:szCs w:val="24"/>
                <w:lang w:val="fr-FR"/>
                <w14:ligatures w14:val="standardContextual"/>
              </w:rPr>
              <w:br/>
              <w:t>(mg/Kg)</w:t>
            </w:r>
          </w:p>
        </w:tc>
        <w:tc>
          <w:tcPr>
            <w:tcW w:w="1452" w:type="dxa"/>
            <w:gridSpan w:val="2"/>
            <w:tcBorders>
              <w:left w:val="nil"/>
              <w:bottom w:val="single" w:sz="4" w:space="0" w:color="auto"/>
              <w:right w:val="nil"/>
            </w:tcBorders>
            <w:vAlign w:val="center"/>
          </w:tcPr>
          <w:p w14:paraId="7990ED10" w14:textId="77777777" w:rsidR="00331605" w:rsidRDefault="00240697">
            <w:pPr>
              <w:spacing w:line="276" w:lineRule="auto"/>
              <w:jc w:val="center"/>
              <w:rPr>
                <w:rFonts w:eastAsia="Times New Roman"/>
                <w:b/>
                <w:bCs/>
                <w:sz w:val="27"/>
                <w:szCs w:val="27"/>
                <w:lang w:val="fr-FR" w:eastAsia="fr-FR"/>
              </w:rPr>
            </w:pPr>
            <w:r>
              <w:rPr>
                <w:rFonts w:eastAsia="Calibri"/>
                <w:b/>
                <w:bCs/>
                <w:kern w:val="2"/>
                <w:sz w:val="24"/>
                <w:szCs w:val="24"/>
                <w:lang w:val="fr-FR"/>
                <w14:ligatures w14:val="standardContextual"/>
              </w:rPr>
              <w:t xml:space="preserve">Hg </w:t>
            </w:r>
            <w:r>
              <w:rPr>
                <w:rFonts w:eastAsia="Calibri"/>
                <w:b/>
                <w:bCs/>
                <w:kern w:val="2"/>
                <w:sz w:val="24"/>
                <w:szCs w:val="24"/>
                <w:lang w:val="fr-FR"/>
                <w14:ligatures w14:val="standardContextual"/>
              </w:rPr>
              <w:br/>
              <w:t>(µg/L)</w:t>
            </w:r>
          </w:p>
        </w:tc>
      </w:tr>
      <w:tr w:rsidR="00331605" w14:paraId="0E88B2BC" w14:textId="77777777">
        <w:trPr>
          <w:jc w:val="center"/>
        </w:trPr>
        <w:tc>
          <w:tcPr>
            <w:tcW w:w="3969" w:type="dxa"/>
            <w:tcBorders>
              <w:top w:val="single" w:sz="4" w:space="0" w:color="auto"/>
              <w:left w:val="nil"/>
              <w:bottom w:val="single" w:sz="4" w:space="0" w:color="auto"/>
              <w:right w:val="nil"/>
            </w:tcBorders>
            <w:vAlign w:val="center"/>
          </w:tcPr>
          <w:p w14:paraId="7E5E64AE" w14:textId="77777777" w:rsidR="00331605" w:rsidRDefault="00240697">
            <w:pPr>
              <w:spacing w:line="276" w:lineRule="auto"/>
              <w:jc w:val="center"/>
              <w:rPr>
                <w:rFonts w:eastAsia="Times New Roman"/>
                <w:sz w:val="24"/>
                <w:szCs w:val="24"/>
                <w:lang w:val="fr-FR" w:eastAsia="fr-FR"/>
              </w:rPr>
            </w:pPr>
            <w:proofErr w:type="spellStart"/>
            <w:r>
              <w:rPr>
                <w:rFonts w:eastAsia="Calibri"/>
                <w:kern w:val="2"/>
                <w:sz w:val="24"/>
                <w:szCs w:val="24"/>
                <w:lang w:val="fr-FR"/>
                <w14:ligatures w14:val="standardContextual"/>
              </w:rPr>
              <w:t>Admissibility</w:t>
            </w:r>
            <w:proofErr w:type="spellEnd"/>
            <w:r>
              <w:rPr>
                <w:rFonts w:eastAsia="Calibri"/>
                <w:kern w:val="2"/>
                <w:sz w:val="24"/>
                <w:szCs w:val="24"/>
                <w:lang w:val="fr-FR"/>
                <w14:ligatures w14:val="standardContextual"/>
              </w:rPr>
              <w:t xml:space="preserve"> </w:t>
            </w:r>
            <w:proofErr w:type="spellStart"/>
            <w:r>
              <w:rPr>
                <w:rFonts w:eastAsia="Calibri"/>
                <w:kern w:val="2"/>
                <w:sz w:val="24"/>
                <w:szCs w:val="24"/>
                <w:lang w:val="fr-FR"/>
                <w14:ligatures w14:val="standardContextual"/>
              </w:rPr>
              <w:t>Threshold</w:t>
            </w:r>
            <w:proofErr w:type="spellEnd"/>
            <w:r>
              <w:rPr>
                <w:rFonts w:eastAsia="Calibri"/>
                <w:kern w:val="2"/>
                <w:sz w:val="24"/>
                <w:szCs w:val="24"/>
                <w:lang w:val="fr-FR"/>
                <w14:ligatures w14:val="standardContextual"/>
              </w:rPr>
              <w:t xml:space="preserve"> *    </w:t>
            </w:r>
          </w:p>
        </w:tc>
        <w:tc>
          <w:tcPr>
            <w:tcW w:w="1070" w:type="dxa"/>
            <w:tcBorders>
              <w:left w:val="nil"/>
              <w:bottom w:val="single" w:sz="4" w:space="0" w:color="auto"/>
              <w:right w:val="nil"/>
            </w:tcBorders>
            <w:vAlign w:val="center"/>
          </w:tcPr>
          <w:p w14:paraId="06496D09"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xml:space="preserve">≤ 3 </w:t>
            </w:r>
          </w:p>
        </w:tc>
        <w:tc>
          <w:tcPr>
            <w:tcW w:w="1095" w:type="dxa"/>
            <w:tcBorders>
              <w:left w:val="nil"/>
              <w:bottom w:val="single" w:sz="4" w:space="0" w:color="auto"/>
              <w:right w:val="nil"/>
            </w:tcBorders>
            <w:vAlign w:val="center"/>
          </w:tcPr>
          <w:p w14:paraId="49E8B5A1"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180</w:t>
            </w:r>
          </w:p>
        </w:tc>
        <w:tc>
          <w:tcPr>
            <w:tcW w:w="1132" w:type="dxa"/>
            <w:tcBorders>
              <w:left w:val="nil"/>
              <w:bottom w:val="single" w:sz="4" w:space="0" w:color="auto"/>
              <w:right w:val="nil"/>
            </w:tcBorders>
            <w:vAlign w:val="center"/>
          </w:tcPr>
          <w:p w14:paraId="7F8CC6A3"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300</w:t>
            </w:r>
          </w:p>
        </w:tc>
        <w:tc>
          <w:tcPr>
            <w:tcW w:w="1070" w:type="dxa"/>
            <w:tcBorders>
              <w:left w:val="nil"/>
              <w:bottom w:val="single" w:sz="4" w:space="0" w:color="auto"/>
              <w:right w:val="nil"/>
            </w:tcBorders>
            <w:vAlign w:val="center"/>
          </w:tcPr>
          <w:p w14:paraId="56AD63A9" w14:textId="77777777" w:rsidR="00331605" w:rsidRDefault="00240697">
            <w:pPr>
              <w:spacing w:line="276" w:lineRule="auto"/>
              <w:jc w:val="center"/>
              <w:rPr>
                <w:rFonts w:eastAsia="Times New Roman"/>
                <w:sz w:val="24"/>
                <w:szCs w:val="24"/>
                <w:lang w:val="fr-FR" w:eastAsia="fr-FR"/>
              </w:rPr>
            </w:pPr>
            <w:r>
              <w:rPr>
                <w:rFonts w:eastAsia="Calibri"/>
                <w:kern w:val="2"/>
                <w:sz w:val="24"/>
                <w:szCs w:val="24"/>
                <w:lang w:val="fr-FR"/>
                <w14:ligatures w14:val="standardContextual"/>
              </w:rPr>
              <w:t>≤ 60</w:t>
            </w:r>
          </w:p>
        </w:tc>
        <w:tc>
          <w:tcPr>
            <w:tcW w:w="1452" w:type="dxa"/>
            <w:gridSpan w:val="2"/>
            <w:tcBorders>
              <w:left w:val="nil"/>
              <w:bottom w:val="single" w:sz="4" w:space="0" w:color="auto"/>
              <w:right w:val="nil"/>
            </w:tcBorders>
            <w:vAlign w:val="center"/>
          </w:tcPr>
          <w:p w14:paraId="54D51B64" w14:textId="77777777" w:rsidR="00331605" w:rsidRDefault="00240697">
            <w:pPr>
              <w:spacing w:line="276" w:lineRule="auto"/>
              <w:jc w:val="center"/>
              <w:rPr>
                <w:rFonts w:eastAsia="Times New Roman"/>
                <w:sz w:val="24"/>
                <w:szCs w:val="24"/>
                <w:lang w:val="fr-FR" w:eastAsia="fr-FR"/>
              </w:rPr>
            </w:pPr>
            <w:r>
              <w:rPr>
                <w:rFonts w:eastAsia="Calibri"/>
                <w:sz w:val="24"/>
                <w:szCs w:val="24"/>
                <w:lang w:val="fr-FR"/>
              </w:rPr>
              <w:t>&lt;1,0</w:t>
            </w:r>
            <w:r>
              <w:rPr>
                <w:rFonts w:eastAsia="Calibri"/>
                <w:b/>
                <w:bCs/>
                <w:kern w:val="2"/>
                <w:sz w:val="24"/>
                <w:szCs w:val="24"/>
                <w:lang w:val="fr-FR"/>
                <w14:ligatures w14:val="standardContextual"/>
              </w:rPr>
              <w:t xml:space="preserve"> µg/L</w:t>
            </w:r>
          </w:p>
        </w:tc>
      </w:tr>
      <w:tr w:rsidR="00331605" w14:paraId="40B621E3" w14:textId="77777777">
        <w:trPr>
          <w:jc w:val="center"/>
        </w:trPr>
        <w:tc>
          <w:tcPr>
            <w:tcW w:w="3969" w:type="dxa"/>
            <w:tcBorders>
              <w:top w:val="single" w:sz="4" w:space="0" w:color="auto"/>
              <w:left w:val="nil"/>
              <w:bottom w:val="nil"/>
              <w:right w:val="nil"/>
            </w:tcBorders>
          </w:tcPr>
          <w:p w14:paraId="2D3D7CE3" w14:textId="77777777" w:rsidR="00331605" w:rsidRDefault="00240697">
            <w:pPr>
              <w:spacing w:line="276" w:lineRule="auto"/>
              <w:jc w:val="center"/>
              <w:rPr>
                <w:rFonts w:eastAsia="Calibri"/>
                <w:sz w:val="24"/>
                <w:szCs w:val="24"/>
                <w:lang w:val="en-GB"/>
              </w:rPr>
            </w:pPr>
            <w:r>
              <w:rPr>
                <w:rFonts w:eastAsia="Calibri"/>
                <w:sz w:val="24"/>
                <w:szCs w:val="24"/>
                <w:lang w:val="en-GB"/>
              </w:rPr>
              <w:t>Leachates from Compost Made with Non‑Chopped Water Hyacinth</w:t>
            </w:r>
          </w:p>
        </w:tc>
        <w:tc>
          <w:tcPr>
            <w:tcW w:w="1070" w:type="dxa"/>
            <w:tcBorders>
              <w:top w:val="single" w:sz="4" w:space="0" w:color="auto"/>
              <w:left w:val="nil"/>
              <w:bottom w:val="nil"/>
              <w:right w:val="nil"/>
            </w:tcBorders>
          </w:tcPr>
          <w:p w14:paraId="2AECD8D9" w14:textId="77777777" w:rsidR="00331605" w:rsidRDefault="00240697">
            <w:pPr>
              <w:spacing w:line="276" w:lineRule="auto"/>
              <w:jc w:val="center"/>
              <w:rPr>
                <w:rFonts w:eastAsia="Calibri"/>
                <w:sz w:val="24"/>
                <w:szCs w:val="24"/>
                <w:lang w:val="fr-FR"/>
              </w:rPr>
            </w:pPr>
            <w:r>
              <w:rPr>
                <w:rFonts w:eastAsia="Calibri"/>
                <w:sz w:val="24"/>
                <w:szCs w:val="24"/>
                <w:lang w:val="fr-FR"/>
              </w:rPr>
              <w:t>0,021</w:t>
            </w:r>
          </w:p>
        </w:tc>
        <w:tc>
          <w:tcPr>
            <w:tcW w:w="1095" w:type="dxa"/>
            <w:tcBorders>
              <w:top w:val="single" w:sz="4" w:space="0" w:color="auto"/>
              <w:left w:val="nil"/>
              <w:bottom w:val="nil"/>
              <w:right w:val="nil"/>
            </w:tcBorders>
          </w:tcPr>
          <w:p w14:paraId="5B47C224" w14:textId="77777777" w:rsidR="00331605" w:rsidRDefault="00240697">
            <w:pPr>
              <w:spacing w:line="276" w:lineRule="auto"/>
              <w:jc w:val="center"/>
              <w:rPr>
                <w:rFonts w:eastAsia="Calibri"/>
                <w:sz w:val="24"/>
                <w:szCs w:val="24"/>
                <w:lang w:val="fr-FR"/>
              </w:rPr>
            </w:pPr>
            <w:r>
              <w:rPr>
                <w:rFonts w:eastAsia="Calibri"/>
                <w:sz w:val="24"/>
                <w:szCs w:val="24"/>
                <w:lang w:val="fr-FR"/>
              </w:rPr>
              <w:t>0,090</w:t>
            </w:r>
          </w:p>
        </w:tc>
        <w:tc>
          <w:tcPr>
            <w:tcW w:w="1132" w:type="dxa"/>
            <w:tcBorders>
              <w:top w:val="single" w:sz="4" w:space="0" w:color="auto"/>
              <w:left w:val="nil"/>
              <w:bottom w:val="nil"/>
              <w:right w:val="nil"/>
            </w:tcBorders>
          </w:tcPr>
          <w:p w14:paraId="6AEFB997" w14:textId="77777777" w:rsidR="00331605" w:rsidRDefault="00240697">
            <w:pPr>
              <w:spacing w:line="276" w:lineRule="auto"/>
              <w:jc w:val="center"/>
              <w:rPr>
                <w:rFonts w:eastAsia="Calibri"/>
                <w:sz w:val="24"/>
                <w:szCs w:val="24"/>
                <w:lang w:val="fr-FR"/>
              </w:rPr>
            </w:pPr>
            <w:r>
              <w:rPr>
                <w:rFonts w:eastAsia="Calibri"/>
                <w:sz w:val="24"/>
                <w:szCs w:val="24"/>
                <w:lang w:val="fr-FR"/>
              </w:rPr>
              <w:t>0,145</w:t>
            </w:r>
          </w:p>
        </w:tc>
        <w:tc>
          <w:tcPr>
            <w:tcW w:w="1070" w:type="dxa"/>
            <w:tcBorders>
              <w:top w:val="single" w:sz="4" w:space="0" w:color="auto"/>
              <w:left w:val="nil"/>
              <w:bottom w:val="nil"/>
              <w:right w:val="nil"/>
            </w:tcBorders>
          </w:tcPr>
          <w:p w14:paraId="09AFBFE2" w14:textId="77777777" w:rsidR="00331605" w:rsidRDefault="00240697">
            <w:pPr>
              <w:spacing w:line="276" w:lineRule="auto"/>
              <w:jc w:val="center"/>
              <w:rPr>
                <w:rFonts w:eastAsia="Calibri"/>
                <w:sz w:val="24"/>
                <w:szCs w:val="24"/>
                <w:lang w:val="fr-FR"/>
              </w:rPr>
            </w:pPr>
            <w:r>
              <w:rPr>
                <w:rFonts w:eastAsia="Calibri"/>
                <w:sz w:val="24"/>
                <w:szCs w:val="24"/>
                <w:lang w:val="fr-FR"/>
              </w:rPr>
              <w:t>&lt;0,004</w:t>
            </w:r>
          </w:p>
        </w:tc>
        <w:tc>
          <w:tcPr>
            <w:tcW w:w="1452" w:type="dxa"/>
            <w:gridSpan w:val="2"/>
            <w:tcBorders>
              <w:top w:val="single" w:sz="4" w:space="0" w:color="auto"/>
              <w:left w:val="nil"/>
              <w:bottom w:val="nil"/>
              <w:right w:val="nil"/>
            </w:tcBorders>
          </w:tcPr>
          <w:p w14:paraId="3660F57A" w14:textId="77777777" w:rsidR="00331605" w:rsidRDefault="00240697">
            <w:pPr>
              <w:spacing w:line="276" w:lineRule="auto"/>
              <w:jc w:val="center"/>
              <w:rPr>
                <w:rFonts w:eastAsia="Calibri"/>
                <w:sz w:val="24"/>
                <w:szCs w:val="24"/>
                <w:lang w:val="fr-FR"/>
              </w:rPr>
            </w:pPr>
            <w:r>
              <w:rPr>
                <w:rFonts w:eastAsia="Calibri"/>
                <w:sz w:val="24"/>
                <w:szCs w:val="24"/>
                <w:lang w:val="fr-FR"/>
              </w:rPr>
              <w:t>24,286</w:t>
            </w:r>
          </w:p>
        </w:tc>
      </w:tr>
      <w:tr w:rsidR="00331605" w14:paraId="07303B15" w14:textId="77777777">
        <w:trPr>
          <w:jc w:val="center"/>
        </w:trPr>
        <w:tc>
          <w:tcPr>
            <w:tcW w:w="3969" w:type="dxa"/>
            <w:tcBorders>
              <w:top w:val="nil"/>
              <w:left w:val="nil"/>
              <w:bottom w:val="nil"/>
              <w:right w:val="nil"/>
            </w:tcBorders>
          </w:tcPr>
          <w:p w14:paraId="263ECFC4" w14:textId="77777777" w:rsidR="00331605" w:rsidRDefault="00331605">
            <w:pPr>
              <w:spacing w:line="276" w:lineRule="auto"/>
              <w:jc w:val="center"/>
              <w:rPr>
                <w:rFonts w:eastAsia="Calibri"/>
                <w:sz w:val="24"/>
                <w:szCs w:val="24"/>
                <w:lang w:val="fr-FR"/>
              </w:rPr>
            </w:pPr>
          </w:p>
        </w:tc>
        <w:tc>
          <w:tcPr>
            <w:tcW w:w="1070" w:type="dxa"/>
            <w:tcBorders>
              <w:top w:val="nil"/>
              <w:left w:val="nil"/>
              <w:bottom w:val="nil"/>
              <w:right w:val="nil"/>
            </w:tcBorders>
          </w:tcPr>
          <w:p w14:paraId="52B564EC" w14:textId="77777777" w:rsidR="00331605" w:rsidRDefault="00331605">
            <w:pPr>
              <w:spacing w:line="276" w:lineRule="auto"/>
              <w:jc w:val="center"/>
              <w:rPr>
                <w:rFonts w:eastAsia="Calibri"/>
                <w:sz w:val="24"/>
                <w:szCs w:val="24"/>
                <w:lang w:val="fr-FR"/>
              </w:rPr>
            </w:pPr>
          </w:p>
        </w:tc>
        <w:tc>
          <w:tcPr>
            <w:tcW w:w="1095" w:type="dxa"/>
            <w:tcBorders>
              <w:top w:val="nil"/>
              <w:left w:val="nil"/>
              <w:bottom w:val="nil"/>
              <w:right w:val="nil"/>
            </w:tcBorders>
          </w:tcPr>
          <w:p w14:paraId="13ED9FF5" w14:textId="77777777" w:rsidR="00331605" w:rsidRDefault="00331605">
            <w:pPr>
              <w:spacing w:line="276" w:lineRule="auto"/>
              <w:jc w:val="center"/>
              <w:rPr>
                <w:rFonts w:eastAsia="Calibri"/>
                <w:sz w:val="24"/>
                <w:szCs w:val="24"/>
                <w:lang w:val="fr-FR"/>
              </w:rPr>
            </w:pPr>
          </w:p>
        </w:tc>
        <w:tc>
          <w:tcPr>
            <w:tcW w:w="1132" w:type="dxa"/>
            <w:tcBorders>
              <w:top w:val="nil"/>
              <w:left w:val="nil"/>
              <w:bottom w:val="nil"/>
              <w:right w:val="nil"/>
            </w:tcBorders>
          </w:tcPr>
          <w:p w14:paraId="1E1E34E6" w14:textId="77777777" w:rsidR="00331605" w:rsidRDefault="00331605">
            <w:pPr>
              <w:spacing w:line="276" w:lineRule="auto"/>
              <w:jc w:val="center"/>
              <w:rPr>
                <w:rFonts w:eastAsia="Calibri"/>
                <w:sz w:val="24"/>
                <w:szCs w:val="24"/>
                <w:lang w:val="fr-FR"/>
              </w:rPr>
            </w:pPr>
          </w:p>
        </w:tc>
        <w:tc>
          <w:tcPr>
            <w:tcW w:w="1070" w:type="dxa"/>
            <w:tcBorders>
              <w:top w:val="nil"/>
              <w:left w:val="nil"/>
              <w:bottom w:val="nil"/>
              <w:right w:val="nil"/>
            </w:tcBorders>
          </w:tcPr>
          <w:p w14:paraId="07E02C8E" w14:textId="77777777" w:rsidR="00331605" w:rsidRDefault="00331605">
            <w:pPr>
              <w:spacing w:line="276" w:lineRule="auto"/>
              <w:jc w:val="center"/>
              <w:rPr>
                <w:rFonts w:eastAsia="Calibri"/>
                <w:sz w:val="24"/>
                <w:szCs w:val="24"/>
                <w:lang w:val="fr-FR"/>
              </w:rPr>
            </w:pPr>
          </w:p>
        </w:tc>
        <w:tc>
          <w:tcPr>
            <w:tcW w:w="1452" w:type="dxa"/>
            <w:gridSpan w:val="2"/>
            <w:tcBorders>
              <w:top w:val="nil"/>
              <w:left w:val="nil"/>
              <w:bottom w:val="nil"/>
              <w:right w:val="nil"/>
            </w:tcBorders>
          </w:tcPr>
          <w:p w14:paraId="3E1A04A0" w14:textId="77777777" w:rsidR="00331605" w:rsidRDefault="00331605">
            <w:pPr>
              <w:spacing w:line="276" w:lineRule="auto"/>
              <w:jc w:val="center"/>
              <w:rPr>
                <w:rFonts w:eastAsia="Calibri"/>
                <w:sz w:val="24"/>
                <w:szCs w:val="24"/>
                <w:lang w:val="fr-FR"/>
              </w:rPr>
            </w:pPr>
          </w:p>
        </w:tc>
      </w:tr>
      <w:tr w:rsidR="00331605" w14:paraId="73131EF7" w14:textId="77777777">
        <w:trPr>
          <w:jc w:val="center"/>
        </w:trPr>
        <w:tc>
          <w:tcPr>
            <w:tcW w:w="3969" w:type="dxa"/>
            <w:tcBorders>
              <w:top w:val="nil"/>
              <w:left w:val="nil"/>
              <w:bottom w:val="single" w:sz="4" w:space="0" w:color="auto"/>
              <w:right w:val="nil"/>
            </w:tcBorders>
          </w:tcPr>
          <w:p w14:paraId="605736A5" w14:textId="77777777" w:rsidR="00331605" w:rsidRDefault="00240697">
            <w:pPr>
              <w:spacing w:line="276" w:lineRule="auto"/>
              <w:jc w:val="center"/>
              <w:rPr>
                <w:rFonts w:eastAsia="Times New Roman"/>
                <w:sz w:val="24"/>
                <w:szCs w:val="24"/>
                <w:lang w:val="en-GB" w:eastAsia="fr-FR"/>
              </w:rPr>
            </w:pPr>
            <w:r>
              <w:rPr>
                <w:rFonts w:eastAsia="Calibri"/>
                <w:sz w:val="24"/>
                <w:szCs w:val="24"/>
                <w:lang w:val="en-GB"/>
              </w:rPr>
              <w:t>Leachates from Compost Made with Chopped Water Hyacinth</w:t>
            </w:r>
          </w:p>
        </w:tc>
        <w:tc>
          <w:tcPr>
            <w:tcW w:w="1070" w:type="dxa"/>
            <w:tcBorders>
              <w:top w:val="nil"/>
              <w:left w:val="nil"/>
              <w:bottom w:val="single" w:sz="4" w:space="0" w:color="auto"/>
              <w:right w:val="nil"/>
            </w:tcBorders>
          </w:tcPr>
          <w:p w14:paraId="0CD8439E" w14:textId="77777777" w:rsidR="00331605" w:rsidRDefault="00240697">
            <w:pPr>
              <w:spacing w:line="276" w:lineRule="auto"/>
              <w:jc w:val="center"/>
              <w:rPr>
                <w:rFonts w:eastAsia="Times New Roman"/>
                <w:sz w:val="24"/>
                <w:szCs w:val="24"/>
                <w:lang w:val="fr-FR" w:eastAsia="fr-FR"/>
              </w:rPr>
            </w:pPr>
            <w:r>
              <w:rPr>
                <w:rFonts w:eastAsia="Calibri"/>
                <w:sz w:val="24"/>
                <w:szCs w:val="24"/>
                <w:lang w:val="fr-FR"/>
              </w:rPr>
              <w:t>0,005</w:t>
            </w:r>
          </w:p>
        </w:tc>
        <w:tc>
          <w:tcPr>
            <w:tcW w:w="1095" w:type="dxa"/>
            <w:tcBorders>
              <w:top w:val="nil"/>
              <w:left w:val="nil"/>
              <w:bottom w:val="single" w:sz="4" w:space="0" w:color="auto"/>
              <w:right w:val="nil"/>
            </w:tcBorders>
          </w:tcPr>
          <w:p w14:paraId="5FA6B88C" w14:textId="77777777" w:rsidR="00331605" w:rsidRDefault="00240697">
            <w:pPr>
              <w:spacing w:line="276" w:lineRule="auto"/>
              <w:jc w:val="center"/>
              <w:rPr>
                <w:rFonts w:eastAsia="Times New Roman"/>
                <w:sz w:val="24"/>
                <w:szCs w:val="24"/>
                <w:lang w:val="fr-FR" w:eastAsia="fr-FR"/>
              </w:rPr>
            </w:pPr>
            <w:r>
              <w:rPr>
                <w:rFonts w:eastAsia="Calibri"/>
                <w:sz w:val="24"/>
                <w:szCs w:val="24"/>
                <w:lang w:val="fr-FR"/>
              </w:rPr>
              <w:t>0,039</w:t>
            </w:r>
          </w:p>
        </w:tc>
        <w:tc>
          <w:tcPr>
            <w:tcW w:w="1132" w:type="dxa"/>
            <w:tcBorders>
              <w:top w:val="nil"/>
              <w:left w:val="nil"/>
              <w:bottom w:val="single" w:sz="4" w:space="0" w:color="auto"/>
              <w:right w:val="nil"/>
            </w:tcBorders>
          </w:tcPr>
          <w:p w14:paraId="1A02BCE3" w14:textId="77777777" w:rsidR="00331605" w:rsidRDefault="00240697">
            <w:pPr>
              <w:spacing w:line="276" w:lineRule="auto"/>
              <w:jc w:val="center"/>
              <w:rPr>
                <w:rFonts w:eastAsia="Times New Roman"/>
                <w:sz w:val="24"/>
                <w:szCs w:val="24"/>
                <w:lang w:val="fr-FR" w:eastAsia="fr-FR"/>
              </w:rPr>
            </w:pPr>
            <w:r>
              <w:rPr>
                <w:rFonts w:eastAsia="Calibri"/>
                <w:sz w:val="24"/>
                <w:szCs w:val="24"/>
                <w:lang w:val="fr-FR"/>
              </w:rPr>
              <w:t>0,101</w:t>
            </w:r>
          </w:p>
        </w:tc>
        <w:tc>
          <w:tcPr>
            <w:tcW w:w="1070" w:type="dxa"/>
            <w:tcBorders>
              <w:top w:val="nil"/>
              <w:left w:val="nil"/>
              <w:bottom w:val="single" w:sz="4" w:space="0" w:color="auto"/>
              <w:right w:val="nil"/>
            </w:tcBorders>
          </w:tcPr>
          <w:p w14:paraId="761504C3" w14:textId="77777777" w:rsidR="00331605" w:rsidRDefault="00240697">
            <w:pPr>
              <w:spacing w:line="276" w:lineRule="auto"/>
              <w:jc w:val="center"/>
              <w:rPr>
                <w:rFonts w:eastAsia="Times New Roman"/>
                <w:sz w:val="24"/>
                <w:szCs w:val="24"/>
                <w:lang w:val="fr-FR" w:eastAsia="fr-FR"/>
              </w:rPr>
            </w:pPr>
            <w:r>
              <w:rPr>
                <w:rFonts w:eastAsia="Calibri"/>
                <w:sz w:val="24"/>
                <w:szCs w:val="24"/>
                <w:lang w:val="fr-FR"/>
              </w:rPr>
              <w:t>&lt;0,004</w:t>
            </w:r>
          </w:p>
        </w:tc>
        <w:tc>
          <w:tcPr>
            <w:tcW w:w="1452" w:type="dxa"/>
            <w:gridSpan w:val="2"/>
            <w:tcBorders>
              <w:top w:val="nil"/>
              <w:left w:val="nil"/>
              <w:bottom w:val="single" w:sz="4" w:space="0" w:color="auto"/>
              <w:right w:val="nil"/>
            </w:tcBorders>
          </w:tcPr>
          <w:p w14:paraId="1F64A4CD" w14:textId="77777777" w:rsidR="00331605" w:rsidRDefault="00240697">
            <w:pPr>
              <w:spacing w:line="276" w:lineRule="auto"/>
              <w:jc w:val="center"/>
              <w:rPr>
                <w:rFonts w:eastAsia="Times New Roman"/>
                <w:sz w:val="24"/>
                <w:szCs w:val="24"/>
                <w:lang w:val="fr-FR" w:eastAsia="fr-FR"/>
              </w:rPr>
            </w:pPr>
            <w:r>
              <w:rPr>
                <w:rFonts w:eastAsia="Calibri"/>
                <w:sz w:val="24"/>
                <w:szCs w:val="24"/>
                <w:lang w:val="fr-FR"/>
              </w:rPr>
              <w:t>54,825</w:t>
            </w:r>
          </w:p>
        </w:tc>
      </w:tr>
    </w:tbl>
    <w:bookmarkEnd w:id="7"/>
    <w:p w14:paraId="3F97E969" w14:textId="77777777" w:rsidR="00331605" w:rsidRDefault="00240697">
      <w:pPr>
        <w:rPr>
          <w:rFonts w:eastAsia="Times New Roman"/>
          <w:b/>
          <w:bCs/>
          <w:sz w:val="24"/>
          <w:szCs w:val="24"/>
          <w:lang w:val="fr-FR" w:eastAsia="fr-FR"/>
        </w:rPr>
      </w:pPr>
      <w:r>
        <w:rPr>
          <w:rFonts w:eastAsia="Times New Roman"/>
          <w:b/>
          <w:bCs/>
          <w:sz w:val="24"/>
          <w:szCs w:val="24"/>
          <w:lang w:val="fr-FR" w:eastAsia="fr-FR"/>
        </w:rPr>
        <w:t>* AFNOR Standard NF U44-051 (2006)</w:t>
      </w:r>
    </w:p>
    <w:p w14:paraId="41E22867" w14:textId="77777777" w:rsidR="00331605" w:rsidRDefault="00331605">
      <w:pPr>
        <w:rPr>
          <w:rFonts w:eastAsia="Calibri"/>
          <w:sz w:val="24"/>
          <w:szCs w:val="24"/>
          <w:lang w:val="fr-FR"/>
        </w:rPr>
      </w:pPr>
    </w:p>
    <w:p w14:paraId="1C34C74B" w14:textId="77777777" w:rsidR="00331605" w:rsidRDefault="00240697">
      <w:pPr>
        <w:pStyle w:val="Heading1"/>
        <w:numPr>
          <w:ilvl w:val="1"/>
          <w:numId w:val="11"/>
        </w:numPr>
        <w:rPr>
          <w:rFonts w:eastAsia="Times New Roman"/>
          <w:lang w:val="en-GB"/>
        </w:rPr>
      </w:pPr>
      <w:bookmarkStart w:id="8" w:name="_Hlk194336890"/>
      <w:proofErr w:type="spellStart"/>
      <w:r>
        <w:rPr>
          <w:rFonts w:eastAsia="Times New Roman"/>
          <w:lang w:val="en-GB"/>
        </w:rPr>
        <w:t>Physico</w:t>
      </w:r>
      <w:proofErr w:type="spellEnd"/>
      <w:r>
        <w:rPr>
          <w:rFonts w:eastAsia="Times New Roman"/>
          <w:lang w:val="en-GB"/>
        </w:rPr>
        <w:t>-Chemical Characteristics of Composts Derived from Water Hyacinth</w:t>
      </w:r>
    </w:p>
    <w:p w14:paraId="2FCE53DA" w14:textId="77777777" w:rsidR="00331605" w:rsidRDefault="00240697">
      <w:pPr>
        <w:suppressAutoHyphens/>
        <w:autoSpaceDN w:val="0"/>
        <w:spacing w:after="160" w:line="360" w:lineRule="auto"/>
        <w:textAlignment w:val="baseline"/>
        <w:rPr>
          <w:rFonts w:eastAsia="Calibri"/>
          <w:bCs/>
          <w:sz w:val="24"/>
          <w:szCs w:val="24"/>
          <w:lang w:val="en-GB"/>
        </w:rPr>
      </w:pPr>
      <w:r>
        <w:rPr>
          <w:rFonts w:eastAsia="Times New Roman"/>
          <w:bCs/>
          <w:sz w:val="24"/>
          <w:szCs w:val="24"/>
          <w:lang w:val="en-GB"/>
        </w:rPr>
        <w:t xml:space="preserve">The analysis of composts produced from water hyacinth (Table 4) highlights </w:t>
      </w:r>
      <w:proofErr w:type="spellStart"/>
      <w:r>
        <w:rPr>
          <w:rFonts w:eastAsia="Times New Roman"/>
          <w:bCs/>
          <w:sz w:val="24"/>
          <w:szCs w:val="24"/>
          <w:lang w:val="en-GB"/>
        </w:rPr>
        <w:t>physico</w:t>
      </w:r>
      <w:proofErr w:type="spellEnd"/>
      <w:r>
        <w:rPr>
          <w:rFonts w:eastAsia="Times New Roman"/>
          <w:bCs/>
          <w:sz w:val="24"/>
          <w:szCs w:val="24"/>
          <w:lang w:val="en-GB"/>
        </w:rPr>
        <w:t xml:space="preserve">-chemical properties </w:t>
      </w:r>
      <w:proofErr w:type="spellStart"/>
      <w:r>
        <w:rPr>
          <w:rFonts w:eastAsia="Times New Roman"/>
          <w:bCs/>
          <w:sz w:val="24"/>
          <w:szCs w:val="24"/>
          <w:lang w:val="en-GB"/>
        </w:rPr>
        <w:t>favorable</w:t>
      </w:r>
      <w:proofErr w:type="spellEnd"/>
      <w:r>
        <w:rPr>
          <w:rFonts w:eastAsia="Times New Roman"/>
          <w:bCs/>
          <w:sz w:val="24"/>
          <w:szCs w:val="24"/>
          <w:lang w:val="en-GB"/>
        </w:rPr>
        <w:t xml:space="preserve"> for sustainable agronomic </w:t>
      </w:r>
      <w:proofErr w:type="spellStart"/>
      <w:r>
        <w:rPr>
          <w:rFonts w:eastAsia="Times New Roman"/>
          <w:bCs/>
          <w:sz w:val="24"/>
          <w:szCs w:val="24"/>
          <w:lang w:val="en-GB"/>
        </w:rPr>
        <w:t>valorization</w:t>
      </w:r>
      <w:proofErr w:type="spellEnd"/>
      <w:r>
        <w:rPr>
          <w:rFonts w:eastAsia="Times New Roman"/>
          <w:bCs/>
          <w:sz w:val="24"/>
          <w:szCs w:val="24"/>
          <w:lang w:val="en-GB"/>
        </w:rPr>
        <w:t>. Measured values indicate an alkaline pH ranging from 8.00 to 8.03, reflecting good chemical stability of the compost. The chopped water hyacinth compost stands out with higher concentrations of major nutrients: potassium (8,453.84 mg/kg), total nitrogen (8,307.25 mg/kg), and phosphorus (1,095 mg/kg), compared to the non-chopped compost (7,246.49 mg/kg, 7,484.75 mg/kg, and 1,042.50 mg/kg, respectively)</w:t>
      </w:r>
      <w:r>
        <w:rPr>
          <w:rFonts w:eastAsia="Calibri"/>
          <w:bCs/>
          <w:sz w:val="24"/>
          <w:szCs w:val="24"/>
          <w:lang w:val="en-GB"/>
        </w:rPr>
        <w:t>.</w:t>
      </w:r>
      <w:bookmarkEnd w:id="8"/>
    </w:p>
    <w:p w14:paraId="1973903D" w14:textId="77777777" w:rsidR="00331605" w:rsidRDefault="00240697">
      <w:pPr>
        <w:keepNext/>
        <w:spacing w:after="200"/>
        <w:jc w:val="left"/>
        <w:rPr>
          <w:rFonts w:eastAsia="Calibri"/>
          <w:b/>
          <w:bCs/>
          <w:i/>
          <w:iCs/>
          <w:color w:val="000000"/>
          <w:sz w:val="22"/>
          <w:szCs w:val="22"/>
          <w:lang w:val="en-GB"/>
        </w:rPr>
      </w:pPr>
      <w:r>
        <w:rPr>
          <w:rFonts w:eastAsia="Calibri"/>
          <w:b/>
          <w:bCs/>
          <w:i/>
          <w:iCs/>
          <w:color w:val="000000"/>
          <w:sz w:val="22"/>
          <w:szCs w:val="22"/>
          <w:lang w:val="en-GB"/>
        </w:rPr>
        <w:t xml:space="preserve">Table 4: </w:t>
      </w:r>
      <w:proofErr w:type="spellStart"/>
      <w:r>
        <w:rPr>
          <w:rFonts w:eastAsia="Calibri"/>
          <w:b/>
          <w:bCs/>
          <w:i/>
          <w:iCs/>
          <w:color w:val="000000"/>
          <w:sz w:val="22"/>
          <w:szCs w:val="22"/>
          <w:lang w:val="en-GB"/>
        </w:rPr>
        <w:t>Physico</w:t>
      </w:r>
      <w:proofErr w:type="spellEnd"/>
      <w:r>
        <w:rPr>
          <w:rFonts w:eastAsia="Calibri"/>
          <w:b/>
          <w:bCs/>
          <w:i/>
          <w:iCs/>
          <w:color w:val="000000"/>
          <w:sz w:val="22"/>
          <w:szCs w:val="22"/>
          <w:lang w:val="en-GB"/>
        </w:rPr>
        <w:t>-Chemical Characteristics of Composts Derived from Water Hyacinth</w:t>
      </w:r>
    </w:p>
    <w:tbl>
      <w:tblPr>
        <w:tblStyle w:val="TableGrid"/>
        <w:tblW w:w="0" w:type="auto"/>
        <w:tblLook w:val="04A0" w:firstRow="1" w:lastRow="0" w:firstColumn="1" w:lastColumn="0" w:noHBand="0" w:noVBand="1"/>
      </w:tblPr>
      <w:tblGrid>
        <w:gridCol w:w="2268"/>
        <w:gridCol w:w="1560"/>
        <w:gridCol w:w="1842"/>
        <w:gridCol w:w="1701"/>
        <w:gridCol w:w="1691"/>
      </w:tblGrid>
      <w:tr w:rsidR="00331605" w14:paraId="23A9648E" w14:textId="77777777">
        <w:tc>
          <w:tcPr>
            <w:tcW w:w="2268" w:type="dxa"/>
            <w:tcBorders>
              <w:left w:val="nil"/>
              <w:bottom w:val="nil"/>
              <w:right w:val="nil"/>
            </w:tcBorders>
          </w:tcPr>
          <w:p w14:paraId="017136ED"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Type of Compost</w:t>
            </w:r>
          </w:p>
        </w:tc>
        <w:tc>
          <w:tcPr>
            <w:tcW w:w="6794" w:type="dxa"/>
            <w:gridSpan w:val="4"/>
            <w:tcBorders>
              <w:left w:val="nil"/>
              <w:bottom w:val="single" w:sz="4" w:space="0" w:color="auto"/>
              <w:right w:val="nil"/>
            </w:tcBorders>
          </w:tcPr>
          <w:p w14:paraId="6F54CF80"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 xml:space="preserve">Physico-Chemical </w:t>
            </w:r>
            <w:proofErr w:type="spellStart"/>
            <w:r>
              <w:rPr>
                <w:rFonts w:eastAsia="Calibri"/>
                <w:b/>
                <w:bCs/>
                <w:sz w:val="24"/>
                <w:szCs w:val="24"/>
                <w:lang w:val="fr-FR"/>
              </w:rPr>
              <w:t>Parameters</w:t>
            </w:r>
            <w:proofErr w:type="spellEnd"/>
          </w:p>
        </w:tc>
      </w:tr>
      <w:tr w:rsidR="00331605" w14:paraId="1442DB32" w14:textId="77777777">
        <w:tc>
          <w:tcPr>
            <w:tcW w:w="2268" w:type="dxa"/>
            <w:tcBorders>
              <w:top w:val="nil"/>
              <w:left w:val="nil"/>
              <w:bottom w:val="single" w:sz="4" w:space="0" w:color="auto"/>
              <w:right w:val="nil"/>
            </w:tcBorders>
          </w:tcPr>
          <w:p w14:paraId="34834EC3" w14:textId="77777777" w:rsidR="00331605" w:rsidRDefault="00331605">
            <w:pPr>
              <w:suppressAutoHyphens/>
              <w:autoSpaceDN w:val="0"/>
              <w:spacing w:line="276" w:lineRule="auto"/>
              <w:jc w:val="center"/>
              <w:textAlignment w:val="baseline"/>
              <w:rPr>
                <w:rFonts w:eastAsia="Calibri"/>
                <w:b/>
                <w:bCs/>
                <w:sz w:val="24"/>
                <w:szCs w:val="24"/>
                <w:lang w:val="fr-FR"/>
              </w:rPr>
            </w:pPr>
          </w:p>
        </w:tc>
        <w:tc>
          <w:tcPr>
            <w:tcW w:w="1560" w:type="dxa"/>
            <w:tcBorders>
              <w:left w:val="nil"/>
              <w:bottom w:val="single" w:sz="4" w:space="0" w:color="auto"/>
              <w:right w:val="nil"/>
            </w:tcBorders>
          </w:tcPr>
          <w:p w14:paraId="2C716B01" w14:textId="77777777" w:rsidR="00331605" w:rsidRDefault="00240697">
            <w:pPr>
              <w:suppressAutoHyphens/>
              <w:autoSpaceDN w:val="0"/>
              <w:spacing w:line="276" w:lineRule="auto"/>
              <w:jc w:val="center"/>
              <w:textAlignment w:val="baseline"/>
              <w:rPr>
                <w:rFonts w:eastAsia="Calibri"/>
                <w:b/>
                <w:bCs/>
                <w:sz w:val="24"/>
                <w:szCs w:val="24"/>
                <w:lang w:val="fr-FR"/>
              </w:rPr>
            </w:pPr>
            <w:proofErr w:type="gramStart"/>
            <w:r>
              <w:rPr>
                <w:rFonts w:eastAsia="Calibri"/>
                <w:b/>
                <w:bCs/>
                <w:sz w:val="24"/>
                <w:szCs w:val="24"/>
                <w:lang w:val="fr-FR"/>
              </w:rPr>
              <w:t>pH</w:t>
            </w:r>
            <w:proofErr w:type="gramEnd"/>
          </w:p>
        </w:tc>
        <w:tc>
          <w:tcPr>
            <w:tcW w:w="1842" w:type="dxa"/>
            <w:tcBorders>
              <w:left w:val="nil"/>
              <w:bottom w:val="single" w:sz="4" w:space="0" w:color="auto"/>
              <w:right w:val="nil"/>
            </w:tcBorders>
          </w:tcPr>
          <w:p w14:paraId="1622C8E0"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K (mg/Kg)</w:t>
            </w:r>
          </w:p>
        </w:tc>
        <w:tc>
          <w:tcPr>
            <w:tcW w:w="1701" w:type="dxa"/>
            <w:tcBorders>
              <w:left w:val="nil"/>
              <w:bottom w:val="single" w:sz="4" w:space="0" w:color="auto"/>
              <w:right w:val="nil"/>
            </w:tcBorders>
          </w:tcPr>
          <w:p w14:paraId="4F81061A"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Nt (mg/Kg)</w:t>
            </w:r>
          </w:p>
        </w:tc>
        <w:tc>
          <w:tcPr>
            <w:tcW w:w="1691" w:type="dxa"/>
            <w:tcBorders>
              <w:left w:val="nil"/>
              <w:bottom w:val="single" w:sz="4" w:space="0" w:color="auto"/>
              <w:right w:val="nil"/>
            </w:tcBorders>
          </w:tcPr>
          <w:p w14:paraId="23D3ED49"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b/>
                <w:bCs/>
                <w:sz w:val="24"/>
                <w:szCs w:val="24"/>
                <w:lang w:val="fr-FR"/>
              </w:rPr>
              <w:t>P (mg/Kg)</w:t>
            </w:r>
          </w:p>
        </w:tc>
      </w:tr>
      <w:tr w:rsidR="00331605" w14:paraId="060C2B79" w14:textId="77777777">
        <w:tc>
          <w:tcPr>
            <w:tcW w:w="2268" w:type="dxa"/>
            <w:tcBorders>
              <w:left w:val="nil"/>
              <w:bottom w:val="nil"/>
              <w:right w:val="nil"/>
            </w:tcBorders>
          </w:tcPr>
          <w:p w14:paraId="63DFC030" w14:textId="77777777" w:rsidR="00331605" w:rsidRDefault="00240697">
            <w:pPr>
              <w:suppressAutoHyphens/>
              <w:autoSpaceDN w:val="0"/>
              <w:spacing w:line="276" w:lineRule="auto"/>
              <w:jc w:val="center"/>
              <w:textAlignment w:val="baseline"/>
              <w:rPr>
                <w:rFonts w:eastAsia="Calibri"/>
                <w:b/>
                <w:bCs/>
                <w:sz w:val="24"/>
                <w:szCs w:val="24"/>
                <w:lang w:val="en-GB"/>
              </w:rPr>
            </w:pPr>
            <w:r>
              <w:rPr>
                <w:rFonts w:eastAsia="Calibri"/>
                <w:sz w:val="24"/>
                <w:szCs w:val="24"/>
                <w:lang w:val="en-GB"/>
              </w:rPr>
              <w:t xml:space="preserve">Compost made from </w:t>
            </w:r>
            <w:proofErr w:type="spellStart"/>
            <w:r>
              <w:rPr>
                <w:rFonts w:eastAsia="Calibri"/>
                <w:sz w:val="24"/>
                <w:szCs w:val="24"/>
                <w:lang w:val="en-GB"/>
              </w:rPr>
              <w:t>Unshredded</w:t>
            </w:r>
            <w:proofErr w:type="spellEnd"/>
            <w:r>
              <w:rPr>
                <w:rFonts w:eastAsia="Calibri"/>
                <w:sz w:val="24"/>
                <w:szCs w:val="24"/>
                <w:lang w:val="en-GB"/>
              </w:rPr>
              <w:t xml:space="preserve"> Water Hyacinth</w:t>
            </w:r>
          </w:p>
        </w:tc>
        <w:tc>
          <w:tcPr>
            <w:tcW w:w="1560" w:type="dxa"/>
            <w:tcBorders>
              <w:left w:val="nil"/>
              <w:bottom w:val="nil"/>
              <w:right w:val="nil"/>
            </w:tcBorders>
          </w:tcPr>
          <w:p w14:paraId="19DCE607"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8,00</w:t>
            </w:r>
          </w:p>
        </w:tc>
        <w:tc>
          <w:tcPr>
            <w:tcW w:w="1842" w:type="dxa"/>
            <w:tcBorders>
              <w:left w:val="nil"/>
              <w:bottom w:val="nil"/>
              <w:right w:val="nil"/>
            </w:tcBorders>
          </w:tcPr>
          <w:p w14:paraId="4A71664C"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7 246,49</w:t>
            </w:r>
          </w:p>
        </w:tc>
        <w:tc>
          <w:tcPr>
            <w:tcW w:w="1701" w:type="dxa"/>
            <w:tcBorders>
              <w:left w:val="nil"/>
              <w:bottom w:val="nil"/>
              <w:right w:val="nil"/>
            </w:tcBorders>
          </w:tcPr>
          <w:p w14:paraId="7B6E3D95"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7 484,75</w:t>
            </w:r>
          </w:p>
        </w:tc>
        <w:tc>
          <w:tcPr>
            <w:tcW w:w="1691" w:type="dxa"/>
            <w:tcBorders>
              <w:left w:val="nil"/>
              <w:bottom w:val="nil"/>
              <w:right w:val="nil"/>
            </w:tcBorders>
          </w:tcPr>
          <w:p w14:paraId="4F3D8460"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1 042,50</w:t>
            </w:r>
          </w:p>
        </w:tc>
      </w:tr>
      <w:tr w:rsidR="00331605" w14:paraId="25FEEF4E" w14:textId="77777777">
        <w:tc>
          <w:tcPr>
            <w:tcW w:w="2268" w:type="dxa"/>
            <w:tcBorders>
              <w:top w:val="nil"/>
              <w:left w:val="nil"/>
              <w:right w:val="nil"/>
            </w:tcBorders>
          </w:tcPr>
          <w:p w14:paraId="1BEC7735" w14:textId="77777777" w:rsidR="00331605" w:rsidRDefault="00240697">
            <w:pPr>
              <w:suppressAutoHyphens/>
              <w:autoSpaceDN w:val="0"/>
              <w:spacing w:line="276" w:lineRule="auto"/>
              <w:jc w:val="center"/>
              <w:textAlignment w:val="baseline"/>
              <w:rPr>
                <w:rFonts w:eastAsia="Calibri"/>
                <w:b/>
                <w:bCs/>
                <w:sz w:val="24"/>
                <w:szCs w:val="24"/>
                <w:lang w:val="en-GB"/>
              </w:rPr>
            </w:pPr>
            <w:proofErr w:type="spellStart"/>
            <w:r>
              <w:rPr>
                <w:rFonts w:eastAsia="Calibri"/>
                <w:sz w:val="24"/>
                <w:szCs w:val="24"/>
                <w:lang w:val="en-GB"/>
              </w:rPr>
              <w:t>ompost</w:t>
            </w:r>
            <w:proofErr w:type="spellEnd"/>
            <w:r>
              <w:rPr>
                <w:rFonts w:eastAsia="Calibri"/>
                <w:sz w:val="24"/>
                <w:szCs w:val="24"/>
                <w:lang w:val="en-GB"/>
              </w:rPr>
              <w:t xml:space="preserve"> made from Shredded Water Hyacinth</w:t>
            </w:r>
          </w:p>
        </w:tc>
        <w:tc>
          <w:tcPr>
            <w:tcW w:w="1560" w:type="dxa"/>
            <w:tcBorders>
              <w:top w:val="nil"/>
              <w:left w:val="nil"/>
              <w:right w:val="nil"/>
            </w:tcBorders>
          </w:tcPr>
          <w:p w14:paraId="59A5F336"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8,03</w:t>
            </w:r>
          </w:p>
        </w:tc>
        <w:tc>
          <w:tcPr>
            <w:tcW w:w="1842" w:type="dxa"/>
            <w:tcBorders>
              <w:top w:val="nil"/>
              <w:left w:val="nil"/>
              <w:right w:val="nil"/>
            </w:tcBorders>
          </w:tcPr>
          <w:p w14:paraId="4E7038FB"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8 453,84</w:t>
            </w:r>
          </w:p>
        </w:tc>
        <w:tc>
          <w:tcPr>
            <w:tcW w:w="1701" w:type="dxa"/>
            <w:tcBorders>
              <w:top w:val="nil"/>
              <w:left w:val="nil"/>
              <w:right w:val="nil"/>
            </w:tcBorders>
          </w:tcPr>
          <w:p w14:paraId="4246D145"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8 307,25</w:t>
            </w:r>
          </w:p>
        </w:tc>
        <w:tc>
          <w:tcPr>
            <w:tcW w:w="1691" w:type="dxa"/>
            <w:tcBorders>
              <w:top w:val="nil"/>
              <w:left w:val="nil"/>
              <w:right w:val="nil"/>
            </w:tcBorders>
          </w:tcPr>
          <w:p w14:paraId="31D726F9" w14:textId="77777777" w:rsidR="00331605" w:rsidRDefault="00240697">
            <w:pPr>
              <w:suppressAutoHyphens/>
              <w:autoSpaceDN w:val="0"/>
              <w:spacing w:line="276" w:lineRule="auto"/>
              <w:jc w:val="center"/>
              <w:textAlignment w:val="baseline"/>
              <w:rPr>
                <w:rFonts w:eastAsia="Calibri"/>
                <w:b/>
                <w:bCs/>
                <w:sz w:val="24"/>
                <w:szCs w:val="24"/>
                <w:lang w:val="fr-FR"/>
              </w:rPr>
            </w:pPr>
            <w:r>
              <w:rPr>
                <w:rFonts w:eastAsia="Calibri"/>
                <w:sz w:val="24"/>
                <w:szCs w:val="24"/>
                <w:lang w:val="fr-FR"/>
              </w:rPr>
              <w:t>1 095,00</w:t>
            </w:r>
          </w:p>
        </w:tc>
      </w:tr>
    </w:tbl>
    <w:p w14:paraId="402F5CCD" w14:textId="77777777" w:rsidR="00331605" w:rsidRDefault="00331605">
      <w:pPr>
        <w:rPr>
          <w:rFonts w:eastAsia="Calibri"/>
          <w:sz w:val="24"/>
          <w:szCs w:val="24"/>
          <w:lang w:val="fr-FR"/>
        </w:rPr>
        <w:sectPr w:rsidR="00331605">
          <w:type w:val="continuous"/>
          <w:pgSz w:w="11906" w:h="16838"/>
          <w:pgMar w:top="1418" w:right="1418" w:bottom="1418" w:left="1418" w:header="708" w:footer="708" w:gutter="0"/>
          <w:pgNumType w:start="63"/>
          <w:cols w:space="708"/>
          <w:titlePg/>
          <w:docGrid w:linePitch="360"/>
        </w:sectPr>
      </w:pPr>
    </w:p>
    <w:p w14:paraId="7407F9AA" w14:textId="77777777" w:rsidR="00331605" w:rsidRDefault="00331605">
      <w:pPr>
        <w:rPr>
          <w:rFonts w:eastAsia="Calibri"/>
          <w:sz w:val="24"/>
          <w:szCs w:val="24"/>
          <w:lang w:val="en-GB"/>
        </w:rPr>
      </w:pPr>
    </w:p>
    <w:p w14:paraId="7101DCC0" w14:textId="77777777" w:rsidR="00331605" w:rsidRDefault="00240697">
      <w:pPr>
        <w:pStyle w:val="Heading1"/>
        <w:rPr>
          <w:rFonts w:ascii="Calibri" w:eastAsia="Calibri" w:hAnsi="Calibri"/>
          <w:sz w:val="22"/>
          <w:szCs w:val="22"/>
          <w:lang w:val="en-GB"/>
        </w:rPr>
      </w:pPr>
      <w:r>
        <w:rPr>
          <w:rFonts w:eastAsia="Times New Roman"/>
          <w:lang w:val="en-GB"/>
        </w:rPr>
        <w:lastRenderedPageBreak/>
        <w:t>Discussion</w:t>
      </w:r>
    </w:p>
    <w:p w14:paraId="6F7EA476" w14:textId="77777777" w:rsidR="00331605" w:rsidRDefault="00240697">
      <w:pPr>
        <w:pStyle w:val="Heading1"/>
        <w:numPr>
          <w:ilvl w:val="1"/>
          <w:numId w:val="11"/>
        </w:numPr>
        <w:rPr>
          <w:rFonts w:eastAsia="Times New Roman"/>
          <w:lang w:val="en-GB"/>
        </w:rPr>
      </w:pPr>
      <w:r>
        <w:rPr>
          <w:rFonts w:eastAsia="Times New Roman"/>
          <w:lang w:val="en-GB"/>
        </w:rPr>
        <w:t>Bioaccumulation of Trace Elements in Water Hyacinth Collected from Different Sites</w:t>
      </w:r>
    </w:p>
    <w:p w14:paraId="687846AA" w14:textId="77777777" w:rsidR="00331605" w:rsidRDefault="00331605">
      <w:pPr>
        <w:spacing w:line="360" w:lineRule="auto"/>
        <w:rPr>
          <w:rFonts w:eastAsia="Times New Roman"/>
          <w:b/>
          <w:sz w:val="24"/>
          <w:szCs w:val="24"/>
          <w:lang w:val="en-GB"/>
        </w:rPr>
      </w:pPr>
    </w:p>
    <w:p w14:paraId="693BD513" w14:textId="77777777" w:rsidR="00331605" w:rsidRDefault="00240697">
      <w:pPr>
        <w:spacing w:line="360" w:lineRule="auto"/>
        <w:rPr>
          <w:rFonts w:eastAsia="Times New Roman"/>
          <w:bCs/>
          <w:sz w:val="24"/>
          <w:szCs w:val="24"/>
          <w:lang w:val="en-GB"/>
        </w:rPr>
      </w:pPr>
      <w:r>
        <w:rPr>
          <w:rFonts w:eastAsia="Times New Roman"/>
          <w:bCs/>
          <w:sz w:val="24"/>
          <w:szCs w:val="24"/>
          <w:lang w:val="en-GB"/>
        </w:rPr>
        <w:t>The results confirm the high bioaccumulation capacity of water hyacinth (</w:t>
      </w:r>
      <w:proofErr w:type="spellStart"/>
      <w:r>
        <w:rPr>
          <w:rFonts w:eastAsia="Times New Roman"/>
          <w:bCs/>
          <w:i/>
          <w:iCs/>
          <w:sz w:val="24"/>
          <w:szCs w:val="24"/>
          <w:lang w:val="en-GB"/>
        </w:rPr>
        <w:t>Eichhornia</w:t>
      </w:r>
      <w:proofErr w:type="spellEnd"/>
      <w:r>
        <w:rPr>
          <w:rFonts w:eastAsia="Times New Roman"/>
          <w:bCs/>
          <w:i/>
          <w:iCs/>
          <w:sz w:val="24"/>
          <w:szCs w:val="24"/>
          <w:lang w:val="en-GB"/>
        </w:rPr>
        <w:t xml:space="preserve"> </w:t>
      </w:r>
      <w:proofErr w:type="spellStart"/>
      <w:r>
        <w:rPr>
          <w:rFonts w:eastAsia="Times New Roman"/>
          <w:bCs/>
          <w:i/>
          <w:iCs/>
          <w:sz w:val="24"/>
          <w:szCs w:val="24"/>
          <w:lang w:val="en-GB"/>
        </w:rPr>
        <w:t>crassipes</w:t>
      </w:r>
      <w:proofErr w:type="spellEnd"/>
      <w:r>
        <w:rPr>
          <w:rFonts w:eastAsia="Times New Roman"/>
          <w:bCs/>
          <w:sz w:val="24"/>
          <w:szCs w:val="24"/>
          <w:lang w:val="en-GB"/>
        </w:rPr>
        <w:t xml:space="preserve">) for trace elements (TEs), particularly in the submerged parts of the plant. This preferential accumulation of Pb, Cu, Ni, and Cd in the roots highlights the role of this macrophyte as a biofilter in contaminated aquatic ecosystems. The roots, being in direct contact with both water and sediments, facilitate metal adsorption and complexation through functional groups such as hydroxyls, </w:t>
      </w:r>
      <w:proofErr w:type="spellStart"/>
      <w:r>
        <w:rPr>
          <w:rFonts w:eastAsia="Times New Roman"/>
          <w:bCs/>
          <w:sz w:val="24"/>
          <w:szCs w:val="24"/>
          <w:lang w:val="en-GB"/>
        </w:rPr>
        <w:t>carboxyls</w:t>
      </w:r>
      <w:proofErr w:type="spellEnd"/>
      <w:r>
        <w:rPr>
          <w:rFonts w:eastAsia="Times New Roman"/>
          <w:bCs/>
          <w:sz w:val="24"/>
          <w:szCs w:val="24"/>
          <w:lang w:val="en-GB"/>
        </w:rPr>
        <w:t xml:space="preserve">, and amines, as reported by </w:t>
      </w:r>
      <w:proofErr w:type="spellStart"/>
      <w:r>
        <w:rPr>
          <w:rFonts w:eastAsia="Times New Roman"/>
          <w:bCs/>
          <w:sz w:val="24"/>
          <w:szCs w:val="24"/>
          <w:lang w:val="en-GB"/>
        </w:rPr>
        <w:t>Rezania</w:t>
      </w:r>
      <w:proofErr w:type="spellEnd"/>
      <w:r>
        <w:rPr>
          <w:rFonts w:eastAsia="Times New Roman"/>
          <w:bCs/>
          <w:sz w:val="24"/>
          <w:szCs w:val="24"/>
          <w:lang w:val="en-GB"/>
        </w:rPr>
        <w:t xml:space="preserve"> </w:t>
      </w:r>
      <w:r>
        <w:rPr>
          <w:rFonts w:eastAsia="Times New Roman"/>
          <w:bCs/>
          <w:i/>
          <w:iCs/>
          <w:sz w:val="24"/>
          <w:szCs w:val="24"/>
          <w:lang w:val="en-GB"/>
        </w:rPr>
        <w:t>et al.</w:t>
      </w:r>
      <w:r>
        <w:rPr>
          <w:rFonts w:eastAsia="Times New Roman"/>
          <w:bCs/>
          <w:sz w:val="24"/>
          <w:szCs w:val="24"/>
          <w:lang w:val="en-GB"/>
        </w:rPr>
        <w:t xml:space="preserve"> (2016) and </w:t>
      </w:r>
      <w:proofErr w:type="spellStart"/>
      <w:r>
        <w:rPr>
          <w:rFonts w:eastAsia="Times New Roman"/>
          <w:bCs/>
          <w:sz w:val="24"/>
          <w:szCs w:val="24"/>
          <w:lang w:val="en-GB"/>
        </w:rPr>
        <w:t>Saha</w:t>
      </w:r>
      <w:proofErr w:type="spellEnd"/>
      <w:r>
        <w:rPr>
          <w:rFonts w:eastAsia="Times New Roman"/>
          <w:bCs/>
          <w:sz w:val="24"/>
          <w:szCs w:val="24"/>
          <w:lang w:val="en-GB"/>
        </w:rPr>
        <w:t xml:space="preserve"> </w:t>
      </w:r>
      <w:r>
        <w:rPr>
          <w:rFonts w:eastAsia="Times New Roman"/>
          <w:bCs/>
          <w:i/>
          <w:iCs/>
          <w:sz w:val="24"/>
          <w:szCs w:val="24"/>
          <w:lang w:val="en-GB"/>
        </w:rPr>
        <w:t>et al.</w:t>
      </w:r>
      <w:r>
        <w:rPr>
          <w:rFonts w:eastAsia="Times New Roman"/>
          <w:bCs/>
          <w:sz w:val="24"/>
          <w:szCs w:val="24"/>
          <w:lang w:val="en-GB"/>
        </w:rPr>
        <w:t xml:space="preserve"> (2017).</w:t>
      </w:r>
    </w:p>
    <w:p w14:paraId="376A3AA1" w14:textId="77777777" w:rsidR="00331605" w:rsidRDefault="00240697">
      <w:pPr>
        <w:spacing w:line="360" w:lineRule="auto"/>
        <w:rPr>
          <w:rFonts w:eastAsia="Times New Roman"/>
          <w:bCs/>
          <w:sz w:val="24"/>
          <w:szCs w:val="24"/>
          <w:lang w:val="en-GB"/>
        </w:rPr>
      </w:pPr>
      <w:r>
        <w:rPr>
          <w:rFonts w:eastAsia="Times New Roman"/>
          <w:bCs/>
          <w:sz w:val="24"/>
          <w:szCs w:val="24"/>
          <w:lang w:val="en-GB"/>
        </w:rPr>
        <w:t xml:space="preserve">The marked difference between submerged and aerial parts reflects the physiological compartmentalization of metals. According to Rai </w:t>
      </w:r>
      <w:r w:rsidRPr="00BC6212">
        <w:rPr>
          <w:rFonts w:eastAsia="Times New Roman"/>
          <w:bCs/>
          <w:i/>
          <w:iCs/>
          <w:sz w:val="24"/>
          <w:szCs w:val="24"/>
          <w:lang w:val="en-GB"/>
        </w:rPr>
        <w:t>et al.</w:t>
      </w:r>
      <w:r>
        <w:rPr>
          <w:rFonts w:eastAsia="Times New Roman"/>
          <w:bCs/>
          <w:sz w:val="24"/>
          <w:szCs w:val="24"/>
          <w:lang w:val="en-GB"/>
        </w:rPr>
        <w:t xml:space="preserve"> (2008), water hyacinth limits the translocation of potentially toxic metals to leaves to preserve the integrity of the photosynthetic apparatus. This mechanism relies on intracellular chelation and </w:t>
      </w:r>
      <w:proofErr w:type="spellStart"/>
      <w:r>
        <w:rPr>
          <w:rFonts w:eastAsia="Times New Roman"/>
          <w:bCs/>
          <w:sz w:val="24"/>
          <w:szCs w:val="24"/>
          <w:lang w:val="en-GB"/>
        </w:rPr>
        <w:t>vacuolar</w:t>
      </w:r>
      <w:proofErr w:type="spellEnd"/>
      <w:r>
        <w:rPr>
          <w:rFonts w:eastAsia="Times New Roman"/>
          <w:bCs/>
          <w:sz w:val="24"/>
          <w:szCs w:val="24"/>
          <w:lang w:val="en-GB"/>
        </w:rPr>
        <w:t xml:space="preserve"> sequestration into less toxic forms, involving the synthesis of </w:t>
      </w:r>
      <w:proofErr w:type="spellStart"/>
      <w:r>
        <w:rPr>
          <w:rFonts w:eastAsia="Times New Roman"/>
          <w:bCs/>
          <w:sz w:val="24"/>
          <w:szCs w:val="24"/>
          <w:lang w:val="en-GB"/>
        </w:rPr>
        <w:t>phytochelatins</w:t>
      </w:r>
      <w:proofErr w:type="spellEnd"/>
      <w:r>
        <w:rPr>
          <w:rFonts w:eastAsia="Times New Roman"/>
          <w:bCs/>
          <w:sz w:val="24"/>
          <w:szCs w:val="24"/>
          <w:lang w:val="en-GB"/>
        </w:rPr>
        <w:t xml:space="preserve"> and </w:t>
      </w:r>
      <w:proofErr w:type="spellStart"/>
      <w:r>
        <w:rPr>
          <w:rFonts w:eastAsia="Times New Roman"/>
          <w:bCs/>
          <w:sz w:val="24"/>
          <w:szCs w:val="24"/>
          <w:lang w:val="en-GB"/>
        </w:rPr>
        <w:t>metallothioneins</w:t>
      </w:r>
      <w:proofErr w:type="spellEnd"/>
      <w:r>
        <w:rPr>
          <w:rFonts w:eastAsia="Times New Roman"/>
          <w:bCs/>
          <w:sz w:val="24"/>
          <w:szCs w:val="24"/>
          <w:lang w:val="en-GB"/>
        </w:rPr>
        <w:t xml:space="preserve"> (</w:t>
      </w:r>
      <w:proofErr w:type="spellStart"/>
      <w:r>
        <w:rPr>
          <w:rFonts w:eastAsia="Times New Roman"/>
          <w:bCs/>
          <w:sz w:val="24"/>
          <w:szCs w:val="24"/>
          <w:lang w:val="en-GB"/>
        </w:rPr>
        <w:t>Nedjimi</w:t>
      </w:r>
      <w:proofErr w:type="spellEnd"/>
      <w:r>
        <w:rPr>
          <w:rFonts w:eastAsia="Times New Roman"/>
          <w:bCs/>
          <w:sz w:val="24"/>
          <w:szCs w:val="24"/>
          <w:lang w:val="en-GB"/>
        </w:rPr>
        <w:t xml:space="preserve">, 2021; Monroy-Licht </w:t>
      </w:r>
      <w:r>
        <w:rPr>
          <w:rFonts w:eastAsia="Times New Roman"/>
          <w:bCs/>
          <w:i/>
          <w:iCs/>
          <w:sz w:val="24"/>
          <w:szCs w:val="24"/>
          <w:lang w:val="en-GB"/>
        </w:rPr>
        <w:t>et al.,</w:t>
      </w:r>
      <w:r>
        <w:rPr>
          <w:rFonts w:eastAsia="Times New Roman"/>
          <w:bCs/>
          <w:sz w:val="24"/>
          <w:szCs w:val="24"/>
          <w:lang w:val="en-GB"/>
        </w:rPr>
        <w:t xml:space="preserve"> 2024). Such strategies confer high tolerance to polluted environments and reinforce its potential in phytoremediation, as also demonstrated by Eid </w:t>
      </w:r>
      <w:r w:rsidRPr="00F55AE3">
        <w:rPr>
          <w:rFonts w:eastAsia="Times New Roman"/>
          <w:bCs/>
          <w:i/>
          <w:iCs/>
          <w:sz w:val="24"/>
          <w:szCs w:val="24"/>
          <w:lang w:val="en-GB"/>
        </w:rPr>
        <w:t>et al.</w:t>
      </w:r>
      <w:r>
        <w:rPr>
          <w:rFonts w:eastAsia="Times New Roman"/>
          <w:bCs/>
          <w:sz w:val="24"/>
          <w:szCs w:val="24"/>
          <w:lang w:val="en-GB"/>
        </w:rPr>
        <w:t xml:space="preserve"> (2019).</w:t>
      </w:r>
    </w:p>
    <w:p w14:paraId="01580E94" w14:textId="77777777" w:rsidR="00331605" w:rsidRDefault="00240697">
      <w:pPr>
        <w:spacing w:line="360" w:lineRule="auto"/>
        <w:rPr>
          <w:rFonts w:eastAsia="Times New Roman"/>
          <w:bCs/>
          <w:sz w:val="24"/>
          <w:szCs w:val="24"/>
          <w:lang w:val="en-GB"/>
        </w:rPr>
      </w:pPr>
      <w:r>
        <w:rPr>
          <w:rFonts w:eastAsia="Times New Roman"/>
          <w:bCs/>
          <w:sz w:val="24"/>
          <w:szCs w:val="24"/>
          <w:lang w:val="en-GB"/>
        </w:rPr>
        <w:t>Mercury (Hg) behaves differently from other TEs. Its higher concentrations in aerial parts suggest a significant contribution from atmospheric inputs. Elemental mercury (Hg⁰), being volatile, can be absorbed directly by leaves (</w:t>
      </w:r>
      <w:proofErr w:type="spellStart"/>
      <w:r>
        <w:rPr>
          <w:rFonts w:eastAsia="Times New Roman"/>
          <w:bCs/>
          <w:sz w:val="24"/>
          <w:szCs w:val="24"/>
          <w:lang w:val="en-GB"/>
        </w:rPr>
        <w:t>Millhollen</w:t>
      </w:r>
      <w:proofErr w:type="spellEnd"/>
      <w:r>
        <w:rPr>
          <w:rFonts w:eastAsia="Times New Roman"/>
          <w:bCs/>
          <w:sz w:val="24"/>
          <w:szCs w:val="24"/>
          <w:lang w:val="en-GB"/>
        </w:rPr>
        <w:t xml:space="preserve"> </w:t>
      </w:r>
      <w:r>
        <w:rPr>
          <w:rFonts w:eastAsia="Times New Roman"/>
          <w:bCs/>
          <w:i/>
          <w:iCs/>
          <w:sz w:val="24"/>
          <w:szCs w:val="24"/>
          <w:lang w:val="en-GB"/>
        </w:rPr>
        <w:t>et al.,</w:t>
      </w:r>
      <w:r>
        <w:rPr>
          <w:rFonts w:eastAsia="Times New Roman"/>
          <w:bCs/>
          <w:sz w:val="24"/>
          <w:szCs w:val="24"/>
          <w:lang w:val="en-GB"/>
        </w:rPr>
        <w:t xml:space="preserve"> 2006; Wu </w:t>
      </w:r>
      <w:r>
        <w:rPr>
          <w:rFonts w:eastAsia="Times New Roman"/>
          <w:bCs/>
          <w:i/>
          <w:iCs/>
          <w:sz w:val="24"/>
          <w:szCs w:val="24"/>
          <w:lang w:val="en-GB"/>
        </w:rPr>
        <w:t>et al.,</w:t>
      </w:r>
      <w:r>
        <w:rPr>
          <w:rFonts w:eastAsia="Times New Roman"/>
          <w:bCs/>
          <w:sz w:val="24"/>
          <w:szCs w:val="24"/>
          <w:lang w:val="en-GB"/>
        </w:rPr>
        <w:t xml:space="preserve"> 2016). Additionally, phytovolatilization processes (Pilon-Smits, 2005) and transport via the transpiration stream (Bash </w:t>
      </w:r>
      <w:r>
        <w:rPr>
          <w:rFonts w:eastAsia="Times New Roman"/>
          <w:bCs/>
          <w:i/>
          <w:iCs/>
          <w:sz w:val="24"/>
          <w:szCs w:val="24"/>
          <w:lang w:val="en-GB"/>
        </w:rPr>
        <w:t>et al.,</w:t>
      </w:r>
      <w:r>
        <w:rPr>
          <w:rFonts w:eastAsia="Times New Roman"/>
          <w:bCs/>
          <w:sz w:val="24"/>
          <w:szCs w:val="24"/>
          <w:lang w:val="en-GB"/>
        </w:rPr>
        <w:t xml:space="preserve"> 2007; Carrasco-Gil </w:t>
      </w:r>
      <w:r w:rsidRPr="00F55AE3">
        <w:rPr>
          <w:rFonts w:eastAsia="Times New Roman"/>
          <w:bCs/>
          <w:i/>
          <w:iCs/>
          <w:sz w:val="24"/>
          <w:szCs w:val="24"/>
          <w:lang w:val="en-GB"/>
        </w:rPr>
        <w:t>et al.,</w:t>
      </w:r>
      <w:r>
        <w:rPr>
          <w:rFonts w:eastAsia="Times New Roman"/>
          <w:bCs/>
          <w:sz w:val="24"/>
          <w:szCs w:val="24"/>
          <w:lang w:val="en-GB"/>
        </w:rPr>
        <w:t xml:space="preserve"> 2013) may explain its redistribution to aerial organs. These combined mechanisms account for the elevated Hg levels observed, particularly at </w:t>
      </w:r>
      <w:proofErr w:type="spellStart"/>
      <w:r>
        <w:rPr>
          <w:rFonts w:eastAsia="Times New Roman"/>
          <w:bCs/>
          <w:sz w:val="24"/>
          <w:szCs w:val="24"/>
          <w:lang w:val="en-GB"/>
        </w:rPr>
        <w:t>Bè</w:t>
      </w:r>
      <w:proofErr w:type="spellEnd"/>
      <w:r>
        <w:rPr>
          <w:rFonts w:eastAsia="Times New Roman"/>
          <w:bCs/>
          <w:sz w:val="24"/>
          <w:szCs w:val="24"/>
          <w:lang w:val="en-GB"/>
        </w:rPr>
        <w:t>, a site potentially exposed to higher atmospheric emissions.</w:t>
      </w:r>
    </w:p>
    <w:p w14:paraId="2A34004F" w14:textId="77777777" w:rsidR="00331605" w:rsidRDefault="00240697">
      <w:pPr>
        <w:spacing w:line="360" w:lineRule="auto"/>
        <w:rPr>
          <w:rFonts w:eastAsia="Times New Roman"/>
          <w:bCs/>
          <w:sz w:val="24"/>
          <w:szCs w:val="24"/>
          <w:lang w:val="en-GB"/>
        </w:rPr>
      </w:pPr>
      <w:r>
        <w:rPr>
          <w:rFonts w:eastAsia="Times New Roman"/>
          <w:bCs/>
          <w:sz w:val="24"/>
          <w:szCs w:val="24"/>
          <w:lang w:val="en-GB"/>
        </w:rPr>
        <w:t>Inter-site analysis reveals a clear contamination gradient (</w:t>
      </w:r>
      <w:proofErr w:type="spellStart"/>
      <w:r>
        <w:rPr>
          <w:rFonts w:eastAsia="Times New Roman"/>
          <w:bCs/>
          <w:sz w:val="24"/>
          <w:szCs w:val="24"/>
          <w:lang w:val="en-GB"/>
        </w:rPr>
        <w:t>Bè</w:t>
      </w:r>
      <w:proofErr w:type="spellEnd"/>
      <w:r>
        <w:rPr>
          <w:rFonts w:eastAsia="Times New Roman"/>
          <w:bCs/>
          <w:sz w:val="24"/>
          <w:szCs w:val="24"/>
          <w:lang w:val="en-GB"/>
        </w:rPr>
        <w:t xml:space="preserve"> &gt; </w:t>
      </w:r>
      <w:proofErr w:type="spellStart"/>
      <w:r>
        <w:rPr>
          <w:rFonts w:eastAsia="Times New Roman"/>
          <w:bCs/>
          <w:sz w:val="24"/>
          <w:szCs w:val="24"/>
          <w:lang w:val="en-GB"/>
        </w:rPr>
        <w:t>Hanoukopé</w:t>
      </w:r>
      <w:proofErr w:type="spellEnd"/>
      <w:r>
        <w:rPr>
          <w:rFonts w:eastAsia="Times New Roman"/>
          <w:bCs/>
          <w:sz w:val="24"/>
          <w:szCs w:val="24"/>
          <w:lang w:val="en-GB"/>
        </w:rPr>
        <w:t xml:space="preserve"> &gt; </w:t>
      </w:r>
      <w:proofErr w:type="spellStart"/>
      <w:r>
        <w:rPr>
          <w:rFonts w:eastAsia="Times New Roman"/>
          <w:bCs/>
          <w:sz w:val="24"/>
          <w:szCs w:val="24"/>
          <w:lang w:val="en-GB"/>
        </w:rPr>
        <w:t>Nyékonakpoé</w:t>
      </w:r>
      <w:proofErr w:type="spellEnd"/>
      <w:r>
        <w:rPr>
          <w:rFonts w:eastAsia="Times New Roman"/>
          <w:bCs/>
          <w:sz w:val="24"/>
          <w:szCs w:val="24"/>
          <w:lang w:val="en-GB"/>
        </w:rPr>
        <w:t xml:space="preserve"> for Pb, Cu, and Ni), reflecting anthropogenic pressures. </w:t>
      </w:r>
      <w:proofErr w:type="spellStart"/>
      <w:r>
        <w:rPr>
          <w:rFonts w:eastAsia="Times New Roman"/>
          <w:bCs/>
          <w:sz w:val="24"/>
          <w:szCs w:val="24"/>
          <w:lang w:val="en-GB"/>
        </w:rPr>
        <w:t>Bè</w:t>
      </w:r>
      <w:proofErr w:type="spellEnd"/>
      <w:r>
        <w:rPr>
          <w:rFonts w:eastAsia="Times New Roman"/>
          <w:bCs/>
          <w:sz w:val="24"/>
          <w:szCs w:val="24"/>
          <w:lang w:val="en-GB"/>
        </w:rPr>
        <w:t>, characterized by high urban density and proximity to industrial and port areas, exhibits the highest metal levels. Industrial activities, mechanical workshops, domestic discharges, waste burning, and runoff represent potential TE sources (</w:t>
      </w:r>
      <w:proofErr w:type="spellStart"/>
      <w:r>
        <w:rPr>
          <w:rFonts w:eastAsia="Times New Roman"/>
          <w:bCs/>
          <w:sz w:val="24"/>
          <w:szCs w:val="24"/>
          <w:lang w:val="en-GB"/>
        </w:rPr>
        <w:t>Nabulo</w:t>
      </w:r>
      <w:proofErr w:type="spellEnd"/>
      <w:r>
        <w:rPr>
          <w:rFonts w:eastAsia="Times New Roman"/>
          <w:bCs/>
          <w:sz w:val="24"/>
          <w:szCs w:val="24"/>
          <w:lang w:val="en-GB"/>
        </w:rPr>
        <w:t xml:space="preserve"> </w:t>
      </w:r>
      <w:r>
        <w:rPr>
          <w:rFonts w:eastAsia="Times New Roman"/>
          <w:bCs/>
          <w:i/>
          <w:iCs/>
          <w:sz w:val="24"/>
          <w:szCs w:val="24"/>
          <w:lang w:val="en-GB"/>
        </w:rPr>
        <w:t>et al.,</w:t>
      </w:r>
      <w:r>
        <w:rPr>
          <w:rFonts w:eastAsia="Times New Roman"/>
          <w:bCs/>
          <w:sz w:val="24"/>
          <w:szCs w:val="24"/>
          <w:lang w:val="en-GB"/>
        </w:rPr>
        <w:t xml:space="preserve"> 2012; </w:t>
      </w:r>
      <w:proofErr w:type="spellStart"/>
      <w:r>
        <w:rPr>
          <w:rFonts w:eastAsia="Times New Roman"/>
          <w:bCs/>
          <w:sz w:val="24"/>
          <w:szCs w:val="24"/>
          <w:lang w:val="en-GB"/>
        </w:rPr>
        <w:t>Akpoti</w:t>
      </w:r>
      <w:proofErr w:type="spellEnd"/>
      <w:r>
        <w:rPr>
          <w:rFonts w:eastAsia="Times New Roman"/>
          <w:bCs/>
          <w:sz w:val="24"/>
          <w:szCs w:val="24"/>
          <w:lang w:val="en-GB"/>
        </w:rPr>
        <w:t xml:space="preserve"> </w:t>
      </w:r>
      <w:r>
        <w:rPr>
          <w:rFonts w:eastAsia="Times New Roman"/>
          <w:bCs/>
          <w:i/>
          <w:iCs/>
          <w:sz w:val="24"/>
          <w:szCs w:val="24"/>
          <w:lang w:val="en-GB"/>
        </w:rPr>
        <w:t>et al.,</w:t>
      </w:r>
      <w:r>
        <w:rPr>
          <w:rFonts w:eastAsia="Times New Roman"/>
          <w:bCs/>
          <w:sz w:val="24"/>
          <w:szCs w:val="24"/>
          <w:lang w:val="en-GB"/>
        </w:rPr>
        <w:t xml:space="preserve"> 2020; </w:t>
      </w:r>
      <w:proofErr w:type="spellStart"/>
      <w:r>
        <w:rPr>
          <w:rFonts w:eastAsia="Times New Roman"/>
          <w:bCs/>
          <w:sz w:val="24"/>
          <w:szCs w:val="24"/>
          <w:lang w:val="en-GB"/>
        </w:rPr>
        <w:t>Keumean</w:t>
      </w:r>
      <w:proofErr w:type="spellEnd"/>
      <w:r>
        <w:rPr>
          <w:rFonts w:eastAsia="Times New Roman"/>
          <w:bCs/>
          <w:sz w:val="24"/>
          <w:szCs w:val="24"/>
          <w:lang w:val="en-GB"/>
        </w:rPr>
        <w:t xml:space="preserve"> et al., 2020). These findings align with </w:t>
      </w:r>
      <w:proofErr w:type="spellStart"/>
      <w:r>
        <w:rPr>
          <w:rFonts w:eastAsia="Times New Roman"/>
          <w:bCs/>
          <w:sz w:val="24"/>
          <w:szCs w:val="24"/>
          <w:lang w:val="en-GB"/>
        </w:rPr>
        <w:t>Samecka-Cymerman</w:t>
      </w:r>
      <w:proofErr w:type="spellEnd"/>
      <w:r>
        <w:rPr>
          <w:rFonts w:eastAsia="Times New Roman"/>
          <w:bCs/>
          <w:sz w:val="24"/>
          <w:szCs w:val="24"/>
          <w:lang w:val="en-GB"/>
        </w:rPr>
        <w:t xml:space="preserve"> and </w:t>
      </w:r>
      <w:proofErr w:type="spellStart"/>
      <w:r>
        <w:rPr>
          <w:rFonts w:eastAsia="Times New Roman"/>
          <w:bCs/>
          <w:sz w:val="24"/>
          <w:szCs w:val="24"/>
          <w:lang w:val="en-GB"/>
        </w:rPr>
        <w:t>Kempers</w:t>
      </w:r>
      <w:proofErr w:type="spellEnd"/>
      <w:r>
        <w:rPr>
          <w:rFonts w:eastAsia="Times New Roman"/>
          <w:bCs/>
          <w:sz w:val="24"/>
          <w:szCs w:val="24"/>
          <w:lang w:val="en-GB"/>
        </w:rPr>
        <w:t xml:space="preserve"> (2007), who reported that macrophytes in urban environments accumulate more heavy metals.</w:t>
      </w:r>
    </w:p>
    <w:p w14:paraId="27FCA78D" w14:textId="77777777" w:rsidR="00331605" w:rsidRDefault="00240697">
      <w:pPr>
        <w:spacing w:line="360" w:lineRule="auto"/>
        <w:rPr>
          <w:rFonts w:eastAsia="Times New Roman"/>
          <w:bCs/>
          <w:sz w:val="24"/>
          <w:szCs w:val="24"/>
          <w:lang w:val="en-GB"/>
        </w:rPr>
      </w:pPr>
      <w:r>
        <w:rPr>
          <w:rFonts w:eastAsia="Times New Roman"/>
          <w:bCs/>
          <w:sz w:val="24"/>
          <w:szCs w:val="24"/>
          <w:lang w:val="en-GB"/>
        </w:rPr>
        <w:t xml:space="preserve">Beyond anthropogenic sources, lagoon hydrodynamics play a crucial role. Water circulation from west to east, combined with gentle slopes and downstream stagnation zones, promotes the migration and progressive sedimentation of metallic particles in eastern sectors. This </w:t>
      </w:r>
      <w:r>
        <w:rPr>
          <w:rFonts w:eastAsia="Times New Roman"/>
          <w:bCs/>
          <w:sz w:val="24"/>
          <w:szCs w:val="24"/>
          <w:lang w:val="en-GB"/>
        </w:rPr>
        <w:lastRenderedPageBreak/>
        <w:t xml:space="preserve">mechanism explains the enrichment observed at </w:t>
      </w:r>
      <w:proofErr w:type="spellStart"/>
      <w:r>
        <w:rPr>
          <w:rFonts w:eastAsia="Times New Roman"/>
          <w:bCs/>
          <w:sz w:val="24"/>
          <w:szCs w:val="24"/>
          <w:lang w:val="en-GB"/>
        </w:rPr>
        <w:t>Bè</w:t>
      </w:r>
      <w:proofErr w:type="spellEnd"/>
      <w:r>
        <w:rPr>
          <w:rFonts w:eastAsia="Times New Roman"/>
          <w:bCs/>
          <w:sz w:val="24"/>
          <w:szCs w:val="24"/>
          <w:lang w:val="en-GB"/>
        </w:rPr>
        <w:t xml:space="preserve"> and corroborates studies by </w:t>
      </w:r>
      <w:proofErr w:type="spellStart"/>
      <w:r>
        <w:rPr>
          <w:rFonts w:eastAsia="Times New Roman"/>
          <w:bCs/>
          <w:sz w:val="24"/>
          <w:szCs w:val="24"/>
          <w:lang w:val="en-GB"/>
        </w:rPr>
        <w:t>Badassan</w:t>
      </w:r>
      <w:proofErr w:type="spellEnd"/>
      <w:r>
        <w:rPr>
          <w:rFonts w:eastAsia="Times New Roman"/>
          <w:bCs/>
          <w:sz w:val="24"/>
          <w:szCs w:val="24"/>
          <w:lang w:val="en-GB"/>
        </w:rPr>
        <w:t xml:space="preserve"> (2021) and </w:t>
      </w:r>
      <w:proofErr w:type="spellStart"/>
      <w:r>
        <w:rPr>
          <w:rFonts w:eastAsia="Times New Roman"/>
          <w:bCs/>
          <w:sz w:val="24"/>
          <w:szCs w:val="24"/>
          <w:lang w:val="en-GB"/>
        </w:rPr>
        <w:t>Togbe</w:t>
      </w:r>
      <w:proofErr w:type="spellEnd"/>
      <w:r>
        <w:rPr>
          <w:rFonts w:eastAsia="Times New Roman"/>
          <w:bCs/>
          <w:sz w:val="24"/>
          <w:szCs w:val="24"/>
          <w:lang w:val="en-GB"/>
        </w:rPr>
        <w:t xml:space="preserve"> </w:t>
      </w:r>
      <w:r>
        <w:rPr>
          <w:rFonts w:eastAsia="Times New Roman"/>
          <w:bCs/>
          <w:i/>
          <w:iCs/>
          <w:sz w:val="24"/>
          <w:szCs w:val="24"/>
          <w:lang w:val="en-GB"/>
        </w:rPr>
        <w:t>et al.</w:t>
      </w:r>
      <w:r>
        <w:rPr>
          <w:rFonts w:eastAsia="Times New Roman"/>
          <w:bCs/>
          <w:sz w:val="24"/>
          <w:szCs w:val="24"/>
          <w:lang w:val="en-GB"/>
        </w:rPr>
        <w:t xml:space="preserve"> (2019), which highlighted similar gradients in West African lagoons.</w:t>
      </w:r>
    </w:p>
    <w:p w14:paraId="22B48AD4" w14:textId="77777777" w:rsidR="00331605" w:rsidRDefault="00240697">
      <w:pPr>
        <w:spacing w:line="360" w:lineRule="auto"/>
        <w:rPr>
          <w:rFonts w:eastAsia="Calibri"/>
          <w:bCs/>
          <w:sz w:val="24"/>
          <w:szCs w:val="24"/>
          <w:lang w:val="en-GB"/>
        </w:rPr>
      </w:pPr>
      <w:r>
        <w:rPr>
          <w:rFonts w:eastAsia="Times New Roman"/>
          <w:bCs/>
          <w:sz w:val="24"/>
          <w:szCs w:val="24"/>
          <w:lang w:val="en-GB"/>
        </w:rPr>
        <w:t xml:space="preserve">In summary, the observed differential bioaccumulation results from the interaction between plant physiological traits, metal chemistry, anthropogenic pressures, and hydrological dynamics. These findings confirm the strategic role of </w:t>
      </w:r>
      <w:proofErr w:type="spellStart"/>
      <w:r>
        <w:rPr>
          <w:rFonts w:eastAsia="Times New Roman"/>
          <w:bCs/>
          <w:sz w:val="24"/>
          <w:szCs w:val="24"/>
          <w:lang w:val="en-GB"/>
        </w:rPr>
        <w:t>Eichhornia</w:t>
      </w:r>
      <w:proofErr w:type="spellEnd"/>
      <w:r>
        <w:rPr>
          <w:rFonts w:eastAsia="Times New Roman"/>
          <w:bCs/>
          <w:sz w:val="24"/>
          <w:szCs w:val="24"/>
          <w:lang w:val="en-GB"/>
        </w:rPr>
        <w:t xml:space="preserve"> </w:t>
      </w:r>
      <w:proofErr w:type="spellStart"/>
      <w:r>
        <w:rPr>
          <w:rFonts w:eastAsia="Times New Roman"/>
          <w:bCs/>
          <w:sz w:val="24"/>
          <w:szCs w:val="24"/>
          <w:lang w:val="en-GB"/>
        </w:rPr>
        <w:t>crassipes</w:t>
      </w:r>
      <w:proofErr w:type="spellEnd"/>
      <w:r>
        <w:rPr>
          <w:rFonts w:eastAsia="Times New Roman"/>
          <w:bCs/>
          <w:sz w:val="24"/>
          <w:szCs w:val="24"/>
          <w:lang w:val="en-GB"/>
        </w:rPr>
        <w:t xml:space="preserve"> as a bioindicator and a potential ecological management tool for contaminated aquatic environments in southern Togo.</w:t>
      </w:r>
    </w:p>
    <w:p w14:paraId="033EA480" w14:textId="77777777" w:rsidR="00331605" w:rsidRDefault="00240697">
      <w:pPr>
        <w:pStyle w:val="Heading1"/>
        <w:numPr>
          <w:ilvl w:val="1"/>
          <w:numId w:val="11"/>
        </w:numPr>
        <w:rPr>
          <w:rFonts w:eastAsia="Times New Roman"/>
          <w:lang w:val="en-GB" w:eastAsia="fr-FR"/>
        </w:rPr>
      </w:pPr>
      <w:r>
        <w:rPr>
          <w:rFonts w:eastAsia="Times New Roman"/>
          <w:lang w:val="en-GB" w:eastAsia="fr-FR"/>
        </w:rPr>
        <w:t>Evaluation of Trace Element Contents in Water Hyacinth Compost</w:t>
      </w:r>
    </w:p>
    <w:p w14:paraId="1539642F" w14:textId="77777777" w:rsidR="00331605" w:rsidRDefault="00240697">
      <w:pPr>
        <w:suppressAutoHyphens/>
        <w:autoSpaceDN w:val="0"/>
        <w:spacing w:after="160" w:line="360" w:lineRule="auto"/>
        <w:textAlignment w:val="baseline"/>
        <w:rPr>
          <w:rFonts w:eastAsia="Times New Roman"/>
          <w:bCs/>
          <w:sz w:val="24"/>
          <w:szCs w:val="24"/>
          <w:lang w:val="en-GB" w:eastAsia="fr-FR"/>
        </w:rPr>
      </w:pPr>
      <w:r>
        <w:rPr>
          <w:rFonts w:eastAsia="Times New Roman"/>
          <w:bCs/>
          <w:sz w:val="24"/>
          <w:szCs w:val="24"/>
          <w:lang w:val="en-GB" w:eastAsia="fr-FR"/>
        </w:rPr>
        <w:t xml:space="preserve">The assessment of trace elements (TEs) in compost derived from water hyacinth reveals variations depending on the preparation method. The admissible thresholds for TEs in compost intended for agricultural use vary according to regulations. In Europe, according to the NF U44-051 standard (AFNOR, 2006), the permissible limits for TEs in agricultural compost are: Cd </w:t>
      </w:r>
      <w:r>
        <w:rPr>
          <w:rFonts w:eastAsia="Times New Roman" w:hint="eastAsia"/>
          <w:bCs/>
          <w:sz w:val="24"/>
          <w:szCs w:val="24"/>
          <w:lang w:val="en-GB" w:eastAsia="fr-FR"/>
        </w:rPr>
        <w:t>≤</w:t>
      </w:r>
      <w:r>
        <w:rPr>
          <w:rFonts w:eastAsia="Times New Roman"/>
          <w:bCs/>
          <w:sz w:val="24"/>
          <w:szCs w:val="24"/>
          <w:lang w:val="en-GB" w:eastAsia="fr-FR"/>
        </w:rPr>
        <w:t xml:space="preserve"> 3 mg/kg, Pb </w:t>
      </w:r>
      <w:r>
        <w:rPr>
          <w:rFonts w:eastAsia="Times New Roman" w:hint="eastAsia"/>
          <w:bCs/>
          <w:sz w:val="24"/>
          <w:szCs w:val="24"/>
          <w:lang w:val="en-GB" w:eastAsia="fr-FR"/>
        </w:rPr>
        <w:t>≤</w:t>
      </w:r>
      <w:r>
        <w:rPr>
          <w:rFonts w:eastAsia="Times New Roman"/>
          <w:bCs/>
          <w:sz w:val="24"/>
          <w:szCs w:val="24"/>
          <w:lang w:val="en-GB" w:eastAsia="fr-FR"/>
        </w:rPr>
        <w:t xml:space="preserve"> 180 mg/kg, Cu </w:t>
      </w:r>
      <w:r>
        <w:rPr>
          <w:rFonts w:eastAsia="Times New Roman" w:hint="eastAsia"/>
          <w:bCs/>
          <w:sz w:val="24"/>
          <w:szCs w:val="24"/>
          <w:lang w:val="en-GB" w:eastAsia="fr-FR"/>
        </w:rPr>
        <w:t>≤</w:t>
      </w:r>
      <w:r>
        <w:rPr>
          <w:rFonts w:eastAsia="Times New Roman"/>
          <w:bCs/>
          <w:sz w:val="24"/>
          <w:szCs w:val="24"/>
          <w:lang w:val="en-GB" w:eastAsia="fr-FR"/>
        </w:rPr>
        <w:t xml:space="preserve"> 300 mg/kg, and Ni </w:t>
      </w:r>
      <w:r>
        <w:rPr>
          <w:rFonts w:eastAsia="Times New Roman" w:hint="eastAsia"/>
          <w:bCs/>
          <w:sz w:val="24"/>
          <w:szCs w:val="24"/>
          <w:lang w:val="en-GB" w:eastAsia="fr-FR"/>
        </w:rPr>
        <w:t>≤</w:t>
      </w:r>
      <w:r>
        <w:rPr>
          <w:rFonts w:eastAsia="Times New Roman"/>
          <w:bCs/>
          <w:sz w:val="24"/>
          <w:szCs w:val="24"/>
          <w:lang w:val="en-GB" w:eastAsia="fr-FR"/>
        </w:rPr>
        <w:t xml:space="preserve"> 60 mg/kg. Based on these thresholds, the values observed in water hyacinth compost remain below regulatory limits, indicating its potential suitability for agricultural applications without immediate risk of soil or plant toxicity (</w:t>
      </w:r>
      <w:proofErr w:type="spellStart"/>
      <w:r>
        <w:rPr>
          <w:rFonts w:eastAsia="Times New Roman"/>
          <w:bCs/>
          <w:sz w:val="24"/>
          <w:szCs w:val="24"/>
          <w:lang w:val="en-GB" w:eastAsia="fr-FR"/>
        </w:rPr>
        <w:t>Parraga-Aguado</w:t>
      </w:r>
      <w:proofErr w:type="spellEnd"/>
      <w:r>
        <w:rPr>
          <w:rFonts w:eastAsia="Times New Roman"/>
          <w:bCs/>
          <w:sz w:val="24"/>
          <w:szCs w:val="24"/>
          <w:lang w:val="en-GB" w:eastAsia="fr-FR"/>
        </w:rPr>
        <w:t xml:space="preserve"> et al., 2017). Shredding the biomass can accelerate the decomposition of plant tissues, thereby facilitating the release of TEs initially trapped in the biomass (</w:t>
      </w:r>
      <w:proofErr w:type="spellStart"/>
      <w:r>
        <w:rPr>
          <w:rFonts w:eastAsia="Times New Roman"/>
          <w:bCs/>
          <w:sz w:val="24"/>
          <w:szCs w:val="24"/>
          <w:lang w:val="en-GB" w:eastAsia="fr-FR"/>
        </w:rPr>
        <w:t>Karassin</w:t>
      </w:r>
      <w:proofErr w:type="spellEnd"/>
      <w:r>
        <w:rPr>
          <w:rFonts w:eastAsia="Times New Roman"/>
          <w:bCs/>
          <w:sz w:val="24"/>
          <w:szCs w:val="24"/>
          <w:lang w:val="en-GB" w:eastAsia="fr-FR"/>
        </w:rPr>
        <w:t xml:space="preserve"> </w:t>
      </w:r>
      <w:r w:rsidRPr="002F6646">
        <w:rPr>
          <w:rFonts w:eastAsia="Times New Roman"/>
          <w:bCs/>
          <w:i/>
          <w:iCs/>
          <w:sz w:val="24"/>
          <w:szCs w:val="24"/>
          <w:lang w:val="en-GB" w:eastAsia="fr-FR"/>
        </w:rPr>
        <w:t>et al.,</w:t>
      </w:r>
      <w:r>
        <w:rPr>
          <w:rFonts w:eastAsia="Times New Roman"/>
          <w:bCs/>
          <w:sz w:val="24"/>
          <w:szCs w:val="24"/>
          <w:lang w:val="en-GB" w:eastAsia="fr-FR"/>
        </w:rPr>
        <w:t xml:space="preserve"> 2016; </w:t>
      </w:r>
      <w:proofErr w:type="spellStart"/>
      <w:r>
        <w:rPr>
          <w:rFonts w:eastAsia="Times New Roman"/>
          <w:bCs/>
          <w:sz w:val="24"/>
          <w:szCs w:val="24"/>
          <w:lang w:val="en-GB" w:eastAsia="fr-FR"/>
        </w:rPr>
        <w:t>Parraga-Aguado</w:t>
      </w:r>
      <w:proofErr w:type="spellEnd"/>
      <w:r>
        <w:rPr>
          <w:rFonts w:eastAsia="Times New Roman"/>
          <w:bCs/>
          <w:sz w:val="24"/>
          <w:szCs w:val="24"/>
          <w:lang w:val="en-GB" w:eastAsia="fr-FR"/>
        </w:rPr>
        <w:t xml:space="preserve"> </w:t>
      </w:r>
      <w:r w:rsidRPr="002F6646">
        <w:rPr>
          <w:rFonts w:eastAsia="Times New Roman"/>
          <w:bCs/>
          <w:i/>
          <w:iCs/>
          <w:sz w:val="24"/>
          <w:szCs w:val="24"/>
          <w:lang w:val="en-GB" w:eastAsia="fr-FR"/>
        </w:rPr>
        <w:t>et al.,</w:t>
      </w:r>
      <w:r>
        <w:rPr>
          <w:rFonts w:eastAsia="Times New Roman"/>
          <w:bCs/>
          <w:sz w:val="24"/>
          <w:szCs w:val="24"/>
          <w:lang w:val="en-GB" w:eastAsia="fr-FR"/>
        </w:rPr>
        <w:t xml:space="preserve"> 2017). The observed increases in Cd and Ni in shredded compost may be explained by enhanced bioavailability due to the greater surface area in contact with the microbial environment. During composting, some TEs can become immobilized as organic complexes (</w:t>
      </w:r>
      <w:proofErr w:type="spellStart"/>
      <w:r>
        <w:rPr>
          <w:rFonts w:eastAsia="Times New Roman"/>
          <w:bCs/>
          <w:sz w:val="24"/>
          <w:szCs w:val="24"/>
          <w:lang w:val="en-GB" w:eastAsia="fr-FR"/>
        </w:rPr>
        <w:t>humic</w:t>
      </w:r>
      <w:proofErr w:type="spellEnd"/>
      <w:r>
        <w:rPr>
          <w:rFonts w:eastAsia="Times New Roman"/>
          <w:bCs/>
          <w:sz w:val="24"/>
          <w:szCs w:val="24"/>
          <w:lang w:val="en-GB" w:eastAsia="fr-FR"/>
        </w:rPr>
        <w:t xml:space="preserve"> complexes, chelation by organic acids) or trapped within stabilized organic matter (Ghosh </w:t>
      </w:r>
      <w:r w:rsidRPr="002F6646">
        <w:rPr>
          <w:rFonts w:eastAsia="Times New Roman"/>
          <w:bCs/>
          <w:i/>
          <w:iCs/>
          <w:sz w:val="24"/>
          <w:szCs w:val="24"/>
          <w:lang w:val="en-GB" w:eastAsia="fr-FR"/>
        </w:rPr>
        <w:t>et al.,</w:t>
      </w:r>
      <w:r>
        <w:rPr>
          <w:rFonts w:eastAsia="Times New Roman"/>
          <w:bCs/>
          <w:sz w:val="24"/>
          <w:szCs w:val="24"/>
          <w:lang w:val="en-GB" w:eastAsia="fr-FR"/>
        </w:rPr>
        <w:t xml:space="preserve"> 2021). In contrast to other metals, Pb is slightly more concentrated in non-shredded compost. This may result from lower leaching or partial stabilization of Pb in organic complexes resistant to microbial degradation (Zhang </w:t>
      </w:r>
      <w:r w:rsidRPr="002F6646">
        <w:rPr>
          <w:rFonts w:eastAsia="Times New Roman"/>
          <w:bCs/>
          <w:i/>
          <w:iCs/>
          <w:sz w:val="24"/>
          <w:szCs w:val="24"/>
          <w:lang w:val="en-GB" w:eastAsia="fr-FR"/>
        </w:rPr>
        <w:t>et al.,</w:t>
      </w:r>
      <w:r>
        <w:rPr>
          <w:rFonts w:eastAsia="Times New Roman"/>
          <w:bCs/>
          <w:sz w:val="24"/>
          <w:szCs w:val="24"/>
          <w:lang w:val="en-GB" w:eastAsia="fr-FR"/>
        </w:rPr>
        <w:t xml:space="preserve"> 2014; Zhou </w:t>
      </w:r>
      <w:r w:rsidRPr="002F6646">
        <w:rPr>
          <w:rFonts w:eastAsia="Times New Roman"/>
          <w:bCs/>
          <w:i/>
          <w:iCs/>
          <w:sz w:val="24"/>
          <w:szCs w:val="24"/>
          <w:lang w:val="en-GB" w:eastAsia="fr-FR"/>
        </w:rPr>
        <w:t>et al.,</w:t>
      </w:r>
      <w:r>
        <w:rPr>
          <w:rFonts w:eastAsia="Times New Roman"/>
          <w:bCs/>
          <w:sz w:val="24"/>
          <w:szCs w:val="24"/>
          <w:lang w:val="en-GB" w:eastAsia="fr-FR"/>
        </w:rPr>
        <w:t xml:space="preserve"> 2017; Zhou </w:t>
      </w:r>
      <w:r w:rsidRPr="002F6646">
        <w:rPr>
          <w:rFonts w:eastAsia="Times New Roman"/>
          <w:bCs/>
          <w:i/>
          <w:iCs/>
          <w:sz w:val="24"/>
          <w:szCs w:val="24"/>
          <w:lang w:val="en-GB" w:eastAsia="fr-FR"/>
        </w:rPr>
        <w:t>et al.,</w:t>
      </w:r>
      <w:r>
        <w:rPr>
          <w:rFonts w:eastAsia="Times New Roman"/>
          <w:bCs/>
          <w:sz w:val="24"/>
          <w:szCs w:val="24"/>
          <w:lang w:val="en-GB" w:eastAsia="fr-FR"/>
        </w:rPr>
        <w:t xml:space="preserve"> 2018). The non-detection of mercury in the compost is an environmental advantage, as this metal is highly toxic even at low concentrations. Elemental mercury (Hg⁰) may volatilize during composting, thereby reducing its presence in the final product (Yan </w:t>
      </w:r>
      <w:r w:rsidRPr="002F6646">
        <w:rPr>
          <w:rFonts w:eastAsia="Times New Roman"/>
          <w:bCs/>
          <w:i/>
          <w:iCs/>
          <w:sz w:val="24"/>
          <w:szCs w:val="24"/>
          <w:lang w:val="en-GB" w:eastAsia="fr-FR"/>
        </w:rPr>
        <w:t>et al.,</w:t>
      </w:r>
      <w:r>
        <w:rPr>
          <w:rFonts w:eastAsia="Times New Roman"/>
          <w:bCs/>
          <w:sz w:val="24"/>
          <w:szCs w:val="24"/>
          <w:lang w:val="en-GB" w:eastAsia="fr-FR"/>
        </w:rPr>
        <w:t xml:space="preserve"> 2016).</w:t>
      </w:r>
    </w:p>
    <w:p w14:paraId="55C51835" w14:textId="77777777" w:rsidR="00331605" w:rsidRDefault="00240697">
      <w:pPr>
        <w:pStyle w:val="Heading1"/>
        <w:numPr>
          <w:ilvl w:val="1"/>
          <w:numId w:val="11"/>
        </w:numPr>
        <w:rPr>
          <w:rFonts w:eastAsia="Times New Roman"/>
          <w:lang w:val="en-GB" w:eastAsia="fr-FR"/>
        </w:rPr>
      </w:pPr>
      <w:r>
        <w:rPr>
          <w:rFonts w:eastAsia="Times New Roman"/>
          <w:lang w:val="en-GB" w:eastAsia="fr-FR"/>
        </w:rPr>
        <w:t>Evaluation of Trace Element Contents in Leachates from Water Hyacinth Compost</w:t>
      </w:r>
    </w:p>
    <w:p w14:paraId="053E9A23" w14:textId="40156C38" w:rsidR="00331605" w:rsidRDefault="00240697">
      <w:pPr>
        <w:suppressAutoHyphens/>
        <w:autoSpaceDN w:val="0"/>
        <w:spacing w:before="100" w:beforeAutospacing="1" w:after="100" w:afterAutospacing="1" w:line="360" w:lineRule="auto"/>
        <w:textAlignment w:val="baseline"/>
        <w:rPr>
          <w:rFonts w:eastAsia="Times New Roman"/>
          <w:bCs/>
          <w:sz w:val="24"/>
          <w:szCs w:val="24"/>
          <w:lang w:val="en-GB" w:eastAsia="fr-FR"/>
        </w:rPr>
      </w:pPr>
      <w:r>
        <w:rPr>
          <w:rFonts w:eastAsia="Times New Roman"/>
          <w:bCs/>
          <w:sz w:val="24"/>
          <w:szCs w:val="24"/>
          <w:lang w:val="en-GB" w:eastAsia="fr-FR"/>
        </w:rPr>
        <w:t xml:space="preserve">The analysis of leachates from water hyacinth compost shows notable differences depending on the preparation method. The reduced leaching of Cd and Pb in the shredded compost may also be attributed to its higher pH, which promotes the precipitation of metals into less mobile forms (Wei </w:t>
      </w:r>
      <w:r w:rsidRPr="002F6646">
        <w:rPr>
          <w:rFonts w:eastAsia="Times New Roman"/>
          <w:bCs/>
          <w:i/>
          <w:iCs/>
          <w:sz w:val="24"/>
          <w:szCs w:val="24"/>
          <w:lang w:val="en-GB" w:eastAsia="fr-FR"/>
        </w:rPr>
        <w:t>et al.,</w:t>
      </w:r>
      <w:r>
        <w:rPr>
          <w:rFonts w:eastAsia="Times New Roman"/>
          <w:bCs/>
          <w:sz w:val="24"/>
          <w:szCs w:val="24"/>
          <w:lang w:val="en-GB" w:eastAsia="fr-FR"/>
        </w:rPr>
        <w:t xml:space="preserve"> 2014; Zheng </w:t>
      </w:r>
      <w:r w:rsidRPr="002F6646">
        <w:rPr>
          <w:rFonts w:eastAsia="Times New Roman"/>
          <w:bCs/>
          <w:i/>
          <w:iCs/>
          <w:sz w:val="24"/>
          <w:szCs w:val="24"/>
          <w:lang w:val="en-GB" w:eastAsia="fr-FR"/>
        </w:rPr>
        <w:t>et al.,</w:t>
      </w:r>
      <w:r>
        <w:rPr>
          <w:rFonts w:eastAsia="Times New Roman"/>
          <w:bCs/>
          <w:sz w:val="24"/>
          <w:szCs w:val="24"/>
          <w:lang w:val="en-GB" w:eastAsia="fr-FR"/>
        </w:rPr>
        <w:t xml:space="preserve"> 2022</w:t>
      </w:r>
      <w:r w:rsidR="002F6646">
        <w:rPr>
          <w:rFonts w:eastAsia="Times New Roman"/>
          <w:bCs/>
          <w:sz w:val="24"/>
          <w:szCs w:val="24"/>
          <w:lang w:val="en-GB" w:eastAsia="fr-FR"/>
        </w:rPr>
        <w:t>). In</w:t>
      </w:r>
      <w:r>
        <w:rPr>
          <w:rFonts w:eastAsia="Times New Roman"/>
          <w:bCs/>
          <w:sz w:val="24"/>
          <w:szCs w:val="24"/>
          <w:lang w:val="en-GB" w:eastAsia="fr-FR"/>
        </w:rPr>
        <w:t xml:space="preserve"> contrast to Cd and Pb, mercury (Hg) is more </w:t>
      </w:r>
      <w:r>
        <w:rPr>
          <w:rFonts w:eastAsia="Times New Roman"/>
          <w:bCs/>
          <w:sz w:val="24"/>
          <w:szCs w:val="24"/>
          <w:lang w:val="en-GB" w:eastAsia="fr-FR"/>
        </w:rPr>
        <w:lastRenderedPageBreak/>
        <w:t>soluble and volatile under certain conditions. Its increased concentration in the leachate from shredded compost may result from several factors: faster degradation of organic matter in the shredded compost, releasing previously trapped Hg; enhanced microbial processes promoting the conversion of Hg into more soluble forms, such as methylmercury (</w:t>
      </w:r>
      <w:proofErr w:type="spellStart"/>
      <w:r>
        <w:rPr>
          <w:rFonts w:eastAsia="Times New Roman"/>
          <w:bCs/>
          <w:sz w:val="24"/>
          <w:szCs w:val="24"/>
          <w:lang w:val="en-GB" w:eastAsia="fr-FR"/>
        </w:rPr>
        <w:t>MeHg</w:t>
      </w:r>
      <w:proofErr w:type="spellEnd"/>
      <w:r>
        <w:rPr>
          <w:rFonts w:eastAsia="Times New Roman"/>
          <w:bCs/>
          <w:sz w:val="24"/>
          <w:szCs w:val="24"/>
          <w:lang w:val="en-GB" w:eastAsia="fr-FR"/>
        </w:rPr>
        <w:t xml:space="preserve">), which is more mobile and bioavailable (Ullrich </w:t>
      </w:r>
      <w:r w:rsidRPr="00772AAE">
        <w:rPr>
          <w:rFonts w:eastAsia="Times New Roman"/>
          <w:bCs/>
          <w:i/>
          <w:iCs/>
          <w:sz w:val="24"/>
          <w:szCs w:val="24"/>
          <w:lang w:val="en-GB" w:eastAsia="fr-FR"/>
        </w:rPr>
        <w:t>et al.,</w:t>
      </w:r>
      <w:r>
        <w:rPr>
          <w:rFonts w:eastAsia="Times New Roman"/>
          <w:bCs/>
          <w:sz w:val="24"/>
          <w:szCs w:val="24"/>
          <w:lang w:val="en-GB" w:eastAsia="fr-FR"/>
        </w:rPr>
        <w:t xml:space="preserve"> 2001); and a lower affinity of Hg for the stabilized organic fractions in shredded compost compared to Pb and </w:t>
      </w:r>
      <w:proofErr w:type="spellStart"/>
      <w:r>
        <w:rPr>
          <w:rFonts w:eastAsia="Times New Roman"/>
          <w:bCs/>
          <w:sz w:val="24"/>
          <w:szCs w:val="24"/>
          <w:lang w:val="en-GB" w:eastAsia="fr-FR"/>
        </w:rPr>
        <w:t>Cd.Copper</w:t>
      </w:r>
      <w:proofErr w:type="spellEnd"/>
      <w:r>
        <w:rPr>
          <w:rFonts w:eastAsia="Times New Roman"/>
          <w:bCs/>
          <w:sz w:val="24"/>
          <w:szCs w:val="24"/>
          <w:lang w:val="en-GB" w:eastAsia="fr-FR"/>
        </w:rPr>
        <w:t xml:space="preserve"> (Cu) and nickel (Ni) concentrations are relatively low in both leachates, suggesting that these metals are either strongly immobilized in the organic matrix or present at low levels in the initial water hyacinth biomass. Cu is often tightly bound to organic and clay compounds, while Ni can be immobilized as oxides or precipitated under specific pH conditions (</w:t>
      </w:r>
      <w:proofErr w:type="spellStart"/>
      <w:r>
        <w:rPr>
          <w:rFonts w:eastAsia="Times New Roman"/>
          <w:bCs/>
          <w:sz w:val="24"/>
          <w:szCs w:val="24"/>
          <w:lang w:val="en-GB" w:eastAsia="fr-FR"/>
        </w:rPr>
        <w:t>Tangahu</w:t>
      </w:r>
      <w:proofErr w:type="spellEnd"/>
      <w:r>
        <w:rPr>
          <w:rFonts w:eastAsia="Times New Roman"/>
          <w:bCs/>
          <w:sz w:val="24"/>
          <w:szCs w:val="24"/>
          <w:lang w:val="en-GB" w:eastAsia="fr-FR"/>
        </w:rPr>
        <w:t xml:space="preserve"> </w:t>
      </w:r>
      <w:r w:rsidRPr="00772AAE">
        <w:rPr>
          <w:rFonts w:eastAsia="Times New Roman"/>
          <w:bCs/>
          <w:i/>
          <w:iCs/>
          <w:sz w:val="24"/>
          <w:szCs w:val="24"/>
          <w:lang w:val="en-GB" w:eastAsia="fr-FR"/>
        </w:rPr>
        <w:t>et al.,</w:t>
      </w:r>
      <w:r>
        <w:rPr>
          <w:rFonts w:eastAsia="Times New Roman"/>
          <w:bCs/>
          <w:sz w:val="24"/>
          <w:szCs w:val="24"/>
          <w:lang w:val="en-GB" w:eastAsia="fr-FR"/>
        </w:rPr>
        <w:t xml:space="preserve"> 2011). Overall, the leachate analysis indicates that water hyacinth compost, whether shredded or intact, maintains low concentrations of most trace elements, with mercury being the exception due to its mobility and volatility. These results emphasize the importance of monitoring Hg when using such composts in agricultural applications.</w:t>
      </w:r>
    </w:p>
    <w:p w14:paraId="4DABE9A9" w14:textId="77777777" w:rsidR="00331605" w:rsidRDefault="00240697">
      <w:pPr>
        <w:pStyle w:val="Heading1"/>
        <w:numPr>
          <w:ilvl w:val="1"/>
          <w:numId w:val="11"/>
        </w:numPr>
        <w:rPr>
          <w:rFonts w:eastAsia="Times New Roman"/>
          <w:lang w:val="en-GB"/>
        </w:rPr>
      </w:pPr>
      <w:proofErr w:type="spellStart"/>
      <w:r>
        <w:rPr>
          <w:rFonts w:eastAsia="Times New Roman"/>
          <w:lang w:val="en-GB"/>
        </w:rPr>
        <w:t>Physico</w:t>
      </w:r>
      <w:proofErr w:type="spellEnd"/>
      <w:r>
        <w:rPr>
          <w:rFonts w:eastAsia="Times New Roman"/>
          <w:lang w:val="en-GB"/>
        </w:rPr>
        <w:t>-Chemical Characteristics of Composts Derived from Water Hyacinth</w:t>
      </w:r>
    </w:p>
    <w:p w14:paraId="572FD408" w14:textId="77777777" w:rsidR="00331605" w:rsidRDefault="00240697">
      <w:pPr>
        <w:spacing w:before="100" w:beforeAutospacing="1" w:after="100" w:afterAutospacing="1" w:line="360" w:lineRule="auto"/>
        <w:rPr>
          <w:rFonts w:eastAsia="Times New Roman"/>
          <w:bCs/>
          <w:sz w:val="24"/>
          <w:szCs w:val="24"/>
          <w:lang w:val="en-GB"/>
        </w:rPr>
      </w:pPr>
      <w:r>
        <w:rPr>
          <w:rFonts w:eastAsia="Times New Roman"/>
          <w:bCs/>
          <w:sz w:val="24"/>
          <w:szCs w:val="24"/>
          <w:lang w:val="en-GB"/>
        </w:rPr>
        <w:t xml:space="preserve">The evaluation of composts derived from water hyacinth reveals characteristics </w:t>
      </w:r>
      <w:proofErr w:type="spellStart"/>
      <w:r>
        <w:rPr>
          <w:rFonts w:eastAsia="Times New Roman"/>
          <w:bCs/>
          <w:sz w:val="24"/>
          <w:szCs w:val="24"/>
          <w:lang w:val="en-GB"/>
        </w:rPr>
        <w:t>favorable</w:t>
      </w:r>
      <w:proofErr w:type="spellEnd"/>
      <w:r>
        <w:rPr>
          <w:rFonts w:eastAsia="Times New Roman"/>
          <w:bCs/>
          <w:sz w:val="24"/>
          <w:szCs w:val="24"/>
          <w:lang w:val="en-GB"/>
        </w:rPr>
        <w:t xml:space="preserve"> to soil fertility improvement, including an alkaline pH and high concentrations of essential nutrients (K, N, P). Shredding prior to composting appears to influence nutrient mineralization, leading to enhanced release of potassium (K), total nitrogen (TN), and phosphorus (P). The resulting composts exhibit a pH close to 8.0, indicating an alkaline nature. A slightly alkaline pH is generally beneficial for organic waste composting, as it reduces ammonia volatilization and promotes beneficial microbial activity (Bernal </w:t>
      </w:r>
      <w:r w:rsidRPr="00772AAE">
        <w:rPr>
          <w:rFonts w:eastAsia="Times New Roman"/>
          <w:bCs/>
          <w:i/>
          <w:iCs/>
          <w:sz w:val="24"/>
          <w:szCs w:val="24"/>
          <w:lang w:val="en-GB"/>
        </w:rPr>
        <w:t>et al.,</w:t>
      </w:r>
      <w:r>
        <w:rPr>
          <w:rFonts w:eastAsia="Times New Roman"/>
          <w:bCs/>
          <w:sz w:val="24"/>
          <w:szCs w:val="24"/>
          <w:lang w:val="en-GB"/>
        </w:rPr>
        <w:t xml:space="preserve"> 2009). Moreover, a pH above 7.0 may decrease the bioavailability of trace elements (TEs), thereby limiting their toxicity to plants (Zhu </w:t>
      </w:r>
      <w:r w:rsidRPr="00772AAE">
        <w:rPr>
          <w:rFonts w:eastAsia="Times New Roman"/>
          <w:bCs/>
          <w:i/>
          <w:iCs/>
          <w:sz w:val="24"/>
          <w:szCs w:val="24"/>
          <w:lang w:val="en-GB"/>
        </w:rPr>
        <w:t>et al.,</w:t>
      </w:r>
      <w:r>
        <w:rPr>
          <w:rFonts w:eastAsia="Times New Roman"/>
          <w:bCs/>
          <w:sz w:val="24"/>
          <w:szCs w:val="24"/>
          <w:lang w:val="en-GB"/>
        </w:rPr>
        <w:t xml:space="preserve"> 2023). Compost produced from shredded water hyacinth shows higher potassium concentrations compared to non-shredded compost. This suggests that shredding: (</w:t>
      </w:r>
      <w:proofErr w:type="spellStart"/>
      <w:r>
        <w:rPr>
          <w:rFonts w:eastAsia="Times New Roman"/>
          <w:bCs/>
          <w:sz w:val="24"/>
          <w:szCs w:val="24"/>
          <w:lang w:val="en-GB"/>
        </w:rPr>
        <w:t>i</w:t>
      </w:r>
      <w:proofErr w:type="spellEnd"/>
      <w:r>
        <w:rPr>
          <w:rFonts w:eastAsia="Times New Roman"/>
          <w:bCs/>
          <w:sz w:val="24"/>
          <w:szCs w:val="24"/>
          <w:lang w:val="en-GB"/>
        </w:rPr>
        <w:t>) accelerates the degradation of organic matter, enhancing nutrient release (Zhang and Sun, 2014); and (ii) increases the contact surface area for microbial activity, thereby optimizing the transformation of organic compounds into plant-available forms (</w:t>
      </w:r>
      <w:proofErr w:type="spellStart"/>
      <w:r>
        <w:rPr>
          <w:rFonts w:eastAsia="Times New Roman"/>
          <w:bCs/>
          <w:sz w:val="24"/>
          <w:szCs w:val="24"/>
          <w:lang w:val="en-GB"/>
        </w:rPr>
        <w:t>Tambone</w:t>
      </w:r>
      <w:proofErr w:type="spellEnd"/>
      <w:r>
        <w:rPr>
          <w:rFonts w:eastAsia="Times New Roman"/>
          <w:bCs/>
          <w:sz w:val="24"/>
          <w:szCs w:val="24"/>
          <w:lang w:val="en-GB"/>
        </w:rPr>
        <w:t xml:space="preserve"> </w:t>
      </w:r>
      <w:r w:rsidRPr="00772AAE">
        <w:rPr>
          <w:rFonts w:eastAsia="Times New Roman"/>
          <w:bCs/>
          <w:i/>
          <w:iCs/>
          <w:sz w:val="24"/>
          <w:szCs w:val="24"/>
          <w:lang w:val="en-GB"/>
        </w:rPr>
        <w:t>et al.,</w:t>
      </w:r>
      <w:r>
        <w:rPr>
          <w:rFonts w:eastAsia="Times New Roman"/>
          <w:bCs/>
          <w:sz w:val="24"/>
          <w:szCs w:val="24"/>
          <w:lang w:val="en-GB"/>
        </w:rPr>
        <w:t xml:space="preserve"> 2010). Potassium plays a crucial role in improving nutrient availability and is essential for plant growth and resistance to water stress. It contributes to improved root morphology, efficient stomatal regulation, and enhanced osmotic adjustment (Wang </w:t>
      </w:r>
      <w:r w:rsidRPr="00772AAE">
        <w:rPr>
          <w:rFonts w:eastAsia="Times New Roman"/>
          <w:bCs/>
          <w:i/>
          <w:iCs/>
          <w:sz w:val="24"/>
          <w:szCs w:val="24"/>
          <w:lang w:val="en-GB"/>
        </w:rPr>
        <w:t>et al.,</w:t>
      </w:r>
      <w:r>
        <w:rPr>
          <w:rFonts w:eastAsia="Times New Roman"/>
          <w:bCs/>
          <w:sz w:val="24"/>
          <w:szCs w:val="24"/>
          <w:lang w:val="en-GB"/>
        </w:rPr>
        <w:t xml:space="preserve"> 2013).</w:t>
      </w:r>
    </w:p>
    <w:p w14:paraId="60E6165D" w14:textId="77777777" w:rsidR="00331605" w:rsidRDefault="00240697">
      <w:pPr>
        <w:pStyle w:val="Heading1"/>
        <w:rPr>
          <w:rFonts w:eastAsia="Calibri"/>
          <w:lang w:val="en-GB"/>
        </w:rPr>
      </w:pPr>
      <w:r>
        <w:rPr>
          <w:rFonts w:eastAsia="Calibri"/>
          <w:lang w:val="en-GB"/>
        </w:rPr>
        <w:lastRenderedPageBreak/>
        <w:t>Conclusion</w:t>
      </w:r>
    </w:p>
    <w:p w14:paraId="75F4D75B" w14:textId="77777777" w:rsidR="00331605" w:rsidRDefault="00240697">
      <w:pPr>
        <w:spacing w:line="360" w:lineRule="auto"/>
        <w:rPr>
          <w:rFonts w:eastAsia="Calibri"/>
          <w:sz w:val="24"/>
          <w:szCs w:val="24"/>
          <w:lang w:val="en-GB"/>
        </w:rPr>
      </w:pPr>
      <w:r>
        <w:rPr>
          <w:rFonts w:eastAsia="Calibri"/>
          <w:sz w:val="24"/>
          <w:szCs w:val="24"/>
          <w:lang w:val="en-GB"/>
        </w:rPr>
        <w:t>This study assessed the bioaccumulation and distribution of trace elements (TEs) in water hyacinth (</w:t>
      </w:r>
      <w:proofErr w:type="spellStart"/>
      <w:r>
        <w:rPr>
          <w:rFonts w:eastAsia="Calibri"/>
          <w:sz w:val="24"/>
          <w:szCs w:val="24"/>
          <w:lang w:val="en-GB"/>
        </w:rPr>
        <w:t>Eichhornia</w:t>
      </w:r>
      <w:proofErr w:type="spellEnd"/>
      <w:r>
        <w:rPr>
          <w:rFonts w:eastAsia="Calibri"/>
          <w:sz w:val="24"/>
          <w:szCs w:val="24"/>
          <w:lang w:val="en-GB"/>
        </w:rPr>
        <w:t xml:space="preserve"> </w:t>
      </w:r>
      <w:proofErr w:type="spellStart"/>
      <w:r>
        <w:rPr>
          <w:rFonts w:eastAsia="Calibri"/>
          <w:sz w:val="24"/>
          <w:szCs w:val="24"/>
          <w:lang w:val="en-GB"/>
        </w:rPr>
        <w:t>crassipes</w:t>
      </w:r>
      <w:proofErr w:type="spellEnd"/>
      <w:r>
        <w:rPr>
          <w:rFonts w:eastAsia="Calibri"/>
          <w:sz w:val="24"/>
          <w:szCs w:val="24"/>
          <w:lang w:val="en-GB"/>
        </w:rPr>
        <w:t xml:space="preserve">) as well as in compost produced from this biomass within a lagoon context in southern Togo. The results confirm the plant’s strong </w:t>
      </w:r>
      <w:proofErr w:type="spellStart"/>
      <w:r>
        <w:rPr>
          <w:rFonts w:eastAsia="Calibri"/>
          <w:sz w:val="24"/>
          <w:szCs w:val="24"/>
          <w:lang w:val="en-GB"/>
        </w:rPr>
        <w:t>bioaccumulative</w:t>
      </w:r>
      <w:proofErr w:type="spellEnd"/>
      <w:r>
        <w:rPr>
          <w:rFonts w:eastAsia="Calibri"/>
          <w:sz w:val="24"/>
          <w:szCs w:val="24"/>
          <w:lang w:val="en-GB"/>
        </w:rPr>
        <w:t xml:space="preserve"> capacity, with maximum concentrations of Pb (12.94 mg/kg), Cu (14.49 mg/kg), and Ni (3.46 mg/kg) recorded in the submerged parts, exceeding those in the aerial parts. These findings highlight the root biofilter function of water hyacinth and support its relevance as a bioindicator of water quality. Mercury (Hg) accumulated predominantly in aerial organs, indicating the influence of atmospheric contamination and phytovolatilization mechanisms. The spatial distribution of TEs shows an increasing west–east gradient (</w:t>
      </w:r>
      <w:proofErr w:type="spellStart"/>
      <w:r>
        <w:rPr>
          <w:rFonts w:eastAsia="Calibri"/>
          <w:sz w:val="24"/>
          <w:szCs w:val="24"/>
          <w:lang w:val="en-GB"/>
        </w:rPr>
        <w:t>Nyékonakpoé</w:t>
      </w:r>
      <w:proofErr w:type="spellEnd"/>
      <w:r>
        <w:rPr>
          <w:rFonts w:eastAsia="Calibri"/>
          <w:sz w:val="24"/>
          <w:szCs w:val="24"/>
          <w:lang w:val="en-GB"/>
        </w:rPr>
        <w:t xml:space="preserve"> &lt; </w:t>
      </w:r>
      <w:proofErr w:type="spellStart"/>
      <w:r>
        <w:rPr>
          <w:rFonts w:eastAsia="Calibri"/>
          <w:sz w:val="24"/>
          <w:szCs w:val="24"/>
          <w:lang w:val="en-GB"/>
        </w:rPr>
        <w:t>Hanoukopé</w:t>
      </w:r>
      <w:proofErr w:type="spellEnd"/>
      <w:r>
        <w:rPr>
          <w:rFonts w:eastAsia="Calibri"/>
          <w:sz w:val="24"/>
          <w:szCs w:val="24"/>
          <w:lang w:val="en-GB"/>
        </w:rPr>
        <w:t xml:space="preserve"> &lt; </w:t>
      </w:r>
      <w:proofErr w:type="spellStart"/>
      <w:r>
        <w:rPr>
          <w:rFonts w:eastAsia="Calibri"/>
          <w:sz w:val="24"/>
          <w:szCs w:val="24"/>
          <w:lang w:val="en-GB"/>
        </w:rPr>
        <w:t>Bè</w:t>
      </w:r>
      <w:proofErr w:type="spellEnd"/>
      <w:r>
        <w:rPr>
          <w:rFonts w:eastAsia="Calibri"/>
          <w:sz w:val="24"/>
          <w:szCs w:val="24"/>
          <w:lang w:val="en-GB"/>
        </w:rPr>
        <w:t xml:space="preserve">), reflecting the combined effects of anthropogenic activities and lagoon hydrodynamics. Downstream sites such as </w:t>
      </w:r>
      <w:proofErr w:type="spellStart"/>
      <w:r>
        <w:rPr>
          <w:rFonts w:eastAsia="Calibri"/>
          <w:sz w:val="24"/>
          <w:szCs w:val="24"/>
          <w:lang w:val="en-GB"/>
        </w:rPr>
        <w:t>Bè</w:t>
      </w:r>
      <w:proofErr w:type="spellEnd"/>
      <w:r>
        <w:rPr>
          <w:rFonts w:eastAsia="Calibri"/>
          <w:sz w:val="24"/>
          <w:szCs w:val="24"/>
          <w:lang w:val="en-GB"/>
        </w:rPr>
        <w:t xml:space="preserve"> exhibited the highest levels, likely related to the sedimentation of metal-bearing particles transported by water flows. </w:t>
      </w:r>
      <w:r>
        <w:rPr>
          <w:rFonts w:eastAsia="Calibri" w:hint="eastAsia"/>
          <w:sz w:val="24"/>
          <w:szCs w:val="24"/>
          <w:lang w:val="en-GB"/>
        </w:rPr>
        <w:t>Compost analyses revealed that residual metal concentrations (Pb up to 7.23 mg/kg; Cd 0.35 mg/kg) remain below European regulatory thresholds (AFNOR NF U44-051, 2006), supporting its safe agricultural use. The compost exhibited an alkaline pH (</w:t>
      </w:r>
      <w:r>
        <w:rPr>
          <w:rFonts w:eastAsia="Calibri" w:hint="eastAsia"/>
          <w:sz w:val="24"/>
          <w:szCs w:val="24"/>
          <w:lang w:val="en-GB"/>
        </w:rPr>
        <w:t>≈</w:t>
      </w:r>
      <w:r>
        <w:rPr>
          <w:rFonts w:eastAsia="Calibri" w:hint="eastAsia"/>
          <w:sz w:val="24"/>
          <w:szCs w:val="24"/>
          <w:lang w:val="en-GB"/>
        </w:rPr>
        <w:t xml:space="preserve"> 8.0) and h</w:t>
      </w:r>
      <w:r>
        <w:rPr>
          <w:rFonts w:eastAsia="Calibri"/>
          <w:sz w:val="24"/>
          <w:szCs w:val="24"/>
          <w:lang w:val="en-GB"/>
        </w:rPr>
        <w:t xml:space="preserve">igh concentrations of major nutrients (K: 8,453.84 mg/kg; N: 8,307.25 mg/kg; P: 1,095 mg/kg), particularly in shredded compost, which promotes mineralization and metal retention. Overall, the </w:t>
      </w:r>
      <w:proofErr w:type="spellStart"/>
      <w:r>
        <w:rPr>
          <w:rFonts w:eastAsia="Calibri"/>
          <w:sz w:val="24"/>
          <w:szCs w:val="24"/>
          <w:lang w:val="en-GB"/>
        </w:rPr>
        <w:t>valorization</w:t>
      </w:r>
      <w:proofErr w:type="spellEnd"/>
      <w:r>
        <w:rPr>
          <w:rFonts w:eastAsia="Calibri"/>
          <w:sz w:val="24"/>
          <w:szCs w:val="24"/>
          <w:lang w:val="en-GB"/>
        </w:rPr>
        <w:t xml:space="preserve"> of water hyacinth into compost represents an ecological and sustainable strategy that combines invasive biomass management with the production of a nutrient-rich organic amendment. Nevertheless, the persistence of certain metals, particularly Hg, requires regular environmental monitoring to prevent long-term accumulation in soils and food chains.</w:t>
      </w:r>
    </w:p>
    <w:p w14:paraId="4CF6BBA3" w14:textId="77777777" w:rsidR="00331605" w:rsidRDefault="00331605">
      <w:pPr>
        <w:spacing w:line="360" w:lineRule="auto"/>
        <w:rPr>
          <w:rFonts w:eastAsia="Calibri"/>
          <w:sz w:val="24"/>
          <w:szCs w:val="24"/>
          <w:lang w:val="en-GB"/>
        </w:rPr>
      </w:pPr>
    </w:p>
    <w:p w14:paraId="3089468A" w14:textId="77777777" w:rsidR="00331605" w:rsidRDefault="00331605">
      <w:pPr>
        <w:spacing w:line="360" w:lineRule="auto"/>
        <w:rPr>
          <w:rFonts w:eastAsia="Calibri"/>
          <w:sz w:val="24"/>
          <w:szCs w:val="24"/>
          <w:lang w:val="en-GB"/>
        </w:rPr>
      </w:pPr>
    </w:p>
    <w:p w14:paraId="1D63EC4F" w14:textId="77777777" w:rsidR="00331605" w:rsidRPr="00E87057" w:rsidRDefault="00240697">
      <w:pPr>
        <w:pStyle w:val="NoSpacing"/>
        <w:rPr>
          <w:rFonts w:ascii="Arial" w:hAnsi="Arial" w:cs="Arial"/>
        </w:rPr>
      </w:pPr>
      <w:bookmarkStart w:id="9" w:name="_Hlk198031404"/>
      <w:r w:rsidRPr="00E87057">
        <w:rPr>
          <w:rFonts w:ascii="Arial" w:hAnsi="Arial" w:cs="Arial"/>
        </w:rPr>
        <w:t>Disclaimer (Artificial intelligence)</w:t>
      </w:r>
    </w:p>
    <w:p w14:paraId="1D6D53D0" w14:textId="77777777" w:rsidR="00331605" w:rsidRPr="00E87057" w:rsidRDefault="00331605">
      <w:pPr>
        <w:pStyle w:val="NoSpacing"/>
        <w:rPr>
          <w:rFonts w:ascii="Arial" w:hAnsi="Arial" w:cs="Arial"/>
        </w:rPr>
      </w:pPr>
    </w:p>
    <w:p w14:paraId="0635267C" w14:textId="77777777" w:rsidR="00331605" w:rsidRPr="00E87057" w:rsidRDefault="00240697">
      <w:pPr>
        <w:pStyle w:val="NoSpacing"/>
        <w:rPr>
          <w:rFonts w:ascii="Arial" w:hAnsi="Arial" w:cs="Arial"/>
        </w:rPr>
      </w:pPr>
      <w:r w:rsidRPr="00E87057">
        <w:rPr>
          <w:rFonts w:ascii="Arial" w:hAnsi="Arial" w:cs="Arial"/>
        </w:rPr>
        <w:t>Author(s) hereby declare that NO generative AI technologies such as Large Language Models (</w:t>
      </w:r>
      <w:proofErr w:type="spellStart"/>
      <w:r w:rsidRPr="00E87057">
        <w:rPr>
          <w:rFonts w:ascii="Arial" w:hAnsi="Arial" w:cs="Arial"/>
        </w:rPr>
        <w:t>ChatGPT</w:t>
      </w:r>
      <w:proofErr w:type="spellEnd"/>
      <w:r w:rsidRPr="00E87057">
        <w:rPr>
          <w:rFonts w:ascii="Arial" w:hAnsi="Arial" w:cs="Arial"/>
        </w:rPr>
        <w:t xml:space="preserve">, COPILOT, etc.) and text-to-image generators have been used during the writing or editing of this manuscript. </w:t>
      </w:r>
    </w:p>
    <w:bookmarkEnd w:id="9"/>
    <w:p w14:paraId="4012274F" w14:textId="77777777" w:rsidR="00331605" w:rsidRDefault="00331605">
      <w:pPr>
        <w:spacing w:line="360" w:lineRule="auto"/>
        <w:rPr>
          <w:rFonts w:eastAsia="Calibri"/>
          <w:sz w:val="24"/>
          <w:szCs w:val="24"/>
          <w:lang w:val="en-GB"/>
        </w:rPr>
      </w:pPr>
    </w:p>
    <w:p w14:paraId="137AC763" w14:textId="77777777" w:rsidR="00331605" w:rsidRDefault="00240697">
      <w:pPr>
        <w:pStyle w:val="Heading1"/>
        <w:numPr>
          <w:ilvl w:val="0"/>
          <w:numId w:val="0"/>
        </w:numPr>
        <w:rPr>
          <w:rFonts w:eastAsia="Calibri"/>
          <w:b/>
          <w:lang w:val="en-GB"/>
        </w:rPr>
      </w:pPr>
      <w:r>
        <w:rPr>
          <w:rFonts w:eastAsia="Calibri"/>
          <w:b/>
          <w:lang w:val="en-GB"/>
        </w:rPr>
        <w:t xml:space="preserve">References </w:t>
      </w:r>
    </w:p>
    <w:p w14:paraId="683FD197"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eastAsia="fr-FR"/>
        </w:rPr>
        <w:t xml:space="preserve">AFNOR. (2006). </w:t>
      </w:r>
      <w:r>
        <w:rPr>
          <w:rFonts w:eastAsia="Times New Roman"/>
          <w:i/>
          <w:iCs/>
          <w:sz w:val="22"/>
          <w:szCs w:val="22"/>
          <w:lang w:eastAsia="fr-FR"/>
        </w:rPr>
        <w:t>NF U44-051: Organic amendments — Denominations, specifications and marking.</w:t>
      </w:r>
      <w:r>
        <w:rPr>
          <w:rFonts w:eastAsia="Times New Roman"/>
          <w:sz w:val="22"/>
          <w:szCs w:val="22"/>
          <w:lang w:eastAsia="fr-FR"/>
        </w:rPr>
        <w:t xml:space="preserve"> </w:t>
      </w:r>
      <w:r>
        <w:rPr>
          <w:rFonts w:eastAsia="Times New Roman"/>
          <w:sz w:val="22"/>
          <w:szCs w:val="22"/>
          <w:lang w:val="fr-FR" w:eastAsia="fr-FR"/>
        </w:rPr>
        <w:t xml:space="preserve">Association Française de Normalisation (AFNOR), Paris, </w:t>
      </w:r>
      <w:proofErr w:type="gramStart"/>
      <w:r>
        <w:rPr>
          <w:rFonts w:eastAsia="Times New Roman"/>
          <w:sz w:val="22"/>
          <w:szCs w:val="22"/>
          <w:lang w:val="fr-FR" w:eastAsia="fr-FR"/>
        </w:rPr>
        <w:t>France..</w:t>
      </w:r>
      <w:proofErr w:type="gramEnd"/>
    </w:p>
    <w:p w14:paraId="735889A2"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AFNOR NF X31-103. (1999).</w:t>
      </w:r>
      <w:r>
        <w:rPr>
          <w:rFonts w:eastAsia="Times New Roman"/>
          <w:sz w:val="22"/>
          <w:szCs w:val="22"/>
          <w:lang w:val="fr-FR" w:eastAsia="fr-FR"/>
        </w:rPr>
        <w:t xml:space="preserve"> Qualité des sols - Détermination du pH. Association Française de Normalisation (AFNOR).</w:t>
      </w:r>
    </w:p>
    <w:p w14:paraId="2F81498C" w14:textId="6B118D96" w:rsidR="000C5DC1" w:rsidRPr="00E87309" w:rsidRDefault="00240697" w:rsidP="00E87309">
      <w:pPr>
        <w:spacing w:before="100" w:beforeAutospacing="1" w:after="100" w:afterAutospacing="1"/>
        <w:ind w:left="284" w:hanging="426"/>
        <w:jc w:val="left"/>
        <w:rPr>
          <w:rFonts w:eastAsia="Times New Roman"/>
          <w:sz w:val="22"/>
          <w:szCs w:val="22"/>
          <w:lang w:val="fr-FR" w:eastAsia="fr-FR"/>
        </w:rPr>
      </w:pPr>
      <w:proofErr w:type="spellStart"/>
      <w:r>
        <w:rPr>
          <w:rFonts w:eastAsia="Times New Roman"/>
          <w:b/>
          <w:bCs/>
          <w:sz w:val="22"/>
          <w:szCs w:val="22"/>
          <w:lang w:val="fr-FR" w:eastAsia="fr-FR"/>
        </w:rPr>
        <w:lastRenderedPageBreak/>
        <w:t>Akpoti</w:t>
      </w:r>
      <w:proofErr w:type="spellEnd"/>
      <w:r>
        <w:rPr>
          <w:rFonts w:eastAsia="Times New Roman"/>
          <w:b/>
          <w:bCs/>
          <w:sz w:val="22"/>
          <w:szCs w:val="22"/>
          <w:lang w:val="fr-FR" w:eastAsia="fr-FR"/>
        </w:rPr>
        <w:t xml:space="preserve">, K., </w:t>
      </w:r>
      <w:proofErr w:type="spellStart"/>
      <w:r>
        <w:rPr>
          <w:rFonts w:eastAsia="Times New Roman"/>
          <w:b/>
          <w:bCs/>
          <w:sz w:val="22"/>
          <w:szCs w:val="22"/>
          <w:lang w:val="fr-FR" w:eastAsia="fr-FR"/>
        </w:rPr>
        <w:t>Kabo</w:t>
      </w:r>
      <w:proofErr w:type="spellEnd"/>
      <w:r>
        <w:rPr>
          <w:rFonts w:eastAsia="Times New Roman"/>
          <w:b/>
          <w:bCs/>
          <w:sz w:val="22"/>
          <w:szCs w:val="22"/>
          <w:lang w:val="fr-FR" w:eastAsia="fr-FR"/>
        </w:rPr>
        <w:t xml:space="preserve">-Bah, A. T., </w:t>
      </w:r>
      <w:proofErr w:type="spellStart"/>
      <w:r>
        <w:rPr>
          <w:rFonts w:eastAsia="Times New Roman"/>
          <w:b/>
          <w:bCs/>
          <w:sz w:val="22"/>
          <w:szCs w:val="22"/>
          <w:lang w:val="fr-FR" w:eastAsia="fr-FR"/>
        </w:rPr>
        <w:t>Dossou-Yovo</w:t>
      </w:r>
      <w:proofErr w:type="spellEnd"/>
      <w:r>
        <w:rPr>
          <w:rFonts w:eastAsia="Times New Roman"/>
          <w:b/>
          <w:bCs/>
          <w:sz w:val="22"/>
          <w:szCs w:val="22"/>
          <w:lang w:val="fr-FR" w:eastAsia="fr-FR"/>
        </w:rPr>
        <w:t xml:space="preserve">, E. R., </w:t>
      </w:r>
      <w:proofErr w:type="spellStart"/>
      <w:r>
        <w:rPr>
          <w:rFonts w:eastAsia="Times New Roman"/>
          <w:b/>
          <w:bCs/>
          <w:sz w:val="22"/>
          <w:szCs w:val="22"/>
          <w:lang w:val="fr-FR" w:eastAsia="fr-FR"/>
        </w:rPr>
        <w:t>Groen</w:t>
      </w:r>
      <w:proofErr w:type="spellEnd"/>
      <w:r>
        <w:rPr>
          <w:rFonts w:eastAsia="Times New Roman"/>
          <w:b/>
          <w:bCs/>
          <w:sz w:val="22"/>
          <w:szCs w:val="22"/>
          <w:lang w:val="fr-FR" w:eastAsia="fr-FR"/>
        </w:rPr>
        <w:t xml:space="preserve">, T. A., et </w:t>
      </w:r>
      <w:proofErr w:type="spellStart"/>
      <w:r>
        <w:rPr>
          <w:rFonts w:eastAsia="Times New Roman"/>
          <w:b/>
          <w:bCs/>
          <w:sz w:val="22"/>
          <w:szCs w:val="22"/>
          <w:lang w:val="fr-FR" w:eastAsia="fr-FR"/>
        </w:rPr>
        <w:t>Zwart</w:t>
      </w:r>
      <w:proofErr w:type="spellEnd"/>
      <w:r>
        <w:rPr>
          <w:rFonts w:eastAsia="Times New Roman"/>
          <w:b/>
          <w:bCs/>
          <w:sz w:val="22"/>
          <w:szCs w:val="22"/>
          <w:lang w:val="fr-FR" w:eastAsia="fr-FR"/>
        </w:rPr>
        <w:t>, S. J. (2020).</w:t>
      </w:r>
      <w:r>
        <w:rPr>
          <w:rFonts w:eastAsia="Times New Roman"/>
          <w:sz w:val="22"/>
          <w:szCs w:val="22"/>
          <w:lang w:val="fr-FR" w:eastAsia="fr-FR"/>
        </w:rPr>
        <w:t xml:space="preserve"> </w:t>
      </w:r>
      <w:r>
        <w:rPr>
          <w:rFonts w:eastAsia="Times New Roman"/>
          <w:sz w:val="22"/>
          <w:szCs w:val="22"/>
          <w:lang w:val="en-GB" w:eastAsia="fr-FR"/>
        </w:rPr>
        <w:t xml:space="preserve">Mapping suitability for rice production in inland valley landscapes in Benin and Togo using environmental niche </w:t>
      </w:r>
      <w:proofErr w:type="spellStart"/>
      <w:r>
        <w:rPr>
          <w:rFonts w:eastAsia="Times New Roman"/>
          <w:sz w:val="22"/>
          <w:szCs w:val="22"/>
          <w:lang w:val="en-GB" w:eastAsia="fr-FR"/>
        </w:rPr>
        <w:t>modeling</w:t>
      </w:r>
      <w:proofErr w:type="spellEnd"/>
      <w:r>
        <w:rPr>
          <w:rFonts w:eastAsia="Times New Roman"/>
          <w:sz w:val="22"/>
          <w:szCs w:val="22"/>
          <w:lang w:val="en-GB" w:eastAsia="fr-FR"/>
        </w:rPr>
        <w:t xml:space="preserve">. </w:t>
      </w:r>
      <w:r>
        <w:rPr>
          <w:rFonts w:eastAsia="Times New Roman"/>
          <w:sz w:val="22"/>
          <w:szCs w:val="22"/>
          <w:lang w:val="fr-FR" w:eastAsia="fr-FR"/>
        </w:rPr>
        <w:t xml:space="preserve">Science of the total </w:t>
      </w:r>
      <w:proofErr w:type="spellStart"/>
      <w:r>
        <w:rPr>
          <w:rFonts w:eastAsia="Times New Roman"/>
          <w:sz w:val="22"/>
          <w:szCs w:val="22"/>
          <w:lang w:val="fr-FR" w:eastAsia="fr-FR"/>
        </w:rPr>
        <w:t>environment</w:t>
      </w:r>
      <w:proofErr w:type="spellEnd"/>
      <w:r>
        <w:rPr>
          <w:rFonts w:eastAsia="Times New Roman"/>
          <w:sz w:val="22"/>
          <w:szCs w:val="22"/>
          <w:lang w:val="fr-FR" w:eastAsia="fr-FR"/>
        </w:rPr>
        <w:t>, 709, 136165.</w:t>
      </w:r>
    </w:p>
    <w:p w14:paraId="47D279D2" w14:textId="7D4DADF4" w:rsidR="000C5DC1" w:rsidRDefault="000C5DC1">
      <w:pPr>
        <w:spacing w:before="100" w:beforeAutospacing="1" w:after="100" w:afterAutospacing="1"/>
        <w:ind w:left="284" w:hanging="426"/>
        <w:jc w:val="left"/>
        <w:rPr>
          <w:rFonts w:ascii="Calibri" w:eastAsia="Calibri" w:hAnsi="Calibri"/>
          <w:sz w:val="22"/>
          <w:szCs w:val="22"/>
          <w:lang w:val="fr-FR"/>
        </w:rPr>
      </w:pPr>
      <w:proofErr w:type="spellStart"/>
      <w:r w:rsidRPr="00E87309">
        <w:rPr>
          <w:b/>
          <w:bCs/>
          <w:lang w:val="fr-FR"/>
        </w:rPr>
        <w:t>Atakpa-Bassabi</w:t>
      </w:r>
      <w:proofErr w:type="spellEnd"/>
      <w:r w:rsidRPr="00E87309">
        <w:rPr>
          <w:b/>
          <w:bCs/>
          <w:lang w:val="fr-FR"/>
        </w:rPr>
        <w:t xml:space="preserve">, F., </w:t>
      </w:r>
      <w:proofErr w:type="spellStart"/>
      <w:r w:rsidRPr="00E87309">
        <w:rPr>
          <w:b/>
          <w:bCs/>
          <w:lang w:val="fr-FR"/>
        </w:rPr>
        <w:t>Kanda</w:t>
      </w:r>
      <w:proofErr w:type="spellEnd"/>
      <w:r w:rsidRPr="00E87309">
        <w:rPr>
          <w:b/>
          <w:bCs/>
          <w:lang w:val="fr-FR"/>
        </w:rPr>
        <w:t xml:space="preserve">, M., </w:t>
      </w:r>
      <w:proofErr w:type="spellStart"/>
      <w:r w:rsidRPr="00E87309">
        <w:rPr>
          <w:b/>
          <w:bCs/>
          <w:lang w:val="fr-FR"/>
        </w:rPr>
        <w:t>Badjare</w:t>
      </w:r>
      <w:proofErr w:type="spellEnd"/>
      <w:r w:rsidRPr="00E87309">
        <w:rPr>
          <w:b/>
          <w:bCs/>
          <w:lang w:val="fr-FR"/>
        </w:rPr>
        <w:t xml:space="preserve">, B., </w:t>
      </w:r>
      <w:proofErr w:type="spellStart"/>
      <w:r w:rsidRPr="00E87309">
        <w:rPr>
          <w:b/>
          <w:bCs/>
          <w:lang w:val="fr-FR"/>
        </w:rPr>
        <w:t>Atato</w:t>
      </w:r>
      <w:proofErr w:type="spellEnd"/>
      <w:r w:rsidRPr="00E87309">
        <w:rPr>
          <w:b/>
          <w:bCs/>
          <w:lang w:val="fr-FR"/>
        </w:rPr>
        <w:t xml:space="preserve">, A., </w:t>
      </w:r>
      <w:proofErr w:type="spellStart"/>
      <w:r w:rsidRPr="00E87309">
        <w:rPr>
          <w:b/>
          <w:bCs/>
          <w:lang w:val="fr-FR"/>
        </w:rPr>
        <w:t>Batawila</w:t>
      </w:r>
      <w:proofErr w:type="spellEnd"/>
      <w:r w:rsidRPr="00E87309">
        <w:rPr>
          <w:b/>
          <w:bCs/>
          <w:lang w:val="fr-FR"/>
        </w:rPr>
        <w:t xml:space="preserve">, K., &amp; </w:t>
      </w:r>
      <w:proofErr w:type="spellStart"/>
      <w:r w:rsidRPr="00E87309">
        <w:rPr>
          <w:b/>
          <w:bCs/>
          <w:lang w:val="fr-FR"/>
        </w:rPr>
        <w:t>Akpagana</w:t>
      </w:r>
      <w:proofErr w:type="spellEnd"/>
      <w:r w:rsidRPr="00E87309">
        <w:rPr>
          <w:b/>
          <w:bCs/>
          <w:lang w:val="fr-FR"/>
        </w:rPr>
        <w:t>, K. (2023).</w:t>
      </w:r>
      <w:r w:rsidRPr="000C5DC1">
        <w:rPr>
          <w:lang w:val="fr-FR"/>
        </w:rPr>
        <w:t xml:space="preserve"> Potentialités </w:t>
      </w:r>
      <w:proofErr w:type="spellStart"/>
      <w:r w:rsidRPr="000C5DC1">
        <w:rPr>
          <w:lang w:val="fr-FR"/>
        </w:rPr>
        <w:t>phytoremédiatrices</w:t>
      </w:r>
      <w:proofErr w:type="spellEnd"/>
      <w:r w:rsidRPr="000C5DC1">
        <w:rPr>
          <w:lang w:val="fr-FR"/>
        </w:rPr>
        <w:t xml:space="preserve"> de la jacinthe d’eau (</w:t>
      </w:r>
      <w:proofErr w:type="spellStart"/>
      <w:r w:rsidRPr="000C5DC1">
        <w:rPr>
          <w:i/>
          <w:iCs/>
          <w:lang w:val="fr-FR"/>
        </w:rPr>
        <w:t>Eichhornia</w:t>
      </w:r>
      <w:proofErr w:type="spellEnd"/>
      <w:r w:rsidRPr="000C5DC1">
        <w:rPr>
          <w:i/>
          <w:iCs/>
          <w:lang w:val="fr-FR"/>
        </w:rPr>
        <w:t xml:space="preserve"> </w:t>
      </w:r>
      <w:proofErr w:type="spellStart"/>
      <w:r w:rsidRPr="000C5DC1">
        <w:rPr>
          <w:i/>
          <w:iCs/>
          <w:lang w:val="fr-FR"/>
        </w:rPr>
        <w:t>crassipes</w:t>
      </w:r>
      <w:proofErr w:type="spellEnd"/>
      <w:r w:rsidRPr="000C5DC1">
        <w:rPr>
          <w:lang w:val="fr-FR"/>
        </w:rPr>
        <w:t xml:space="preserve">) dans la purification des eaux usées au Togo. </w:t>
      </w:r>
      <w:r w:rsidRPr="000C5DC1">
        <w:rPr>
          <w:i/>
          <w:iCs/>
          <w:lang w:val="fr-FR"/>
        </w:rPr>
        <w:t>Revue Marocaine des Sciences Agronomiques et Vétérinaires, 11</w:t>
      </w:r>
      <w:r w:rsidRPr="000C5DC1">
        <w:rPr>
          <w:lang w:val="fr-FR"/>
        </w:rPr>
        <w:t xml:space="preserve">(4), 577–585. </w:t>
      </w:r>
      <w:hyperlink r:id="rId16" w:tgtFrame="_new" w:history="1">
        <w:r w:rsidRPr="000C5DC1">
          <w:rPr>
            <w:color w:val="0000FF"/>
            <w:u w:val="single"/>
            <w:lang w:val="fr-FR"/>
          </w:rPr>
          <w:t>https://doi.org/10.5281/zenodo.10499072</w:t>
        </w:r>
      </w:hyperlink>
    </w:p>
    <w:p w14:paraId="4DAD1DCD" w14:textId="77777777" w:rsidR="00331605" w:rsidRDefault="00240697">
      <w:pPr>
        <w:spacing w:before="100" w:beforeAutospacing="1" w:after="100" w:afterAutospacing="1"/>
        <w:ind w:left="284" w:hanging="426"/>
        <w:jc w:val="left"/>
        <w:rPr>
          <w:rFonts w:eastAsia="Times New Roman"/>
          <w:sz w:val="22"/>
          <w:szCs w:val="22"/>
          <w:lang w:val="fr-FR" w:eastAsia="fr-FR"/>
        </w:rPr>
      </w:pPr>
      <w:proofErr w:type="spellStart"/>
      <w:r>
        <w:rPr>
          <w:rFonts w:eastAsia="Times New Roman"/>
          <w:b/>
          <w:bCs/>
          <w:sz w:val="22"/>
          <w:szCs w:val="22"/>
          <w:lang w:val="fr-FR" w:eastAsia="fr-FR"/>
        </w:rPr>
        <w:t>Badassan</w:t>
      </w:r>
      <w:proofErr w:type="spellEnd"/>
      <w:r>
        <w:rPr>
          <w:rFonts w:eastAsia="Times New Roman"/>
          <w:b/>
          <w:bCs/>
          <w:sz w:val="22"/>
          <w:szCs w:val="22"/>
          <w:lang w:val="fr-FR" w:eastAsia="fr-FR"/>
        </w:rPr>
        <w:t>, T. (2021).</w:t>
      </w:r>
      <w:r>
        <w:rPr>
          <w:rFonts w:eastAsia="Times New Roman"/>
          <w:sz w:val="22"/>
          <w:szCs w:val="22"/>
          <w:lang w:val="fr-FR" w:eastAsia="fr-FR"/>
        </w:rPr>
        <w:t xml:space="preserve"> Evaluation de la contamination des éléments traces dans les eaux et sédiments de la lagune de Lomé et bioaccumulation chez deux espèces de poisson (Doctoral dissertation, Institut National Polytechnique de Toulouse-</w:t>
      </w:r>
      <w:proofErr w:type="gramStart"/>
      <w:r>
        <w:rPr>
          <w:rFonts w:eastAsia="Times New Roman"/>
          <w:sz w:val="22"/>
          <w:szCs w:val="22"/>
          <w:lang w:val="fr-FR" w:eastAsia="fr-FR"/>
        </w:rPr>
        <w:t>INPT;</w:t>
      </w:r>
      <w:proofErr w:type="gramEnd"/>
      <w:r>
        <w:rPr>
          <w:rFonts w:eastAsia="Times New Roman"/>
          <w:sz w:val="22"/>
          <w:szCs w:val="22"/>
          <w:lang w:val="fr-FR" w:eastAsia="fr-FR"/>
        </w:rPr>
        <w:t xml:space="preserve"> Université de Lomé (Togo)).</w:t>
      </w:r>
    </w:p>
    <w:p w14:paraId="055D1911"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Bash, JO, Bresnahan, P., et Miller, DR (2007).</w:t>
      </w:r>
      <w:r>
        <w:rPr>
          <w:rFonts w:eastAsia="Times New Roman"/>
          <w:sz w:val="22"/>
          <w:szCs w:val="22"/>
          <w:lang w:val="en-GB" w:eastAsia="fr-FR"/>
        </w:rPr>
        <w:t xml:space="preserve"> Dynamic exchanges of mercury at the surface interface: Review and compartmental </w:t>
      </w:r>
      <w:proofErr w:type="spellStart"/>
      <w:r>
        <w:rPr>
          <w:rFonts w:eastAsia="Times New Roman"/>
          <w:sz w:val="22"/>
          <w:szCs w:val="22"/>
          <w:lang w:val="en-GB" w:eastAsia="fr-FR"/>
        </w:rPr>
        <w:t>modeling</w:t>
      </w:r>
      <w:proofErr w:type="spellEnd"/>
      <w:r>
        <w:rPr>
          <w:rFonts w:eastAsia="Times New Roman"/>
          <w:sz w:val="22"/>
          <w:szCs w:val="22"/>
          <w:lang w:val="en-GB" w:eastAsia="fr-FR"/>
        </w:rPr>
        <w:t xml:space="preserve"> framework. Journal of Applied Meteorology and Climatology, 46(10), 1606–1618. </w:t>
      </w:r>
      <w:hyperlink r:id="rId17" w:history="1">
        <w:r>
          <w:rPr>
            <w:rStyle w:val="Hyperlink"/>
            <w:rFonts w:eastAsia="Times New Roman"/>
            <w:sz w:val="22"/>
            <w:szCs w:val="22"/>
            <w:lang w:val="en-GB" w:eastAsia="fr-FR"/>
          </w:rPr>
          <w:t>https://doi.org/10.1175/JAM2553.1</w:t>
        </w:r>
      </w:hyperlink>
    </w:p>
    <w:p w14:paraId="5F97619D"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 xml:space="preserve">Bernal, MP, </w:t>
      </w:r>
      <w:proofErr w:type="spellStart"/>
      <w:r>
        <w:rPr>
          <w:rFonts w:eastAsia="Times New Roman"/>
          <w:b/>
          <w:bCs/>
          <w:sz w:val="22"/>
          <w:szCs w:val="22"/>
          <w:lang w:val="fr-FR" w:eastAsia="fr-FR"/>
        </w:rPr>
        <w:t>Alburquerque</w:t>
      </w:r>
      <w:proofErr w:type="spellEnd"/>
      <w:r>
        <w:rPr>
          <w:rFonts w:eastAsia="Times New Roman"/>
          <w:b/>
          <w:bCs/>
          <w:sz w:val="22"/>
          <w:szCs w:val="22"/>
          <w:lang w:val="fr-FR" w:eastAsia="fr-FR"/>
        </w:rPr>
        <w:t xml:space="preserve">, JA, </w:t>
      </w:r>
      <w:proofErr w:type="gramStart"/>
      <w:r>
        <w:rPr>
          <w:rFonts w:eastAsia="Times New Roman"/>
          <w:b/>
          <w:bCs/>
          <w:sz w:val="22"/>
          <w:szCs w:val="22"/>
          <w:lang w:val="fr-FR" w:eastAsia="fr-FR"/>
        </w:rPr>
        <w:t>et  Moral</w:t>
      </w:r>
      <w:proofErr w:type="gramEnd"/>
      <w:r>
        <w:rPr>
          <w:rFonts w:eastAsia="Times New Roman"/>
          <w:b/>
          <w:bCs/>
          <w:sz w:val="22"/>
          <w:szCs w:val="22"/>
          <w:lang w:val="fr-FR" w:eastAsia="fr-FR"/>
        </w:rPr>
        <w:t>, R. (2009).</w:t>
      </w:r>
      <w:r>
        <w:rPr>
          <w:rFonts w:eastAsia="Times New Roman"/>
          <w:sz w:val="22"/>
          <w:szCs w:val="22"/>
          <w:lang w:val="fr-FR" w:eastAsia="fr-FR"/>
        </w:rPr>
        <w:t xml:space="preserve"> </w:t>
      </w:r>
      <w:r>
        <w:rPr>
          <w:rFonts w:eastAsia="Times New Roman"/>
          <w:sz w:val="22"/>
          <w:szCs w:val="22"/>
          <w:lang w:val="en-GB" w:eastAsia="fr-FR"/>
        </w:rPr>
        <w:t>Composting of animal manures and chemical criteria for compost maturity assessment: A review. Bioresource Technology</w:t>
      </w:r>
      <w:proofErr w:type="gramStart"/>
      <w:r>
        <w:rPr>
          <w:rFonts w:eastAsia="Times New Roman"/>
          <w:sz w:val="22"/>
          <w:szCs w:val="22"/>
          <w:lang w:val="en-GB" w:eastAsia="fr-FR"/>
        </w:rPr>
        <w:t>. ,</w:t>
      </w:r>
      <w:proofErr w:type="gramEnd"/>
      <w:r>
        <w:rPr>
          <w:rFonts w:eastAsia="Times New Roman"/>
          <w:sz w:val="22"/>
          <w:szCs w:val="22"/>
          <w:lang w:val="en-GB" w:eastAsia="fr-FR"/>
        </w:rPr>
        <w:t xml:space="preserve"> </w:t>
      </w:r>
      <w:hyperlink r:id="rId18" w:history="1">
        <w:r>
          <w:rPr>
            <w:rFonts w:eastAsia="Times New Roman"/>
            <w:color w:val="0000FF"/>
            <w:sz w:val="22"/>
            <w:szCs w:val="22"/>
            <w:u w:val="single"/>
            <w:lang w:val="en-GB" w:eastAsia="fr-FR"/>
          </w:rPr>
          <w:t>https://doi.org/10.1016/j.biortech.2008.11.027</w:t>
        </w:r>
      </w:hyperlink>
    </w:p>
    <w:p w14:paraId="4D88A5F7"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Bray, R. H., et Kurtz, L. T. (1945).</w:t>
      </w:r>
      <w:r>
        <w:rPr>
          <w:rFonts w:eastAsia="Times New Roman"/>
          <w:sz w:val="22"/>
          <w:szCs w:val="22"/>
          <w:lang w:val="en-GB" w:eastAsia="fr-FR"/>
        </w:rPr>
        <w:t xml:space="preserve"> Determination of total, organic, and available forms of phosphorus in soils. Soil science, 59(1), 39-46.</w:t>
      </w:r>
    </w:p>
    <w:p w14:paraId="0E53DE15"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Bremner</w:t>
      </w:r>
      <w:proofErr w:type="spellEnd"/>
      <w:r>
        <w:rPr>
          <w:rFonts w:eastAsia="Times New Roman"/>
          <w:b/>
          <w:bCs/>
          <w:sz w:val="22"/>
          <w:szCs w:val="22"/>
          <w:lang w:val="en-GB" w:eastAsia="fr-FR"/>
        </w:rPr>
        <w:t>, J. M. (1996).</w:t>
      </w:r>
      <w:r>
        <w:rPr>
          <w:rFonts w:eastAsia="Times New Roman"/>
          <w:sz w:val="22"/>
          <w:szCs w:val="22"/>
          <w:lang w:val="en-GB" w:eastAsia="fr-FR"/>
        </w:rPr>
        <w:t xml:space="preserve"> Nitrogen‐total. Methods of soil analysis: Part 3 Chemical methods, 5, 1085-1121.</w:t>
      </w:r>
    </w:p>
    <w:p w14:paraId="427B8DF1"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 xml:space="preserve">Carrasco-Gil, S., </w:t>
      </w:r>
      <w:proofErr w:type="spellStart"/>
      <w:r>
        <w:rPr>
          <w:rFonts w:eastAsia="Times New Roman"/>
          <w:b/>
          <w:bCs/>
          <w:sz w:val="22"/>
          <w:szCs w:val="22"/>
          <w:lang w:val="fr-FR" w:eastAsia="fr-FR"/>
        </w:rPr>
        <w:t>Siebner</w:t>
      </w:r>
      <w:proofErr w:type="spellEnd"/>
      <w:r>
        <w:rPr>
          <w:rFonts w:eastAsia="Times New Roman"/>
          <w:b/>
          <w:bCs/>
          <w:sz w:val="22"/>
          <w:szCs w:val="22"/>
          <w:lang w:val="fr-FR" w:eastAsia="fr-FR"/>
        </w:rPr>
        <w:t xml:space="preserve">, H., </w:t>
      </w:r>
      <w:proofErr w:type="spellStart"/>
      <w:r>
        <w:rPr>
          <w:rFonts w:eastAsia="Times New Roman"/>
          <w:b/>
          <w:bCs/>
          <w:sz w:val="22"/>
          <w:szCs w:val="22"/>
          <w:lang w:val="fr-FR" w:eastAsia="fr-FR"/>
        </w:rPr>
        <w:t>LeDuc</w:t>
      </w:r>
      <w:proofErr w:type="spellEnd"/>
      <w:r>
        <w:rPr>
          <w:rFonts w:eastAsia="Times New Roman"/>
          <w:b/>
          <w:bCs/>
          <w:sz w:val="22"/>
          <w:szCs w:val="22"/>
          <w:lang w:val="fr-FR" w:eastAsia="fr-FR"/>
        </w:rPr>
        <w:t xml:space="preserve">, DL, Webb, SM, </w:t>
      </w:r>
      <w:proofErr w:type="spellStart"/>
      <w:r>
        <w:rPr>
          <w:rFonts w:eastAsia="Times New Roman"/>
          <w:b/>
          <w:bCs/>
          <w:sz w:val="22"/>
          <w:szCs w:val="22"/>
          <w:lang w:val="fr-FR" w:eastAsia="fr-FR"/>
        </w:rPr>
        <w:t>Millán</w:t>
      </w:r>
      <w:proofErr w:type="spellEnd"/>
      <w:r>
        <w:rPr>
          <w:rFonts w:eastAsia="Times New Roman"/>
          <w:b/>
          <w:bCs/>
          <w:sz w:val="22"/>
          <w:szCs w:val="22"/>
          <w:lang w:val="fr-FR" w:eastAsia="fr-FR"/>
        </w:rPr>
        <w:t>, R., Andrews, JC, et Hernández, LE (2013).</w:t>
      </w:r>
      <w:r>
        <w:rPr>
          <w:rFonts w:eastAsia="Times New Roman"/>
          <w:sz w:val="22"/>
          <w:szCs w:val="22"/>
          <w:lang w:val="fr-FR" w:eastAsia="fr-FR"/>
        </w:rPr>
        <w:t xml:space="preserve"> Localisation et spéciation du mercure chez les plantes cultivées en hydroponie ou en milieu naturel.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science et </w:t>
      </w:r>
      <w:proofErr w:type="spellStart"/>
      <w:proofErr w:type="gramStart"/>
      <w:r>
        <w:rPr>
          <w:rFonts w:eastAsia="Times New Roman"/>
          <w:sz w:val="22"/>
          <w:szCs w:val="22"/>
          <w:lang w:val="fr-FR" w:eastAsia="fr-FR"/>
        </w:rPr>
        <w:t>technology</w:t>
      </w:r>
      <w:proofErr w:type="spellEnd"/>
      <w:r>
        <w:rPr>
          <w:rFonts w:eastAsia="Times New Roman"/>
          <w:sz w:val="22"/>
          <w:szCs w:val="22"/>
          <w:lang w:val="fr-FR" w:eastAsia="fr-FR"/>
        </w:rPr>
        <w:t xml:space="preserve"> ,</w:t>
      </w:r>
      <w:proofErr w:type="gramEnd"/>
      <w:r>
        <w:rPr>
          <w:rFonts w:eastAsia="Times New Roman"/>
          <w:sz w:val="22"/>
          <w:szCs w:val="22"/>
          <w:lang w:val="fr-FR" w:eastAsia="fr-FR"/>
        </w:rPr>
        <w:t xml:space="preserve"> 47 (7), 3082-3090. </w:t>
      </w:r>
      <w:hyperlink r:id="rId19" w:history="1">
        <w:r>
          <w:rPr>
            <w:rFonts w:eastAsia="Times New Roman"/>
            <w:color w:val="0000FF"/>
            <w:sz w:val="22"/>
            <w:szCs w:val="22"/>
            <w:u w:val="single"/>
            <w:lang w:val="fr-FR" w:eastAsia="fr-FR"/>
          </w:rPr>
          <w:t>https://doi.org/10.1021/es303310t</w:t>
        </w:r>
      </w:hyperlink>
    </w:p>
    <w:p w14:paraId="190126E0"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Center, T. D. (2002).</w:t>
      </w:r>
      <w:r>
        <w:rPr>
          <w:rFonts w:eastAsia="Times New Roman"/>
          <w:sz w:val="22"/>
          <w:szCs w:val="22"/>
          <w:lang w:val="fr-FR" w:eastAsia="fr-FR"/>
        </w:rPr>
        <w:t xml:space="preserve"> </w:t>
      </w:r>
      <w:r>
        <w:rPr>
          <w:rFonts w:eastAsia="Times New Roman"/>
          <w:sz w:val="22"/>
          <w:szCs w:val="22"/>
          <w:lang w:val="en-GB" w:eastAsia="fr-FR"/>
        </w:rPr>
        <w:t>Insects and other arthropods that feed on aquatic and wetland plants.</w:t>
      </w:r>
    </w:p>
    <w:p w14:paraId="5C3D2E6C" w14:textId="77777777" w:rsidR="00331605" w:rsidRDefault="00240697">
      <w:pPr>
        <w:spacing w:before="100" w:beforeAutospacing="1" w:after="100" w:afterAutospacing="1"/>
        <w:ind w:left="284" w:hanging="426"/>
        <w:jc w:val="left"/>
        <w:rPr>
          <w:rFonts w:eastAsia="Calibri"/>
          <w:sz w:val="22"/>
          <w:szCs w:val="22"/>
          <w:lang w:val="en-GB"/>
        </w:rPr>
      </w:pPr>
      <w:r>
        <w:rPr>
          <w:rFonts w:eastAsia="Calibri"/>
          <w:b/>
          <w:bCs/>
          <w:sz w:val="22"/>
          <w:szCs w:val="22"/>
          <w:lang w:val="en-GB"/>
        </w:rPr>
        <w:t xml:space="preserve">Eid, E. M., </w:t>
      </w:r>
      <w:proofErr w:type="spellStart"/>
      <w:r>
        <w:rPr>
          <w:rFonts w:eastAsia="Calibri"/>
          <w:b/>
          <w:bCs/>
          <w:sz w:val="22"/>
          <w:szCs w:val="22"/>
          <w:lang w:val="en-GB"/>
        </w:rPr>
        <w:t>Shaltout</w:t>
      </w:r>
      <w:proofErr w:type="spellEnd"/>
      <w:r>
        <w:rPr>
          <w:rFonts w:eastAsia="Calibri"/>
          <w:b/>
          <w:bCs/>
          <w:sz w:val="22"/>
          <w:szCs w:val="22"/>
          <w:lang w:val="en-GB"/>
        </w:rPr>
        <w:t xml:space="preserve">, K. H., </w:t>
      </w:r>
      <w:proofErr w:type="spellStart"/>
      <w:r>
        <w:rPr>
          <w:rFonts w:eastAsia="Calibri"/>
          <w:b/>
          <w:bCs/>
          <w:sz w:val="22"/>
          <w:szCs w:val="22"/>
          <w:lang w:val="en-GB"/>
        </w:rPr>
        <w:t>Moghanm</w:t>
      </w:r>
      <w:proofErr w:type="spellEnd"/>
      <w:r>
        <w:rPr>
          <w:rFonts w:eastAsia="Calibri"/>
          <w:b/>
          <w:bCs/>
          <w:sz w:val="22"/>
          <w:szCs w:val="22"/>
          <w:lang w:val="en-GB"/>
        </w:rPr>
        <w:t>, F. S., Youssef, M. S., El-</w:t>
      </w:r>
      <w:proofErr w:type="spellStart"/>
      <w:r>
        <w:rPr>
          <w:rFonts w:eastAsia="Calibri"/>
          <w:b/>
          <w:bCs/>
          <w:sz w:val="22"/>
          <w:szCs w:val="22"/>
          <w:lang w:val="en-GB"/>
        </w:rPr>
        <w:t>Mohsnawy</w:t>
      </w:r>
      <w:proofErr w:type="spellEnd"/>
      <w:r>
        <w:rPr>
          <w:rFonts w:eastAsia="Calibri"/>
          <w:b/>
          <w:bCs/>
          <w:sz w:val="22"/>
          <w:szCs w:val="22"/>
          <w:lang w:val="en-GB"/>
        </w:rPr>
        <w:t xml:space="preserve">, E., et Haroun, S. A. (2019). </w:t>
      </w:r>
      <w:r>
        <w:rPr>
          <w:rFonts w:eastAsia="Calibri"/>
          <w:sz w:val="22"/>
          <w:szCs w:val="22"/>
          <w:lang w:val="en-GB"/>
        </w:rPr>
        <w:t xml:space="preserve">Bioaccumulation and translocation of nine heavy metals by </w:t>
      </w:r>
      <w:proofErr w:type="spellStart"/>
      <w:r>
        <w:rPr>
          <w:rFonts w:eastAsia="Calibri"/>
          <w:i/>
          <w:iCs/>
          <w:sz w:val="22"/>
          <w:szCs w:val="22"/>
          <w:lang w:val="en-GB"/>
        </w:rPr>
        <w:t>Eichhornia</w:t>
      </w:r>
      <w:proofErr w:type="spellEnd"/>
      <w:r>
        <w:rPr>
          <w:rFonts w:eastAsia="Calibri"/>
          <w:i/>
          <w:iCs/>
          <w:sz w:val="22"/>
          <w:szCs w:val="22"/>
          <w:lang w:val="en-GB"/>
        </w:rPr>
        <w:t xml:space="preserve"> </w:t>
      </w:r>
      <w:proofErr w:type="spellStart"/>
      <w:r>
        <w:rPr>
          <w:rFonts w:eastAsia="Calibri"/>
          <w:i/>
          <w:iCs/>
          <w:sz w:val="22"/>
          <w:szCs w:val="22"/>
          <w:lang w:val="en-GB"/>
        </w:rPr>
        <w:t>crassipes</w:t>
      </w:r>
      <w:proofErr w:type="spellEnd"/>
      <w:r>
        <w:rPr>
          <w:rFonts w:eastAsia="Calibri"/>
          <w:sz w:val="22"/>
          <w:szCs w:val="22"/>
          <w:lang w:val="en-GB"/>
        </w:rPr>
        <w:t xml:space="preserve"> in the Nile Delta, Egypt: Perspectives for phytoremediation. International Journal of Phytoremediation.21(8), 821-830. </w:t>
      </w:r>
      <w:hyperlink r:id="rId20" w:history="1">
        <w:r>
          <w:rPr>
            <w:rFonts w:eastAsia="Calibri"/>
            <w:color w:val="0563C1"/>
            <w:sz w:val="22"/>
            <w:szCs w:val="22"/>
            <w:u w:val="single"/>
            <w:lang w:val="en-GB"/>
          </w:rPr>
          <w:t>https://doi.org/10.1080/15226514.2019.1566885</w:t>
        </w:r>
      </w:hyperlink>
    </w:p>
    <w:p w14:paraId="322AD747"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Epstein, E. (2017).</w:t>
      </w:r>
      <w:r>
        <w:rPr>
          <w:rFonts w:eastAsia="Times New Roman"/>
          <w:sz w:val="22"/>
          <w:szCs w:val="22"/>
          <w:lang w:val="en-GB" w:eastAsia="fr-FR"/>
        </w:rPr>
        <w:t xml:space="preserve"> The science of composting. CRC press.</w:t>
      </w:r>
    </w:p>
    <w:p w14:paraId="309183CE"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Gajalakshmi</w:t>
      </w:r>
      <w:proofErr w:type="spellEnd"/>
      <w:r>
        <w:rPr>
          <w:rFonts w:eastAsia="Times New Roman"/>
          <w:b/>
          <w:bCs/>
          <w:sz w:val="22"/>
          <w:szCs w:val="22"/>
          <w:lang w:val="en-GB" w:eastAsia="fr-FR"/>
        </w:rPr>
        <w:t xml:space="preserve">, S., et Abbasi, S. A. (2008). </w:t>
      </w:r>
      <w:r>
        <w:rPr>
          <w:rFonts w:eastAsia="Times New Roman"/>
          <w:sz w:val="22"/>
          <w:szCs w:val="22"/>
          <w:lang w:val="en-GB" w:eastAsia="fr-FR"/>
        </w:rPr>
        <w:t>Solid waste management by composting: state of the art. Critical reviews in environmental science and technology, 38(5), 311-400.</w:t>
      </w:r>
      <w:r>
        <w:rPr>
          <w:rFonts w:eastAsia="Calibri"/>
          <w:sz w:val="22"/>
          <w:szCs w:val="22"/>
          <w:lang w:val="en-GB"/>
        </w:rPr>
        <w:t xml:space="preserve"> </w:t>
      </w:r>
      <w:hyperlink r:id="rId21" w:history="1">
        <w:r>
          <w:rPr>
            <w:rFonts w:eastAsia="Times New Roman"/>
            <w:color w:val="0563C1"/>
            <w:sz w:val="22"/>
            <w:szCs w:val="22"/>
            <w:u w:val="single"/>
            <w:lang w:val="en-GB" w:eastAsia="fr-FR"/>
          </w:rPr>
          <w:t>https://doi.org/10.1080/10643380701413633</w:t>
        </w:r>
      </w:hyperlink>
    </w:p>
    <w:p w14:paraId="597A347A" w14:textId="77777777" w:rsidR="00331605" w:rsidRDefault="00240697">
      <w:pPr>
        <w:spacing w:before="100" w:beforeAutospacing="1" w:after="100" w:afterAutospacing="1"/>
        <w:ind w:left="284" w:hanging="426"/>
        <w:jc w:val="left"/>
        <w:rPr>
          <w:rFonts w:ascii="Calibri" w:eastAsia="Calibri" w:hAnsi="Calibri"/>
          <w:sz w:val="22"/>
          <w:szCs w:val="22"/>
          <w:lang w:val="fr-FR"/>
        </w:rPr>
      </w:pPr>
      <w:proofErr w:type="spellStart"/>
      <w:r>
        <w:rPr>
          <w:rFonts w:eastAsia="Times New Roman"/>
          <w:b/>
          <w:bCs/>
          <w:sz w:val="22"/>
          <w:szCs w:val="22"/>
          <w:lang w:val="fr-FR" w:eastAsia="fr-FR"/>
        </w:rPr>
        <w:t>Ghabbour</w:t>
      </w:r>
      <w:proofErr w:type="spellEnd"/>
      <w:r>
        <w:rPr>
          <w:rFonts w:eastAsia="Times New Roman"/>
          <w:b/>
          <w:bCs/>
          <w:sz w:val="22"/>
          <w:szCs w:val="22"/>
          <w:lang w:val="fr-FR" w:eastAsia="fr-FR"/>
        </w:rPr>
        <w:t xml:space="preserve">, E. A., Davies, G., </w:t>
      </w:r>
      <w:proofErr w:type="spellStart"/>
      <w:r>
        <w:rPr>
          <w:rFonts w:eastAsia="Times New Roman"/>
          <w:b/>
          <w:bCs/>
          <w:sz w:val="22"/>
          <w:szCs w:val="22"/>
          <w:lang w:val="fr-FR" w:eastAsia="fr-FR"/>
        </w:rPr>
        <w:t>Lam</w:t>
      </w:r>
      <w:proofErr w:type="spellEnd"/>
      <w:r>
        <w:rPr>
          <w:rFonts w:eastAsia="Times New Roman"/>
          <w:b/>
          <w:bCs/>
          <w:sz w:val="22"/>
          <w:szCs w:val="22"/>
          <w:lang w:val="fr-FR" w:eastAsia="fr-FR"/>
        </w:rPr>
        <w:t xml:space="preserve">, Y. Y., et </w:t>
      </w:r>
      <w:proofErr w:type="spellStart"/>
      <w:r>
        <w:rPr>
          <w:rFonts w:eastAsia="Times New Roman"/>
          <w:b/>
          <w:bCs/>
          <w:sz w:val="22"/>
          <w:szCs w:val="22"/>
          <w:lang w:val="fr-FR" w:eastAsia="fr-FR"/>
        </w:rPr>
        <w:t>Vozzella</w:t>
      </w:r>
      <w:proofErr w:type="spellEnd"/>
      <w:r>
        <w:rPr>
          <w:rFonts w:eastAsia="Times New Roman"/>
          <w:b/>
          <w:bCs/>
          <w:sz w:val="22"/>
          <w:szCs w:val="22"/>
          <w:lang w:val="fr-FR" w:eastAsia="fr-FR"/>
        </w:rPr>
        <w:t>, M. E. (2004).</w:t>
      </w:r>
      <w:r>
        <w:rPr>
          <w:rFonts w:eastAsia="Times New Roman"/>
          <w:sz w:val="22"/>
          <w:szCs w:val="22"/>
          <w:lang w:val="fr-FR" w:eastAsia="fr-FR"/>
        </w:rPr>
        <w:t xml:space="preserve"> </w:t>
      </w:r>
      <w:r>
        <w:rPr>
          <w:rFonts w:eastAsia="Times New Roman"/>
          <w:sz w:val="22"/>
          <w:szCs w:val="22"/>
          <w:lang w:val="en-GB" w:eastAsia="fr-FR"/>
        </w:rPr>
        <w:t xml:space="preserve">Metal binding by </w:t>
      </w:r>
      <w:proofErr w:type="spellStart"/>
      <w:r>
        <w:rPr>
          <w:rFonts w:eastAsia="Times New Roman"/>
          <w:sz w:val="22"/>
          <w:szCs w:val="22"/>
          <w:lang w:val="en-GB" w:eastAsia="fr-FR"/>
        </w:rPr>
        <w:t>humic</w:t>
      </w:r>
      <w:proofErr w:type="spellEnd"/>
      <w:r>
        <w:rPr>
          <w:rFonts w:eastAsia="Times New Roman"/>
          <w:sz w:val="22"/>
          <w:szCs w:val="22"/>
          <w:lang w:val="en-GB" w:eastAsia="fr-FR"/>
        </w:rPr>
        <w:t xml:space="preserve"> acids isolated from water hyacinth plants (</w:t>
      </w:r>
      <w:proofErr w:type="spellStart"/>
      <w:r>
        <w:rPr>
          <w:rFonts w:eastAsia="Times New Roman"/>
          <w:i/>
          <w:iCs/>
          <w:sz w:val="22"/>
          <w:szCs w:val="22"/>
          <w:lang w:val="en-GB" w:eastAsia="fr-FR"/>
        </w:rPr>
        <w:t>Eichhornia</w:t>
      </w:r>
      <w:proofErr w:type="spellEnd"/>
      <w:r>
        <w:rPr>
          <w:rFonts w:eastAsia="Times New Roman"/>
          <w:i/>
          <w:iCs/>
          <w:sz w:val="22"/>
          <w:szCs w:val="22"/>
          <w:lang w:val="en-GB" w:eastAsia="fr-FR"/>
        </w:rPr>
        <w:t xml:space="preserve"> </w:t>
      </w:r>
      <w:proofErr w:type="spellStart"/>
      <w:r>
        <w:rPr>
          <w:rFonts w:eastAsia="Times New Roman"/>
          <w:i/>
          <w:iCs/>
          <w:sz w:val="22"/>
          <w:szCs w:val="22"/>
          <w:lang w:val="en-GB" w:eastAsia="fr-FR"/>
        </w:rPr>
        <w:t>crassipes</w:t>
      </w:r>
      <w:proofErr w:type="spellEnd"/>
      <w:r>
        <w:rPr>
          <w:rFonts w:eastAsia="Times New Roman"/>
          <w:sz w:val="22"/>
          <w:szCs w:val="22"/>
          <w:lang w:val="en-GB" w:eastAsia="fr-FR"/>
        </w:rPr>
        <w:t xml:space="preserve"> [Mart.] </w:t>
      </w:r>
      <w:proofErr w:type="spellStart"/>
      <w:r>
        <w:rPr>
          <w:rFonts w:eastAsia="Times New Roman"/>
          <w:sz w:val="22"/>
          <w:szCs w:val="22"/>
          <w:lang w:val="en-GB" w:eastAsia="fr-FR"/>
        </w:rPr>
        <w:t>Solm</w:t>
      </w:r>
      <w:proofErr w:type="spellEnd"/>
      <w:r>
        <w:rPr>
          <w:rFonts w:eastAsia="Times New Roman"/>
          <w:sz w:val="22"/>
          <w:szCs w:val="22"/>
          <w:lang w:val="en-GB" w:eastAsia="fr-FR"/>
        </w:rPr>
        <w:t xml:space="preserve">-Laubach: </w:t>
      </w:r>
      <w:proofErr w:type="spellStart"/>
      <w:r>
        <w:rPr>
          <w:rFonts w:eastAsia="Times New Roman"/>
          <w:sz w:val="22"/>
          <w:szCs w:val="22"/>
          <w:lang w:val="en-GB" w:eastAsia="fr-FR"/>
        </w:rPr>
        <w:t>Pontedericeae</w:t>
      </w:r>
      <w:proofErr w:type="spellEnd"/>
      <w:r>
        <w:rPr>
          <w:rFonts w:eastAsia="Times New Roman"/>
          <w:sz w:val="22"/>
          <w:szCs w:val="22"/>
          <w:lang w:val="en-GB" w:eastAsia="fr-FR"/>
        </w:rPr>
        <w:t>) in the Nile Delta, Egypt. Environmental Pollution, 131(3), 445-451.</w:t>
      </w:r>
      <w:r>
        <w:rPr>
          <w:sz w:val="22"/>
          <w:szCs w:val="22"/>
          <w:lang w:val="en-GB"/>
        </w:rPr>
        <w:t xml:space="preserve"> </w:t>
      </w:r>
      <w:hyperlink r:id="rId22" w:tgtFrame="_blank" w:tooltip="Lien persistant utilisant un identifiant d'objet numérique" w:history="1">
        <w:r>
          <w:rPr>
            <w:rFonts w:eastAsia="Times New Roman"/>
            <w:color w:val="0000FF"/>
            <w:sz w:val="22"/>
            <w:szCs w:val="22"/>
            <w:u w:val="single"/>
            <w:lang w:val="fr-FR" w:eastAsia="fr-FR"/>
          </w:rPr>
          <w:t>https://doi.org/10.1016/j.envpol.2004.02.013</w:t>
        </w:r>
      </w:hyperlink>
    </w:p>
    <w:p w14:paraId="403C0077" w14:textId="77777777" w:rsidR="00331605" w:rsidRDefault="00240697">
      <w:pPr>
        <w:spacing w:before="100" w:beforeAutospacing="1" w:after="100" w:afterAutospacing="1"/>
        <w:ind w:left="284" w:hanging="426"/>
        <w:jc w:val="left"/>
        <w:rPr>
          <w:rFonts w:eastAsia="Times New Roman"/>
          <w:sz w:val="22"/>
          <w:szCs w:val="22"/>
          <w:lang w:val="fr-FR" w:eastAsia="fr-FR"/>
        </w:rPr>
      </w:pPr>
      <w:proofErr w:type="spellStart"/>
      <w:r>
        <w:rPr>
          <w:rFonts w:eastAsia="Times New Roman"/>
          <w:b/>
          <w:bCs/>
          <w:sz w:val="22"/>
          <w:szCs w:val="22"/>
          <w:lang w:val="fr-FR" w:eastAsia="fr-FR"/>
        </w:rPr>
        <w:t>Ghosh</w:t>
      </w:r>
      <w:proofErr w:type="spellEnd"/>
      <w:r>
        <w:rPr>
          <w:rFonts w:eastAsia="Times New Roman"/>
          <w:b/>
          <w:bCs/>
          <w:sz w:val="22"/>
          <w:szCs w:val="22"/>
          <w:lang w:val="fr-FR" w:eastAsia="fr-FR"/>
        </w:rPr>
        <w:t xml:space="preserve">, D., et </w:t>
      </w:r>
      <w:proofErr w:type="spellStart"/>
      <w:r>
        <w:rPr>
          <w:rFonts w:eastAsia="Times New Roman"/>
          <w:b/>
          <w:bCs/>
          <w:sz w:val="22"/>
          <w:szCs w:val="22"/>
          <w:lang w:val="fr-FR" w:eastAsia="fr-FR"/>
        </w:rPr>
        <w:t>Maiti</w:t>
      </w:r>
      <w:proofErr w:type="spellEnd"/>
      <w:r>
        <w:rPr>
          <w:rFonts w:eastAsia="Times New Roman"/>
          <w:b/>
          <w:bCs/>
          <w:sz w:val="22"/>
          <w:szCs w:val="22"/>
          <w:lang w:val="fr-FR" w:eastAsia="fr-FR"/>
        </w:rPr>
        <w:t>, SK (2021).</w:t>
      </w:r>
      <w:r>
        <w:rPr>
          <w:rFonts w:eastAsia="Times New Roman"/>
          <w:sz w:val="22"/>
          <w:szCs w:val="22"/>
          <w:lang w:val="fr-FR" w:eastAsia="fr-FR"/>
        </w:rPr>
        <w:t xml:space="preserve"> Phytoremédiation assistée par biochar et élimination de la biomasse dans les sols miniers contaminés par des métaux lourds : une revue. Revue internationale de </w:t>
      </w:r>
      <w:proofErr w:type="gramStart"/>
      <w:r>
        <w:rPr>
          <w:rFonts w:eastAsia="Times New Roman"/>
          <w:sz w:val="22"/>
          <w:szCs w:val="22"/>
          <w:lang w:val="fr-FR" w:eastAsia="fr-FR"/>
        </w:rPr>
        <w:t>phytoremédiation ,</w:t>
      </w:r>
      <w:proofErr w:type="gramEnd"/>
      <w:r>
        <w:rPr>
          <w:rFonts w:eastAsia="Times New Roman"/>
          <w:sz w:val="22"/>
          <w:szCs w:val="22"/>
          <w:lang w:val="fr-FR" w:eastAsia="fr-FR"/>
        </w:rPr>
        <w:t xml:space="preserve"> 23 (6), 559-576.</w:t>
      </w:r>
    </w:p>
    <w:p w14:paraId="58EAAE65" w14:textId="77777777" w:rsidR="00331605" w:rsidRDefault="00240697">
      <w:pPr>
        <w:spacing w:before="100" w:beforeAutospacing="1" w:after="100" w:afterAutospacing="1"/>
        <w:ind w:left="284" w:hanging="426"/>
        <w:jc w:val="left"/>
        <w:rPr>
          <w:rFonts w:eastAsia="Times New Roman"/>
          <w:sz w:val="22"/>
          <w:szCs w:val="22"/>
          <w:lang w:val="fr-FR" w:eastAsia="fr-FR"/>
        </w:rPr>
      </w:pPr>
      <w:proofErr w:type="spellStart"/>
      <w:r>
        <w:rPr>
          <w:rFonts w:eastAsia="Times New Roman"/>
          <w:b/>
          <w:bCs/>
          <w:sz w:val="22"/>
          <w:szCs w:val="22"/>
          <w:lang w:val="fr-FR" w:eastAsia="fr-FR"/>
        </w:rPr>
        <w:lastRenderedPageBreak/>
        <w:t>Gnandi</w:t>
      </w:r>
      <w:proofErr w:type="spellEnd"/>
      <w:r>
        <w:rPr>
          <w:rFonts w:eastAsia="Times New Roman"/>
          <w:b/>
          <w:bCs/>
          <w:sz w:val="22"/>
          <w:szCs w:val="22"/>
          <w:lang w:val="fr-FR" w:eastAsia="fr-FR"/>
        </w:rPr>
        <w:t>, K. (1998).</w:t>
      </w:r>
      <w:r>
        <w:rPr>
          <w:rFonts w:eastAsia="Times New Roman"/>
          <w:sz w:val="22"/>
          <w:szCs w:val="22"/>
          <w:lang w:val="fr-FR" w:eastAsia="fr-FR"/>
        </w:rPr>
        <w:t xml:space="preserve"> Cadmium et autres polluants inorganiques dans les sols et sédiments de la Région côtière du </w:t>
      </w:r>
      <w:proofErr w:type="gramStart"/>
      <w:r>
        <w:rPr>
          <w:rFonts w:eastAsia="Times New Roman"/>
          <w:sz w:val="22"/>
          <w:szCs w:val="22"/>
          <w:lang w:val="fr-FR" w:eastAsia="fr-FR"/>
        </w:rPr>
        <w:t>Togo:</w:t>
      </w:r>
      <w:proofErr w:type="gramEnd"/>
      <w:r>
        <w:rPr>
          <w:rFonts w:eastAsia="Times New Roman"/>
          <w:sz w:val="22"/>
          <w:szCs w:val="22"/>
          <w:lang w:val="fr-FR" w:eastAsia="fr-FR"/>
        </w:rPr>
        <w:t xml:space="preserve"> une étude géochimique (Doctoral dissertation, Thèse de PhD, Université d’Erlangen-</w:t>
      </w:r>
      <w:proofErr w:type="spellStart"/>
      <w:r>
        <w:rPr>
          <w:rFonts w:eastAsia="Times New Roman"/>
          <w:sz w:val="22"/>
          <w:szCs w:val="22"/>
          <w:lang w:val="fr-FR" w:eastAsia="fr-FR"/>
        </w:rPr>
        <w:t>Nurenberg</w:t>
      </w:r>
      <w:proofErr w:type="spellEnd"/>
      <w:r>
        <w:rPr>
          <w:rFonts w:eastAsia="Times New Roman"/>
          <w:sz w:val="22"/>
          <w:szCs w:val="22"/>
          <w:lang w:val="fr-FR" w:eastAsia="fr-FR"/>
        </w:rPr>
        <w:t>, Germany).</w:t>
      </w:r>
    </w:p>
    <w:p w14:paraId="3E313860"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Gotaas</w:t>
      </w:r>
      <w:proofErr w:type="spellEnd"/>
      <w:r>
        <w:rPr>
          <w:rFonts w:eastAsia="Times New Roman"/>
          <w:b/>
          <w:bCs/>
          <w:sz w:val="22"/>
          <w:szCs w:val="22"/>
          <w:lang w:val="en-GB" w:eastAsia="fr-FR"/>
        </w:rPr>
        <w:t>, H. B. (1956).</w:t>
      </w:r>
      <w:r>
        <w:rPr>
          <w:rFonts w:eastAsia="Times New Roman"/>
          <w:sz w:val="22"/>
          <w:szCs w:val="22"/>
          <w:lang w:val="en-GB" w:eastAsia="fr-FR"/>
        </w:rPr>
        <w:t xml:space="preserve"> Composting: Sanitary Disposal and Reclamation of Organic Wastes. World Health Organization.</w:t>
      </w:r>
    </w:p>
    <w:p w14:paraId="014C92FF"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Haug, R. (2018).</w:t>
      </w:r>
      <w:r>
        <w:rPr>
          <w:rFonts w:eastAsia="Times New Roman"/>
          <w:sz w:val="22"/>
          <w:szCs w:val="22"/>
          <w:lang w:val="fr-FR" w:eastAsia="fr-FR"/>
        </w:rPr>
        <w:t xml:space="preserve"> Manuel pratique d'ingénierie du </w:t>
      </w:r>
      <w:proofErr w:type="gramStart"/>
      <w:r>
        <w:rPr>
          <w:rFonts w:eastAsia="Times New Roman"/>
          <w:sz w:val="22"/>
          <w:szCs w:val="22"/>
          <w:lang w:val="fr-FR" w:eastAsia="fr-FR"/>
        </w:rPr>
        <w:t>compost .</w:t>
      </w:r>
      <w:proofErr w:type="gramEnd"/>
      <w:r>
        <w:rPr>
          <w:rFonts w:eastAsia="Times New Roman"/>
          <w:sz w:val="22"/>
          <w:szCs w:val="22"/>
          <w:lang w:val="fr-FR" w:eastAsia="fr-FR"/>
        </w:rPr>
        <w:t xml:space="preserve"> </w:t>
      </w:r>
      <w:r>
        <w:rPr>
          <w:rFonts w:eastAsia="Times New Roman"/>
          <w:sz w:val="22"/>
          <w:szCs w:val="22"/>
          <w:lang w:val="en-GB" w:eastAsia="fr-FR"/>
        </w:rPr>
        <w:t>Routledge.</w:t>
      </w:r>
    </w:p>
    <w:p w14:paraId="71AFE520"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Howard, A. (1943).</w:t>
      </w:r>
      <w:r>
        <w:rPr>
          <w:rFonts w:eastAsia="Times New Roman"/>
          <w:sz w:val="22"/>
          <w:szCs w:val="22"/>
          <w:lang w:val="en-GB" w:eastAsia="fr-FR"/>
        </w:rPr>
        <w:t xml:space="preserve"> An Agricultural Testament. Oxford University Press.</w:t>
      </w:r>
    </w:p>
    <w:p w14:paraId="03F5E814"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Fowler, B. A. (2009).</w:t>
      </w:r>
      <w:r>
        <w:rPr>
          <w:rFonts w:eastAsia="Times New Roman"/>
          <w:sz w:val="22"/>
          <w:szCs w:val="22"/>
          <w:lang w:val="en-GB" w:eastAsia="fr-FR"/>
        </w:rPr>
        <w:t xml:space="preserve"> Monitoring of human populations for early markers of cadmium toxicity: a review. Toxicology and applied pharmacology, 238(3), 294-300. </w:t>
      </w:r>
      <w:hyperlink r:id="rId23" w:history="1">
        <w:r>
          <w:rPr>
            <w:rFonts w:eastAsia="Times New Roman"/>
            <w:color w:val="0000FF"/>
            <w:sz w:val="22"/>
            <w:szCs w:val="22"/>
            <w:u w:val="single"/>
            <w:lang w:val="en-GB" w:eastAsia="fr-FR"/>
          </w:rPr>
          <w:t>https://doi.org/10.1016/j.taap.2009.05.004</w:t>
        </w:r>
      </w:hyperlink>
    </w:p>
    <w:p w14:paraId="0BD4F20E"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ISO 11464:2006</w:t>
      </w:r>
      <w:r>
        <w:rPr>
          <w:rFonts w:eastAsia="Times New Roman"/>
          <w:sz w:val="22"/>
          <w:szCs w:val="22"/>
          <w:lang w:val="en-GB" w:eastAsia="fr-FR"/>
        </w:rPr>
        <w:t xml:space="preserve"> Soil quality — </w:t>
      </w:r>
      <w:proofErr w:type="spellStart"/>
      <w:r>
        <w:rPr>
          <w:rFonts w:eastAsia="Times New Roman"/>
          <w:sz w:val="22"/>
          <w:szCs w:val="22"/>
          <w:lang w:val="en-GB" w:eastAsia="fr-FR"/>
        </w:rPr>
        <w:t>Pretreatment</w:t>
      </w:r>
      <w:proofErr w:type="spellEnd"/>
      <w:r>
        <w:rPr>
          <w:rFonts w:eastAsia="Times New Roman"/>
          <w:sz w:val="22"/>
          <w:szCs w:val="22"/>
          <w:lang w:val="en-GB" w:eastAsia="fr-FR"/>
        </w:rPr>
        <w:t xml:space="preserve"> of samples for </w:t>
      </w:r>
      <w:proofErr w:type="spellStart"/>
      <w:r>
        <w:rPr>
          <w:rFonts w:eastAsia="Times New Roman"/>
          <w:sz w:val="22"/>
          <w:szCs w:val="22"/>
          <w:lang w:val="en-GB" w:eastAsia="fr-FR"/>
        </w:rPr>
        <w:t>physico</w:t>
      </w:r>
      <w:proofErr w:type="spellEnd"/>
      <w:r>
        <w:rPr>
          <w:rFonts w:eastAsia="Times New Roman"/>
          <w:sz w:val="22"/>
          <w:szCs w:val="22"/>
          <w:lang w:val="en-GB" w:eastAsia="fr-FR"/>
        </w:rPr>
        <w:t>-chemical analysis.</w:t>
      </w:r>
    </w:p>
    <w:p w14:paraId="0356ABB3" w14:textId="77777777" w:rsidR="00331605" w:rsidRDefault="00240697">
      <w:pPr>
        <w:spacing w:before="100" w:beforeAutospacing="1" w:after="100" w:afterAutospacing="1"/>
        <w:ind w:left="284" w:hanging="426"/>
        <w:jc w:val="left"/>
        <w:rPr>
          <w:rFonts w:eastAsia="Calibri"/>
          <w:sz w:val="22"/>
          <w:szCs w:val="22"/>
          <w:lang w:val="fr-FR"/>
        </w:rPr>
      </w:pPr>
      <w:proofErr w:type="spellStart"/>
      <w:r>
        <w:rPr>
          <w:rFonts w:eastAsia="Times New Roman"/>
          <w:b/>
          <w:bCs/>
          <w:sz w:val="22"/>
          <w:szCs w:val="22"/>
          <w:lang w:val="fr-FR" w:eastAsia="fr-FR"/>
        </w:rPr>
        <w:t>Karassin</w:t>
      </w:r>
      <w:proofErr w:type="spellEnd"/>
      <w:r>
        <w:rPr>
          <w:rFonts w:eastAsia="Times New Roman"/>
          <w:b/>
          <w:bCs/>
          <w:sz w:val="22"/>
          <w:szCs w:val="22"/>
          <w:lang w:val="fr-FR" w:eastAsia="fr-FR"/>
        </w:rPr>
        <w:t>, O., et Bar-</w:t>
      </w:r>
      <w:proofErr w:type="spellStart"/>
      <w:r>
        <w:rPr>
          <w:rFonts w:eastAsia="Times New Roman"/>
          <w:b/>
          <w:bCs/>
          <w:sz w:val="22"/>
          <w:szCs w:val="22"/>
          <w:lang w:val="fr-FR" w:eastAsia="fr-FR"/>
        </w:rPr>
        <w:t>Haim</w:t>
      </w:r>
      <w:proofErr w:type="spellEnd"/>
      <w:r>
        <w:rPr>
          <w:rFonts w:eastAsia="Times New Roman"/>
          <w:b/>
          <w:bCs/>
          <w:sz w:val="22"/>
          <w:szCs w:val="22"/>
          <w:lang w:val="fr-FR" w:eastAsia="fr-FR"/>
        </w:rPr>
        <w:t>, A. (2016).</w:t>
      </w:r>
      <w:r>
        <w:rPr>
          <w:rFonts w:eastAsia="Times New Roman"/>
          <w:sz w:val="22"/>
          <w:szCs w:val="22"/>
          <w:lang w:val="fr-FR" w:eastAsia="fr-FR"/>
        </w:rPr>
        <w:t xml:space="preserve"> </w:t>
      </w:r>
      <w:proofErr w:type="spellStart"/>
      <w:r>
        <w:rPr>
          <w:rFonts w:eastAsia="Times New Roman"/>
          <w:sz w:val="22"/>
          <w:szCs w:val="22"/>
          <w:lang w:val="fr-FR" w:eastAsia="fr-FR"/>
        </w:rPr>
        <w:t>Multilevel</w:t>
      </w:r>
      <w:proofErr w:type="spellEnd"/>
      <w:r>
        <w:rPr>
          <w:rFonts w:eastAsia="Times New Roman"/>
          <w:sz w:val="22"/>
          <w:szCs w:val="22"/>
          <w:lang w:val="fr-FR" w:eastAsia="fr-FR"/>
        </w:rPr>
        <w:t xml:space="preserve"> </w:t>
      </w:r>
      <w:proofErr w:type="spellStart"/>
      <w:r>
        <w:rPr>
          <w:rFonts w:eastAsia="Times New Roman"/>
          <w:sz w:val="22"/>
          <w:szCs w:val="22"/>
          <w:lang w:val="fr-FR" w:eastAsia="fr-FR"/>
        </w:rPr>
        <w:t>corporate</w:t>
      </w:r>
      <w:proofErr w:type="spellEnd"/>
      <w:r>
        <w:rPr>
          <w:rFonts w:eastAsia="Times New Roman"/>
          <w:sz w:val="22"/>
          <w:szCs w:val="22"/>
          <w:lang w:val="fr-FR" w:eastAsia="fr-FR"/>
        </w:rPr>
        <w:t xml:space="preserve">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w:t>
      </w:r>
      <w:proofErr w:type="spellStart"/>
      <w:r>
        <w:rPr>
          <w:rFonts w:eastAsia="Times New Roman"/>
          <w:sz w:val="22"/>
          <w:szCs w:val="22"/>
          <w:lang w:val="fr-FR" w:eastAsia="fr-FR"/>
        </w:rPr>
        <w:t>responsibility</w:t>
      </w:r>
      <w:proofErr w:type="spellEnd"/>
      <w:r>
        <w:rPr>
          <w:rFonts w:eastAsia="Times New Roman"/>
          <w:sz w:val="22"/>
          <w:szCs w:val="22"/>
          <w:lang w:val="fr-FR" w:eastAsia="fr-FR"/>
        </w:rPr>
        <w:t xml:space="preserve">. Journal of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Management, 183, 110-120. </w:t>
      </w:r>
      <w:hyperlink r:id="rId24" w:history="1">
        <w:r>
          <w:rPr>
            <w:rFonts w:eastAsia="Times New Roman"/>
            <w:color w:val="0000FF"/>
            <w:sz w:val="22"/>
            <w:szCs w:val="22"/>
            <w:u w:val="single"/>
            <w:lang w:val="fr-FR" w:eastAsia="fr-FR"/>
          </w:rPr>
          <w:t>https://doi.org/10.1016/j.jenvman.2016.08.051</w:t>
        </w:r>
      </w:hyperlink>
    </w:p>
    <w:p w14:paraId="2F05B6BD" w14:textId="77777777" w:rsidR="00331605" w:rsidRDefault="00240697">
      <w:pPr>
        <w:spacing w:before="100" w:beforeAutospacing="1" w:after="100" w:afterAutospacing="1"/>
        <w:ind w:left="284" w:hanging="426"/>
        <w:jc w:val="left"/>
        <w:rPr>
          <w:rFonts w:eastAsia="Times New Roman"/>
          <w:sz w:val="22"/>
          <w:szCs w:val="22"/>
          <w:lang w:val="fr-FR" w:eastAsia="fr-FR"/>
        </w:rPr>
      </w:pPr>
      <w:proofErr w:type="spellStart"/>
      <w:r>
        <w:rPr>
          <w:rFonts w:eastAsia="Times New Roman"/>
          <w:b/>
          <w:bCs/>
          <w:sz w:val="22"/>
          <w:szCs w:val="22"/>
          <w:lang w:val="fr-FR" w:eastAsia="fr-FR"/>
        </w:rPr>
        <w:t>Keumean</w:t>
      </w:r>
      <w:proofErr w:type="spellEnd"/>
      <w:r>
        <w:rPr>
          <w:rFonts w:eastAsia="Times New Roman"/>
          <w:b/>
          <w:bCs/>
          <w:sz w:val="22"/>
          <w:szCs w:val="22"/>
          <w:lang w:val="fr-FR" w:eastAsia="fr-FR"/>
        </w:rPr>
        <w:t xml:space="preserve">, K. N., Traoré, A., </w:t>
      </w:r>
      <w:proofErr w:type="spellStart"/>
      <w:r>
        <w:rPr>
          <w:rFonts w:eastAsia="Times New Roman"/>
          <w:b/>
          <w:bCs/>
          <w:sz w:val="22"/>
          <w:szCs w:val="22"/>
          <w:lang w:val="fr-FR" w:eastAsia="fr-FR"/>
        </w:rPr>
        <w:t>Ahoussi</w:t>
      </w:r>
      <w:proofErr w:type="spellEnd"/>
      <w:r>
        <w:rPr>
          <w:rFonts w:eastAsia="Times New Roman"/>
          <w:b/>
          <w:bCs/>
          <w:sz w:val="22"/>
          <w:szCs w:val="22"/>
          <w:lang w:val="fr-FR" w:eastAsia="fr-FR"/>
        </w:rPr>
        <w:t xml:space="preserve">, K. E., </w:t>
      </w:r>
      <w:proofErr w:type="spellStart"/>
      <w:r>
        <w:rPr>
          <w:rFonts w:eastAsia="Times New Roman"/>
          <w:b/>
          <w:bCs/>
          <w:sz w:val="22"/>
          <w:szCs w:val="22"/>
          <w:lang w:val="fr-FR" w:eastAsia="fr-FR"/>
        </w:rPr>
        <w:t>Djadé</w:t>
      </w:r>
      <w:proofErr w:type="spellEnd"/>
      <w:r>
        <w:rPr>
          <w:rFonts w:eastAsia="Times New Roman"/>
          <w:b/>
          <w:bCs/>
          <w:sz w:val="22"/>
          <w:szCs w:val="22"/>
          <w:lang w:val="fr-FR" w:eastAsia="fr-FR"/>
        </w:rPr>
        <w:t>, P. J. O., et Bamba, S. B. (2020).</w:t>
      </w:r>
      <w:r>
        <w:rPr>
          <w:rFonts w:eastAsia="Times New Roman"/>
          <w:sz w:val="22"/>
          <w:szCs w:val="22"/>
          <w:lang w:val="fr-FR" w:eastAsia="fr-FR"/>
        </w:rPr>
        <w:t xml:space="preserve"> Influence des </w:t>
      </w:r>
      <w:proofErr w:type="spellStart"/>
      <w:r>
        <w:rPr>
          <w:rFonts w:eastAsia="Times New Roman"/>
          <w:sz w:val="22"/>
          <w:szCs w:val="22"/>
          <w:lang w:val="fr-FR" w:eastAsia="fr-FR"/>
        </w:rPr>
        <w:t>activites</w:t>
      </w:r>
      <w:proofErr w:type="spellEnd"/>
      <w:r>
        <w:rPr>
          <w:rFonts w:eastAsia="Times New Roman"/>
          <w:sz w:val="22"/>
          <w:szCs w:val="22"/>
          <w:lang w:val="fr-FR" w:eastAsia="fr-FR"/>
        </w:rPr>
        <w:t xml:space="preserve"> anthropiques sur la </w:t>
      </w:r>
      <w:proofErr w:type="spellStart"/>
      <w:r>
        <w:rPr>
          <w:rFonts w:eastAsia="Times New Roman"/>
          <w:sz w:val="22"/>
          <w:szCs w:val="22"/>
          <w:lang w:val="fr-FR" w:eastAsia="fr-FR"/>
        </w:rPr>
        <w:t>degradation</w:t>
      </w:r>
      <w:proofErr w:type="spellEnd"/>
      <w:r>
        <w:rPr>
          <w:rFonts w:eastAsia="Times New Roman"/>
          <w:sz w:val="22"/>
          <w:szCs w:val="22"/>
          <w:lang w:val="fr-FR" w:eastAsia="fr-FR"/>
        </w:rPr>
        <w:t xml:space="preserve"> de la </w:t>
      </w:r>
      <w:proofErr w:type="spellStart"/>
      <w:r>
        <w:rPr>
          <w:rFonts w:eastAsia="Times New Roman"/>
          <w:sz w:val="22"/>
          <w:szCs w:val="22"/>
          <w:lang w:val="fr-FR" w:eastAsia="fr-FR"/>
        </w:rPr>
        <w:t>qualite</w:t>
      </w:r>
      <w:proofErr w:type="spellEnd"/>
      <w:r>
        <w:rPr>
          <w:rFonts w:eastAsia="Times New Roman"/>
          <w:sz w:val="22"/>
          <w:szCs w:val="22"/>
          <w:lang w:val="fr-FR" w:eastAsia="fr-FR"/>
        </w:rPr>
        <w:t xml:space="preserve"> des </w:t>
      </w:r>
      <w:proofErr w:type="spellStart"/>
      <w:r>
        <w:rPr>
          <w:rFonts w:eastAsia="Times New Roman"/>
          <w:sz w:val="22"/>
          <w:szCs w:val="22"/>
          <w:lang w:val="fr-FR" w:eastAsia="fr-FR"/>
        </w:rPr>
        <w:t>sediments</w:t>
      </w:r>
      <w:proofErr w:type="spellEnd"/>
      <w:r>
        <w:rPr>
          <w:rFonts w:eastAsia="Times New Roman"/>
          <w:sz w:val="22"/>
          <w:szCs w:val="22"/>
          <w:lang w:val="fr-FR" w:eastAsia="fr-FR"/>
        </w:rPr>
        <w:t xml:space="preserve"> de la lagune </w:t>
      </w:r>
      <w:proofErr w:type="spellStart"/>
      <w:r>
        <w:rPr>
          <w:rFonts w:eastAsia="Times New Roman"/>
          <w:sz w:val="22"/>
          <w:szCs w:val="22"/>
          <w:lang w:val="fr-FR" w:eastAsia="fr-FR"/>
        </w:rPr>
        <w:t>ouladine</w:t>
      </w:r>
      <w:proofErr w:type="spellEnd"/>
      <w:r>
        <w:rPr>
          <w:rFonts w:eastAsia="Times New Roman"/>
          <w:sz w:val="22"/>
          <w:szCs w:val="22"/>
          <w:lang w:val="fr-FR" w:eastAsia="fr-FR"/>
        </w:rPr>
        <w:t xml:space="preserve"> (Sud-Est De La Côte d’Ivoire). </w:t>
      </w:r>
      <w:proofErr w:type="spellStart"/>
      <w:r>
        <w:rPr>
          <w:rFonts w:eastAsia="Times New Roman"/>
          <w:sz w:val="22"/>
          <w:szCs w:val="22"/>
          <w:lang w:val="fr-FR" w:eastAsia="fr-FR"/>
        </w:rPr>
        <w:t>Eur</w:t>
      </w:r>
      <w:proofErr w:type="spellEnd"/>
      <w:r>
        <w:rPr>
          <w:rFonts w:eastAsia="Times New Roman"/>
          <w:sz w:val="22"/>
          <w:szCs w:val="22"/>
          <w:lang w:val="fr-FR" w:eastAsia="fr-FR"/>
        </w:rPr>
        <w:t xml:space="preserve"> </w:t>
      </w:r>
      <w:proofErr w:type="spellStart"/>
      <w:r>
        <w:rPr>
          <w:rFonts w:eastAsia="Times New Roman"/>
          <w:sz w:val="22"/>
          <w:szCs w:val="22"/>
          <w:lang w:val="fr-FR" w:eastAsia="fr-FR"/>
        </w:rPr>
        <w:t>Sci</w:t>
      </w:r>
      <w:proofErr w:type="spellEnd"/>
      <w:r>
        <w:rPr>
          <w:rFonts w:eastAsia="Times New Roman"/>
          <w:sz w:val="22"/>
          <w:szCs w:val="22"/>
          <w:lang w:val="fr-FR" w:eastAsia="fr-FR"/>
        </w:rPr>
        <w:t xml:space="preserve"> J, ESJ, 16, 378-378.</w:t>
      </w:r>
    </w:p>
    <w:p w14:paraId="094039CB" w14:textId="77777777" w:rsidR="00331605" w:rsidRDefault="00240697">
      <w:pPr>
        <w:spacing w:before="100" w:beforeAutospacing="1" w:after="100" w:afterAutospacing="1"/>
        <w:ind w:left="284" w:hanging="426"/>
        <w:jc w:val="left"/>
        <w:rPr>
          <w:rFonts w:ascii="Calibri" w:eastAsia="Calibri" w:hAnsi="Calibri"/>
          <w:sz w:val="22"/>
          <w:szCs w:val="22"/>
          <w:lang w:val="fr-FR"/>
        </w:rPr>
      </w:pPr>
      <w:proofErr w:type="spellStart"/>
      <w:r>
        <w:rPr>
          <w:rFonts w:eastAsia="Times New Roman"/>
          <w:b/>
          <w:bCs/>
          <w:sz w:val="22"/>
          <w:szCs w:val="22"/>
          <w:lang w:val="fr-FR" w:eastAsia="fr-FR"/>
        </w:rPr>
        <w:t>Millhollen</w:t>
      </w:r>
      <w:proofErr w:type="spellEnd"/>
      <w:r>
        <w:rPr>
          <w:rFonts w:eastAsia="Times New Roman"/>
          <w:b/>
          <w:bCs/>
          <w:sz w:val="22"/>
          <w:szCs w:val="22"/>
          <w:lang w:val="fr-FR" w:eastAsia="fr-FR"/>
        </w:rPr>
        <w:t xml:space="preserve">, A. G., Obrist, D., et </w:t>
      </w:r>
      <w:proofErr w:type="spellStart"/>
      <w:r>
        <w:rPr>
          <w:rFonts w:eastAsia="Times New Roman"/>
          <w:b/>
          <w:bCs/>
          <w:sz w:val="22"/>
          <w:szCs w:val="22"/>
          <w:lang w:val="fr-FR" w:eastAsia="fr-FR"/>
        </w:rPr>
        <w:t>Gustin</w:t>
      </w:r>
      <w:proofErr w:type="spellEnd"/>
      <w:r>
        <w:rPr>
          <w:rFonts w:eastAsia="Times New Roman"/>
          <w:b/>
          <w:bCs/>
          <w:sz w:val="22"/>
          <w:szCs w:val="22"/>
          <w:lang w:val="fr-FR" w:eastAsia="fr-FR"/>
        </w:rPr>
        <w:t>, M. S. (2006).</w:t>
      </w:r>
      <w:r>
        <w:rPr>
          <w:rFonts w:eastAsia="Times New Roman"/>
          <w:sz w:val="22"/>
          <w:szCs w:val="22"/>
          <w:lang w:val="fr-FR" w:eastAsia="fr-FR"/>
        </w:rPr>
        <w:t xml:space="preserve"> </w:t>
      </w:r>
      <w:r>
        <w:rPr>
          <w:rFonts w:eastAsia="Times New Roman"/>
          <w:sz w:val="22"/>
          <w:szCs w:val="22"/>
          <w:lang w:val="en-GB" w:eastAsia="fr-FR"/>
        </w:rPr>
        <w:t xml:space="preserve">Mercury accumulation in grass and forb species as a function of atmospheric carbon dioxide concentrations and mercury exposures in air and soil. </w:t>
      </w:r>
      <w:proofErr w:type="spellStart"/>
      <w:r>
        <w:rPr>
          <w:rFonts w:eastAsia="Times New Roman"/>
          <w:sz w:val="22"/>
          <w:szCs w:val="22"/>
          <w:lang w:val="fr-FR" w:eastAsia="fr-FR"/>
        </w:rPr>
        <w:t>Chemosphere</w:t>
      </w:r>
      <w:proofErr w:type="spellEnd"/>
      <w:r>
        <w:rPr>
          <w:rFonts w:eastAsia="Times New Roman"/>
          <w:sz w:val="22"/>
          <w:szCs w:val="22"/>
          <w:lang w:val="fr-FR" w:eastAsia="fr-FR"/>
        </w:rPr>
        <w:t xml:space="preserve">, 65(5), 889-897. </w:t>
      </w:r>
      <w:hyperlink r:id="rId25" w:history="1">
        <w:r>
          <w:rPr>
            <w:rFonts w:eastAsia="Times New Roman"/>
            <w:color w:val="0000FF"/>
            <w:sz w:val="22"/>
            <w:szCs w:val="22"/>
            <w:u w:val="single"/>
            <w:lang w:val="fr-FR" w:eastAsia="fr-FR"/>
          </w:rPr>
          <w:t>https://doi.org/10.1016/j.chemosphere.2006.03.008</w:t>
        </w:r>
      </w:hyperlink>
    </w:p>
    <w:p w14:paraId="7FF5DF02" w14:textId="77777777" w:rsidR="00331605" w:rsidRDefault="00240697">
      <w:pPr>
        <w:spacing w:before="100" w:beforeAutospacing="1" w:after="100" w:afterAutospacing="1"/>
        <w:ind w:left="284" w:hanging="426"/>
        <w:jc w:val="left"/>
        <w:rPr>
          <w:rFonts w:ascii="Calibri" w:eastAsia="Calibri" w:hAnsi="Calibri"/>
          <w:sz w:val="22"/>
          <w:szCs w:val="22"/>
          <w:lang w:val="fr-FR"/>
        </w:rPr>
      </w:pPr>
      <w:proofErr w:type="spellStart"/>
      <w:r>
        <w:rPr>
          <w:rFonts w:eastAsia="Times New Roman"/>
          <w:b/>
          <w:bCs/>
          <w:sz w:val="22"/>
          <w:szCs w:val="22"/>
          <w:lang w:val="fr-FR" w:eastAsia="fr-FR"/>
        </w:rPr>
        <w:t>Monroy-Licht</w:t>
      </w:r>
      <w:proofErr w:type="spellEnd"/>
      <w:r>
        <w:rPr>
          <w:rFonts w:eastAsia="Times New Roman"/>
          <w:b/>
          <w:bCs/>
          <w:sz w:val="22"/>
          <w:szCs w:val="22"/>
          <w:lang w:val="fr-FR" w:eastAsia="fr-FR"/>
        </w:rPr>
        <w:t>, A., Carranza-Lopez, L., De la Parra-Guerra, AC, et Acevedo-Barrios, R. (2024).</w:t>
      </w:r>
      <w:r>
        <w:rPr>
          <w:rFonts w:eastAsia="Times New Roman"/>
          <w:sz w:val="22"/>
          <w:szCs w:val="22"/>
          <w:lang w:val="fr-FR" w:eastAsia="fr-FR"/>
        </w:rPr>
        <w:t xml:space="preserve"> </w:t>
      </w:r>
      <w:r>
        <w:rPr>
          <w:rFonts w:eastAsia="Times New Roman"/>
          <w:sz w:val="22"/>
          <w:szCs w:val="22"/>
          <w:lang w:val="en-GB" w:eastAsia="fr-FR"/>
        </w:rPr>
        <w:t xml:space="preserve">Harnessing the potential of </w:t>
      </w:r>
      <w:proofErr w:type="spellStart"/>
      <w:r>
        <w:rPr>
          <w:rFonts w:eastAsia="Times New Roman"/>
          <w:i/>
          <w:iCs/>
          <w:sz w:val="22"/>
          <w:szCs w:val="22"/>
          <w:lang w:val="en-GB" w:eastAsia="fr-FR"/>
        </w:rPr>
        <w:t>Eichhornia</w:t>
      </w:r>
      <w:proofErr w:type="spellEnd"/>
      <w:r>
        <w:rPr>
          <w:rFonts w:eastAsia="Times New Roman"/>
          <w:i/>
          <w:iCs/>
          <w:sz w:val="22"/>
          <w:szCs w:val="22"/>
          <w:lang w:val="en-GB" w:eastAsia="fr-FR"/>
        </w:rPr>
        <w:t xml:space="preserve"> </w:t>
      </w:r>
      <w:proofErr w:type="spellStart"/>
      <w:r>
        <w:rPr>
          <w:rFonts w:eastAsia="Times New Roman"/>
          <w:i/>
          <w:iCs/>
          <w:sz w:val="22"/>
          <w:szCs w:val="22"/>
          <w:lang w:val="en-GB" w:eastAsia="fr-FR"/>
        </w:rPr>
        <w:t>crassipes</w:t>
      </w:r>
      <w:proofErr w:type="spellEnd"/>
      <w:r>
        <w:rPr>
          <w:rFonts w:eastAsia="Times New Roman"/>
          <w:sz w:val="22"/>
          <w:szCs w:val="22"/>
          <w:lang w:val="en-GB" w:eastAsia="fr-FR"/>
        </w:rPr>
        <w:t xml:space="preserve"> for wastewater treatment: Phytoremediation of aquatic pollutants, a strategy to achieve Sustainable Development Goal 06: Clean Water.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Science and Pollution </w:t>
      </w:r>
      <w:proofErr w:type="spellStart"/>
      <w:r>
        <w:rPr>
          <w:rFonts w:eastAsia="Times New Roman"/>
          <w:sz w:val="22"/>
          <w:szCs w:val="22"/>
          <w:lang w:val="fr-FR" w:eastAsia="fr-FR"/>
        </w:rPr>
        <w:t>Research</w:t>
      </w:r>
      <w:proofErr w:type="spellEnd"/>
      <w:r>
        <w:rPr>
          <w:rFonts w:eastAsia="Times New Roman"/>
          <w:sz w:val="22"/>
          <w:szCs w:val="22"/>
          <w:lang w:val="fr-FR" w:eastAsia="fr-FR"/>
        </w:rPr>
        <w:t>.</w:t>
      </w:r>
      <w:r>
        <w:rPr>
          <w:rFonts w:eastAsia="Times New Roman"/>
          <w:sz w:val="22"/>
          <w:szCs w:val="22"/>
          <w:lang w:val="en-GB" w:eastAsia="fr-FR"/>
        </w:rPr>
        <w:t xml:space="preserve">, 31 (31), 43561-43582. </w:t>
      </w:r>
      <w:hyperlink r:id="rId26" w:history="1">
        <w:r>
          <w:rPr>
            <w:rFonts w:eastAsia="Times New Roman"/>
            <w:color w:val="0000FF"/>
            <w:sz w:val="22"/>
            <w:szCs w:val="22"/>
            <w:u w:val="single"/>
            <w:lang w:val="en-GB" w:eastAsia="fr-FR"/>
          </w:rPr>
          <w:t>https://doi.org/10.1007/s11356-024-33698-9</w:t>
        </w:r>
      </w:hyperlink>
    </w:p>
    <w:p w14:paraId="16794DC2"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Nabulo</w:t>
      </w:r>
      <w:proofErr w:type="spellEnd"/>
      <w:r>
        <w:rPr>
          <w:rFonts w:eastAsia="Times New Roman"/>
          <w:b/>
          <w:bCs/>
          <w:sz w:val="22"/>
          <w:szCs w:val="22"/>
          <w:lang w:val="en-GB" w:eastAsia="fr-FR"/>
        </w:rPr>
        <w:t xml:space="preserve">, G., Black, C. R., </w:t>
      </w:r>
      <w:proofErr w:type="spellStart"/>
      <w:r>
        <w:rPr>
          <w:rFonts w:eastAsia="Times New Roman"/>
          <w:b/>
          <w:bCs/>
          <w:sz w:val="22"/>
          <w:szCs w:val="22"/>
          <w:lang w:val="en-GB" w:eastAsia="fr-FR"/>
        </w:rPr>
        <w:t>Craigon</w:t>
      </w:r>
      <w:proofErr w:type="spellEnd"/>
      <w:r>
        <w:rPr>
          <w:rFonts w:eastAsia="Times New Roman"/>
          <w:b/>
          <w:bCs/>
          <w:sz w:val="22"/>
          <w:szCs w:val="22"/>
          <w:lang w:val="en-GB" w:eastAsia="fr-FR"/>
        </w:rPr>
        <w:t>, J., et Young, S. D. (2012)</w:t>
      </w:r>
      <w:r>
        <w:rPr>
          <w:rFonts w:eastAsia="Times New Roman"/>
          <w:sz w:val="22"/>
          <w:szCs w:val="22"/>
          <w:lang w:val="en-GB" w:eastAsia="fr-FR"/>
        </w:rPr>
        <w:t xml:space="preserve">. Does consumption of leafy vegetables grown in peri-urban agriculture pose a risk to human </w:t>
      </w:r>
      <w:proofErr w:type="gramStart"/>
      <w:r>
        <w:rPr>
          <w:rFonts w:eastAsia="Times New Roman"/>
          <w:sz w:val="22"/>
          <w:szCs w:val="22"/>
          <w:lang w:val="en-GB" w:eastAsia="fr-FR"/>
        </w:rPr>
        <w:t>health?.</w:t>
      </w:r>
      <w:proofErr w:type="gramEnd"/>
      <w:r>
        <w:rPr>
          <w:rFonts w:eastAsia="Times New Roman"/>
          <w:sz w:val="22"/>
          <w:szCs w:val="22"/>
          <w:lang w:val="en-GB" w:eastAsia="fr-FR"/>
        </w:rPr>
        <w:t xml:space="preserve"> Environmental pollution, 162, 389-398.</w:t>
      </w:r>
    </w:p>
    <w:p w14:paraId="46A8D308"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Nedjimi</w:t>
      </w:r>
      <w:proofErr w:type="spellEnd"/>
      <w:r>
        <w:rPr>
          <w:rFonts w:eastAsia="Times New Roman"/>
          <w:b/>
          <w:bCs/>
          <w:sz w:val="22"/>
          <w:szCs w:val="22"/>
          <w:lang w:val="en-GB" w:eastAsia="fr-FR"/>
        </w:rPr>
        <w:t>, B. (2021).</w:t>
      </w:r>
      <w:r>
        <w:rPr>
          <w:rFonts w:eastAsia="Times New Roman"/>
          <w:sz w:val="22"/>
          <w:szCs w:val="22"/>
          <w:lang w:val="en-GB" w:eastAsia="fr-FR"/>
        </w:rPr>
        <w:t xml:space="preserve"> Phytoremediation: a sustainable environmental technology for heavy metals decontamination. SN Applied Sciences, 3(3), 286.</w:t>
      </w:r>
    </w:p>
    <w:p w14:paraId="55B4C5A7" w14:textId="77777777" w:rsidR="00331605" w:rsidRDefault="00240697">
      <w:pPr>
        <w:spacing w:before="100" w:beforeAutospacing="1" w:after="100" w:afterAutospacing="1"/>
        <w:ind w:left="284" w:hanging="426"/>
        <w:jc w:val="left"/>
        <w:rPr>
          <w:rFonts w:ascii="Calibri" w:eastAsia="Calibri" w:hAnsi="Calibri"/>
          <w:sz w:val="22"/>
          <w:szCs w:val="22"/>
          <w:lang w:val="en-GB"/>
        </w:rPr>
      </w:pPr>
      <w:r>
        <w:rPr>
          <w:rFonts w:eastAsia="Times New Roman"/>
          <w:b/>
          <w:bCs/>
          <w:sz w:val="22"/>
          <w:szCs w:val="22"/>
          <w:lang w:val="en-GB" w:eastAsia="fr-FR"/>
        </w:rPr>
        <w:t>Nordberg, G. F. (2009).</w:t>
      </w:r>
      <w:r>
        <w:rPr>
          <w:rFonts w:eastAsia="Times New Roman"/>
          <w:sz w:val="22"/>
          <w:szCs w:val="22"/>
          <w:lang w:val="en-GB" w:eastAsia="fr-FR"/>
        </w:rPr>
        <w:t xml:space="preserve"> Historical perspectives on cadmium toxicology. Toxicology and applied pharmacology, 238(3), 192-200. </w:t>
      </w:r>
      <w:hyperlink r:id="rId27" w:history="1">
        <w:r>
          <w:rPr>
            <w:rFonts w:eastAsia="Times New Roman"/>
            <w:color w:val="0000FF"/>
            <w:sz w:val="22"/>
            <w:szCs w:val="22"/>
            <w:u w:val="single"/>
            <w:lang w:val="en-GB" w:eastAsia="fr-FR"/>
          </w:rPr>
          <w:t>https://doi.org/10.1016/j.taap.2009.03.015</w:t>
        </w:r>
      </w:hyperlink>
    </w:p>
    <w:p w14:paraId="130F7927"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Parraga-Aguado</w:t>
      </w:r>
      <w:proofErr w:type="spellEnd"/>
      <w:r>
        <w:rPr>
          <w:rFonts w:eastAsia="Times New Roman"/>
          <w:b/>
          <w:bCs/>
          <w:sz w:val="22"/>
          <w:szCs w:val="22"/>
          <w:lang w:val="en-GB" w:eastAsia="fr-FR"/>
        </w:rPr>
        <w:t>, I., Alvarez-</w:t>
      </w:r>
      <w:proofErr w:type="spellStart"/>
      <w:r>
        <w:rPr>
          <w:rFonts w:eastAsia="Times New Roman"/>
          <w:b/>
          <w:bCs/>
          <w:sz w:val="22"/>
          <w:szCs w:val="22"/>
          <w:lang w:val="en-GB" w:eastAsia="fr-FR"/>
        </w:rPr>
        <w:t>Rogel</w:t>
      </w:r>
      <w:proofErr w:type="spellEnd"/>
      <w:r>
        <w:rPr>
          <w:rFonts w:eastAsia="Times New Roman"/>
          <w:b/>
          <w:bCs/>
          <w:sz w:val="22"/>
          <w:szCs w:val="22"/>
          <w:lang w:val="en-GB" w:eastAsia="fr-FR"/>
        </w:rPr>
        <w:t>, J., Gonzalez-Alcaraz, MN, et Conesa, HM (2017).</w:t>
      </w:r>
      <w:r>
        <w:rPr>
          <w:rFonts w:eastAsia="Times New Roman"/>
          <w:sz w:val="22"/>
          <w:szCs w:val="22"/>
          <w:lang w:val="en-GB" w:eastAsia="fr-FR"/>
        </w:rPr>
        <w:t xml:space="preserve"> Assessment of metal mobility for the application of an urban waste-based organic amendment in two degraded semi-arid soils. Journal of Geochemical Exploration., </w:t>
      </w:r>
      <w:hyperlink r:id="rId28" w:history="1">
        <w:r>
          <w:rPr>
            <w:rFonts w:eastAsia="Times New Roman"/>
            <w:color w:val="0000FF"/>
            <w:sz w:val="22"/>
            <w:szCs w:val="22"/>
            <w:u w:val="single"/>
            <w:lang w:val="en-GB" w:eastAsia="fr-FR"/>
          </w:rPr>
          <w:t>https://doi.org/10.1016/j.gexplo.2016.11.022</w:t>
        </w:r>
      </w:hyperlink>
    </w:p>
    <w:p w14:paraId="53A78CB5"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Pilon-Smits, E. (2005).</w:t>
      </w:r>
      <w:r>
        <w:rPr>
          <w:rFonts w:eastAsia="Times New Roman"/>
          <w:sz w:val="22"/>
          <w:szCs w:val="22"/>
          <w:lang w:val="en-GB" w:eastAsia="fr-FR"/>
        </w:rPr>
        <w:t xml:space="preserve"> Phytoremediation. </w:t>
      </w:r>
      <w:proofErr w:type="spellStart"/>
      <w:r>
        <w:rPr>
          <w:rFonts w:eastAsia="Times New Roman"/>
          <w:sz w:val="22"/>
          <w:szCs w:val="22"/>
          <w:lang w:val="en-GB" w:eastAsia="fr-FR"/>
        </w:rPr>
        <w:t>Annu</w:t>
      </w:r>
      <w:proofErr w:type="spellEnd"/>
      <w:r>
        <w:rPr>
          <w:rFonts w:eastAsia="Times New Roman"/>
          <w:sz w:val="22"/>
          <w:szCs w:val="22"/>
          <w:lang w:val="en-GB" w:eastAsia="fr-FR"/>
        </w:rPr>
        <w:t>. Rev. Plant Biol., 56(1), 15-39.</w:t>
      </w:r>
    </w:p>
    <w:p w14:paraId="5DCDD6CA"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Pinta, M. (1980).</w:t>
      </w:r>
      <w:r>
        <w:rPr>
          <w:rFonts w:eastAsia="Times New Roman"/>
          <w:sz w:val="22"/>
          <w:szCs w:val="22"/>
          <w:lang w:val="fr-FR" w:eastAsia="fr-FR"/>
        </w:rPr>
        <w:t xml:space="preserve"> Spectrométrie d'absorption atomique (2). Application à l'analyse chimique. </w:t>
      </w:r>
      <w:proofErr w:type="spellStart"/>
      <w:r>
        <w:rPr>
          <w:rFonts w:eastAsia="Times New Roman"/>
          <w:sz w:val="22"/>
          <w:szCs w:val="22"/>
          <w:lang w:val="fr-FR" w:eastAsia="fr-FR"/>
        </w:rPr>
        <w:t>FeniXX</w:t>
      </w:r>
      <w:proofErr w:type="spellEnd"/>
      <w:r>
        <w:rPr>
          <w:rFonts w:eastAsia="Times New Roman"/>
          <w:sz w:val="22"/>
          <w:szCs w:val="22"/>
          <w:lang w:val="fr-FR" w:eastAsia="fr-FR"/>
        </w:rPr>
        <w:t>.</w:t>
      </w:r>
    </w:p>
    <w:p w14:paraId="3CB5F7D2" w14:textId="77777777" w:rsidR="00331605" w:rsidRDefault="00240697">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lastRenderedPageBreak/>
        <w:t>Rai, PK (2008).</w:t>
      </w:r>
      <w:r>
        <w:rPr>
          <w:rFonts w:eastAsia="Times New Roman"/>
          <w:sz w:val="22"/>
          <w:szCs w:val="22"/>
          <w:lang w:val="fr-FR" w:eastAsia="fr-FR"/>
        </w:rPr>
        <w:t xml:space="preserve"> Pollution par les métaux lourds dans les écosystèmes aquatiques et sa phytoremédiation par les plantes des zones humides : une approche éco-durable. Revue internationale de </w:t>
      </w:r>
      <w:proofErr w:type="gramStart"/>
      <w:r>
        <w:rPr>
          <w:rFonts w:eastAsia="Times New Roman"/>
          <w:sz w:val="22"/>
          <w:szCs w:val="22"/>
          <w:lang w:val="fr-FR" w:eastAsia="fr-FR"/>
        </w:rPr>
        <w:t>phytoremédiation ,</w:t>
      </w:r>
      <w:proofErr w:type="gramEnd"/>
      <w:r>
        <w:rPr>
          <w:rFonts w:eastAsia="Times New Roman"/>
          <w:sz w:val="22"/>
          <w:szCs w:val="22"/>
          <w:lang w:val="fr-FR" w:eastAsia="fr-FR"/>
        </w:rPr>
        <w:t xml:space="preserve"> 10 (2), 133-160. </w:t>
      </w:r>
      <w:hyperlink r:id="rId29" w:history="1">
        <w:r>
          <w:rPr>
            <w:rFonts w:eastAsia="Times New Roman"/>
            <w:color w:val="0000FF"/>
            <w:sz w:val="22"/>
            <w:szCs w:val="22"/>
            <w:u w:val="single"/>
            <w:lang w:val="fr-FR" w:eastAsia="fr-FR"/>
          </w:rPr>
          <w:t>https://doi.org/10.1080/15226510801913918</w:t>
        </w:r>
      </w:hyperlink>
    </w:p>
    <w:p w14:paraId="2BF11778" w14:textId="77777777" w:rsidR="00331605" w:rsidRDefault="00240697">
      <w:pPr>
        <w:spacing w:before="100" w:beforeAutospacing="1" w:after="100" w:afterAutospacing="1"/>
        <w:ind w:left="284" w:hanging="426"/>
        <w:jc w:val="left"/>
        <w:rPr>
          <w:sz w:val="22"/>
          <w:szCs w:val="22"/>
          <w:lang w:val="fr-FR"/>
        </w:rPr>
      </w:pPr>
      <w:proofErr w:type="spellStart"/>
      <w:r>
        <w:rPr>
          <w:rFonts w:eastAsia="Times New Roman"/>
          <w:b/>
          <w:bCs/>
          <w:sz w:val="22"/>
          <w:szCs w:val="22"/>
          <w:lang w:val="fr-FR" w:eastAsia="fr-FR"/>
        </w:rPr>
        <w:t>Rezania</w:t>
      </w:r>
      <w:proofErr w:type="spellEnd"/>
      <w:r>
        <w:rPr>
          <w:rFonts w:eastAsia="Times New Roman"/>
          <w:b/>
          <w:bCs/>
          <w:sz w:val="22"/>
          <w:szCs w:val="22"/>
          <w:lang w:val="fr-FR" w:eastAsia="fr-FR"/>
        </w:rPr>
        <w:t xml:space="preserve">, S., Din, MFM, </w:t>
      </w:r>
      <w:proofErr w:type="spellStart"/>
      <w:r>
        <w:rPr>
          <w:rFonts w:eastAsia="Times New Roman"/>
          <w:b/>
          <w:bCs/>
          <w:sz w:val="22"/>
          <w:szCs w:val="22"/>
          <w:lang w:val="fr-FR" w:eastAsia="fr-FR"/>
        </w:rPr>
        <w:t>Kamaruddin</w:t>
      </w:r>
      <w:proofErr w:type="spellEnd"/>
      <w:r>
        <w:rPr>
          <w:rFonts w:eastAsia="Times New Roman"/>
          <w:b/>
          <w:bCs/>
          <w:sz w:val="22"/>
          <w:szCs w:val="22"/>
          <w:lang w:val="fr-FR" w:eastAsia="fr-FR"/>
        </w:rPr>
        <w:t xml:space="preserve">, SF, </w:t>
      </w:r>
      <w:proofErr w:type="spellStart"/>
      <w:r>
        <w:rPr>
          <w:rFonts w:eastAsia="Times New Roman"/>
          <w:b/>
          <w:bCs/>
          <w:sz w:val="22"/>
          <w:szCs w:val="22"/>
          <w:lang w:val="fr-FR" w:eastAsia="fr-FR"/>
        </w:rPr>
        <w:t>Taib</w:t>
      </w:r>
      <w:proofErr w:type="spellEnd"/>
      <w:r>
        <w:rPr>
          <w:rFonts w:eastAsia="Times New Roman"/>
          <w:b/>
          <w:bCs/>
          <w:sz w:val="22"/>
          <w:szCs w:val="22"/>
          <w:lang w:val="fr-FR" w:eastAsia="fr-FR"/>
        </w:rPr>
        <w:t xml:space="preserve">, SM, Singh, L., Yong, EL, et </w:t>
      </w:r>
      <w:proofErr w:type="spellStart"/>
      <w:r>
        <w:rPr>
          <w:rFonts w:eastAsia="Times New Roman"/>
          <w:b/>
          <w:bCs/>
          <w:sz w:val="22"/>
          <w:szCs w:val="22"/>
          <w:lang w:val="fr-FR" w:eastAsia="fr-FR"/>
        </w:rPr>
        <w:t>Dahalan</w:t>
      </w:r>
      <w:proofErr w:type="spellEnd"/>
      <w:r>
        <w:rPr>
          <w:rFonts w:eastAsia="Times New Roman"/>
          <w:b/>
          <w:bCs/>
          <w:sz w:val="22"/>
          <w:szCs w:val="22"/>
          <w:lang w:val="fr-FR" w:eastAsia="fr-FR"/>
        </w:rPr>
        <w:t>, FA (2016).</w:t>
      </w:r>
      <w:r>
        <w:rPr>
          <w:rFonts w:eastAsia="Times New Roman"/>
          <w:sz w:val="22"/>
          <w:szCs w:val="22"/>
          <w:lang w:val="fr-FR" w:eastAsia="fr-FR"/>
        </w:rPr>
        <w:t xml:space="preserve"> Évaluation de la jacinthe d'eau (</w:t>
      </w:r>
      <w:proofErr w:type="spellStart"/>
      <w:r>
        <w:rPr>
          <w:rFonts w:eastAsia="Times New Roman"/>
          <w:i/>
          <w:iCs/>
          <w:sz w:val="22"/>
          <w:szCs w:val="22"/>
          <w:lang w:val="fr-FR" w:eastAsia="fr-FR"/>
        </w:rPr>
        <w:t>Eichhornia</w:t>
      </w:r>
      <w:proofErr w:type="spellEnd"/>
      <w:r>
        <w:rPr>
          <w:rFonts w:eastAsia="Times New Roman"/>
          <w:i/>
          <w:iCs/>
          <w:sz w:val="22"/>
          <w:szCs w:val="22"/>
          <w:lang w:val="fr-FR" w:eastAsia="fr-FR"/>
        </w:rPr>
        <w:t xml:space="preserve"> </w:t>
      </w:r>
      <w:proofErr w:type="spellStart"/>
      <w:r>
        <w:rPr>
          <w:rFonts w:eastAsia="Times New Roman"/>
          <w:i/>
          <w:iCs/>
          <w:sz w:val="22"/>
          <w:szCs w:val="22"/>
          <w:lang w:val="fr-FR" w:eastAsia="fr-FR"/>
        </w:rPr>
        <w:t>crassipes</w:t>
      </w:r>
      <w:proofErr w:type="spellEnd"/>
      <w:r>
        <w:rPr>
          <w:rFonts w:eastAsia="Times New Roman"/>
          <w:sz w:val="22"/>
          <w:szCs w:val="22"/>
          <w:lang w:val="fr-FR" w:eastAsia="fr-FR"/>
        </w:rPr>
        <w:t xml:space="preserve">) comme source potentielle de matière première pour la production de briquettes. </w:t>
      </w:r>
      <w:proofErr w:type="gramStart"/>
      <w:r>
        <w:rPr>
          <w:rFonts w:eastAsia="Times New Roman"/>
          <w:sz w:val="22"/>
          <w:szCs w:val="22"/>
          <w:lang w:val="fr-FR" w:eastAsia="fr-FR"/>
        </w:rPr>
        <w:t>Énergie ,</w:t>
      </w:r>
      <w:proofErr w:type="gramEnd"/>
      <w:r>
        <w:rPr>
          <w:rFonts w:eastAsia="Times New Roman"/>
          <w:sz w:val="22"/>
          <w:szCs w:val="22"/>
          <w:lang w:val="fr-FR" w:eastAsia="fr-FR"/>
        </w:rPr>
        <w:t xml:space="preserve"> 111 , 768-773.</w:t>
      </w:r>
      <w:r>
        <w:rPr>
          <w:sz w:val="22"/>
          <w:szCs w:val="22"/>
          <w:lang w:val="fr-FR"/>
        </w:rPr>
        <w:t xml:space="preserve"> </w:t>
      </w:r>
      <w:hyperlink r:id="rId30" w:tgtFrame="_blank" w:tooltip="Lien persistant utilisant un identifiant d'objet numérique" w:history="1">
        <w:r>
          <w:rPr>
            <w:rFonts w:eastAsia="Times New Roman"/>
            <w:color w:val="0000FF"/>
            <w:sz w:val="22"/>
            <w:szCs w:val="22"/>
            <w:u w:val="single"/>
            <w:lang w:val="fr-FR" w:eastAsia="fr-FR"/>
          </w:rPr>
          <w:t>https://doi.org/10.1016/j.energy.2016.06.026</w:t>
        </w:r>
      </w:hyperlink>
    </w:p>
    <w:p w14:paraId="5B1E2AD0" w14:textId="77777777" w:rsidR="00331605" w:rsidRDefault="00240697">
      <w:pPr>
        <w:spacing w:before="100" w:beforeAutospacing="1" w:after="100" w:afterAutospacing="1"/>
        <w:ind w:left="284" w:hanging="426"/>
        <w:jc w:val="left"/>
        <w:rPr>
          <w:rFonts w:eastAsia="Times New Roman"/>
          <w:sz w:val="22"/>
          <w:szCs w:val="22"/>
          <w:lang w:val="fr-FR" w:eastAsia="fr-FR"/>
        </w:rPr>
      </w:pPr>
      <w:proofErr w:type="spellStart"/>
      <w:r>
        <w:rPr>
          <w:rFonts w:eastAsia="Times New Roman"/>
          <w:b/>
          <w:bCs/>
          <w:sz w:val="22"/>
          <w:szCs w:val="22"/>
          <w:lang w:val="fr-FR" w:eastAsia="fr-FR"/>
        </w:rPr>
        <w:t>Rezania</w:t>
      </w:r>
      <w:proofErr w:type="spellEnd"/>
      <w:r>
        <w:rPr>
          <w:rFonts w:eastAsia="Times New Roman"/>
          <w:b/>
          <w:bCs/>
          <w:sz w:val="22"/>
          <w:szCs w:val="22"/>
          <w:lang w:val="fr-FR" w:eastAsia="fr-FR"/>
        </w:rPr>
        <w:t xml:space="preserve">, S., </w:t>
      </w:r>
      <w:proofErr w:type="spellStart"/>
      <w:r>
        <w:rPr>
          <w:rFonts w:eastAsia="Times New Roman"/>
          <w:b/>
          <w:bCs/>
          <w:sz w:val="22"/>
          <w:szCs w:val="22"/>
          <w:lang w:val="fr-FR" w:eastAsia="fr-FR"/>
        </w:rPr>
        <w:t>Ponraj</w:t>
      </w:r>
      <w:proofErr w:type="spellEnd"/>
      <w:r>
        <w:rPr>
          <w:rFonts w:eastAsia="Times New Roman"/>
          <w:b/>
          <w:bCs/>
          <w:sz w:val="22"/>
          <w:szCs w:val="22"/>
          <w:lang w:val="fr-FR" w:eastAsia="fr-FR"/>
        </w:rPr>
        <w:t xml:space="preserve">, M., </w:t>
      </w:r>
      <w:proofErr w:type="spellStart"/>
      <w:r>
        <w:rPr>
          <w:rFonts w:eastAsia="Times New Roman"/>
          <w:b/>
          <w:bCs/>
          <w:sz w:val="22"/>
          <w:szCs w:val="22"/>
          <w:lang w:val="fr-FR" w:eastAsia="fr-FR"/>
        </w:rPr>
        <w:t>Talaiekhozani</w:t>
      </w:r>
      <w:proofErr w:type="spellEnd"/>
      <w:r>
        <w:rPr>
          <w:rFonts w:eastAsia="Times New Roman"/>
          <w:b/>
          <w:bCs/>
          <w:sz w:val="22"/>
          <w:szCs w:val="22"/>
          <w:lang w:val="fr-FR" w:eastAsia="fr-FR"/>
        </w:rPr>
        <w:t xml:space="preserve">, A., Mohamad, SE, Din, MFM, </w:t>
      </w:r>
      <w:proofErr w:type="spellStart"/>
      <w:r>
        <w:rPr>
          <w:rFonts w:eastAsia="Times New Roman"/>
          <w:b/>
          <w:bCs/>
          <w:sz w:val="22"/>
          <w:szCs w:val="22"/>
          <w:lang w:val="fr-FR" w:eastAsia="fr-FR"/>
        </w:rPr>
        <w:t>Taib</w:t>
      </w:r>
      <w:proofErr w:type="spellEnd"/>
      <w:r>
        <w:rPr>
          <w:rFonts w:eastAsia="Times New Roman"/>
          <w:b/>
          <w:bCs/>
          <w:sz w:val="22"/>
          <w:szCs w:val="22"/>
          <w:lang w:val="fr-FR" w:eastAsia="fr-FR"/>
        </w:rPr>
        <w:t xml:space="preserve">, SM, ... et </w:t>
      </w:r>
      <w:proofErr w:type="spellStart"/>
      <w:r>
        <w:rPr>
          <w:rFonts w:eastAsia="Times New Roman"/>
          <w:b/>
          <w:bCs/>
          <w:sz w:val="22"/>
          <w:szCs w:val="22"/>
          <w:lang w:val="fr-FR" w:eastAsia="fr-FR"/>
        </w:rPr>
        <w:t>Sairan</w:t>
      </w:r>
      <w:proofErr w:type="spellEnd"/>
      <w:r>
        <w:rPr>
          <w:rFonts w:eastAsia="Times New Roman"/>
          <w:b/>
          <w:bCs/>
          <w:sz w:val="22"/>
          <w:szCs w:val="22"/>
          <w:lang w:val="fr-FR" w:eastAsia="fr-FR"/>
        </w:rPr>
        <w:t>, FM (2015).</w:t>
      </w:r>
      <w:r>
        <w:rPr>
          <w:rFonts w:eastAsia="Times New Roman"/>
          <w:sz w:val="22"/>
          <w:szCs w:val="22"/>
          <w:lang w:val="fr-FR" w:eastAsia="fr-FR"/>
        </w:rPr>
        <w:t xml:space="preserve"> </w:t>
      </w:r>
      <w:r>
        <w:rPr>
          <w:rFonts w:eastAsia="Times New Roman"/>
          <w:sz w:val="22"/>
          <w:szCs w:val="22"/>
          <w:lang w:val="en-GB" w:eastAsia="fr-FR"/>
        </w:rPr>
        <w:t xml:space="preserve">Phytoremediation prospects using water hyacinth for the removal of heavy metals and organic and inorganic pollutants from wastewater. </w:t>
      </w:r>
      <w:r>
        <w:rPr>
          <w:rFonts w:eastAsia="Times New Roman"/>
          <w:sz w:val="22"/>
          <w:szCs w:val="22"/>
          <w:lang w:val="fr-FR" w:eastAsia="fr-FR"/>
        </w:rPr>
        <w:t xml:space="preserve">Journal of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Management. </w:t>
      </w:r>
      <w:proofErr w:type="gramStart"/>
      <w:r>
        <w:rPr>
          <w:rFonts w:eastAsia="Times New Roman"/>
          <w:sz w:val="22"/>
          <w:szCs w:val="22"/>
          <w:lang w:val="fr-FR" w:eastAsia="fr-FR"/>
        </w:rPr>
        <w:t>163 ,</w:t>
      </w:r>
      <w:proofErr w:type="gramEnd"/>
      <w:r>
        <w:rPr>
          <w:rFonts w:eastAsia="Times New Roman"/>
          <w:sz w:val="22"/>
          <w:szCs w:val="22"/>
          <w:lang w:val="fr-FR" w:eastAsia="fr-FR"/>
        </w:rPr>
        <w:t xml:space="preserve"> 125-133. </w:t>
      </w:r>
      <w:hyperlink r:id="rId31" w:history="1">
        <w:r>
          <w:rPr>
            <w:rFonts w:eastAsia="Times New Roman"/>
            <w:color w:val="0000FF"/>
            <w:sz w:val="22"/>
            <w:szCs w:val="22"/>
            <w:u w:val="single"/>
            <w:lang w:val="fr-FR" w:eastAsia="fr-FR"/>
          </w:rPr>
          <w:t>https://doi.org/10.1016/j.jenvman.2015.08.018</w:t>
        </w:r>
      </w:hyperlink>
    </w:p>
    <w:p w14:paraId="2F5D4DB2"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Saha, N., Rahman, MS, Ahmed, MB, Zhou, JL, Ngo, HH, et Guo, W. (2017)</w:t>
      </w:r>
      <w:r>
        <w:rPr>
          <w:rFonts w:eastAsia="Times New Roman"/>
          <w:sz w:val="22"/>
          <w:szCs w:val="22"/>
          <w:lang w:val="fr-FR" w:eastAsia="fr-FR"/>
        </w:rPr>
        <w:t xml:space="preserve">. Pollution industrielle des eaux par les métaux et évaluation probabiliste des risques pour la santé humaine. </w:t>
      </w:r>
      <w:r>
        <w:rPr>
          <w:rFonts w:eastAsia="Times New Roman"/>
          <w:sz w:val="22"/>
          <w:szCs w:val="22"/>
          <w:lang w:val="en-GB" w:eastAsia="fr-FR"/>
        </w:rPr>
        <w:t xml:space="preserve">Journal of environmental </w:t>
      </w:r>
      <w:proofErr w:type="gramStart"/>
      <w:r>
        <w:rPr>
          <w:rFonts w:eastAsia="Times New Roman"/>
          <w:sz w:val="22"/>
          <w:szCs w:val="22"/>
          <w:lang w:val="en-GB" w:eastAsia="fr-FR"/>
        </w:rPr>
        <w:t>management ,</w:t>
      </w:r>
      <w:proofErr w:type="gramEnd"/>
      <w:r>
        <w:rPr>
          <w:rFonts w:eastAsia="Times New Roman"/>
          <w:sz w:val="22"/>
          <w:szCs w:val="22"/>
          <w:lang w:val="en-GB" w:eastAsia="fr-FR"/>
        </w:rPr>
        <w:t xml:space="preserve"> 185 , 70-78.</w:t>
      </w:r>
    </w:p>
    <w:p w14:paraId="297A813A"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Samecka-Cymerman</w:t>
      </w:r>
      <w:proofErr w:type="spellEnd"/>
      <w:r>
        <w:rPr>
          <w:rFonts w:eastAsia="Times New Roman"/>
          <w:b/>
          <w:bCs/>
          <w:sz w:val="22"/>
          <w:szCs w:val="22"/>
          <w:lang w:val="en-GB" w:eastAsia="fr-FR"/>
        </w:rPr>
        <w:t xml:space="preserve">, A., et </w:t>
      </w:r>
      <w:proofErr w:type="spellStart"/>
      <w:r>
        <w:rPr>
          <w:rFonts w:eastAsia="Times New Roman"/>
          <w:b/>
          <w:bCs/>
          <w:sz w:val="22"/>
          <w:szCs w:val="22"/>
          <w:lang w:val="en-GB" w:eastAsia="fr-FR"/>
        </w:rPr>
        <w:t>Kempers</w:t>
      </w:r>
      <w:proofErr w:type="spellEnd"/>
      <w:r>
        <w:rPr>
          <w:rFonts w:eastAsia="Times New Roman"/>
          <w:b/>
          <w:bCs/>
          <w:sz w:val="22"/>
          <w:szCs w:val="22"/>
          <w:lang w:val="en-GB" w:eastAsia="fr-FR"/>
        </w:rPr>
        <w:t>, AJ (2007).</w:t>
      </w:r>
      <w:r>
        <w:rPr>
          <w:rFonts w:eastAsia="Times New Roman"/>
          <w:sz w:val="22"/>
          <w:szCs w:val="22"/>
          <w:lang w:val="en-GB" w:eastAsia="fr-FR"/>
        </w:rPr>
        <w:t xml:space="preserve"> Heavy metals in aquatic macrophytes from two small rivers polluted by urban, agricultural, and textile industry wastewater in southwestern Poland. </w:t>
      </w:r>
      <w:r>
        <w:rPr>
          <w:rFonts w:eastAsia="Times New Roman"/>
          <w:sz w:val="22"/>
          <w:szCs w:val="22"/>
          <w:lang w:val="fr-FR" w:eastAsia="fr-FR"/>
        </w:rPr>
        <w:t xml:space="preserve">Archives of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Contamination and </w:t>
      </w:r>
      <w:proofErr w:type="spellStart"/>
      <w:r>
        <w:rPr>
          <w:rFonts w:eastAsia="Times New Roman"/>
          <w:sz w:val="22"/>
          <w:szCs w:val="22"/>
          <w:lang w:val="fr-FR" w:eastAsia="fr-FR"/>
        </w:rPr>
        <w:t>Toxicology</w:t>
      </w:r>
      <w:proofErr w:type="spellEnd"/>
      <w:r>
        <w:rPr>
          <w:rFonts w:eastAsia="Times New Roman"/>
          <w:sz w:val="22"/>
          <w:szCs w:val="22"/>
          <w:lang w:val="fr-FR" w:eastAsia="fr-FR"/>
        </w:rPr>
        <w:t>.</w:t>
      </w:r>
      <w:r>
        <w:rPr>
          <w:rFonts w:eastAsia="Times New Roman"/>
          <w:sz w:val="22"/>
          <w:szCs w:val="22"/>
          <w:lang w:val="en-GB" w:eastAsia="fr-FR"/>
        </w:rPr>
        <w:t>, 53 (2), 198-206.</w:t>
      </w:r>
    </w:p>
    <w:p w14:paraId="5BBC668F" w14:textId="77777777" w:rsidR="00331605" w:rsidRDefault="00240697">
      <w:pPr>
        <w:spacing w:before="100" w:beforeAutospacing="1" w:after="100" w:afterAutospacing="1"/>
        <w:ind w:left="284" w:hanging="426"/>
        <w:jc w:val="left"/>
        <w:rPr>
          <w:rFonts w:ascii="Calibri" w:eastAsia="Calibri" w:hAnsi="Calibri"/>
          <w:sz w:val="22"/>
          <w:szCs w:val="22"/>
          <w:lang w:val="en-GB"/>
        </w:rPr>
      </w:pPr>
      <w:proofErr w:type="spellStart"/>
      <w:r>
        <w:rPr>
          <w:rFonts w:eastAsia="Times New Roman"/>
          <w:b/>
          <w:bCs/>
          <w:sz w:val="22"/>
          <w:szCs w:val="22"/>
          <w:lang w:val="fr-FR" w:eastAsia="fr-FR"/>
        </w:rPr>
        <w:t>Tambone</w:t>
      </w:r>
      <w:proofErr w:type="spellEnd"/>
      <w:r>
        <w:rPr>
          <w:rFonts w:eastAsia="Times New Roman"/>
          <w:b/>
          <w:bCs/>
          <w:sz w:val="22"/>
          <w:szCs w:val="22"/>
          <w:lang w:val="fr-FR" w:eastAsia="fr-FR"/>
        </w:rPr>
        <w:t xml:space="preserve">, F., </w:t>
      </w:r>
      <w:proofErr w:type="spellStart"/>
      <w:r>
        <w:rPr>
          <w:rFonts w:eastAsia="Times New Roman"/>
          <w:b/>
          <w:bCs/>
          <w:sz w:val="22"/>
          <w:szCs w:val="22"/>
          <w:lang w:val="fr-FR" w:eastAsia="fr-FR"/>
        </w:rPr>
        <w:t>Scaglia</w:t>
      </w:r>
      <w:proofErr w:type="spellEnd"/>
      <w:r>
        <w:rPr>
          <w:rFonts w:eastAsia="Times New Roman"/>
          <w:b/>
          <w:bCs/>
          <w:sz w:val="22"/>
          <w:szCs w:val="22"/>
          <w:lang w:val="fr-FR" w:eastAsia="fr-FR"/>
        </w:rPr>
        <w:t>, B., D'</w:t>
      </w:r>
      <w:proofErr w:type="spellStart"/>
      <w:r>
        <w:rPr>
          <w:rFonts w:eastAsia="Times New Roman"/>
          <w:b/>
          <w:bCs/>
          <w:sz w:val="22"/>
          <w:szCs w:val="22"/>
          <w:lang w:val="fr-FR" w:eastAsia="fr-FR"/>
        </w:rPr>
        <w:t>Imporzano</w:t>
      </w:r>
      <w:proofErr w:type="spellEnd"/>
      <w:r>
        <w:rPr>
          <w:rFonts w:eastAsia="Times New Roman"/>
          <w:b/>
          <w:bCs/>
          <w:sz w:val="22"/>
          <w:szCs w:val="22"/>
          <w:lang w:val="fr-FR" w:eastAsia="fr-FR"/>
        </w:rPr>
        <w:t xml:space="preserve">, G., </w:t>
      </w:r>
      <w:proofErr w:type="spellStart"/>
      <w:r>
        <w:rPr>
          <w:rFonts w:eastAsia="Times New Roman"/>
          <w:b/>
          <w:bCs/>
          <w:sz w:val="22"/>
          <w:szCs w:val="22"/>
          <w:lang w:val="fr-FR" w:eastAsia="fr-FR"/>
        </w:rPr>
        <w:t>Schievano</w:t>
      </w:r>
      <w:proofErr w:type="spellEnd"/>
      <w:r>
        <w:rPr>
          <w:rFonts w:eastAsia="Times New Roman"/>
          <w:b/>
          <w:bCs/>
          <w:sz w:val="22"/>
          <w:szCs w:val="22"/>
          <w:lang w:val="fr-FR" w:eastAsia="fr-FR"/>
        </w:rPr>
        <w:t xml:space="preserve">, A., </w:t>
      </w:r>
      <w:proofErr w:type="spellStart"/>
      <w:r>
        <w:rPr>
          <w:rFonts w:eastAsia="Times New Roman"/>
          <w:b/>
          <w:bCs/>
          <w:sz w:val="22"/>
          <w:szCs w:val="22"/>
          <w:lang w:val="fr-FR" w:eastAsia="fr-FR"/>
        </w:rPr>
        <w:t>Orzi</w:t>
      </w:r>
      <w:proofErr w:type="spellEnd"/>
      <w:r>
        <w:rPr>
          <w:rFonts w:eastAsia="Times New Roman"/>
          <w:b/>
          <w:bCs/>
          <w:sz w:val="22"/>
          <w:szCs w:val="22"/>
          <w:lang w:val="fr-FR" w:eastAsia="fr-FR"/>
        </w:rPr>
        <w:t xml:space="preserve">, V., </w:t>
      </w:r>
      <w:proofErr w:type="spellStart"/>
      <w:r>
        <w:rPr>
          <w:rFonts w:eastAsia="Times New Roman"/>
          <w:b/>
          <w:bCs/>
          <w:sz w:val="22"/>
          <w:szCs w:val="22"/>
          <w:lang w:val="fr-FR" w:eastAsia="fr-FR"/>
        </w:rPr>
        <w:t>Salati</w:t>
      </w:r>
      <w:proofErr w:type="spellEnd"/>
      <w:r>
        <w:rPr>
          <w:rFonts w:eastAsia="Times New Roman"/>
          <w:b/>
          <w:bCs/>
          <w:sz w:val="22"/>
          <w:szCs w:val="22"/>
          <w:lang w:val="fr-FR" w:eastAsia="fr-FR"/>
        </w:rPr>
        <w:t xml:space="preserve">, S., et </w:t>
      </w:r>
      <w:proofErr w:type="spellStart"/>
      <w:r>
        <w:rPr>
          <w:rFonts w:eastAsia="Times New Roman"/>
          <w:b/>
          <w:bCs/>
          <w:sz w:val="22"/>
          <w:szCs w:val="22"/>
          <w:lang w:val="fr-FR" w:eastAsia="fr-FR"/>
        </w:rPr>
        <w:t>Adani</w:t>
      </w:r>
      <w:proofErr w:type="spellEnd"/>
      <w:r>
        <w:rPr>
          <w:rFonts w:eastAsia="Times New Roman"/>
          <w:b/>
          <w:bCs/>
          <w:sz w:val="22"/>
          <w:szCs w:val="22"/>
          <w:lang w:val="fr-FR" w:eastAsia="fr-FR"/>
        </w:rPr>
        <w:t>, F. (2010)</w:t>
      </w:r>
      <w:r>
        <w:rPr>
          <w:rFonts w:eastAsia="Times New Roman"/>
          <w:sz w:val="22"/>
          <w:szCs w:val="22"/>
          <w:lang w:val="fr-FR" w:eastAsia="fr-FR"/>
        </w:rPr>
        <w:t xml:space="preserve">. Évaluation des propriétés d'amendement et de fertilisation des digestats issus de la digestion anaérobie par une étude comparative avec des boues digérées et du compost. </w:t>
      </w:r>
      <w:proofErr w:type="gramStart"/>
      <w:r>
        <w:rPr>
          <w:rFonts w:eastAsia="Times New Roman"/>
          <w:sz w:val="22"/>
          <w:szCs w:val="22"/>
          <w:lang w:val="en-GB" w:eastAsia="fr-FR"/>
        </w:rPr>
        <w:t>Chemosphere ,</w:t>
      </w:r>
      <w:proofErr w:type="gramEnd"/>
      <w:r>
        <w:rPr>
          <w:rFonts w:eastAsia="Times New Roman"/>
          <w:sz w:val="22"/>
          <w:szCs w:val="22"/>
          <w:lang w:val="en-GB" w:eastAsia="fr-FR"/>
        </w:rPr>
        <w:t xml:space="preserve"> 81 (5), 577-583. </w:t>
      </w:r>
      <w:hyperlink r:id="rId32" w:history="1">
        <w:r>
          <w:rPr>
            <w:rFonts w:eastAsia="Times New Roman"/>
            <w:color w:val="0000FF"/>
            <w:sz w:val="22"/>
            <w:szCs w:val="22"/>
            <w:u w:val="single"/>
            <w:lang w:val="en-GB" w:eastAsia="fr-FR"/>
          </w:rPr>
          <w:t>https://doi.org/10.1016/j.chemosphere.2010.08.034</w:t>
        </w:r>
      </w:hyperlink>
    </w:p>
    <w:p w14:paraId="65B769A4"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Tangahu</w:t>
      </w:r>
      <w:proofErr w:type="spellEnd"/>
      <w:r>
        <w:rPr>
          <w:rFonts w:eastAsia="Times New Roman"/>
          <w:b/>
          <w:bCs/>
          <w:sz w:val="22"/>
          <w:szCs w:val="22"/>
          <w:lang w:val="en-GB" w:eastAsia="fr-FR"/>
        </w:rPr>
        <w:t xml:space="preserve">, B. V., Sheikh Abdullah, S. R., </w:t>
      </w:r>
      <w:proofErr w:type="spellStart"/>
      <w:r>
        <w:rPr>
          <w:rFonts w:eastAsia="Times New Roman"/>
          <w:b/>
          <w:bCs/>
          <w:sz w:val="22"/>
          <w:szCs w:val="22"/>
          <w:lang w:val="en-GB" w:eastAsia="fr-FR"/>
        </w:rPr>
        <w:t>Basri</w:t>
      </w:r>
      <w:proofErr w:type="spellEnd"/>
      <w:r>
        <w:rPr>
          <w:rFonts w:eastAsia="Times New Roman"/>
          <w:b/>
          <w:bCs/>
          <w:sz w:val="22"/>
          <w:szCs w:val="22"/>
          <w:lang w:val="en-GB" w:eastAsia="fr-FR"/>
        </w:rPr>
        <w:t xml:space="preserve">, H., Idris, M., </w:t>
      </w:r>
      <w:proofErr w:type="spellStart"/>
      <w:r>
        <w:rPr>
          <w:rFonts w:eastAsia="Times New Roman"/>
          <w:b/>
          <w:bCs/>
          <w:sz w:val="22"/>
          <w:szCs w:val="22"/>
          <w:lang w:val="en-GB" w:eastAsia="fr-FR"/>
        </w:rPr>
        <w:t>Anuar</w:t>
      </w:r>
      <w:proofErr w:type="spellEnd"/>
      <w:r>
        <w:rPr>
          <w:rFonts w:eastAsia="Times New Roman"/>
          <w:b/>
          <w:bCs/>
          <w:sz w:val="22"/>
          <w:szCs w:val="22"/>
          <w:lang w:val="en-GB" w:eastAsia="fr-FR"/>
        </w:rPr>
        <w:t xml:space="preserve">, N., et </w:t>
      </w:r>
      <w:proofErr w:type="spellStart"/>
      <w:r>
        <w:rPr>
          <w:rFonts w:eastAsia="Times New Roman"/>
          <w:b/>
          <w:bCs/>
          <w:sz w:val="22"/>
          <w:szCs w:val="22"/>
          <w:lang w:val="en-GB" w:eastAsia="fr-FR"/>
        </w:rPr>
        <w:t>Mukhlisin</w:t>
      </w:r>
      <w:proofErr w:type="spellEnd"/>
      <w:r>
        <w:rPr>
          <w:rFonts w:eastAsia="Times New Roman"/>
          <w:b/>
          <w:bCs/>
          <w:sz w:val="22"/>
          <w:szCs w:val="22"/>
          <w:lang w:val="en-GB" w:eastAsia="fr-FR"/>
        </w:rPr>
        <w:t>, M. (2011)</w:t>
      </w:r>
      <w:r>
        <w:rPr>
          <w:rFonts w:eastAsia="Times New Roman"/>
          <w:sz w:val="22"/>
          <w:szCs w:val="22"/>
          <w:lang w:val="en-GB" w:eastAsia="fr-FR"/>
        </w:rPr>
        <w:t xml:space="preserve">. A review on heavy metals (As, Pb, and Hg) uptake by plants through phytoremediation. International journal of chemical engineering, 2011(1), 939161. </w:t>
      </w:r>
      <w:hyperlink r:id="rId33" w:history="1">
        <w:r>
          <w:rPr>
            <w:rFonts w:eastAsia="Times New Roman"/>
            <w:color w:val="0000FF"/>
            <w:sz w:val="22"/>
            <w:szCs w:val="22"/>
            <w:u w:val="single"/>
            <w:lang w:val="en-GB" w:eastAsia="fr-FR"/>
          </w:rPr>
          <w:t>https://doi.org/10.1155/2011/939161</w:t>
        </w:r>
      </w:hyperlink>
    </w:p>
    <w:p w14:paraId="485CB5C8" w14:textId="77777777" w:rsidR="00331605" w:rsidRDefault="00240697">
      <w:pPr>
        <w:spacing w:before="100" w:beforeAutospacing="1" w:after="100" w:afterAutospacing="1"/>
        <w:ind w:left="284" w:hanging="426"/>
        <w:jc w:val="left"/>
        <w:rPr>
          <w:rFonts w:eastAsia="Times New Roman"/>
          <w:sz w:val="22"/>
          <w:szCs w:val="22"/>
          <w:lang w:val="fr-FR" w:eastAsia="fr-FR"/>
        </w:rPr>
      </w:pPr>
      <w:proofErr w:type="spellStart"/>
      <w:r>
        <w:rPr>
          <w:rFonts w:eastAsia="Times New Roman"/>
          <w:b/>
          <w:bCs/>
          <w:sz w:val="22"/>
          <w:szCs w:val="22"/>
          <w:lang w:val="en-GB" w:eastAsia="fr-FR"/>
        </w:rPr>
        <w:t>Tanouayi</w:t>
      </w:r>
      <w:proofErr w:type="spellEnd"/>
      <w:r>
        <w:rPr>
          <w:rFonts w:eastAsia="Times New Roman"/>
          <w:b/>
          <w:bCs/>
          <w:sz w:val="22"/>
          <w:szCs w:val="22"/>
          <w:lang w:val="en-GB" w:eastAsia="fr-FR"/>
        </w:rPr>
        <w:t xml:space="preserve">, G., </w:t>
      </w:r>
      <w:proofErr w:type="spellStart"/>
      <w:r>
        <w:rPr>
          <w:rFonts w:eastAsia="Times New Roman"/>
          <w:b/>
          <w:bCs/>
          <w:sz w:val="22"/>
          <w:szCs w:val="22"/>
          <w:lang w:val="en-GB" w:eastAsia="fr-FR"/>
        </w:rPr>
        <w:t>Gnandi</w:t>
      </w:r>
      <w:proofErr w:type="spellEnd"/>
      <w:r>
        <w:rPr>
          <w:rFonts w:eastAsia="Times New Roman"/>
          <w:b/>
          <w:bCs/>
          <w:sz w:val="22"/>
          <w:szCs w:val="22"/>
          <w:lang w:val="en-GB" w:eastAsia="fr-FR"/>
        </w:rPr>
        <w:t xml:space="preserve">, K., </w:t>
      </w:r>
      <w:proofErr w:type="spellStart"/>
      <w:r>
        <w:rPr>
          <w:rFonts w:eastAsia="Times New Roman"/>
          <w:b/>
          <w:bCs/>
          <w:sz w:val="22"/>
          <w:szCs w:val="22"/>
          <w:lang w:val="en-GB" w:eastAsia="fr-FR"/>
        </w:rPr>
        <w:t>Ahoudi</w:t>
      </w:r>
      <w:proofErr w:type="spellEnd"/>
      <w:r>
        <w:rPr>
          <w:rFonts w:eastAsia="Times New Roman"/>
          <w:b/>
          <w:bCs/>
          <w:sz w:val="22"/>
          <w:szCs w:val="22"/>
          <w:lang w:val="en-GB" w:eastAsia="fr-FR"/>
        </w:rPr>
        <w:t xml:space="preserve">, H. et </w:t>
      </w:r>
      <w:proofErr w:type="spellStart"/>
      <w:r>
        <w:rPr>
          <w:rFonts w:eastAsia="Times New Roman"/>
          <w:b/>
          <w:bCs/>
          <w:sz w:val="22"/>
          <w:szCs w:val="22"/>
          <w:lang w:val="en-GB" w:eastAsia="fr-FR"/>
        </w:rPr>
        <w:t>Ouro</w:t>
      </w:r>
      <w:proofErr w:type="spellEnd"/>
      <w:r>
        <w:rPr>
          <w:rFonts w:eastAsia="Times New Roman"/>
          <w:b/>
          <w:bCs/>
          <w:sz w:val="22"/>
          <w:szCs w:val="22"/>
          <w:lang w:val="en-GB" w:eastAsia="fr-FR"/>
        </w:rPr>
        <w:t>-Sama, K. (2015).</w:t>
      </w:r>
      <w:r>
        <w:rPr>
          <w:rFonts w:eastAsia="Times New Roman"/>
          <w:sz w:val="22"/>
          <w:szCs w:val="22"/>
          <w:lang w:val="en-GB" w:eastAsia="fr-FR"/>
        </w:rPr>
        <w:t xml:space="preserve"> </w:t>
      </w:r>
      <w:r>
        <w:rPr>
          <w:rFonts w:eastAsia="Times New Roman"/>
          <w:sz w:val="22"/>
          <w:szCs w:val="22"/>
          <w:lang w:val="fr-FR" w:eastAsia="fr-FR"/>
        </w:rPr>
        <w:t xml:space="preserve">La contamination métallique des eaux de surface et des eaux souterraines de la zone minière d'exploitation des phosphates de </w:t>
      </w:r>
      <w:proofErr w:type="spellStart"/>
      <w:r>
        <w:rPr>
          <w:rFonts w:eastAsia="Times New Roman"/>
          <w:sz w:val="22"/>
          <w:szCs w:val="22"/>
          <w:lang w:val="fr-FR" w:eastAsia="fr-FR"/>
        </w:rPr>
        <w:t>Hahotoé-Kpogamé</w:t>
      </w:r>
      <w:proofErr w:type="spellEnd"/>
      <w:r>
        <w:rPr>
          <w:rFonts w:eastAsia="Times New Roman"/>
          <w:sz w:val="22"/>
          <w:szCs w:val="22"/>
          <w:lang w:val="fr-FR" w:eastAsia="fr-FR"/>
        </w:rPr>
        <w:t xml:space="preserve"> (Sud-Togo) : cas du cadmium, plomb, cuivre et nickel. Journal LARHYSS P-ISSN 1112-3680/E-ISSN 2521-9782</w:t>
      </w:r>
    </w:p>
    <w:p w14:paraId="27B6A781" w14:textId="77777777" w:rsidR="00331605" w:rsidRDefault="00240697">
      <w:pPr>
        <w:spacing w:before="100" w:beforeAutospacing="1" w:after="100" w:afterAutospacing="1"/>
        <w:ind w:left="284" w:hanging="426"/>
        <w:jc w:val="left"/>
        <w:rPr>
          <w:rFonts w:eastAsia="Calibri"/>
          <w:sz w:val="22"/>
          <w:szCs w:val="22"/>
          <w:lang w:val="fr-FR"/>
        </w:rPr>
      </w:pPr>
      <w:proofErr w:type="spellStart"/>
      <w:r>
        <w:rPr>
          <w:rFonts w:eastAsia="Times New Roman"/>
          <w:b/>
          <w:bCs/>
          <w:sz w:val="22"/>
          <w:szCs w:val="22"/>
          <w:lang w:val="fr-FR" w:eastAsia="fr-FR"/>
        </w:rPr>
        <w:t>Tiquia</w:t>
      </w:r>
      <w:proofErr w:type="spellEnd"/>
      <w:r>
        <w:rPr>
          <w:rFonts w:eastAsia="Times New Roman"/>
          <w:b/>
          <w:bCs/>
          <w:sz w:val="22"/>
          <w:szCs w:val="22"/>
          <w:lang w:val="fr-FR" w:eastAsia="fr-FR"/>
        </w:rPr>
        <w:t>, SM, et Tam, NF (2002).</w:t>
      </w:r>
      <w:r>
        <w:rPr>
          <w:rFonts w:eastAsia="Times New Roman"/>
          <w:sz w:val="22"/>
          <w:szCs w:val="22"/>
          <w:lang w:val="fr-FR" w:eastAsia="fr-FR"/>
        </w:rPr>
        <w:t xml:space="preserve"> Caractérisation et compostage de litière de volaille en tas à aération forcée. Process </w:t>
      </w:r>
      <w:proofErr w:type="spellStart"/>
      <w:proofErr w:type="gramStart"/>
      <w:r>
        <w:rPr>
          <w:rFonts w:eastAsia="Times New Roman"/>
          <w:sz w:val="22"/>
          <w:szCs w:val="22"/>
          <w:lang w:val="fr-FR" w:eastAsia="fr-FR"/>
        </w:rPr>
        <w:t>Biochemistry</w:t>
      </w:r>
      <w:proofErr w:type="spellEnd"/>
      <w:r>
        <w:rPr>
          <w:rFonts w:eastAsia="Times New Roman"/>
          <w:sz w:val="22"/>
          <w:szCs w:val="22"/>
          <w:lang w:val="fr-FR" w:eastAsia="fr-FR"/>
        </w:rPr>
        <w:t xml:space="preserve"> ,</w:t>
      </w:r>
      <w:proofErr w:type="gramEnd"/>
      <w:r>
        <w:rPr>
          <w:rFonts w:eastAsia="Times New Roman"/>
          <w:sz w:val="22"/>
          <w:szCs w:val="22"/>
          <w:lang w:val="fr-FR" w:eastAsia="fr-FR"/>
        </w:rPr>
        <w:t xml:space="preserve"> 37 (8), 869-880.</w:t>
      </w:r>
      <w:r>
        <w:rPr>
          <w:rFonts w:eastAsia="Calibri"/>
          <w:sz w:val="22"/>
          <w:szCs w:val="22"/>
          <w:lang w:val="fr-FR"/>
        </w:rPr>
        <w:t xml:space="preserve"> </w:t>
      </w:r>
      <w:hyperlink r:id="rId34" w:history="1">
        <w:r>
          <w:rPr>
            <w:rFonts w:eastAsia="Times New Roman"/>
            <w:color w:val="0563C1"/>
            <w:sz w:val="22"/>
            <w:szCs w:val="22"/>
            <w:u w:val="single"/>
            <w:lang w:val="fr-FR" w:eastAsia="fr-FR"/>
          </w:rPr>
          <w:t>https://doi.org/10.1016/S0032-9592(01)00274-6</w:t>
        </w:r>
      </w:hyperlink>
    </w:p>
    <w:p w14:paraId="2544BE48"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fr-FR" w:eastAsia="fr-FR"/>
        </w:rPr>
        <w:t>Togbe</w:t>
      </w:r>
      <w:proofErr w:type="spellEnd"/>
      <w:r>
        <w:rPr>
          <w:rFonts w:eastAsia="Times New Roman"/>
          <w:b/>
          <w:bCs/>
          <w:sz w:val="22"/>
          <w:szCs w:val="22"/>
          <w:lang w:val="fr-FR" w:eastAsia="fr-FR"/>
        </w:rPr>
        <w:t xml:space="preserve">, A. M. O., </w:t>
      </w:r>
      <w:proofErr w:type="spellStart"/>
      <w:r>
        <w:rPr>
          <w:rFonts w:eastAsia="Times New Roman"/>
          <w:b/>
          <w:bCs/>
          <w:sz w:val="22"/>
          <w:szCs w:val="22"/>
          <w:lang w:val="fr-FR" w:eastAsia="fr-FR"/>
        </w:rPr>
        <w:t>Kouame</w:t>
      </w:r>
      <w:proofErr w:type="spellEnd"/>
      <w:r>
        <w:rPr>
          <w:rFonts w:eastAsia="Times New Roman"/>
          <w:b/>
          <w:bCs/>
          <w:sz w:val="22"/>
          <w:szCs w:val="22"/>
          <w:lang w:val="fr-FR" w:eastAsia="fr-FR"/>
        </w:rPr>
        <w:t xml:space="preserve">, K. V., Yao, K. M., Ouattara, A. A., </w:t>
      </w:r>
      <w:proofErr w:type="spellStart"/>
      <w:r>
        <w:rPr>
          <w:rFonts w:eastAsia="Times New Roman"/>
          <w:b/>
          <w:bCs/>
          <w:sz w:val="22"/>
          <w:szCs w:val="22"/>
          <w:lang w:val="fr-FR" w:eastAsia="fr-FR"/>
        </w:rPr>
        <w:t>Tidou</w:t>
      </w:r>
      <w:proofErr w:type="spellEnd"/>
      <w:r>
        <w:rPr>
          <w:rFonts w:eastAsia="Times New Roman"/>
          <w:b/>
          <w:bCs/>
          <w:sz w:val="22"/>
          <w:szCs w:val="22"/>
          <w:lang w:val="fr-FR" w:eastAsia="fr-FR"/>
        </w:rPr>
        <w:t xml:space="preserve">, A. S., et </w:t>
      </w:r>
      <w:proofErr w:type="spellStart"/>
      <w:r>
        <w:rPr>
          <w:rFonts w:eastAsia="Times New Roman"/>
          <w:b/>
          <w:bCs/>
          <w:sz w:val="22"/>
          <w:szCs w:val="22"/>
          <w:lang w:val="fr-FR" w:eastAsia="fr-FR"/>
        </w:rPr>
        <w:t>Atsé</w:t>
      </w:r>
      <w:proofErr w:type="spellEnd"/>
      <w:r>
        <w:rPr>
          <w:rFonts w:eastAsia="Times New Roman"/>
          <w:b/>
          <w:bCs/>
          <w:sz w:val="22"/>
          <w:szCs w:val="22"/>
          <w:lang w:val="fr-FR" w:eastAsia="fr-FR"/>
        </w:rPr>
        <w:t>, B. C. (2019).</w:t>
      </w:r>
      <w:r>
        <w:rPr>
          <w:rFonts w:eastAsia="Times New Roman"/>
          <w:sz w:val="22"/>
          <w:szCs w:val="22"/>
          <w:lang w:val="fr-FR" w:eastAsia="fr-FR"/>
        </w:rPr>
        <w:t xml:space="preserve"> Évaluation de la contamination des eaux de la lagune Ebrié (Zones IV et V), Côte d’Ivoire en arsenic, plomb et </w:t>
      </w:r>
      <w:proofErr w:type="gramStart"/>
      <w:r>
        <w:rPr>
          <w:rFonts w:eastAsia="Times New Roman"/>
          <w:sz w:val="22"/>
          <w:szCs w:val="22"/>
          <w:lang w:val="fr-FR" w:eastAsia="fr-FR"/>
        </w:rPr>
        <w:t>cadmium:</w:t>
      </w:r>
      <w:proofErr w:type="gramEnd"/>
      <w:r>
        <w:rPr>
          <w:rFonts w:eastAsia="Times New Roman"/>
          <w:sz w:val="22"/>
          <w:szCs w:val="22"/>
          <w:lang w:val="fr-FR" w:eastAsia="fr-FR"/>
        </w:rPr>
        <w:t xml:space="preserve"> variations spatio-temporelles et risques sanitaires. </w:t>
      </w:r>
      <w:r>
        <w:rPr>
          <w:rFonts w:eastAsia="Times New Roman"/>
          <w:sz w:val="22"/>
          <w:szCs w:val="22"/>
          <w:lang w:val="en-GB" w:eastAsia="fr-FR"/>
        </w:rPr>
        <w:t>International Journal of Biological and Chemical Sciences, 13(2), 1162-1179.</w:t>
      </w:r>
    </w:p>
    <w:p w14:paraId="59448F65"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 xml:space="preserve">Ullrich, S. M., </w:t>
      </w:r>
      <w:proofErr w:type="spellStart"/>
      <w:r>
        <w:rPr>
          <w:rFonts w:eastAsia="Times New Roman"/>
          <w:b/>
          <w:bCs/>
          <w:sz w:val="22"/>
          <w:szCs w:val="22"/>
          <w:lang w:val="en-GB" w:eastAsia="fr-FR"/>
        </w:rPr>
        <w:t>Tanton</w:t>
      </w:r>
      <w:proofErr w:type="spellEnd"/>
      <w:r>
        <w:rPr>
          <w:rFonts w:eastAsia="Times New Roman"/>
          <w:b/>
          <w:bCs/>
          <w:sz w:val="22"/>
          <w:szCs w:val="22"/>
          <w:lang w:val="en-GB" w:eastAsia="fr-FR"/>
        </w:rPr>
        <w:t xml:space="preserve">, T. W., et </w:t>
      </w:r>
      <w:proofErr w:type="spellStart"/>
      <w:r>
        <w:rPr>
          <w:rFonts w:eastAsia="Times New Roman"/>
          <w:b/>
          <w:bCs/>
          <w:sz w:val="22"/>
          <w:szCs w:val="22"/>
          <w:lang w:val="en-GB" w:eastAsia="fr-FR"/>
        </w:rPr>
        <w:t>Abdrashitova</w:t>
      </w:r>
      <w:proofErr w:type="spellEnd"/>
      <w:r>
        <w:rPr>
          <w:rFonts w:eastAsia="Times New Roman"/>
          <w:b/>
          <w:bCs/>
          <w:sz w:val="22"/>
          <w:szCs w:val="22"/>
          <w:lang w:val="en-GB" w:eastAsia="fr-FR"/>
        </w:rPr>
        <w:t>, S. A. (2001</w:t>
      </w:r>
      <w:r>
        <w:rPr>
          <w:rFonts w:eastAsia="Times New Roman"/>
          <w:sz w:val="22"/>
          <w:szCs w:val="22"/>
          <w:lang w:val="en-GB" w:eastAsia="fr-FR"/>
        </w:rPr>
        <w:t xml:space="preserve">). Mercury in the aquatic environment: a review of factors affecting methylation. Critical reviews in environmental science and technology, 31(3), 241-293. </w:t>
      </w:r>
      <w:hyperlink r:id="rId35" w:history="1">
        <w:r>
          <w:rPr>
            <w:rFonts w:eastAsia="Times New Roman"/>
            <w:color w:val="0000FF"/>
            <w:sz w:val="22"/>
            <w:szCs w:val="22"/>
            <w:u w:val="single"/>
            <w:lang w:val="en-GB" w:eastAsia="fr-FR"/>
          </w:rPr>
          <w:t>https://doi.org/10.1080/20016491089226</w:t>
        </w:r>
      </w:hyperlink>
    </w:p>
    <w:p w14:paraId="363DFB38"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fr-FR" w:eastAsia="fr-FR"/>
        </w:rPr>
        <w:t>Villamagna</w:t>
      </w:r>
      <w:proofErr w:type="spellEnd"/>
      <w:r>
        <w:rPr>
          <w:rFonts w:eastAsia="Times New Roman"/>
          <w:b/>
          <w:bCs/>
          <w:sz w:val="22"/>
          <w:szCs w:val="22"/>
          <w:lang w:val="fr-FR" w:eastAsia="fr-FR"/>
        </w:rPr>
        <w:t>, A. M., et Murphy, B. R. (2010).</w:t>
      </w:r>
      <w:r>
        <w:rPr>
          <w:rFonts w:eastAsia="Times New Roman"/>
          <w:sz w:val="22"/>
          <w:szCs w:val="22"/>
          <w:lang w:val="fr-FR" w:eastAsia="fr-FR"/>
        </w:rPr>
        <w:t xml:space="preserve"> </w:t>
      </w:r>
      <w:r>
        <w:rPr>
          <w:rFonts w:eastAsia="Times New Roman"/>
          <w:sz w:val="22"/>
          <w:szCs w:val="22"/>
          <w:lang w:val="en-GB" w:eastAsia="fr-FR"/>
        </w:rPr>
        <w:t>Ecological and socio-economic impacts of invasive water hyacinth (</w:t>
      </w:r>
      <w:proofErr w:type="spellStart"/>
      <w:r>
        <w:rPr>
          <w:rFonts w:eastAsia="Times New Roman"/>
          <w:i/>
          <w:iCs/>
          <w:sz w:val="22"/>
          <w:szCs w:val="22"/>
          <w:lang w:val="en-GB" w:eastAsia="fr-FR"/>
        </w:rPr>
        <w:t>Eichhornia</w:t>
      </w:r>
      <w:proofErr w:type="spellEnd"/>
      <w:r>
        <w:rPr>
          <w:rFonts w:eastAsia="Times New Roman"/>
          <w:i/>
          <w:iCs/>
          <w:sz w:val="22"/>
          <w:szCs w:val="22"/>
          <w:lang w:val="en-GB" w:eastAsia="fr-FR"/>
        </w:rPr>
        <w:t xml:space="preserve"> </w:t>
      </w:r>
      <w:proofErr w:type="spellStart"/>
      <w:r>
        <w:rPr>
          <w:rFonts w:eastAsia="Times New Roman"/>
          <w:i/>
          <w:iCs/>
          <w:sz w:val="22"/>
          <w:szCs w:val="22"/>
          <w:lang w:val="en-GB" w:eastAsia="fr-FR"/>
        </w:rPr>
        <w:t>crassipes</w:t>
      </w:r>
      <w:proofErr w:type="spellEnd"/>
      <w:r>
        <w:rPr>
          <w:rFonts w:eastAsia="Times New Roman"/>
          <w:sz w:val="22"/>
          <w:szCs w:val="22"/>
          <w:lang w:val="en-GB" w:eastAsia="fr-FR"/>
        </w:rPr>
        <w:t xml:space="preserve">): a review. Freshwater biology, 55(2). </w:t>
      </w:r>
      <w:hyperlink r:id="rId36" w:history="1">
        <w:r>
          <w:rPr>
            <w:rFonts w:eastAsia="Times New Roman"/>
            <w:color w:val="0000FF"/>
            <w:sz w:val="22"/>
            <w:szCs w:val="22"/>
            <w:u w:val="single"/>
            <w:lang w:val="en-GB" w:eastAsia="fr-FR"/>
          </w:rPr>
          <w:t>https://doi.org/10.1111/j.1365-2427.2009.02294.x</w:t>
        </w:r>
      </w:hyperlink>
    </w:p>
    <w:p w14:paraId="02DB71E8"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lastRenderedPageBreak/>
        <w:t>Walkley, A., et Black, I. A. (1934).</w:t>
      </w:r>
      <w:r>
        <w:rPr>
          <w:rFonts w:eastAsia="Times New Roman"/>
          <w:sz w:val="22"/>
          <w:szCs w:val="22"/>
          <w:lang w:val="en-GB" w:eastAsia="fr-FR"/>
        </w:rPr>
        <w:t xml:space="preserve"> An examination of the </w:t>
      </w:r>
      <w:proofErr w:type="spellStart"/>
      <w:r>
        <w:rPr>
          <w:rFonts w:eastAsia="Times New Roman"/>
          <w:sz w:val="22"/>
          <w:szCs w:val="22"/>
          <w:lang w:val="en-GB" w:eastAsia="fr-FR"/>
        </w:rPr>
        <w:t>Degtjareff</w:t>
      </w:r>
      <w:proofErr w:type="spellEnd"/>
      <w:r>
        <w:rPr>
          <w:rFonts w:eastAsia="Times New Roman"/>
          <w:sz w:val="22"/>
          <w:szCs w:val="22"/>
          <w:lang w:val="en-GB" w:eastAsia="fr-FR"/>
        </w:rPr>
        <w:t xml:space="preserve"> method for determining soil organic matter, and a proposed modification of the chromic acid titration method. Soil science, 37(1), 29-38.</w:t>
      </w:r>
    </w:p>
    <w:p w14:paraId="37AD8D99"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en-GB" w:eastAsia="fr-FR"/>
        </w:rPr>
        <w:t>Wang, M., Zheng, Q., Shen, Q., et Guo, S. (2013).</w:t>
      </w:r>
      <w:r>
        <w:rPr>
          <w:rFonts w:eastAsia="Times New Roman"/>
          <w:sz w:val="22"/>
          <w:szCs w:val="22"/>
          <w:lang w:val="en-GB" w:eastAsia="fr-FR"/>
        </w:rPr>
        <w:t xml:space="preserve"> The critical role of potassium in plant stress response. International journal of molecular sciences, 14(4), 7370-7390. </w:t>
      </w:r>
      <w:hyperlink r:id="rId37" w:history="1">
        <w:r>
          <w:rPr>
            <w:rFonts w:eastAsia="Times New Roman"/>
            <w:color w:val="0000FF"/>
            <w:sz w:val="22"/>
            <w:szCs w:val="22"/>
            <w:u w:val="single"/>
            <w:lang w:val="en-GB" w:eastAsia="fr-FR"/>
          </w:rPr>
          <w:t>https://doi.org/10.3390/ijms14047370</w:t>
        </w:r>
      </w:hyperlink>
    </w:p>
    <w:p w14:paraId="181E08E5"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 xml:space="preserve">Wei, L., </w:t>
      </w:r>
      <w:proofErr w:type="spellStart"/>
      <w:r>
        <w:rPr>
          <w:rFonts w:eastAsia="Times New Roman"/>
          <w:b/>
          <w:bCs/>
          <w:sz w:val="22"/>
          <w:szCs w:val="22"/>
          <w:lang w:val="fr-FR" w:eastAsia="fr-FR"/>
        </w:rPr>
        <w:t>Shutao</w:t>
      </w:r>
      <w:proofErr w:type="spellEnd"/>
      <w:r>
        <w:rPr>
          <w:rFonts w:eastAsia="Times New Roman"/>
          <w:b/>
          <w:bCs/>
          <w:sz w:val="22"/>
          <w:szCs w:val="22"/>
          <w:lang w:val="fr-FR" w:eastAsia="fr-FR"/>
        </w:rPr>
        <w:t>, W., Jin, Z., et Tong, X. (2014).</w:t>
      </w:r>
      <w:r>
        <w:rPr>
          <w:rFonts w:eastAsia="Times New Roman"/>
          <w:sz w:val="22"/>
          <w:szCs w:val="22"/>
          <w:lang w:val="fr-FR" w:eastAsia="fr-FR"/>
        </w:rPr>
        <w:t xml:space="preserve"> Le biochar influence la structure de la communauté microbienne lors du compostage des tiges de tomates avec du fumier de poulet. </w:t>
      </w:r>
      <w:r>
        <w:rPr>
          <w:rFonts w:eastAsia="Times New Roman"/>
          <w:sz w:val="22"/>
          <w:szCs w:val="22"/>
          <w:lang w:val="en-GB" w:eastAsia="fr-FR"/>
        </w:rPr>
        <w:t xml:space="preserve">Bioresource </w:t>
      </w:r>
      <w:proofErr w:type="gramStart"/>
      <w:r>
        <w:rPr>
          <w:rFonts w:eastAsia="Times New Roman"/>
          <w:sz w:val="22"/>
          <w:szCs w:val="22"/>
          <w:lang w:val="en-GB" w:eastAsia="fr-FR"/>
        </w:rPr>
        <w:t>technology ,</w:t>
      </w:r>
      <w:proofErr w:type="gramEnd"/>
      <w:r>
        <w:rPr>
          <w:rFonts w:eastAsia="Times New Roman"/>
          <w:sz w:val="22"/>
          <w:szCs w:val="22"/>
          <w:lang w:val="en-GB" w:eastAsia="fr-FR"/>
        </w:rPr>
        <w:t xml:space="preserve"> </w:t>
      </w:r>
      <w:hyperlink r:id="rId38" w:history="1">
        <w:r>
          <w:rPr>
            <w:rFonts w:eastAsia="Times New Roman"/>
            <w:color w:val="0000FF"/>
            <w:sz w:val="22"/>
            <w:szCs w:val="22"/>
            <w:u w:val="single"/>
            <w:lang w:val="en-GB" w:eastAsia="fr-FR"/>
          </w:rPr>
          <w:t>https://doi.org/10.1016/j.biortech.2013.12.022</w:t>
        </w:r>
      </w:hyperlink>
    </w:p>
    <w:p w14:paraId="5347E94B" w14:textId="77777777" w:rsidR="00331605" w:rsidRDefault="00240697">
      <w:pPr>
        <w:spacing w:before="100" w:beforeAutospacing="1" w:after="100" w:afterAutospacing="1"/>
        <w:ind w:left="284" w:hanging="426"/>
        <w:jc w:val="left"/>
        <w:rPr>
          <w:rFonts w:eastAsia="Times New Roman"/>
          <w:sz w:val="22"/>
          <w:szCs w:val="22"/>
          <w:lang w:val="en-GB" w:eastAsia="fr-FR"/>
        </w:rPr>
      </w:pPr>
      <w:proofErr w:type="spellStart"/>
      <w:r>
        <w:rPr>
          <w:rFonts w:eastAsia="Times New Roman"/>
          <w:b/>
          <w:bCs/>
          <w:sz w:val="22"/>
          <w:szCs w:val="22"/>
          <w:lang w:val="en-GB" w:eastAsia="fr-FR"/>
        </w:rPr>
        <w:t>Welz</w:t>
      </w:r>
      <w:proofErr w:type="spellEnd"/>
      <w:r>
        <w:rPr>
          <w:rFonts w:eastAsia="Times New Roman"/>
          <w:b/>
          <w:bCs/>
          <w:sz w:val="22"/>
          <w:szCs w:val="22"/>
          <w:lang w:val="en-GB" w:eastAsia="fr-FR"/>
        </w:rPr>
        <w:t>, B., et Sperling, M. (2008).</w:t>
      </w:r>
      <w:r>
        <w:rPr>
          <w:rFonts w:eastAsia="Times New Roman"/>
          <w:sz w:val="22"/>
          <w:szCs w:val="22"/>
          <w:lang w:val="en-GB" w:eastAsia="fr-FR"/>
        </w:rPr>
        <w:t xml:space="preserve"> Atomic absorption spectrometry. John Wiley et Sons.</w:t>
      </w:r>
    </w:p>
    <w:p w14:paraId="08CDD39E"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 xml:space="preserve">Wu, Q., Wang, S., Zhang, L., Hui, M., Wang, F., et </w:t>
      </w:r>
      <w:proofErr w:type="spellStart"/>
      <w:r>
        <w:rPr>
          <w:rFonts w:eastAsia="Times New Roman"/>
          <w:b/>
          <w:bCs/>
          <w:sz w:val="22"/>
          <w:szCs w:val="22"/>
          <w:lang w:val="fr-FR" w:eastAsia="fr-FR"/>
        </w:rPr>
        <w:t>Hao</w:t>
      </w:r>
      <w:proofErr w:type="spellEnd"/>
      <w:r>
        <w:rPr>
          <w:rFonts w:eastAsia="Times New Roman"/>
          <w:b/>
          <w:bCs/>
          <w:sz w:val="22"/>
          <w:szCs w:val="22"/>
          <w:lang w:val="fr-FR" w:eastAsia="fr-FR"/>
        </w:rPr>
        <w:t>, J. (2016).</w:t>
      </w:r>
      <w:r>
        <w:rPr>
          <w:rFonts w:eastAsia="Times New Roman"/>
          <w:sz w:val="22"/>
          <w:szCs w:val="22"/>
          <w:lang w:val="fr-FR" w:eastAsia="fr-FR"/>
        </w:rPr>
        <w:t xml:space="preserve"> </w:t>
      </w:r>
      <w:r>
        <w:rPr>
          <w:rFonts w:eastAsia="Times New Roman"/>
          <w:sz w:val="22"/>
          <w:szCs w:val="22"/>
          <w:lang w:val="en-GB" w:eastAsia="fr-FR"/>
        </w:rPr>
        <w:t xml:space="preserve">Analysis of mercury flux associated with non-ferrous ore concentrates: implications for mercury emissions and recovery in China.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Science et </w:t>
      </w:r>
      <w:proofErr w:type="spellStart"/>
      <w:r>
        <w:rPr>
          <w:rFonts w:eastAsia="Times New Roman"/>
          <w:sz w:val="22"/>
          <w:szCs w:val="22"/>
          <w:lang w:val="fr-FR" w:eastAsia="fr-FR"/>
        </w:rPr>
        <w:t>Technology</w:t>
      </w:r>
      <w:proofErr w:type="spellEnd"/>
      <w:r>
        <w:rPr>
          <w:rFonts w:eastAsia="Times New Roman"/>
          <w:sz w:val="22"/>
          <w:szCs w:val="22"/>
          <w:lang w:val="fr-FR" w:eastAsia="fr-FR"/>
        </w:rPr>
        <w:t>, 50(4), 1796–</w:t>
      </w:r>
      <w:proofErr w:type="gramStart"/>
      <w:r>
        <w:rPr>
          <w:rFonts w:eastAsia="Times New Roman"/>
          <w:sz w:val="22"/>
          <w:szCs w:val="22"/>
          <w:lang w:val="fr-FR" w:eastAsia="fr-FR"/>
        </w:rPr>
        <w:t>1803..</w:t>
      </w:r>
      <w:proofErr w:type="gramEnd"/>
    </w:p>
    <w:p w14:paraId="5B3C010E" w14:textId="77777777" w:rsidR="00331605" w:rsidRDefault="00240697">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t>Yan, N., Liu, W., Xie, H., Gao, L., Han, Y., Wang, M., et Li, H. (2016).</w:t>
      </w:r>
      <w:r>
        <w:rPr>
          <w:rFonts w:eastAsia="Times New Roman"/>
          <w:sz w:val="22"/>
          <w:szCs w:val="22"/>
          <w:lang w:val="fr-FR" w:eastAsia="fr-FR"/>
        </w:rPr>
        <w:t xml:space="preserve"> </w:t>
      </w:r>
      <w:r>
        <w:rPr>
          <w:rFonts w:eastAsia="Times New Roman"/>
          <w:sz w:val="22"/>
          <w:szCs w:val="22"/>
          <w:lang w:val="en-GB" w:eastAsia="fr-FR"/>
        </w:rPr>
        <w:t xml:space="preserve">Distribution and assessment of heavy metals in the surface sediment of Yellow River, China. </w:t>
      </w:r>
      <w:r>
        <w:rPr>
          <w:rFonts w:eastAsia="Times New Roman"/>
          <w:sz w:val="22"/>
          <w:szCs w:val="22"/>
          <w:lang w:val="fr-FR" w:eastAsia="fr-FR"/>
        </w:rPr>
        <w:t xml:space="preserve">Journal of </w:t>
      </w:r>
      <w:proofErr w:type="spellStart"/>
      <w:r>
        <w:rPr>
          <w:rFonts w:eastAsia="Times New Roman"/>
          <w:sz w:val="22"/>
          <w:szCs w:val="22"/>
          <w:lang w:val="fr-FR" w:eastAsia="fr-FR"/>
        </w:rPr>
        <w:t>Environmental</w:t>
      </w:r>
      <w:proofErr w:type="spellEnd"/>
      <w:r>
        <w:rPr>
          <w:rFonts w:eastAsia="Times New Roman"/>
          <w:sz w:val="22"/>
          <w:szCs w:val="22"/>
          <w:lang w:val="fr-FR" w:eastAsia="fr-FR"/>
        </w:rPr>
        <w:t xml:space="preserve"> Sciences, 39, 45-51. </w:t>
      </w:r>
      <w:hyperlink r:id="rId39" w:history="1">
        <w:r>
          <w:rPr>
            <w:rFonts w:eastAsia="Times New Roman"/>
            <w:color w:val="0000FF"/>
            <w:sz w:val="22"/>
            <w:szCs w:val="22"/>
            <w:u w:val="single"/>
            <w:lang w:val="fr-FR" w:eastAsia="fr-FR"/>
          </w:rPr>
          <w:t>https://doi.org/10.1016/j.jes.2015.10.017</w:t>
        </w:r>
      </w:hyperlink>
    </w:p>
    <w:p w14:paraId="280159D1"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 xml:space="preserve">Zhang, X., Xie, Y., Cao, H., </w:t>
      </w:r>
      <w:proofErr w:type="spellStart"/>
      <w:r>
        <w:rPr>
          <w:rFonts w:eastAsia="Times New Roman"/>
          <w:b/>
          <w:bCs/>
          <w:sz w:val="22"/>
          <w:szCs w:val="22"/>
          <w:lang w:val="fr-FR" w:eastAsia="fr-FR"/>
        </w:rPr>
        <w:t>Nawaz</w:t>
      </w:r>
      <w:proofErr w:type="spellEnd"/>
      <w:r>
        <w:rPr>
          <w:rFonts w:eastAsia="Times New Roman"/>
          <w:b/>
          <w:bCs/>
          <w:sz w:val="22"/>
          <w:szCs w:val="22"/>
          <w:lang w:val="fr-FR" w:eastAsia="fr-FR"/>
        </w:rPr>
        <w:t>, F., et Zhang, Y. (2014).</w:t>
      </w:r>
      <w:r>
        <w:rPr>
          <w:rFonts w:eastAsia="Times New Roman"/>
          <w:sz w:val="22"/>
          <w:szCs w:val="22"/>
          <w:lang w:val="fr-FR" w:eastAsia="fr-FR"/>
        </w:rPr>
        <w:t xml:space="preserve"> </w:t>
      </w:r>
      <w:r>
        <w:rPr>
          <w:rFonts w:eastAsia="Times New Roman"/>
          <w:sz w:val="22"/>
          <w:szCs w:val="22"/>
          <w:lang w:val="en-GB" w:eastAsia="fr-FR"/>
        </w:rPr>
        <w:t xml:space="preserve">A novel process for recycling and resynthesizing LiNi1/3Co1/3Mn1/3O2 from cathode waste for lithium-ion batteries. </w:t>
      </w:r>
      <w:r>
        <w:rPr>
          <w:rFonts w:eastAsia="Times New Roman"/>
          <w:sz w:val="22"/>
          <w:szCs w:val="22"/>
          <w:lang w:val="fr-FR" w:eastAsia="fr-FR"/>
        </w:rPr>
        <w:t xml:space="preserve">Waste Management, 34(9), 1715–1724. </w:t>
      </w:r>
      <w:hyperlink r:id="rId40" w:history="1">
        <w:r>
          <w:rPr>
            <w:rFonts w:eastAsia="Times New Roman"/>
            <w:color w:val="0000FF"/>
            <w:sz w:val="22"/>
            <w:szCs w:val="22"/>
            <w:u w:val="single"/>
            <w:lang w:val="fr-FR" w:eastAsia="fr-FR"/>
          </w:rPr>
          <w:t>https://doi.org/10.1016/j.wasman.2014.05.023</w:t>
        </w:r>
      </w:hyperlink>
    </w:p>
    <w:p w14:paraId="56DF77B3" w14:textId="77777777" w:rsidR="00331605" w:rsidRDefault="00240697">
      <w:pPr>
        <w:spacing w:before="100" w:beforeAutospacing="1" w:after="100" w:afterAutospacing="1"/>
        <w:ind w:left="284" w:hanging="426"/>
        <w:jc w:val="left"/>
        <w:rPr>
          <w:rFonts w:ascii="Calibri" w:eastAsia="Calibri" w:hAnsi="Calibri"/>
          <w:sz w:val="22"/>
          <w:szCs w:val="22"/>
          <w:lang w:val="fr-FR"/>
        </w:rPr>
      </w:pPr>
      <w:r>
        <w:rPr>
          <w:rFonts w:eastAsia="Times New Roman"/>
          <w:b/>
          <w:bCs/>
          <w:sz w:val="22"/>
          <w:szCs w:val="22"/>
          <w:lang w:val="fr-FR" w:eastAsia="fr-FR"/>
        </w:rPr>
        <w:t>Zhang, L., et Sun, X. (2014).</w:t>
      </w:r>
      <w:r>
        <w:rPr>
          <w:rFonts w:eastAsia="Times New Roman"/>
          <w:sz w:val="22"/>
          <w:szCs w:val="22"/>
          <w:lang w:val="fr-FR" w:eastAsia="fr-FR"/>
        </w:rPr>
        <w:t xml:space="preserve"> Évolution des propriétés physiques, chimiques et microbiologiques lors du </w:t>
      </w:r>
      <w:proofErr w:type="spellStart"/>
      <w:r>
        <w:rPr>
          <w:rFonts w:eastAsia="Times New Roman"/>
          <w:sz w:val="22"/>
          <w:szCs w:val="22"/>
          <w:lang w:val="fr-FR" w:eastAsia="fr-FR"/>
        </w:rPr>
        <w:t>co</w:t>
      </w:r>
      <w:proofErr w:type="spellEnd"/>
      <w:r>
        <w:rPr>
          <w:rFonts w:eastAsia="Times New Roman"/>
          <w:sz w:val="22"/>
          <w:szCs w:val="22"/>
          <w:lang w:val="fr-FR" w:eastAsia="fr-FR"/>
        </w:rPr>
        <w:t xml:space="preserve">-compostage en deux étapes de déchets verts avec du compost de champignons usagés et du biochar. </w:t>
      </w:r>
      <w:proofErr w:type="spellStart"/>
      <w:r>
        <w:rPr>
          <w:rFonts w:eastAsia="Times New Roman"/>
          <w:sz w:val="22"/>
          <w:szCs w:val="22"/>
          <w:lang w:val="fr-FR" w:eastAsia="fr-FR"/>
        </w:rPr>
        <w:t>Bioresource</w:t>
      </w:r>
      <w:proofErr w:type="spellEnd"/>
      <w:r>
        <w:rPr>
          <w:rFonts w:eastAsia="Times New Roman"/>
          <w:sz w:val="22"/>
          <w:szCs w:val="22"/>
          <w:lang w:val="fr-FR" w:eastAsia="fr-FR"/>
        </w:rPr>
        <w:t xml:space="preserve"> </w:t>
      </w:r>
      <w:proofErr w:type="spellStart"/>
      <w:proofErr w:type="gramStart"/>
      <w:r>
        <w:rPr>
          <w:rFonts w:eastAsia="Times New Roman"/>
          <w:sz w:val="22"/>
          <w:szCs w:val="22"/>
          <w:lang w:val="fr-FR" w:eastAsia="fr-FR"/>
        </w:rPr>
        <w:t>technology</w:t>
      </w:r>
      <w:proofErr w:type="spellEnd"/>
      <w:r>
        <w:rPr>
          <w:rFonts w:eastAsia="Times New Roman"/>
          <w:sz w:val="22"/>
          <w:szCs w:val="22"/>
          <w:lang w:val="fr-FR" w:eastAsia="fr-FR"/>
        </w:rPr>
        <w:t xml:space="preserve"> ,</w:t>
      </w:r>
      <w:proofErr w:type="gramEnd"/>
      <w:r>
        <w:rPr>
          <w:rFonts w:eastAsia="Times New Roman"/>
          <w:sz w:val="22"/>
          <w:szCs w:val="22"/>
          <w:lang w:val="fr-FR" w:eastAsia="fr-FR"/>
        </w:rPr>
        <w:t xml:space="preserve"> 171 , 274-284. </w:t>
      </w:r>
      <w:hyperlink r:id="rId41" w:history="1">
        <w:r>
          <w:rPr>
            <w:rFonts w:eastAsia="Times New Roman"/>
            <w:color w:val="0000FF"/>
            <w:sz w:val="22"/>
            <w:szCs w:val="22"/>
            <w:u w:val="single"/>
            <w:lang w:val="fr-FR" w:eastAsia="fr-FR"/>
          </w:rPr>
          <w:t>https://doi.org/10.1016/j.biortech.2014.08.079</w:t>
        </w:r>
      </w:hyperlink>
    </w:p>
    <w:p w14:paraId="55FFE086"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Zheng, X., Zou, D., Wu, Q., Wang, H., Li, S., Liu, F., et Xiao, Z. (2022).</w:t>
      </w:r>
      <w:r>
        <w:rPr>
          <w:rFonts w:eastAsia="Times New Roman"/>
          <w:sz w:val="22"/>
          <w:szCs w:val="22"/>
          <w:lang w:val="fr-FR" w:eastAsia="fr-FR"/>
        </w:rPr>
        <w:t xml:space="preserve"> </w:t>
      </w:r>
      <w:r>
        <w:rPr>
          <w:rFonts w:eastAsia="Times New Roman"/>
          <w:sz w:val="22"/>
          <w:szCs w:val="22"/>
          <w:lang w:val="en-GB" w:eastAsia="fr-FR"/>
        </w:rPr>
        <w:t xml:space="preserve">Review of the fate and bioavailability of heavy metals during anaerobic digestion and composting of animal manure. </w:t>
      </w:r>
      <w:r>
        <w:rPr>
          <w:rFonts w:eastAsia="Times New Roman"/>
          <w:sz w:val="22"/>
          <w:szCs w:val="22"/>
          <w:lang w:val="fr-FR" w:eastAsia="fr-FR"/>
        </w:rPr>
        <w:t xml:space="preserve">Waste Management, 150, 75–89. </w:t>
      </w:r>
      <w:hyperlink r:id="rId42" w:history="1">
        <w:r>
          <w:rPr>
            <w:rFonts w:eastAsia="Times New Roman"/>
            <w:color w:val="0000FF"/>
            <w:sz w:val="22"/>
            <w:szCs w:val="22"/>
            <w:u w:val="single"/>
            <w:lang w:val="fr-FR" w:eastAsia="fr-FR"/>
          </w:rPr>
          <w:t>https://doi.org/10.1016/j.wasman.2022.06.033</w:t>
        </w:r>
      </w:hyperlink>
    </w:p>
    <w:p w14:paraId="54554DFE"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fr-FR" w:eastAsia="fr-FR"/>
        </w:rPr>
        <w:t>Zhou, R., Liu, X., Luo, L., Zhou, Y., Wei, J., Chen, A., ... et Wang, Y. (2017).</w:t>
      </w:r>
      <w:r>
        <w:rPr>
          <w:rFonts w:eastAsia="Times New Roman"/>
          <w:sz w:val="22"/>
          <w:szCs w:val="22"/>
          <w:lang w:val="fr-FR" w:eastAsia="fr-FR"/>
        </w:rPr>
        <w:t xml:space="preserve"> </w:t>
      </w:r>
      <w:r>
        <w:rPr>
          <w:rFonts w:eastAsia="Times New Roman"/>
          <w:sz w:val="22"/>
          <w:szCs w:val="22"/>
          <w:lang w:val="en-GB" w:eastAsia="fr-FR"/>
        </w:rPr>
        <w:t xml:space="preserve">Remediation of agricultural soils contaminated with Cu, Pb, Zn, and Cd using a combined amendment of red mud and compost. </w:t>
      </w:r>
      <w:r>
        <w:rPr>
          <w:rFonts w:eastAsia="Times New Roman"/>
          <w:sz w:val="22"/>
          <w:szCs w:val="22"/>
          <w:lang w:val="fr-FR" w:eastAsia="fr-FR"/>
        </w:rPr>
        <w:t xml:space="preserve">International </w:t>
      </w:r>
      <w:proofErr w:type="spellStart"/>
      <w:r>
        <w:rPr>
          <w:rFonts w:eastAsia="Times New Roman"/>
          <w:sz w:val="22"/>
          <w:szCs w:val="22"/>
          <w:lang w:val="fr-FR" w:eastAsia="fr-FR"/>
        </w:rPr>
        <w:t>Biodeterioration</w:t>
      </w:r>
      <w:proofErr w:type="spellEnd"/>
      <w:r>
        <w:rPr>
          <w:rFonts w:eastAsia="Times New Roman"/>
          <w:sz w:val="22"/>
          <w:szCs w:val="22"/>
          <w:lang w:val="fr-FR" w:eastAsia="fr-FR"/>
        </w:rPr>
        <w:t xml:space="preserve"> et </w:t>
      </w:r>
      <w:proofErr w:type="spellStart"/>
      <w:r>
        <w:rPr>
          <w:rFonts w:eastAsia="Times New Roman"/>
          <w:sz w:val="22"/>
          <w:szCs w:val="22"/>
          <w:lang w:val="fr-FR" w:eastAsia="fr-FR"/>
        </w:rPr>
        <w:t>Biodegradation</w:t>
      </w:r>
      <w:proofErr w:type="spellEnd"/>
      <w:r>
        <w:rPr>
          <w:rFonts w:eastAsia="Times New Roman"/>
          <w:sz w:val="22"/>
          <w:szCs w:val="22"/>
          <w:lang w:val="fr-FR" w:eastAsia="fr-FR"/>
        </w:rPr>
        <w:t xml:space="preserve">, </w:t>
      </w:r>
      <w:proofErr w:type="gramStart"/>
      <w:r>
        <w:rPr>
          <w:rFonts w:eastAsia="Times New Roman"/>
          <w:sz w:val="22"/>
          <w:szCs w:val="22"/>
          <w:lang w:val="fr-FR" w:eastAsia="fr-FR"/>
        </w:rPr>
        <w:t>118 ,</w:t>
      </w:r>
      <w:proofErr w:type="gramEnd"/>
      <w:r>
        <w:rPr>
          <w:rFonts w:eastAsia="Times New Roman"/>
          <w:sz w:val="22"/>
          <w:szCs w:val="22"/>
          <w:lang w:val="fr-FR" w:eastAsia="fr-FR"/>
        </w:rPr>
        <w:t xml:space="preserve"> 73-81. </w:t>
      </w:r>
      <w:hyperlink r:id="rId43" w:history="1">
        <w:r>
          <w:rPr>
            <w:rFonts w:eastAsia="Times New Roman"/>
            <w:color w:val="0000FF"/>
            <w:sz w:val="22"/>
            <w:szCs w:val="22"/>
            <w:u w:val="single"/>
            <w:lang w:val="fr-FR" w:eastAsia="fr-FR"/>
          </w:rPr>
          <w:t>https://doi.org/10.1016/j.ibiod.2017.01.023</w:t>
        </w:r>
      </w:hyperlink>
    </w:p>
    <w:p w14:paraId="679DF6E4" w14:textId="77777777" w:rsidR="00331605" w:rsidRDefault="00240697">
      <w:pPr>
        <w:spacing w:before="100" w:beforeAutospacing="1" w:after="100" w:afterAutospacing="1"/>
        <w:ind w:left="284" w:hanging="426"/>
        <w:jc w:val="left"/>
        <w:rPr>
          <w:rFonts w:eastAsia="Times New Roman"/>
          <w:sz w:val="22"/>
          <w:szCs w:val="22"/>
          <w:lang w:val="en-GB" w:eastAsia="fr-FR"/>
        </w:rPr>
      </w:pPr>
      <w:r>
        <w:rPr>
          <w:rFonts w:eastAsia="Times New Roman"/>
          <w:b/>
          <w:bCs/>
          <w:sz w:val="22"/>
          <w:szCs w:val="22"/>
          <w:lang w:val="fr-FR" w:eastAsia="fr-FR"/>
        </w:rPr>
        <w:t>Zhou, Q., Zhang, J., Fu, J., Shi, J., et Jiang, G. (2008).</w:t>
      </w:r>
      <w:r>
        <w:rPr>
          <w:rFonts w:eastAsia="Times New Roman"/>
          <w:sz w:val="22"/>
          <w:szCs w:val="22"/>
          <w:lang w:val="fr-FR" w:eastAsia="fr-FR"/>
        </w:rPr>
        <w:t xml:space="preserve"> </w:t>
      </w:r>
      <w:r>
        <w:rPr>
          <w:rFonts w:eastAsia="Times New Roman"/>
          <w:sz w:val="22"/>
          <w:szCs w:val="22"/>
          <w:lang w:val="en-GB" w:eastAsia="fr-FR"/>
        </w:rPr>
        <w:t xml:space="preserve">Biomonitoring: an appealing tool for assessment of metal pollution in the aquatic ecosystem. Analytica </w:t>
      </w:r>
      <w:proofErr w:type="spellStart"/>
      <w:r>
        <w:rPr>
          <w:rFonts w:eastAsia="Times New Roman"/>
          <w:sz w:val="22"/>
          <w:szCs w:val="22"/>
          <w:lang w:val="en-GB" w:eastAsia="fr-FR"/>
        </w:rPr>
        <w:t>chimica</w:t>
      </w:r>
      <w:proofErr w:type="spellEnd"/>
      <w:r>
        <w:rPr>
          <w:rFonts w:eastAsia="Times New Roman"/>
          <w:sz w:val="22"/>
          <w:szCs w:val="22"/>
          <w:lang w:val="en-GB" w:eastAsia="fr-FR"/>
        </w:rPr>
        <w:t xml:space="preserve"> acta, 606(2), 135-150. </w:t>
      </w:r>
      <w:hyperlink r:id="rId44" w:history="1">
        <w:r>
          <w:rPr>
            <w:rFonts w:eastAsia="Times New Roman"/>
            <w:color w:val="0000FF"/>
            <w:sz w:val="22"/>
            <w:szCs w:val="22"/>
            <w:u w:val="single"/>
            <w:lang w:val="en-GB" w:eastAsia="fr-FR"/>
          </w:rPr>
          <w:t>https://doi.org/10.1016/j.aca.2007.11.018</w:t>
        </w:r>
      </w:hyperlink>
    </w:p>
    <w:p w14:paraId="32157F11" w14:textId="77777777" w:rsidR="00331605" w:rsidRDefault="00240697">
      <w:pPr>
        <w:spacing w:before="100" w:beforeAutospacing="1" w:after="100" w:afterAutospacing="1"/>
        <w:ind w:left="284" w:hanging="426"/>
        <w:jc w:val="left"/>
        <w:rPr>
          <w:rFonts w:eastAsia="Times New Roman"/>
          <w:sz w:val="22"/>
          <w:szCs w:val="22"/>
          <w:lang w:val="fr-FR" w:eastAsia="fr-FR"/>
        </w:rPr>
      </w:pPr>
      <w:r>
        <w:rPr>
          <w:rFonts w:eastAsia="Times New Roman"/>
          <w:b/>
          <w:bCs/>
          <w:sz w:val="22"/>
          <w:szCs w:val="22"/>
          <w:lang w:val="en-GB" w:eastAsia="fr-FR"/>
        </w:rPr>
        <w:t>Zhu, Q., Ji, J., Tang, X., Wang, C., et Sun, H. (2023).</w:t>
      </w:r>
      <w:r>
        <w:rPr>
          <w:rFonts w:eastAsia="Times New Roman"/>
          <w:sz w:val="22"/>
          <w:szCs w:val="22"/>
          <w:lang w:val="en-GB" w:eastAsia="fr-FR"/>
        </w:rPr>
        <w:t xml:space="preserve"> Bioavailability assessment of heavy metals and organic pollutants in water and soil using DGT: A review. </w:t>
      </w:r>
      <w:proofErr w:type="spellStart"/>
      <w:r>
        <w:rPr>
          <w:rFonts w:eastAsia="Times New Roman"/>
          <w:sz w:val="22"/>
          <w:szCs w:val="22"/>
          <w:lang w:val="fr-FR" w:eastAsia="fr-FR"/>
        </w:rPr>
        <w:t>Applied</w:t>
      </w:r>
      <w:proofErr w:type="spellEnd"/>
      <w:r>
        <w:rPr>
          <w:rFonts w:eastAsia="Times New Roman"/>
          <w:sz w:val="22"/>
          <w:szCs w:val="22"/>
          <w:lang w:val="fr-FR" w:eastAsia="fr-FR"/>
        </w:rPr>
        <w:t xml:space="preserve"> Sciences, 13(17), 9760. </w:t>
      </w:r>
      <w:hyperlink r:id="rId45" w:history="1">
        <w:r>
          <w:rPr>
            <w:rFonts w:eastAsia="Times New Roman"/>
            <w:color w:val="0000FF"/>
            <w:sz w:val="22"/>
            <w:szCs w:val="22"/>
            <w:u w:val="single"/>
            <w:lang w:val="fr-FR" w:eastAsia="fr-FR"/>
          </w:rPr>
          <w:t>https://doi.org/10.3390/app13179760</w:t>
        </w:r>
      </w:hyperlink>
    </w:p>
    <w:p w14:paraId="7DB87AC6" w14:textId="77777777" w:rsidR="00331605" w:rsidRDefault="00331605">
      <w:pPr>
        <w:spacing w:line="360" w:lineRule="auto"/>
        <w:rPr>
          <w:rFonts w:eastAsia="Calibri"/>
          <w:sz w:val="24"/>
          <w:szCs w:val="24"/>
          <w:lang w:val="en-GB"/>
        </w:rPr>
      </w:pPr>
    </w:p>
    <w:sectPr w:rsidR="0033160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1D768" w14:textId="77777777" w:rsidR="00240697" w:rsidRDefault="00240697">
      <w:r>
        <w:separator/>
      </w:r>
    </w:p>
  </w:endnote>
  <w:endnote w:type="continuationSeparator" w:id="0">
    <w:p w14:paraId="25DE016E" w14:textId="77777777" w:rsidR="00240697" w:rsidRDefault="0024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FC46" w14:textId="77777777" w:rsidR="00331605" w:rsidRDefault="00331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9A83" w14:textId="77777777" w:rsidR="00331605" w:rsidRDefault="00331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4BA76" w14:textId="77777777" w:rsidR="00331605" w:rsidRDefault="00331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F3178" w14:textId="77777777" w:rsidR="00240697" w:rsidRDefault="00240697">
      <w:r>
        <w:separator/>
      </w:r>
    </w:p>
  </w:footnote>
  <w:footnote w:type="continuationSeparator" w:id="0">
    <w:p w14:paraId="76B64D2A" w14:textId="77777777" w:rsidR="00240697" w:rsidRDefault="00240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697A5" w14:textId="77777777" w:rsidR="00331605" w:rsidRDefault="00634434">
    <w:pPr>
      <w:pStyle w:val="Header"/>
    </w:pPr>
    <w:r>
      <w:rPr>
        <w:noProof/>
      </w:rPr>
      <w:pict w14:anchorId="44B5D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5" o:spid="_x0000_s2050"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F332" w14:textId="77777777" w:rsidR="00331605" w:rsidRDefault="00634434">
    <w:pPr>
      <w:pStyle w:val="Header"/>
    </w:pPr>
    <w:r>
      <w:rPr>
        <w:noProof/>
      </w:rPr>
      <w:pict w14:anchorId="0E4AE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6" o:spid="_x0000_s2051"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BB9F9" w14:textId="77777777" w:rsidR="00331605" w:rsidRDefault="00634434">
    <w:pPr>
      <w:pStyle w:val="Header"/>
    </w:pPr>
    <w:r>
      <w:rPr>
        <w:noProof/>
      </w:rPr>
      <w:pict w14:anchorId="6B3EE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302984" o:spid="_x0000_s2049"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E7B"/>
    <w:multiLevelType w:val="multilevel"/>
    <w:tmpl w:val="928A2EB6"/>
    <w:lvl w:ilvl="0">
      <w:start w:val="1"/>
      <w:numFmt w:val="decimal"/>
      <w:pStyle w:val="Heading1"/>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6435FA"/>
    <w:multiLevelType w:val="multilevel"/>
    <w:tmpl w:val="E736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6154F"/>
    <w:multiLevelType w:val="hybridMultilevel"/>
    <w:tmpl w:val="3DBCA4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947A5"/>
    <w:multiLevelType w:val="multilevel"/>
    <w:tmpl w:val="77A4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82D24"/>
    <w:multiLevelType w:val="hybridMultilevel"/>
    <w:tmpl w:val="DC9844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A77D32"/>
    <w:multiLevelType w:val="multilevel"/>
    <w:tmpl w:val="64C8D7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346E1F"/>
    <w:multiLevelType w:val="hybridMultilevel"/>
    <w:tmpl w:val="D76E22E0"/>
    <w:lvl w:ilvl="0" w:tplc="C1BCF7AA">
      <w:start w:val="1"/>
      <w:numFmt w:val="lowerLetter"/>
      <w:pStyle w:val="Heading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AAB2B0B"/>
    <w:multiLevelType w:val="multilevel"/>
    <w:tmpl w:val="0790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2440B8"/>
    <w:multiLevelType w:val="hybridMultilevel"/>
    <w:tmpl w:val="14CAD2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C1287"/>
    <w:multiLevelType w:val="hybridMultilevel"/>
    <w:tmpl w:val="CD6C4184"/>
    <w:lvl w:ilvl="0" w:tplc="35C656DC">
      <w:start w:val="1"/>
      <w:numFmt w:val="decimal"/>
      <w:pStyle w:val="Heading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4322708"/>
    <w:multiLevelType w:val="hybridMultilevel"/>
    <w:tmpl w:val="1FFC5E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D224D0E"/>
    <w:multiLevelType w:val="hybridMultilevel"/>
    <w:tmpl w:val="CDD61A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E64EC3"/>
    <w:multiLevelType w:val="multilevel"/>
    <w:tmpl w:val="C5A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E6652"/>
    <w:multiLevelType w:val="hybridMultilevel"/>
    <w:tmpl w:val="1D1037E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3"/>
  </w:num>
  <w:num w:numId="4">
    <w:abstractNumId w:val="2"/>
  </w:num>
  <w:num w:numId="5">
    <w:abstractNumId w:val="4"/>
  </w:num>
  <w:num w:numId="6">
    <w:abstractNumId w:val="8"/>
  </w:num>
  <w:num w:numId="7">
    <w:abstractNumId w:val="12"/>
  </w:num>
  <w:num w:numId="8">
    <w:abstractNumId w:val="11"/>
  </w:num>
  <w:num w:numId="9">
    <w:abstractNumId w:val="1"/>
  </w:num>
  <w:num w:numId="10">
    <w:abstractNumId w:val="7"/>
  </w:num>
  <w:num w:numId="11">
    <w:abstractNumId w:val="0"/>
  </w:num>
  <w:num w:numId="12">
    <w:abstractNumId w:val="9"/>
  </w:num>
  <w:num w:numId="13">
    <w:abstractNumId w:val="5"/>
  </w:num>
  <w:num w:numId="14">
    <w:abstractNumId w:val="6"/>
  </w:num>
  <w:num w:numId="15">
    <w:abstractNumId w:val="0"/>
  </w:num>
  <w:num w:numId="16">
    <w:abstractNumId w:val="0"/>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605"/>
    <w:rsid w:val="000C5DC1"/>
    <w:rsid w:val="00240697"/>
    <w:rsid w:val="002F6646"/>
    <w:rsid w:val="00331605"/>
    <w:rsid w:val="00491885"/>
    <w:rsid w:val="00626E9D"/>
    <w:rsid w:val="00634434"/>
    <w:rsid w:val="00772AAE"/>
    <w:rsid w:val="007A1701"/>
    <w:rsid w:val="008D181B"/>
    <w:rsid w:val="00A87055"/>
    <w:rsid w:val="00BC6212"/>
    <w:rsid w:val="00D43C63"/>
    <w:rsid w:val="00E87057"/>
    <w:rsid w:val="00E87309"/>
    <w:rsid w:val="00F154BB"/>
    <w:rsid w:val="00F341F1"/>
    <w:rsid w:val="00F55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017041"/>
  <w15:chartTrackingRefBased/>
  <w15:docId w15:val="{A5C2734D-6C53-4503-949C-EB53CB76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jc w:val="both"/>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uiPriority w:val="9"/>
    <w:qFormat/>
    <w:pPr>
      <w:keepNext/>
      <w:keepLines/>
      <w:numPr>
        <w:numId w:val="11"/>
      </w:numPr>
      <w:spacing w:before="360" w:after="80"/>
      <w:outlineLvl w:val="0"/>
    </w:pPr>
    <w:rPr>
      <w:rFonts w:eastAsiaTheme="majorEastAsia" w:cstheme="majorBidi"/>
      <w:color w:val="000000" w:themeColor="text1"/>
      <w:sz w:val="24"/>
      <w:szCs w:val="40"/>
    </w:rPr>
  </w:style>
  <w:style w:type="paragraph" w:styleId="Heading2">
    <w:name w:val="heading 2"/>
    <w:basedOn w:val="Normal"/>
    <w:next w:val="Normal"/>
    <w:link w:val="Heading2Char"/>
    <w:uiPriority w:val="9"/>
    <w:unhideWhenUsed/>
    <w:qFormat/>
    <w:pPr>
      <w:keepNext/>
      <w:keepLines/>
      <w:numPr>
        <w:numId w:val="12"/>
      </w:numPr>
      <w:spacing w:before="160" w:after="80"/>
      <w:outlineLvl w:val="1"/>
    </w:pPr>
    <w:rPr>
      <w:rFonts w:eastAsiaTheme="majorEastAsia" w:cstheme="majorBidi"/>
      <w:color w:val="000000" w:themeColor="text1"/>
      <w:sz w:val="24"/>
      <w:szCs w:val="32"/>
    </w:rPr>
  </w:style>
  <w:style w:type="paragraph" w:styleId="Heading3">
    <w:name w:val="heading 3"/>
    <w:basedOn w:val="Normal"/>
    <w:next w:val="Normal"/>
    <w:link w:val="Heading3Char"/>
    <w:uiPriority w:val="9"/>
    <w:unhideWhenUsed/>
    <w:qFormat/>
    <w:pPr>
      <w:keepNext/>
      <w:keepLines/>
      <w:numPr>
        <w:numId w:val="14"/>
      </w:numPr>
      <w:spacing w:before="160" w:after="80"/>
      <w:outlineLvl w:val="2"/>
    </w:pPr>
    <w:rPr>
      <w:rFonts w:eastAsiaTheme="majorEastAsia" w:cstheme="majorBidi"/>
      <w:color w:val="000000" w:themeColor="text1"/>
      <w:sz w:val="24"/>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heme="majorBidi"/>
      <w:color w:val="000000" w:themeColor="text1"/>
      <w:kern w:val="0"/>
      <w:sz w:val="24"/>
      <w:szCs w:val="40"/>
      <w:lang w:val="en-US"/>
      <w14:ligatures w14:val="none"/>
    </w:rPr>
  </w:style>
  <w:style w:type="character" w:customStyle="1" w:styleId="Heading2Char">
    <w:name w:val="Heading 2 Char"/>
    <w:basedOn w:val="DefaultParagraphFont"/>
    <w:link w:val="Heading2"/>
    <w:uiPriority w:val="9"/>
    <w:rPr>
      <w:rFonts w:ascii="Times New Roman" w:eastAsiaTheme="majorEastAsia" w:hAnsi="Times New Roman" w:cstheme="majorBidi"/>
      <w:color w:val="000000" w:themeColor="text1"/>
      <w:kern w:val="0"/>
      <w:sz w:val="24"/>
      <w:szCs w:val="32"/>
      <w:lang w:val="en-US"/>
      <w14:ligatures w14:val="none"/>
    </w:rPr>
  </w:style>
  <w:style w:type="character" w:customStyle="1" w:styleId="Heading3Char">
    <w:name w:val="Heading 3 Char"/>
    <w:basedOn w:val="DefaultParagraphFont"/>
    <w:link w:val="Heading3"/>
    <w:uiPriority w:val="9"/>
    <w:rPr>
      <w:rFonts w:ascii="Times New Roman" w:eastAsiaTheme="majorEastAsia" w:hAnsi="Times New Roman" w:cstheme="majorBidi"/>
      <w:color w:val="000000" w:themeColor="text1"/>
      <w:kern w:val="0"/>
      <w:sz w:val="24"/>
      <w:szCs w:val="28"/>
      <w:lang w:val="en-US"/>
      <w14:ligatures w14:val="none"/>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qFormat/>
    <w:rPr>
      <w:color w:val="0000FF"/>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pPr>
      <w:spacing w:after="200"/>
      <w:jc w:val="left"/>
    </w:pPr>
    <w:rPr>
      <w:rFonts w:ascii="Calibri" w:eastAsia="Calibri" w:hAnsi="Calibri"/>
      <w:i/>
      <w:iCs/>
      <w:color w:val="44546A" w:themeColor="text2"/>
      <w:sz w:val="18"/>
      <w:szCs w:val="18"/>
      <w:lang w:val="fr-FR"/>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SimSun" w:hAnsi="Times New Roman" w:cs="Times New Roman"/>
      <w:kern w:val="0"/>
      <w:sz w:val="20"/>
      <w:szCs w:val="20"/>
      <w:lang w:val="en-US"/>
      <w14:ligatures w14:val="none"/>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SimSun" w:hAnsi="Times New Roman" w:cs="Times New Roman"/>
      <w:kern w:val="0"/>
      <w:sz w:val="20"/>
      <w:szCs w:val="20"/>
      <w:lang w:val="en-US"/>
      <w14:ligatures w14:val="none"/>
    </w:rPr>
  </w:style>
  <w:style w:type="paragraph" w:styleId="NormalWeb">
    <w:name w:val="Normal (Web)"/>
    <w:basedOn w:val="Normal"/>
    <w:uiPriority w:val="99"/>
    <w:unhideWhenUsed/>
    <w:pPr>
      <w:spacing w:before="100" w:beforeAutospacing="1" w:after="100" w:afterAutospacing="1"/>
      <w:jc w:val="left"/>
    </w:pPr>
    <w:rPr>
      <w:rFonts w:eastAsia="Times New Roman"/>
      <w:sz w:val="24"/>
      <w:szCs w:val="24"/>
      <w:lang w:val="fr-FR" w:eastAsia="fr-FR"/>
    </w:rPr>
  </w:style>
  <w:style w:type="character" w:customStyle="1" w:styleId="whitespace-normal">
    <w:name w:val="whitespace-normal"/>
    <w:basedOn w:val="DefaultParagraphFont"/>
  </w:style>
  <w:style w:type="character" w:styleId="Strong">
    <w:name w:val="Strong"/>
    <w:basedOn w:val="DefaultParagraphFont"/>
    <w:uiPriority w:val="22"/>
    <w:qFormat/>
    <w:rPr>
      <w:b/>
      <w:bCs/>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 w:type="paragraph" w:styleId="NoSpacing">
    <w:name w:val="No Spacing"/>
    <w:uiPriority w:val="1"/>
    <w:qFormat/>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doi.org/10.1016/j.biortech.2008.11.027" TargetMode="External"/><Relationship Id="rId26" Type="http://schemas.openxmlformats.org/officeDocument/2006/relationships/hyperlink" Target="https://doi.org/10.1007/s11356-024-33698-9" TargetMode="External"/><Relationship Id="rId39" Type="http://schemas.openxmlformats.org/officeDocument/2006/relationships/hyperlink" Target="https://doi.org/10.1016/j.jes.2015.10.017" TargetMode="External"/><Relationship Id="rId21" Type="http://schemas.openxmlformats.org/officeDocument/2006/relationships/hyperlink" Target="https://doi.org/10.1080/10643380701413633" TargetMode="External"/><Relationship Id="rId34" Type="http://schemas.openxmlformats.org/officeDocument/2006/relationships/hyperlink" Target="https://doi.org/10.1016/S0032-9592(01)00274-6" TargetMode="External"/><Relationship Id="rId42" Type="http://schemas.openxmlformats.org/officeDocument/2006/relationships/hyperlink" Target="https://doi.org/10.1016/j.wasman.2022.06.03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10499072" TargetMode="External"/><Relationship Id="rId29" Type="http://schemas.openxmlformats.org/officeDocument/2006/relationships/hyperlink" Target="https://doi.org/10.1080/152265108019139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doi.org/10.1016/j.jenvman.2016.08.051" TargetMode="External"/><Relationship Id="rId32" Type="http://schemas.openxmlformats.org/officeDocument/2006/relationships/hyperlink" Target="https://doi.org/10.1016/j.chemosphere.2010.08.034" TargetMode="External"/><Relationship Id="rId37" Type="http://schemas.openxmlformats.org/officeDocument/2006/relationships/hyperlink" Target="https://doi.org/10.3390/ijms14047370" TargetMode="External"/><Relationship Id="rId40" Type="http://schemas.openxmlformats.org/officeDocument/2006/relationships/hyperlink" Target="https://doi.org/10.1016/j.wasman.2014.05.023" TargetMode="External"/><Relationship Id="rId45" Type="http://schemas.openxmlformats.org/officeDocument/2006/relationships/hyperlink" Target="https://doi.org/10.3390/app13179760"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1016/j.taap.2009.05.004" TargetMode="External"/><Relationship Id="rId28" Type="http://schemas.openxmlformats.org/officeDocument/2006/relationships/hyperlink" Target="https://doi.org/10.1016/j.gexplo.2016.11.022" TargetMode="External"/><Relationship Id="rId36" Type="http://schemas.openxmlformats.org/officeDocument/2006/relationships/hyperlink" Target="https://doi.org/10.1111/j.1365-2427.2009.02294.x" TargetMode="External"/><Relationship Id="rId10" Type="http://schemas.openxmlformats.org/officeDocument/2006/relationships/header" Target="header1.xml"/><Relationship Id="rId19" Type="http://schemas.openxmlformats.org/officeDocument/2006/relationships/hyperlink" Target="https://doi.org/10.1021/es303310t" TargetMode="External"/><Relationship Id="rId31" Type="http://schemas.openxmlformats.org/officeDocument/2006/relationships/hyperlink" Target="https://doi.org/10.1016/j.jenvman.2015.08.018" TargetMode="External"/><Relationship Id="rId44" Type="http://schemas.openxmlformats.org/officeDocument/2006/relationships/hyperlink" Target="https://doi.org/10.1016/j.aca.2007.11.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doi.org/10.1016/j.envpol.2004.02.013" TargetMode="External"/><Relationship Id="rId27" Type="http://schemas.openxmlformats.org/officeDocument/2006/relationships/hyperlink" Target="https://doi.org/10.1016/j.taap.2009.03.015" TargetMode="External"/><Relationship Id="rId30" Type="http://schemas.openxmlformats.org/officeDocument/2006/relationships/hyperlink" Target="https://doi.org/10.1016/j.energy.2016.06.026" TargetMode="External"/><Relationship Id="rId35" Type="http://schemas.openxmlformats.org/officeDocument/2006/relationships/hyperlink" Target="https://doi.org/10.1080/20016491089226" TargetMode="External"/><Relationship Id="rId43" Type="http://schemas.openxmlformats.org/officeDocument/2006/relationships/hyperlink" Target="https://doi.org/10.1016/j.ibiod.2017.01.023"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oi.org/10.1175/JAM2553.1" TargetMode="External"/><Relationship Id="rId25" Type="http://schemas.openxmlformats.org/officeDocument/2006/relationships/hyperlink" Target="https://doi.org/10.1016/j.chemosphere.2006.03.008" TargetMode="External"/><Relationship Id="rId33" Type="http://schemas.openxmlformats.org/officeDocument/2006/relationships/hyperlink" Target="https://doi.org/10.1155/2011/939161" TargetMode="External"/><Relationship Id="rId38" Type="http://schemas.openxmlformats.org/officeDocument/2006/relationships/hyperlink" Target="https://doi.org/10.1016/j.biortech.2013.12.022" TargetMode="External"/><Relationship Id="rId46" Type="http://schemas.openxmlformats.org/officeDocument/2006/relationships/fontTable" Target="fontTable.xml"/><Relationship Id="rId20" Type="http://schemas.openxmlformats.org/officeDocument/2006/relationships/hyperlink" Target="https://doi.org/10.1080/15226514.2019.1566885" TargetMode="External"/><Relationship Id="rId41" Type="http://schemas.openxmlformats.org/officeDocument/2006/relationships/hyperlink" Target="https://doi.org/10.1016/j.biortech.2014.08.07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EFE8F-120F-4BEA-BADA-7CAB8148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18</Pages>
  <Words>6408</Words>
  <Characters>36531</Characters>
  <Application>Microsoft Office Word</Application>
  <DocSecurity>0</DocSecurity>
  <Lines>304</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Henoc Yao F. AMENUTI</dc:creator>
  <cp:keywords/>
  <dc:description/>
  <cp:lastModifiedBy>Editor-1183</cp:lastModifiedBy>
  <cp:revision>153</cp:revision>
  <cp:lastPrinted>2026-02-28T15:39:00Z</cp:lastPrinted>
  <dcterms:created xsi:type="dcterms:W3CDTF">2026-02-28T08:58:00Z</dcterms:created>
  <dcterms:modified xsi:type="dcterms:W3CDTF">2026-03-07T06:59:00Z</dcterms:modified>
</cp:coreProperties>
</file>