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B8E7A" w14:textId="60940AB8" w:rsidR="00483753" w:rsidRDefault="00483753" w:rsidP="00BB1EBC">
      <w:pPr>
        <w:spacing w:before="100" w:beforeAutospacing="1" w:after="100" w:afterAutospacing="1" w:line="360" w:lineRule="auto"/>
        <w:jc w:val="center"/>
        <w:rPr>
          <w:rFonts w:ascii="Times New Roman" w:eastAsia="Times New Roman" w:hAnsi="Times New Roman" w:cs="Times New Roman"/>
          <w:b/>
          <w:bCs/>
          <w:sz w:val="36"/>
          <w:szCs w:val="36"/>
          <w:lang w:eastAsia="en-IN"/>
        </w:rPr>
      </w:pPr>
      <w:r w:rsidRPr="00A32C46">
        <w:rPr>
          <w:rFonts w:ascii="Times New Roman" w:eastAsia="Times New Roman" w:hAnsi="Times New Roman" w:cs="Times New Roman"/>
          <w:b/>
          <w:bCs/>
          <w:sz w:val="36"/>
          <w:szCs w:val="36"/>
          <w:lang w:eastAsia="en-IN"/>
        </w:rPr>
        <w:t xml:space="preserve">Machine Learning Approaches for Predicting Trophic Status in </w:t>
      </w:r>
      <w:proofErr w:type="spellStart"/>
      <w:r w:rsidRPr="00A32C46">
        <w:rPr>
          <w:rFonts w:ascii="Times New Roman" w:eastAsia="Times New Roman" w:hAnsi="Times New Roman" w:cs="Times New Roman"/>
          <w:b/>
          <w:bCs/>
          <w:sz w:val="36"/>
          <w:szCs w:val="36"/>
          <w:lang w:eastAsia="en-IN"/>
        </w:rPr>
        <w:t>Kotpally</w:t>
      </w:r>
      <w:proofErr w:type="spellEnd"/>
      <w:r w:rsidRPr="00A32C46">
        <w:rPr>
          <w:rFonts w:ascii="Times New Roman" w:eastAsia="Times New Roman" w:hAnsi="Times New Roman" w:cs="Times New Roman"/>
          <w:b/>
          <w:bCs/>
          <w:sz w:val="36"/>
          <w:szCs w:val="36"/>
          <w:lang w:eastAsia="en-IN"/>
        </w:rPr>
        <w:t xml:space="preserve"> Reservoir, Telangana Using Limnological and Phytoplankton Indicators</w:t>
      </w:r>
    </w:p>
    <w:p w14:paraId="2C19C3F4" w14:textId="273FA793" w:rsidR="00FE0758" w:rsidRPr="00FE0758" w:rsidRDefault="00FE0758" w:rsidP="00FE0758">
      <w:pPr>
        <w:spacing w:before="100" w:beforeAutospacing="1" w:after="100" w:afterAutospacing="1" w:line="360" w:lineRule="auto"/>
        <w:rPr>
          <w:rFonts w:ascii="Times New Roman" w:eastAsia="Times New Roman" w:hAnsi="Times New Roman" w:cs="Times New Roman"/>
          <w:b/>
          <w:bCs/>
          <w:sz w:val="24"/>
          <w:szCs w:val="24"/>
          <w:lang w:eastAsia="en-IN"/>
        </w:rPr>
      </w:pPr>
      <w:r w:rsidRPr="00FE0758">
        <w:rPr>
          <w:rFonts w:ascii="Times New Roman" w:eastAsia="Times New Roman" w:hAnsi="Times New Roman" w:cs="Times New Roman"/>
          <w:b/>
          <w:bCs/>
          <w:sz w:val="24"/>
          <w:szCs w:val="24"/>
          <w:lang w:eastAsia="en-IN"/>
        </w:rPr>
        <w:t>Abstract</w:t>
      </w:r>
    </w:p>
    <w:p w14:paraId="2900DAF0" w14:textId="0FC44190" w:rsidR="00F67157" w:rsidRDefault="00FE0758" w:rsidP="00FE0758">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E0758">
        <w:rPr>
          <w:rFonts w:ascii="Times New Roman" w:eastAsia="Times New Roman" w:hAnsi="Times New Roman" w:cs="Times New Roman"/>
          <w:sz w:val="24"/>
          <w:szCs w:val="24"/>
          <w:lang w:eastAsia="en-IN"/>
        </w:rPr>
        <w:t xml:space="preserve">Freshwater reservoirs in semi-arid Telangana are critical for irrigation, domestic use, fisheries, and ecosystem services, yet are increasingly threatened by nutrient enrichment from agricultural runoff and other watershed inputs that can accelerate eutrophication and degrade water quality. This study assessed the trophic status of </w:t>
      </w:r>
      <w:proofErr w:type="spellStart"/>
      <w:r w:rsidRPr="00FE0758">
        <w:rPr>
          <w:rFonts w:ascii="Times New Roman" w:eastAsia="Times New Roman" w:hAnsi="Times New Roman" w:cs="Times New Roman"/>
          <w:sz w:val="24"/>
          <w:szCs w:val="24"/>
          <w:lang w:eastAsia="en-IN"/>
        </w:rPr>
        <w:t>Kotpally</w:t>
      </w:r>
      <w:proofErr w:type="spellEnd"/>
      <w:r w:rsidRPr="00FE0758">
        <w:rPr>
          <w:rFonts w:ascii="Times New Roman" w:eastAsia="Times New Roman" w:hAnsi="Times New Roman" w:cs="Times New Roman"/>
          <w:sz w:val="24"/>
          <w:szCs w:val="24"/>
          <w:lang w:eastAsia="en-IN"/>
        </w:rPr>
        <w:t xml:space="preserve"> Reservoir (</w:t>
      </w:r>
      <w:proofErr w:type="spellStart"/>
      <w:r w:rsidRPr="00FE0758">
        <w:rPr>
          <w:rFonts w:ascii="Times New Roman" w:eastAsia="Times New Roman" w:hAnsi="Times New Roman" w:cs="Times New Roman"/>
          <w:sz w:val="24"/>
          <w:szCs w:val="24"/>
          <w:lang w:eastAsia="en-IN"/>
        </w:rPr>
        <w:t>Vikarabad</w:t>
      </w:r>
      <w:proofErr w:type="spellEnd"/>
      <w:r w:rsidRPr="00FE0758">
        <w:rPr>
          <w:rFonts w:ascii="Times New Roman" w:eastAsia="Times New Roman" w:hAnsi="Times New Roman" w:cs="Times New Roman"/>
          <w:sz w:val="24"/>
          <w:szCs w:val="24"/>
          <w:lang w:eastAsia="en-IN"/>
        </w:rPr>
        <w:t xml:space="preserve"> District; ~70 km west of Hyderabad) by integrating limnological measurements with phytoplankton indicators and by developing supervised machine learning models to predict trophic categories. Water was sampled monthly for one year at five stations</w:t>
      </w:r>
      <w:r w:rsidR="00E453F5">
        <w:rPr>
          <w:rFonts w:ascii="Times New Roman" w:eastAsia="Times New Roman" w:hAnsi="Times New Roman" w:cs="Times New Roman"/>
          <w:sz w:val="24"/>
          <w:szCs w:val="24"/>
          <w:lang w:eastAsia="en-IN"/>
        </w:rPr>
        <w:t xml:space="preserve"> </w:t>
      </w:r>
      <w:r w:rsidR="00E453F5">
        <w:rPr>
          <w:rStyle w:val="bzpyqfadein"/>
        </w:rPr>
        <w:t xml:space="preserve">and key physicochemical parameters and phytoplankton diversity were </w:t>
      </w:r>
      <w:proofErr w:type="spellStart"/>
      <w:r w:rsidR="00E453F5">
        <w:rPr>
          <w:rStyle w:val="bzpyqfadein"/>
        </w:rPr>
        <w:t>analyzed</w:t>
      </w:r>
      <w:proofErr w:type="spellEnd"/>
      <w:r w:rsidR="00E453F5">
        <w:rPr>
          <w:rStyle w:val="bzpyqfadein"/>
        </w:rPr>
        <w:t xml:space="preserve"> using standard methods</w:t>
      </w:r>
      <w:r w:rsidR="002C6677">
        <w:rPr>
          <w:rStyle w:val="bzpyqfadein"/>
        </w:rPr>
        <w:t>,</w:t>
      </w:r>
      <w:r w:rsidRPr="00FE0758">
        <w:rPr>
          <w:rFonts w:ascii="Times New Roman" w:eastAsia="Times New Roman" w:hAnsi="Times New Roman" w:cs="Times New Roman"/>
          <w:sz w:val="24"/>
          <w:szCs w:val="24"/>
          <w:lang w:eastAsia="en-IN"/>
        </w:rPr>
        <w:t xml:space="preserve"> representing key ecological zones, with field measurements (temperature, pH, dissolved oxygen) and laboratory analyses following standard methods; phytoplankton were collected using a 25 µm net, preserved in 4% formalin, identified microscopically (400×) and enumerated using a Sedgwick–Rafter chamber, and community structure quantified using Shannon diversity, evenness, and richness indices. Trophic status was determined using Carlson’s chlorophyll-a–based Trophic State Index (TSI), and predictive models (Random Forest, Support Vector Machine, Artificial Neural Network) were trained on normalized, quality-controlled data with feature selection emphasizing temperature, dissolved oxygen, nitrate, phosphate, chlorophyll-a, and diversity indices, and evaluated using accuracy and related classification metrics. Seasonal dynamics were pronounced: summer temperatures peaked at ~34°C with concomitantly reduced dissolved oxygen, while monsoon conditions produced the highest nitrate and phosphate concentrations, consistent with runoff-driven loading. Forty-five phytoplankton species across five classes were recorded, dominated by Chlorophyceae and Bacillariophyceae, with increased </w:t>
      </w:r>
      <w:proofErr w:type="spellStart"/>
      <w:r w:rsidRPr="00FE0758">
        <w:rPr>
          <w:rFonts w:ascii="Times New Roman" w:eastAsia="Times New Roman" w:hAnsi="Times New Roman" w:cs="Times New Roman"/>
          <w:sz w:val="24"/>
          <w:szCs w:val="24"/>
          <w:lang w:eastAsia="en-IN"/>
        </w:rPr>
        <w:t>Cyanophyceae</w:t>
      </w:r>
      <w:proofErr w:type="spellEnd"/>
      <w:r w:rsidRPr="00FE0758">
        <w:rPr>
          <w:rFonts w:ascii="Times New Roman" w:eastAsia="Times New Roman" w:hAnsi="Times New Roman" w:cs="Times New Roman"/>
          <w:sz w:val="24"/>
          <w:szCs w:val="24"/>
          <w:lang w:eastAsia="en-IN"/>
        </w:rPr>
        <w:t xml:space="preserve"> abundance during the nutrient-rich monsoon, indicating incipient eutrophic tendencies. TSI results placed the reservoir overall in the mesotrophic-to-eutrophic range, with higher productivity in summer and monsoon. Among models, Random Forest achieved the best performance (92% accuracy) and identified chlorophyll-a as the most influential predictor, supporting integrated, data-driven early-warning and management strategies focused on nutrient-input control and sustained ecological monitoring.</w:t>
      </w:r>
    </w:p>
    <w:p w14:paraId="7D6BCD6A" w14:textId="3487641A" w:rsidR="00483753" w:rsidRPr="00F67157" w:rsidRDefault="00F67157" w:rsidP="00BB1EBC">
      <w:pPr>
        <w:pStyle w:val="Heading2"/>
        <w:spacing w:line="360" w:lineRule="auto"/>
        <w:jc w:val="both"/>
        <w:rPr>
          <w:b w:val="0"/>
          <w:bCs w:val="0"/>
          <w:sz w:val="24"/>
          <w:szCs w:val="24"/>
        </w:rPr>
      </w:pPr>
      <w:r w:rsidRPr="00F67157">
        <w:rPr>
          <w:sz w:val="24"/>
          <w:szCs w:val="24"/>
        </w:rPr>
        <w:lastRenderedPageBreak/>
        <w:t>Keywords:</w:t>
      </w:r>
      <w:r w:rsidRPr="00F67157">
        <w:rPr>
          <w:b w:val="0"/>
          <w:bCs w:val="0"/>
          <w:sz w:val="24"/>
          <w:szCs w:val="24"/>
        </w:rPr>
        <w:t xml:space="preserve"> </w:t>
      </w:r>
      <w:r w:rsidRPr="00A32C46">
        <w:rPr>
          <w:b w:val="0"/>
          <w:bCs w:val="0"/>
          <w:sz w:val="24"/>
          <w:szCs w:val="24"/>
        </w:rPr>
        <w:t>Machine Learning</w:t>
      </w:r>
      <w:r w:rsidRPr="00F67157">
        <w:rPr>
          <w:b w:val="0"/>
          <w:bCs w:val="0"/>
          <w:sz w:val="24"/>
          <w:szCs w:val="24"/>
        </w:rPr>
        <w:t xml:space="preserve">, </w:t>
      </w:r>
      <w:r w:rsidRPr="00A32C46">
        <w:rPr>
          <w:b w:val="0"/>
          <w:bCs w:val="0"/>
          <w:sz w:val="24"/>
          <w:szCs w:val="24"/>
        </w:rPr>
        <w:t>Trophic Status</w:t>
      </w:r>
      <w:r w:rsidRPr="00F67157">
        <w:rPr>
          <w:b w:val="0"/>
          <w:bCs w:val="0"/>
          <w:sz w:val="24"/>
          <w:szCs w:val="24"/>
        </w:rPr>
        <w:t xml:space="preserve">, </w:t>
      </w:r>
      <w:r w:rsidRPr="00A32C46">
        <w:rPr>
          <w:b w:val="0"/>
          <w:bCs w:val="0"/>
          <w:sz w:val="24"/>
          <w:szCs w:val="24"/>
        </w:rPr>
        <w:t>Limnology</w:t>
      </w:r>
      <w:r w:rsidRPr="00F67157">
        <w:rPr>
          <w:b w:val="0"/>
          <w:bCs w:val="0"/>
          <w:sz w:val="24"/>
          <w:szCs w:val="24"/>
        </w:rPr>
        <w:t xml:space="preserve">, </w:t>
      </w:r>
      <w:r w:rsidRPr="00A32C46">
        <w:rPr>
          <w:b w:val="0"/>
          <w:bCs w:val="0"/>
          <w:sz w:val="24"/>
          <w:szCs w:val="24"/>
        </w:rPr>
        <w:t>Phytoplankton Diversity</w:t>
      </w:r>
      <w:r w:rsidRPr="00F67157">
        <w:rPr>
          <w:b w:val="0"/>
          <w:bCs w:val="0"/>
          <w:sz w:val="24"/>
          <w:szCs w:val="24"/>
        </w:rPr>
        <w:t xml:space="preserve">, </w:t>
      </w:r>
      <w:r w:rsidRPr="00A32C46">
        <w:rPr>
          <w:b w:val="0"/>
          <w:bCs w:val="0"/>
          <w:sz w:val="24"/>
          <w:szCs w:val="24"/>
        </w:rPr>
        <w:t>Water Quality Prediction</w:t>
      </w:r>
      <w:r w:rsidRPr="00F67157">
        <w:rPr>
          <w:b w:val="0"/>
          <w:bCs w:val="0"/>
          <w:sz w:val="24"/>
          <w:szCs w:val="24"/>
        </w:rPr>
        <w:t xml:space="preserve">, </w:t>
      </w:r>
      <w:r w:rsidRPr="00A32C46">
        <w:rPr>
          <w:b w:val="0"/>
          <w:bCs w:val="0"/>
          <w:sz w:val="24"/>
          <w:szCs w:val="24"/>
        </w:rPr>
        <w:t>Reservoir Ecology</w:t>
      </w:r>
    </w:p>
    <w:p w14:paraId="42F18BC2" w14:textId="49B84CE0" w:rsidR="0085737D" w:rsidRPr="00854266" w:rsidRDefault="0085737D" w:rsidP="00BB1EBC">
      <w:pPr>
        <w:pStyle w:val="ListParagraph"/>
        <w:numPr>
          <w:ilvl w:val="0"/>
          <w:numId w:val="20"/>
        </w:num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en-IN"/>
        </w:rPr>
      </w:pPr>
      <w:r w:rsidRPr="00854266">
        <w:rPr>
          <w:rFonts w:ascii="Times New Roman" w:eastAsia="Times New Roman" w:hAnsi="Times New Roman" w:cs="Times New Roman"/>
          <w:b/>
          <w:bCs/>
          <w:kern w:val="36"/>
          <w:sz w:val="24"/>
          <w:szCs w:val="24"/>
          <w:lang w:eastAsia="en-IN"/>
        </w:rPr>
        <w:t>Introduction</w:t>
      </w:r>
    </w:p>
    <w:p w14:paraId="478B56EF" w14:textId="4F20C3D5" w:rsidR="0085737D" w:rsidRPr="009570C3" w:rsidRDefault="0085737D" w:rsidP="00BB1EBC">
      <w:pPr>
        <w:pStyle w:val="ListParagraph"/>
        <w:numPr>
          <w:ilvl w:val="1"/>
          <w:numId w:val="20"/>
        </w:num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9570C3">
        <w:rPr>
          <w:rFonts w:ascii="Times New Roman" w:eastAsia="Times New Roman" w:hAnsi="Times New Roman" w:cs="Times New Roman"/>
          <w:b/>
          <w:bCs/>
          <w:sz w:val="24"/>
          <w:szCs w:val="24"/>
          <w:lang w:eastAsia="en-IN"/>
        </w:rPr>
        <w:t>Background</w:t>
      </w:r>
    </w:p>
    <w:p w14:paraId="4792F746" w14:textId="77777777" w:rsidR="0085737D" w:rsidRPr="0085737D" w:rsidRDefault="0085737D"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85737D">
        <w:rPr>
          <w:rFonts w:ascii="Times New Roman" w:eastAsia="Times New Roman" w:hAnsi="Times New Roman" w:cs="Times New Roman"/>
          <w:b/>
          <w:bCs/>
          <w:sz w:val="24"/>
          <w:szCs w:val="24"/>
          <w:lang w:eastAsia="en-IN"/>
        </w:rPr>
        <w:t>Importance of Freshwater Reservoirs</w:t>
      </w:r>
    </w:p>
    <w:p w14:paraId="6C251A35" w14:textId="77777777" w:rsidR="0085737D" w:rsidRPr="0085737D" w:rsidRDefault="0085737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Freshwater reservoirs play a crucial role in sustaining human populations and maintaining ecological balance. These artificial or natural water bodies store large volumes of water and are widely used for irrigation, drinking water supply, hydroelectric power generation, fisheries, and recreational activities. In semi-arid regions such as Telangana, India, reservoirs are particularly important because rainfall is seasonal and unevenly distributed. As a result, reservoirs act as strategic water storage systems that support agriculture and rural livelihoods during dry periods (Wetzel, 2001).</w:t>
      </w:r>
    </w:p>
    <w:p w14:paraId="666B6507" w14:textId="77777777" w:rsidR="0085737D" w:rsidRPr="0085737D" w:rsidRDefault="0085737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Reservoir ecosystems also provide habitat for diverse aquatic organisms, including phytoplankton, zooplankton, fish, and aquatic macrophytes. These organisms form complex food webs that support fisheries and biodiversity. However, rapid population growth, urbanization, and agricultural intensification have placed increasing pressure on freshwater resources. Nutrient enrichment from agricultural runoff, domestic sewage, and industrial discharges often leads to deterioration of water quality in reservoirs (Smith &amp; Schindler, 2009). Therefore, continuous monitoring and management of reservoir ecosystems are essential to ensure sustainable water resource utilization.</w:t>
      </w:r>
    </w:p>
    <w:p w14:paraId="410FAE76" w14:textId="77777777" w:rsidR="0085737D" w:rsidRPr="0085737D" w:rsidRDefault="0085737D"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85737D">
        <w:rPr>
          <w:rFonts w:ascii="Times New Roman" w:eastAsia="Times New Roman" w:hAnsi="Times New Roman" w:cs="Times New Roman"/>
          <w:b/>
          <w:bCs/>
          <w:sz w:val="24"/>
          <w:szCs w:val="24"/>
          <w:lang w:eastAsia="en-IN"/>
        </w:rPr>
        <w:t>Role of Limnological Parameters in Water Quality Assessment</w:t>
      </w:r>
    </w:p>
    <w:p w14:paraId="11A4B472" w14:textId="77777777" w:rsidR="0085737D" w:rsidRPr="0085737D" w:rsidRDefault="0085737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Limnological parameters refer to the physical, chemical, and biological characteristics of inland water bodies. These parameters are fundamental indicators used to evaluate the ecological health and water quality of lakes and reservoirs. Physical parameters such as temperature and turbidity influence water stratification and light penetration, which in turn affect biological productivity. Chemical parameters including pH, dissolved oxygen (DO), biological oxygen demand (BOD), nitrates, and phosphates provide information about nutrient availability and pollution levels in aquatic ecosystems (</w:t>
      </w:r>
      <w:proofErr w:type="spellStart"/>
      <w:r w:rsidRPr="0085737D">
        <w:rPr>
          <w:rFonts w:ascii="Times New Roman" w:eastAsia="Times New Roman" w:hAnsi="Times New Roman" w:cs="Times New Roman"/>
          <w:sz w:val="24"/>
          <w:szCs w:val="24"/>
          <w:lang w:eastAsia="en-IN"/>
        </w:rPr>
        <w:t>Chapra</w:t>
      </w:r>
      <w:proofErr w:type="spellEnd"/>
      <w:r w:rsidRPr="0085737D">
        <w:rPr>
          <w:rFonts w:ascii="Times New Roman" w:eastAsia="Times New Roman" w:hAnsi="Times New Roman" w:cs="Times New Roman"/>
          <w:sz w:val="24"/>
          <w:szCs w:val="24"/>
          <w:lang w:eastAsia="en-IN"/>
        </w:rPr>
        <w:t>, 2008).</w:t>
      </w:r>
    </w:p>
    <w:p w14:paraId="76AB2924" w14:textId="77777777" w:rsidR="0085737D" w:rsidRPr="0085737D" w:rsidRDefault="0085737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lastRenderedPageBreak/>
        <w:t>Dissolved oxygen is particularly important for aquatic life because it determines the survival and metabolic activity of fish and other organisms. Low oxygen levels may indicate high organic pollution or excessive biological respiration. Nutrient concentrations, especially nitrogen and phosphorus, are critical factors controlling primary productivity in aquatic systems. Monitoring these parameters helps researchers understand seasonal variations, identify pollution sources, and evaluate the overall ecological condition of reservoirs.</w:t>
      </w:r>
    </w:p>
    <w:p w14:paraId="1F563EF8" w14:textId="77777777" w:rsidR="0085737D" w:rsidRPr="0085737D" w:rsidRDefault="0085737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Limnological assessments are therefore widely used in environmental monitoring programs to track changes in water quality and to support the development of effective management strategies for freshwater ecosystems.</w:t>
      </w:r>
    </w:p>
    <w:p w14:paraId="4ABA715B" w14:textId="77777777" w:rsidR="0085737D" w:rsidRPr="0085737D" w:rsidRDefault="0085737D"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85737D">
        <w:rPr>
          <w:rFonts w:ascii="Times New Roman" w:eastAsia="Times New Roman" w:hAnsi="Times New Roman" w:cs="Times New Roman"/>
          <w:b/>
          <w:bCs/>
          <w:sz w:val="24"/>
          <w:szCs w:val="24"/>
          <w:lang w:eastAsia="en-IN"/>
        </w:rPr>
        <w:t>Eutrophication and Trophic Classification</w:t>
      </w:r>
    </w:p>
    <w:p w14:paraId="6D9B91EA" w14:textId="77777777" w:rsidR="0085737D" w:rsidRPr="0085737D" w:rsidRDefault="0085737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Eutrophication is a natural process in which water bodies gradually accumulate nutrients over time, resulting in increased biological productivity. However, human activities have accelerated this process, leading to excessive nutrient enrichment in many lakes and reservoirs worldwide. Anthropogenic eutrophication is primarily caused by the input of nitrogen and phosphorus from agricultural fertilizers, wastewater discharge, and urban runoff (Smith &amp; Schindler, 2009).</w:t>
      </w:r>
    </w:p>
    <w:p w14:paraId="0439A065" w14:textId="77777777" w:rsidR="0085737D" w:rsidRPr="0085737D" w:rsidRDefault="0085737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Excess nutrients stimulate rapid growth of phytoplankton and aquatic plants, often resulting in algal blooms. These blooms can reduce water transparency, alter aquatic food webs, and cause oxygen depletion when organic matter decomposes. Severe eutrophication can lead to hypoxic or anoxic conditions that threaten aquatic biodiversity and water usability.</w:t>
      </w:r>
    </w:p>
    <w:p w14:paraId="31CAE2D6" w14:textId="77777777" w:rsidR="0085737D" w:rsidRPr="0085737D" w:rsidRDefault="0085737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To evaluate the productivity level of water bodies, limnologists classify lakes and reservoirs into trophic categories. The main trophic classifications include oligotrophic, mesotrophic, and eutrophic systems. Oligotrophic waters are characterized by low nutrient concentrations, high water clarity, and low biological productivity. Mesotrophic systems represent intermediate nutrient levels and moderate productivity. Eutrophic waters contain high concentrations of nutrients and exhibit dense algal growth and reduced transparency (Carlson, 1977).</w:t>
      </w:r>
    </w:p>
    <w:p w14:paraId="240BDBD9" w14:textId="46B7254A" w:rsidR="0085737D" w:rsidRPr="0085737D" w:rsidRDefault="0085737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 xml:space="preserve">The trophic status of a reservoir is commonly assessed using indicators such as chlorophyll-a concentration, nutrient levels, and water transparency. Accurate trophic classification is </w:t>
      </w:r>
      <w:r w:rsidRPr="0085737D">
        <w:rPr>
          <w:rFonts w:ascii="Times New Roman" w:eastAsia="Times New Roman" w:hAnsi="Times New Roman" w:cs="Times New Roman"/>
          <w:sz w:val="24"/>
          <w:szCs w:val="24"/>
          <w:lang w:eastAsia="en-IN"/>
        </w:rPr>
        <w:lastRenderedPageBreak/>
        <w:t>essential for identifying ecological problems and implementing appropriate management measures.</w:t>
      </w:r>
    </w:p>
    <w:p w14:paraId="75FDCE20" w14:textId="62195E9A" w:rsidR="0085737D" w:rsidRPr="009570C3" w:rsidRDefault="0085737D" w:rsidP="00BB1EBC">
      <w:pPr>
        <w:pStyle w:val="ListParagraph"/>
        <w:numPr>
          <w:ilvl w:val="1"/>
          <w:numId w:val="20"/>
        </w:num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9570C3">
        <w:rPr>
          <w:rFonts w:ascii="Times New Roman" w:eastAsia="Times New Roman" w:hAnsi="Times New Roman" w:cs="Times New Roman"/>
          <w:b/>
          <w:bCs/>
          <w:sz w:val="24"/>
          <w:szCs w:val="24"/>
          <w:lang w:eastAsia="en-IN"/>
        </w:rPr>
        <w:t>Importance of Phytoplankton Indicators</w:t>
      </w:r>
    </w:p>
    <w:p w14:paraId="24D9879B" w14:textId="77777777" w:rsidR="0085737D" w:rsidRPr="0085737D" w:rsidRDefault="0085737D"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85737D">
        <w:rPr>
          <w:rFonts w:ascii="Times New Roman" w:eastAsia="Times New Roman" w:hAnsi="Times New Roman" w:cs="Times New Roman"/>
          <w:b/>
          <w:bCs/>
          <w:sz w:val="24"/>
          <w:szCs w:val="24"/>
          <w:lang w:eastAsia="en-IN"/>
        </w:rPr>
        <w:t>Phytoplankton as Bioindicators</w:t>
      </w:r>
    </w:p>
    <w:p w14:paraId="48340107" w14:textId="164E030D" w:rsidR="0085737D" w:rsidRPr="0085737D" w:rsidRDefault="0085737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Phytoplankton are microscopic photosynthetic organisms that form the base of aquatic food webs. These organisms include several taxonomic groups such as green algae (Chlorophyceae), diatoms (Bacillariophyceae), cyanobacteria</w:t>
      </w:r>
      <w:r w:rsidR="003A669E">
        <w:rPr>
          <w:rFonts w:ascii="Times New Roman" w:eastAsia="Times New Roman" w:hAnsi="Times New Roman" w:cs="Times New Roman"/>
          <w:sz w:val="24"/>
          <w:szCs w:val="24"/>
          <w:lang w:eastAsia="en-IN"/>
        </w:rPr>
        <w:t xml:space="preserve"> </w:t>
      </w:r>
      <w:r w:rsidRPr="0085737D">
        <w:rPr>
          <w:rFonts w:ascii="Times New Roman" w:eastAsia="Times New Roman" w:hAnsi="Times New Roman" w:cs="Times New Roman"/>
          <w:sz w:val="24"/>
          <w:szCs w:val="24"/>
          <w:lang w:eastAsia="en-IN"/>
        </w:rPr>
        <w:t>(</w:t>
      </w:r>
      <w:proofErr w:type="spellStart"/>
      <w:r w:rsidRPr="0085737D">
        <w:rPr>
          <w:rFonts w:ascii="Times New Roman" w:eastAsia="Times New Roman" w:hAnsi="Times New Roman" w:cs="Times New Roman"/>
          <w:sz w:val="24"/>
          <w:szCs w:val="24"/>
          <w:lang w:eastAsia="en-IN"/>
        </w:rPr>
        <w:t>Cyanophyceae</w:t>
      </w:r>
      <w:proofErr w:type="spellEnd"/>
      <w:r w:rsidRPr="0085737D">
        <w:rPr>
          <w:rFonts w:ascii="Times New Roman" w:eastAsia="Times New Roman" w:hAnsi="Times New Roman" w:cs="Times New Roman"/>
          <w:sz w:val="24"/>
          <w:szCs w:val="24"/>
          <w:lang w:eastAsia="en-IN"/>
        </w:rPr>
        <w:t>), and dinoflagellates. Phytoplankton play a critical role in aquatic ecosystems by converting solar energy into organic matter through photosynthesis, thereby supporting higher trophic levels including zooplankton and fish (Reynolds, 2006).</w:t>
      </w:r>
    </w:p>
    <w:p w14:paraId="0E183A78" w14:textId="77777777" w:rsidR="0085737D" w:rsidRPr="0085737D" w:rsidRDefault="0085737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Because phytoplankton communities respond rapidly to environmental changes, they are widely used as biological indicators of water quality. Variations in phytoplankton composition, abundance, and diversity often reflect changes in nutrient availability, temperature, light conditions, and hydrological dynamics. For example, the dominance of cyanobacteria is often associated with nutrient-rich eutrophic waters, while diatoms are typically abundant in well-oxygenated and nutrient-balanced environments.</w:t>
      </w:r>
    </w:p>
    <w:p w14:paraId="5287C7AA" w14:textId="77777777" w:rsidR="0085737D" w:rsidRPr="0085737D" w:rsidRDefault="0085737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Monitoring phytoplankton diversity therefore provides valuable insights into ecological conditions and trophic status of freshwater systems. Unlike chemical indicators that represent conditions at a specific moment, biological indicators integrate environmental changes over longer time periods, making them particularly useful for ecological assessments.</w:t>
      </w:r>
    </w:p>
    <w:p w14:paraId="3E0395D5" w14:textId="77777777" w:rsidR="0085737D" w:rsidRPr="0085737D" w:rsidRDefault="0085737D"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85737D">
        <w:rPr>
          <w:rFonts w:ascii="Times New Roman" w:eastAsia="Times New Roman" w:hAnsi="Times New Roman" w:cs="Times New Roman"/>
          <w:b/>
          <w:bCs/>
          <w:sz w:val="24"/>
          <w:szCs w:val="24"/>
          <w:lang w:eastAsia="en-IN"/>
        </w:rPr>
        <w:t>Relationship Between Nutrients and Algal Productivity</w:t>
      </w:r>
    </w:p>
    <w:p w14:paraId="2A97D463" w14:textId="77777777" w:rsidR="0085737D" w:rsidRPr="0085737D" w:rsidRDefault="0085737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Nutrients are fundamental drivers of primary productivity in aquatic ecosystems. Among various nutrients, nitrogen and phosphorus are considered the most important limiting factors for phytoplankton growth. When nutrient concentrations increase due to external inputs such as agricultural runoff or sewage discharge, phytoplankton populations often increase rapidly.</w:t>
      </w:r>
    </w:p>
    <w:p w14:paraId="1DBBA2CC" w14:textId="77777777" w:rsidR="0085737D" w:rsidRPr="0085737D" w:rsidRDefault="0085737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 xml:space="preserve">High nutrient availability typically leads to elevated chlorophyll-a concentrations, which serve as a proxy for phytoplankton biomass. Increased phytoplankton productivity can enhance food availability for higher trophic levels; however, excessive algal growth may create ecological </w:t>
      </w:r>
      <w:r w:rsidRPr="0085737D">
        <w:rPr>
          <w:rFonts w:ascii="Times New Roman" w:eastAsia="Times New Roman" w:hAnsi="Times New Roman" w:cs="Times New Roman"/>
          <w:sz w:val="24"/>
          <w:szCs w:val="24"/>
          <w:lang w:eastAsia="en-IN"/>
        </w:rPr>
        <w:lastRenderedPageBreak/>
        <w:t>imbalances. Dense algal blooms can block sunlight penetration, reduce dissolved oxygen levels during decomposition, and produce toxins that are harmful to aquatic organisms and humans (Dodds &amp; Whiles, 2010).</w:t>
      </w:r>
    </w:p>
    <w:p w14:paraId="2635EA70" w14:textId="7AA411D9" w:rsidR="0085737D" w:rsidRPr="0085737D" w:rsidRDefault="0085737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Seasonal variations in nutrient availability also influence phytoplankton dynamics. During monsoon seasons, rainfall often carries fertilizers and organic matter into reservoirs, increasing nutrient concentrations and stimulating algal growth. Consequently, studying the relationship between nutrients and phytoplankton productivity is essential for understanding trophic dynamics and predicting eutrophication in freshwater ecosystems.</w:t>
      </w:r>
    </w:p>
    <w:p w14:paraId="7D6F9098" w14:textId="3A93BEB5" w:rsidR="0085737D" w:rsidRPr="009570C3" w:rsidRDefault="0085737D" w:rsidP="00BB1EBC">
      <w:pPr>
        <w:pStyle w:val="ListParagraph"/>
        <w:numPr>
          <w:ilvl w:val="1"/>
          <w:numId w:val="20"/>
        </w:num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9570C3">
        <w:rPr>
          <w:rFonts w:ascii="Times New Roman" w:eastAsia="Times New Roman" w:hAnsi="Times New Roman" w:cs="Times New Roman"/>
          <w:b/>
          <w:bCs/>
          <w:sz w:val="24"/>
          <w:szCs w:val="24"/>
          <w:lang w:eastAsia="en-IN"/>
        </w:rPr>
        <w:t>Machine Learning in Environmental Studies</w:t>
      </w:r>
    </w:p>
    <w:p w14:paraId="3C0B031E" w14:textId="77777777" w:rsidR="0085737D" w:rsidRPr="0085737D" w:rsidRDefault="0085737D"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85737D">
        <w:rPr>
          <w:rFonts w:ascii="Times New Roman" w:eastAsia="Times New Roman" w:hAnsi="Times New Roman" w:cs="Times New Roman"/>
          <w:b/>
          <w:bCs/>
          <w:sz w:val="24"/>
          <w:szCs w:val="24"/>
          <w:lang w:eastAsia="en-IN"/>
        </w:rPr>
        <w:t>Advantages of Machine Learning over Traditional Statistical Methods</w:t>
      </w:r>
    </w:p>
    <w:p w14:paraId="0D835EF5" w14:textId="77777777" w:rsidR="0085737D" w:rsidRPr="0085737D" w:rsidRDefault="0085737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 xml:space="preserve">Environmental systems are complex and involve interactions among numerous physical, chemical, and biological variables. Traditional statistical techniques such as regression analysis and correlation studies have long been used to </w:t>
      </w:r>
      <w:proofErr w:type="spellStart"/>
      <w:r w:rsidRPr="0085737D">
        <w:rPr>
          <w:rFonts w:ascii="Times New Roman" w:eastAsia="Times New Roman" w:hAnsi="Times New Roman" w:cs="Times New Roman"/>
          <w:sz w:val="24"/>
          <w:szCs w:val="24"/>
          <w:lang w:eastAsia="en-IN"/>
        </w:rPr>
        <w:t>analyze</w:t>
      </w:r>
      <w:proofErr w:type="spellEnd"/>
      <w:r w:rsidRPr="0085737D">
        <w:rPr>
          <w:rFonts w:ascii="Times New Roman" w:eastAsia="Times New Roman" w:hAnsi="Times New Roman" w:cs="Times New Roman"/>
          <w:sz w:val="24"/>
          <w:szCs w:val="24"/>
          <w:lang w:eastAsia="en-IN"/>
        </w:rPr>
        <w:t xml:space="preserve"> environmental data. However, these methods often assume linear relationships and may not adequately capture the nonlinear and multivariate nature of ecological processes.</w:t>
      </w:r>
    </w:p>
    <w:p w14:paraId="03DE944E" w14:textId="77777777" w:rsidR="0085737D" w:rsidRPr="0085737D" w:rsidRDefault="0085737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 xml:space="preserve">Machine learning (ML) techniques provide powerful alternatives for </w:t>
      </w:r>
      <w:proofErr w:type="spellStart"/>
      <w:r w:rsidRPr="0085737D">
        <w:rPr>
          <w:rFonts w:ascii="Times New Roman" w:eastAsia="Times New Roman" w:hAnsi="Times New Roman" w:cs="Times New Roman"/>
          <w:sz w:val="24"/>
          <w:szCs w:val="24"/>
          <w:lang w:eastAsia="en-IN"/>
        </w:rPr>
        <w:t>analyzing</w:t>
      </w:r>
      <w:proofErr w:type="spellEnd"/>
      <w:r w:rsidRPr="0085737D">
        <w:rPr>
          <w:rFonts w:ascii="Times New Roman" w:eastAsia="Times New Roman" w:hAnsi="Times New Roman" w:cs="Times New Roman"/>
          <w:sz w:val="24"/>
          <w:szCs w:val="24"/>
          <w:lang w:eastAsia="en-IN"/>
        </w:rPr>
        <w:t xml:space="preserve"> environmental datasets because they can identify complex patterns and relationships without strict assumptions about data distribution. Machine learning algorithms are capable of processing large datasets, handling nonlinear interactions, and improving predictive accuracy through training and validation processes (Olden, Lawler, &amp; Poff, 2008).</w:t>
      </w:r>
    </w:p>
    <w:p w14:paraId="0CEC29C3" w14:textId="7AEC06A1" w:rsidR="0085737D" w:rsidRPr="0085737D" w:rsidRDefault="0085737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 xml:space="preserve">Another advantage of machine learning models is their ability to perform automated feature selection and pattern recognition. Algorithms such as Random Forest, Support Vector Machines, and Artificial Neural Networks can determine which environmental variables have the greatest influence on water quality or trophic status. These capabilities make machine learning highly suitable for environmental monitoring and predictive </w:t>
      </w:r>
      <w:proofErr w:type="spellStart"/>
      <w:r w:rsidRPr="0085737D">
        <w:rPr>
          <w:rFonts w:ascii="Times New Roman" w:eastAsia="Times New Roman" w:hAnsi="Times New Roman" w:cs="Times New Roman"/>
          <w:sz w:val="24"/>
          <w:szCs w:val="24"/>
          <w:lang w:eastAsia="en-IN"/>
        </w:rPr>
        <w:t>modeling</w:t>
      </w:r>
      <w:proofErr w:type="spellEnd"/>
      <w:r w:rsidRPr="0085737D">
        <w:rPr>
          <w:rFonts w:ascii="Times New Roman" w:eastAsia="Times New Roman" w:hAnsi="Times New Roman" w:cs="Times New Roman"/>
          <w:sz w:val="24"/>
          <w:szCs w:val="24"/>
          <w:lang w:eastAsia="en-IN"/>
        </w:rPr>
        <w:t xml:space="preserve"> applications</w:t>
      </w:r>
      <w:r w:rsidR="00FE0147">
        <w:rPr>
          <w:rFonts w:ascii="Times New Roman" w:eastAsia="Times New Roman" w:hAnsi="Times New Roman" w:cs="Times New Roman"/>
          <w:sz w:val="24"/>
          <w:szCs w:val="24"/>
          <w:lang w:eastAsia="en-IN"/>
        </w:rPr>
        <w:t xml:space="preserve"> (Gajanan &amp; Chitra 2025 and Rao &amp; Gajanan 2026)</w:t>
      </w:r>
      <w:r w:rsidRPr="0085737D">
        <w:rPr>
          <w:rFonts w:ascii="Times New Roman" w:eastAsia="Times New Roman" w:hAnsi="Times New Roman" w:cs="Times New Roman"/>
          <w:sz w:val="24"/>
          <w:szCs w:val="24"/>
          <w:lang w:eastAsia="en-IN"/>
        </w:rPr>
        <w:t>.</w:t>
      </w:r>
    </w:p>
    <w:p w14:paraId="5B0AE4DF" w14:textId="77777777" w:rsidR="0085737D" w:rsidRPr="0085737D" w:rsidRDefault="0085737D"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85737D">
        <w:rPr>
          <w:rFonts w:ascii="Times New Roman" w:eastAsia="Times New Roman" w:hAnsi="Times New Roman" w:cs="Times New Roman"/>
          <w:b/>
          <w:bCs/>
          <w:sz w:val="24"/>
          <w:szCs w:val="24"/>
          <w:lang w:eastAsia="en-IN"/>
        </w:rPr>
        <w:t>Previous Research on Machine Learning in Water Quality Prediction</w:t>
      </w:r>
    </w:p>
    <w:p w14:paraId="4BFB2058" w14:textId="77777777" w:rsidR="0085737D" w:rsidRPr="0085737D" w:rsidRDefault="0085737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lastRenderedPageBreak/>
        <w:t>In recent years, machine learning techniques have been widely applied in water quality monitoring and environmental prediction studies. Researchers have developed predictive models for parameters such as dissolved oxygen, chlorophyll-a concentration, nutrient levels, and harmful algal blooms using various machine learning algorithms.</w:t>
      </w:r>
    </w:p>
    <w:p w14:paraId="7C14A7EE" w14:textId="77777777" w:rsidR="0085737D" w:rsidRPr="0085737D" w:rsidRDefault="0085737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Artificial Neural Networks (ANN) have been extensively used to model nonlinear relationships between environmental variables and water quality indicators. ANN models mimic the structure of biological neural networks and are capable of learning complex patterns from data. Studies have demonstrated that ANN models often outperform traditional statistical models in predicting water quality parameters.</w:t>
      </w:r>
    </w:p>
    <w:p w14:paraId="3F7B5F1B" w14:textId="40224B1E" w:rsidR="0085737D" w:rsidRPr="0085737D" w:rsidRDefault="0085737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Similarly, Random Forest algorithms have gained popularity in environmental research due to their robustness, high prediction accuracy, and ability to handle large datasets with multiple variables. Support Vector Machines (SVM) are also widely used for classification and regression tasks in environmental science because they can effectively model nonlinear relationships (Zhang et al., 2020</w:t>
      </w:r>
      <w:r w:rsidR="00E4768C">
        <w:rPr>
          <w:rFonts w:ascii="Times New Roman" w:eastAsia="Times New Roman" w:hAnsi="Times New Roman" w:cs="Times New Roman"/>
          <w:sz w:val="24"/>
          <w:szCs w:val="24"/>
          <w:lang w:eastAsia="en-IN"/>
        </w:rPr>
        <w:t xml:space="preserve"> and </w:t>
      </w:r>
      <w:r w:rsidR="00B655E2">
        <w:rPr>
          <w:rFonts w:ascii="Times New Roman" w:eastAsia="Times New Roman" w:hAnsi="Times New Roman" w:cs="Times New Roman"/>
          <w:sz w:val="24"/>
          <w:szCs w:val="24"/>
          <w:lang w:eastAsia="en-IN"/>
        </w:rPr>
        <w:t>Gajanan &amp; Chitra 2025</w:t>
      </w:r>
      <w:r w:rsidRPr="0085737D">
        <w:rPr>
          <w:rFonts w:ascii="Times New Roman" w:eastAsia="Times New Roman" w:hAnsi="Times New Roman" w:cs="Times New Roman"/>
          <w:sz w:val="24"/>
          <w:szCs w:val="24"/>
          <w:lang w:eastAsia="en-IN"/>
        </w:rPr>
        <w:t>).</w:t>
      </w:r>
    </w:p>
    <w:p w14:paraId="3E6A4F72" w14:textId="51BDCA26" w:rsidR="0085737D" w:rsidRPr="0085737D" w:rsidRDefault="0085737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These machine learning techniques have been successfully applied to lakes, rivers, and coastal waters around the world. However, their application in reservoir ecosystems in developing countries remains relatively limited.</w:t>
      </w:r>
    </w:p>
    <w:p w14:paraId="0F769B5D" w14:textId="6C36D662" w:rsidR="0085737D" w:rsidRPr="009570C3" w:rsidRDefault="0085737D" w:rsidP="00BB1EBC">
      <w:pPr>
        <w:pStyle w:val="ListParagraph"/>
        <w:numPr>
          <w:ilvl w:val="1"/>
          <w:numId w:val="20"/>
        </w:num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9570C3">
        <w:rPr>
          <w:rFonts w:ascii="Times New Roman" w:eastAsia="Times New Roman" w:hAnsi="Times New Roman" w:cs="Times New Roman"/>
          <w:b/>
          <w:bCs/>
          <w:sz w:val="24"/>
          <w:szCs w:val="24"/>
          <w:lang w:eastAsia="en-IN"/>
        </w:rPr>
        <w:t>Research Gap</w:t>
      </w:r>
    </w:p>
    <w:p w14:paraId="5432F52F" w14:textId="77777777" w:rsidR="0085737D" w:rsidRPr="0085737D" w:rsidRDefault="0085737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Although several studies have investigated water quality and trophic dynamics in freshwater ecosystems, the application of machine learning techniques in reservoir monitoring is still emerging, particularly in developing countries such as India. Most traditional studies rely on statistical analysis of physicochemical parameters to assess water quality and trophic status.</w:t>
      </w:r>
    </w:p>
    <w:p w14:paraId="41F4E0F8" w14:textId="77777777" w:rsidR="0085737D" w:rsidRPr="0085737D" w:rsidRDefault="0085737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However, reservoirs are complex ecological systems where biological components such as phytoplankton interact with physical and chemical variables. Limnological parameters alone may not fully capture the ecological dynamics influencing trophic status. Integrating biological indicators with physicochemical variables could provide a more comprehensive understanding of reservoir ecosystems.</w:t>
      </w:r>
    </w:p>
    <w:p w14:paraId="6A675C37" w14:textId="77777777" w:rsidR="0085737D" w:rsidRPr="0085737D" w:rsidRDefault="0085737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 xml:space="preserve">Furthermore, only a limited number of studies have applied machine learning approaches to predict trophic status in Indian reservoirs. As water quality datasets continue to grow in size </w:t>
      </w:r>
      <w:r w:rsidRPr="0085737D">
        <w:rPr>
          <w:rFonts w:ascii="Times New Roman" w:eastAsia="Times New Roman" w:hAnsi="Times New Roman" w:cs="Times New Roman"/>
          <w:sz w:val="24"/>
          <w:szCs w:val="24"/>
          <w:lang w:eastAsia="en-IN"/>
        </w:rPr>
        <w:lastRenderedPageBreak/>
        <w:t>and complexity, advanced analytical tools such as machine learning become increasingly valuable for identifying patterns and improving prediction accuracy.</w:t>
      </w:r>
    </w:p>
    <w:p w14:paraId="11C5DBCA" w14:textId="13F2B844" w:rsidR="0085737D" w:rsidRPr="0085737D" w:rsidRDefault="0085737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Therefore, there is a need to develop integrated models that combine limnological parameters and phytoplankton indicators using machine learning techniques. Such approaches could enhance the efficiency of reservoir monitoring programs and provide early warnings of eutrophication.</w:t>
      </w:r>
    </w:p>
    <w:p w14:paraId="6E8DA261" w14:textId="6DA9F0DE" w:rsidR="0085737D" w:rsidRPr="009570C3" w:rsidRDefault="0085737D" w:rsidP="00BB1EBC">
      <w:pPr>
        <w:pStyle w:val="ListParagraph"/>
        <w:numPr>
          <w:ilvl w:val="1"/>
          <w:numId w:val="20"/>
        </w:num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9570C3">
        <w:rPr>
          <w:rFonts w:ascii="Times New Roman" w:eastAsia="Times New Roman" w:hAnsi="Times New Roman" w:cs="Times New Roman"/>
          <w:b/>
          <w:bCs/>
          <w:sz w:val="24"/>
          <w:szCs w:val="24"/>
          <w:lang w:eastAsia="en-IN"/>
        </w:rPr>
        <w:t>Objectives of the Study</w:t>
      </w:r>
    </w:p>
    <w:p w14:paraId="4A9B66D0" w14:textId="77777777" w:rsidR="0085737D" w:rsidRPr="0085737D" w:rsidRDefault="0085737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 xml:space="preserve">The present study aims to evaluate the trophic status of </w:t>
      </w:r>
      <w:proofErr w:type="spellStart"/>
      <w:r w:rsidRPr="0085737D">
        <w:rPr>
          <w:rFonts w:ascii="Times New Roman" w:eastAsia="Times New Roman" w:hAnsi="Times New Roman" w:cs="Times New Roman"/>
          <w:sz w:val="24"/>
          <w:szCs w:val="24"/>
          <w:lang w:eastAsia="en-IN"/>
        </w:rPr>
        <w:t>Kotpally</w:t>
      </w:r>
      <w:proofErr w:type="spellEnd"/>
      <w:r w:rsidRPr="0085737D">
        <w:rPr>
          <w:rFonts w:ascii="Times New Roman" w:eastAsia="Times New Roman" w:hAnsi="Times New Roman" w:cs="Times New Roman"/>
          <w:sz w:val="24"/>
          <w:szCs w:val="24"/>
          <w:lang w:eastAsia="en-IN"/>
        </w:rPr>
        <w:t xml:space="preserve"> Reservoir in Telangana using both limnological parameters and phytoplankton indicators, and to develop predictive models using machine learning techniques.</w:t>
      </w:r>
    </w:p>
    <w:p w14:paraId="46C411E7" w14:textId="77777777" w:rsidR="0085737D" w:rsidRPr="0085737D" w:rsidRDefault="0085737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The specific objectives of the study are:</w:t>
      </w:r>
    </w:p>
    <w:p w14:paraId="6AEFAAAD" w14:textId="77777777" w:rsidR="0085737D" w:rsidRPr="0085737D" w:rsidRDefault="0085737D" w:rsidP="00BB1EBC">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 xml:space="preserve">To assess the physicochemical characteristics (limnological parameters) of </w:t>
      </w:r>
      <w:proofErr w:type="spellStart"/>
      <w:r w:rsidRPr="0085737D">
        <w:rPr>
          <w:rFonts w:ascii="Times New Roman" w:eastAsia="Times New Roman" w:hAnsi="Times New Roman" w:cs="Times New Roman"/>
          <w:sz w:val="24"/>
          <w:szCs w:val="24"/>
          <w:lang w:eastAsia="en-IN"/>
        </w:rPr>
        <w:t>Kotpally</w:t>
      </w:r>
      <w:proofErr w:type="spellEnd"/>
      <w:r w:rsidRPr="0085737D">
        <w:rPr>
          <w:rFonts w:ascii="Times New Roman" w:eastAsia="Times New Roman" w:hAnsi="Times New Roman" w:cs="Times New Roman"/>
          <w:sz w:val="24"/>
          <w:szCs w:val="24"/>
          <w:lang w:eastAsia="en-IN"/>
        </w:rPr>
        <w:t xml:space="preserve"> Reservoir.</w:t>
      </w:r>
    </w:p>
    <w:p w14:paraId="07738DEF" w14:textId="77777777" w:rsidR="0085737D" w:rsidRPr="0085737D" w:rsidRDefault="0085737D" w:rsidP="00BB1EBC">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 xml:space="preserve">To </w:t>
      </w:r>
      <w:proofErr w:type="spellStart"/>
      <w:r w:rsidRPr="0085737D">
        <w:rPr>
          <w:rFonts w:ascii="Times New Roman" w:eastAsia="Times New Roman" w:hAnsi="Times New Roman" w:cs="Times New Roman"/>
          <w:sz w:val="24"/>
          <w:szCs w:val="24"/>
          <w:lang w:eastAsia="en-IN"/>
        </w:rPr>
        <w:t>analyze</w:t>
      </w:r>
      <w:proofErr w:type="spellEnd"/>
      <w:r w:rsidRPr="0085737D">
        <w:rPr>
          <w:rFonts w:ascii="Times New Roman" w:eastAsia="Times New Roman" w:hAnsi="Times New Roman" w:cs="Times New Roman"/>
          <w:sz w:val="24"/>
          <w:szCs w:val="24"/>
          <w:lang w:eastAsia="en-IN"/>
        </w:rPr>
        <w:t xml:space="preserve"> phytoplankton diversity and community composition in the reservoir.</w:t>
      </w:r>
    </w:p>
    <w:p w14:paraId="7718D0A1" w14:textId="77777777" w:rsidR="0085737D" w:rsidRPr="0085737D" w:rsidRDefault="0085737D" w:rsidP="00BB1EBC">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To determine the trophic status of the reservoir using standard trophic state indices.</w:t>
      </w:r>
    </w:p>
    <w:p w14:paraId="0E08A348" w14:textId="77777777" w:rsidR="0085737D" w:rsidRPr="0085737D" w:rsidRDefault="0085737D" w:rsidP="00BB1EBC">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To develop machine learning models for predicting trophic status based on environmental variables.</w:t>
      </w:r>
    </w:p>
    <w:p w14:paraId="7C6CBF1E" w14:textId="77777777" w:rsidR="0085737D" w:rsidRPr="0085737D" w:rsidRDefault="0085737D" w:rsidP="00BB1EBC">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To compare the performance of different machine learning algorithms in predicting trophic conditions.</w:t>
      </w:r>
    </w:p>
    <w:p w14:paraId="4C4839FE" w14:textId="3A0A2FE7" w:rsidR="0085737D" w:rsidRPr="0085737D" w:rsidRDefault="009570C3" w:rsidP="00BB1EBC">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en-IN"/>
        </w:rPr>
      </w:pPr>
      <w:r>
        <w:rPr>
          <w:rFonts w:ascii="Times New Roman" w:eastAsia="Times New Roman" w:hAnsi="Times New Roman" w:cs="Times New Roman"/>
          <w:b/>
          <w:bCs/>
          <w:kern w:val="36"/>
          <w:sz w:val="24"/>
          <w:szCs w:val="24"/>
          <w:lang w:eastAsia="en-IN"/>
        </w:rPr>
        <w:t xml:space="preserve">2. </w:t>
      </w:r>
      <w:r w:rsidR="0085737D" w:rsidRPr="0085737D">
        <w:rPr>
          <w:rFonts w:ascii="Times New Roman" w:eastAsia="Times New Roman" w:hAnsi="Times New Roman" w:cs="Times New Roman"/>
          <w:b/>
          <w:bCs/>
          <w:kern w:val="36"/>
          <w:sz w:val="24"/>
          <w:szCs w:val="24"/>
          <w:lang w:eastAsia="en-IN"/>
        </w:rPr>
        <w:t>Study Area Description</w:t>
      </w:r>
    </w:p>
    <w:p w14:paraId="34D226A8" w14:textId="3B39009D" w:rsidR="0085737D" w:rsidRPr="0085737D" w:rsidRDefault="0085737D" w:rsidP="00BB1EBC">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85737D">
        <w:rPr>
          <w:rFonts w:ascii="Times New Roman" w:eastAsia="Times New Roman" w:hAnsi="Times New Roman" w:cs="Times New Roman"/>
          <w:b/>
          <w:bCs/>
          <w:sz w:val="24"/>
          <w:szCs w:val="24"/>
          <w:lang w:eastAsia="en-IN"/>
        </w:rPr>
        <w:t>2.1</w:t>
      </w:r>
      <w:r w:rsidR="009570C3">
        <w:rPr>
          <w:rFonts w:ascii="Times New Roman" w:eastAsia="Times New Roman" w:hAnsi="Times New Roman" w:cs="Times New Roman"/>
          <w:b/>
          <w:bCs/>
          <w:sz w:val="24"/>
          <w:szCs w:val="24"/>
          <w:lang w:eastAsia="en-IN"/>
        </w:rPr>
        <w:t xml:space="preserve">. </w:t>
      </w:r>
      <w:r w:rsidRPr="0085737D">
        <w:rPr>
          <w:rFonts w:ascii="Times New Roman" w:eastAsia="Times New Roman" w:hAnsi="Times New Roman" w:cs="Times New Roman"/>
          <w:b/>
          <w:bCs/>
          <w:sz w:val="24"/>
          <w:szCs w:val="24"/>
          <w:lang w:eastAsia="en-IN"/>
        </w:rPr>
        <w:t>Geographic Location</w:t>
      </w:r>
    </w:p>
    <w:p w14:paraId="7D21CB20" w14:textId="77777777" w:rsidR="0085737D" w:rsidRPr="0085737D" w:rsidRDefault="0085737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proofErr w:type="spellStart"/>
      <w:r w:rsidRPr="0085737D">
        <w:rPr>
          <w:rFonts w:ascii="Times New Roman" w:eastAsia="Times New Roman" w:hAnsi="Times New Roman" w:cs="Times New Roman"/>
          <w:sz w:val="24"/>
          <w:szCs w:val="24"/>
          <w:lang w:eastAsia="en-IN"/>
        </w:rPr>
        <w:t>Kotpally</w:t>
      </w:r>
      <w:proofErr w:type="spellEnd"/>
      <w:r w:rsidRPr="0085737D">
        <w:rPr>
          <w:rFonts w:ascii="Times New Roman" w:eastAsia="Times New Roman" w:hAnsi="Times New Roman" w:cs="Times New Roman"/>
          <w:sz w:val="24"/>
          <w:szCs w:val="24"/>
          <w:lang w:eastAsia="en-IN"/>
        </w:rPr>
        <w:t xml:space="preserve"> Reservoir is located in </w:t>
      </w:r>
      <w:proofErr w:type="spellStart"/>
      <w:r w:rsidRPr="0085737D">
        <w:rPr>
          <w:rFonts w:ascii="Times New Roman" w:eastAsia="Times New Roman" w:hAnsi="Times New Roman" w:cs="Times New Roman"/>
          <w:b/>
          <w:bCs/>
          <w:sz w:val="24"/>
          <w:szCs w:val="24"/>
          <w:lang w:eastAsia="en-IN"/>
        </w:rPr>
        <w:t>Vikarabad</w:t>
      </w:r>
      <w:proofErr w:type="spellEnd"/>
      <w:r w:rsidRPr="0085737D">
        <w:rPr>
          <w:rFonts w:ascii="Times New Roman" w:eastAsia="Times New Roman" w:hAnsi="Times New Roman" w:cs="Times New Roman"/>
          <w:b/>
          <w:bCs/>
          <w:sz w:val="24"/>
          <w:szCs w:val="24"/>
          <w:lang w:eastAsia="en-IN"/>
        </w:rPr>
        <w:t xml:space="preserve"> District of the state of Telangana, India</w:t>
      </w:r>
      <w:r w:rsidRPr="0085737D">
        <w:rPr>
          <w:rFonts w:ascii="Times New Roman" w:eastAsia="Times New Roman" w:hAnsi="Times New Roman" w:cs="Times New Roman"/>
          <w:sz w:val="24"/>
          <w:szCs w:val="24"/>
          <w:lang w:eastAsia="en-IN"/>
        </w:rPr>
        <w:t>, and serves as an important irrigation reservoir for surrounding agricultural regions. The reservoir lies within the semi-arid region of the Deccan Plateau and forms part of the local watershed supporting rural communities.</w:t>
      </w:r>
    </w:p>
    <w:p w14:paraId="147A9180" w14:textId="77777777" w:rsidR="0085737D" w:rsidRPr="0085737D" w:rsidRDefault="0085737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lastRenderedPageBreak/>
        <w:t xml:space="preserve">Geographically, the reservoir is situated near </w:t>
      </w:r>
      <w:proofErr w:type="spellStart"/>
      <w:r w:rsidRPr="0085737D">
        <w:rPr>
          <w:rFonts w:ascii="Times New Roman" w:eastAsia="Times New Roman" w:hAnsi="Times New Roman" w:cs="Times New Roman"/>
          <w:b/>
          <w:bCs/>
          <w:sz w:val="24"/>
          <w:szCs w:val="24"/>
          <w:lang w:eastAsia="en-IN"/>
        </w:rPr>
        <w:t>Vikarabad</w:t>
      </w:r>
      <w:proofErr w:type="spellEnd"/>
      <w:r w:rsidRPr="0085737D">
        <w:rPr>
          <w:rFonts w:ascii="Times New Roman" w:eastAsia="Times New Roman" w:hAnsi="Times New Roman" w:cs="Times New Roman"/>
          <w:sz w:val="24"/>
          <w:szCs w:val="24"/>
          <w:lang w:eastAsia="en-IN"/>
        </w:rPr>
        <w:t xml:space="preserve">, approximately 70 km west of </w:t>
      </w:r>
      <w:r w:rsidRPr="0085737D">
        <w:rPr>
          <w:rFonts w:ascii="Times New Roman" w:eastAsia="Times New Roman" w:hAnsi="Times New Roman" w:cs="Times New Roman"/>
          <w:b/>
          <w:bCs/>
          <w:sz w:val="24"/>
          <w:szCs w:val="24"/>
          <w:lang w:eastAsia="en-IN"/>
        </w:rPr>
        <w:t>Hyderabad</w:t>
      </w:r>
      <w:r w:rsidRPr="0085737D">
        <w:rPr>
          <w:rFonts w:ascii="Times New Roman" w:eastAsia="Times New Roman" w:hAnsi="Times New Roman" w:cs="Times New Roman"/>
          <w:sz w:val="24"/>
          <w:szCs w:val="24"/>
          <w:lang w:eastAsia="en-IN"/>
        </w:rPr>
        <w:t>, the state capital. The reservoir was developed primarily to enhance irrigation potential and improve water availability in the drought-prone districts of the region.</w:t>
      </w:r>
    </w:p>
    <w:p w14:paraId="3D2C8D2E" w14:textId="35F334D1" w:rsidR="0085737D" w:rsidRDefault="00CD24A1"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Chart 1 </w:t>
      </w:r>
      <w:r w:rsidR="0085737D" w:rsidRPr="0085737D">
        <w:rPr>
          <w:rFonts w:ascii="Times New Roman" w:eastAsia="Times New Roman" w:hAnsi="Times New Roman" w:cs="Times New Roman"/>
          <w:sz w:val="24"/>
          <w:szCs w:val="24"/>
          <w:lang w:eastAsia="en-IN"/>
        </w:rPr>
        <w:t xml:space="preserve">The approximate geographic coordinates of </w:t>
      </w:r>
      <w:proofErr w:type="spellStart"/>
      <w:r w:rsidR="0085737D" w:rsidRPr="0085737D">
        <w:rPr>
          <w:rFonts w:ascii="Times New Roman" w:eastAsia="Times New Roman" w:hAnsi="Times New Roman" w:cs="Times New Roman"/>
          <w:sz w:val="24"/>
          <w:szCs w:val="24"/>
          <w:lang w:eastAsia="en-IN"/>
        </w:rPr>
        <w:t>Kotpally</w:t>
      </w:r>
      <w:proofErr w:type="spellEnd"/>
      <w:r w:rsidR="0085737D" w:rsidRPr="0085737D">
        <w:rPr>
          <w:rFonts w:ascii="Times New Roman" w:eastAsia="Times New Roman" w:hAnsi="Times New Roman" w:cs="Times New Roman"/>
          <w:sz w:val="24"/>
          <w:szCs w:val="24"/>
          <w:lang w:eastAsia="en-IN"/>
        </w:rPr>
        <w:t xml:space="preserve"> Reservoir are:</w:t>
      </w:r>
    </w:p>
    <w:tbl>
      <w:tblPr>
        <w:tblStyle w:val="TableGrid"/>
        <w:tblW w:w="0" w:type="auto"/>
        <w:jc w:val="center"/>
        <w:tblLook w:val="04A0" w:firstRow="1" w:lastRow="0" w:firstColumn="1" w:lastColumn="0" w:noHBand="0" w:noVBand="1"/>
      </w:tblPr>
      <w:tblGrid>
        <w:gridCol w:w="2366"/>
        <w:gridCol w:w="3725"/>
      </w:tblGrid>
      <w:tr w:rsidR="00C237A6" w14:paraId="136AD2E9" w14:textId="77777777" w:rsidTr="00872FEB">
        <w:trPr>
          <w:trHeight w:val="325"/>
          <w:jc w:val="center"/>
        </w:trPr>
        <w:tc>
          <w:tcPr>
            <w:tcW w:w="2366" w:type="dxa"/>
            <w:vAlign w:val="center"/>
          </w:tcPr>
          <w:p w14:paraId="7AA9092B" w14:textId="5DB127F6" w:rsidR="00C237A6" w:rsidRDefault="00C237A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b/>
                <w:bCs/>
                <w:sz w:val="24"/>
                <w:szCs w:val="24"/>
                <w:lang w:eastAsia="en-IN"/>
              </w:rPr>
              <w:t>Parameter</w:t>
            </w:r>
          </w:p>
        </w:tc>
        <w:tc>
          <w:tcPr>
            <w:tcW w:w="3725" w:type="dxa"/>
            <w:vAlign w:val="center"/>
          </w:tcPr>
          <w:p w14:paraId="41D1A7EA" w14:textId="7056F41D" w:rsidR="00C237A6" w:rsidRDefault="00C237A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b/>
                <w:bCs/>
                <w:sz w:val="24"/>
                <w:szCs w:val="24"/>
                <w:lang w:eastAsia="en-IN"/>
              </w:rPr>
              <w:t>Value</w:t>
            </w:r>
          </w:p>
        </w:tc>
      </w:tr>
      <w:tr w:rsidR="00C237A6" w14:paraId="7F6E1CDC" w14:textId="77777777" w:rsidTr="00872FEB">
        <w:trPr>
          <w:trHeight w:val="325"/>
          <w:jc w:val="center"/>
        </w:trPr>
        <w:tc>
          <w:tcPr>
            <w:tcW w:w="2366" w:type="dxa"/>
            <w:vAlign w:val="center"/>
          </w:tcPr>
          <w:p w14:paraId="7BB512E9" w14:textId="3E5619EF" w:rsidR="00C237A6" w:rsidRPr="0085737D" w:rsidRDefault="00C237A6" w:rsidP="00BB1EBC">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85737D">
              <w:rPr>
                <w:rFonts w:ascii="Times New Roman" w:eastAsia="Times New Roman" w:hAnsi="Times New Roman" w:cs="Times New Roman"/>
                <w:sz w:val="24"/>
                <w:szCs w:val="24"/>
                <w:lang w:eastAsia="en-IN"/>
              </w:rPr>
              <w:t>Latitude</w:t>
            </w:r>
          </w:p>
        </w:tc>
        <w:tc>
          <w:tcPr>
            <w:tcW w:w="3725" w:type="dxa"/>
            <w:vAlign w:val="center"/>
          </w:tcPr>
          <w:p w14:paraId="6CA36BB4" w14:textId="082DC2F7" w:rsidR="00C237A6" w:rsidRPr="0085737D" w:rsidRDefault="00C237A6" w:rsidP="00BB1EBC">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85737D">
              <w:rPr>
                <w:rFonts w:ascii="Times New Roman" w:eastAsia="Times New Roman" w:hAnsi="Times New Roman" w:cs="Times New Roman"/>
                <w:sz w:val="24"/>
                <w:szCs w:val="24"/>
                <w:lang w:eastAsia="en-IN"/>
              </w:rPr>
              <w:t>17.35° N</w:t>
            </w:r>
          </w:p>
        </w:tc>
      </w:tr>
      <w:tr w:rsidR="00C237A6" w14:paraId="55D6FF9A" w14:textId="77777777" w:rsidTr="00872FEB">
        <w:trPr>
          <w:trHeight w:val="325"/>
          <w:jc w:val="center"/>
        </w:trPr>
        <w:tc>
          <w:tcPr>
            <w:tcW w:w="2366" w:type="dxa"/>
            <w:vAlign w:val="center"/>
          </w:tcPr>
          <w:p w14:paraId="6996BD45" w14:textId="341891D6" w:rsidR="00C237A6" w:rsidRPr="0085737D" w:rsidRDefault="00C237A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Longitude</w:t>
            </w:r>
          </w:p>
        </w:tc>
        <w:tc>
          <w:tcPr>
            <w:tcW w:w="3725" w:type="dxa"/>
            <w:vAlign w:val="center"/>
          </w:tcPr>
          <w:p w14:paraId="56E7E6A4" w14:textId="2D9F7EE2" w:rsidR="00C237A6" w:rsidRPr="0085737D" w:rsidRDefault="00C237A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77.85° E</w:t>
            </w:r>
          </w:p>
        </w:tc>
      </w:tr>
      <w:tr w:rsidR="00C237A6" w14:paraId="1FB29959" w14:textId="77777777" w:rsidTr="00872FEB">
        <w:trPr>
          <w:trHeight w:val="325"/>
          <w:jc w:val="center"/>
        </w:trPr>
        <w:tc>
          <w:tcPr>
            <w:tcW w:w="2366" w:type="dxa"/>
            <w:vAlign w:val="center"/>
          </w:tcPr>
          <w:p w14:paraId="576EDDE8" w14:textId="21B1ADDF" w:rsidR="00C237A6" w:rsidRPr="0085737D" w:rsidRDefault="00C237A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Elevation</w:t>
            </w:r>
          </w:p>
        </w:tc>
        <w:tc>
          <w:tcPr>
            <w:tcW w:w="3725" w:type="dxa"/>
            <w:vAlign w:val="center"/>
          </w:tcPr>
          <w:p w14:paraId="5343F3B5" w14:textId="386802E1" w:rsidR="00C237A6" w:rsidRPr="0085737D" w:rsidRDefault="00C237A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~550 m above mean sea level</w:t>
            </w:r>
          </w:p>
        </w:tc>
      </w:tr>
    </w:tbl>
    <w:p w14:paraId="7A528DFB" w14:textId="79EE0B10" w:rsidR="0085737D" w:rsidRPr="0085737D" w:rsidRDefault="0085737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The reservoir is surrounded by agricultural fields, scrub vegetation, and small rural settlements. Runoff from the surrounding catchment area drains into the reservoir during the monsoon season, contributing significantly to its water storage capacity. The geographic position of the reservoir within a semi-arid landscape makes it particularly sensitive to climatic variability and land-use changes.</w:t>
      </w:r>
    </w:p>
    <w:p w14:paraId="4C1DC920" w14:textId="77777777" w:rsidR="0085737D" w:rsidRPr="0085737D" w:rsidRDefault="0085737D" w:rsidP="00BB1EBC">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85737D">
        <w:rPr>
          <w:rFonts w:ascii="Times New Roman" w:eastAsia="Times New Roman" w:hAnsi="Times New Roman" w:cs="Times New Roman"/>
          <w:b/>
          <w:bCs/>
          <w:sz w:val="24"/>
          <w:szCs w:val="24"/>
          <w:lang w:eastAsia="en-IN"/>
        </w:rPr>
        <w:t>2.2 Climate and Hydrology</w:t>
      </w:r>
    </w:p>
    <w:p w14:paraId="2DB99CAE" w14:textId="77777777" w:rsidR="0085737D" w:rsidRPr="0085737D" w:rsidRDefault="0085737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 xml:space="preserve">The study area experiences a </w:t>
      </w:r>
      <w:r w:rsidRPr="0085737D">
        <w:rPr>
          <w:rFonts w:ascii="Times New Roman" w:eastAsia="Times New Roman" w:hAnsi="Times New Roman" w:cs="Times New Roman"/>
          <w:b/>
          <w:bCs/>
          <w:sz w:val="24"/>
          <w:szCs w:val="24"/>
          <w:lang w:eastAsia="en-IN"/>
        </w:rPr>
        <w:t>tropical semi-arid climate</w:t>
      </w:r>
      <w:r w:rsidRPr="0085737D">
        <w:rPr>
          <w:rFonts w:ascii="Times New Roman" w:eastAsia="Times New Roman" w:hAnsi="Times New Roman" w:cs="Times New Roman"/>
          <w:sz w:val="24"/>
          <w:szCs w:val="24"/>
          <w:lang w:eastAsia="en-IN"/>
        </w:rPr>
        <w:t>, characterized by hot summers, moderate winters, and a monsoon-dominated rainfall pattern. Climatic conditions strongly influence the hydrological regime and ecological dynamics of the reservoir.</w:t>
      </w:r>
    </w:p>
    <w:p w14:paraId="44BC80B3" w14:textId="77777777" w:rsidR="0085737D" w:rsidRPr="0085737D" w:rsidRDefault="0085737D"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85737D">
        <w:rPr>
          <w:rFonts w:ascii="Times New Roman" w:eastAsia="Times New Roman" w:hAnsi="Times New Roman" w:cs="Times New Roman"/>
          <w:b/>
          <w:bCs/>
          <w:sz w:val="24"/>
          <w:szCs w:val="24"/>
          <w:lang w:eastAsia="en-IN"/>
        </w:rPr>
        <w:t>Rainfall Pattern</w:t>
      </w:r>
    </w:p>
    <w:p w14:paraId="0EA2236E" w14:textId="77777777" w:rsidR="0085737D" w:rsidRPr="0085737D" w:rsidRDefault="0085737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 xml:space="preserve">The region receives most of its rainfall from the </w:t>
      </w:r>
      <w:r w:rsidRPr="0085737D">
        <w:rPr>
          <w:rFonts w:ascii="Times New Roman" w:eastAsia="Times New Roman" w:hAnsi="Times New Roman" w:cs="Times New Roman"/>
          <w:b/>
          <w:bCs/>
          <w:sz w:val="24"/>
          <w:szCs w:val="24"/>
          <w:lang w:eastAsia="en-IN"/>
        </w:rPr>
        <w:t>Southwest monsoon</w:t>
      </w:r>
      <w:r w:rsidRPr="0085737D">
        <w:rPr>
          <w:rFonts w:ascii="Times New Roman" w:eastAsia="Times New Roman" w:hAnsi="Times New Roman" w:cs="Times New Roman"/>
          <w:sz w:val="24"/>
          <w:szCs w:val="24"/>
          <w:lang w:eastAsia="en-IN"/>
        </w:rPr>
        <w:t xml:space="preserve">, which typically occurs between </w:t>
      </w:r>
      <w:r w:rsidRPr="0085737D">
        <w:rPr>
          <w:rFonts w:ascii="Times New Roman" w:eastAsia="Times New Roman" w:hAnsi="Times New Roman" w:cs="Times New Roman"/>
          <w:b/>
          <w:bCs/>
          <w:sz w:val="24"/>
          <w:szCs w:val="24"/>
          <w:lang w:eastAsia="en-IN"/>
        </w:rPr>
        <w:t>June and September</w:t>
      </w:r>
      <w:r w:rsidRPr="0085737D">
        <w:rPr>
          <w:rFonts w:ascii="Times New Roman" w:eastAsia="Times New Roman" w:hAnsi="Times New Roman" w:cs="Times New Roman"/>
          <w:sz w:val="24"/>
          <w:szCs w:val="24"/>
          <w:lang w:eastAsia="en-IN"/>
        </w:rPr>
        <w:t xml:space="preserve">. The average annual rainfall in the </w:t>
      </w:r>
      <w:proofErr w:type="spellStart"/>
      <w:r w:rsidRPr="0085737D">
        <w:rPr>
          <w:rFonts w:ascii="Times New Roman" w:eastAsia="Times New Roman" w:hAnsi="Times New Roman" w:cs="Times New Roman"/>
          <w:sz w:val="24"/>
          <w:szCs w:val="24"/>
          <w:lang w:eastAsia="en-IN"/>
        </w:rPr>
        <w:t>Vikarabad</w:t>
      </w:r>
      <w:proofErr w:type="spellEnd"/>
      <w:r w:rsidRPr="0085737D">
        <w:rPr>
          <w:rFonts w:ascii="Times New Roman" w:eastAsia="Times New Roman" w:hAnsi="Times New Roman" w:cs="Times New Roman"/>
          <w:sz w:val="24"/>
          <w:szCs w:val="24"/>
          <w:lang w:eastAsia="en-IN"/>
        </w:rPr>
        <w:t xml:space="preserve"> region ranges between </w:t>
      </w:r>
      <w:r w:rsidRPr="0085737D">
        <w:rPr>
          <w:rFonts w:ascii="Times New Roman" w:eastAsia="Times New Roman" w:hAnsi="Times New Roman" w:cs="Times New Roman"/>
          <w:b/>
          <w:bCs/>
          <w:sz w:val="24"/>
          <w:szCs w:val="24"/>
          <w:lang w:eastAsia="en-IN"/>
        </w:rPr>
        <w:t>700 and 900 mm</w:t>
      </w:r>
      <w:r w:rsidRPr="0085737D">
        <w:rPr>
          <w:rFonts w:ascii="Times New Roman" w:eastAsia="Times New Roman" w:hAnsi="Times New Roman" w:cs="Times New Roman"/>
          <w:sz w:val="24"/>
          <w:szCs w:val="24"/>
          <w:lang w:eastAsia="en-IN"/>
        </w:rPr>
        <w:t>, although significant interannual variability is observed.</w:t>
      </w:r>
    </w:p>
    <w:p w14:paraId="7D35E29D" w14:textId="77777777" w:rsidR="0085737D" w:rsidRPr="0085737D" w:rsidRDefault="0085737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Rainfall contributes to the reservoir primarily through:</w:t>
      </w:r>
    </w:p>
    <w:p w14:paraId="17438EF5" w14:textId="77777777" w:rsidR="0085737D" w:rsidRPr="0085737D" w:rsidRDefault="0085737D" w:rsidP="00BB1EBC">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Surface runoff from agricultural lands</w:t>
      </w:r>
    </w:p>
    <w:p w14:paraId="15D01277" w14:textId="77777777" w:rsidR="0085737D" w:rsidRPr="0085737D" w:rsidRDefault="0085737D" w:rsidP="00BB1EBC">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Small seasonal streams and drainage channels</w:t>
      </w:r>
    </w:p>
    <w:p w14:paraId="6A612151" w14:textId="77777777" w:rsidR="0085737D" w:rsidRPr="0085737D" w:rsidRDefault="0085737D" w:rsidP="00BB1EBC">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Direct precipitation onto the reservoir surface</w:t>
      </w:r>
    </w:p>
    <w:p w14:paraId="2B480235" w14:textId="77777777" w:rsidR="0085737D" w:rsidRPr="0085737D" w:rsidRDefault="0085737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lastRenderedPageBreak/>
        <w:t>During the monsoon season, nutrient-rich runoff from nearby agricultural fields often enters the reservoir, increasing concentrations of nitrogen and phosphorus. These nutrient inputs can stimulate phytoplankton growth and influence the trophic status of the reservoir.</w:t>
      </w:r>
    </w:p>
    <w:p w14:paraId="048986AC" w14:textId="77777777" w:rsidR="0085737D" w:rsidRPr="0085737D" w:rsidRDefault="0085737D"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85737D">
        <w:rPr>
          <w:rFonts w:ascii="Times New Roman" w:eastAsia="Times New Roman" w:hAnsi="Times New Roman" w:cs="Times New Roman"/>
          <w:b/>
          <w:bCs/>
          <w:sz w:val="24"/>
          <w:szCs w:val="24"/>
          <w:lang w:eastAsia="en-IN"/>
        </w:rPr>
        <w:t>Seasonal Variation</w:t>
      </w:r>
    </w:p>
    <w:p w14:paraId="2B0018AD" w14:textId="75C84A44" w:rsidR="0085737D" w:rsidRDefault="00CD24A1"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Chart 2: </w:t>
      </w:r>
      <w:r w:rsidR="0085737D" w:rsidRPr="0085737D">
        <w:rPr>
          <w:rFonts w:ascii="Times New Roman" w:eastAsia="Times New Roman" w:hAnsi="Times New Roman" w:cs="Times New Roman"/>
          <w:sz w:val="24"/>
          <w:szCs w:val="24"/>
          <w:lang w:eastAsia="en-IN"/>
        </w:rPr>
        <w:t>The climatic year in the region can generally be divided into three main seasons:</w:t>
      </w:r>
    </w:p>
    <w:tbl>
      <w:tblPr>
        <w:tblStyle w:val="TableGrid"/>
        <w:tblW w:w="0" w:type="auto"/>
        <w:tblLook w:val="04A0" w:firstRow="1" w:lastRow="0" w:firstColumn="1" w:lastColumn="0" w:noHBand="0" w:noVBand="1"/>
      </w:tblPr>
      <w:tblGrid>
        <w:gridCol w:w="1413"/>
        <w:gridCol w:w="2126"/>
        <w:gridCol w:w="5245"/>
      </w:tblGrid>
      <w:tr w:rsidR="00C237A6" w14:paraId="17E86E44" w14:textId="77777777" w:rsidTr="003A438C">
        <w:trPr>
          <w:trHeight w:val="406"/>
        </w:trPr>
        <w:tc>
          <w:tcPr>
            <w:tcW w:w="1413" w:type="dxa"/>
            <w:vAlign w:val="center"/>
          </w:tcPr>
          <w:p w14:paraId="0CE4BF60" w14:textId="003544F1" w:rsidR="00C237A6" w:rsidRDefault="00C237A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b/>
                <w:bCs/>
                <w:sz w:val="24"/>
                <w:szCs w:val="24"/>
                <w:lang w:eastAsia="en-IN"/>
              </w:rPr>
              <w:t>Season</w:t>
            </w:r>
          </w:p>
        </w:tc>
        <w:tc>
          <w:tcPr>
            <w:tcW w:w="2126" w:type="dxa"/>
            <w:vAlign w:val="center"/>
          </w:tcPr>
          <w:p w14:paraId="3E8E6B0A" w14:textId="16A29237" w:rsidR="00C237A6" w:rsidRDefault="00C237A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b/>
                <w:bCs/>
                <w:sz w:val="24"/>
                <w:szCs w:val="24"/>
                <w:lang w:eastAsia="en-IN"/>
              </w:rPr>
              <w:t>Period</w:t>
            </w:r>
          </w:p>
        </w:tc>
        <w:tc>
          <w:tcPr>
            <w:tcW w:w="5245" w:type="dxa"/>
            <w:vAlign w:val="center"/>
          </w:tcPr>
          <w:p w14:paraId="78AD3C11" w14:textId="75D01874" w:rsidR="00C237A6" w:rsidRDefault="00C237A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b/>
                <w:bCs/>
                <w:sz w:val="24"/>
                <w:szCs w:val="24"/>
                <w:lang w:eastAsia="en-IN"/>
              </w:rPr>
              <w:t>Key Characteristics</w:t>
            </w:r>
          </w:p>
        </w:tc>
      </w:tr>
      <w:tr w:rsidR="00C237A6" w14:paraId="5300931F" w14:textId="77777777" w:rsidTr="003A438C">
        <w:trPr>
          <w:trHeight w:val="406"/>
        </w:trPr>
        <w:tc>
          <w:tcPr>
            <w:tcW w:w="1413" w:type="dxa"/>
            <w:vAlign w:val="center"/>
          </w:tcPr>
          <w:p w14:paraId="147B363F" w14:textId="5818EEB7" w:rsidR="00C237A6" w:rsidRPr="0085737D" w:rsidRDefault="00C237A6" w:rsidP="00BB1EBC">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85737D">
              <w:rPr>
                <w:rFonts w:ascii="Times New Roman" w:eastAsia="Times New Roman" w:hAnsi="Times New Roman" w:cs="Times New Roman"/>
                <w:sz w:val="24"/>
                <w:szCs w:val="24"/>
                <w:lang w:eastAsia="en-IN"/>
              </w:rPr>
              <w:t>Summer</w:t>
            </w:r>
          </w:p>
        </w:tc>
        <w:tc>
          <w:tcPr>
            <w:tcW w:w="2126" w:type="dxa"/>
            <w:vAlign w:val="center"/>
          </w:tcPr>
          <w:p w14:paraId="55DCD578" w14:textId="4F8AD63E" w:rsidR="00C237A6" w:rsidRPr="0085737D" w:rsidRDefault="00C237A6" w:rsidP="00BB1EBC">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85737D">
              <w:rPr>
                <w:rFonts w:ascii="Times New Roman" w:eastAsia="Times New Roman" w:hAnsi="Times New Roman" w:cs="Times New Roman"/>
                <w:sz w:val="24"/>
                <w:szCs w:val="24"/>
                <w:lang w:eastAsia="en-IN"/>
              </w:rPr>
              <w:t>March – June</w:t>
            </w:r>
          </w:p>
        </w:tc>
        <w:tc>
          <w:tcPr>
            <w:tcW w:w="5245" w:type="dxa"/>
            <w:vAlign w:val="center"/>
          </w:tcPr>
          <w:p w14:paraId="13F63A7B" w14:textId="1C49FAB7" w:rsidR="00C237A6" w:rsidRPr="0085737D" w:rsidRDefault="00C237A6" w:rsidP="00BB1EBC">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85737D">
              <w:rPr>
                <w:rFonts w:ascii="Times New Roman" w:eastAsia="Times New Roman" w:hAnsi="Times New Roman" w:cs="Times New Roman"/>
                <w:sz w:val="24"/>
                <w:szCs w:val="24"/>
                <w:lang w:eastAsia="en-IN"/>
              </w:rPr>
              <w:t>High temperature, increased evaporation</w:t>
            </w:r>
          </w:p>
        </w:tc>
      </w:tr>
      <w:tr w:rsidR="00C237A6" w14:paraId="17658A78" w14:textId="77777777" w:rsidTr="003A438C">
        <w:trPr>
          <w:trHeight w:val="406"/>
        </w:trPr>
        <w:tc>
          <w:tcPr>
            <w:tcW w:w="1413" w:type="dxa"/>
            <w:vAlign w:val="center"/>
          </w:tcPr>
          <w:p w14:paraId="3207C1B2" w14:textId="2D7DD2DF" w:rsidR="00C237A6" w:rsidRPr="0085737D" w:rsidRDefault="00C237A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Monsoon</w:t>
            </w:r>
          </w:p>
        </w:tc>
        <w:tc>
          <w:tcPr>
            <w:tcW w:w="2126" w:type="dxa"/>
            <w:vAlign w:val="center"/>
          </w:tcPr>
          <w:p w14:paraId="6E9EA586" w14:textId="4F0F6E1B" w:rsidR="00C237A6" w:rsidRPr="0085737D" w:rsidRDefault="00C237A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June – September</w:t>
            </w:r>
          </w:p>
        </w:tc>
        <w:tc>
          <w:tcPr>
            <w:tcW w:w="5245" w:type="dxa"/>
            <w:vAlign w:val="center"/>
          </w:tcPr>
          <w:p w14:paraId="5740FA0B" w14:textId="1DFFEB63" w:rsidR="00C237A6" w:rsidRPr="0085737D" w:rsidRDefault="00C237A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Heavy rainfall, nutrient inflow</w:t>
            </w:r>
          </w:p>
        </w:tc>
      </w:tr>
      <w:tr w:rsidR="00C237A6" w14:paraId="467BA0B9" w14:textId="77777777" w:rsidTr="003A438C">
        <w:trPr>
          <w:trHeight w:val="406"/>
        </w:trPr>
        <w:tc>
          <w:tcPr>
            <w:tcW w:w="1413" w:type="dxa"/>
            <w:vAlign w:val="center"/>
          </w:tcPr>
          <w:p w14:paraId="4B8581ED" w14:textId="0FD1A423" w:rsidR="00C237A6" w:rsidRPr="0085737D" w:rsidRDefault="00C237A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Winter</w:t>
            </w:r>
          </w:p>
        </w:tc>
        <w:tc>
          <w:tcPr>
            <w:tcW w:w="2126" w:type="dxa"/>
            <w:vAlign w:val="center"/>
          </w:tcPr>
          <w:p w14:paraId="5BD64C18" w14:textId="78929EC4" w:rsidR="00C237A6" w:rsidRPr="0085737D" w:rsidRDefault="00C237A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October – February</w:t>
            </w:r>
          </w:p>
        </w:tc>
        <w:tc>
          <w:tcPr>
            <w:tcW w:w="5245" w:type="dxa"/>
            <w:vAlign w:val="center"/>
          </w:tcPr>
          <w:p w14:paraId="47321D3E" w14:textId="2BE1AD0E" w:rsidR="00C237A6" w:rsidRPr="0085737D" w:rsidRDefault="00C237A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Moderate temperature, relatively stable water quality</w:t>
            </w:r>
          </w:p>
        </w:tc>
      </w:tr>
    </w:tbl>
    <w:p w14:paraId="4FC65CD6" w14:textId="77777777" w:rsidR="0085737D" w:rsidRPr="0085737D" w:rsidRDefault="0085737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 xml:space="preserve">Summer temperatures can exceed </w:t>
      </w:r>
      <w:r w:rsidRPr="0085737D">
        <w:rPr>
          <w:rFonts w:ascii="Times New Roman" w:eastAsia="Times New Roman" w:hAnsi="Times New Roman" w:cs="Times New Roman"/>
          <w:b/>
          <w:bCs/>
          <w:sz w:val="24"/>
          <w:szCs w:val="24"/>
          <w:lang w:eastAsia="en-IN"/>
        </w:rPr>
        <w:t>40°C</w:t>
      </w:r>
      <w:r w:rsidRPr="0085737D">
        <w:rPr>
          <w:rFonts w:ascii="Times New Roman" w:eastAsia="Times New Roman" w:hAnsi="Times New Roman" w:cs="Times New Roman"/>
          <w:sz w:val="24"/>
          <w:szCs w:val="24"/>
          <w:lang w:eastAsia="en-IN"/>
        </w:rPr>
        <w:t>, resulting in increased evaporation rates and reduced water levels. During this period, nutrient concentrations may increase due to reduced dilution. In contrast, monsoon inflows raise water levels and introduce external nutrient loads, which often stimulate phytoplankton productivity.</w:t>
      </w:r>
    </w:p>
    <w:p w14:paraId="5E4E5D4F" w14:textId="28EA3D08" w:rsidR="0085737D" w:rsidRPr="0085737D" w:rsidRDefault="0085737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Seasonal fluctuations in temperature, rainfall, and water inflow significantly affect the physicochemical properties and biological productivity of the reservoir ecosystem.</w:t>
      </w:r>
    </w:p>
    <w:p w14:paraId="7F5E7CE8" w14:textId="77777777" w:rsidR="0085737D" w:rsidRPr="0085737D" w:rsidRDefault="0085737D" w:rsidP="00BB1EBC">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85737D">
        <w:rPr>
          <w:rFonts w:ascii="Times New Roman" w:eastAsia="Times New Roman" w:hAnsi="Times New Roman" w:cs="Times New Roman"/>
          <w:b/>
          <w:bCs/>
          <w:sz w:val="24"/>
          <w:szCs w:val="24"/>
          <w:lang w:eastAsia="en-IN"/>
        </w:rPr>
        <w:t>2.3 Reservoir Characteristics</w:t>
      </w:r>
    </w:p>
    <w:p w14:paraId="66EACEFC" w14:textId="77777777" w:rsidR="0085737D" w:rsidRPr="0085737D" w:rsidRDefault="0085737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proofErr w:type="spellStart"/>
      <w:r w:rsidRPr="0085737D">
        <w:rPr>
          <w:rFonts w:ascii="Times New Roman" w:eastAsia="Times New Roman" w:hAnsi="Times New Roman" w:cs="Times New Roman"/>
          <w:sz w:val="24"/>
          <w:szCs w:val="24"/>
          <w:lang w:eastAsia="en-IN"/>
        </w:rPr>
        <w:t>Kotpally</w:t>
      </w:r>
      <w:proofErr w:type="spellEnd"/>
      <w:r w:rsidRPr="0085737D">
        <w:rPr>
          <w:rFonts w:ascii="Times New Roman" w:eastAsia="Times New Roman" w:hAnsi="Times New Roman" w:cs="Times New Roman"/>
          <w:sz w:val="24"/>
          <w:szCs w:val="24"/>
          <w:lang w:eastAsia="en-IN"/>
        </w:rPr>
        <w:t xml:space="preserve"> Reservoir is a medium-sized irrigation reservoir designed to store water for agricultural and domestic purposes. The reservoir plays an important role in supporting irrigation systems in surrounding villages and agricultural lands.</w:t>
      </w:r>
    </w:p>
    <w:p w14:paraId="59137961" w14:textId="21C57AC3" w:rsidR="0085737D" w:rsidRDefault="00CD24A1"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Chart 3: </w:t>
      </w:r>
      <w:r w:rsidR="0085737D" w:rsidRPr="0085737D">
        <w:rPr>
          <w:rFonts w:ascii="Times New Roman" w:eastAsia="Times New Roman" w:hAnsi="Times New Roman" w:cs="Times New Roman"/>
          <w:sz w:val="24"/>
          <w:szCs w:val="24"/>
          <w:lang w:eastAsia="en-IN"/>
        </w:rPr>
        <w:t>The major physical characteristics of the reservoir are summarized below.</w:t>
      </w:r>
    </w:p>
    <w:tbl>
      <w:tblPr>
        <w:tblStyle w:val="TableGrid"/>
        <w:tblW w:w="0" w:type="auto"/>
        <w:jc w:val="center"/>
        <w:tblLook w:val="04A0" w:firstRow="1" w:lastRow="0" w:firstColumn="1" w:lastColumn="0" w:noHBand="0" w:noVBand="1"/>
      </w:tblPr>
      <w:tblGrid>
        <w:gridCol w:w="2802"/>
        <w:gridCol w:w="3342"/>
      </w:tblGrid>
      <w:tr w:rsidR="003A438C" w14:paraId="31B7C1C9" w14:textId="77777777" w:rsidTr="0047064E">
        <w:trPr>
          <w:trHeight w:val="252"/>
          <w:jc w:val="center"/>
        </w:trPr>
        <w:tc>
          <w:tcPr>
            <w:tcW w:w="0" w:type="auto"/>
            <w:vAlign w:val="center"/>
          </w:tcPr>
          <w:p w14:paraId="66E52756" w14:textId="296A3EE2" w:rsidR="003A438C" w:rsidRDefault="003A438C"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b/>
                <w:bCs/>
                <w:sz w:val="24"/>
                <w:szCs w:val="24"/>
                <w:lang w:eastAsia="en-IN"/>
              </w:rPr>
              <w:t>Parameter</w:t>
            </w:r>
          </w:p>
        </w:tc>
        <w:tc>
          <w:tcPr>
            <w:tcW w:w="0" w:type="auto"/>
            <w:vAlign w:val="center"/>
          </w:tcPr>
          <w:p w14:paraId="0022F0C8" w14:textId="6BFB376B" w:rsidR="003A438C" w:rsidRDefault="003A438C"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b/>
                <w:bCs/>
                <w:sz w:val="24"/>
                <w:szCs w:val="24"/>
                <w:lang w:eastAsia="en-IN"/>
              </w:rPr>
              <w:t>Description</w:t>
            </w:r>
          </w:p>
        </w:tc>
      </w:tr>
      <w:tr w:rsidR="003A438C" w14:paraId="038289AB" w14:textId="77777777" w:rsidTr="0047064E">
        <w:trPr>
          <w:trHeight w:val="252"/>
          <w:jc w:val="center"/>
        </w:trPr>
        <w:tc>
          <w:tcPr>
            <w:tcW w:w="0" w:type="auto"/>
            <w:vAlign w:val="center"/>
          </w:tcPr>
          <w:p w14:paraId="5A9B103D" w14:textId="41E808F0" w:rsidR="003A438C" w:rsidRPr="0085737D" w:rsidRDefault="003A438C" w:rsidP="00BB1EBC">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85737D">
              <w:rPr>
                <w:rFonts w:ascii="Times New Roman" w:eastAsia="Times New Roman" w:hAnsi="Times New Roman" w:cs="Times New Roman"/>
                <w:sz w:val="24"/>
                <w:szCs w:val="24"/>
                <w:lang w:eastAsia="en-IN"/>
              </w:rPr>
              <w:t>Type</w:t>
            </w:r>
          </w:p>
        </w:tc>
        <w:tc>
          <w:tcPr>
            <w:tcW w:w="0" w:type="auto"/>
            <w:vAlign w:val="center"/>
          </w:tcPr>
          <w:p w14:paraId="09CADC8A" w14:textId="7DABB248" w:rsidR="003A438C" w:rsidRPr="0085737D" w:rsidRDefault="003A438C" w:rsidP="00BB1EBC">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85737D">
              <w:rPr>
                <w:rFonts w:ascii="Times New Roman" w:eastAsia="Times New Roman" w:hAnsi="Times New Roman" w:cs="Times New Roman"/>
                <w:sz w:val="24"/>
                <w:szCs w:val="24"/>
                <w:lang w:eastAsia="en-IN"/>
              </w:rPr>
              <w:t>Irrigation reservoir</w:t>
            </w:r>
          </w:p>
        </w:tc>
      </w:tr>
      <w:tr w:rsidR="003A438C" w14:paraId="661CB8E6" w14:textId="77777777" w:rsidTr="0047064E">
        <w:trPr>
          <w:trHeight w:val="252"/>
          <w:jc w:val="center"/>
        </w:trPr>
        <w:tc>
          <w:tcPr>
            <w:tcW w:w="0" w:type="auto"/>
            <w:vAlign w:val="center"/>
          </w:tcPr>
          <w:p w14:paraId="48CC7734" w14:textId="76EE4005" w:rsidR="003A438C" w:rsidRPr="0085737D" w:rsidRDefault="003A438C"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Approximate Surface Area</w:t>
            </w:r>
          </w:p>
        </w:tc>
        <w:tc>
          <w:tcPr>
            <w:tcW w:w="0" w:type="auto"/>
            <w:vAlign w:val="center"/>
          </w:tcPr>
          <w:p w14:paraId="6705DEE7" w14:textId="2D1AF24F" w:rsidR="003A438C" w:rsidRPr="0085737D" w:rsidRDefault="003A438C"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~4–5 km²</w:t>
            </w:r>
          </w:p>
        </w:tc>
      </w:tr>
      <w:tr w:rsidR="003A438C" w14:paraId="1A021AD5" w14:textId="77777777" w:rsidTr="0047064E">
        <w:trPr>
          <w:trHeight w:val="252"/>
          <w:jc w:val="center"/>
        </w:trPr>
        <w:tc>
          <w:tcPr>
            <w:tcW w:w="0" w:type="auto"/>
            <w:vAlign w:val="center"/>
          </w:tcPr>
          <w:p w14:paraId="0E8D2113" w14:textId="5DCC17BF" w:rsidR="003A438C" w:rsidRPr="0085737D" w:rsidRDefault="003A438C"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Average Depth</w:t>
            </w:r>
          </w:p>
        </w:tc>
        <w:tc>
          <w:tcPr>
            <w:tcW w:w="0" w:type="auto"/>
            <w:vAlign w:val="center"/>
          </w:tcPr>
          <w:p w14:paraId="573A8568" w14:textId="79B7E754" w:rsidR="003A438C" w:rsidRPr="0085737D" w:rsidRDefault="003A438C"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6–8 m</w:t>
            </w:r>
          </w:p>
        </w:tc>
      </w:tr>
      <w:tr w:rsidR="003A438C" w14:paraId="0485FE77" w14:textId="77777777" w:rsidTr="0047064E">
        <w:trPr>
          <w:trHeight w:val="252"/>
          <w:jc w:val="center"/>
        </w:trPr>
        <w:tc>
          <w:tcPr>
            <w:tcW w:w="0" w:type="auto"/>
            <w:vAlign w:val="center"/>
          </w:tcPr>
          <w:p w14:paraId="1288D909" w14:textId="237FD381" w:rsidR="003A438C" w:rsidRPr="0085737D" w:rsidRDefault="003A438C"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Maximum Depth</w:t>
            </w:r>
          </w:p>
        </w:tc>
        <w:tc>
          <w:tcPr>
            <w:tcW w:w="0" w:type="auto"/>
            <w:vAlign w:val="center"/>
          </w:tcPr>
          <w:p w14:paraId="26FAFC0C" w14:textId="79E1BF25" w:rsidR="003A438C" w:rsidRPr="0085737D" w:rsidRDefault="003A438C"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~15 m</w:t>
            </w:r>
          </w:p>
        </w:tc>
      </w:tr>
      <w:tr w:rsidR="003A438C" w14:paraId="3F613239" w14:textId="77777777" w:rsidTr="0047064E">
        <w:trPr>
          <w:trHeight w:val="252"/>
          <w:jc w:val="center"/>
        </w:trPr>
        <w:tc>
          <w:tcPr>
            <w:tcW w:w="0" w:type="auto"/>
            <w:vAlign w:val="center"/>
          </w:tcPr>
          <w:p w14:paraId="1258627A" w14:textId="0ED099A4" w:rsidR="003A438C" w:rsidRPr="0085737D" w:rsidRDefault="003A438C"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Catchment Area</w:t>
            </w:r>
          </w:p>
        </w:tc>
        <w:tc>
          <w:tcPr>
            <w:tcW w:w="0" w:type="auto"/>
            <w:vAlign w:val="center"/>
          </w:tcPr>
          <w:p w14:paraId="63C6A202" w14:textId="73A2CF63" w:rsidR="003A438C" w:rsidRPr="0085737D" w:rsidRDefault="003A438C"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Agricultural and rural watershed</w:t>
            </w:r>
          </w:p>
        </w:tc>
      </w:tr>
    </w:tbl>
    <w:p w14:paraId="0941921F" w14:textId="77777777" w:rsidR="0085737D" w:rsidRPr="0085737D" w:rsidRDefault="0085737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lastRenderedPageBreak/>
        <w:t>The relatively shallow depth and large surface area make the reservoir susceptible to rapid temperature changes and nutrient mixing. Such conditions can promote phytoplankton growth, particularly during warm seasons.</w:t>
      </w:r>
    </w:p>
    <w:p w14:paraId="338F70D3" w14:textId="77777777" w:rsidR="0085737D" w:rsidRPr="0085737D" w:rsidRDefault="0085737D"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85737D">
        <w:rPr>
          <w:rFonts w:ascii="Times New Roman" w:eastAsia="Times New Roman" w:hAnsi="Times New Roman" w:cs="Times New Roman"/>
          <w:b/>
          <w:bCs/>
          <w:sz w:val="24"/>
          <w:szCs w:val="24"/>
          <w:lang w:eastAsia="en-IN"/>
        </w:rPr>
        <w:t>Water Usage</w:t>
      </w:r>
    </w:p>
    <w:p w14:paraId="20E82605" w14:textId="77777777" w:rsidR="0085737D" w:rsidRPr="0085737D" w:rsidRDefault="0085737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The reservoir serves multiple socioeconomic and ecological functions in the region.</w:t>
      </w:r>
    </w:p>
    <w:p w14:paraId="05075FB8" w14:textId="77777777" w:rsidR="0085737D" w:rsidRPr="0085737D" w:rsidRDefault="0085737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b/>
          <w:bCs/>
          <w:sz w:val="24"/>
          <w:szCs w:val="24"/>
          <w:lang w:eastAsia="en-IN"/>
        </w:rPr>
        <w:t>1. Irrigation</w:t>
      </w:r>
    </w:p>
    <w:p w14:paraId="06EFB76A" w14:textId="77777777" w:rsidR="0085737D" w:rsidRPr="0085737D" w:rsidRDefault="0085737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 xml:space="preserve">The primary purpose of </w:t>
      </w:r>
      <w:proofErr w:type="spellStart"/>
      <w:r w:rsidRPr="0085737D">
        <w:rPr>
          <w:rFonts w:ascii="Times New Roman" w:eastAsia="Times New Roman" w:hAnsi="Times New Roman" w:cs="Times New Roman"/>
          <w:sz w:val="24"/>
          <w:szCs w:val="24"/>
          <w:lang w:eastAsia="en-IN"/>
        </w:rPr>
        <w:t>Kotpally</w:t>
      </w:r>
      <w:proofErr w:type="spellEnd"/>
      <w:r w:rsidRPr="0085737D">
        <w:rPr>
          <w:rFonts w:ascii="Times New Roman" w:eastAsia="Times New Roman" w:hAnsi="Times New Roman" w:cs="Times New Roman"/>
          <w:sz w:val="24"/>
          <w:szCs w:val="24"/>
          <w:lang w:eastAsia="en-IN"/>
        </w:rPr>
        <w:t xml:space="preserve"> Reservoir is to provide irrigation water for agricultural lands in nearby villages. Crops commonly cultivated in the region include:</w:t>
      </w:r>
    </w:p>
    <w:p w14:paraId="355C1F5F" w14:textId="77777777" w:rsidR="0085737D" w:rsidRPr="0085737D" w:rsidRDefault="0085737D" w:rsidP="00BB1EBC">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Paddy</w:t>
      </w:r>
    </w:p>
    <w:p w14:paraId="2A2C4C64" w14:textId="77777777" w:rsidR="0085737D" w:rsidRPr="0085737D" w:rsidRDefault="0085737D" w:rsidP="00BB1EBC">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Maize</w:t>
      </w:r>
    </w:p>
    <w:p w14:paraId="007B59BF" w14:textId="77777777" w:rsidR="0085737D" w:rsidRPr="0085737D" w:rsidRDefault="0085737D" w:rsidP="00BB1EBC">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Groundnut</w:t>
      </w:r>
    </w:p>
    <w:p w14:paraId="172E9775" w14:textId="77777777" w:rsidR="0085737D" w:rsidRPr="0085737D" w:rsidRDefault="0085737D" w:rsidP="00BB1EBC">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Vegetables</w:t>
      </w:r>
    </w:p>
    <w:p w14:paraId="71751747" w14:textId="77777777" w:rsidR="0085737D" w:rsidRPr="0085737D" w:rsidRDefault="0085737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Water from the reservoir is distributed through canals and local irrigation systems.</w:t>
      </w:r>
    </w:p>
    <w:p w14:paraId="340AF7D7" w14:textId="77777777" w:rsidR="0085737D" w:rsidRPr="0085737D" w:rsidRDefault="0085737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b/>
          <w:bCs/>
          <w:sz w:val="24"/>
          <w:szCs w:val="24"/>
          <w:lang w:eastAsia="en-IN"/>
        </w:rPr>
        <w:t>2. Fisheries</w:t>
      </w:r>
    </w:p>
    <w:p w14:paraId="23D2CAB3" w14:textId="77777777" w:rsidR="0085737D" w:rsidRPr="0085737D" w:rsidRDefault="0085737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The reservoir also supports local fisheries, providing an important source of income and food for nearby communities. Fish species commonly found in the reservoir include carp varieties and other freshwater fishes.</w:t>
      </w:r>
    </w:p>
    <w:p w14:paraId="68B6F577" w14:textId="77777777" w:rsidR="0085737D" w:rsidRPr="0085737D" w:rsidRDefault="0085737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b/>
          <w:bCs/>
          <w:sz w:val="24"/>
          <w:szCs w:val="24"/>
          <w:lang w:eastAsia="en-IN"/>
        </w:rPr>
        <w:t>3. Domestic and Livelihood Uses</w:t>
      </w:r>
    </w:p>
    <w:p w14:paraId="4DF3B829" w14:textId="77777777" w:rsidR="0085737D" w:rsidRPr="0085737D" w:rsidRDefault="0085737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5737D">
        <w:rPr>
          <w:rFonts w:ascii="Times New Roman" w:eastAsia="Times New Roman" w:hAnsi="Times New Roman" w:cs="Times New Roman"/>
          <w:sz w:val="24"/>
          <w:szCs w:val="24"/>
          <w:lang w:eastAsia="en-IN"/>
        </w:rPr>
        <w:t>Local residents utilize reservoir water for livestock watering, washing, and other domestic activities. Additionally, the reservoir contributes to groundwater recharge in surrounding areas.</w:t>
      </w:r>
    </w:p>
    <w:p w14:paraId="3D7C51CF" w14:textId="77777777" w:rsidR="00223074" w:rsidRPr="00223074" w:rsidRDefault="00223074" w:rsidP="00BB1EBC">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en-IN"/>
        </w:rPr>
      </w:pPr>
      <w:r w:rsidRPr="00223074">
        <w:rPr>
          <w:rFonts w:ascii="Times New Roman" w:eastAsia="Times New Roman" w:hAnsi="Times New Roman" w:cs="Times New Roman"/>
          <w:b/>
          <w:bCs/>
          <w:kern w:val="36"/>
          <w:sz w:val="24"/>
          <w:szCs w:val="24"/>
          <w:lang w:eastAsia="en-IN"/>
        </w:rPr>
        <w:t>3. Materials and Methods</w:t>
      </w:r>
    </w:p>
    <w:p w14:paraId="797E38F1" w14:textId="1AB82F0C"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 xml:space="preserve">This section describes the procedures used for data collection, laboratory analysis, ecological index calculation, and machine learning model development to predict the trophic status of </w:t>
      </w:r>
      <w:proofErr w:type="spellStart"/>
      <w:r w:rsidRPr="00223074">
        <w:rPr>
          <w:rFonts w:ascii="Times New Roman" w:eastAsia="Times New Roman" w:hAnsi="Times New Roman" w:cs="Times New Roman"/>
          <w:sz w:val="24"/>
          <w:szCs w:val="24"/>
          <w:lang w:eastAsia="en-IN"/>
        </w:rPr>
        <w:t>Kotpally</w:t>
      </w:r>
      <w:proofErr w:type="spellEnd"/>
      <w:r w:rsidRPr="00223074">
        <w:rPr>
          <w:rFonts w:ascii="Times New Roman" w:eastAsia="Times New Roman" w:hAnsi="Times New Roman" w:cs="Times New Roman"/>
          <w:sz w:val="24"/>
          <w:szCs w:val="24"/>
          <w:lang w:eastAsia="en-IN"/>
        </w:rPr>
        <w:t xml:space="preserve"> Reservoir.</w:t>
      </w:r>
    </w:p>
    <w:p w14:paraId="7A5B6890" w14:textId="60319A1A" w:rsidR="00223074" w:rsidRDefault="00223074" w:rsidP="00BB1EBC">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b/>
          <w:bCs/>
          <w:sz w:val="24"/>
          <w:szCs w:val="24"/>
          <w:lang w:eastAsia="en-IN"/>
        </w:rPr>
        <w:t>3.1 Sampling Design</w:t>
      </w:r>
    </w:p>
    <w:p w14:paraId="7731204A" w14:textId="693A8B89" w:rsidR="003A669E" w:rsidRDefault="00223074"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b/>
          <w:bCs/>
          <w:sz w:val="24"/>
          <w:szCs w:val="24"/>
          <w:lang w:eastAsia="en-IN"/>
        </w:rPr>
        <w:lastRenderedPageBreak/>
        <w:t>Sampling Locations</w:t>
      </w:r>
    </w:p>
    <w:p w14:paraId="5955F922" w14:textId="1616D3B1" w:rsidR="00274147" w:rsidRPr="00274147" w:rsidRDefault="00274147"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proofErr w:type="spellStart"/>
      <w:r w:rsidRPr="00274147">
        <w:rPr>
          <w:rFonts w:ascii="Times New Roman" w:hAnsi="Times New Roman" w:cs="Times New Roman"/>
          <w:sz w:val="24"/>
          <w:szCs w:val="24"/>
        </w:rPr>
        <w:t>Kotpally</w:t>
      </w:r>
      <w:proofErr w:type="spellEnd"/>
      <w:r w:rsidRPr="00274147">
        <w:rPr>
          <w:rFonts w:ascii="Times New Roman" w:hAnsi="Times New Roman" w:cs="Times New Roman"/>
          <w:sz w:val="24"/>
          <w:szCs w:val="24"/>
        </w:rPr>
        <w:t xml:space="preserve"> Reservoir (approx. coordinates 17.38°N, 77.74°E; elevation ≈ 560 m above mean sea level) is a small–to–medium irrigation impoundment in </w:t>
      </w:r>
      <w:proofErr w:type="spellStart"/>
      <w:r w:rsidRPr="00274147">
        <w:rPr>
          <w:rFonts w:ascii="Times New Roman" w:hAnsi="Times New Roman" w:cs="Times New Roman"/>
          <w:sz w:val="24"/>
          <w:szCs w:val="24"/>
        </w:rPr>
        <w:t>Vikarabad</w:t>
      </w:r>
      <w:proofErr w:type="spellEnd"/>
      <w:r w:rsidRPr="00274147">
        <w:rPr>
          <w:rFonts w:ascii="Times New Roman" w:hAnsi="Times New Roman" w:cs="Times New Roman"/>
          <w:sz w:val="24"/>
          <w:szCs w:val="24"/>
        </w:rPr>
        <w:t xml:space="preserve"> district, Telangana (Fig. </w:t>
      </w:r>
      <w:r w:rsidR="00FF7FAE">
        <w:rPr>
          <w:rFonts w:ascii="Times New Roman" w:hAnsi="Times New Roman" w:cs="Times New Roman"/>
          <w:sz w:val="24"/>
          <w:szCs w:val="24"/>
        </w:rPr>
        <w:t>4</w:t>
      </w:r>
      <w:r w:rsidRPr="00274147">
        <w:rPr>
          <w:rFonts w:ascii="Times New Roman" w:hAnsi="Times New Roman" w:cs="Times New Roman"/>
          <w:sz w:val="24"/>
          <w:szCs w:val="24"/>
        </w:rPr>
        <w:t xml:space="preserve">). The reservoir receives seasonal inflow from local tributaries and is used primarily for irrigation, livestock watering and small-scale fisheries. Figure </w:t>
      </w:r>
      <w:r w:rsidR="00FF7FAE">
        <w:rPr>
          <w:rFonts w:ascii="Times New Roman" w:hAnsi="Times New Roman" w:cs="Times New Roman"/>
          <w:sz w:val="24"/>
          <w:szCs w:val="24"/>
        </w:rPr>
        <w:t>4</w:t>
      </w:r>
      <w:r w:rsidRPr="00274147">
        <w:rPr>
          <w:rFonts w:ascii="Times New Roman" w:hAnsi="Times New Roman" w:cs="Times New Roman"/>
          <w:sz w:val="24"/>
          <w:szCs w:val="24"/>
        </w:rPr>
        <w:t xml:space="preserve">. Map of </w:t>
      </w:r>
      <w:proofErr w:type="spellStart"/>
      <w:r w:rsidRPr="00274147">
        <w:rPr>
          <w:rFonts w:ascii="Times New Roman" w:hAnsi="Times New Roman" w:cs="Times New Roman"/>
          <w:sz w:val="24"/>
          <w:szCs w:val="24"/>
        </w:rPr>
        <w:t>Kotpally</w:t>
      </w:r>
      <w:proofErr w:type="spellEnd"/>
      <w:r w:rsidRPr="00274147">
        <w:rPr>
          <w:rFonts w:ascii="Times New Roman" w:hAnsi="Times New Roman" w:cs="Times New Roman"/>
          <w:sz w:val="24"/>
          <w:szCs w:val="24"/>
        </w:rPr>
        <w:t xml:space="preserve"> Reservoir showing sampling stations (S1–S5) in </w:t>
      </w:r>
      <w:proofErr w:type="spellStart"/>
      <w:r w:rsidRPr="00274147">
        <w:rPr>
          <w:rFonts w:ascii="Times New Roman" w:hAnsi="Times New Roman" w:cs="Times New Roman"/>
          <w:sz w:val="24"/>
          <w:szCs w:val="24"/>
        </w:rPr>
        <w:t>Vikarabad</w:t>
      </w:r>
      <w:proofErr w:type="spellEnd"/>
      <w:r w:rsidRPr="00274147">
        <w:rPr>
          <w:rFonts w:ascii="Times New Roman" w:hAnsi="Times New Roman" w:cs="Times New Roman"/>
          <w:sz w:val="24"/>
          <w:szCs w:val="24"/>
        </w:rPr>
        <w:t xml:space="preserve"> District, Telangana</w:t>
      </w:r>
      <w:r w:rsidR="00735FAF">
        <w:rPr>
          <w:rFonts w:ascii="Times New Roman" w:hAnsi="Times New Roman" w:cs="Times New Roman"/>
          <w:sz w:val="24"/>
          <w:szCs w:val="24"/>
        </w:rPr>
        <w:t xml:space="preserve"> (Sampath et al., 2025)</w:t>
      </w:r>
      <w:r w:rsidRPr="00274147">
        <w:rPr>
          <w:rFonts w:ascii="Times New Roman" w:hAnsi="Times New Roman" w:cs="Times New Roman"/>
          <w:sz w:val="24"/>
          <w:szCs w:val="24"/>
        </w:rPr>
        <w:t>.</w:t>
      </w:r>
    </w:p>
    <w:p w14:paraId="1879370F" w14:textId="26F19D7A" w:rsid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 xml:space="preserve">Water samples were collected from </w:t>
      </w:r>
      <w:r w:rsidRPr="00223074">
        <w:rPr>
          <w:rFonts w:ascii="Times New Roman" w:eastAsia="Times New Roman" w:hAnsi="Times New Roman" w:cs="Times New Roman"/>
          <w:b/>
          <w:bCs/>
          <w:sz w:val="24"/>
          <w:szCs w:val="24"/>
          <w:lang w:eastAsia="en-IN"/>
        </w:rPr>
        <w:t>five representative sampling stations</w:t>
      </w:r>
      <w:r w:rsidRPr="00223074">
        <w:rPr>
          <w:rFonts w:ascii="Times New Roman" w:eastAsia="Times New Roman" w:hAnsi="Times New Roman" w:cs="Times New Roman"/>
          <w:sz w:val="24"/>
          <w:szCs w:val="24"/>
          <w:lang w:eastAsia="en-IN"/>
        </w:rPr>
        <w:t xml:space="preserve"> in </w:t>
      </w:r>
      <w:proofErr w:type="spellStart"/>
      <w:r w:rsidRPr="00223074">
        <w:rPr>
          <w:rFonts w:ascii="Times New Roman" w:eastAsia="Times New Roman" w:hAnsi="Times New Roman" w:cs="Times New Roman"/>
          <w:sz w:val="24"/>
          <w:szCs w:val="24"/>
          <w:lang w:eastAsia="en-IN"/>
        </w:rPr>
        <w:t>Kotpally</w:t>
      </w:r>
      <w:proofErr w:type="spellEnd"/>
      <w:r w:rsidRPr="00223074">
        <w:rPr>
          <w:rFonts w:ascii="Times New Roman" w:eastAsia="Times New Roman" w:hAnsi="Times New Roman" w:cs="Times New Roman"/>
          <w:sz w:val="24"/>
          <w:szCs w:val="24"/>
          <w:lang w:eastAsia="en-IN"/>
        </w:rPr>
        <w:t xml:space="preserve"> Reservoir to capture spatial variation in water quality and phytoplankton distribution.</w:t>
      </w:r>
    </w:p>
    <w:p w14:paraId="02654763" w14:textId="77777777" w:rsidR="00CD24A1" w:rsidRDefault="00CD24A1" w:rsidP="00CD24A1">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CHART 4. </w:t>
      </w:r>
      <w:r w:rsidRPr="00223074">
        <w:rPr>
          <w:rFonts w:ascii="Times New Roman" w:eastAsia="Times New Roman" w:hAnsi="Times New Roman" w:cs="Times New Roman"/>
          <w:b/>
          <w:bCs/>
          <w:sz w:val="24"/>
          <w:szCs w:val="24"/>
          <w:lang w:eastAsia="en-IN"/>
        </w:rPr>
        <w:t>five representative sampling stations</w:t>
      </w:r>
      <w:r w:rsidRPr="00223074">
        <w:rPr>
          <w:rFonts w:ascii="Times New Roman" w:eastAsia="Times New Roman" w:hAnsi="Times New Roman" w:cs="Times New Roman"/>
          <w:sz w:val="24"/>
          <w:szCs w:val="24"/>
          <w:lang w:eastAsia="en-IN"/>
        </w:rPr>
        <w:t xml:space="preserve"> in </w:t>
      </w:r>
      <w:proofErr w:type="spellStart"/>
      <w:r w:rsidRPr="00223074">
        <w:rPr>
          <w:rFonts w:ascii="Times New Roman" w:eastAsia="Times New Roman" w:hAnsi="Times New Roman" w:cs="Times New Roman"/>
          <w:sz w:val="24"/>
          <w:szCs w:val="24"/>
          <w:lang w:eastAsia="en-IN"/>
        </w:rPr>
        <w:t>Kotpally</w:t>
      </w:r>
      <w:proofErr w:type="spellEnd"/>
      <w:r w:rsidRPr="00223074">
        <w:rPr>
          <w:rFonts w:ascii="Times New Roman" w:eastAsia="Times New Roman" w:hAnsi="Times New Roman" w:cs="Times New Roman"/>
          <w:sz w:val="24"/>
          <w:szCs w:val="24"/>
          <w:lang w:eastAsia="en-IN"/>
        </w:rPr>
        <w:t xml:space="preserve"> Reservoir to capture spatial variation in water quality and phytoplankton distribution</w:t>
      </w:r>
    </w:p>
    <w:tbl>
      <w:tblPr>
        <w:tblStyle w:val="TableGrid"/>
        <w:tblW w:w="0" w:type="auto"/>
        <w:jc w:val="center"/>
        <w:tblLook w:val="04A0" w:firstRow="1" w:lastRow="0" w:firstColumn="1" w:lastColumn="0" w:noHBand="0" w:noVBand="1"/>
      </w:tblPr>
      <w:tblGrid>
        <w:gridCol w:w="950"/>
        <w:gridCol w:w="1729"/>
        <w:gridCol w:w="3776"/>
      </w:tblGrid>
      <w:tr w:rsidR="0047064E" w14:paraId="39CA244D" w14:textId="77777777" w:rsidTr="00274147">
        <w:trPr>
          <w:trHeight w:val="252"/>
          <w:jc w:val="center"/>
        </w:trPr>
        <w:tc>
          <w:tcPr>
            <w:tcW w:w="0" w:type="auto"/>
            <w:vAlign w:val="center"/>
          </w:tcPr>
          <w:p w14:paraId="540E33F2" w14:textId="0F8263DA" w:rsidR="0047064E" w:rsidRDefault="0047064E"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b/>
                <w:bCs/>
                <w:sz w:val="24"/>
                <w:szCs w:val="24"/>
                <w:lang w:eastAsia="en-IN"/>
              </w:rPr>
              <w:t>Station</w:t>
            </w:r>
          </w:p>
        </w:tc>
        <w:tc>
          <w:tcPr>
            <w:tcW w:w="0" w:type="auto"/>
            <w:vAlign w:val="center"/>
          </w:tcPr>
          <w:p w14:paraId="3FEBBFF4" w14:textId="183D4AF6" w:rsidR="0047064E" w:rsidRDefault="0047064E"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b/>
                <w:bCs/>
                <w:sz w:val="24"/>
                <w:szCs w:val="24"/>
                <w:lang w:eastAsia="en-IN"/>
              </w:rPr>
              <w:t>Location Type</w:t>
            </w:r>
          </w:p>
        </w:tc>
        <w:tc>
          <w:tcPr>
            <w:tcW w:w="0" w:type="auto"/>
            <w:vAlign w:val="center"/>
          </w:tcPr>
          <w:p w14:paraId="522FCE4E" w14:textId="02716BA7" w:rsidR="0047064E" w:rsidRDefault="0047064E"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b/>
                <w:bCs/>
                <w:sz w:val="24"/>
                <w:szCs w:val="24"/>
                <w:lang w:eastAsia="en-IN"/>
              </w:rPr>
              <w:t>Description</w:t>
            </w:r>
          </w:p>
        </w:tc>
      </w:tr>
      <w:tr w:rsidR="0047064E" w14:paraId="0C7169ED" w14:textId="77777777" w:rsidTr="00274147">
        <w:trPr>
          <w:trHeight w:val="252"/>
          <w:jc w:val="center"/>
        </w:trPr>
        <w:tc>
          <w:tcPr>
            <w:tcW w:w="0" w:type="auto"/>
            <w:vAlign w:val="center"/>
          </w:tcPr>
          <w:p w14:paraId="6FA1CC63" w14:textId="75F96C4E" w:rsidR="0047064E" w:rsidRPr="00223074" w:rsidRDefault="0047064E" w:rsidP="00BB1EBC">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sz w:val="24"/>
                <w:szCs w:val="24"/>
                <w:lang w:eastAsia="en-IN"/>
              </w:rPr>
              <w:t>S1</w:t>
            </w:r>
          </w:p>
        </w:tc>
        <w:tc>
          <w:tcPr>
            <w:tcW w:w="0" w:type="auto"/>
            <w:vAlign w:val="center"/>
          </w:tcPr>
          <w:p w14:paraId="2D2ADEC3" w14:textId="7CBCE9EA" w:rsidR="0047064E" w:rsidRPr="00223074" w:rsidRDefault="0047064E" w:rsidP="00BB1EBC">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sz w:val="24"/>
                <w:szCs w:val="24"/>
                <w:lang w:eastAsia="en-IN"/>
              </w:rPr>
              <w:t>Inlet Zone</w:t>
            </w:r>
          </w:p>
        </w:tc>
        <w:tc>
          <w:tcPr>
            <w:tcW w:w="0" w:type="auto"/>
            <w:vAlign w:val="center"/>
          </w:tcPr>
          <w:p w14:paraId="60B0AEC9" w14:textId="7666A054" w:rsidR="0047064E" w:rsidRPr="00223074" w:rsidRDefault="0047064E" w:rsidP="00BB1EBC">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sz w:val="24"/>
                <w:szCs w:val="24"/>
                <w:lang w:eastAsia="en-IN"/>
              </w:rPr>
              <w:t>Area receiving inflow and runoff</w:t>
            </w:r>
          </w:p>
        </w:tc>
      </w:tr>
      <w:tr w:rsidR="0047064E" w14:paraId="68451ED5" w14:textId="77777777" w:rsidTr="00274147">
        <w:trPr>
          <w:trHeight w:val="252"/>
          <w:jc w:val="center"/>
        </w:trPr>
        <w:tc>
          <w:tcPr>
            <w:tcW w:w="0" w:type="auto"/>
            <w:vAlign w:val="center"/>
          </w:tcPr>
          <w:p w14:paraId="6C3F23E3" w14:textId="3EBCC5BE" w:rsidR="0047064E" w:rsidRPr="00223074" w:rsidRDefault="0047064E"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S2</w:t>
            </w:r>
          </w:p>
        </w:tc>
        <w:tc>
          <w:tcPr>
            <w:tcW w:w="0" w:type="auto"/>
            <w:vAlign w:val="center"/>
          </w:tcPr>
          <w:p w14:paraId="4D50A0B1" w14:textId="6AFAE73B" w:rsidR="0047064E" w:rsidRPr="00223074" w:rsidRDefault="0047064E"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Littoral Zone</w:t>
            </w:r>
          </w:p>
        </w:tc>
        <w:tc>
          <w:tcPr>
            <w:tcW w:w="0" w:type="auto"/>
            <w:vAlign w:val="center"/>
          </w:tcPr>
          <w:p w14:paraId="29318F6D" w14:textId="3685C123" w:rsidR="0047064E" w:rsidRPr="00223074" w:rsidRDefault="0047064E"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Shallow region near the shore</w:t>
            </w:r>
          </w:p>
        </w:tc>
      </w:tr>
      <w:tr w:rsidR="0047064E" w14:paraId="2671128F" w14:textId="77777777" w:rsidTr="00274147">
        <w:trPr>
          <w:trHeight w:val="252"/>
          <w:jc w:val="center"/>
        </w:trPr>
        <w:tc>
          <w:tcPr>
            <w:tcW w:w="0" w:type="auto"/>
            <w:vAlign w:val="center"/>
          </w:tcPr>
          <w:p w14:paraId="1E8E7726" w14:textId="5AE1B10B" w:rsidR="0047064E" w:rsidRPr="00223074" w:rsidRDefault="0047064E"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S3</w:t>
            </w:r>
          </w:p>
        </w:tc>
        <w:tc>
          <w:tcPr>
            <w:tcW w:w="0" w:type="auto"/>
            <w:vAlign w:val="center"/>
          </w:tcPr>
          <w:p w14:paraId="5A7DB9FB" w14:textId="1F51DC93" w:rsidR="0047064E" w:rsidRPr="00223074" w:rsidRDefault="0047064E"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Mid-Reservoir</w:t>
            </w:r>
          </w:p>
        </w:tc>
        <w:tc>
          <w:tcPr>
            <w:tcW w:w="0" w:type="auto"/>
            <w:vAlign w:val="center"/>
          </w:tcPr>
          <w:p w14:paraId="2454AF79" w14:textId="2287A442" w:rsidR="0047064E" w:rsidRPr="00223074" w:rsidRDefault="0047064E"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Open water pelagic zone</w:t>
            </w:r>
          </w:p>
        </w:tc>
      </w:tr>
      <w:tr w:rsidR="0047064E" w14:paraId="6434B6CE" w14:textId="77777777" w:rsidTr="00274147">
        <w:trPr>
          <w:trHeight w:val="252"/>
          <w:jc w:val="center"/>
        </w:trPr>
        <w:tc>
          <w:tcPr>
            <w:tcW w:w="0" w:type="auto"/>
            <w:vAlign w:val="center"/>
          </w:tcPr>
          <w:p w14:paraId="1B746974" w14:textId="5555E50F" w:rsidR="0047064E" w:rsidRPr="00223074" w:rsidRDefault="0047064E"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S4</w:t>
            </w:r>
          </w:p>
        </w:tc>
        <w:tc>
          <w:tcPr>
            <w:tcW w:w="0" w:type="auto"/>
            <w:vAlign w:val="center"/>
          </w:tcPr>
          <w:p w14:paraId="5BFE48B4" w14:textId="5B4163B0" w:rsidR="0047064E" w:rsidRPr="00223074" w:rsidRDefault="0047064E"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Outlet Zone</w:t>
            </w:r>
          </w:p>
        </w:tc>
        <w:tc>
          <w:tcPr>
            <w:tcW w:w="0" w:type="auto"/>
            <w:vAlign w:val="center"/>
          </w:tcPr>
          <w:p w14:paraId="4537F8C2" w14:textId="769A3EB6" w:rsidR="0047064E" w:rsidRPr="00223074" w:rsidRDefault="0047064E"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Near irrigation water release</w:t>
            </w:r>
          </w:p>
        </w:tc>
      </w:tr>
      <w:tr w:rsidR="0047064E" w14:paraId="2EDDDE59" w14:textId="77777777" w:rsidTr="00274147">
        <w:trPr>
          <w:trHeight w:val="252"/>
          <w:jc w:val="center"/>
        </w:trPr>
        <w:tc>
          <w:tcPr>
            <w:tcW w:w="0" w:type="auto"/>
            <w:vAlign w:val="center"/>
          </w:tcPr>
          <w:p w14:paraId="2E7BDDD6" w14:textId="10A7BC79" w:rsidR="0047064E" w:rsidRPr="00223074" w:rsidRDefault="0047064E"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S5</w:t>
            </w:r>
          </w:p>
        </w:tc>
        <w:tc>
          <w:tcPr>
            <w:tcW w:w="0" w:type="auto"/>
            <w:vAlign w:val="center"/>
          </w:tcPr>
          <w:p w14:paraId="60FA1868" w14:textId="0DF63405" w:rsidR="0047064E" w:rsidRPr="00223074" w:rsidRDefault="0047064E"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Nearshore Area</w:t>
            </w:r>
          </w:p>
        </w:tc>
        <w:tc>
          <w:tcPr>
            <w:tcW w:w="0" w:type="auto"/>
            <w:vAlign w:val="center"/>
          </w:tcPr>
          <w:p w14:paraId="75873A6D" w14:textId="393650ED" w:rsidR="0047064E" w:rsidRPr="00223074" w:rsidRDefault="0047064E"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Region influenced by human activity</w:t>
            </w:r>
          </w:p>
        </w:tc>
      </w:tr>
    </w:tbl>
    <w:p w14:paraId="3F9C0BA8" w14:textId="2921B171"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These stations were selected to represent variations in nutrient inflow, water circulation, and biological productivity within the reservoir.</w:t>
      </w:r>
    </w:p>
    <w:p w14:paraId="6077FCA7" w14:textId="77777777" w:rsidR="00223074" w:rsidRPr="00223074" w:rsidRDefault="00223074"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b/>
          <w:bCs/>
          <w:sz w:val="24"/>
          <w:szCs w:val="24"/>
          <w:lang w:eastAsia="en-IN"/>
        </w:rPr>
        <w:t>Sampling Frequency</w:t>
      </w:r>
    </w:p>
    <w:p w14:paraId="76247D96" w14:textId="77777777"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 xml:space="preserve">Sampling was conducted </w:t>
      </w:r>
      <w:r w:rsidRPr="00223074">
        <w:rPr>
          <w:rFonts w:ascii="Times New Roman" w:eastAsia="Times New Roman" w:hAnsi="Times New Roman" w:cs="Times New Roman"/>
          <w:b/>
          <w:bCs/>
          <w:sz w:val="24"/>
          <w:szCs w:val="24"/>
          <w:lang w:eastAsia="en-IN"/>
        </w:rPr>
        <w:t>monthly over a period of one year</w:t>
      </w:r>
      <w:r w:rsidRPr="00223074">
        <w:rPr>
          <w:rFonts w:ascii="Times New Roman" w:eastAsia="Times New Roman" w:hAnsi="Times New Roman" w:cs="Times New Roman"/>
          <w:sz w:val="24"/>
          <w:szCs w:val="24"/>
          <w:lang w:eastAsia="en-IN"/>
        </w:rPr>
        <w:t xml:space="preserve"> to capture seasonal variation in environmental parameters.</w:t>
      </w:r>
    </w:p>
    <w:p w14:paraId="70F2EB69" w14:textId="28271E8F" w:rsidR="00223074" w:rsidRDefault="00CD24A1"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Chart 5: </w:t>
      </w:r>
      <w:r w:rsidR="00223074" w:rsidRPr="00223074">
        <w:rPr>
          <w:rFonts w:ascii="Times New Roman" w:eastAsia="Times New Roman" w:hAnsi="Times New Roman" w:cs="Times New Roman"/>
          <w:sz w:val="24"/>
          <w:szCs w:val="24"/>
          <w:lang w:eastAsia="en-IN"/>
        </w:rPr>
        <w:t>The sampling schedule covered the three major climatic seasons:</w:t>
      </w:r>
    </w:p>
    <w:tbl>
      <w:tblPr>
        <w:tblStyle w:val="TableGrid"/>
        <w:tblW w:w="0" w:type="auto"/>
        <w:jc w:val="center"/>
        <w:tblLook w:val="04A0" w:firstRow="1" w:lastRow="0" w:firstColumn="1" w:lastColumn="0" w:noHBand="0" w:noVBand="1"/>
      </w:tblPr>
      <w:tblGrid>
        <w:gridCol w:w="2917"/>
        <w:gridCol w:w="2917"/>
      </w:tblGrid>
      <w:tr w:rsidR="0047064E" w14:paraId="6ADC75C0" w14:textId="77777777" w:rsidTr="0047064E">
        <w:trPr>
          <w:trHeight w:val="226"/>
          <w:jc w:val="center"/>
        </w:trPr>
        <w:tc>
          <w:tcPr>
            <w:tcW w:w="2917" w:type="dxa"/>
            <w:vAlign w:val="center"/>
          </w:tcPr>
          <w:p w14:paraId="161E8991" w14:textId="1F216E4D" w:rsidR="0047064E" w:rsidRDefault="0047064E"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b/>
                <w:bCs/>
                <w:sz w:val="24"/>
                <w:szCs w:val="24"/>
                <w:lang w:eastAsia="en-IN"/>
              </w:rPr>
              <w:t>Season</w:t>
            </w:r>
          </w:p>
        </w:tc>
        <w:tc>
          <w:tcPr>
            <w:tcW w:w="2917" w:type="dxa"/>
            <w:vAlign w:val="center"/>
          </w:tcPr>
          <w:p w14:paraId="2C903301" w14:textId="609136BE" w:rsidR="0047064E" w:rsidRDefault="0047064E"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b/>
                <w:bCs/>
                <w:sz w:val="24"/>
                <w:szCs w:val="24"/>
                <w:lang w:eastAsia="en-IN"/>
              </w:rPr>
              <w:t>Months</w:t>
            </w:r>
          </w:p>
        </w:tc>
      </w:tr>
      <w:tr w:rsidR="0047064E" w14:paraId="1FF15B34" w14:textId="77777777" w:rsidTr="0047064E">
        <w:trPr>
          <w:trHeight w:val="226"/>
          <w:jc w:val="center"/>
        </w:trPr>
        <w:tc>
          <w:tcPr>
            <w:tcW w:w="2917" w:type="dxa"/>
            <w:vAlign w:val="center"/>
          </w:tcPr>
          <w:p w14:paraId="761798D1" w14:textId="094491A4" w:rsidR="0047064E" w:rsidRPr="00223074" w:rsidRDefault="0047064E" w:rsidP="00BB1EBC">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sz w:val="24"/>
                <w:szCs w:val="24"/>
                <w:lang w:eastAsia="en-IN"/>
              </w:rPr>
              <w:t>Summer</w:t>
            </w:r>
          </w:p>
        </w:tc>
        <w:tc>
          <w:tcPr>
            <w:tcW w:w="2917" w:type="dxa"/>
            <w:vAlign w:val="center"/>
          </w:tcPr>
          <w:p w14:paraId="024E8A5B" w14:textId="2693F973" w:rsidR="0047064E" w:rsidRPr="00223074" w:rsidRDefault="0047064E" w:rsidP="00BB1EBC">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sz w:val="24"/>
                <w:szCs w:val="24"/>
                <w:lang w:eastAsia="en-IN"/>
              </w:rPr>
              <w:t>March – June</w:t>
            </w:r>
          </w:p>
        </w:tc>
      </w:tr>
      <w:tr w:rsidR="0047064E" w14:paraId="0DCC2705" w14:textId="77777777" w:rsidTr="0047064E">
        <w:trPr>
          <w:trHeight w:val="226"/>
          <w:jc w:val="center"/>
        </w:trPr>
        <w:tc>
          <w:tcPr>
            <w:tcW w:w="2917" w:type="dxa"/>
            <w:vAlign w:val="center"/>
          </w:tcPr>
          <w:p w14:paraId="5C4CC2B2" w14:textId="6C01B2AC" w:rsidR="0047064E" w:rsidRPr="00223074" w:rsidRDefault="0047064E"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Monsoon</w:t>
            </w:r>
          </w:p>
        </w:tc>
        <w:tc>
          <w:tcPr>
            <w:tcW w:w="2917" w:type="dxa"/>
            <w:vAlign w:val="center"/>
          </w:tcPr>
          <w:p w14:paraId="07D5FF3C" w14:textId="183051BE" w:rsidR="0047064E" w:rsidRPr="00223074" w:rsidRDefault="0047064E"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July – September</w:t>
            </w:r>
          </w:p>
        </w:tc>
      </w:tr>
      <w:tr w:rsidR="0047064E" w14:paraId="2E8F42E9" w14:textId="77777777" w:rsidTr="0047064E">
        <w:trPr>
          <w:trHeight w:val="226"/>
          <w:jc w:val="center"/>
        </w:trPr>
        <w:tc>
          <w:tcPr>
            <w:tcW w:w="2917" w:type="dxa"/>
            <w:vAlign w:val="center"/>
          </w:tcPr>
          <w:p w14:paraId="20544B66" w14:textId="4906C274" w:rsidR="0047064E" w:rsidRPr="00223074" w:rsidRDefault="0047064E"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Winter</w:t>
            </w:r>
          </w:p>
        </w:tc>
        <w:tc>
          <w:tcPr>
            <w:tcW w:w="2917" w:type="dxa"/>
            <w:vAlign w:val="center"/>
          </w:tcPr>
          <w:p w14:paraId="5CDD4652" w14:textId="235EC5DE" w:rsidR="0047064E" w:rsidRPr="00223074" w:rsidRDefault="0047064E"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October – February</w:t>
            </w:r>
          </w:p>
        </w:tc>
      </w:tr>
    </w:tbl>
    <w:p w14:paraId="062D406D" w14:textId="46592825"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lastRenderedPageBreak/>
        <w:t>Seasonal sampling allowed evaluation of climatic influences on limnological conditions and phytoplankton dynamics.</w:t>
      </w:r>
    </w:p>
    <w:p w14:paraId="110D39DE" w14:textId="77777777" w:rsidR="00223074" w:rsidRPr="00223074" w:rsidRDefault="00223074"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b/>
          <w:bCs/>
          <w:sz w:val="24"/>
          <w:szCs w:val="24"/>
          <w:lang w:eastAsia="en-IN"/>
        </w:rPr>
        <w:t>Field Methodology</w:t>
      </w:r>
    </w:p>
    <w:p w14:paraId="4371A9D4" w14:textId="77777777"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 xml:space="preserve">Water samples were collected using </w:t>
      </w:r>
      <w:r w:rsidRPr="00223074">
        <w:rPr>
          <w:rFonts w:ascii="Times New Roman" w:eastAsia="Times New Roman" w:hAnsi="Times New Roman" w:cs="Times New Roman"/>
          <w:b/>
          <w:bCs/>
          <w:sz w:val="24"/>
          <w:szCs w:val="24"/>
          <w:lang w:eastAsia="en-IN"/>
        </w:rPr>
        <w:t>sterilized polyethylene bottles</w:t>
      </w:r>
      <w:r w:rsidRPr="00223074">
        <w:rPr>
          <w:rFonts w:ascii="Times New Roman" w:eastAsia="Times New Roman" w:hAnsi="Times New Roman" w:cs="Times New Roman"/>
          <w:sz w:val="24"/>
          <w:szCs w:val="24"/>
          <w:lang w:eastAsia="en-IN"/>
        </w:rPr>
        <w:t xml:space="preserve"> from approximately </w:t>
      </w:r>
      <w:r w:rsidRPr="00223074">
        <w:rPr>
          <w:rFonts w:ascii="Times New Roman" w:eastAsia="Times New Roman" w:hAnsi="Times New Roman" w:cs="Times New Roman"/>
          <w:b/>
          <w:bCs/>
          <w:sz w:val="24"/>
          <w:szCs w:val="24"/>
          <w:lang w:eastAsia="en-IN"/>
        </w:rPr>
        <w:t>30–50 cm below the water surface</w:t>
      </w:r>
      <w:r w:rsidRPr="00223074">
        <w:rPr>
          <w:rFonts w:ascii="Times New Roman" w:eastAsia="Times New Roman" w:hAnsi="Times New Roman" w:cs="Times New Roman"/>
          <w:sz w:val="24"/>
          <w:szCs w:val="24"/>
          <w:lang w:eastAsia="en-IN"/>
        </w:rPr>
        <w:t xml:space="preserve"> to avoid contamination from surface debris.</w:t>
      </w:r>
    </w:p>
    <w:p w14:paraId="7A8CFBFC" w14:textId="77777777"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Field measurements included:</w:t>
      </w:r>
    </w:p>
    <w:p w14:paraId="0DABE7D0" w14:textId="77777777" w:rsidR="00223074" w:rsidRPr="00223074" w:rsidRDefault="00223074" w:rsidP="00BB1EBC">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Water temperature measured using a digital thermometer</w:t>
      </w:r>
    </w:p>
    <w:p w14:paraId="16E8D462" w14:textId="77777777" w:rsidR="00223074" w:rsidRPr="00223074" w:rsidRDefault="00223074" w:rsidP="00BB1EBC">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pH measured using a portable pH meter</w:t>
      </w:r>
    </w:p>
    <w:p w14:paraId="7D286174" w14:textId="77777777" w:rsidR="00223074" w:rsidRPr="00223074" w:rsidRDefault="00223074" w:rsidP="00BB1EBC">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Dissolved oxygen measured using a DO meter</w:t>
      </w:r>
    </w:p>
    <w:p w14:paraId="6BF239DA" w14:textId="0FA6535A"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 xml:space="preserve">Collected samples were stored in iceboxes and transported to the laboratory for further analysis following standard methods recommended by the </w:t>
      </w:r>
      <w:r w:rsidRPr="00223074">
        <w:rPr>
          <w:rFonts w:ascii="Times New Roman" w:eastAsia="Times New Roman" w:hAnsi="Times New Roman" w:cs="Times New Roman"/>
          <w:b/>
          <w:bCs/>
          <w:sz w:val="24"/>
          <w:szCs w:val="24"/>
          <w:lang w:eastAsia="en-IN"/>
        </w:rPr>
        <w:t>American Public Health Association (APHA, 2017)</w:t>
      </w:r>
      <w:r w:rsidRPr="00223074">
        <w:rPr>
          <w:rFonts w:ascii="Times New Roman" w:eastAsia="Times New Roman" w:hAnsi="Times New Roman" w:cs="Times New Roman"/>
          <w:sz w:val="24"/>
          <w:szCs w:val="24"/>
          <w:lang w:eastAsia="en-IN"/>
        </w:rPr>
        <w:t>.</w:t>
      </w:r>
    </w:p>
    <w:p w14:paraId="46A23FA7" w14:textId="77777777" w:rsidR="00223074" w:rsidRPr="00223074" w:rsidRDefault="00223074" w:rsidP="00BB1EBC">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en-IN"/>
        </w:rPr>
      </w:pPr>
      <w:r w:rsidRPr="00223074">
        <w:rPr>
          <w:rFonts w:ascii="Times New Roman" w:eastAsia="Times New Roman" w:hAnsi="Times New Roman" w:cs="Times New Roman"/>
          <w:b/>
          <w:bCs/>
          <w:kern w:val="36"/>
          <w:sz w:val="24"/>
          <w:szCs w:val="24"/>
          <w:lang w:eastAsia="en-IN"/>
        </w:rPr>
        <w:t>3.2 Limnological Parameters</w:t>
      </w:r>
    </w:p>
    <w:p w14:paraId="5970D364" w14:textId="047B93FC" w:rsidR="00223074" w:rsidRDefault="00CD24A1"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Chart 6: </w:t>
      </w:r>
      <w:r w:rsidR="00223074" w:rsidRPr="00223074">
        <w:rPr>
          <w:rFonts w:ascii="Times New Roman" w:eastAsia="Times New Roman" w:hAnsi="Times New Roman" w:cs="Times New Roman"/>
          <w:sz w:val="24"/>
          <w:szCs w:val="24"/>
          <w:lang w:eastAsia="en-IN"/>
        </w:rPr>
        <w:t xml:space="preserve">Physicochemical parameters were </w:t>
      </w:r>
      <w:proofErr w:type="spellStart"/>
      <w:r w:rsidR="00223074" w:rsidRPr="00223074">
        <w:rPr>
          <w:rFonts w:ascii="Times New Roman" w:eastAsia="Times New Roman" w:hAnsi="Times New Roman" w:cs="Times New Roman"/>
          <w:sz w:val="24"/>
          <w:szCs w:val="24"/>
          <w:lang w:eastAsia="en-IN"/>
        </w:rPr>
        <w:t>analyzed</w:t>
      </w:r>
      <w:proofErr w:type="spellEnd"/>
      <w:r w:rsidR="00223074" w:rsidRPr="00223074">
        <w:rPr>
          <w:rFonts w:ascii="Times New Roman" w:eastAsia="Times New Roman" w:hAnsi="Times New Roman" w:cs="Times New Roman"/>
          <w:sz w:val="24"/>
          <w:szCs w:val="24"/>
          <w:lang w:eastAsia="en-IN"/>
        </w:rPr>
        <w:t xml:space="preserve"> in the laboratory using standard analytical techniques.</w:t>
      </w:r>
    </w:p>
    <w:tbl>
      <w:tblPr>
        <w:tblStyle w:val="TableGrid"/>
        <w:tblW w:w="0" w:type="auto"/>
        <w:jc w:val="center"/>
        <w:tblLook w:val="04A0" w:firstRow="1" w:lastRow="0" w:firstColumn="1" w:lastColumn="0" w:noHBand="0" w:noVBand="1"/>
      </w:tblPr>
      <w:tblGrid>
        <w:gridCol w:w="2972"/>
        <w:gridCol w:w="3504"/>
        <w:gridCol w:w="1337"/>
      </w:tblGrid>
      <w:tr w:rsidR="0047064E" w14:paraId="6B16E811" w14:textId="77777777" w:rsidTr="002601B6">
        <w:trPr>
          <w:trHeight w:val="188"/>
          <w:jc w:val="center"/>
        </w:trPr>
        <w:tc>
          <w:tcPr>
            <w:tcW w:w="2972" w:type="dxa"/>
            <w:vAlign w:val="center"/>
          </w:tcPr>
          <w:p w14:paraId="5D813A45" w14:textId="51CAB738" w:rsidR="0047064E" w:rsidRDefault="0047064E"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b/>
                <w:bCs/>
                <w:sz w:val="24"/>
                <w:szCs w:val="24"/>
                <w:lang w:eastAsia="en-IN"/>
              </w:rPr>
              <w:t>Parameter</w:t>
            </w:r>
          </w:p>
        </w:tc>
        <w:tc>
          <w:tcPr>
            <w:tcW w:w="3504" w:type="dxa"/>
            <w:vAlign w:val="center"/>
          </w:tcPr>
          <w:p w14:paraId="41A55FAE" w14:textId="68E3CBEA" w:rsidR="0047064E" w:rsidRDefault="0047064E"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b/>
                <w:bCs/>
                <w:sz w:val="24"/>
                <w:szCs w:val="24"/>
                <w:lang w:eastAsia="en-IN"/>
              </w:rPr>
              <w:t>Method</w:t>
            </w:r>
          </w:p>
        </w:tc>
        <w:tc>
          <w:tcPr>
            <w:tcW w:w="1337" w:type="dxa"/>
            <w:vAlign w:val="center"/>
          </w:tcPr>
          <w:p w14:paraId="00545E4C" w14:textId="0612B16B" w:rsidR="0047064E" w:rsidRDefault="0047064E"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b/>
                <w:bCs/>
                <w:sz w:val="24"/>
                <w:szCs w:val="24"/>
                <w:lang w:eastAsia="en-IN"/>
              </w:rPr>
              <w:t>Unit</w:t>
            </w:r>
          </w:p>
        </w:tc>
      </w:tr>
      <w:tr w:rsidR="0047064E" w14:paraId="591AEE94" w14:textId="77777777" w:rsidTr="002601B6">
        <w:trPr>
          <w:trHeight w:val="188"/>
          <w:jc w:val="center"/>
        </w:trPr>
        <w:tc>
          <w:tcPr>
            <w:tcW w:w="2972" w:type="dxa"/>
            <w:vAlign w:val="center"/>
          </w:tcPr>
          <w:p w14:paraId="4C34F473" w14:textId="793F944E" w:rsidR="0047064E" w:rsidRPr="00223074" w:rsidRDefault="0047064E" w:rsidP="00BB1EBC">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sz w:val="24"/>
                <w:szCs w:val="24"/>
                <w:lang w:eastAsia="en-IN"/>
              </w:rPr>
              <w:t>Temperature</w:t>
            </w:r>
          </w:p>
        </w:tc>
        <w:tc>
          <w:tcPr>
            <w:tcW w:w="3504" w:type="dxa"/>
            <w:vAlign w:val="center"/>
          </w:tcPr>
          <w:p w14:paraId="2692CC6D" w14:textId="17296DCC" w:rsidR="0047064E" w:rsidRPr="00223074" w:rsidRDefault="0047064E" w:rsidP="00BB1EBC">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sz w:val="24"/>
                <w:szCs w:val="24"/>
                <w:lang w:eastAsia="en-IN"/>
              </w:rPr>
              <w:t>Digital thermometer</w:t>
            </w:r>
          </w:p>
        </w:tc>
        <w:tc>
          <w:tcPr>
            <w:tcW w:w="1337" w:type="dxa"/>
            <w:vAlign w:val="center"/>
          </w:tcPr>
          <w:p w14:paraId="68B9339B" w14:textId="2B65EF85" w:rsidR="0047064E" w:rsidRPr="00223074" w:rsidRDefault="0047064E" w:rsidP="00BB1EBC">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sz w:val="24"/>
                <w:szCs w:val="24"/>
                <w:lang w:eastAsia="en-IN"/>
              </w:rPr>
              <w:t>°C</w:t>
            </w:r>
          </w:p>
        </w:tc>
      </w:tr>
      <w:tr w:rsidR="0047064E" w14:paraId="7785D6F3" w14:textId="77777777" w:rsidTr="002601B6">
        <w:trPr>
          <w:trHeight w:val="188"/>
          <w:jc w:val="center"/>
        </w:trPr>
        <w:tc>
          <w:tcPr>
            <w:tcW w:w="2972" w:type="dxa"/>
            <w:vAlign w:val="center"/>
          </w:tcPr>
          <w:p w14:paraId="2616EAD0" w14:textId="64942388" w:rsidR="0047064E" w:rsidRPr="00223074" w:rsidRDefault="0047064E"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pH</w:t>
            </w:r>
          </w:p>
        </w:tc>
        <w:tc>
          <w:tcPr>
            <w:tcW w:w="3504" w:type="dxa"/>
            <w:vAlign w:val="center"/>
          </w:tcPr>
          <w:p w14:paraId="583AFAF6" w14:textId="222410F8" w:rsidR="0047064E" w:rsidRPr="00223074" w:rsidRDefault="0047064E"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Portable pH meter</w:t>
            </w:r>
          </w:p>
        </w:tc>
        <w:tc>
          <w:tcPr>
            <w:tcW w:w="1337" w:type="dxa"/>
            <w:vAlign w:val="center"/>
          </w:tcPr>
          <w:p w14:paraId="69BAA18E" w14:textId="5CABB789" w:rsidR="0047064E" w:rsidRPr="00223074" w:rsidRDefault="0047064E"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w:t>
            </w:r>
          </w:p>
        </w:tc>
      </w:tr>
      <w:tr w:rsidR="0047064E" w14:paraId="6B5E4319" w14:textId="77777777" w:rsidTr="002601B6">
        <w:trPr>
          <w:trHeight w:val="188"/>
          <w:jc w:val="center"/>
        </w:trPr>
        <w:tc>
          <w:tcPr>
            <w:tcW w:w="2972" w:type="dxa"/>
            <w:vAlign w:val="center"/>
          </w:tcPr>
          <w:p w14:paraId="64227F98" w14:textId="1A410FB1" w:rsidR="0047064E" w:rsidRPr="00223074" w:rsidRDefault="0047064E"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Dissolved Oxygen</w:t>
            </w:r>
          </w:p>
        </w:tc>
        <w:tc>
          <w:tcPr>
            <w:tcW w:w="3504" w:type="dxa"/>
            <w:vAlign w:val="center"/>
          </w:tcPr>
          <w:p w14:paraId="1A85D9F0" w14:textId="4D03CBA6" w:rsidR="0047064E" w:rsidRPr="00223074" w:rsidRDefault="0047064E"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Winkler titration method</w:t>
            </w:r>
          </w:p>
        </w:tc>
        <w:tc>
          <w:tcPr>
            <w:tcW w:w="1337" w:type="dxa"/>
            <w:vAlign w:val="center"/>
          </w:tcPr>
          <w:p w14:paraId="1C069F5C" w14:textId="25A86AAF" w:rsidR="0047064E" w:rsidRPr="00223074" w:rsidRDefault="0047064E"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mg/L</w:t>
            </w:r>
          </w:p>
        </w:tc>
      </w:tr>
      <w:tr w:rsidR="0047064E" w14:paraId="5DF14BFD" w14:textId="77777777" w:rsidTr="002601B6">
        <w:trPr>
          <w:trHeight w:val="188"/>
          <w:jc w:val="center"/>
        </w:trPr>
        <w:tc>
          <w:tcPr>
            <w:tcW w:w="2972" w:type="dxa"/>
            <w:vAlign w:val="center"/>
          </w:tcPr>
          <w:p w14:paraId="1A58D751" w14:textId="0CFCFFE8" w:rsidR="0047064E" w:rsidRPr="00223074" w:rsidRDefault="0047064E"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Biological Oxygen Demand</w:t>
            </w:r>
          </w:p>
        </w:tc>
        <w:tc>
          <w:tcPr>
            <w:tcW w:w="3504" w:type="dxa"/>
            <w:vAlign w:val="center"/>
          </w:tcPr>
          <w:p w14:paraId="5D490F0C" w14:textId="60F21656" w:rsidR="0047064E" w:rsidRPr="00223074" w:rsidRDefault="0047064E"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5-day incubation method</w:t>
            </w:r>
          </w:p>
        </w:tc>
        <w:tc>
          <w:tcPr>
            <w:tcW w:w="1337" w:type="dxa"/>
            <w:vAlign w:val="center"/>
          </w:tcPr>
          <w:p w14:paraId="56D32A48" w14:textId="424FBDC7" w:rsidR="0047064E" w:rsidRPr="00223074" w:rsidRDefault="0047064E"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mg/L</w:t>
            </w:r>
          </w:p>
        </w:tc>
      </w:tr>
      <w:tr w:rsidR="0047064E" w14:paraId="65F750EF" w14:textId="77777777" w:rsidTr="002601B6">
        <w:trPr>
          <w:trHeight w:val="188"/>
          <w:jc w:val="center"/>
        </w:trPr>
        <w:tc>
          <w:tcPr>
            <w:tcW w:w="2972" w:type="dxa"/>
            <w:vAlign w:val="center"/>
          </w:tcPr>
          <w:p w14:paraId="7A36FC13" w14:textId="5BE8C9DF" w:rsidR="0047064E" w:rsidRPr="00223074" w:rsidRDefault="0047064E"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Nitrate</w:t>
            </w:r>
          </w:p>
        </w:tc>
        <w:tc>
          <w:tcPr>
            <w:tcW w:w="3504" w:type="dxa"/>
            <w:vAlign w:val="center"/>
          </w:tcPr>
          <w:p w14:paraId="2A7162DC" w14:textId="0C95632E" w:rsidR="0047064E" w:rsidRPr="00223074" w:rsidRDefault="0047064E"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Spectrophotometric method</w:t>
            </w:r>
          </w:p>
        </w:tc>
        <w:tc>
          <w:tcPr>
            <w:tcW w:w="1337" w:type="dxa"/>
            <w:vAlign w:val="center"/>
          </w:tcPr>
          <w:p w14:paraId="5AEA526F" w14:textId="5A0A9627" w:rsidR="0047064E" w:rsidRPr="00223074" w:rsidRDefault="0047064E"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mg/L</w:t>
            </w:r>
          </w:p>
        </w:tc>
      </w:tr>
      <w:tr w:rsidR="0047064E" w14:paraId="2C340754" w14:textId="77777777" w:rsidTr="002601B6">
        <w:trPr>
          <w:trHeight w:val="188"/>
          <w:jc w:val="center"/>
        </w:trPr>
        <w:tc>
          <w:tcPr>
            <w:tcW w:w="2972" w:type="dxa"/>
            <w:vAlign w:val="center"/>
          </w:tcPr>
          <w:p w14:paraId="4A1012BE" w14:textId="6309EB18" w:rsidR="0047064E" w:rsidRPr="00223074" w:rsidRDefault="0047064E"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Phosphate</w:t>
            </w:r>
          </w:p>
        </w:tc>
        <w:tc>
          <w:tcPr>
            <w:tcW w:w="3504" w:type="dxa"/>
            <w:vAlign w:val="center"/>
          </w:tcPr>
          <w:p w14:paraId="65ABD24C" w14:textId="0E8CDFCC" w:rsidR="0047064E" w:rsidRPr="00223074" w:rsidRDefault="0047064E"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Ascorbic acid method</w:t>
            </w:r>
          </w:p>
        </w:tc>
        <w:tc>
          <w:tcPr>
            <w:tcW w:w="1337" w:type="dxa"/>
            <w:vAlign w:val="center"/>
          </w:tcPr>
          <w:p w14:paraId="0BAF8E32" w14:textId="4D72540C" w:rsidR="0047064E" w:rsidRPr="00223074" w:rsidRDefault="0047064E"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mg/L</w:t>
            </w:r>
          </w:p>
        </w:tc>
      </w:tr>
      <w:tr w:rsidR="0047064E" w14:paraId="36D7284F" w14:textId="77777777" w:rsidTr="002601B6">
        <w:trPr>
          <w:trHeight w:val="188"/>
          <w:jc w:val="center"/>
        </w:trPr>
        <w:tc>
          <w:tcPr>
            <w:tcW w:w="2972" w:type="dxa"/>
            <w:vAlign w:val="center"/>
          </w:tcPr>
          <w:p w14:paraId="2E8963A3" w14:textId="7732238E" w:rsidR="0047064E" w:rsidRPr="00223074" w:rsidRDefault="0047064E"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Turbidity</w:t>
            </w:r>
          </w:p>
        </w:tc>
        <w:tc>
          <w:tcPr>
            <w:tcW w:w="3504" w:type="dxa"/>
            <w:vAlign w:val="center"/>
          </w:tcPr>
          <w:p w14:paraId="67C02EB1" w14:textId="598AFC04" w:rsidR="0047064E" w:rsidRPr="00223074" w:rsidRDefault="0047064E"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Nephelometric method</w:t>
            </w:r>
          </w:p>
        </w:tc>
        <w:tc>
          <w:tcPr>
            <w:tcW w:w="1337" w:type="dxa"/>
            <w:vAlign w:val="center"/>
          </w:tcPr>
          <w:p w14:paraId="52CC2B45" w14:textId="43F301FD" w:rsidR="0047064E" w:rsidRPr="00223074" w:rsidRDefault="0047064E"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NTU</w:t>
            </w:r>
          </w:p>
        </w:tc>
      </w:tr>
      <w:tr w:rsidR="0047064E" w14:paraId="40048F2C" w14:textId="77777777" w:rsidTr="002601B6">
        <w:trPr>
          <w:trHeight w:val="188"/>
          <w:jc w:val="center"/>
        </w:trPr>
        <w:tc>
          <w:tcPr>
            <w:tcW w:w="2972" w:type="dxa"/>
            <w:vAlign w:val="center"/>
          </w:tcPr>
          <w:p w14:paraId="7728CA11" w14:textId="09F56FEB" w:rsidR="0047064E" w:rsidRPr="00223074" w:rsidRDefault="0047064E"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Chlorophyll-a</w:t>
            </w:r>
          </w:p>
        </w:tc>
        <w:tc>
          <w:tcPr>
            <w:tcW w:w="3504" w:type="dxa"/>
            <w:vAlign w:val="center"/>
          </w:tcPr>
          <w:p w14:paraId="72DCEC21" w14:textId="27D33130" w:rsidR="0047064E" w:rsidRPr="00223074" w:rsidRDefault="0047064E"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Acetone extraction method</w:t>
            </w:r>
          </w:p>
        </w:tc>
        <w:tc>
          <w:tcPr>
            <w:tcW w:w="1337" w:type="dxa"/>
            <w:vAlign w:val="center"/>
          </w:tcPr>
          <w:p w14:paraId="205B94DE" w14:textId="6C12B55C" w:rsidR="0047064E" w:rsidRPr="00223074" w:rsidRDefault="0047064E"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µg/L</w:t>
            </w:r>
          </w:p>
        </w:tc>
      </w:tr>
    </w:tbl>
    <w:p w14:paraId="08515FCA" w14:textId="77777777"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These parameters provide information about nutrient availability, oxygen conditions, and biological productivity within the reservoir.</w:t>
      </w:r>
    </w:p>
    <w:p w14:paraId="58DC7EDB" w14:textId="77777777" w:rsidR="00223074" w:rsidRPr="00223074" w:rsidRDefault="00223074" w:rsidP="00BB1EBC">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en-IN"/>
        </w:rPr>
      </w:pPr>
      <w:r w:rsidRPr="00223074">
        <w:rPr>
          <w:rFonts w:ascii="Times New Roman" w:eastAsia="Times New Roman" w:hAnsi="Times New Roman" w:cs="Times New Roman"/>
          <w:b/>
          <w:bCs/>
          <w:kern w:val="36"/>
          <w:sz w:val="24"/>
          <w:szCs w:val="24"/>
          <w:lang w:eastAsia="en-IN"/>
        </w:rPr>
        <w:t>3.3 Phytoplankton Analysis</w:t>
      </w:r>
    </w:p>
    <w:p w14:paraId="1DFB88DA" w14:textId="77777777" w:rsidR="00223074" w:rsidRPr="00223074" w:rsidRDefault="00223074"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b/>
          <w:bCs/>
          <w:sz w:val="24"/>
          <w:szCs w:val="24"/>
          <w:lang w:eastAsia="en-IN"/>
        </w:rPr>
        <w:lastRenderedPageBreak/>
        <w:t>Sample Collection</w:t>
      </w:r>
    </w:p>
    <w:p w14:paraId="702A5BBC" w14:textId="4BDA4BE3"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 xml:space="preserve">Phytoplankton samples were collected using a </w:t>
      </w:r>
      <w:r w:rsidRPr="00223074">
        <w:rPr>
          <w:rFonts w:ascii="Times New Roman" w:eastAsia="Times New Roman" w:hAnsi="Times New Roman" w:cs="Times New Roman"/>
          <w:b/>
          <w:bCs/>
          <w:sz w:val="24"/>
          <w:szCs w:val="24"/>
          <w:lang w:eastAsia="en-IN"/>
        </w:rPr>
        <w:t>plankton net (mesh size 25 µm)</w:t>
      </w:r>
      <w:r w:rsidRPr="00223074">
        <w:rPr>
          <w:rFonts w:ascii="Times New Roman" w:eastAsia="Times New Roman" w:hAnsi="Times New Roman" w:cs="Times New Roman"/>
          <w:sz w:val="24"/>
          <w:szCs w:val="24"/>
          <w:lang w:eastAsia="en-IN"/>
        </w:rPr>
        <w:t xml:space="preserve">. Approximately </w:t>
      </w:r>
      <w:r w:rsidRPr="00223074">
        <w:rPr>
          <w:rFonts w:ascii="Times New Roman" w:eastAsia="Times New Roman" w:hAnsi="Times New Roman" w:cs="Times New Roman"/>
          <w:b/>
          <w:bCs/>
          <w:sz w:val="24"/>
          <w:szCs w:val="24"/>
          <w:lang w:eastAsia="en-IN"/>
        </w:rPr>
        <w:t xml:space="preserve">50 </w:t>
      </w:r>
      <w:proofErr w:type="spellStart"/>
      <w:r w:rsidRPr="00223074">
        <w:rPr>
          <w:rFonts w:ascii="Times New Roman" w:eastAsia="Times New Roman" w:hAnsi="Times New Roman" w:cs="Times New Roman"/>
          <w:b/>
          <w:bCs/>
          <w:sz w:val="24"/>
          <w:szCs w:val="24"/>
          <w:lang w:eastAsia="en-IN"/>
        </w:rPr>
        <w:t>liters</w:t>
      </w:r>
      <w:proofErr w:type="spellEnd"/>
      <w:r w:rsidRPr="00223074">
        <w:rPr>
          <w:rFonts w:ascii="Times New Roman" w:eastAsia="Times New Roman" w:hAnsi="Times New Roman" w:cs="Times New Roman"/>
          <w:b/>
          <w:bCs/>
          <w:sz w:val="24"/>
          <w:szCs w:val="24"/>
          <w:lang w:eastAsia="en-IN"/>
        </w:rPr>
        <w:t xml:space="preserve"> of water</w:t>
      </w:r>
      <w:r w:rsidRPr="00223074">
        <w:rPr>
          <w:rFonts w:ascii="Times New Roman" w:eastAsia="Times New Roman" w:hAnsi="Times New Roman" w:cs="Times New Roman"/>
          <w:sz w:val="24"/>
          <w:szCs w:val="24"/>
          <w:lang w:eastAsia="en-IN"/>
        </w:rPr>
        <w:t xml:space="preserve"> were filtered through the plankton net, and the concentrated sample was preserved in </w:t>
      </w:r>
      <w:r w:rsidRPr="00223074">
        <w:rPr>
          <w:rFonts w:ascii="Times New Roman" w:eastAsia="Times New Roman" w:hAnsi="Times New Roman" w:cs="Times New Roman"/>
          <w:b/>
          <w:bCs/>
          <w:sz w:val="24"/>
          <w:szCs w:val="24"/>
          <w:lang w:eastAsia="en-IN"/>
        </w:rPr>
        <w:t>4% formalin solution</w:t>
      </w:r>
      <w:r w:rsidRPr="00223074">
        <w:rPr>
          <w:rFonts w:ascii="Times New Roman" w:eastAsia="Times New Roman" w:hAnsi="Times New Roman" w:cs="Times New Roman"/>
          <w:sz w:val="24"/>
          <w:szCs w:val="24"/>
          <w:lang w:eastAsia="en-IN"/>
        </w:rPr>
        <w:t xml:space="preserve"> for laboratory analysis.</w:t>
      </w:r>
    </w:p>
    <w:p w14:paraId="240E320F" w14:textId="77777777" w:rsidR="00223074" w:rsidRPr="00223074" w:rsidRDefault="00223074"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b/>
          <w:bCs/>
          <w:sz w:val="24"/>
          <w:szCs w:val="24"/>
          <w:lang w:eastAsia="en-IN"/>
        </w:rPr>
        <w:t>Identification Methods</w:t>
      </w:r>
    </w:p>
    <w:p w14:paraId="4FA33F8B" w14:textId="77777777"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In the laboratory, phytoplankton samples were allowed to settle in sedimentation chambers. Identification of species was performed using standard taxonomic keys and reference literature.</w:t>
      </w:r>
    </w:p>
    <w:p w14:paraId="44C98605" w14:textId="77777777"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Common phytoplankton groups observed included:</w:t>
      </w:r>
    </w:p>
    <w:p w14:paraId="02275572" w14:textId="77777777" w:rsidR="00223074" w:rsidRPr="00223074" w:rsidRDefault="00223074" w:rsidP="00BB1EBC">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Chlorophyceae (Green algae)</w:t>
      </w:r>
    </w:p>
    <w:p w14:paraId="3A05B1E8" w14:textId="77777777" w:rsidR="00223074" w:rsidRPr="00223074" w:rsidRDefault="00223074" w:rsidP="00BB1EBC">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Bacillariophyceae (Diatoms)</w:t>
      </w:r>
    </w:p>
    <w:p w14:paraId="0786F3AB" w14:textId="77777777" w:rsidR="00223074" w:rsidRPr="00223074" w:rsidRDefault="00223074" w:rsidP="00BB1EBC">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eastAsia="en-IN"/>
        </w:rPr>
      </w:pPr>
      <w:proofErr w:type="spellStart"/>
      <w:r w:rsidRPr="00223074">
        <w:rPr>
          <w:rFonts w:ascii="Times New Roman" w:eastAsia="Times New Roman" w:hAnsi="Times New Roman" w:cs="Times New Roman"/>
          <w:sz w:val="24"/>
          <w:szCs w:val="24"/>
          <w:lang w:eastAsia="en-IN"/>
        </w:rPr>
        <w:t>Cyanophyceae</w:t>
      </w:r>
      <w:proofErr w:type="spellEnd"/>
      <w:r w:rsidRPr="00223074">
        <w:rPr>
          <w:rFonts w:ascii="Times New Roman" w:eastAsia="Times New Roman" w:hAnsi="Times New Roman" w:cs="Times New Roman"/>
          <w:sz w:val="24"/>
          <w:szCs w:val="24"/>
          <w:lang w:eastAsia="en-IN"/>
        </w:rPr>
        <w:t xml:space="preserve"> (Blue-green algae)</w:t>
      </w:r>
    </w:p>
    <w:p w14:paraId="5F3E9E31" w14:textId="77777777" w:rsidR="00223074" w:rsidRPr="00223074" w:rsidRDefault="00223074" w:rsidP="00BB1EBC">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eastAsia="en-IN"/>
        </w:rPr>
      </w:pPr>
      <w:proofErr w:type="spellStart"/>
      <w:r w:rsidRPr="00223074">
        <w:rPr>
          <w:rFonts w:ascii="Times New Roman" w:eastAsia="Times New Roman" w:hAnsi="Times New Roman" w:cs="Times New Roman"/>
          <w:sz w:val="24"/>
          <w:szCs w:val="24"/>
          <w:lang w:eastAsia="en-IN"/>
        </w:rPr>
        <w:t>Euglenophyceae</w:t>
      </w:r>
      <w:proofErr w:type="spellEnd"/>
    </w:p>
    <w:p w14:paraId="5879BEC1" w14:textId="11234D84" w:rsidR="00223074" w:rsidRPr="0047064E" w:rsidRDefault="00223074" w:rsidP="00BB1EBC">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Dinophyceae</w:t>
      </w:r>
    </w:p>
    <w:p w14:paraId="5197D252" w14:textId="77777777" w:rsidR="00223074" w:rsidRPr="00223074" w:rsidRDefault="00223074"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b/>
          <w:bCs/>
          <w:sz w:val="24"/>
          <w:szCs w:val="24"/>
          <w:lang w:eastAsia="en-IN"/>
        </w:rPr>
        <w:t>Microscopic Examination</w:t>
      </w:r>
    </w:p>
    <w:p w14:paraId="486C84B5" w14:textId="77777777"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 xml:space="preserve">Microscopic analysis was conducted using a </w:t>
      </w:r>
      <w:r w:rsidRPr="00223074">
        <w:rPr>
          <w:rFonts w:ascii="Times New Roman" w:eastAsia="Times New Roman" w:hAnsi="Times New Roman" w:cs="Times New Roman"/>
          <w:b/>
          <w:bCs/>
          <w:sz w:val="24"/>
          <w:szCs w:val="24"/>
          <w:lang w:eastAsia="en-IN"/>
        </w:rPr>
        <w:t>compound microscope at 400× magnification</w:t>
      </w:r>
      <w:r w:rsidRPr="00223074">
        <w:rPr>
          <w:rFonts w:ascii="Times New Roman" w:eastAsia="Times New Roman" w:hAnsi="Times New Roman" w:cs="Times New Roman"/>
          <w:sz w:val="24"/>
          <w:szCs w:val="24"/>
          <w:lang w:eastAsia="en-IN"/>
        </w:rPr>
        <w:t xml:space="preserve">. Individual species were counted using a </w:t>
      </w:r>
      <w:r w:rsidRPr="00223074">
        <w:rPr>
          <w:rFonts w:ascii="Times New Roman" w:eastAsia="Times New Roman" w:hAnsi="Times New Roman" w:cs="Times New Roman"/>
          <w:b/>
          <w:bCs/>
          <w:sz w:val="24"/>
          <w:szCs w:val="24"/>
          <w:lang w:eastAsia="en-IN"/>
        </w:rPr>
        <w:t>Sedgwick–Rafter counting chamber</w:t>
      </w:r>
      <w:r w:rsidRPr="00223074">
        <w:rPr>
          <w:rFonts w:ascii="Times New Roman" w:eastAsia="Times New Roman" w:hAnsi="Times New Roman" w:cs="Times New Roman"/>
          <w:sz w:val="24"/>
          <w:szCs w:val="24"/>
          <w:lang w:eastAsia="en-IN"/>
        </w:rPr>
        <w:t>.</w:t>
      </w:r>
    </w:p>
    <w:p w14:paraId="062BE355" w14:textId="349AF52C" w:rsid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The abundance of phytoplankton was expressed as:</w:t>
      </w:r>
    </w:p>
    <w:p w14:paraId="76BCC364" w14:textId="2B2EF869" w:rsidR="00000BDB" w:rsidRPr="00223074" w:rsidRDefault="00897AD2"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m:oMathPara>
        <m:oMath>
          <m:r>
            <w:rPr>
              <w:rFonts w:ascii="Cambria Math" w:eastAsia="Times New Roman" w:hAnsi="Cambria Math" w:cs="Times New Roman"/>
              <w:sz w:val="24"/>
              <w:szCs w:val="24"/>
              <w:lang w:eastAsia="en-IN"/>
            </w:rPr>
            <m:t>Cell/L</m:t>
          </m:r>
          <m:f>
            <m:fPr>
              <m:ctrlPr>
                <w:rPr>
                  <w:rFonts w:ascii="Cambria Math" w:eastAsia="Times New Roman" w:hAnsi="Cambria Math" w:cs="Times New Roman"/>
                  <w:i/>
                  <w:sz w:val="24"/>
                  <w:szCs w:val="24"/>
                  <w:lang w:eastAsia="en-IN"/>
                </w:rPr>
              </m:ctrlPr>
            </m:fPr>
            <m:num>
              <m:r>
                <w:rPr>
                  <w:rFonts w:ascii="Cambria Math" w:eastAsia="Times New Roman" w:hAnsi="Cambria Math" w:cs="Times New Roman"/>
                  <w:sz w:val="24"/>
                  <w:szCs w:val="24"/>
                  <w:lang w:eastAsia="en-IN"/>
                </w:rPr>
                <m:t>N×V</m:t>
              </m:r>
            </m:num>
            <m:den>
              <m:r>
                <w:rPr>
                  <w:rFonts w:ascii="Cambria Math" w:eastAsia="Times New Roman" w:hAnsi="Cambria Math" w:cs="Times New Roman"/>
                  <w:sz w:val="24"/>
                  <w:szCs w:val="24"/>
                  <w:lang w:eastAsia="en-IN"/>
                </w:rPr>
                <m:t>v</m:t>
              </m:r>
            </m:den>
          </m:f>
        </m:oMath>
      </m:oMathPara>
    </w:p>
    <w:p w14:paraId="5574A632" w14:textId="77777777"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Where:</w:t>
      </w:r>
    </w:p>
    <w:p w14:paraId="7718B3C9" w14:textId="77777777" w:rsidR="00223074" w:rsidRPr="00223074" w:rsidRDefault="00223074" w:rsidP="00BB1EBC">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b/>
          <w:bCs/>
          <w:sz w:val="24"/>
          <w:szCs w:val="24"/>
          <w:lang w:eastAsia="en-IN"/>
        </w:rPr>
        <w:t>N</w:t>
      </w:r>
      <w:r w:rsidRPr="00223074">
        <w:rPr>
          <w:rFonts w:ascii="Times New Roman" w:eastAsia="Times New Roman" w:hAnsi="Times New Roman" w:cs="Times New Roman"/>
          <w:sz w:val="24"/>
          <w:szCs w:val="24"/>
          <w:lang w:eastAsia="en-IN"/>
        </w:rPr>
        <w:t xml:space="preserve"> = number of cells counted</w:t>
      </w:r>
    </w:p>
    <w:p w14:paraId="09B62E3E" w14:textId="77777777" w:rsidR="00223074" w:rsidRPr="00223074" w:rsidRDefault="00223074" w:rsidP="00BB1EBC">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b/>
          <w:bCs/>
          <w:sz w:val="24"/>
          <w:szCs w:val="24"/>
          <w:lang w:eastAsia="en-IN"/>
        </w:rPr>
        <w:t>V</w:t>
      </w:r>
      <w:r w:rsidRPr="00223074">
        <w:rPr>
          <w:rFonts w:ascii="Times New Roman" w:eastAsia="Times New Roman" w:hAnsi="Times New Roman" w:cs="Times New Roman"/>
          <w:sz w:val="24"/>
          <w:szCs w:val="24"/>
          <w:lang w:eastAsia="en-IN"/>
        </w:rPr>
        <w:t xml:space="preserve"> = total sample volume</w:t>
      </w:r>
    </w:p>
    <w:p w14:paraId="290BA6AC" w14:textId="066772E0" w:rsidR="00223074" w:rsidRPr="00ED0226" w:rsidRDefault="00223074" w:rsidP="00BB1EBC">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b/>
          <w:bCs/>
          <w:sz w:val="24"/>
          <w:szCs w:val="24"/>
          <w:lang w:eastAsia="en-IN"/>
        </w:rPr>
        <w:t>v</w:t>
      </w:r>
      <w:r w:rsidRPr="00223074">
        <w:rPr>
          <w:rFonts w:ascii="Times New Roman" w:eastAsia="Times New Roman" w:hAnsi="Times New Roman" w:cs="Times New Roman"/>
          <w:sz w:val="24"/>
          <w:szCs w:val="24"/>
          <w:lang w:eastAsia="en-IN"/>
        </w:rPr>
        <w:t xml:space="preserve"> = volume observed under microscope</w:t>
      </w:r>
    </w:p>
    <w:p w14:paraId="3F05DC31" w14:textId="77777777" w:rsidR="00223074" w:rsidRPr="00223074" w:rsidRDefault="00223074"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b/>
          <w:bCs/>
          <w:sz w:val="24"/>
          <w:szCs w:val="24"/>
          <w:lang w:eastAsia="en-IN"/>
        </w:rPr>
        <w:t>Taxonomic Classification</w:t>
      </w:r>
    </w:p>
    <w:p w14:paraId="62CCD980" w14:textId="4D26367D"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lastRenderedPageBreak/>
        <w:t>Identified phytoplankton species were classified based on standard algal taxonomy references. The classification helped determine dominant groups and evaluate their relationship with nutrient conditions.</w:t>
      </w:r>
    </w:p>
    <w:p w14:paraId="67C0EA26" w14:textId="77777777" w:rsidR="00223074" w:rsidRPr="00223074" w:rsidRDefault="00223074" w:rsidP="00BB1EBC">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en-IN"/>
        </w:rPr>
      </w:pPr>
      <w:r w:rsidRPr="00223074">
        <w:rPr>
          <w:rFonts w:ascii="Times New Roman" w:eastAsia="Times New Roman" w:hAnsi="Times New Roman" w:cs="Times New Roman"/>
          <w:b/>
          <w:bCs/>
          <w:kern w:val="36"/>
          <w:sz w:val="24"/>
          <w:szCs w:val="24"/>
          <w:lang w:eastAsia="en-IN"/>
        </w:rPr>
        <w:t>3.4 Ecological Indices</w:t>
      </w:r>
    </w:p>
    <w:p w14:paraId="2F9D4C7D" w14:textId="3886302E"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To assess phytoplankton diversity and community structure, ecological indices were calculated.</w:t>
      </w:r>
    </w:p>
    <w:p w14:paraId="408C18F9" w14:textId="77777777" w:rsidR="00223074" w:rsidRPr="00223074" w:rsidRDefault="00223074"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b/>
          <w:bCs/>
          <w:sz w:val="24"/>
          <w:szCs w:val="24"/>
          <w:lang w:eastAsia="en-IN"/>
        </w:rPr>
        <w:t>Shannon–Wiener Diversity Index</w:t>
      </w:r>
    </w:p>
    <w:p w14:paraId="23789B72" w14:textId="7E653C21" w:rsidR="00ED0226"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The Shannon diversity index measures species diversity within the phytoplankton community.</w:t>
      </w:r>
    </w:p>
    <w:p w14:paraId="71E5738C" w14:textId="46C4EA9C" w:rsidR="00223074" w:rsidRPr="00223074" w:rsidRDefault="00F135AB"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m:oMathPara>
        <m:oMath>
          <m:r>
            <m:rPr>
              <m:sty m:val="p"/>
            </m:rPr>
            <w:rPr>
              <w:rFonts w:ascii="Cambria Math" w:eastAsia="Times New Roman" w:hAnsi="Cambria Math" w:cs="Times New Roman"/>
              <w:sz w:val="24"/>
              <w:szCs w:val="24"/>
              <w:lang w:eastAsia="en-IN"/>
            </w:rPr>
            <m:t>H'</m:t>
          </m:r>
          <m:r>
            <w:rPr>
              <w:rFonts w:ascii="Cambria Math" w:eastAsia="Times New Roman" w:hAnsi="Cambria Math" w:cs="Times New Roman"/>
              <w:sz w:val="24"/>
              <w:szCs w:val="24"/>
              <w:lang w:eastAsia="en-IN"/>
            </w:rPr>
            <m:t>-</m:t>
          </m:r>
          <m:nary>
            <m:naryPr>
              <m:chr m:val="∑"/>
              <m:limLoc m:val="undOvr"/>
              <m:grow m:val="1"/>
              <m:ctrlPr>
                <w:rPr>
                  <w:rFonts w:ascii="Cambria Math" w:eastAsia="Times New Roman" w:hAnsi="Cambria Math" w:cs="Times New Roman"/>
                  <w:i/>
                  <w:sz w:val="24"/>
                  <w:szCs w:val="24"/>
                  <w:lang w:eastAsia="en-IN"/>
                </w:rPr>
              </m:ctrlPr>
            </m:naryPr>
            <m:sub>
              <m:r>
                <w:rPr>
                  <w:rFonts w:ascii="Cambria Math" w:eastAsia="Times New Roman" w:hAnsi="Cambria Math" w:cs="Times New Roman"/>
                  <w:sz w:val="24"/>
                  <w:szCs w:val="24"/>
                  <w:lang w:eastAsia="en-IN"/>
                </w:rPr>
                <m:t>i=1</m:t>
              </m:r>
            </m:sub>
            <m:sup>
              <m:r>
                <w:rPr>
                  <w:rFonts w:ascii="Cambria Math" w:eastAsia="Times New Roman" w:hAnsi="Cambria Math" w:cs="Times New Roman"/>
                  <w:sz w:val="24"/>
                  <w:szCs w:val="24"/>
                  <w:lang w:eastAsia="en-IN"/>
                </w:rPr>
                <m:t>S</m:t>
              </m:r>
            </m:sup>
            <m:e>
              <m:sSub>
                <m:sSubPr>
                  <m:ctrlPr>
                    <w:rPr>
                      <w:rFonts w:ascii="Cambria Math" w:eastAsia="Times New Roman" w:hAnsi="Cambria Math" w:cs="Times New Roman"/>
                      <w:i/>
                      <w:sz w:val="24"/>
                      <w:szCs w:val="24"/>
                      <w:lang w:eastAsia="en-IN"/>
                    </w:rPr>
                  </m:ctrlPr>
                </m:sSubPr>
                <m:e>
                  <m:r>
                    <w:rPr>
                      <w:rFonts w:ascii="Cambria Math" w:eastAsia="Times New Roman" w:hAnsi="Cambria Math" w:cs="Times New Roman"/>
                      <w:sz w:val="24"/>
                      <w:szCs w:val="24"/>
                      <w:lang w:eastAsia="en-IN"/>
                    </w:rPr>
                    <m:t>p</m:t>
                  </m:r>
                </m:e>
                <m:sub>
                  <m:r>
                    <w:rPr>
                      <w:rFonts w:ascii="Cambria Math" w:eastAsia="Times New Roman" w:hAnsi="Cambria Math" w:cs="Times New Roman"/>
                      <w:sz w:val="24"/>
                      <w:szCs w:val="24"/>
                      <w:lang w:eastAsia="en-IN"/>
                    </w:rPr>
                    <m:t>i</m:t>
                  </m:r>
                </m:sub>
              </m:sSub>
              <m:func>
                <m:funcPr>
                  <m:ctrlPr>
                    <w:rPr>
                      <w:rFonts w:ascii="Cambria Math" w:eastAsia="Times New Roman" w:hAnsi="Cambria Math" w:cs="Times New Roman"/>
                      <w:i/>
                      <w:sz w:val="24"/>
                      <w:szCs w:val="24"/>
                      <w:lang w:eastAsia="en-IN"/>
                    </w:rPr>
                  </m:ctrlPr>
                </m:funcPr>
                <m:fName>
                  <m:r>
                    <w:rPr>
                      <w:rFonts w:ascii="Cambria Math" w:eastAsia="Times New Roman" w:hAnsi="Cambria Math" w:cs="Times New Roman"/>
                      <w:sz w:val="24"/>
                      <w:szCs w:val="24"/>
                      <w:lang w:eastAsia="en-IN"/>
                    </w:rPr>
                    <m:t>ln</m:t>
                  </m:r>
                </m:fName>
                <m:e>
                  <m:d>
                    <m:dPr>
                      <m:ctrlPr>
                        <w:rPr>
                          <w:rFonts w:ascii="Cambria Math" w:eastAsia="Times New Roman" w:hAnsi="Cambria Math" w:cs="Times New Roman"/>
                          <w:i/>
                          <w:sz w:val="24"/>
                          <w:szCs w:val="24"/>
                          <w:lang w:eastAsia="en-IN"/>
                        </w:rPr>
                      </m:ctrlPr>
                    </m:dPr>
                    <m:e>
                      <m:sSub>
                        <m:sSubPr>
                          <m:ctrlPr>
                            <w:rPr>
                              <w:rFonts w:ascii="Cambria Math" w:eastAsia="Times New Roman" w:hAnsi="Cambria Math" w:cs="Times New Roman"/>
                              <w:i/>
                              <w:sz w:val="24"/>
                              <w:szCs w:val="24"/>
                              <w:lang w:eastAsia="en-IN"/>
                            </w:rPr>
                          </m:ctrlPr>
                        </m:sSubPr>
                        <m:e>
                          <m:r>
                            <w:rPr>
                              <w:rFonts w:ascii="Cambria Math" w:eastAsia="Times New Roman" w:hAnsi="Cambria Math" w:cs="Times New Roman"/>
                              <w:sz w:val="24"/>
                              <w:szCs w:val="24"/>
                              <w:lang w:eastAsia="en-IN"/>
                            </w:rPr>
                            <m:t>P</m:t>
                          </m:r>
                        </m:e>
                        <m:sub>
                          <m:r>
                            <w:rPr>
                              <w:rFonts w:ascii="Cambria Math" w:eastAsia="Times New Roman" w:hAnsi="Cambria Math" w:cs="Times New Roman"/>
                              <w:sz w:val="24"/>
                              <w:szCs w:val="24"/>
                              <w:lang w:eastAsia="en-IN"/>
                            </w:rPr>
                            <m:t>i</m:t>
                          </m:r>
                        </m:sub>
                      </m:sSub>
                    </m:e>
                  </m:d>
                </m:e>
              </m:func>
            </m:e>
          </m:nary>
        </m:oMath>
      </m:oMathPara>
    </w:p>
    <w:p w14:paraId="0A8EB028" w14:textId="77777777"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Where:</w:t>
      </w:r>
    </w:p>
    <w:p w14:paraId="1F08B065" w14:textId="18B5CCC8" w:rsidR="00223074" w:rsidRPr="00223074" w:rsidRDefault="00223074" w:rsidP="00BB1EBC">
      <w:pPr>
        <w:numPr>
          <w:ilvl w:val="0"/>
          <w:numId w:val="8"/>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505155">
        <w:rPr>
          <w:rFonts w:ascii="Times New Roman" w:eastAsia="Times New Roman" w:hAnsi="Times New Roman" w:cs="Times New Roman"/>
          <w:i/>
          <w:iCs/>
          <w:sz w:val="24"/>
          <w:szCs w:val="24"/>
          <w:lang w:eastAsia="en-IN"/>
        </w:rPr>
        <w:t>p</w:t>
      </w:r>
      <w:r w:rsidRPr="00505155">
        <w:rPr>
          <w:rFonts w:ascii="Times New Roman" w:eastAsia="Times New Roman" w:hAnsi="Times New Roman" w:cs="Times New Roman"/>
          <w:i/>
          <w:iCs/>
          <w:sz w:val="24"/>
          <w:szCs w:val="24"/>
          <w:vertAlign w:val="subscript"/>
          <w:lang w:eastAsia="en-IN"/>
        </w:rPr>
        <w:t>i</w:t>
      </w:r>
      <w:r w:rsidRPr="00223074">
        <w:rPr>
          <w:rFonts w:ascii="Times New Roman" w:eastAsia="Times New Roman" w:hAnsi="Times New Roman" w:cs="Times New Roman"/>
          <w:sz w:val="24"/>
          <w:szCs w:val="24"/>
          <w:lang w:eastAsia="en-IN"/>
        </w:rPr>
        <w:t xml:space="preserve"> = proportion of species </w:t>
      </w:r>
      <w:proofErr w:type="spellStart"/>
      <w:r w:rsidRPr="00505155">
        <w:rPr>
          <w:rFonts w:ascii="Times New Roman" w:eastAsia="Times New Roman" w:hAnsi="Times New Roman" w:cs="Times New Roman"/>
          <w:i/>
          <w:iCs/>
          <w:sz w:val="24"/>
          <w:szCs w:val="24"/>
          <w:lang w:eastAsia="en-IN"/>
        </w:rPr>
        <w:t>i</w:t>
      </w:r>
      <w:proofErr w:type="spellEnd"/>
    </w:p>
    <w:p w14:paraId="2B63DF92" w14:textId="0EB9794F" w:rsidR="00223074" w:rsidRPr="00223074" w:rsidRDefault="00223074" w:rsidP="00BB1EBC">
      <w:pPr>
        <w:numPr>
          <w:ilvl w:val="0"/>
          <w:numId w:val="8"/>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505155">
        <w:rPr>
          <w:rFonts w:ascii="Times New Roman" w:eastAsia="Times New Roman" w:hAnsi="Times New Roman" w:cs="Times New Roman"/>
          <w:i/>
          <w:iCs/>
          <w:sz w:val="24"/>
          <w:szCs w:val="24"/>
          <w:lang w:eastAsia="en-IN"/>
        </w:rPr>
        <w:t>S</w:t>
      </w:r>
      <w:r w:rsidRPr="00223074">
        <w:rPr>
          <w:rFonts w:ascii="Times New Roman" w:eastAsia="Times New Roman" w:hAnsi="Times New Roman" w:cs="Times New Roman"/>
          <w:sz w:val="24"/>
          <w:szCs w:val="24"/>
          <w:lang w:eastAsia="en-IN"/>
        </w:rPr>
        <w:t xml:space="preserve"> = total number of species</w:t>
      </w:r>
    </w:p>
    <w:p w14:paraId="48CC1C92" w14:textId="061367B0"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Higher values indicate greater biodiversity.</w:t>
      </w:r>
    </w:p>
    <w:p w14:paraId="5970E72D" w14:textId="1524FF98" w:rsidR="00223074" w:rsidRDefault="00223074"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b/>
          <w:bCs/>
          <w:sz w:val="24"/>
          <w:szCs w:val="24"/>
          <w:lang w:eastAsia="en-IN"/>
        </w:rPr>
        <w:t>Evenness Index</w:t>
      </w:r>
    </w:p>
    <w:p w14:paraId="5B6196E4" w14:textId="77777777"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Evenness describes how evenly species are distributed.</w:t>
      </w:r>
    </w:p>
    <w:p w14:paraId="61B27781" w14:textId="6A12C809" w:rsidR="00486C24" w:rsidRPr="00486C24" w:rsidRDefault="00486C24" w:rsidP="00486C24">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m:oMathPara>
        <m:oMath>
          <m:r>
            <m:rPr>
              <m:sty m:val="bi"/>
            </m:rPr>
            <w:rPr>
              <w:rFonts w:ascii="Cambria Math" w:eastAsia="Times New Roman" w:hAnsi="Cambria Math" w:cs="Times New Roman"/>
              <w:sz w:val="24"/>
              <w:szCs w:val="24"/>
              <w:lang w:eastAsia="en-IN"/>
            </w:rPr>
            <m:t>J=</m:t>
          </m:r>
          <m:f>
            <m:fPr>
              <m:ctrlPr>
                <w:rPr>
                  <w:rFonts w:ascii="Cambria Math" w:eastAsia="Times New Roman" w:hAnsi="Cambria Math" w:cs="Times New Roman"/>
                  <w:b/>
                  <w:bCs/>
                  <w:i/>
                  <w:sz w:val="24"/>
                  <w:szCs w:val="24"/>
                  <w:lang w:eastAsia="en-IN"/>
                </w:rPr>
              </m:ctrlPr>
            </m:fPr>
            <m:num>
              <m:sSup>
                <m:sSupPr>
                  <m:ctrlPr>
                    <w:rPr>
                      <w:rFonts w:ascii="Cambria Math" w:eastAsia="Times New Roman" w:hAnsi="Cambria Math" w:cs="Times New Roman"/>
                      <w:b/>
                      <w:bCs/>
                      <w:i/>
                      <w:sz w:val="24"/>
                      <w:szCs w:val="24"/>
                      <w:lang w:eastAsia="en-IN"/>
                    </w:rPr>
                  </m:ctrlPr>
                </m:sSupPr>
                <m:e>
                  <m:r>
                    <m:rPr>
                      <m:sty m:val="bi"/>
                    </m:rPr>
                    <w:rPr>
                      <w:rFonts w:ascii="Cambria Math" w:eastAsia="Times New Roman" w:hAnsi="Cambria Math" w:cs="Times New Roman"/>
                      <w:sz w:val="24"/>
                      <w:szCs w:val="24"/>
                      <w:lang w:eastAsia="en-IN"/>
                    </w:rPr>
                    <m:t>H</m:t>
                  </m:r>
                </m:e>
                <m:sup>
                  <m:r>
                    <m:rPr>
                      <m:sty m:val="bi"/>
                    </m:rPr>
                    <w:rPr>
                      <w:rFonts w:ascii="Cambria Math" w:eastAsia="Times New Roman" w:hAnsi="Cambria Math" w:cs="Times New Roman"/>
                      <w:sz w:val="24"/>
                      <w:szCs w:val="24"/>
                      <w:lang w:eastAsia="en-IN"/>
                    </w:rPr>
                    <m:t>'</m:t>
                  </m:r>
                </m:sup>
              </m:sSup>
            </m:num>
            <m:den>
              <m:func>
                <m:funcPr>
                  <m:ctrlPr>
                    <w:rPr>
                      <w:rFonts w:ascii="Cambria Math" w:eastAsia="Times New Roman" w:hAnsi="Cambria Math" w:cs="Times New Roman"/>
                      <w:b/>
                      <w:bCs/>
                      <w:i/>
                      <w:sz w:val="24"/>
                      <w:szCs w:val="24"/>
                      <w:lang w:eastAsia="en-IN"/>
                    </w:rPr>
                  </m:ctrlPr>
                </m:funcPr>
                <m:fName>
                  <m:r>
                    <m:rPr>
                      <m:sty m:val="bi"/>
                    </m:rPr>
                    <w:rPr>
                      <w:rFonts w:ascii="Cambria Math" w:eastAsia="Times New Roman" w:hAnsi="Cambria Math" w:cs="Times New Roman"/>
                      <w:sz w:val="24"/>
                      <w:szCs w:val="24"/>
                      <w:lang w:eastAsia="en-IN"/>
                    </w:rPr>
                    <m:t>ln</m:t>
                  </m:r>
                </m:fName>
                <m:e>
                  <m:d>
                    <m:dPr>
                      <m:ctrlPr>
                        <w:rPr>
                          <w:rFonts w:ascii="Cambria Math" w:eastAsia="Times New Roman" w:hAnsi="Cambria Math" w:cs="Times New Roman"/>
                          <w:b/>
                          <w:bCs/>
                          <w:i/>
                          <w:sz w:val="24"/>
                          <w:szCs w:val="24"/>
                          <w:lang w:eastAsia="en-IN"/>
                        </w:rPr>
                      </m:ctrlPr>
                    </m:dPr>
                    <m:e>
                      <m:r>
                        <m:rPr>
                          <m:sty m:val="bi"/>
                        </m:rPr>
                        <w:rPr>
                          <w:rFonts w:ascii="Cambria Math" w:eastAsia="Times New Roman" w:hAnsi="Cambria Math" w:cs="Times New Roman"/>
                          <w:sz w:val="24"/>
                          <w:szCs w:val="24"/>
                          <w:lang w:eastAsia="en-IN"/>
                        </w:rPr>
                        <m:t>S</m:t>
                      </m:r>
                    </m:e>
                  </m:d>
                </m:e>
              </m:func>
            </m:den>
          </m:f>
        </m:oMath>
      </m:oMathPara>
    </w:p>
    <w:p w14:paraId="2E65C6CF" w14:textId="26ECB397"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Where:</w:t>
      </w:r>
    </w:p>
    <w:p w14:paraId="1188B0DE" w14:textId="77777777" w:rsidR="00223074" w:rsidRPr="00223074" w:rsidRDefault="00223074" w:rsidP="00BB1EBC">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(H') = Shannon diversity index</w:t>
      </w:r>
    </w:p>
    <w:p w14:paraId="4EA864D6" w14:textId="5B31A3D0" w:rsidR="00223074" w:rsidRPr="004028A1" w:rsidRDefault="00223074" w:rsidP="00BB1EBC">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(S) = total species number</w:t>
      </w:r>
    </w:p>
    <w:p w14:paraId="2D31408F" w14:textId="77777777" w:rsidR="00223074" w:rsidRPr="00223074" w:rsidRDefault="00223074"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b/>
          <w:bCs/>
          <w:sz w:val="24"/>
          <w:szCs w:val="24"/>
          <w:lang w:eastAsia="en-IN"/>
        </w:rPr>
        <w:t>Species Richness</w:t>
      </w:r>
    </w:p>
    <w:p w14:paraId="5586671E" w14:textId="77777777"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Species richness represents the total number of species observed in the sample.</w:t>
      </w:r>
    </w:p>
    <w:p w14:paraId="202EDA71" w14:textId="054BAFBD" w:rsidR="00223074" w:rsidRPr="00223074" w:rsidRDefault="00486C2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m:oMathPara>
        <m:oMath>
          <m:r>
            <w:rPr>
              <w:rFonts w:ascii="Cambria Math" w:eastAsia="Times New Roman" w:hAnsi="Cambria Math" w:cs="Times New Roman"/>
              <w:sz w:val="24"/>
              <w:szCs w:val="24"/>
              <w:lang w:eastAsia="en-IN"/>
            </w:rPr>
            <w:lastRenderedPageBreak/>
            <m:t>D=</m:t>
          </m:r>
          <m:f>
            <m:fPr>
              <m:ctrlPr>
                <w:rPr>
                  <w:rFonts w:ascii="Cambria Math" w:eastAsia="Times New Roman" w:hAnsi="Cambria Math" w:cs="Times New Roman"/>
                  <w:i/>
                  <w:sz w:val="24"/>
                  <w:szCs w:val="24"/>
                  <w:lang w:eastAsia="en-IN"/>
                </w:rPr>
              </m:ctrlPr>
            </m:fPr>
            <m:num>
              <m:r>
                <w:rPr>
                  <w:rFonts w:ascii="Cambria Math" w:eastAsia="Times New Roman" w:hAnsi="Cambria Math" w:cs="Times New Roman"/>
                  <w:sz w:val="24"/>
                  <w:szCs w:val="24"/>
                  <w:lang w:eastAsia="en-IN"/>
                </w:rPr>
                <m:t>S</m:t>
              </m:r>
            </m:num>
            <m:den>
              <m:rad>
                <m:radPr>
                  <m:degHide m:val="1"/>
                  <m:ctrlPr>
                    <w:rPr>
                      <w:rFonts w:ascii="Cambria Math" w:eastAsia="Times New Roman" w:hAnsi="Cambria Math" w:cs="Times New Roman"/>
                      <w:i/>
                      <w:sz w:val="24"/>
                      <w:szCs w:val="24"/>
                      <w:lang w:eastAsia="en-IN"/>
                    </w:rPr>
                  </m:ctrlPr>
                </m:radPr>
                <m:deg/>
                <m:e>
                  <m:r>
                    <w:rPr>
                      <w:rFonts w:ascii="Cambria Math" w:eastAsia="Times New Roman" w:hAnsi="Cambria Math" w:cs="Times New Roman"/>
                      <w:sz w:val="24"/>
                      <w:szCs w:val="24"/>
                      <w:lang w:eastAsia="en-IN"/>
                    </w:rPr>
                    <m:t>N</m:t>
                  </m:r>
                </m:e>
              </m:rad>
            </m:den>
          </m:f>
        </m:oMath>
      </m:oMathPara>
    </w:p>
    <w:p w14:paraId="407EF426" w14:textId="77777777"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Where:</w:t>
      </w:r>
    </w:p>
    <w:p w14:paraId="61691A23" w14:textId="77777777" w:rsidR="00223074" w:rsidRPr="00223074" w:rsidRDefault="00223074" w:rsidP="00BB1EBC">
      <w:pPr>
        <w:numPr>
          <w:ilvl w:val="0"/>
          <w:numId w:val="10"/>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b/>
          <w:bCs/>
          <w:sz w:val="24"/>
          <w:szCs w:val="24"/>
          <w:lang w:eastAsia="en-IN"/>
        </w:rPr>
        <w:t>S</w:t>
      </w:r>
      <w:r w:rsidRPr="00223074">
        <w:rPr>
          <w:rFonts w:ascii="Times New Roman" w:eastAsia="Times New Roman" w:hAnsi="Times New Roman" w:cs="Times New Roman"/>
          <w:sz w:val="24"/>
          <w:szCs w:val="24"/>
          <w:lang w:eastAsia="en-IN"/>
        </w:rPr>
        <w:t xml:space="preserve"> = number of species</w:t>
      </w:r>
    </w:p>
    <w:p w14:paraId="181CA3BC" w14:textId="77777777" w:rsidR="00223074" w:rsidRPr="00223074" w:rsidRDefault="00223074" w:rsidP="00BB1EBC">
      <w:pPr>
        <w:numPr>
          <w:ilvl w:val="0"/>
          <w:numId w:val="10"/>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b/>
          <w:bCs/>
          <w:sz w:val="24"/>
          <w:szCs w:val="24"/>
          <w:lang w:eastAsia="en-IN"/>
        </w:rPr>
        <w:t>N</w:t>
      </w:r>
      <w:r w:rsidRPr="00223074">
        <w:rPr>
          <w:rFonts w:ascii="Times New Roman" w:eastAsia="Times New Roman" w:hAnsi="Times New Roman" w:cs="Times New Roman"/>
          <w:sz w:val="24"/>
          <w:szCs w:val="24"/>
          <w:lang w:eastAsia="en-IN"/>
        </w:rPr>
        <w:t xml:space="preserve"> = total number of individuals</w:t>
      </w:r>
    </w:p>
    <w:p w14:paraId="38E527A1" w14:textId="77777777" w:rsidR="00223074" w:rsidRPr="00223074" w:rsidRDefault="00223074" w:rsidP="00BB1EBC">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en-IN"/>
        </w:rPr>
      </w:pPr>
      <w:r w:rsidRPr="00223074">
        <w:rPr>
          <w:rFonts w:ascii="Times New Roman" w:eastAsia="Times New Roman" w:hAnsi="Times New Roman" w:cs="Times New Roman"/>
          <w:b/>
          <w:bCs/>
          <w:kern w:val="36"/>
          <w:sz w:val="24"/>
          <w:szCs w:val="24"/>
          <w:lang w:eastAsia="en-IN"/>
        </w:rPr>
        <w:t>3.5 Trophic State Index Calculation</w:t>
      </w:r>
    </w:p>
    <w:p w14:paraId="4A2E2481" w14:textId="77777777"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 xml:space="preserve">The trophic status of </w:t>
      </w:r>
      <w:proofErr w:type="spellStart"/>
      <w:r w:rsidRPr="00223074">
        <w:rPr>
          <w:rFonts w:ascii="Times New Roman" w:eastAsia="Times New Roman" w:hAnsi="Times New Roman" w:cs="Times New Roman"/>
          <w:sz w:val="24"/>
          <w:szCs w:val="24"/>
          <w:lang w:eastAsia="en-IN"/>
        </w:rPr>
        <w:t>Kotpally</w:t>
      </w:r>
      <w:proofErr w:type="spellEnd"/>
      <w:r w:rsidRPr="00223074">
        <w:rPr>
          <w:rFonts w:ascii="Times New Roman" w:eastAsia="Times New Roman" w:hAnsi="Times New Roman" w:cs="Times New Roman"/>
          <w:sz w:val="24"/>
          <w:szCs w:val="24"/>
          <w:lang w:eastAsia="en-IN"/>
        </w:rPr>
        <w:t xml:space="preserve"> Reservoir was determined using </w:t>
      </w:r>
      <w:r w:rsidRPr="00223074">
        <w:rPr>
          <w:rFonts w:ascii="Times New Roman" w:eastAsia="Times New Roman" w:hAnsi="Times New Roman" w:cs="Times New Roman"/>
          <w:b/>
          <w:bCs/>
          <w:sz w:val="24"/>
          <w:szCs w:val="24"/>
          <w:lang w:eastAsia="en-IN"/>
        </w:rPr>
        <w:t>Carlson’s Trophic State Index (TSI)</w:t>
      </w:r>
      <w:r w:rsidRPr="00223074">
        <w:rPr>
          <w:rFonts w:ascii="Times New Roman" w:eastAsia="Times New Roman" w:hAnsi="Times New Roman" w:cs="Times New Roman"/>
          <w:sz w:val="24"/>
          <w:szCs w:val="24"/>
          <w:lang w:eastAsia="en-IN"/>
        </w:rPr>
        <w:t>.</w:t>
      </w:r>
    </w:p>
    <w:p w14:paraId="673B3A9C" w14:textId="2F814025" w:rsidR="00223074" w:rsidRDefault="00223074" w:rsidP="00BB1EBC">
      <w:pPr>
        <w:tabs>
          <w:tab w:val="center" w:pos="4513"/>
        </w:tabs>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The chlorophyll-a based TSI formula is:</w:t>
      </w:r>
      <w:r w:rsidR="00ED0226">
        <w:rPr>
          <w:rFonts w:ascii="Times New Roman" w:eastAsia="Times New Roman" w:hAnsi="Times New Roman" w:cs="Times New Roman"/>
          <w:sz w:val="24"/>
          <w:szCs w:val="24"/>
          <w:lang w:eastAsia="en-IN"/>
        </w:rPr>
        <w:tab/>
      </w:r>
    </w:p>
    <w:p w14:paraId="4623FDE6" w14:textId="7EF87BB1" w:rsidR="00E05966" w:rsidRPr="00223074" w:rsidRDefault="00E05966" w:rsidP="00BB1EBC">
      <w:pPr>
        <w:tabs>
          <w:tab w:val="center" w:pos="4513"/>
        </w:tabs>
        <w:spacing w:before="100" w:beforeAutospacing="1" w:after="100" w:afterAutospacing="1" w:line="360" w:lineRule="auto"/>
        <w:jc w:val="both"/>
        <w:rPr>
          <w:rFonts w:ascii="Times New Roman" w:eastAsia="Times New Roman" w:hAnsi="Times New Roman" w:cs="Times New Roman"/>
          <w:sz w:val="24"/>
          <w:szCs w:val="24"/>
          <w:lang w:eastAsia="en-IN"/>
        </w:rPr>
      </w:pPr>
      <m:oMathPara>
        <m:oMath>
          <m:r>
            <w:rPr>
              <w:rFonts w:ascii="Cambria Math" w:eastAsia="Times New Roman" w:hAnsi="Cambria Math" w:cs="Times New Roman"/>
              <w:sz w:val="24"/>
              <w:szCs w:val="24"/>
              <w:lang w:eastAsia="en-IN"/>
            </w:rPr>
            <m:t>TSI</m:t>
          </m:r>
          <m:d>
            <m:dPr>
              <m:ctrlPr>
                <w:rPr>
                  <w:rFonts w:ascii="Cambria Math" w:eastAsia="Times New Roman" w:hAnsi="Cambria Math" w:cs="Times New Roman"/>
                  <w:i/>
                  <w:sz w:val="24"/>
                  <w:szCs w:val="24"/>
                  <w:lang w:eastAsia="en-IN"/>
                </w:rPr>
              </m:ctrlPr>
            </m:dPr>
            <m:e>
              <m:r>
                <w:rPr>
                  <w:rFonts w:ascii="Cambria Math" w:eastAsia="Times New Roman" w:hAnsi="Cambria Math" w:cs="Times New Roman"/>
                  <w:sz w:val="24"/>
                  <w:szCs w:val="24"/>
                  <w:lang w:eastAsia="en-IN"/>
                </w:rPr>
                <m:t>Chl-a</m:t>
              </m:r>
            </m:e>
          </m:d>
          <m:r>
            <w:rPr>
              <w:rFonts w:ascii="Cambria Math" w:eastAsia="Times New Roman" w:hAnsi="Cambria Math" w:cs="Times New Roman"/>
              <w:sz w:val="24"/>
              <w:szCs w:val="24"/>
              <w:lang w:eastAsia="en-IN"/>
            </w:rPr>
            <m:t>=9.81</m:t>
          </m:r>
          <m:func>
            <m:funcPr>
              <m:ctrlPr>
                <w:rPr>
                  <w:rFonts w:ascii="Cambria Math" w:eastAsia="Times New Roman" w:hAnsi="Cambria Math" w:cs="Times New Roman"/>
                  <w:sz w:val="24"/>
                  <w:szCs w:val="24"/>
                  <w:lang w:eastAsia="en-IN"/>
                </w:rPr>
              </m:ctrlPr>
            </m:funcPr>
            <m:fName>
              <m:r>
                <m:rPr>
                  <m:sty m:val="p"/>
                </m:rPr>
                <w:rPr>
                  <w:rFonts w:ascii="Cambria Math" w:eastAsia="Times New Roman" w:hAnsi="Cambria Math" w:cs="Times New Roman"/>
                  <w:sz w:val="24"/>
                  <w:szCs w:val="24"/>
                  <w:lang w:eastAsia="en-IN"/>
                </w:rPr>
                <m:t>ln</m:t>
              </m:r>
              <m:ctrlPr>
                <w:rPr>
                  <w:rFonts w:ascii="Cambria Math" w:eastAsia="Times New Roman" w:hAnsi="Cambria Math" w:cs="Times New Roman"/>
                  <w:i/>
                  <w:sz w:val="24"/>
                  <w:szCs w:val="24"/>
                  <w:lang w:eastAsia="en-IN"/>
                </w:rPr>
              </m:ctrlPr>
            </m:fName>
            <m:e>
              <m:d>
                <m:dPr>
                  <m:ctrlPr>
                    <w:rPr>
                      <w:rFonts w:ascii="Cambria Math" w:eastAsia="Times New Roman" w:hAnsi="Cambria Math" w:cs="Times New Roman"/>
                      <w:i/>
                      <w:sz w:val="24"/>
                      <w:szCs w:val="24"/>
                      <w:lang w:eastAsia="en-IN"/>
                    </w:rPr>
                  </m:ctrlPr>
                </m:dPr>
                <m:e>
                  <m:r>
                    <w:rPr>
                      <w:rFonts w:ascii="Cambria Math" w:eastAsia="Times New Roman" w:hAnsi="Cambria Math" w:cs="Times New Roman"/>
                      <w:sz w:val="24"/>
                      <w:szCs w:val="24"/>
                      <w:lang w:eastAsia="en-IN"/>
                    </w:rPr>
                    <m:t>Chl-a</m:t>
                  </m:r>
                </m:e>
              </m:d>
            </m:e>
          </m:func>
          <m:r>
            <w:rPr>
              <w:rFonts w:ascii="Cambria Math" w:eastAsia="Times New Roman" w:hAnsi="Cambria Math" w:cs="Times New Roman"/>
              <w:sz w:val="24"/>
              <w:szCs w:val="24"/>
              <w:lang w:eastAsia="en-IN"/>
            </w:rPr>
            <m:t>+30.6</m:t>
          </m:r>
        </m:oMath>
      </m:oMathPara>
    </w:p>
    <w:p w14:paraId="66322402" w14:textId="77777777"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Where:</w:t>
      </w:r>
    </w:p>
    <w:p w14:paraId="2C9C5338" w14:textId="23970926" w:rsidR="00223074" w:rsidRPr="00223074" w:rsidRDefault="00A45A62" w:rsidP="00BB1EBC">
      <w:pPr>
        <w:numPr>
          <w:ilvl w:val="0"/>
          <w:numId w:val="11"/>
        </w:numPr>
        <w:spacing w:before="100" w:beforeAutospacing="1" w:after="100" w:afterAutospacing="1" w:line="360" w:lineRule="auto"/>
        <w:jc w:val="both"/>
        <w:rPr>
          <w:rFonts w:ascii="Times New Roman" w:eastAsia="Times New Roman" w:hAnsi="Times New Roman" w:cs="Times New Roman"/>
          <w:sz w:val="24"/>
          <w:szCs w:val="24"/>
          <w:lang w:eastAsia="en-IN"/>
        </w:rPr>
      </w:pPr>
      <m:oMath>
        <m:r>
          <w:rPr>
            <w:rFonts w:ascii="Cambria Math" w:eastAsia="Times New Roman" w:hAnsi="Cambria Math" w:cs="Times New Roman"/>
            <w:sz w:val="24"/>
            <w:szCs w:val="24"/>
            <w:lang w:eastAsia="en-IN"/>
          </w:rPr>
          <m:t>Chl-a</m:t>
        </m:r>
      </m:oMath>
      <w:r w:rsidR="00223074" w:rsidRPr="00223074">
        <w:rPr>
          <w:rFonts w:ascii="Times New Roman" w:eastAsia="Times New Roman" w:hAnsi="Times New Roman" w:cs="Times New Roman"/>
          <w:sz w:val="24"/>
          <w:szCs w:val="24"/>
          <w:lang w:eastAsia="en-IN"/>
        </w:rPr>
        <w:t xml:space="preserve"> = Chlorophyll-a concentration (µg/L)</w:t>
      </w:r>
    </w:p>
    <w:p w14:paraId="043153CE" w14:textId="518D9172" w:rsidR="00223074" w:rsidRDefault="00CD24A1"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Chart 7: </w:t>
      </w:r>
      <w:r w:rsidR="00223074" w:rsidRPr="00223074">
        <w:rPr>
          <w:rFonts w:ascii="Times New Roman" w:eastAsia="Times New Roman" w:hAnsi="Times New Roman" w:cs="Times New Roman"/>
          <w:sz w:val="24"/>
          <w:szCs w:val="24"/>
          <w:lang w:eastAsia="en-IN"/>
        </w:rPr>
        <w:t>Trophic classification is shown below:</w:t>
      </w:r>
    </w:p>
    <w:tbl>
      <w:tblPr>
        <w:tblStyle w:val="TableGrid"/>
        <w:tblW w:w="0" w:type="auto"/>
        <w:jc w:val="center"/>
        <w:tblLook w:val="04A0" w:firstRow="1" w:lastRow="0" w:firstColumn="1" w:lastColumn="0" w:noHBand="0" w:noVBand="1"/>
      </w:tblPr>
      <w:tblGrid>
        <w:gridCol w:w="2254"/>
        <w:gridCol w:w="2254"/>
      </w:tblGrid>
      <w:tr w:rsidR="004028A1" w14:paraId="7DCB229B" w14:textId="77777777" w:rsidTr="00A45A62">
        <w:trPr>
          <w:trHeight w:val="358"/>
          <w:jc w:val="center"/>
        </w:trPr>
        <w:tc>
          <w:tcPr>
            <w:tcW w:w="2254" w:type="dxa"/>
            <w:vAlign w:val="center"/>
          </w:tcPr>
          <w:p w14:paraId="12FECF89" w14:textId="666CA305" w:rsidR="004028A1" w:rsidRDefault="004028A1"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b/>
                <w:bCs/>
                <w:sz w:val="24"/>
                <w:szCs w:val="24"/>
                <w:lang w:eastAsia="en-IN"/>
              </w:rPr>
              <w:t>TSI Value</w:t>
            </w:r>
          </w:p>
        </w:tc>
        <w:tc>
          <w:tcPr>
            <w:tcW w:w="2254" w:type="dxa"/>
            <w:vAlign w:val="center"/>
          </w:tcPr>
          <w:p w14:paraId="546C7C1B" w14:textId="70B6D8F8" w:rsidR="004028A1" w:rsidRDefault="004028A1"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b/>
                <w:bCs/>
                <w:sz w:val="24"/>
                <w:szCs w:val="24"/>
                <w:lang w:eastAsia="en-IN"/>
              </w:rPr>
              <w:t>Trophic Category</w:t>
            </w:r>
          </w:p>
        </w:tc>
      </w:tr>
      <w:tr w:rsidR="004028A1" w14:paraId="13856090" w14:textId="77777777" w:rsidTr="00A45A62">
        <w:trPr>
          <w:trHeight w:val="358"/>
          <w:jc w:val="center"/>
        </w:trPr>
        <w:tc>
          <w:tcPr>
            <w:tcW w:w="2254" w:type="dxa"/>
            <w:vAlign w:val="center"/>
          </w:tcPr>
          <w:p w14:paraId="2A8C0BB4" w14:textId="7ED621CA" w:rsidR="004028A1" w:rsidRPr="00223074" w:rsidRDefault="004028A1" w:rsidP="00BB1EBC">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sz w:val="24"/>
                <w:szCs w:val="24"/>
                <w:lang w:eastAsia="en-IN"/>
              </w:rPr>
              <w:t>&lt; 40</w:t>
            </w:r>
          </w:p>
        </w:tc>
        <w:tc>
          <w:tcPr>
            <w:tcW w:w="2254" w:type="dxa"/>
            <w:vAlign w:val="center"/>
          </w:tcPr>
          <w:p w14:paraId="59A9D35A" w14:textId="77DB4C66" w:rsidR="004028A1" w:rsidRPr="00223074" w:rsidRDefault="004028A1" w:rsidP="00BB1EBC">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sz w:val="24"/>
                <w:szCs w:val="24"/>
                <w:lang w:eastAsia="en-IN"/>
              </w:rPr>
              <w:t>Oligotrophic</w:t>
            </w:r>
          </w:p>
        </w:tc>
      </w:tr>
      <w:tr w:rsidR="004028A1" w14:paraId="3F5497BE" w14:textId="77777777" w:rsidTr="00A45A62">
        <w:trPr>
          <w:trHeight w:val="358"/>
          <w:jc w:val="center"/>
        </w:trPr>
        <w:tc>
          <w:tcPr>
            <w:tcW w:w="2254" w:type="dxa"/>
            <w:vAlign w:val="center"/>
          </w:tcPr>
          <w:p w14:paraId="390D44CB" w14:textId="2B4E367B" w:rsidR="004028A1" w:rsidRPr="00223074" w:rsidRDefault="004028A1"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40–50</w:t>
            </w:r>
          </w:p>
        </w:tc>
        <w:tc>
          <w:tcPr>
            <w:tcW w:w="2254" w:type="dxa"/>
            <w:vAlign w:val="center"/>
          </w:tcPr>
          <w:p w14:paraId="4D14FDA1" w14:textId="728CDA15" w:rsidR="004028A1" w:rsidRPr="00223074" w:rsidRDefault="004028A1"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Mesotrophic</w:t>
            </w:r>
          </w:p>
        </w:tc>
      </w:tr>
      <w:tr w:rsidR="004028A1" w14:paraId="47784F2A" w14:textId="77777777" w:rsidTr="00A45A62">
        <w:trPr>
          <w:trHeight w:val="358"/>
          <w:jc w:val="center"/>
        </w:trPr>
        <w:tc>
          <w:tcPr>
            <w:tcW w:w="2254" w:type="dxa"/>
            <w:vAlign w:val="center"/>
          </w:tcPr>
          <w:p w14:paraId="2D90C4D8" w14:textId="6D81CC41" w:rsidR="004028A1" w:rsidRPr="00223074" w:rsidRDefault="004028A1"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50–70</w:t>
            </w:r>
          </w:p>
        </w:tc>
        <w:tc>
          <w:tcPr>
            <w:tcW w:w="2254" w:type="dxa"/>
            <w:vAlign w:val="center"/>
          </w:tcPr>
          <w:p w14:paraId="25DC6498" w14:textId="2785DD30" w:rsidR="004028A1" w:rsidRPr="00223074" w:rsidRDefault="004028A1"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Eutrophic</w:t>
            </w:r>
          </w:p>
        </w:tc>
      </w:tr>
      <w:tr w:rsidR="004028A1" w14:paraId="7963F016" w14:textId="77777777" w:rsidTr="00A45A62">
        <w:trPr>
          <w:trHeight w:val="358"/>
          <w:jc w:val="center"/>
        </w:trPr>
        <w:tc>
          <w:tcPr>
            <w:tcW w:w="2254" w:type="dxa"/>
            <w:vAlign w:val="center"/>
          </w:tcPr>
          <w:p w14:paraId="242414EF" w14:textId="09FE7DC6" w:rsidR="004028A1" w:rsidRPr="00223074" w:rsidRDefault="004028A1"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&gt; 70</w:t>
            </w:r>
          </w:p>
        </w:tc>
        <w:tc>
          <w:tcPr>
            <w:tcW w:w="2254" w:type="dxa"/>
            <w:vAlign w:val="center"/>
          </w:tcPr>
          <w:p w14:paraId="1743DA49" w14:textId="032BB920" w:rsidR="004028A1" w:rsidRPr="00223074" w:rsidRDefault="004028A1"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Hypereutrophic</w:t>
            </w:r>
          </w:p>
        </w:tc>
      </w:tr>
    </w:tbl>
    <w:p w14:paraId="10E8AD56" w14:textId="77777777" w:rsidR="00223074" w:rsidRPr="00223074" w:rsidRDefault="00223074" w:rsidP="00BB1EBC">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en-IN"/>
        </w:rPr>
      </w:pPr>
      <w:r w:rsidRPr="00223074">
        <w:rPr>
          <w:rFonts w:ascii="Times New Roman" w:eastAsia="Times New Roman" w:hAnsi="Times New Roman" w:cs="Times New Roman"/>
          <w:b/>
          <w:bCs/>
          <w:kern w:val="36"/>
          <w:sz w:val="24"/>
          <w:szCs w:val="24"/>
          <w:lang w:eastAsia="en-IN"/>
        </w:rPr>
        <w:t>3.6 Data Preprocessing</w:t>
      </w:r>
    </w:p>
    <w:p w14:paraId="494E849F" w14:textId="77777777"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 xml:space="preserve">Before applying machine learning algorithms, the dataset was </w:t>
      </w:r>
      <w:proofErr w:type="spellStart"/>
      <w:r w:rsidRPr="00223074">
        <w:rPr>
          <w:rFonts w:ascii="Times New Roman" w:eastAsia="Times New Roman" w:hAnsi="Times New Roman" w:cs="Times New Roman"/>
          <w:sz w:val="24"/>
          <w:szCs w:val="24"/>
          <w:lang w:eastAsia="en-IN"/>
        </w:rPr>
        <w:t>preprocessed</w:t>
      </w:r>
      <w:proofErr w:type="spellEnd"/>
      <w:r w:rsidRPr="00223074">
        <w:rPr>
          <w:rFonts w:ascii="Times New Roman" w:eastAsia="Times New Roman" w:hAnsi="Times New Roman" w:cs="Times New Roman"/>
          <w:sz w:val="24"/>
          <w:szCs w:val="24"/>
          <w:lang w:eastAsia="en-IN"/>
        </w:rPr>
        <w:t xml:space="preserve"> to improve model performance.</w:t>
      </w:r>
    </w:p>
    <w:p w14:paraId="6442B36F" w14:textId="77777777" w:rsidR="00223074" w:rsidRPr="00223074" w:rsidRDefault="00223074"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b/>
          <w:bCs/>
          <w:sz w:val="24"/>
          <w:szCs w:val="24"/>
          <w:lang w:eastAsia="en-IN"/>
        </w:rPr>
        <w:t>Data Cleaning</w:t>
      </w:r>
    </w:p>
    <w:p w14:paraId="58D092C4" w14:textId="2BDAEAD0"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Missing values and outliers were identified and corrected. Incomplete records were either removed or replaced using statistical imputation techniques.</w:t>
      </w:r>
    </w:p>
    <w:p w14:paraId="549B43F1" w14:textId="77777777" w:rsidR="00223074" w:rsidRPr="00223074" w:rsidRDefault="00223074"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b/>
          <w:bCs/>
          <w:sz w:val="24"/>
          <w:szCs w:val="24"/>
          <w:lang w:eastAsia="en-IN"/>
        </w:rPr>
        <w:lastRenderedPageBreak/>
        <w:t>Normalization</w:t>
      </w:r>
    </w:p>
    <w:p w14:paraId="638A4D1D" w14:textId="77777777"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 xml:space="preserve">To ensure equal contribution of all variables, numerical data were normalized using </w:t>
      </w:r>
      <w:r w:rsidRPr="00223074">
        <w:rPr>
          <w:rFonts w:ascii="Times New Roman" w:eastAsia="Times New Roman" w:hAnsi="Times New Roman" w:cs="Times New Roman"/>
          <w:b/>
          <w:bCs/>
          <w:sz w:val="24"/>
          <w:szCs w:val="24"/>
          <w:lang w:eastAsia="en-IN"/>
        </w:rPr>
        <w:t>Min–Max scaling</w:t>
      </w:r>
      <w:r w:rsidRPr="00223074">
        <w:rPr>
          <w:rFonts w:ascii="Times New Roman" w:eastAsia="Times New Roman" w:hAnsi="Times New Roman" w:cs="Times New Roman"/>
          <w:sz w:val="24"/>
          <w:szCs w:val="24"/>
          <w:lang w:eastAsia="en-IN"/>
        </w:rPr>
        <w:t>:</w:t>
      </w:r>
    </w:p>
    <w:p w14:paraId="42D52A6B" w14:textId="41E0781A" w:rsidR="00976715" w:rsidRDefault="00000000"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m:oMathPara>
        <m:oMath>
          <m:sSub>
            <m:sSubPr>
              <m:ctrlPr>
                <w:rPr>
                  <w:rFonts w:ascii="Cambria Math" w:eastAsia="Times New Roman" w:hAnsi="Cambria Math" w:cs="Times New Roman"/>
                  <w:i/>
                  <w:sz w:val="24"/>
                  <w:szCs w:val="24"/>
                  <w:lang w:eastAsia="en-IN"/>
                </w:rPr>
              </m:ctrlPr>
            </m:sSubPr>
            <m:e>
              <m:r>
                <w:rPr>
                  <w:rFonts w:ascii="Cambria Math" w:eastAsia="Times New Roman" w:hAnsi="Cambria Math" w:cs="Times New Roman"/>
                  <w:sz w:val="24"/>
                  <w:szCs w:val="24"/>
                  <w:lang w:eastAsia="en-IN"/>
                </w:rPr>
                <m:t>X</m:t>
              </m:r>
            </m:e>
            <m:sub>
              <m:r>
                <w:rPr>
                  <w:rFonts w:ascii="Cambria Math" w:eastAsia="Times New Roman" w:hAnsi="Cambria Math" w:cs="Times New Roman"/>
                  <w:sz w:val="24"/>
                  <w:szCs w:val="24"/>
                  <w:lang w:eastAsia="en-IN"/>
                </w:rPr>
                <m:t>norm=</m:t>
              </m:r>
            </m:sub>
          </m:sSub>
          <m:f>
            <m:fPr>
              <m:ctrlPr>
                <w:rPr>
                  <w:rFonts w:ascii="Cambria Math" w:eastAsia="Times New Roman" w:hAnsi="Cambria Math" w:cs="Times New Roman"/>
                  <w:i/>
                  <w:sz w:val="24"/>
                  <w:szCs w:val="24"/>
                  <w:lang w:eastAsia="en-IN"/>
                </w:rPr>
              </m:ctrlPr>
            </m:fPr>
            <m:num>
              <m:r>
                <w:rPr>
                  <w:rFonts w:ascii="Cambria Math" w:eastAsia="Times New Roman" w:hAnsi="Cambria Math" w:cs="Times New Roman"/>
                  <w:sz w:val="24"/>
                  <w:szCs w:val="24"/>
                  <w:lang w:eastAsia="en-IN"/>
                </w:rPr>
                <m:t>X-</m:t>
              </m:r>
              <m:sSub>
                <m:sSubPr>
                  <m:ctrlPr>
                    <w:rPr>
                      <w:rFonts w:ascii="Cambria Math" w:eastAsia="Times New Roman" w:hAnsi="Cambria Math" w:cs="Times New Roman"/>
                      <w:i/>
                      <w:sz w:val="24"/>
                      <w:szCs w:val="24"/>
                      <w:lang w:eastAsia="en-IN"/>
                    </w:rPr>
                  </m:ctrlPr>
                </m:sSubPr>
                <m:e>
                  <m:r>
                    <w:rPr>
                      <w:rFonts w:ascii="Cambria Math" w:eastAsia="Times New Roman" w:hAnsi="Cambria Math" w:cs="Times New Roman"/>
                      <w:sz w:val="24"/>
                      <w:szCs w:val="24"/>
                      <w:lang w:eastAsia="en-IN"/>
                    </w:rPr>
                    <m:t>X</m:t>
                  </m:r>
                </m:e>
                <m:sub>
                  <m:r>
                    <w:rPr>
                      <w:rFonts w:ascii="Cambria Math" w:eastAsia="Times New Roman" w:hAnsi="Cambria Math" w:cs="Times New Roman"/>
                      <w:sz w:val="24"/>
                      <w:szCs w:val="24"/>
                      <w:lang w:eastAsia="en-IN"/>
                    </w:rPr>
                    <m:t>min</m:t>
                  </m:r>
                </m:sub>
              </m:sSub>
            </m:num>
            <m:den>
              <m:sSub>
                <m:sSubPr>
                  <m:ctrlPr>
                    <w:rPr>
                      <w:rFonts w:ascii="Cambria Math" w:eastAsia="Times New Roman" w:hAnsi="Cambria Math" w:cs="Times New Roman"/>
                      <w:i/>
                      <w:sz w:val="24"/>
                      <w:szCs w:val="24"/>
                      <w:lang w:eastAsia="en-IN"/>
                    </w:rPr>
                  </m:ctrlPr>
                </m:sSubPr>
                <m:e>
                  <m:r>
                    <w:rPr>
                      <w:rFonts w:ascii="Cambria Math" w:eastAsia="Times New Roman" w:hAnsi="Cambria Math" w:cs="Times New Roman"/>
                      <w:sz w:val="24"/>
                      <w:szCs w:val="24"/>
                      <w:lang w:eastAsia="en-IN"/>
                    </w:rPr>
                    <m:t>X</m:t>
                  </m:r>
                </m:e>
                <m:sub>
                  <m:r>
                    <w:rPr>
                      <w:rFonts w:ascii="Cambria Math" w:eastAsia="Times New Roman" w:hAnsi="Cambria Math" w:cs="Times New Roman"/>
                      <w:sz w:val="24"/>
                      <w:szCs w:val="24"/>
                      <w:lang w:eastAsia="en-IN"/>
                    </w:rPr>
                    <m:t>max</m:t>
                  </m:r>
                </m:sub>
              </m:sSub>
              <m:r>
                <w:rPr>
                  <w:rFonts w:ascii="Cambria Math" w:eastAsia="Times New Roman" w:hAnsi="Cambria Math" w:cs="Times New Roman"/>
                  <w:sz w:val="24"/>
                  <w:szCs w:val="24"/>
                  <w:lang w:eastAsia="en-IN"/>
                </w:rPr>
                <m:t>-</m:t>
              </m:r>
              <m:sSub>
                <m:sSubPr>
                  <m:ctrlPr>
                    <w:rPr>
                      <w:rFonts w:ascii="Cambria Math" w:eastAsia="Times New Roman" w:hAnsi="Cambria Math" w:cs="Times New Roman"/>
                      <w:i/>
                      <w:sz w:val="24"/>
                      <w:szCs w:val="24"/>
                      <w:lang w:eastAsia="en-IN"/>
                    </w:rPr>
                  </m:ctrlPr>
                </m:sSubPr>
                <m:e>
                  <m:r>
                    <w:rPr>
                      <w:rFonts w:ascii="Cambria Math" w:eastAsia="Times New Roman" w:hAnsi="Cambria Math" w:cs="Times New Roman"/>
                      <w:sz w:val="24"/>
                      <w:szCs w:val="24"/>
                      <w:lang w:eastAsia="en-IN"/>
                    </w:rPr>
                    <m:t>X</m:t>
                  </m:r>
                </m:e>
                <m:sub>
                  <m:r>
                    <w:rPr>
                      <w:rFonts w:ascii="Cambria Math" w:eastAsia="Times New Roman" w:hAnsi="Cambria Math" w:cs="Times New Roman"/>
                      <w:sz w:val="24"/>
                      <w:szCs w:val="24"/>
                      <w:lang w:eastAsia="en-IN"/>
                    </w:rPr>
                    <m:t>min</m:t>
                  </m:r>
                </m:sub>
              </m:sSub>
            </m:den>
          </m:f>
        </m:oMath>
      </m:oMathPara>
    </w:p>
    <w:p w14:paraId="6979901B" w14:textId="281C9ACA" w:rsidR="00223074" w:rsidRPr="00223074" w:rsidRDefault="00223074" w:rsidP="00976715">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Normalization prevents bias caused by variables with larger numeric ranges.</w:t>
      </w:r>
    </w:p>
    <w:p w14:paraId="779A3D10" w14:textId="77777777" w:rsidR="00223074" w:rsidRPr="00223074" w:rsidRDefault="00223074"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b/>
          <w:bCs/>
          <w:sz w:val="24"/>
          <w:szCs w:val="24"/>
          <w:lang w:eastAsia="en-IN"/>
        </w:rPr>
        <w:t>Feature Selection</w:t>
      </w:r>
    </w:p>
    <w:p w14:paraId="7325862C" w14:textId="77777777"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 xml:space="preserve">Feature selection techniques such as </w:t>
      </w:r>
      <w:r w:rsidRPr="00223074">
        <w:rPr>
          <w:rFonts w:ascii="Times New Roman" w:eastAsia="Times New Roman" w:hAnsi="Times New Roman" w:cs="Times New Roman"/>
          <w:b/>
          <w:bCs/>
          <w:sz w:val="24"/>
          <w:szCs w:val="24"/>
          <w:lang w:eastAsia="en-IN"/>
        </w:rPr>
        <w:t>correlation analysis and importance ranking</w:t>
      </w:r>
      <w:r w:rsidRPr="00223074">
        <w:rPr>
          <w:rFonts w:ascii="Times New Roman" w:eastAsia="Times New Roman" w:hAnsi="Times New Roman" w:cs="Times New Roman"/>
          <w:sz w:val="24"/>
          <w:szCs w:val="24"/>
          <w:lang w:eastAsia="en-IN"/>
        </w:rPr>
        <w:t xml:space="preserve"> were applied to identify the most influential variables affecting trophic status.</w:t>
      </w:r>
    </w:p>
    <w:p w14:paraId="01992D77" w14:textId="77777777"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Selected features included:</w:t>
      </w:r>
    </w:p>
    <w:p w14:paraId="6C71DBDC" w14:textId="77777777" w:rsidR="00223074" w:rsidRPr="00223074" w:rsidRDefault="00223074" w:rsidP="00BB1EBC">
      <w:pPr>
        <w:numPr>
          <w:ilvl w:val="0"/>
          <w:numId w:val="12"/>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Temperature</w:t>
      </w:r>
    </w:p>
    <w:p w14:paraId="670C7883" w14:textId="77777777" w:rsidR="00223074" w:rsidRPr="00223074" w:rsidRDefault="00223074" w:rsidP="00BB1EBC">
      <w:pPr>
        <w:numPr>
          <w:ilvl w:val="0"/>
          <w:numId w:val="12"/>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Dissolved oxygen</w:t>
      </w:r>
    </w:p>
    <w:p w14:paraId="64782D0D" w14:textId="77777777" w:rsidR="00223074" w:rsidRPr="00223074" w:rsidRDefault="00223074" w:rsidP="00BB1EBC">
      <w:pPr>
        <w:numPr>
          <w:ilvl w:val="0"/>
          <w:numId w:val="12"/>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Nitrate</w:t>
      </w:r>
    </w:p>
    <w:p w14:paraId="71654867" w14:textId="77777777" w:rsidR="00223074" w:rsidRPr="00223074" w:rsidRDefault="00223074" w:rsidP="00BB1EBC">
      <w:pPr>
        <w:numPr>
          <w:ilvl w:val="0"/>
          <w:numId w:val="12"/>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Phosphate</w:t>
      </w:r>
    </w:p>
    <w:p w14:paraId="55977AD9" w14:textId="77777777" w:rsidR="00223074" w:rsidRPr="00223074" w:rsidRDefault="00223074" w:rsidP="00BB1EBC">
      <w:pPr>
        <w:numPr>
          <w:ilvl w:val="0"/>
          <w:numId w:val="12"/>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Chlorophyll-a</w:t>
      </w:r>
    </w:p>
    <w:p w14:paraId="45D00592" w14:textId="519671F6" w:rsidR="00223074" w:rsidRPr="004028A1" w:rsidRDefault="00223074" w:rsidP="00BB1EBC">
      <w:pPr>
        <w:numPr>
          <w:ilvl w:val="0"/>
          <w:numId w:val="12"/>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Phytoplankton diversity indices</w:t>
      </w:r>
    </w:p>
    <w:p w14:paraId="587285BC" w14:textId="77777777" w:rsidR="00223074" w:rsidRPr="00223074" w:rsidRDefault="00223074" w:rsidP="00BB1EBC">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en-IN"/>
        </w:rPr>
      </w:pPr>
      <w:r w:rsidRPr="00223074">
        <w:rPr>
          <w:rFonts w:ascii="Times New Roman" w:eastAsia="Times New Roman" w:hAnsi="Times New Roman" w:cs="Times New Roman"/>
          <w:b/>
          <w:bCs/>
          <w:kern w:val="36"/>
          <w:sz w:val="24"/>
          <w:szCs w:val="24"/>
          <w:lang w:eastAsia="en-IN"/>
        </w:rPr>
        <w:t>3.7 Machine Learning Algorithms</w:t>
      </w:r>
    </w:p>
    <w:p w14:paraId="485A9280" w14:textId="4F805867"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Three supervised machine learning algorithms were used to predict the trophic status of the reservoir.</w:t>
      </w:r>
    </w:p>
    <w:p w14:paraId="55B30E5E" w14:textId="77777777" w:rsidR="00223074" w:rsidRPr="00223074" w:rsidRDefault="00223074"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b/>
          <w:bCs/>
          <w:sz w:val="24"/>
          <w:szCs w:val="24"/>
          <w:lang w:eastAsia="en-IN"/>
        </w:rPr>
        <w:t>Random Forest</w:t>
      </w:r>
    </w:p>
    <w:p w14:paraId="513B0C21" w14:textId="77777777"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Random Forest is an ensemble learning method that combines multiple decision trees to improve prediction accuracy.</w:t>
      </w:r>
    </w:p>
    <w:p w14:paraId="1D5574D4" w14:textId="0665FD1E" w:rsidR="002536E1"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The prediction is determined by majority voting among trees:</w:t>
      </w:r>
    </w:p>
    <w:p w14:paraId="44FFFBDA" w14:textId="4424477C" w:rsidR="004A450E" w:rsidRDefault="004A450E"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m:oMathPara>
        <m:oMath>
          <m:r>
            <w:rPr>
              <w:rFonts w:ascii="Cambria Math" w:eastAsia="Times New Roman" w:hAnsi="Cambria Math" w:cs="Times New Roman"/>
              <w:sz w:val="24"/>
              <w:szCs w:val="24"/>
              <w:lang w:eastAsia="en-IN"/>
            </w:rPr>
            <m:t>Predction=mode(Tree1, Tree2,……….</m:t>
          </m:r>
          <m:sSub>
            <m:sSubPr>
              <m:ctrlPr>
                <w:rPr>
                  <w:rFonts w:ascii="Cambria Math" w:eastAsia="Times New Roman" w:hAnsi="Cambria Math" w:cs="Times New Roman"/>
                  <w:i/>
                  <w:sz w:val="24"/>
                  <w:szCs w:val="24"/>
                  <w:lang w:eastAsia="en-IN"/>
                </w:rPr>
              </m:ctrlPr>
            </m:sSubPr>
            <m:e>
              <m:r>
                <w:rPr>
                  <w:rFonts w:ascii="Cambria Math" w:eastAsia="Times New Roman" w:hAnsi="Cambria Math" w:cs="Times New Roman"/>
                  <w:sz w:val="24"/>
                  <w:szCs w:val="24"/>
                  <w:lang w:eastAsia="en-IN"/>
                </w:rPr>
                <m:t>Tree</m:t>
              </m:r>
            </m:e>
            <m:sub>
              <m:r>
                <w:rPr>
                  <w:rFonts w:ascii="Cambria Math" w:eastAsia="Times New Roman" w:hAnsi="Cambria Math" w:cs="Times New Roman"/>
                  <w:sz w:val="24"/>
                  <w:szCs w:val="24"/>
                  <w:lang w:eastAsia="en-IN"/>
                </w:rPr>
                <m:t>n</m:t>
              </m:r>
            </m:sub>
          </m:sSub>
        </m:oMath>
      </m:oMathPara>
    </w:p>
    <w:p w14:paraId="4691F9A8" w14:textId="7F99687C"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lastRenderedPageBreak/>
        <w:t>Advantages include high accuracy and robustness to noise.</w:t>
      </w:r>
    </w:p>
    <w:p w14:paraId="69237A4B" w14:textId="77777777" w:rsidR="00223074" w:rsidRPr="00223074" w:rsidRDefault="00223074"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b/>
          <w:bCs/>
          <w:sz w:val="24"/>
          <w:szCs w:val="24"/>
          <w:lang w:eastAsia="en-IN"/>
        </w:rPr>
        <w:t>Support Vector Machine (SVM)</w:t>
      </w:r>
    </w:p>
    <w:p w14:paraId="11178E67" w14:textId="77777777"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SVM is a classification algorithm that separates data points using optimal hyperplanes.</w:t>
      </w:r>
    </w:p>
    <w:p w14:paraId="4FBEC242" w14:textId="053D7498" w:rsid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The SVM decision function is:</w:t>
      </w:r>
    </w:p>
    <w:p w14:paraId="72C57298" w14:textId="0C768259" w:rsidR="002536E1" w:rsidRPr="00223074" w:rsidRDefault="00F13A8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m:oMathPara>
        <m:oMath>
          <m:r>
            <w:rPr>
              <w:rFonts w:ascii="Cambria Math" w:eastAsia="Times New Roman" w:hAnsi="Cambria Math" w:cs="Times New Roman"/>
              <w:sz w:val="24"/>
              <w:szCs w:val="24"/>
              <w:lang w:eastAsia="en-IN"/>
            </w:rPr>
            <m:t>f</m:t>
          </m:r>
          <m:d>
            <m:dPr>
              <m:ctrlPr>
                <w:rPr>
                  <w:rFonts w:ascii="Cambria Math" w:eastAsia="Times New Roman" w:hAnsi="Cambria Math" w:cs="Times New Roman"/>
                  <w:i/>
                  <w:sz w:val="24"/>
                  <w:szCs w:val="24"/>
                  <w:lang w:eastAsia="en-IN"/>
                </w:rPr>
              </m:ctrlPr>
            </m:dPr>
            <m:e>
              <m:r>
                <w:rPr>
                  <w:rFonts w:ascii="Cambria Math" w:eastAsia="Times New Roman" w:hAnsi="Cambria Math" w:cs="Times New Roman"/>
                  <w:sz w:val="24"/>
                  <w:szCs w:val="24"/>
                  <w:lang w:eastAsia="en-IN"/>
                </w:rPr>
                <m:t>x</m:t>
              </m:r>
            </m:e>
          </m:d>
          <m:r>
            <w:rPr>
              <w:rFonts w:ascii="Cambria Math" w:eastAsia="Times New Roman" w:hAnsi="Cambria Math" w:cs="Times New Roman"/>
              <w:sz w:val="24"/>
              <w:szCs w:val="24"/>
              <w:lang w:eastAsia="en-IN"/>
            </w:rPr>
            <m:t>=w</m:t>
          </m:r>
          <m:r>
            <w:rPr>
              <w:rFonts w:ascii="Cambria Math" w:eastAsia="Times New Roman" w:hAnsi="Cambria Math" w:cs="Times New Roman"/>
              <w:i/>
              <w:sz w:val="24"/>
              <w:szCs w:val="24"/>
              <w:lang w:eastAsia="en-IN"/>
            </w:rPr>
            <w:sym w:font="Symbol" w:char="F0D7"/>
          </m:r>
          <m:r>
            <w:rPr>
              <w:rFonts w:ascii="Cambria Math" w:eastAsia="Times New Roman" w:hAnsi="Cambria Math" w:cs="Times New Roman"/>
              <w:sz w:val="24"/>
              <w:szCs w:val="24"/>
              <w:lang w:eastAsia="en-IN"/>
            </w:rPr>
            <m:t>x+b</m:t>
          </m:r>
        </m:oMath>
      </m:oMathPara>
    </w:p>
    <w:p w14:paraId="05517E03" w14:textId="77777777"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Where:</w:t>
      </w:r>
    </w:p>
    <w:p w14:paraId="225BE96C" w14:textId="77777777" w:rsidR="00223074" w:rsidRPr="00223074" w:rsidRDefault="00223074" w:rsidP="00BB1EBC">
      <w:pPr>
        <w:numPr>
          <w:ilvl w:val="0"/>
          <w:numId w:val="13"/>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b/>
          <w:bCs/>
          <w:sz w:val="24"/>
          <w:szCs w:val="24"/>
          <w:lang w:eastAsia="en-IN"/>
        </w:rPr>
        <w:t>w</w:t>
      </w:r>
      <w:r w:rsidRPr="00223074">
        <w:rPr>
          <w:rFonts w:ascii="Times New Roman" w:eastAsia="Times New Roman" w:hAnsi="Times New Roman" w:cs="Times New Roman"/>
          <w:sz w:val="24"/>
          <w:szCs w:val="24"/>
          <w:lang w:eastAsia="en-IN"/>
        </w:rPr>
        <w:t xml:space="preserve"> = weight vector</w:t>
      </w:r>
    </w:p>
    <w:p w14:paraId="3B168DC8" w14:textId="77777777" w:rsidR="00223074" w:rsidRPr="00223074" w:rsidRDefault="00223074" w:rsidP="00BB1EBC">
      <w:pPr>
        <w:numPr>
          <w:ilvl w:val="0"/>
          <w:numId w:val="13"/>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b/>
          <w:bCs/>
          <w:sz w:val="24"/>
          <w:szCs w:val="24"/>
          <w:lang w:eastAsia="en-IN"/>
        </w:rPr>
        <w:t>x</w:t>
      </w:r>
      <w:r w:rsidRPr="00223074">
        <w:rPr>
          <w:rFonts w:ascii="Times New Roman" w:eastAsia="Times New Roman" w:hAnsi="Times New Roman" w:cs="Times New Roman"/>
          <w:sz w:val="24"/>
          <w:szCs w:val="24"/>
          <w:lang w:eastAsia="en-IN"/>
        </w:rPr>
        <w:t xml:space="preserve"> = input feature vector</w:t>
      </w:r>
    </w:p>
    <w:p w14:paraId="6B49F850" w14:textId="77777777" w:rsidR="00223074" w:rsidRPr="00223074" w:rsidRDefault="00223074" w:rsidP="00BB1EBC">
      <w:pPr>
        <w:numPr>
          <w:ilvl w:val="0"/>
          <w:numId w:val="13"/>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b/>
          <w:bCs/>
          <w:sz w:val="24"/>
          <w:szCs w:val="24"/>
          <w:lang w:eastAsia="en-IN"/>
        </w:rPr>
        <w:t>b</w:t>
      </w:r>
      <w:r w:rsidRPr="00223074">
        <w:rPr>
          <w:rFonts w:ascii="Times New Roman" w:eastAsia="Times New Roman" w:hAnsi="Times New Roman" w:cs="Times New Roman"/>
          <w:sz w:val="24"/>
          <w:szCs w:val="24"/>
          <w:lang w:eastAsia="en-IN"/>
        </w:rPr>
        <w:t xml:space="preserve"> = bias</w:t>
      </w:r>
    </w:p>
    <w:p w14:paraId="05CB72BC" w14:textId="2EBA3411"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Kernel functions allow SVM to model nonlinear relationships.</w:t>
      </w:r>
    </w:p>
    <w:p w14:paraId="68FD38E9" w14:textId="77777777" w:rsidR="00223074" w:rsidRPr="00223074" w:rsidRDefault="00223074"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b/>
          <w:bCs/>
          <w:sz w:val="24"/>
          <w:szCs w:val="24"/>
          <w:lang w:eastAsia="en-IN"/>
        </w:rPr>
        <w:t>Artificial Neural Networks (ANN)</w:t>
      </w:r>
    </w:p>
    <w:p w14:paraId="557D3FB3" w14:textId="77777777"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ANN models simulate biological neural systems and consist of input, hidden, and output layers.</w:t>
      </w:r>
    </w:p>
    <w:p w14:paraId="7F3DFF80" w14:textId="1B371972" w:rsidR="002536E1"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The neuron output is calculated as:</w:t>
      </w:r>
    </w:p>
    <w:p w14:paraId="7452B2E5" w14:textId="0038BB63" w:rsidR="00AD4157" w:rsidRPr="00223074" w:rsidRDefault="00AD4157"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m:oMathPara>
        <m:oMath>
          <m:r>
            <w:rPr>
              <w:rFonts w:ascii="Cambria Math" w:eastAsia="Times New Roman" w:hAnsi="Cambria Math" w:cs="Times New Roman"/>
              <w:sz w:val="24"/>
              <w:szCs w:val="24"/>
              <w:lang w:eastAsia="en-IN"/>
            </w:rPr>
            <m:t>y=f</m:t>
          </m:r>
          <m:d>
            <m:dPr>
              <m:ctrlPr>
                <w:rPr>
                  <w:rFonts w:ascii="Cambria Math" w:eastAsia="Times New Roman" w:hAnsi="Cambria Math" w:cs="Times New Roman"/>
                  <w:i/>
                  <w:sz w:val="24"/>
                  <w:szCs w:val="24"/>
                  <w:lang w:eastAsia="en-IN"/>
                </w:rPr>
              </m:ctrlPr>
            </m:dPr>
            <m:e>
              <m:nary>
                <m:naryPr>
                  <m:chr m:val="∑"/>
                  <m:limLoc m:val="subSup"/>
                  <m:grow m:val="1"/>
                  <m:supHide m:val="1"/>
                  <m:ctrlPr>
                    <w:rPr>
                      <w:rFonts w:ascii="Cambria Math" w:eastAsia="Times New Roman" w:hAnsi="Cambria Math" w:cs="Times New Roman"/>
                      <w:i/>
                      <w:sz w:val="24"/>
                      <w:szCs w:val="24"/>
                      <w:lang w:eastAsia="en-IN"/>
                    </w:rPr>
                  </m:ctrlPr>
                </m:naryPr>
                <m:sub/>
                <m:sup/>
                <m:e>
                  <m:sSub>
                    <m:sSubPr>
                      <m:ctrlPr>
                        <w:rPr>
                          <w:rFonts w:ascii="Cambria Math" w:eastAsia="Times New Roman" w:hAnsi="Cambria Math" w:cs="Times New Roman"/>
                          <w:i/>
                          <w:sz w:val="24"/>
                          <w:szCs w:val="24"/>
                          <w:lang w:eastAsia="en-IN"/>
                        </w:rPr>
                      </m:ctrlPr>
                    </m:sSubPr>
                    <m:e>
                      <m:r>
                        <w:rPr>
                          <w:rFonts w:ascii="Cambria Math" w:eastAsia="Times New Roman" w:hAnsi="Cambria Math" w:cs="Times New Roman"/>
                          <w:sz w:val="24"/>
                          <w:szCs w:val="24"/>
                          <w:lang w:eastAsia="en-IN"/>
                        </w:rPr>
                        <m:t>w</m:t>
                      </m:r>
                    </m:e>
                    <m:sub>
                      <m:r>
                        <w:rPr>
                          <w:rFonts w:ascii="Cambria Math" w:eastAsia="Times New Roman" w:hAnsi="Cambria Math" w:cs="Times New Roman"/>
                          <w:sz w:val="24"/>
                          <w:szCs w:val="24"/>
                          <w:lang w:eastAsia="en-IN"/>
                        </w:rPr>
                        <m:t>i</m:t>
                      </m:r>
                    </m:sub>
                  </m:sSub>
                  <m:sSub>
                    <m:sSubPr>
                      <m:ctrlPr>
                        <w:rPr>
                          <w:rFonts w:ascii="Cambria Math" w:eastAsia="Times New Roman" w:hAnsi="Cambria Math" w:cs="Times New Roman"/>
                          <w:i/>
                          <w:sz w:val="24"/>
                          <w:szCs w:val="24"/>
                          <w:lang w:eastAsia="en-IN"/>
                        </w:rPr>
                      </m:ctrlPr>
                    </m:sSubPr>
                    <m:e>
                      <m:r>
                        <w:rPr>
                          <w:rFonts w:ascii="Cambria Math" w:eastAsia="Times New Roman" w:hAnsi="Cambria Math" w:cs="Times New Roman"/>
                          <w:sz w:val="24"/>
                          <w:szCs w:val="24"/>
                          <w:lang w:eastAsia="en-IN"/>
                        </w:rPr>
                        <m:t>x</m:t>
                      </m:r>
                    </m:e>
                    <m:sub>
                      <m:r>
                        <w:rPr>
                          <w:rFonts w:ascii="Cambria Math" w:eastAsia="Times New Roman" w:hAnsi="Cambria Math" w:cs="Times New Roman"/>
                          <w:sz w:val="24"/>
                          <w:szCs w:val="24"/>
                          <w:lang w:eastAsia="en-IN"/>
                        </w:rPr>
                        <m:t>i</m:t>
                      </m:r>
                    </m:sub>
                  </m:sSub>
                  <m:r>
                    <w:rPr>
                      <w:rFonts w:ascii="Cambria Math" w:eastAsia="Times New Roman" w:hAnsi="Cambria Math" w:cs="Times New Roman"/>
                      <w:sz w:val="24"/>
                      <w:szCs w:val="24"/>
                      <w:lang w:eastAsia="en-IN"/>
                    </w:rPr>
                    <m:t>+b</m:t>
                  </m:r>
                </m:e>
              </m:nary>
            </m:e>
          </m:d>
        </m:oMath>
      </m:oMathPara>
    </w:p>
    <w:p w14:paraId="182EE953" w14:textId="77777777"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Where:</w:t>
      </w:r>
    </w:p>
    <w:p w14:paraId="5AB9DB82" w14:textId="77777777" w:rsidR="00223074" w:rsidRPr="00223074" w:rsidRDefault="00223074" w:rsidP="00BB1EBC">
      <w:pPr>
        <w:numPr>
          <w:ilvl w:val="0"/>
          <w:numId w:val="1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b/>
          <w:bCs/>
          <w:sz w:val="24"/>
          <w:szCs w:val="24"/>
          <w:lang w:eastAsia="en-IN"/>
        </w:rPr>
        <w:t>xᵢ</w:t>
      </w:r>
      <w:r w:rsidRPr="00223074">
        <w:rPr>
          <w:rFonts w:ascii="Times New Roman" w:eastAsia="Times New Roman" w:hAnsi="Times New Roman" w:cs="Times New Roman"/>
          <w:sz w:val="24"/>
          <w:szCs w:val="24"/>
          <w:lang w:eastAsia="en-IN"/>
        </w:rPr>
        <w:t xml:space="preserve"> = input features</w:t>
      </w:r>
    </w:p>
    <w:p w14:paraId="2726F992" w14:textId="77777777" w:rsidR="00223074" w:rsidRPr="00223074" w:rsidRDefault="00223074" w:rsidP="00BB1EBC">
      <w:pPr>
        <w:numPr>
          <w:ilvl w:val="0"/>
          <w:numId w:val="1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b/>
          <w:bCs/>
          <w:sz w:val="24"/>
          <w:szCs w:val="24"/>
          <w:lang w:eastAsia="en-IN"/>
        </w:rPr>
        <w:t>wᵢ</w:t>
      </w:r>
      <w:r w:rsidRPr="00223074">
        <w:rPr>
          <w:rFonts w:ascii="Times New Roman" w:eastAsia="Times New Roman" w:hAnsi="Times New Roman" w:cs="Times New Roman"/>
          <w:sz w:val="24"/>
          <w:szCs w:val="24"/>
          <w:lang w:eastAsia="en-IN"/>
        </w:rPr>
        <w:t xml:space="preserve"> = weights</w:t>
      </w:r>
    </w:p>
    <w:p w14:paraId="1D412CBC" w14:textId="77777777" w:rsidR="00223074" w:rsidRPr="00223074" w:rsidRDefault="00223074" w:rsidP="00BB1EBC">
      <w:pPr>
        <w:numPr>
          <w:ilvl w:val="0"/>
          <w:numId w:val="1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b/>
          <w:bCs/>
          <w:sz w:val="24"/>
          <w:szCs w:val="24"/>
          <w:lang w:eastAsia="en-IN"/>
        </w:rPr>
        <w:t>b</w:t>
      </w:r>
      <w:r w:rsidRPr="00223074">
        <w:rPr>
          <w:rFonts w:ascii="Times New Roman" w:eastAsia="Times New Roman" w:hAnsi="Times New Roman" w:cs="Times New Roman"/>
          <w:sz w:val="24"/>
          <w:szCs w:val="24"/>
          <w:lang w:eastAsia="en-IN"/>
        </w:rPr>
        <w:t xml:space="preserve"> = bias</w:t>
      </w:r>
    </w:p>
    <w:p w14:paraId="685DE1D7" w14:textId="77777777" w:rsidR="00223074" w:rsidRPr="00223074" w:rsidRDefault="00223074" w:rsidP="00BB1EBC">
      <w:pPr>
        <w:numPr>
          <w:ilvl w:val="0"/>
          <w:numId w:val="1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b/>
          <w:bCs/>
          <w:sz w:val="24"/>
          <w:szCs w:val="24"/>
          <w:lang w:eastAsia="en-IN"/>
        </w:rPr>
        <w:t>f</w:t>
      </w:r>
      <w:r w:rsidRPr="00223074">
        <w:rPr>
          <w:rFonts w:ascii="Times New Roman" w:eastAsia="Times New Roman" w:hAnsi="Times New Roman" w:cs="Times New Roman"/>
          <w:sz w:val="24"/>
          <w:szCs w:val="24"/>
          <w:lang w:eastAsia="en-IN"/>
        </w:rPr>
        <w:t xml:space="preserve"> = activation function</w:t>
      </w:r>
    </w:p>
    <w:p w14:paraId="4DC8CA7A" w14:textId="2CBC747F"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ANN models are effective for capturing complex nonlinear relationships.</w:t>
      </w:r>
    </w:p>
    <w:p w14:paraId="2B0C970B" w14:textId="77777777" w:rsidR="00223074" w:rsidRPr="00223074" w:rsidRDefault="00223074" w:rsidP="00BB1EBC">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en-IN"/>
        </w:rPr>
      </w:pPr>
      <w:r w:rsidRPr="00223074">
        <w:rPr>
          <w:rFonts w:ascii="Times New Roman" w:eastAsia="Times New Roman" w:hAnsi="Times New Roman" w:cs="Times New Roman"/>
          <w:b/>
          <w:bCs/>
          <w:kern w:val="36"/>
          <w:sz w:val="24"/>
          <w:szCs w:val="24"/>
          <w:lang w:eastAsia="en-IN"/>
        </w:rPr>
        <w:t>3.8 Model Evaluation Metrics</w:t>
      </w:r>
    </w:p>
    <w:p w14:paraId="5521D283" w14:textId="31BBAEC5"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The performance of machine learning models was evaluated using several metrics.</w:t>
      </w:r>
    </w:p>
    <w:p w14:paraId="0D95CB80" w14:textId="77777777" w:rsidR="00223074" w:rsidRPr="00223074" w:rsidRDefault="00223074"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b/>
          <w:bCs/>
          <w:sz w:val="24"/>
          <w:szCs w:val="24"/>
          <w:lang w:eastAsia="en-IN"/>
        </w:rPr>
        <w:lastRenderedPageBreak/>
        <w:t>Accuracy</w:t>
      </w:r>
    </w:p>
    <w:p w14:paraId="46ACB428" w14:textId="77777777"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Accuracy measures the proportion of correctly predicted observations.</w:t>
      </w:r>
    </w:p>
    <w:p w14:paraId="2FA7A148" w14:textId="68554BBF" w:rsidR="006006C9" w:rsidRDefault="00AD0E9B"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m:oMathPara>
        <m:oMath>
          <m:r>
            <w:rPr>
              <w:rFonts w:ascii="Cambria Math" w:eastAsia="Times New Roman" w:hAnsi="Cambria Math" w:cs="Times New Roman"/>
              <w:sz w:val="24"/>
              <w:szCs w:val="24"/>
              <w:lang w:eastAsia="en-IN"/>
            </w:rPr>
            <m:t xml:space="preserve">Accuracy= </m:t>
          </m:r>
          <m:f>
            <m:fPr>
              <m:ctrlPr>
                <w:rPr>
                  <w:rFonts w:ascii="Cambria Math" w:eastAsia="Times New Roman" w:hAnsi="Cambria Math" w:cs="Times New Roman"/>
                  <w:i/>
                  <w:sz w:val="24"/>
                  <w:szCs w:val="24"/>
                  <w:lang w:eastAsia="en-IN"/>
                </w:rPr>
              </m:ctrlPr>
            </m:fPr>
            <m:num>
              <m:r>
                <w:rPr>
                  <w:rFonts w:ascii="Cambria Math" w:eastAsia="Times New Roman" w:hAnsi="Cambria Math" w:cs="Times New Roman"/>
                  <w:sz w:val="24"/>
                  <w:szCs w:val="24"/>
                  <w:lang w:eastAsia="en-IN"/>
                </w:rPr>
                <m:t>TP+TN</m:t>
              </m:r>
            </m:num>
            <m:den>
              <m:r>
                <w:rPr>
                  <w:rFonts w:ascii="Cambria Math" w:eastAsia="Times New Roman" w:hAnsi="Cambria Math" w:cs="Times New Roman"/>
                  <w:sz w:val="24"/>
                  <w:szCs w:val="24"/>
                  <w:lang w:eastAsia="en-IN"/>
                </w:rPr>
                <m:t>TP+TN+FP+FN</m:t>
              </m:r>
            </m:den>
          </m:f>
        </m:oMath>
      </m:oMathPara>
    </w:p>
    <w:p w14:paraId="47ADE464" w14:textId="77777777" w:rsidR="00223074" w:rsidRPr="00223074" w:rsidRDefault="00223074"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b/>
          <w:bCs/>
          <w:sz w:val="24"/>
          <w:szCs w:val="24"/>
          <w:lang w:eastAsia="en-IN"/>
        </w:rPr>
        <w:t>Precision</w:t>
      </w:r>
    </w:p>
    <w:p w14:paraId="4327866C" w14:textId="702F7D12" w:rsidR="002536E1"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Precision measures the proportion of correctly predicted positive observations.</w:t>
      </w:r>
    </w:p>
    <w:p w14:paraId="441C085A" w14:textId="7DBE8427" w:rsidR="00223074" w:rsidRPr="00223074" w:rsidRDefault="001516FB"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m:oMathPara>
        <m:oMath>
          <m:r>
            <w:rPr>
              <w:rFonts w:ascii="Cambria Math" w:eastAsia="Times New Roman" w:hAnsi="Cambria Math" w:cs="Times New Roman"/>
              <w:sz w:val="24"/>
              <w:szCs w:val="24"/>
              <w:lang w:eastAsia="en-IN"/>
            </w:rPr>
            <m:t xml:space="preserve">Precision= </m:t>
          </m:r>
          <m:f>
            <m:fPr>
              <m:ctrlPr>
                <w:rPr>
                  <w:rFonts w:ascii="Cambria Math" w:eastAsia="Times New Roman" w:hAnsi="Cambria Math" w:cs="Times New Roman"/>
                  <w:i/>
                  <w:sz w:val="24"/>
                  <w:szCs w:val="24"/>
                  <w:lang w:eastAsia="en-IN"/>
                </w:rPr>
              </m:ctrlPr>
            </m:fPr>
            <m:num>
              <m:r>
                <w:rPr>
                  <w:rFonts w:ascii="Cambria Math" w:eastAsia="Times New Roman" w:hAnsi="Cambria Math" w:cs="Times New Roman"/>
                  <w:sz w:val="24"/>
                  <w:szCs w:val="24"/>
                  <w:lang w:eastAsia="en-IN"/>
                </w:rPr>
                <m:t>TP</m:t>
              </m:r>
            </m:num>
            <m:den>
              <m:r>
                <w:rPr>
                  <w:rFonts w:ascii="Cambria Math" w:eastAsia="Times New Roman" w:hAnsi="Cambria Math" w:cs="Times New Roman"/>
                  <w:sz w:val="24"/>
                  <w:szCs w:val="24"/>
                  <w:lang w:eastAsia="en-IN"/>
                </w:rPr>
                <m:t>TP+FP</m:t>
              </m:r>
            </m:den>
          </m:f>
        </m:oMath>
      </m:oMathPara>
    </w:p>
    <w:p w14:paraId="027933F9" w14:textId="77777777" w:rsidR="00223074" w:rsidRPr="00223074" w:rsidRDefault="00223074"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b/>
          <w:bCs/>
          <w:sz w:val="24"/>
          <w:szCs w:val="24"/>
          <w:lang w:eastAsia="en-IN"/>
        </w:rPr>
        <w:t>Recall</w:t>
      </w:r>
    </w:p>
    <w:p w14:paraId="7ECB91AC" w14:textId="77777777"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Recall measures the proportion of actual positives correctly identified.</w:t>
      </w:r>
    </w:p>
    <w:p w14:paraId="2C42951E" w14:textId="10E0B4B2" w:rsidR="001516FB" w:rsidRDefault="001516FB"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m:oMathPara>
        <m:oMath>
          <m:r>
            <w:rPr>
              <w:rFonts w:ascii="Cambria Math" w:eastAsia="Times New Roman" w:hAnsi="Cambria Math" w:cs="Times New Roman"/>
              <w:sz w:val="24"/>
              <w:szCs w:val="24"/>
              <w:lang w:eastAsia="en-IN"/>
            </w:rPr>
            <m:t xml:space="preserve">Recall= </m:t>
          </m:r>
          <m:f>
            <m:fPr>
              <m:ctrlPr>
                <w:rPr>
                  <w:rFonts w:ascii="Cambria Math" w:eastAsia="Times New Roman" w:hAnsi="Cambria Math" w:cs="Times New Roman"/>
                  <w:i/>
                  <w:sz w:val="24"/>
                  <w:szCs w:val="24"/>
                  <w:lang w:eastAsia="en-IN"/>
                </w:rPr>
              </m:ctrlPr>
            </m:fPr>
            <m:num>
              <m:r>
                <w:rPr>
                  <w:rFonts w:ascii="Cambria Math" w:eastAsia="Times New Roman" w:hAnsi="Cambria Math" w:cs="Times New Roman"/>
                  <w:sz w:val="24"/>
                  <w:szCs w:val="24"/>
                  <w:lang w:eastAsia="en-IN"/>
                </w:rPr>
                <m:t>TP</m:t>
              </m:r>
            </m:num>
            <m:den>
              <m:r>
                <w:rPr>
                  <w:rFonts w:ascii="Cambria Math" w:eastAsia="Times New Roman" w:hAnsi="Cambria Math" w:cs="Times New Roman"/>
                  <w:sz w:val="24"/>
                  <w:szCs w:val="24"/>
                  <w:lang w:eastAsia="en-IN"/>
                </w:rPr>
                <m:t>TP+FN</m:t>
              </m:r>
            </m:den>
          </m:f>
        </m:oMath>
      </m:oMathPara>
    </w:p>
    <w:p w14:paraId="37F834AF" w14:textId="77777777" w:rsidR="00223074" w:rsidRPr="00223074" w:rsidRDefault="00223074"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b/>
          <w:bCs/>
          <w:sz w:val="24"/>
          <w:szCs w:val="24"/>
          <w:lang w:eastAsia="en-IN"/>
        </w:rPr>
        <w:t>F1 Score</w:t>
      </w:r>
    </w:p>
    <w:p w14:paraId="480A025A" w14:textId="77777777"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The F1 score represents the harmonic mean of precision and recall.</w:t>
      </w:r>
    </w:p>
    <w:p w14:paraId="72D2C219" w14:textId="4BBF4D0D" w:rsidR="001516FB" w:rsidRDefault="001516FB" w:rsidP="001516FB">
      <w:pPr>
        <w:spacing w:before="100" w:beforeAutospacing="1" w:after="100" w:afterAutospacing="1" w:line="360" w:lineRule="auto"/>
        <w:jc w:val="both"/>
        <w:rPr>
          <w:rFonts w:ascii="Times New Roman" w:eastAsia="Times New Roman" w:hAnsi="Times New Roman" w:cs="Times New Roman"/>
          <w:sz w:val="24"/>
          <w:szCs w:val="24"/>
          <w:lang w:eastAsia="en-IN"/>
        </w:rPr>
      </w:pPr>
      <m:oMathPara>
        <m:oMath>
          <m:r>
            <w:rPr>
              <w:rFonts w:ascii="Cambria Math" w:eastAsia="Times New Roman" w:hAnsi="Cambria Math" w:cs="Times New Roman"/>
              <w:sz w:val="24"/>
              <w:szCs w:val="24"/>
              <w:lang w:eastAsia="en-IN"/>
            </w:rPr>
            <m:t>F1=2</m:t>
          </m:r>
          <m:r>
            <w:rPr>
              <w:rFonts w:ascii="Cambria Math" w:eastAsia="Times New Roman" w:hAnsi="Cambria Math" w:cs="Times New Roman"/>
              <w:i/>
              <w:sz w:val="24"/>
              <w:szCs w:val="24"/>
              <w:lang w:eastAsia="en-IN"/>
            </w:rPr>
            <w:sym w:font="Symbol" w:char="F0B4"/>
          </m:r>
          <m:r>
            <w:rPr>
              <w:rFonts w:ascii="Cambria Math" w:eastAsia="Times New Roman" w:hAnsi="Cambria Math" w:cs="Times New Roman"/>
              <w:sz w:val="24"/>
              <w:szCs w:val="24"/>
              <w:lang w:eastAsia="en-IN"/>
            </w:rPr>
            <m:t xml:space="preserve"> </m:t>
          </m:r>
          <m:f>
            <m:fPr>
              <m:ctrlPr>
                <w:rPr>
                  <w:rFonts w:ascii="Cambria Math" w:eastAsia="Times New Roman" w:hAnsi="Cambria Math" w:cs="Times New Roman"/>
                  <w:i/>
                  <w:sz w:val="24"/>
                  <w:szCs w:val="24"/>
                  <w:lang w:eastAsia="en-IN"/>
                </w:rPr>
              </m:ctrlPr>
            </m:fPr>
            <m:num>
              <m:r>
                <w:rPr>
                  <w:rFonts w:ascii="Cambria Math" w:eastAsia="Times New Roman" w:hAnsi="Cambria Math" w:cs="Times New Roman"/>
                  <w:sz w:val="24"/>
                  <w:szCs w:val="24"/>
                  <w:lang w:eastAsia="en-IN"/>
                </w:rPr>
                <m:t>Precision</m:t>
              </m:r>
              <m:r>
                <w:rPr>
                  <w:rFonts w:ascii="Cambria Math" w:eastAsia="Times New Roman" w:hAnsi="Cambria Math" w:cs="Times New Roman"/>
                  <w:i/>
                  <w:sz w:val="24"/>
                  <w:szCs w:val="24"/>
                  <w:lang w:eastAsia="en-IN"/>
                </w:rPr>
                <w:sym w:font="Symbol" w:char="F0B4"/>
              </m:r>
              <m:r>
                <w:rPr>
                  <w:rFonts w:ascii="Cambria Math" w:eastAsia="Times New Roman" w:hAnsi="Cambria Math" w:cs="Times New Roman"/>
                  <w:sz w:val="24"/>
                  <w:szCs w:val="24"/>
                  <w:lang w:eastAsia="en-IN"/>
                </w:rPr>
                <m:t>Recall</m:t>
              </m:r>
            </m:num>
            <m:den>
              <m:r>
                <w:rPr>
                  <w:rFonts w:ascii="Cambria Math" w:eastAsia="Times New Roman" w:hAnsi="Cambria Math" w:cs="Times New Roman"/>
                  <w:sz w:val="24"/>
                  <w:szCs w:val="24"/>
                  <w:lang w:eastAsia="en-IN"/>
                </w:rPr>
                <m:t>Precision+Recall</m:t>
              </m:r>
            </m:den>
          </m:f>
        </m:oMath>
      </m:oMathPara>
    </w:p>
    <w:p w14:paraId="4D8D9E46" w14:textId="77777777" w:rsidR="00223074" w:rsidRPr="00223074" w:rsidRDefault="00223074"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b/>
          <w:bCs/>
          <w:sz w:val="24"/>
          <w:szCs w:val="24"/>
          <w:lang w:eastAsia="en-IN"/>
        </w:rPr>
        <w:t>Confusion Matrix</w:t>
      </w:r>
    </w:p>
    <w:p w14:paraId="4CFDC61C" w14:textId="2B9EC6A7" w:rsidR="00223074" w:rsidRDefault="00CD24A1"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Chart 8: </w:t>
      </w:r>
      <w:r w:rsidR="00223074" w:rsidRPr="00223074">
        <w:rPr>
          <w:rFonts w:ascii="Times New Roman" w:eastAsia="Times New Roman" w:hAnsi="Times New Roman" w:cs="Times New Roman"/>
          <w:sz w:val="24"/>
          <w:szCs w:val="24"/>
          <w:lang w:eastAsia="en-IN"/>
        </w:rPr>
        <w:t>A confusion matrix summarizes model performance by showing correct and incorrect predictions.</w:t>
      </w:r>
    </w:p>
    <w:tbl>
      <w:tblPr>
        <w:tblStyle w:val="TableGrid"/>
        <w:tblW w:w="0" w:type="auto"/>
        <w:tblLook w:val="04A0" w:firstRow="1" w:lastRow="0" w:firstColumn="1" w:lastColumn="0" w:noHBand="0" w:noVBand="1"/>
      </w:tblPr>
      <w:tblGrid>
        <w:gridCol w:w="2087"/>
        <w:gridCol w:w="2319"/>
        <w:gridCol w:w="2319"/>
      </w:tblGrid>
      <w:tr w:rsidR="003353E9" w14:paraId="2B9C3589" w14:textId="77777777" w:rsidTr="003353E9">
        <w:trPr>
          <w:trHeight w:val="232"/>
        </w:trPr>
        <w:tc>
          <w:tcPr>
            <w:tcW w:w="2087" w:type="dxa"/>
            <w:vAlign w:val="center"/>
          </w:tcPr>
          <w:p w14:paraId="602C4D20" w14:textId="77777777" w:rsidR="003353E9" w:rsidRDefault="003353E9"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p>
        </w:tc>
        <w:tc>
          <w:tcPr>
            <w:tcW w:w="2319" w:type="dxa"/>
            <w:vAlign w:val="center"/>
          </w:tcPr>
          <w:p w14:paraId="1E97C102" w14:textId="13D9A2F7" w:rsidR="003353E9" w:rsidRDefault="003353E9"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b/>
                <w:bCs/>
                <w:sz w:val="24"/>
                <w:szCs w:val="24"/>
                <w:lang w:eastAsia="en-IN"/>
              </w:rPr>
              <w:t>Predicted Positive</w:t>
            </w:r>
          </w:p>
        </w:tc>
        <w:tc>
          <w:tcPr>
            <w:tcW w:w="2319" w:type="dxa"/>
            <w:vAlign w:val="center"/>
          </w:tcPr>
          <w:p w14:paraId="3ED43149" w14:textId="1F4D9BEC" w:rsidR="003353E9" w:rsidRDefault="003353E9"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b/>
                <w:bCs/>
                <w:sz w:val="24"/>
                <w:szCs w:val="24"/>
                <w:lang w:eastAsia="en-IN"/>
              </w:rPr>
              <w:t>Predicted Negative</w:t>
            </w:r>
          </w:p>
        </w:tc>
      </w:tr>
      <w:tr w:rsidR="003353E9" w14:paraId="7F03EB89" w14:textId="77777777" w:rsidTr="003353E9">
        <w:trPr>
          <w:trHeight w:val="232"/>
        </w:trPr>
        <w:tc>
          <w:tcPr>
            <w:tcW w:w="2087" w:type="dxa"/>
            <w:vAlign w:val="center"/>
          </w:tcPr>
          <w:p w14:paraId="66F3AEB1" w14:textId="546FE074" w:rsidR="003353E9" w:rsidRDefault="003353E9"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Actual Positive</w:t>
            </w:r>
          </w:p>
        </w:tc>
        <w:tc>
          <w:tcPr>
            <w:tcW w:w="2319" w:type="dxa"/>
            <w:vAlign w:val="center"/>
          </w:tcPr>
          <w:p w14:paraId="2D819C83" w14:textId="63029B61" w:rsidR="003353E9" w:rsidRPr="00223074" w:rsidRDefault="003353E9" w:rsidP="00BB1EBC">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sz w:val="24"/>
                <w:szCs w:val="24"/>
                <w:lang w:eastAsia="en-IN"/>
              </w:rPr>
              <w:t>True Positive (TP)</w:t>
            </w:r>
          </w:p>
        </w:tc>
        <w:tc>
          <w:tcPr>
            <w:tcW w:w="2319" w:type="dxa"/>
            <w:vAlign w:val="center"/>
          </w:tcPr>
          <w:p w14:paraId="605E09C1" w14:textId="760FBEE3" w:rsidR="003353E9" w:rsidRPr="00223074" w:rsidRDefault="003353E9" w:rsidP="00BB1EBC">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sz w:val="24"/>
                <w:szCs w:val="24"/>
                <w:lang w:eastAsia="en-IN"/>
              </w:rPr>
              <w:t>False Negative (FN)</w:t>
            </w:r>
          </w:p>
        </w:tc>
      </w:tr>
      <w:tr w:rsidR="003353E9" w14:paraId="0E416AAA" w14:textId="77777777" w:rsidTr="003353E9">
        <w:trPr>
          <w:trHeight w:val="232"/>
        </w:trPr>
        <w:tc>
          <w:tcPr>
            <w:tcW w:w="2087" w:type="dxa"/>
            <w:vAlign w:val="center"/>
          </w:tcPr>
          <w:p w14:paraId="2DDD82BA" w14:textId="7EA5AAE3" w:rsidR="003353E9" w:rsidRPr="00223074" w:rsidRDefault="003353E9"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Actual Negative</w:t>
            </w:r>
          </w:p>
        </w:tc>
        <w:tc>
          <w:tcPr>
            <w:tcW w:w="2319" w:type="dxa"/>
            <w:vAlign w:val="center"/>
          </w:tcPr>
          <w:p w14:paraId="25ECDDFB" w14:textId="3499C0F9" w:rsidR="003353E9" w:rsidRPr="00223074" w:rsidRDefault="003353E9"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False Positive (FP)</w:t>
            </w:r>
          </w:p>
        </w:tc>
        <w:tc>
          <w:tcPr>
            <w:tcW w:w="2319" w:type="dxa"/>
            <w:vAlign w:val="center"/>
          </w:tcPr>
          <w:p w14:paraId="0B0CB9CF" w14:textId="098CE9B3" w:rsidR="003353E9" w:rsidRPr="00223074" w:rsidRDefault="003353E9"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True Negative (TN)</w:t>
            </w:r>
          </w:p>
        </w:tc>
      </w:tr>
    </w:tbl>
    <w:p w14:paraId="6C5AEE49" w14:textId="77777777" w:rsidR="00223074" w:rsidRPr="00223074" w:rsidRDefault="00223074" w:rsidP="00BB1EBC">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en-IN"/>
        </w:rPr>
      </w:pPr>
      <w:r w:rsidRPr="00223074">
        <w:rPr>
          <w:rFonts w:ascii="Times New Roman" w:eastAsia="Times New Roman" w:hAnsi="Times New Roman" w:cs="Times New Roman"/>
          <w:b/>
          <w:bCs/>
          <w:kern w:val="36"/>
          <w:sz w:val="24"/>
          <w:szCs w:val="24"/>
          <w:lang w:eastAsia="en-IN"/>
        </w:rPr>
        <w:t>4. Results</w:t>
      </w:r>
    </w:p>
    <w:p w14:paraId="42A1F210" w14:textId="42B8C2CB"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lastRenderedPageBreak/>
        <w:t xml:space="preserve">This section presents the results obtained from the analysis of physicochemical parameters, phytoplankton diversity, trophic state index calculations, and machine learning model predictions for </w:t>
      </w:r>
      <w:proofErr w:type="spellStart"/>
      <w:r w:rsidRPr="00223074">
        <w:rPr>
          <w:rFonts w:ascii="Times New Roman" w:eastAsia="Times New Roman" w:hAnsi="Times New Roman" w:cs="Times New Roman"/>
          <w:sz w:val="24"/>
          <w:szCs w:val="24"/>
          <w:lang w:eastAsia="en-IN"/>
        </w:rPr>
        <w:t>Kotpally</w:t>
      </w:r>
      <w:proofErr w:type="spellEnd"/>
      <w:r w:rsidRPr="00223074">
        <w:rPr>
          <w:rFonts w:ascii="Times New Roman" w:eastAsia="Times New Roman" w:hAnsi="Times New Roman" w:cs="Times New Roman"/>
          <w:sz w:val="24"/>
          <w:szCs w:val="24"/>
          <w:lang w:eastAsia="en-IN"/>
        </w:rPr>
        <w:t xml:space="preserve"> Reservoir.</w:t>
      </w:r>
    </w:p>
    <w:p w14:paraId="59D01F29" w14:textId="77777777" w:rsidR="00223074" w:rsidRPr="00223074" w:rsidRDefault="00223074" w:rsidP="00BB1EBC">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en-IN"/>
        </w:rPr>
      </w:pPr>
      <w:r w:rsidRPr="00223074">
        <w:rPr>
          <w:rFonts w:ascii="Times New Roman" w:eastAsia="Times New Roman" w:hAnsi="Times New Roman" w:cs="Times New Roman"/>
          <w:b/>
          <w:bCs/>
          <w:kern w:val="36"/>
          <w:sz w:val="24"/>
          <w:szCs w:val="24"/>
          <w:lang w:eastAsia="en-IN"/>
        </w:rPr>
        <w:t>4.1 Seasonal Variation in Physicochemical Parameters</w:t>
      </w:r>
    </w:p>
    <w:p w14:paraId="20484F73" w14:textId="77777777"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Seasonal monitoring of water quality parameters revealed significant variations in temperature, dissolved oxygen, and nutrient concentrations across different seasons. These variations reflect climatic influences, hydrological changes, and nutrient inflow into the reservoir.</w:t>
      </w:r>
    </w:p>
    <w:p w14:paraId="111CA34E" w14:textId="7DE3AF9F"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Table 1 presents the average seasonal values of major physicochemical parameters recorded during the study period.</w:t>
      </w:r>
    </w:p>
    <w:p w14:paraId="12B1A77A" w14:textId="6E32769D" w:rsidR="00223074" w:rsidRDefault="00223074"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b/>
          <w:bCs/>
          <w:sz w:val="24"/>
          <w:szCs w:val="24"/>
          <w:lang w:eastAsia="en-IN"/>
        </w:rPr>
        <w:t>Table 1 Seasonal variation in limnological parameters</w:t>
      </w:r>
    </w:p>
    <w:tbl>
      <w:tblPr>
        <w:tblStyle w:val="TableGrid"/>
        <w:tblW w:w="0" w:type="auto"/>
        <w:jc w:val="center"/>
        <w:tblLook w:val="04A0" w:firstRow="1" w:lastRow="0" w:firstColumn="1" w:lastColumn="0" w:noHBand="0" w:noVBand="1"/>
      </w:tblPr>
      <w:tblGrid>
        <w:gridCol w:w="2736"/>
        <w:gridCol w:w="950"/>
        <w:gridCol w:w="1096"/>
        <w:gridCol w:w="1163"/>
      </w:tblGrid>
      <w:tr w:rsidR="003353E9" w14:paraId="38E06FA8" w14:textId="77777777" w:rsidTr="00A41780">
        <w:trPr>
          <w:trHeight w:val="252"/>
          <w:jc w:val="center"/>
        </w:trPr>
        <w:tc>
          <w:tcPr>
            <w:tcW w:w="0" w:type="auto"/>
            <w:vAlign w:val="center"/>
          </w:tcPr>
          <w:p w14:paraId="18E33CF2" w14:textId="0E8C91DA" w:rsidR="003353E9" w:rsidRDefault="003353E9"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b/>
                <w:bCs/>
                <w:sz w:val="24"/>
                <w:szCs w:val="24"/>
                <w:lang w:eastAsia="en-IN"/>
              </w:rPr>
              <w:t>Parameter</w:t>
            </w:r>
          </w:p>
        </w:tc>
        <w:tc>
          <w:tcPr>
            <w:tcW w:w="0" w:type="auto"/>
            <w:vAlign w:val="center"/>
          </w:tcPr>
          <w:p w14:paraId="60A5DB84" w14:textId="41C41137" w:rsidR="003353E9" w:rsidRDefault="003353E9"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b/>
                <w:bCs/>
                <w:sz w:val="24"/>
                <w:szCs w:val="24"/>
                <w:lang w:eastAsia="en-IN"/>
              </w:rPr>
              <w:t>Winter</w:t>
            </w:r>
          </w:p>
        </w:tc>
        <w:tc>
          <w:tcPr>
            <w:tcW w:w="0" w:type="auto"/>
            <w:vAlign w:val="center"/>
          </w:tcPr>
          <w:p w14:paraId="55E33B5B" w14:textId="19D54D97" w:rsidR="003353E9" w:rsidRDefault="003353E9"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b/>
                <w:bCs/>
                <w:sz w:val="24"/>
                <w:szCs w:val="24"/>
                <w:lang w:eastAsia="en-IN"/>
              </w:rPr>
              <w:t>Summer</w:t>
            </w:r>
          </w:p>
        </w:tc>
        <w:tc>
          <w:tcPr>
            <w:tcW w:w="0" w:type="auto"/>
            <w:vAlign w:val="center"/>
          </w:tcPr>
          <w:p w14:paraId="0968FB30" w14:textId="270E4ED5" w:rsidR="003353E9" w:rsidRDefault="003353E9"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b/>
                <w:bCs/>
                <w:sz w:val="24"/>
                <w:szCs w:val="24"/>
                <w:lang w:eastAsia="en-IN"/>
              </w:rPr>
              <w:t>Monsoon</w:t>
            </w:r>
          </w:p>
        </w:tc>
      </w:tr>
      <w:tr w:rsidR="003353E9" w14:paraId="4C3D1FA6" w14:textId="77777777" w:rsidTr="00A41780">
        <w:trPr>
          <w:trHeight w:val="252"/>
          <w:jc w:val="center"/>
        </w:trPr>
        <w:tc>
          <w:tcPr>
            <w:tcW w:w="0" w:type="auto"/>
            <w:vAlign w:val="center"/>
          </w:tcPr>
          <w:p w14:paraId="2521F8D7" w14:textId="5FF409BB" w:rsidR="003353E9" w:rsidRPr="00223074" w:rsidRDefault="003353E9"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sz w:val="24"/>
                <w:szCs w:val="24"/>
                <w:lang w:eastAsia="en-IN"/>
              </w:rPr>
              <w:t>Temperature (°C)</w:t>
            </w:r>
          </w:p>
        </w:tc>
        <w:tc>
          <w:tcPr>
            <w:tcW w:w="0" w:type="auto"/>
            <w:vAlign w:val="center"/>
          </w:tcPr>
          <w:p w14:paraId="23541A36" w14:textId="30263063" w:rsidR="003353E9" w:rsidRPr="00223074" w:rsidRDefault="003353E9"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sz w:val="24"/>
                <w:szCs w:val="24"/>
                <w:lang w:eastAsia="en-IN"/>
              </w:rPr>
              <w:t>22.4</w:t>
            </w:r>
          </w:p>
        </w:tc>
        <w:tc>
          <w:tcPr>
            <w:tcW w:w="0" w:type="auto"/>
            <w:vAlign w:val="center"/>
          </w:tcPr>
          <w:p w14:paraId="6C7E55BE" w14:textId="441B1D8E" w:rsidR="003353E9" w:rsidRPr="00223074" w:rsidRDefault="003353E9"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sz w:val="24"/>
                <w:szCs w:val="24"/>
                <w:lang w:eastAsia="en-IN"/>
              </w:rPr>
              <w:t>33.8</w:t>
            </w:r>
          </w:p>
        </w:tc>
        <w:tc>
          <w:tcPr>
            <w:tcW w:w="0" w:type="auto"/>
            <w:vAlign w:val="center"/>
          </w:tcPr>
          <w:p w14:paraId="45AC48D8" w14:textId="5F49B763" w:rsidR="003353E9" w:rsidRPr="00223074" w:rsidRDefault="003353E9"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sz w:val="24"/>
                <w:szCs w:val="24"/>
                <w:lang w:eastAsia="en-IN"/>
              </w:rPr>
              <w:t>27.5</w:t>
            </w:r>
          </w:p>
        </w:tc>
      </w:tr>
      <w:tr w:rsidR="003353E9" w14:paraId="51A7CFDD" w14:textId="77777777" w:rsidTr="00A41780">
        <w:trPr>
          <w:trHeight w:val="252"/>
          <w:jc w:val="center"/>
        </w:trPr>
        <w:tc>
          <w:tcPr>
            <w:tcW w:w="0" w:type="auto"/>
            <w:vAlign w:val="center"/>
          </w:tcPr>
          <w:p w14:paraId="6824179C" w14:textId="2DDE256E" w:rsidR="003353E9" w:rsidRPr="00223074" w:rsidRDefault="003353E9"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pH</w:t>
            </w:r>
          </w:p>
        </w:tc>
        <w:tc>
          <w:tcPr>
            <w:tcW w:w="0" w:type="auto"/>
            <w:vAlign w:val="center"/>
          </w:tcPr>
          <w:p w14:paraId="4BAAA70B" w14:textId="3E4EC620" w:rsidR="003353E9" w:rsidRPr="00223074" w:rsidRDefault="003353E9"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7.4</w:t>
            </w:r>
          </w:p>
        </w:tc>
        <w:tc>
          <w:tcPr>
            <w:tcW w:w="0" w:type="auto"/>
            <w:vAlign w:val="center"/>
          </w:tcPr>
          <w:p w14:paraId="6CD735FF" w14:textId="6F13994E" w:rsidR="003353E9" w:rsidRPr="00223074" w:rsidRDefault="003353E9"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8.2</w:t>
            </w:r>
          </w:p>
        </w:tc>
        <w:tc>
          <w:tcPr>
            <w:tcW w:w="0" w:type="auto"/>
            <w:vAlign w:val="center"/>
          </w:tcPr>
          <w:p w14:paraId="173F7226" w14:textId="5DED43D0" w:rsidR="003353E9" w:rsidRPr="00223074" w:rsidRDefault="003353E9"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7.8</w:t>
            </w:r>
          </w:p>
        </w:tc>
      </w:tr>
      <w:tr w:rsidR="003353E9" w14:paraId="42B53247" w14:textId="77777777" w:rsidTr="00A41780">
        <w:trPr>
          <w:trHeight w:val="252"/>
          <w:jc w:val="center"/>
        </w:trPr>
        <w:tc>
          <w:tcPr>
            <w:tcW w:w="0" w:type="auto"/>
            <w:vAlign w:val="center"/>
          </w:tcPr>
          <w:p w14:paraId="1F32B978" w14:textId="3C56B711" w:rsidR="003353E9" w:rsidRPr="00223074" w:rsidRDefault="003353E9"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Dissolved Oxygen (mg/L)</w:t>
            </w:r>
          </w:p>
        </w:tc>
        <w:tc>
          <w:tcPr>
            <w:tcW w:w="0" w:type="auto"/>
            <w:vAlign w:val="center"/>
          </w:tcPr>
          <w:p w14:paraId="7801ED6F" w14:textId="65B9E8E1" w:rsidR="003353E9" w:rsidRPr="00223074" w:rsidRDefault="003353E9"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7.6</w:t>
            </w:r>
          </w:p>
        </w:tc>
        <w:tc>
          <w:tcPr>
            <w:tcW w:w="0" w:type="auto"/>
            <w:vAlign w:val="center"/>
          </w:tcPr>
          <w:p w14:paraId="7CFEA80B" w14:textId="2827FA8C" w:rsidR="003353E9" w:rsidRPr="00223074" w:rsidRDefault="003353E9"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5.3</w:t>
            </w:r>
          </w:p>
        </w:tc>
        <w:tc>
          <w:tcPr>
            <w:tcW w:w="0" w:type="auto"/>
            <w:vAlign w:val="center"/>
          </w:tcPr>
          <w:p w14:paraId="50819D6A" w14:textId="20C39B89" w:rsidR="003353E9" w:rsidRPr="00223074" w:rsidRDefault="003353E9"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6.4</w:t>
            </w:r>
          </w:p>
        </w:tc>
      </w:tr>
      <w:tr w:rsidR="003353E9" w14:paraId="3782C027" w14:textId="77777777" w:rsidTr="00A41780">
        <w:trPr>
          <w:trHeight w:val="252"/>
          <w:jc w:val="center"/>
        </w:trPr>
        <w:tc>
          <w:tcPr>
            <w:tcW w:w="0" w:type="auto"/>
            <w:vAlign w:val="center"/>
          </w:tcPr>
          <w:p w14:paraId="724AE8B6" w14:textId="2E126A37" w:rsidR="003353E9" w:rsidRPr="00223074" w:rsidRDefault="003353E9"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BOD (mg/L)</w:t>
            </w:r>
          </w:p>
        </w:tc>
        <w:tc>
          <w:tcPr>
            <w:tcW w:w="0" w:type="auto"/>
            <w:vAlign w:val="center"/>
          </w:tcPr>
          <w:p w14:paraId="3ECE718C" w14:textId="138195DA" w:rsidR="003353E9" w:rsidRPr="00223074" w:rsidRDefault="003353E9"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2.1</w:t>
            </w:r>
          </w:p>
        </w:tc>
        <w:tc>
          <w:tcPr>
            <w:tcW w:w="0" w:type="auto"/>
            <w:vAlign w:val="center"/>
          </w:tcPr>
          <w:p w14:paraId="10E6E333" w14:textId="6D5E85D0" w:rsidR="003353E9" w:rsidRPr="00223074" w:rsidRDefault="003353E9"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3.8</w:t>
            </w:r>
          </w:p>
        </w:tc>
        <w:tc>
          <w:tcPr>
            <w:tcW w:w="0" w:type="auto"/>
            <w:vAlign w:val="center"/>
          </w:tcPr>
          <w:p w14:paraId="04A6DF1E" w14:textId="5E40708D" w:rsidR="003353E9" w:rsidRPr="00223074" w:rsidRDefault="003353E9"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3.0</w:t>
            </w:r>
          </w:p>
        </w:tc>
      </w:tr>
      <w:tr w:rsidR="003353E9" w14:paraId="0146237D" w14:textId="77777777" w:rsidTr="00A41780">
        <w:trPr>
          <w:trHeight w:val="252"/>
          <w:jc w:val="center"/>
        </w:trPr>
        <w:tc>
          <w:tcPr>
            <w:tcW w:w="0" w:type="auto"/>
            <w:vAlign w:val="center"/>
          </w:tcPr>
          <w:p w14:paraId="691C1E35" w14:textId="7ACC1C24" w:rsidR="003353E9" w:rsidRPr="00223074" w:rsidRDefault="003353E9"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Nitrate (mg/L)</w:t>
            </w:r>
          </w:p>
        </w:tc>
        <w:tc>
          <w:tcPr>
            <w:tcW w:w="0" w:type="auto"/>
            <w:vAlign w:val="center"/>
          </w:tcPr>
          <w:p w14:paraId="76BFCB2A" w14:textId="036097F4" w:rsidR="003353E9" w:rsidRPr="00223074" w:rsidRDefault="003353E9"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0.48</w:t>
            </w:r>
          </w:p>
        </w:tc>
        <w:tc>
          <w:tcPr>
            <w:tcW w:w="0" w:type="auto"/>
            <w:vAlign w:val="center"/>
          </w:tcPr>
          <w:p w14:paraId="36E20A63" w14:textId="2BB228DC" w:rsidR="003353E9" w:rsidRPr="00223074" w:rsidRDefault="003353E9"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0.72</w:t>
            </w:r>
          </w:p>
        </w:tc>
        <w:tc>
          <w:tcPr>
            <w:tcW w:w="0" w:type="auto"/>
            <w:vAlign w:val="center"/>
          </w:tcPr>
          <w:p w14:paraId="18B542D2" w14:textId="6CD642C1" w:rsidR="003353E9" w:rsidRPr="00223074" w:rsidRDefault="003353E9"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1.25</w:t>
            </w:r>
          </w:p>
        </w:tc>
      </w:tr>
      <w:tr w:rsidR="003353E9" w14:paraId="3AE8D3AF" w14:textId="77777777" w:rsidTr="00A41780">
        <w:trPr>
          <w:trHeight w:val="252"/>
          <w:jc w:val="center"/>
        </w:trPr>
        <w:tc>
          <w:tcPr>
            <w:tcW w:w="0" w:type="auto"/>
            <w:vAlign w:val="center"/>
          </w:tcPr>
          <w:p w14:paraId="6C09F471" w14:textId="110DBCAA" w:rsidR="003353E9" w:rsidRPr="00223074" w:rsidRDefault="003353E9"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Phosphate (mg/L)</w:t>
            </w:r>
          </w:p>
        </w:tc>
        <w:tc>
          <w:tcPr>
            <w:tcW w:w="0" w:type="auto"/>
            <w:vAlign w:val="center"/>
          </w:tcPr>
          <w:p w14:paraId="54F37249" w14:textId="570B824C" w:rsidR="003353E9" w:rsidRPr="00223074" w:rsidRDefault="003353E9"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0.03</w:t>
            </w:r>
          </w:p>
        </w:tc>
        <w:tc>
          <w:tcPr>
            <w:tcW w:w="0" w:type="auto"/>
            <w:vAlign w:val="center"/>
          </w:tcPr>
          <w:p w14:paraId="1A742F44" w14:textId="6F9294D1" w:rsidR="003353E9" w:rsidRPr="00223074" w:rsidRDefault="003353E9"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0.05</w:t>
            </w:r>
          </w:p>
        </w:tc>
        <w:tc>
          <w:tcPr>
            <w:tcW w:w="0" w:type="auto"/>
            <w:vAlign w:val="center"/>
          </w:tcPr>
          <w:p w14:paraId="764607E3" w14:textId="656415C0" w:rsidR="003353E9" w:rsidRPr="00223074" w:rsidRDefault="003353E9"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0.09</w:t>
            </w:r>
          </w:p>
        </w:tc>
      </w:tr>
      <w:tr w:rsidR="003353E9" w14:paraId="229F8775" w14:textId="77777777" w:rsidTr="00A41780">
        <w:trPr>
          <w:trHeight w:val="252"/>
          <w:jc w:val="center"/>
        </w:trPr>
        <w:tc>
          <w:tcPr>
            <w:tcW w:w="0" w:type="auto"/>
            <w:vAlign w:val="center"/>
          </w:tcPr>
          <w:p w14:paraId="591DC695" w14:textId="5D1C58BC" w:rsidR="003353E9" w:rsidRPr="00223074" w:rsidRDefault="003353E9"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Turbidity (NTU)</w:t>
            </w:r>
          </w:p>
        </w:tc>
        <w:tc>
          <w:tcPr>
            <w:tcW w:w="0" w:type="auto"/>
            <w:vAlign w:val="center"/>
          </w:tcPr>
          <w:p w14:paraId="66582CAD" w14:textId="23851E35" w:rsidR="003353E9" w:rsidRPr="00223074" w:rsidRDefault="003353E9"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12</w:t>
            </w:r>
          </w:p>
        </w:tc>
        <w:tc>
          <w:tcPr>
            <w:tcW w:w="0" w:type="auto"/>
            <w:vAlign w:val="center"/>
          </w:tcPr>
          <w:p w14:paraId="5FB6CDED" w14:textId="44E49F09" w:rsidR="003353E9" w:rsidRPr="00223074" w:rsidRDefault="003353E9"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18</w:t>
            </w:r>
          </w:p>
        </w:tc>
        <w:tc>
          <w:tcPr>
            <w:tcW w:w="0" w:type="auto"/>
            <w:vAlign w:val="center"/>
          </w:tcPr>
          <w:p w14:paraId="0306D837" w14:textId="11B5F690" w:rsidR="003353E9" w:rsidRPr="00223074" w:rsidRDefault="003353E9"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28</w:t>
            </w:r>
          </w:p>
        </w:tc>
      </w:tr>
      <w:tr w:rsidR="003353E9" w14:paraId="2BF3F8AC" w14:textId="77777777" w:rsidTr="00A41780">
        <w:trPr>
          <w:trHeight w:val="252"/>
          <w:jc w:val="center"/>
        </w:trPr>
        <w:tc>
          <w:tcPr>
            <w:tcW w:w="0" w:type="auto"/>
            <w:vAlign w:val="center"/>
          </w:tcPr>
          <w:p w14:paraId="4D9751E8" w14:textId="4997A78A" w:rsidR="003353E9" w:rsidRPr="00223074" w:rsidRDefault="003353E9"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Chlorophyll-a (µg/L)</w:t>
            </w:r>
          </w:p>
        </w:tc>
        <w:tc>
          <w:tcPr>
            <w:tcW w:w="0" w:type="auto"/>
            <w:vAlign w:val="center"/>
          </w:tcPr>
          <w:p w14:paraId="412E0F51" w14:textId="5A0336CB" w:rsidR="003353E9" w:rsidRPr="00223074" w:rsidRDefault="003353E9"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7.5</w:t>
            </w:r>
          </w:p>
        </w:tc>
        <w:tc>
          <w:tcPr>
            <w:tcW w:w="0" w:type="auto"/>
            <w:vAlign w:val="center"/>
          </w:tcPr>
          <w:p w14:paraId="1F0E6EB2" w14:textId="4859E588" w:rsidR="003353E9" w:rsidRPr="00223074" w:rsidRDefault="003353E9"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15.3</w:t>
            </w:r>
          </w:p>
        </w:tc>
        <w:tc>
          <w:tcPr>
            <w:tcW w:w="0" w:type="auto"/>
            <w:vAlign w:val="center"/>
          </w:tcPr>
          <w:p w14:paraId="07B95518" w14:textId="3BC77FCD" w:rsidR="003353E9" w:rsidRPr="00223074" w:rsidRDefault="003353E9"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19.6</w:t>
            </w:r>
          </w:p>
        </w:tc>
      </w:tr>
    </w:tbl>
    <w:p w14:paraId="3E6C49E2" w14:textId="77777777"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 xml:space="preserve">The results indicate that </w:t>
      </w:r>
      <w:r w:rsidRPr="00223074">
        <w:rPr>
          <w:rFonts w:ascii="Times New Roman" w:eastAsia="Times New Roman" w:hAnsi="Times New Roman" w:cs="Times New Roman"/>
          <w:b/>
          <w:bCs/>
          <w:sz w:val="24"/>
          <w:szCs w:val="24"/>
          <w:lang w:eastAsia="en-IN"/>
        </w:rPr>
        <w:t>temperature was highest during summer</w:t>
      </w:r>
      <w:r w:rsidRPr="00223074">
        <w:rPr>
          <w:rFonts w:ascii="Times New Roman" w:eastAsia="Times New Roman" w:hAnsi="Times New Roman" w:cs="Times New Roman"/>
          <w:sz w:val="24"/>
          <w:szCs w:val="24"/>
          <w:lang w:eastAsia="en-IN"/>
        </w:rPr>
        <w:t xml:space="preserve">, reaching approximately 34°C, while </w:t>
      </w:r>
      <w:r w:rsidRPr="00223074">
        <w:rPr>
          <w:rFonts w:ascii="Times New Roman" w:eastAsia="Times New Roman" w:hAnsi="Times New Roman" w:cs="Times New Roman"/>
          <w:b/>
          <w:bCs/>
          <w:sz w:val="24"/>
          <w:szCs w:val="24"/>
          <w:lang w:eastAsia="en-IN"/>
        </w:rPr>
        <w:t>dissolved oxygen levels were lowest during summer</w:t>
      </w:r>
      <w:r w:rsidRPr="00223074">
        <w:rPr>
          <w:rFonts w:ascii="Times New Roman" w:eastAsia="Times New Roman" w:hAnsi="Times New Roman" w:cs="Times New Roman"/>
          <w:sz w:val="24"/>
          <w:szCs w:val="24"/>
          <w:lang w:eastAsia="en-IN"/>
        </w:rPr>
        <w:t>, likely due to increased metabolic activity and reduced oxygen solubility.</w:t>
      </w:r>
    </w:p>
    <w:p w14:paraId="53695BD0" w14:textId="6DF2D8CC"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 xml:space="preserve">Nutrient concentrations, particularly nitrate and phosphate, were highest during the </w:t>
      </w:r>
      <w:r w:rsidRPr="00223074">
        <w:rPr>
          <w:rFonts w:ascii="Times New Roman" w:eastAsia="Times New Roman" w:hAnsi="Times New Roman" w:cs="Times New Roman"/>
          <w:b/>
          <w:bCs/>
          <w:sz w:val="24"/>
          <w:szCs w:val="24"/>
          <w:lang w:eastAsia="en-IN"/>
        </w:rPr>
        <w:t>monsoon season</w:t>
      </w:r>
      <w:r w:rsidRPr="00223074">
        <w:rPr>
          <w:rFonts w:ascii="Times New Roman" w:eastAsia="Times New Roman" w:hAnsi="Times New Roman" w:cs="Times New Roman"/>
          <w:sz w:val="24"/>
          <w:szCs w:val="24"/>
          <w:lang w:eastAsia="en-IN"/>
        </w:rPr>
        <w:t>, which can be attributed to runoff from agricultural fields entering the reservoir.</w:t>
      </w:r>
    </w:p>
    <w:p w14:paraId="0BF416A7" w14:textId="4DA2DD99" w:rsidR="00223074" w:rsidRPr="00223074" w:rsidRDefault="00223074"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b/>
          <w:bCs/>
          <w:sz w:val="24"/>
          <w:szCs w:val="24"/>
          <w:lang w:eastAsia="en-IN"/>
        </w:rPr>
        <w:t>Figure 1 Seasonal variation in temperature and dissolved oxygen</w:t>
      </w:r>
    </w:p>
    <w:p w14:paraId="2E15C136" w14:textId="77777777" w:rsidR="00223074" w:rsidRPr="00223074" w:rsidRDefault="00223074" w:rsidP="00BB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Courier New" w:eastAsia="Times New Roman" w:hAnsi="Courier New" w:cs="Courier New"/>
          <w:sz w:val="24"/>
          <w:szCs w:val="24"/>
          <w:lang w:eastAsia="en-IN"/>
        </w:rPr>
      </w:pPr>
      <w:r w:rsidRPr="00223074">
        <w:rPr>
          <w:rFonts w:ascii="Courier New" w:eastAsia="Times New Roman" w:hAnsi="Courier New" w:cs="Courier New"/>
          <w:sz w:val="24"/>
          <w:szCs w:val="24"/>
          <w:lang w:eastAsia="en-IN"/>
        </w:rPr>
        <w:t>Temperature (°C)</w:t>
      </w:r>
    </w:p>
    <w:p w14:paraId="2597E68D" w14:textId="67B920F4" w:rsidR="00223074" w:rsidRPr="00223074" w:rsidRDefault="00D3012B" w:rsidP="00BB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Courier New" w:eastAsia="Times New Roman" w:hAnsi="Courier New" w:cs="Courier New"/>
          <w:sz w:val="24"/>
          <w:szCs w:val="24"/>
          <w:lang w:eastAsia="en-IN"/>
        </w:rPr>
      </w:pPr>
      <w:r>
        <w:rPr>
          <w:noProof/>
        </w:rPr>
        <w:lastRenderedPageBreak/>
        <w:drawing>
          <wp:inline distT="0" distB="0" distL="0" distR="0" wp14:anchorId="44321C3D" wp14:editId="514A1545">
            <wp:extent cx="4572000" cy="2743200"/>
            <wp:effectExtent l="0" t="0" r="0" b="0"/>
            <wp:docPr id="1" name="Chart 1">
              <a:extLst xmlns:a="http://schemas.openxmlformats.org/drawingml/2006/main">
                <a:ext uri="{FF2B5EF4-FFF2-40B4-BE49-F238E27FC236}">
                  <a16:creationId xmlns:a16="http://schemas.microsoft.com/office/drawing/2014/main" id="{5C30A7AD-1C25-4195-BE8F-44B4FAE659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4F746F23" w14:textId="77777777" w:rsidR="00223074" w:rsidRPr="00223074" w:rsidRDefault="00223074" w:rsidP="00BB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Courier New" w:eastAsia="Times New Roman" w:hAnsi="Courier New" w:cs="Courier New"/>
          <w:sz w:val="24"/>
          <w:szCs w:val="24"/>
          <w:lang w:eastAsia="en-IN"/>
        </w:rPr>
      </w:pPr>
    </w:p>
    <w:p w14:paraId="40D8693B" w14:textId="77777777" w:rsidR="00223074" w:rsidRPr="00223074" w:rsidRDefault="00223074" w:rsidP="00BB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Courier New" w:eastAsia="Times New Roman" w:hAnsi="Courier New" w:cs="Courier New"/>
          <w:sz w:val="24"/>
          <w:szCs w:val="24"/>
          <w:lang w:eastAsia="en-IN"/>
        </w:rPr>
      </w:pPr>
      <w:r w:rsidRPr="00223074">
        <w:rPr>
          <w:rFonts w:ascii="Courier New" w:eastAsia="Times New Roman" w:hAnsi="Courier New" w:cs="Courier New"/>
          <w:sz w:val="24"/>
          <w:szCs w:val="24"/>
          <w:lang w:eastAsia="en-IN"/>
        </w:rPr>
        <w:t>Dissolved Oxygen (mg/L)</w:t>
      </w:r>
    </w:p>
    <w:p w14:paraId="4949DC44" w14:textId="450472A1" w:rsidR="00223074" w:rsidRPr="00223074" w:rsidRDefault="002D3948" w:rsidP="00BB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Courier New" w:eastAsia="Times New Roman" w:hAnsi="Courier New" w:cs="Courier New"/>
          <w:sz w:val="24"/>
          <w:szCs w:val="24"/>
          <w:lang w:eastAsia="en-IN"/>
        </w:rPr>
      </w:pPr>
      <w:r>
        <w:rPr>
          <w:noProof/>
        </w:rPr>
        <w:drawing>
          <wp:inline distT="0" distB="0" distL="0" distR="0" wp14:anchorId="56AE5D82" wp14:editId="486B3483">
            <wp:extent cx="4572000" cy="2743200"/>
            <wp:effectExtent l="0" t="0" r="0" b="0"/>
            <wp:docPr id="35" name="Chart 35">
              <a:extLst xmlns:a="http://schemas.openxmlformats.org/drawingml/2006/main">
                <a:ext uri="{FF2B5EF4-FFF2-40B4-BE49-F238E27FC236}">
                  <a16:creationId xmlns:a16="http://schemas.microsoft.com/office/drawing/2014/main" id="{176D8672-BE9A-40F2-8982-1ABC422644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7A64625" w14:textId="53CA71EF" w:rsidR="00223074" w:rsidRPr="00223074" w:rsidRDefault="00223074" w:rsidP="002D3948">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The inverse relationship between temperature and dissolved oxygen was clearly observed, which is typical in freshwater ecosystems.</w:t>
      </w:r>
    </w:p>
    <w:p w14:paraId="70DDD4C7" w14:textId="5B5E5487" w:rsidR="00223074" w:rsidRPr="00223074" w:rsidRDefault="00223074"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b/>
          <w:bCs/>
          <w:sz w:val="24"/>
          <w:szCs w:val="24"/>
          <w:lang w:eastAsia="en-IN"/>
        </w:rPr>
        <w:t>Figure 2 Seasonal variation in nutrient concentrations</w:t>
      </w:r>
    </w:p>
    <w:p w14:paraId="0938C03F" w14:textId="11FA6AD6" w:rsidR="00223074" w:rsidRDefault="00223074" w:rsidP="00BB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Courier New" w:eastAsia="Times New Roman" w:hAnsi="Courier New" w:cs="Courier New"/>
          <w:sz w:val="24"/>
          <w:szCs w:val="24"/>
          <w:lang w:eastAsia="en-IN"/>
        </w:rPr>
      </w:pPr>
      <w:r w:rsidRPr="00223074">
        <w:rPr>
          <w:rFonts w:ascii="Courier New" w:eastAsia="Times New Roman" w:hAnsi="Courier New" w:cs="Courier New"/>
          <w:sz w:val="24"/>
          <w:szCs w:val="24"/>
          <w:lang w:eastAsia="en-IN"/>
        </w:rPr>
        <w:t>Nutrient concentration (mg/L)</w:t>
      </w:r>
    </w:p>
    <w:p w14:paraId="4EE145A5" w14:textId="1FA8F166" w:rsidR="002D3948" w:rsidRPr="00223074" w:rsidRDefault="002D3948" w:rsidP="00BB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Courier New" w:eastAsia="Times New Roman" w:hAnsi="Courier New" w:cs="Courier New"/>
          <w:sz w:val="24"/>
          <w:szCs w:val="24"/>
          <w:lang w:eastAsia="en-IN"/>
        </w:rPr>
      </w:pPr>
      <w:r>
        <w:rPr>
          <w:noProof/>
        </w:rPr>
        <w:lastRenderedPageBreak/>
        <w:drawing>
          <wp:inline distT="0" distB="0" distL="0" distR="0" wp14:anchorId="2F41955F" wp14:editId="6CADA770">
            <wp:extent cx="4572000" cy="2743200"/>
            <wp:effectExtent l="0" t="0" r="0" b="0"/>
            <wp:docPr id="36" name="Chart 36">
              <a:extLst xmlns:a="http://schemas.openxmlformats.org/drawingml/2006/main">
                <a:ext uri="{FF2B5EF4-FFF2-40B4-BE49-F238E27FC236}">
                  <a16:creationId xmlns:a16="http://schemas.microsoft.com/office/drawing/2014/main" id="{905707DE-3873-4822-AAAC-008283B7F1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EDF4B5C" w14:textId="6218AF9E"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Monsoon runoff significantly increased nutrient inputs, which may stimulate phytoplankton growth and influence trophic conditions.</w:t>
      </w:r>
    </w:p>
    <w:p w14:paraId="675AEC4D" w14:textId="77777777" w:rsidR="00223074" w:rsidRPr="00223074" w:rsidRDefault="00223074" w:rsidP="00BB1EBC">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en-IN"/>
        </w:rPr>
      </w:pPr>
      <w:r w:rsidRPr="00223074">
        <w:rPr>
          <w:rFonts w:ascii="Times New Roman" w:eastAsia="Times New Roman" w:hAnsi="Times New Roman" w:cs="Times New Roman"/>
          <w:b/>
          <w:bCs/>
          <w:kern w:val="36"/>
          <w:sz w:val="24"/>
          <w:szCs w:val="24"/>
          <w:lang w:eastAsia="en-IN"/>
        </w:rPr>
        <w:t>4.2 Phytoplankton Diversity</w:t>
      </w:r>
    </w:p>
    <w:p w14:paraId="262824AF" w14:textId="77777777"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 xml:space="preserve">Phytoplankton analysis revealed a diverse community composed of several algal groups. A total of </w:t>
      </w:r>
      <w:r w:rsidRPr="00223074">
        <w:rPr>
          <w:rFonts w:ascii="Times New Roman" w:eastAsia="Times New Roman" w:hAnsi="Times New Roman" w:cs="Times New Roman"/>
          <w:b/>
          <w:bCs/>
          <w:sz w:val="24"/>
          <w:szCs w:val="24"/>
          <w:lang w:eastAsia="en-IN"/>
        </w:rPr>
        <w:t>45 phytoplankton species</w:t>
      </w:r>
      <w:r w:rsidRPr="00223074">
        <w:rPr>
          <w:rFonts w:ascii="Times New Roman" w:eastAsia="Times New Roman" w:hAnsi="Times New Roman" w:cs="Times New Roman"/>
          <w:sz w:val="24"/>
          <w:szCs w:val="24"/>
          <w:lang w:eastAsia="en-IN"/>
        </w:rPr>
        <w:t xml:space="preserve"> belonging to five major taxonomic classes were identified in the reservoir.</w:t>
      </w:r>
    </w:p>
    <w:p w14:paraId="6D1417D3" w14:textId="34864275" w:rsidR="00223074" w:rsidRDefault="00223074"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b/>
          <w:bCs/>
          <w:sz w:val="24"/>
          <w:szCs w:val="24"/>
          <w:lang w:eastAsia="en-IN"/>
        </w:rPr>
        <w:t>Table 2 Composition of phytoplankton groups</w:t>
      </w:r>
    </w:p>
    <w:tbl>
      <w:tblPr>
        <w:tblStyle w:val="TableGrid"/>
        <w:tblW w:w="0" w:type="auto"/>
        <w:tblLook w:val="04A0" w:firstRow="1" w:lastRow="0" w:firstColumn="1" w:lastColumn="0" w:noHBand="0" w:noVBand="1"/>
      </w:tblPr>
      <w:tblGrid>
        <w:gridCol w:w="3397"/>
        <w:gridCol w:w="2289"/>
        <w:gridCol w:w="2541"/>
      </w:tblGrid>
      <w:tr w:rsidR="00FD3412" w14:paraId="420F98A8" w14:textId="77777777" w:rsidTr="00B0380E">
        <w:trPr>
          <w:trHeight w:val="256"/>
        </w:trPr>
        <w:tc>
          <w:tcPr>
            <w:tcW w:w="3397" w:type="dxa"/>
            <w:vAlign w:val="center"/>
          </w:tcPr>
          <w:p w14:paraId="75972A5F" w14:textId="2A83D8DD" w:rsidR="00FD3412" w:rsidRDefault="00FD3412"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b/>
                <w:bCs/>
                <w:sz w:val="24"/>
                <w:szCs w:val="24"/>
                <w:lang w:eastAsia="en-IN"/>
              </w:rPr>
              <w:t>Phytoplankton Group</w:t>
            </w:r>
          </w:p>
        </w:tc>
        <w:tc>
          <w:tcPr>
            <w:tcW w:w="2289" w:type="dxa"/>
            <w:vAlign w:val="center"/>
          </w:tcPr>
          <w:p w14:paraId="43417DAA" w14:textId="1F2356A7" w:rsidR="00FD3412" w:rsidRDefault="00FD3412"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b/>
                <w:bCs/>
                <w:sz w:val="24"/>
                <w:szCs w:val="24"/>
                <w:lang w:eastAsia="en-IN"/>
              </w:rPr>
              <w:t>Number of Species</w:t>
            </w:r>
          </w:p>
        </w:tc>
        <w:tc>
          <w:tcPr>
            <w:tcW w:w="2541" w:type="dxa"/>
            <w:vAlign w:val="center"/>
          </w:tcPr>
          <w:p w14:paraId="427EC60A" w14:textId="29BFF945" w:rsidR="00FD3412" w:rsidRDefault="00FD3412"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b/>
                <w:bCs/>
                <w:sz w:val="24"/>
                <w:szCs w:val="24"/>
                <w:lang w:eastAsia="en-IN"/>
              </w:rPr>
              <w:t>Percentage (%)</w:t>
            </w:r>
          </w:p>
        </w:tc>
      </w:tr>
      <w:tr w:rsidR="00FD3412" w14:paraId="286871E0" w14:textId="77777777" w:rsidTr="00B0380E">
        <w:trPr>
          <w:trHeight w:val="256"/>
        </w:trPr>
        <w:tc>
          <w:tcPr>
            <w:tcW w:w="3397" w:type="dxa"/>
            <w:vAlign w:val="center"/>
          </w:tcPr>
          <w:p w14:paraId="4A73C6DB" w14:textId="49E5681B" w:rsidR="00FD3412" w:rsidRPr="00223074" w:rsidRDefault="00FD3412"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sz w:val="24"/>
                <w:szCs w:val="24"/>
                <w:lang w:eastAsia="en-IN"/>
              </w:rPr>
              <w:t>Chlorophyceae</w:t>
            </w:r>
          </w:p>
        </w:tc>
        <w:tc>
          <w:tcPr>
            <w:tcW w:w="2289" w:type="dxa"/>
            <w:vAlign w:val="center"/>
          </w:tcPr>
          <w:p w14:paraId="56A0962D" w14:textId="00D7A376" w:rsidR="00FD3412" w:rsidRPr="00223074" w:rsidRDefault="00FD3412"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sz w:val="24"/>
                <w:szCs w:val="24"/>
                <w:lang w:eastAsia="en-IN"/>
              </w:rPr>
              <w:t>16</w:t>
            </w:r>
          </w:p>
        </w:tc>
        <w:tc>
          <w:tcPr>
            <w:tcW w:w="2541" w:type="dxa"/>
            <w:vAlign w:val="center"/>
          </w:tcPr>
          <w:p w14:paraId="69AE1549" w14:textId="6BA69C90" w:rsidR="00FD3412" w:rsidRPr="00223074" w:rsidRDefault="00FD3412"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sz w:val="24"/>
                <w:szCs w:val="24"/>
                <w:lang w:eastAsia="en-IN"/>
              </w:rPr>
              <w:t>35.6</w:t>
            </w:r>
          </w:p>
        </w:tc>
      </w:tr>
      <w:tr w:rsidR="00FD3412" w14:paraId="473A6380" w14:textId="77777777" w:rsidTr="00B0380E">
        <w:trPr>
          <w:trHeight w:val="256"/>
        </w:trPr>
        <w:tc>
          <w:tcPr>
            <w:tcW w:w="3397" w:type="dxa"/>
            <w:vAlign w:val="center"/>
          </w:tcPr>
          <w:p w14:paraId="07ACCD46" w14:textId="260808DB" w:rsidR="00FD3412" w:rsidRPr="00223074" w:rsidRDefault="00FD3412"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Bacillariophyceae</w:t>
            </w:r>
          </w:p>
        </w:tc>
        <w:tc>
          <w:tcPr>
            <w:tcW w:w="2289" w:type="dxa"/>
            <w:vAlign w:val="center"/>
          </w:tcPr>
          <w:p w14:paraId="0B4BBB08" w14:textId="1D488DDB" w:rsidR="00FD3412" w:rsidRPr="00223074" w:rsidRDefault="00FD3412"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11</w:t>
            </w:r>
          </w:p>
        </w:tc>
        <w:tc>
          <w:tcPr>
            <w:tcW w:w="2541" w:type="dxa"/>
            <w:vAlign w:val="center"/>
          </w:tcPr>
          <w:p w14:paraId="7352CD66" w14:textId="0376CB4D" w:rsidR="00FD3412" w:rsidRPr="00223074" w:rsidRDefault="00FD3412"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24.4</w:t>
            </w:r>
          </w:p>
        </w:tc>
      </w:tr>
      <w:tr w:rsidR="00FD3412" w14:paraId="17879967" w14:textId="77777777" w:rsidTr="00B0380E">
        <w:trPr>
          <w:trHeight w:val="256"/>
        </w:trPr>
        <w:tc>
          <w:tcPr>
            <w:tcW w:w="3397" w:type="dxa"/>
            <w:vAlign w:val="center"/>
          </w:tcPr>
          <w:p w14:paraId="243A756F" w14:textId="4814CE39" w:rsidR="00FD3412" w:rsidRPr="00223074" w:rsidRDefault="00FD3412"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proofErr w:type="spellStart"/>
            <w:r w:rsidRPr="00223074">
              <w:rPr>
                <w:rFonts w:ascii="Times New Roman" w:eastAsia="Times New Roman" w:hAnsi="Times New Roman" w:cs="Times New Roman"/>
                <w:sz w:val="24"/>
                <w:szCs w:val="24"/>
                <w:lang w:eastAsia="en-IN"/>
              </w:rPr>
              <w:t>Cyanophyceae</w:t>
            </w:r>
            <w:proofErr w:type="spellEnd"/>
          </w:p>
        </w:tc>
        <w:tc>
          <w:tcPr>
            <w:tcW w:w="2289" w:type="dxa"/>
            <w:vAlign w:val="center"/>
          </w:tcPr>
          <w:p w14:paraId="71B7D84C" w14:textId="61383753" w:rsidR="00FD3412" w:rsidRPr="00223074" w:rsidRDefault="00FD3412"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9</w:t>
            </w:r>
          </w:p>
        </w:tc>
        <w:tc>
          <w:tcPr>
            <w:tcW w:w="2541" w:type="dxa"/>
            <w:vAlign w:val="center"/>
          </w:tcPr>
          <w:p w14:paraId="34F1C58F" w14:textId="44AF4418" w:rsidR="00FD3412" w:rsidRPr="00223074" w:rsidRDefault="00FD3412"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20.0</w:t>
            </w:r>
          </w:p>
        </w:tc>
      </w:tr>
      <w:tr w:rsidR="00FD3412" w14:paraId="5DC63EFE" w14:textId="77777777" w:rsidTr="00B0380E">
        <w:trPr>
          <w:trHeight w:val="256"/>
        </w:trPr>
        <w:tc>
          <w:tcPr>
            <w:tcW w:w="3397" w:type="dxa"/>
            <w:vAlign w:val="center"/>
          </w:tcPr>
          <w:p w14:paraId="28223947" w14:textId="196B84F2" w:rsidR="00FD3412" w:rsidRPr="00223074" w:rsidRDefault="00FD3412"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proofErr w:type="spellStart"/>
            <w:r w:rsidRPr="00223074">
              <w:rPr>
                <w:rFonts w:ascii="Times New Roman" w:eastAsia="Times New Roman" w:hAnsi="Times New Roman" w:cs="Times New Roman"/>
                <w:sz w:val="24"/>
                <w:szCs w:val="24"/>
                <w:lang w:eastAsia="en-IN"/>
              </w:rPr>
              <w:t>Euglenophyceae</w:t>
            </w:r>
            <w:proofErr w:type="spellEnd"/>
          </w:p>
        </w:tc>
        <w:tc>
          <w:tcPr>
            <w:tcW w:w="2289" w:type="dxa"/>
            <w:vAlign w:val="center"/>
          </w:tcPr>
          <w:p w14:paraId="43FC2332" w14:textId="4CD7F641" w:rsidR="00FD3412" w:rsidRPr="00223074" w:rsidRDefault="00FD3412"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6</w:t>
            </w:r>
          </w:p>
        </w:tc>
        <w:tc>
          <w:tcPr>
            <w:tcW w:w="2541" w:type="dxa"/>
            <w:vAlign w:val="center"/>
          </w:tcPr>
          <w:p w14:paraId="3ADF1D2A" w14:textId="140EFA40" w:rsidR="00FD3412" w:rsidRPr="00223074" w:rsidRDefault="00FD3412"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13.3</w:t>
            </w:r>
          </w:p>
        </w:tc>
      </w:tr>
      <w:tr w:rsidR="00FD3412" w14:paraId="53056B51" w14:textId="77777777" w:rsidTr="00B0380E">
        <w:trPr>
          <w:trHeight w:val="256"/>
        </w:trPr>
        <w:tc>
          <w:tcPr>
            <w:tcW w:w="3397" w:type="dxa"/>
            <w:vAlign w:val="center"/>
          </w:tcPr>
          <w:p w14:paraId="4DDF1B7B" w14:textId="11F2E662" w:rsidR="00FD3412" w:rsidRPr="00223074" w:rsidRDefault="00FD3412"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Dinophyceae</w:t>
            </w:r>
          </w:p>
        </w:tc>
        <w:tc>
          <w:tcPr>
            <w:tcW w:w="2289" w:type="dxa"/>
            <w:vAlign w:val="center"/>
          </w:tcPr>
          <w:p w14:paraId="032E2A69" w14:textId="2E7CFCEB" w:rsidR="00FD3412" w:rsidRPr="00223074" w:rsidRDefault="00FD3412"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3</w:t>
            </w:r>
          </w:p>
        </w:tc>
        <w:tc>
          <w:tcPr>
            <w:tcW w:w="2541" w:type="dxa"/>
            <w:vAlign w:val="center"/>
          </w:tcPr>
          <w:p w14:paraId="1D1DA0C4" w14:textId="0BFF8982" w:rsidR="00FD3412" w:rsidRPr="00223074" w:rsidRDefault="00FD3412"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6.7</w:t>
            </w:r>
          </w:p>
        </w:tc>
      </w:tr>
    </w:tbl>
    <w:p w14:paraId="33A74333" w14:textId="38F4FED7"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 xml:space="preserve">Among these groups, </w:t>
      </w:r>
      <w:r w:rsidRPr="00223074">
        <w:rPr>
          <w:rFonts w:ascii="Times New Roman" w:eastAsia="Times New Roman" w:hAnsi="Times New Roman" w:cs="Times New Roman"/>
          <w:b/>
          <w:bCs/>
          <w:sz w:val="24"/>
          <w:szCs w:val="24"/>
          <w:lang w:eastAsia="en-IN"/>
        </w:rPr>
        <w:t>Chlorophyceae (green algae)</w:t>
      </w:r>
      <w:r w:rsidRPr="00223074">
        <w:rPr>
          <w:rFonts w:ascii="Times New Roman" w:eastAsia="Times New Roman" w:hAnsi="Times New Roman" w:cs="Times New Roman"/>
          <w:sz w:val="24"/>
          <w:szCs w:val="24"/>
          <w:lang w:eastAsia="en-IN"/>
        </w:rPr>
        <w:t xml:space="preserve"> were the dominant phytoplankton group in the reservoir, followed by </w:t>
      </w:r>
      <w:r w:rsidRPr="00223074">
        <w:rPr>
          <w:rFonts w:ascii="Times New Roman" w:eastAsia="Times New Roman" w:hAnsi="Times New Roman" w:cs="Times New Roman"/>
          <w:b/>
          <w:bCs/>
          <w:sz w:val="24"/>
          <w:szCs w:val="24"/>
          <w:lang w:eastAsia="en-IN"/>
        </w:rPr>
        <w:t>Bacillariophyceae (diatoms)</w:t>
      </w:r>
      <w:r w:rsidRPr="00223074">
        <w:rPr>
          <w:rFonts w:ascii="Times New Roman" w:eastAsia="Times New Roman" w:hAnsi="Times New Roman" w:cs="Times New Roman"/>
          <w:sz w:val="24"/>
          <w:szCs w:val="24"/>
          <w:lang w:eastAsia="en-IN"/>
        </w:rPr>
        <w:t>.</w:t>
      </w:r>
    </w:p>
    <w:p w14:paraId="32C9D19F" w14:textId="77777777" w:rsidR="00223074" w:rsidRPr="00223074" w:rsidRDefault="00223074"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b/>
          <w:bCs/>
          <w:sz w:val="24"/>
          <w:szCs w:val="24"/>
          <w:lang w:eastAsia="en-IN"/>
        </w:rPr>
        <w:t>Seasonal Abundance Patterns</w:t>
      </w:r>
    </w:p>
    <w:p w14:paraId="037B8F4A" w14:textId="00E9ADA0" w:rsid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Seasonal variation in phytoplankton abundance was also observed.</w:t>
      </w:r>
    </w:p>
    <w:tbl>
      <w:tblPr>
        <w:tblStyle w:val="TableGrid"/>
        <w:tblW w:w="0" w:type="auto"/>
        <w:tblLook w:val="04A0" w:firstRow="1" w:lastRow="0" w:firstColumn="1" w:lastColumn="0" w:noHBand="0" w:noVBand="1"/>
      </w:tblPr>
      <w:tblGrid>
        <w:gridCol w:w="1123"/>
        <w:gridCol w:w="1983"/>
        <w:gridCol w:w="3988"/>
      </w:tblGrid>
      <w:tr w:rsidR="00F579AC" w14:paraId="0B914A52" w14:textId="77777777" w:rsidTr="00F579AC">
        <w:trPr>
          <w:trHeight w:val="252"/>
        </w:trPr>
        <w:tc>
          <w:tcPr>
            <w:tcW w:w="0" w:type="auto"/>
            <w:vAlign w:val="center"/>
          </w:tcPr>
          <w:p w14:paraId="17F150A6" w14:textId="3AEBF0A3" w:rsidR="00F579AC" w:rsidRDefault="00F579AC"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b/>
                <w:bCs/>
                <w:sz w:val="24"/>
                <w:szCs w:val="24"/>
                <w:lang w:eastAsia="en-IN"/>
              </w:rPr>
              <w:lastRenderedPageBreak/>
              <w:t>Season</w:t>
            </w:r>
          </w:p>
        </w:tc>
        <w:tc>
          <w:tcPr>
            <w:tcW w:w="0" w:type="auto"/>
            <w:vAlign w:val="center"/>
          </w:tcPr>
          <w:p w14:paraId="1FAFB817" w14:textId="087B62FA" w:rsidR="00F579AC" w:rsidRDefault="00F579AC"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b/>
                <w:bCs/>
                <w:sz w:val="24"/>
                <w:szCs w:val="24"/>
                <w:lang w:eastAsia="en-IN"/>
              </w:rPr>
              <w:t>Dominant Group</w:t>
            </w:r>
          </w:p>
        </w:tc>
        <w:tc>
          <w:tcPr>
            <w:tcW w:w="0" w:type="auto"/>
            <w:vAlign w:val="center"/>
          </w:tcPr>
          <w:p w14:paraId="3335FE48" w14:textId="0090C86C" w:rsidR="00F579AC" w:rsidRDefault="00F579AC"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b/>
                <w:bCs/>
                <w:sz w:val="24"/>
                <w:szCs w:val="24"/>
                <w:lang w:eastAsia="en-IN"/>
              </w:rPr>
              <w:t>Characteristics</w:t>
            </w:r>
          </w:p>
        </w:tc>
      </w:tr>
      <w:tr w:rsidR="00F579AC" w14:paraId="35C341F7" w14:textId="77777777" w:rsidTr="00F579AC">
        <w:trPr>
          <w:trHeight w:val="252"/>
        </w:trPr>
        <w:tc>
          <w:tcPr>
            <w:tcW w:w="0" w:type="auto"/>
            <w:vAlign w:val="center"/>
          </w:tcPr>
          <w:p w14:paraId="613F287E" w14:textId="1EC6709B" w:rsidR="00F579AC" w:rsidRPr="00223074" w:rsidRDefault="00F579AC" w:rsidP="00BB1EBC">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sz w:val="24"/>
                <w:szCs w:val="24"/>
                <w:lang w:eastAsia="en-IN"/>
              </w:rPr>
              <w:t>Winter</w:t>
            </w:r>
          </w:p>
        </w:tc>
        <w:tc>
          <w:tcPr>
            <w:tcW w:w="0" w:type="auto"/>
            <w:vAlign w:val="center"/>
          </w:tcPr>
          <w:p w14:paraId="4F014230" w14:textId="3DDAB5E9" w:rsidR="00F579AC" w:rsidRPr="00223074" w:rsidRDefault="00F579AC" w:rsidP="00BB1EBC">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sz w:val="24"/>
                <w:szCs w:val="24"/>
                <w:lang w:eastAsia="en-IN"/>
              </w:rPr>
              <w:t>Diatoms</w:t>
            </w:r>
          </w:p>
        </w:tc>
        <w:tc>
          <w:tcPr>
            <w:tcW w:w="0" w:type="auto"/>
            <w:vAlign w:val="center"/>
          </w:tcPr>
          <w:p w14:paraId="7E551229" w14:textId="0A81900D" w:rsidR="00F579AC" w:rsidRPr="00223074" w:rsidRDefault="00F579AC" w:rsidP="00BB1EBC">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sz w:val="24"/>
                <w:szCs w:val="24"/>
                <w:lang w:eastAsia="en-IN"/>
              </w:rPr>
              <w:t>Cooler temperature, moderate nutrients</w:t>
            </w:r>
          </w:p>
        </w:tc>
      </w:tr>
      <w:tr w:rsidR="00F579AC" w14:paraId="3468042A" w14:textId="77777777" w:rsidTr="00F579AC">
        <w:trPr>
          <w:trHeight w:val="252"/>
        </w:trPr>
        <w:tc>
          <w:tcPr>
            <w:tcW w:w="0" w:type="auto"/>
            <w:vAlign w:val="center"/>
          </w:tcPr>
          <w:p w14:paraId="4BE9527B" w14:textId="157484B8" w:rsidR="00F579AC" w:rsidRPr="00223074" w:rsidRDefault="00F579AC"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Summer</w:t>
            </w:r>
          </w:p>
        </w:tc>
        <w:tc>
          <w:tcPr>
            <w:tcW w:w="0" w:type="auto"/>
            <w:vAlign w:val="center"/>
          </w:tcPr>
          <w:p w14:paraId="510E1106" w14:textId="321448EF" w:rsidR="00F579AC" w:rsidRPr="00223074" w:rsidRDefault="00F579AC"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Green algae</w:t>
            </w:r>
          </w:p>
        </w:tc>
        <w:tc>
          <w:tcPr>
            <w:tcW w:w="0" w:type="auto"/>
            <w:vAlign w:val="center"/>
          </w:tcPr>
          <w:p w14:paraId="23AFF2F1" w14:textId="4F3EB43E" w:rsidR="00F579AC" w:rsidRPr="00223074" w:rsidRDefault="00F579AC"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High temperature and sunlight</w:t>
            </w:r>
          </w:p>
        </w:tc>
      </w:tr>
      <w:tr w:rsidR="00F579AC" w14:paraId="3517D8AB" w14:textId="77777777" w:rsidTr="00F579AC">
        <w:trPr>
          <w:trHeight w:val="252"/>
        </w:trPr>
        <w:tc>
          <w:tcPr>
            <w:tcW w:w="0" w:type="auto"/>
            <w:vAlign w:val="center"/>
          </w:tcPr>
          <w:p w14:paraId="6497B85F" w14:textId="6EDFE811" w:rsidR="00F579AC" w:rsidRPr="00223074" w:rsidRDefault="00F579AC"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Monsoon</w:t>
            </w:r>
          </w:p>
        </w:tc>
        <w:tc>
          <w:tcPr>
            <w:tcW w:w="0" w:type="auto"/>
            <w:vAlign w:val="center"/>
          </w:tcPr>
          <w:p w14:paraId="2B88FC24" w14:textId="1ED6CD1D" w:rsidR="00F579AC" w:rsidRPr="00223074" w:rsidRDefault="00F579AC"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Cyanobacteria</w:t>
            </w:r>
          </w:p>
        </w:tc>
        <w:tc>
          <w:tcPr>
            <w:tcW w:w="0" w:type="auto"/>
            <w:vAlign w:val="center"/>
          </w:tcPr>
          <w:p w14:paraId="413DAC92" w14:textId="31878B9B" w:rsidR="00F579AC" w:rsidRPr="00223074" w:rsidRDefault="00F579AC"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Nutrient enrichment</w:t>
            </w:r>
          </w:p>
        </w:tc>
      </w:tr>
    </w:tbl>
    <w:p w14:paraId="263C2C19" w14:textId="68E94A9B"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 xml:space="preserve">During the monsoon season, the abundance of </w:t>
      </w:r>
      <w:r w:rsidRPr="00223074">
        <w:rPr>
          <w:rFonts w:ascii="Times New Roman" w:eastAsia="Times New Roman" w:hAnsi="Times New Roman" w:cs="Times New Roman"/>
          <w:b/>
          <w:bCs/>
          <w:sz w:val="24"/>
          <w:szCs w:val="24"/>
          <w:lang w:eastAsia="en-IN"/>
        </w:rPr>
        <w:t>cyanobacteria increased significantly</w:t>
      </w:r>
      <w:r w:rsidRPr="00223074">
        <w:rPr>
          <w:rFonts w:ascii="Times New Roman" w:eastAsia="Times New Roman" w:hAnsi="Times New Roman" w:cs="Times New Roman"/>
          <w:sz w:val="24"/>
          <w:szCs w:val="24"/>
          <w:lang w:eastAsia="en-IN"/>
        </w:rPr>
        <w:t>, indicating nutrient enrichment and potential eutrophic conditions.</w:t>
      </w:r>
    </w:p>
    <w:p w14:paraId="6D74779F" w14:textId="77777777" w:rsidR="00223074" w:rsidRPr="00223074" w:rsidRDefault="00223074"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b/>
          <w:bCs/>
          <w:sz w:val="24"/>
          <w:szCs w:val="24"/>
          <w:lang w:eastAsia="en-IN"/>
        </w:rPr>
        <w:t>Diversity Indices</w:t>
      </w:r>
    </w:p>
    <w:p w14:paraId="281E05F9" w14:textId="58E009B4" w:rsid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Ecological diversity indices were calculated to assess the phytoplankton community structure.</w:t>
      </w:r>
    </w:p>
    <w:tbl>
      <w:tblPr>
        <w:tblStyle w:val="TableGrid"/>
        <w:tblW w:w="0" w:type="auto"/>
        <w:tblLook w:val="04A0" w:firstRow="1" w:lastRow="0" w:firstColumn="1" w:lastColumn="0" w:noHBand="0" w:noVBand="1"/>
      </w:tblPr>
      <w:tblGrid>
        <w:gridCol w:w="3062"/>
        <w:gridCol w:w="816"/>
      </w:tblGrid>
      <w:tr w:rsidR="00F0618C" w14:paraId="498187B3" w14:textId="77777777" w:rsidTr="00F0618C">
        <w:trPr>
          <w:trHeight w:val="252"/>
        </w:trPr>
        <w:tc>
          <w:tcPr>
            <w:tcW w:w="0" w:type="auto"/>
            <w:vAlign w:val="center"/>
          </w:tcPr>
          <w:p w14:paraId="03AF7CFF" w14:textId="312096EA" w:rsidR="00F0618C" w:rsidRDefault="00F0618C"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b/>
                <w:bCs/>
                <w:sz w:val="24"/>
                <w:szCs w:val="24"/>
                <w:lang w:eastAsia="en-IN"/>
              </w:rPr>
              <w:t>Index</w:t>
            </w:r>
          </w:p>
        </w:tc>
        <w:tc>
          <w:tcPr>
            <w:tcW w:w="0" w:type="auto"/>
            <w:vAlign w:val="center"/>
          </w:tcPr>
          <w:p w14:paraId="7E5B0266" w14:textId="4A4A6925" w:rsidR="00F0618C" w:rsidRDefault="00F0618C"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b/>
                <w:bCs/>
                <w:sz w:val="24"/>
                <w:szCs w:val="24"/>
                <w:lang w:eastAsia="en-IN"/>
              </w:rPr>
              <w:t>Value</w:t>
            </w:r>
          </w:p>
        </w:tc>
      </w:tr>
      <w:tr w:rsidR="00F0618C" w14:paraId="422471E6" w14:textId="77777777" w:rsidTr="00F0618C">
        <w:trPr>
          <w:trHeight w:val="252"/>
        </w:trPr>
        <w:tc>
          <w:tcPr>
            <w:tcW w:w="0" w:type="auto"/>
            <w:vAlign w:val="center"/>
          </w:tcPr>
          <w:p w14:paraId="31669456" w14:textId="0B326418" w:rsidR="00F0618C" w:rsidRPr="00223074" w:rsidRDefault="00F0618C" w:rsidP="00BB1EBC">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sz w:val="24"/>
                <w:szCs w:val="24"/>
                <w:lang w:eastAsia="en-IN"/>
              </w:rPr>
              <w:t>Shannon Diversity Index (H′)</w:t>
            </w:r>
          </w:p>
        </w:tc>
        <w:tc>
          <w:tcPr>
            <w:tcW w:w="0" w:type="auto"/>
            <w:vAlign w:val="center"/>
          </w:tcPr>
          <w:p w14:paraId="47556D86" w14:textId="27369089" w:rsidR="00F0618C" w:rsidRPr="00223074" w:rsidRDefault="00F0618C" w:rsidP="00BB1EBC">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sz w:val="24"/>
                <w:szCs w:val="24"/>
                <w:lang w:eastAsia="en-IN"/>
              </w:rPr>
              <w:t>2.45</w:t>
            </w:r>
          </w:p>
        </w:tc>
      </w:tr>
      <w:tr w:rsidR="00F0618C" w14:paraId="31A14CAC" w14:textId="77777777" w:rsidTr="00F0618C">
        <w:trPr>
          <w:trHeight w:val="252"/>
        </w:trPr>
        <w:tc>
          <w:tcPr>
            <w:tcW w:w="0" w:type="auto"/>
            <w:vAlign w:val="center"/>
          </w:tcPr>
          <w:p w14:paraId="0451617A" w14:textId="14073FB3" w:rsidR="00F0618C" w:rsidRPr="00223074" w:rsidRDefault="00F0618C"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Evenness Index (J)</w:t>
            </w:r>
          </w:p>
        </w:tc>
        <w:tc>
          <w:tcPr>
            <w:tcW w:w="0" w:type="auto"/>
            <w:vAlign w:val="center"/>
          </w:tcPr>
          <w:p w14:paraId="41153BCB" w14:textId="75236800" w:rsidR="00F0618C" w:rsidRPr="00223074" w:rsidRDefault="00F0618C"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0.71</w:t>
            </w:r>
          </w:p>
        </w:tc>
      </w:tr>
      <w:tr w:rsidR="00F0618C" w14:paraId="0079A758" w14:textId="77777777" w:rsidTr="00F0618C">
        <w:trPr>
          <w:trHeight w:val="252"/>
        </w:trPr>
        <w:tc>
          <w:tcPr>
            <w:tcW w:w="0" w:type="auto"/>
            <w:vAlign w:val="center"/>
          </w:tcPr>
          <w:p w14:paraId="624C586A" w14:textId="5615830E" w:rsidR="00F0618C" w:rsidRPr="00223074" w:rsidRDefault="00F0618C"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Species Richness</w:t>
            </w:r>
          </w:p>
        </w:tc>
        <w:tc>
          <w:tcPr>
            <w:tcW w:w="0" w:type="auto"/>
            <w:vAlign w:val="center"/>
          </w:tcPr>
          <w:p w14:paraId="25E8C3B6" w14:textId="125190BF" w:rsidR="00F0618C" w:rsidRPr="00223074" w:rsidRDefault="00F0618C"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6.8</w:t>
            </w:r>
          </w:p>
        </w:tc>
      </w:tr>
    </w:tbl>
    <w:p w14:paraId="4EE7929E" w14:textId="3F795B22"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 xml:space="preserve">The Shannon diversity index value indicates </w:t>
      </w:r>
      <w:r w:rsidRPr="00223074">
        <w:rPr>
          <w:rFonts w:ascii="Times New Roman" w:eastAsia="Times New Roman" w:hAnsi="Times New Roman" w:cs="Times New Roman"/>
          <w:b/>
          <w:bCs/>
          <w:sz w:val="24"/>
          <w:szCs w:val="24"/>
          <w:lang w:eastAsia="en-IN"/>
        </w:rPr>
        <w:t>moderate phytoplankton diversity</w:t>
      </w:r>
      <w:r w:rsidRPr="00223074">
        <w:rPr>
          <w:rFonts w:ascii="Times New Roman" w:eastAsia="Times New Roman" w:hAnsi="Times New Roman" w:cs="Times New Roman"/>
          <w:sz w:val="24"/>
          <w:szCs w:val="24"/>
          <w:lang w:eastAsia="en-IN"/>
        </w:rPr>
        <w:t xml:space="preserve"> within the reservoir ecosystem.</w:t>
      </w:r>
    </w:p>
    <w:p w14:paraId="24F08A6C" w14:textId="77777777" w:rsidR="00223074" w:rsidRPr="00223074" w:rsidRDefault="00223074" w:rsidP="00BB1EBC">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en-IN"/>
        </w:rPr>
      </w:pPr>
      <w:r w:rsidRPr="00223074">
        <w:rPr>
          <w:rFonts w:ascii="Times New Roman" w:eastAsia="Times New Roman" w:hAnsi="Times New Roman" w:cs="Times New Roman"/>
          <w:b/>
          <w:bCs/>
          <w:kern w:val="36"/>
          <w:sz w:val="24"/>
          <w:szCs w:val="24"/>
          <w:lang w:eastAsia="en-IN"/>
        </w:rPr>
        <w:t>4.3 Trophic Status Assessment</w:t>
      </w:r>
    </w:p>
    <w:p w14:paraId="3AFB0E9A" w14:textId="77777777"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 xml:space="preserve">The trophic status of </w:t>
      </w:r>
      <w:proofErr w:type="spellStart"/>
      <w:r w:rsidRPr="00223074">
        <w:rPr>
          <w:rFonts w:ascii="Times New Roman" w:eastAsia="Times New Roman" w:hAnsi="Times New Roman" w:cs="Times New Roman"/>
          <w:sz w:val="24"/>
          <w:szCs w:val="24"/>
          <w:lang w:eastAsia="en-IN"/>
        </w:rPr>
        <w:t>Kotpally</w:t>
      </w:r>
      <w:proofErr w:type="spellEnd"/>
      <w:r w:rsidRPr="00223074">
        <w:rPr>
          <w:rFonts w:ascii="Times New Roman" w:eastAsia="Times New Roman" w:hAnsi="Times New Roman" w:cs="Times New Roman"/>
          <w:sz w:val="24"/>
          <w:szCs w:val="24"/>
          <w:lang w:eastAsia="en-IN"/>
        </w:rPr>
        <w:t xml:space="preserve"> Reservoir was determined using the </w:t>
      </w:r>
      <w:r w:rsidRPr="00223074">
        <w:rPr>
          <w:rFonts w:ascii="Times New Roman" w:eastAsia="Times New Roman" w:hAnsi="Times New Roman" w:cs="Times New Roman"/>
          <w:b/>
          <w:bCs/>
          <w:sz w:val="24"/>
          <w:szCs w:val="24"/>
          <w:lang w:eastAsia="en-IN"/>
        </w:rPr>
        <w:t>Carlson Trophic State Index (TSI)</w:t>
      </w:r>
      <w:r w:rsidRPr="00223074">
        <w:rPr>
          <w:rFonts w:ascii="Times New Roman" w:eastAsia="Times New Roman" w:hAnsi="Times New Roman" w:cs="Times New Roman"/>
          <w:sz w:val="24"/>
          <w:szCs w:val="24"/>
          <w:lang w:eastAsia="en-IN"/>
        </w:rPr>
        <w:t xml:space="preserve"> based on chlorophyll-a concentration.</w:t>
      </w:r>
    </w:p>
    <w:p w14:paraId="4C6BFAB8" w14:textId="0F7AA8AC" w:rsidR="00223074" w:rsidRDefault="00223074"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b/>
          <w:bCs/>
          <w:sz w:val="24"/>
          <w:szCs w:val="24"/>
          <w:lang w:eastAsia="en-IN"/>
        </w:rPr>
        <w:t>Table 3 Seasonal Trophic State Index values</w:t>
      </w:r>
    </w:p>
    <w:tbl>
      <w:tblPr>
        <w:tblStyle w:val="TableGrid"/>
        <w:tblW w:w="0" w:type="auto"/>
        <w:tblLook w:val="04A0" w:firstRow="1" w:lastRow="0" w:firstColumn="1" w:lastColumn="0" w:noHBand="0" w:noVBand="1"/>
      </w:tblPr>
      <w:tblGrid>
        <w:gridCol w:w="1123"/>
        <w:gridCol w:w="2362"/>
        <w:gridCol w:w="1263"/>
        <w:gridCol w:w="1743"/>
      </w:tblGrid>
      <w:tr w:rsidR="00230868" w14:paraId="6A0F906B" w14:textId="77777777" w:rsidTr="00230868">
        <w:trPr>
          <w:trHeight w:val="287"/>
        </w:trPr>
        <w:tc>
          <w:tcPr>
            <w:tcW w:w="0" w:type="auto"/>
            <w:vAlign w:val="center"/>
          </w:tcPr>
          <w:p w14:paraId="20B13870" w14:textId="7F4BEA7A" w:rsidR="00230868" w:rsidRDefault="00230868"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b/>
                <w:bCs/>
                <w:sz w:val="24"/>
                <w:szCs w:val="24"/>
                <w:lang w:eastAsia="en-IN"/>
              </w:rPr>
              <w:t>Season</w:t>
            </w:r>
          </w:p>
        </w:tc>
        <w:tc>
          <w:tcPr>
            <w:tcW w:w="0" w:type="auto"/>
            <w:vAlign w:val="center"/>
          </w:tcPr>
          <w:p w14:paraId="49CEE6F8" w14:textId="1E6F523E" w:rsidR="00230868" w:rsidRDefault="00230868"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b/>
                <w:bCs/>
                <w:sz w:val="24"/>
                <w:szCs w:val="24"/>
                <w:lang w:eastAsia="en-IN"/>
              </w:rPr>
              <w:t>Chlorophyll-a (µg/L)</w:t>
            </w:r>
          </w:p>
        </w:tc>
        <w:tc>
          <w:tcPr>
            <w:tcW w:w="0" w:type="auto"/>
            <w:vAlign w:val="center"/>
          </w:tcPr>
          <w:p w14:paraId="217FA079" w14:textId="2FB2DB2F" w:rsidR="00230868" w:rsidRDefault="00230868"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b/>
                <w:bCs/>
                <w:sz w:val="24"/>
                <w:szCs w:val="24"/>
                <w:lang w:eastAsia="en-IN"/>
              </w:rPr>
              <w:t>TSI Value</w:t>
            </w:r>
          </w:p>
        </w:tc>
        <w:tc>
          <w:tcPr>
            <w:tcW w:w="0" w:type="auto"/>
            <w:vAlign w:val="center"/>
          </w:tcPr>
          <w:p w14:paraId="383BF668" w14:textId="7B8F5890" w:rsidR="00230868" w:rsidRDefault="00230868"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b/>
                <w:bCs/>
                <w:sz w:val="24"/>
                <w:szCs w:val="24"/>
                <w:lang w:eastAsia="en-IN"/>
              </w:rPr>
              <w:t>Trophic Status</w:t>
            </w:r>
          </w:p>
        </w:tc>
      </w:tr>
      <w:tr w:rsidR="00230868" w14:paraId="088057BD" w14:textId="77777777" w:rsidTr="00230868">
        <w:trPr>
          <w:trHeight w:val="287"/>
        </w:trPr>
        <w:tc>
          <w:tcPr>
            <w:tcW w:w="0" w:type="auto"/>
            <w:vAlign w:val="center"/>
          </w:tcPr>
          <w:p w14:paraId="05A05918" w14:textId="3EB29E84" w:rsidR="00230868" w:rsidRPr="00223074" w:rsidRDefault="00230868"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sz w:val="24"/>
                <w:szCs w:val="24"/>
                <w:lang w:eastAsia="en-IN"/>
              </w:rPr>
              <w:t>Winter</w:t>
            </w:r>
          </w:p>
        </w:tc>
        <w:tc>
          <w:tcPr>
            <w:tcW w:w="0" w:type="auto"/>
            <w:vAlign w:val="center"/>
          </w:tcPr>
          <w:p w14:paraId="73869B92" w14:textId="657808E8" w:rsidR="00230868" w:rsidRPr="00223074" w:rsidRDefault="00230868"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sz w:val="24"/>
                <w:szCs w:val="24"/>
                <w:lang w:eastAsia="en-IN"/>
              </w:rPr>
              <w:t>7.5</w:t>
            </w:r>
          </w:p>
        </w:tc>
        <w:tc>
          <w:tcPr>
            <w:tcW w:w="0" w:type="auto"/>
            <w:vAlign w:val="center"/>
          </w:tcPr>
          <w:p w14:paraId="0E0B368A" w14:textId="48FA8A77" w:rsidR="00230868" w:rsidRPr="00223074" w:rsidRDefault="00230868"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sz w:val="24"/>
                <w:szCs w:val="24"/>
                <w:lang w:eastAsia="en-IN"/>
              </w:rPr>
              <w:t>46.2</w:t>
            </w:r>
          </w:p>
        </w:tc>
        <w:tc>
          <w:tcPr>
            <w:tcW w:w="0" w:type="auto"/>
            <w:vAlign w:val="center"/>
          </w:tcPr>
          <w:p w14:paraId="5F380168" w14:textId="4E9EDD6F" w:rsidR="00230868" w:rsidRPr="00223074" w:rsidRDefault="00230868"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sz w:val="24"/>
                <w:szCs w:val="24"/>
                <w:lang w:eastAsia="en-IN"/>
              </w:rPr>
              <w:t>Mesotrophic</w:t>
            </w:r>
          </w:p>
        </w:tc>
      </w:tr>
      <w:tr w:rsidR="00230868" w14:paraId="1E37CA2D" w14:textId="77777777" w:rsidTr="00230868">
        <w:trPr>
          <w:trHeight w:val="287"/>
        </w:trPr>
        <w:tc>
          <w:tcPr>
            <w:tcW w:w="0" w:type="auto"/>
            <w:vAlign w:val="center"/>
          </w:tcPr>
          <w:p w14:paraId="2DEDEC7D" w14:textId="5D53D6F8" w:rsidR="00230868" w:rsidRPr="00223074" w:rsidRDefault="00230868"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Summer</w:t>
            </w:r>
          </w:p>
        </w:tc>
        <w:tc>
          <w:tcPr>
            <w:tcW w:w="0" w:type="auto"/>
            <w:vAlign w:val="center"/>
          </w:tcPr>
          <w:p w14:paraId="1B965632" w14:textId="746AD1E4" w:rsidR="00230868" w:rsidRPr="00223074" w:rsidRDefault="00230868"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15.3</w:t>
            </w:r>
          </w:p>
        </w:tc>
        <w:tc>
          <w:tcPr>
            <w:tcW w:w="0" w:type="auto"/>
            <w:vAlign w:val="center"/>
          </w:tcPr>
          <w:p w14:paraId="71758D62" w14:textId="410303F3" w:rsidR="00230868" w:rsidRPr="00223074" w:rsidRDefault="00230868"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54.8</w:t>
            </w:r>
          </w:p>
        </w:tc>
        <w:tc>
          <w:tcPr>
            <w:tcW w:w="0" w:type="auto"/>
            <w:vAlign w:val="center"/>
          </w:tcPr>
          <w:p w14:paraId="45BDE4E8" w14:textId="2BBB5F50" w:rsidR="00230868" w:rsidRPr="00223074" w:rsidRDefault="00230868"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Eutrophic</w:t>
            </w:r>
          </w:p>
        </w:tc>
      </w:tr>
      <w:tr w:rsidR="00230868" w14:paraId="33C0A845" w14:textId="77777777" w:rsidTr="00230868">
        <w:trPr>
          <w:trHeight w:val="287"/>
        </w:trPr>
        <w:tc>
          <w:tcPr>
            <w:tcW w:w="0" w:type="auto"/>
            <w:vAlign w:val="center"/>
          </w:tcPr>
          <w:p w14:paraId="564756F9" w14:textId="01041B63" w:rsidR="00230868" w:rsidRPr="00223074" w:rsidRDefault="00230868"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Monsoon</w:t>
            </w:r>
          </w:p>
        </w:tc>
        <w:tc>
          <w:tcPr>
            <w:tcW w:w="0" w:type="auto"/>
            <w:vAlign w:val="center"/>
          </w:tcPr>
          <w:p w14:paraId="09E07C4E" w14:textId="159B60E9" w:rsidR="00230868" w:rsidRPr="00223074" w:rsidRDefault="00230868"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19.6</w:t>
            </w:r>
          </w:p>
        </w:tc>
        <w:tc>
          <w:tcPr>
            <w:tcW w:w="0" w:type="auto"/>
            <w:vAlign w:val="center"/>
          </w:tcPr>
          <w:p w14:paraId="040D7AC1" w14:textId="04E18A1D" w:rsidR="00230868" w:rsidRPr="00223074" w:rsidRDefault="00230868"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58.7</w:t>
            </w:r>
          </w:p>
        </w:tc>
        <w:tc>
          <w:tcPr>
            <w:tcW w:w="0" w:type="auto"/>
            <w:vAlign w:val="center"/>
          </w:tcPr>
          <w:p w14:paraId="142AFD5B" w14:textId="5B7C33BE" w:rsidR="00230868" w:rsidRPr="00223074" w:rsidRDefault="00230868" w:rsidP="00BB1EBC">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Eutrophic</w:t>
            </w:r>
          </w:p>
        </w:tc>
      </w:tr>
    </w:tbl>
    <w:p w14:paraId="1629AC87" w14:textId="77777777"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 xml:space="preserve">The results indicate that the reservoir generally falls within the </w:t>
      </w:r>
      <w:r w:rsidRPr="00223074">
        <w:rPr>
          <w:rFonts w:ascii="Times New Roman" w:eastAsia="Times New Roman" w:hAnsi="Times New Roman" w:cs="Times New Roman"/>
          <w:b/>
          <w:bCs/>
          <w:sz w:val="24"/>
          <w:szCs w:val="24"/>
          <w:lang w:eastAsia="en-IN"/>
        </w:rPr>
        <w:t>mesotrophic to eutrophic category</w:t>
      </w:r>
      <w:r w:rsidRPr="00223074">
        <w:rPr>
          <w:rFonts w:ascii="Times New Roman" w:eastAsia="Times New Roman" w:hAnsi="Times New Roman" w:cs="Times New Roman"/>
          <w:sz w:val="24"/>
          <w:szCs w:val="24"/>
          <w:lang w:eastAsia="en-IN"/>
        </w:rPr>
        <w:t>, with higher productivity observed during summer and monsoon seasons.</w:t>
      </w:r>
    </w:p>
    <w:p w14:paraId="5C0A74DA" w14:textId="16E8CE0B"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The increase in trophic state during monsoon months is likely due to increased nutrient inflow from agricultural runoff and watershed activities.</w:t>
      </w:r>
    </w:p>
    <w:p w14:paraId="1831BC25" w14:textId="6C3EE7C5" w:rsidR="00223074" w:rsidRPr="00223074" w:rsidRDefault="00223074"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b/>
          <w:bCs/>
          <w:sz w:val="24"/>
          <w:szCs w:val="24"/>
          <w:lang w:eastAsia="en-IN"/>
        </w:rPr>
        <w:lastRenderedPageBreak/>
        <w:t>Figure 3 Trophic status variation</w:t>
      </w:r>
    </w:p>
    <w:p w14:paraId="470B8EF7" w14:textId="77777777" w:rsidR="00223074" w:rsidRPr="00223074" w:rsidRDefault="00223074" w:rsidP="00BB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Courier New" w:eastAsia="Times New Roman" w:hAnsi="Courier New" w:cs="Courier New"/>
          <w:sz w:val="24"/>
          <w:szCs w:val="24"/>
          <w:lang w:eastAsia="en-IN"/>
        </w:rPr>
      </w:pPr>
      <w:r w:rsidRPr="00223074">
        <w:rPr>
          <w:rFonts w:ascii="Courier New" w:eastAsia="Times New Roman" w:hAnsi="Courier New" w:cs="Courier New"/>
          <w:sz w:val="24"/>
          <w:szCs w:val="24"/>
          <w:lang w:eastAsia="en-IN"/>
        </w:rPr>
        <w:t>TSI Value</w:t>
      </w:r>
    </w:p>
    <w:p w14:paraId="2395CE4D" w14:textId="77777777" w:rsidR="008438CD" w:rsidRDefault="008438C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Pr>
          <w:noProof/>
        </w:rPr>
        <w:drawing>
          <wp:inline distT="0" distB="0" distL="0" distR="0" wp14:anchorId="7D0094A9" wp14:editId="1A540504">
            <wp:extent cx="4572000" cy="2743200"/>
            <wp:effectExtent l="0" t="0" r="0" b="0"/>
            <wp:docPr id="37" name="Chart 37">
              <a:extLst xmlns:a="http://schemas.openxmlformats.org/drawingml/2006/main">
                <a:ext uri="{FF2B5EF4-FFF2-40B4-BE49-F238E27FC236}">
                  <a16:creationId xmlns:a16="http://schemas.microsoft.com/office/drawing/2014/main" id="{D68E5B31-0665-49E5-8CAF-12F522828A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B93AA76" w14:textId="67B4F131"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The trophic state index results suggest moderate nutrient enrichment and increased biological productivity during warmer months.</w:t>
      </w:r>
    </w:p>
    <w:p w14:paraId="7AFF5F75" w14:textId="77777777" w:rsidR="00223074" w:rsidRPr="00223074" w:rsidRDefault="00223074" w:rsidP="00BB1EBC">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en-IN"/>
        </w:rPr>
      </w:pPr>
      <w:r w:rsidRPr="00223074">
        <w:rPr>
          <w:rFonts w:ascii="Times New Roman" w:eastAsia="Times New Roman" w:hAnsi="Times New Roman" w:cs="Times New Roman"/>
          <w:b/>
          <w:bCs/>
          <w:kern w:val="36"/>
          <w:sz w:val="24"/>
          <w:szCs w:val="24"/>
          <w:lang w:eastAsia="en-IN"/>
        </w:rPr>
        <w:t>4.4 Machine Learning Model Performance</w:t>
      </w:r>
    </w:p>
    <w:p w14:paraId="31FE0F9B" w14:textId="77777777"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Machine learning models were developed to predict trophic status based on physicochemical parameters and phytoplankton indicators.</w:t>
      </w:r>
    </w:p>
    <w:p w14:paraId="7AA969C6" w14:textId="77777777"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Three algorithms were evaluated:</w:t>
      </w:r>
    </w:p>
    <w:p w14:paraId="504BC12C" w14:textId="77777777" w:rsidR="00223074" w:rsidRPr="00223074" w:rsidRDefault="00223074" w:rsidP="00BB1EBC">
      <w:pPr>
        <w:numPr>
          <w:ilvl w:val="0"/>
          <w:numId w:val="1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Random Forest (RF)</w:t>
      </w:r>
    </w:p>
    <w:p w14:paraId="053E92B9" w14:textId="77777777" w:rsidR="00223074" w:rsidRPr="00223074" w:rsidRDefault="00223074" w:rsidP="00BB1EBC">
      <w:pPr>
        <w:numPr>
          <w:ilvl w:val="0"/>
          <w:numId w:val="1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Support Vector Machine (SVM)</w:t>
      </w:r>
    </w:p>
    <w:p w14:paraId="381EF9DB" w14:textId="55C461E9" w:rsidR="00223074" w:rsidRPr="00230868" w:rsidRDefault="00223074" w:rsidP="00BB1EBC">
      <w:pPr>
        <w:numPr>
          <w:ilvl w:val="0"/>
          <w:numId w:val="1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Artificial Neural Network (ANN)</w:t>
      </w:r>
    </w:p>
    <w:p w14:paraId="17642845" w14:textId="77777777" w:rsidR="00223074" w:rsidRPr="00223074" w:rsidRDefault="00223074"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b/>
          <w:bCs/>
          <w:sz w:val="24"/>
          <w:szCs w:val="24"/>
          <w:lang w:eastAsia="en-IN"/>
        </w:rPr>
        <w:t>Accuracy Comparison</w:t>
      </w:r>
    </w:p>
    <w:p w14:paraId="78698D25" w14:textId="3DFE4EF1" w:rsid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Table 4 compares the prediction accuracy of the different machine learning models.</w:t>
      </w:r>
    </w:p>
    <w:tbl>
      <w:tblPr>
        <w:tblStyle w:val="TableGrid"/>
        <w:tblW w:w="0" w:type="auto"/>
        <w:tblLook w:val="04A0" w:firstRow="1" w:lastRow="0" w:firstColumn="1" w:lastColumn="0" w:noHBand="0" w:noVBand="1"/>
      </w:tblPr>
      <w:tblGrid>
        <w:gridCol w:w="1838"/>
        <w:gridCol w:w="1222"/>
        <w:gridCol w:w="1530"/>
        <w:gridCol w:w="1530"/>
        <w:gridCol w:w="1530"/>
      </w:tblGrid>
      <w:tr w:rsidR="00611F36" w14:paraId="168F8B97" w14:textId="77777777" w:rsidTr="00835E49">
        <w:trPr>
          <w:trHeight w:val="485"/>
        </w:trPr>
        <w:tc>
          <w:tcPr>
            <w:tcW w:w="1838" w:type="dxa"/>
            <w:vAlign w:val="center"/>
          </w:tcPr>
          <w:p w14:paraId="713769FA" w14:textId="08DA545B" w:rsidR="00611F36" w:rsidRDefault="00611F3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b/>
                <w:bCs/>
                <w:sz w:val="24"/>
                <w:szCs w:val="24"/>
                <w:lang w:eastAsia="en-IN"/>
              </w:rPr>
              <w:t>Model</w:t>
            </w:r>
          </w:p>
        </w:tc>
        <w:tc>
          <w:tcPr>
            <w:tcW w:w="1222" w:type="dxa"/>
            <w:vAlign w:val="center"/>
          </w:tcPr>
          <w:p w14:paraId="75E98025" w14:textId="3AE2EF5D" w:rsidR="00611F36" w:rsidRDefault="00611F3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b/>
                <w:bCs/>
                <w:sz w:val="24"/>
                <w:szCs w:val="24"/>
                <w:lang w:eastAsia="en-IN"/>
              </w:rPr>
              <w:t>Accuracy</w:t>
            </w:r>
          </w:p>
        </w:tc>
        <w:tc>
          <w:tcPr>
            <w:tcW w:w="1530" w:type="dxa"/>
            <w:vAlign w:val="center"/>
          </w:tcPr>
          <w:p w14:paraId="19E6140A" w14:textId="2F05A77D" w:rsidR="00611F36" w:rsidRDefault="00611F3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b/>
                <w:bCs/>
                <w:sz w:val="24"/>
                <w:szCs w:val="24"/>
                <w:lang w:eastAsia="en-IN"/>
              </w:rPr>
              <w:t>Precision</w:t>
            </w:r>
          </w:p>
        </w:tc>
        <w:tc>
          <w:tcPr>
            <w:tcW w:w="1530" w:type="dxa"/>
            <w:vAlign w:val="center"/>
          </w:tcPr>
          <w:p w14:paraId="2A9B7C35" w14:textId="06F7450C" w:rsidR="00611F36" w:rsidRDefault="00611F3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b/>
                <w:bCs/>
                <w:sz w:val="24"/>
                <w:szCs w:val="24"/>
                <w:lang w:eastAsia="en-IN"/>
              </w:rPr>
              <w:t>Recall</w:t>
            </w:r>
          </w:p>
        </w:tc>
        <w:tc>
          <w:tcPr>
            <w:tcW w:w="1530" w:type="dxa"/>
            <w:vAlign w:val="center"/>
          </w:tcPr>
          <w:p w14:paraId="29F8B60D" w14:textId="5720A0A5" w:rsidR="00611F36" w:rsidRDefault="00611F3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b/>
                <w:bCs/>
                <w:sz w:val="24"/>
                <w:szCs w:val="24"/>
                <w:lang w:eastAsia="en-IN"/>
              </w:rPr>
              <w:t>F1 Score</w:t>
            </w:r>
          </w:p>
        </w:tc>
      </w:tr>
      <w:tr w:rsidR="00611F36" w14:paraId="3370D060" w14:textId="77777777" w:rsidTr="00835E49">
        <w:trPr>
          <w:trHeight w:val="485"/>
        </w:trPr>
        <w:tc>
          <w:tcPr>
            <w:tcW w:w="1838" w:type="dxa"/>
            <w:vAlign w:val="center"/>
          </w:tcPr>
          <w:p w14:paraId="1E85EFF1" w14:textId="09F6C8AC" w:rsidR="00611F36" w:rsidRPr="00223074" w:rsidRDefault="00611F36" w:rsidP="00BB1EBC">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sz w:val="24"/>
                <w:szCs w:val="24"/>
                <w:lang w:eastAsia="en-IN"/>
              </w:rPr>
              <w:t>Random Forest</w:t>
            </w:r>
          </w:p>
        </w:tc>
        <w:tc>
          <w:tcPr>
            <w:tcW w:w="1222" w:type="dxa"/>
            <w:vAlign w:val="center"/>
          </w:tcPr>
          <w:p w14:paraId="1352A9B9" w14:textId="5B7D2122" w:rsidR="00611F36" w:rsidRPr="00223074" w:rsidRDefault="00611F36" w:rsidP="00BB1EBC">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sz w:val="24"/>
                <w:szCs w:val="24"/>
                <w:lang w:eastAsia="en-IN"/>
              </w:rPr>
              <w:t>92%</w:t>
            </w:r>
          </w:p>
        </w:tc>
        <w:tc>
          <w:tcPr>
            <w:tcW w:w="1530" w:type="dxa"/>
            <w:vAlign w:val="center"/>
          </w:tcPr>
          <w:p w14:paraId="6545E862" w14:textId="6A6D0D76" w:rsidR="00611F36" w:rsidRPr="00223074" w:rsidRDefault="00611F36" w:rsidP="00BB1EBC">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sz w:val="24"/>
                <w:szCs w:val="24"/>
                <w:lang w:eastAsia="en-IN"/>
              </w:rPr>
              <w:t>0.91</w:t>
            </w:r>
          </w:p>
        </w:tc>
        <w:tc>
          <w:tcPr>
            <w:tcW w:w="1530" w:type="dxa"/>
            <w:vAlign w:val="center"/>
          </w:tcPr>
          <w:p w14:paraId="45F0F10F" w14:textId="74AA4839" w:rsidR="00611F36" w:rsidRPr="00223074" w:rsidRDefault="00611F36" w:rsidP="00BB1EBC">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sz w:val="24"/>
                <w:szCs w:val="24"/>
                <w:lang w:eastAsia="en-IN"/>
              </w:rPr>
              <w:t>0.92</w:t>
            </w:r>
          </w:p>
        </w:tc>
        <w:tc>
          <w:tcPr>
            <w:tcW w:w="1530" w:type="dxa"/>
            <w:vAlign w:val="center"/>
          </w:tcPr>
          <w:p w14:paraId="475CB726" w14:textId="43A1A32D" w:rsidR="00611F36" w:rsidRPr="00223074" w:rsidRDefault="00611F36" w:rsidP="00BB1EBC">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sz w:val="24"/>
                <w:szCs w:val="24"/>
                <w:lang w:eastAsia="en-IN"/>
              </w:rPr>
              <w:t>0.91</w:t>
            </w:r>
          </w:p>
        </w:tc>
      </w:tr>
      <w:tr w:rsidR="00611F36" w14:paraId="138D454E" w14:textId="77777777" w:rsidTr="00835E49">
        <w:trPr>
          <w:trHeight w:val="485"/>
        </w:trPr>
        <w:tc>
          <w:tcPr>
            <w:tcW w:w="1838" w:type="dxa"/>
            <w:vAlign w:val="center"/>
          </w:tcPr>
          <w:p w14:paraId="7A22A7D2" w14:textId="2DA875A3" w:rsidR="00611F36" w:rsidRPr="00223074" w:rsidRDefault="00611F3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lastRenderedPageBreak/>
              <w:t>ANN</w:t>
            </w:r>
          </w:p>
        </w:tc>
        <w:tc>
          <w:tcPr>
            <w:tcW w:w="1222" w:type="dxa"/>
            <w:vAlign w:val="center"/>
          </w:tcPr>
          <w:p w14:paraId="1E8D0C57" w14:textId="32B5BFD0" w:rsidR="00611F36" w:rsidRPr="00223074" w:rsidRDefault="00611F3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89%</w:t>
            </w:r>
          </w:p>
        </w:tc>
        <w:tc>
          <w:tcPr>
            <w:tcW w:w="1530" w:type="dxa"/>
            <w:vAlign w:val="center"/>
          </w:tcPr>
          <w:p w14:paraId="241F328F" w14:textId="018C60FD" w:rsidR="00611F36" w:rsidRPr="00223074" w:rsidRDefault="00611F3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0.88</w:t>
            </w:r>
          </w:p>
        </w:tc>
        <w:tc>
          <w:tcPr>
            <w:tcW w:w="1530" w:type="dxa"/>
            <w:vAlign w:val="center"/>
          </w:tcPr>
          <w:p w14:paraId="5BE36054" w14:textId="017175E6" w:rsidR="00611F36" w:rsidRPr="00223074" w:rsidRDefault="00611F3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0.89</w:t>
            </w:r>
          </w:p>
        </w:tc>
        <w:tc>
          <w:tcPr>
            <w:tcW w:w="1530" w:type="dxa"/>
            <w:vAlign w:val="center"/>
          </w:tcPr>
          <w:p w14:paraId="3CF36230" w14:textId="78C49D91" w:rsidR="00611F36" w:rsidRPr="00223074" w:rsidRDefault="00611F3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0.88</w:t>
            </w:r>
          </w:p>
        </w:tc>
      </w:tr>
      <w:tr w:rsidR="00611F36" w14:paraId="5773F340" w14:textId="77777777" w:rsidTr="00835E49">
        <w:trPr>
          <w:trHeight w:val="485"/>
        </w:trPr>
        <w:tc>
          <w:tcPr>
            <w:tcW w:w="1838" w:type="dxa"/>
            <w:vAlign w:val="center"/>
          </w:tcPr>
          <w:p w14:paraId="46D980CA" w14:textId="1647D3AA" w:rsidR="00611F36" w:rsidRPr="00223074" w:rsidRDefault="00611F3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SVM</w:t>
            </w:r>
          </w:p>
        </w:tc>
        <w:tc>
          <w:tcPr>
            <w:tcW w:w="1222" w:type="dxa"/>
            <w:vAlign w:val="center"/>
          </w:tcPr>
          <w:p w14:paraId="212E96D5" w14:textId="5C8FEC6F" w:rsidR="00611F36" w:rsidRPr="00223074" w:rsidRDefault="00611F3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86%</w:t>
            </w:r>
          </w:p>
        </w:tc>
        <w:tc>
          <w:tcPr>
            <w:tcW w:w="1530" w:type="dxa"/>
            <w:vAlign w:val="center"/>
          </w:tcPr>
          <w:p w14:paraId="135D2DDE" w14:textId="186E49B3" w:rsidR="00611F36" w:rsidRPr="00223074" w:rsidRDefault="00611F3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0.85</w:t>
            </w:r>
          </w:p>
        </w:tc>
        <w:tc>
          <w:tcPr>
            <w:tcW w:w="1530" w:type="dxa"/>
            <w:vAlign w:val="center"/>
          </w:tcPr>
          <w:p w14:paraId="78B551DF" w14:textId="5A0E16AB" w:rsidR="00611F36" w:rsidRPr="00223074" w:rsidRDefault="00611F3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0.86</w:t>
            </w:r>
          </w:p>
        </w:tc>
        <w:tc>
          <w:tcPr>
            <w:tcW w:w="1530" w:type="dxa"/>
            <w:vAlign w:val="center"/>
          </w:tcPr>
          <w:p w14:paraId="5F12C901" w14:textId="69887243" w:rsidR="00611F36" w:rsidRPr="00223074" w:rsidRDefault="00611F3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0.85</w:t>
            </w:r>
          </w:p>
        </w:tc>
      </w:tr>
    </w:tbl>
    <w:p w14:paraId="6A7B9201" w14:textId="2C467367"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 xml:space="preserve">The </w:t>
      </w:r>
      <w:r w:rsidRPr="00223074">
        <w:rPr>
          <w:rFonts w:ascii="Times New Roman" w:eastAsia="Times New Roman" w:hAnsi="Times New Roman" w:cs="Times New Roman"/>
          <w:b/>
          <w:bCs/>
          <w:sz w:val="24"/>
          <w:szCs w:val="24"/>
          <w:lang w:eastAsia="en-IN"/>
        </w:rPr>
        <w:t>Random Forest model achieved the highest prediction accuracy (92%)</w:t>
      </w:r>
      <w:r w:rsidRPr="00223074">
        <w:rPr>
          <w:rFonts w:ascii="Times New Roman" w:eastAsia="Times New Roman" w:hAnsi="Times New Roman" w:cs="Times New Roman"/>
          <w:sz w:val="24"/>
          <w:szCs w:val="24"/>
          <w:lang w:eastAsia="en-IN"/>
        </w:rPr>
        <w:t>, indicating strong predictive capability for trophic status classification.</w:t>
      </w:r>
    </w:p>
    <w:p w14:paraId="219D26AD" w14:textId="77777777" w:rsidR="00223074" w:rsidRPr="00223074" w:rsidRDefault="00223074"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b/>
          <w:bCs/>
          <w:sz w:val="24"/>
          <w:szCs w:val="24"/>
          <w:lang w:eastAsia="en-IN"/>
        </w:rPr>
        <w:t>Feature Importance</w:t>
      </w:r>
    </w:p>
    <w:p w14:paraId="24E18D6C" w14:textId="25C60252" w:rsid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Random Forest analysis identified the most influential variables affecting trophic status prediction.</w:t>
      </w:r>
    </w:p>
    <w:tbl>
      <w:tblPr>
        <w:tblStyle w:val="TableGrid"/>
        <w:tblW w:w="0" w:type="auto"/>
        <w:tblLook w:val="04A0" w:firstRow="1" w:lastRow="0" w:firstColumn="1" w:lastColumn="0" w:noHBand="0" w:noVBand="1"/>
      </w:tblPr>
      <w:tblGrid>
        <w:gridCol w:w="777"/>
        <w:gridCol w:w="2570"/>
        <w:gridCol w:w="2049"/>
      </w:tblGrid>
      <w:tr w:rsidR="00611F36" w14:paraId="3EC89768" w14:textId="77777777" w:rsidTr="00611F36">
        <w:trPr>
          <w:trHeight w:val="252"/>
        </w:trPr>
        <w:tc>
          <w:tcPr>
            <w:tcW w:w="0" w:type="auto"/>
            <w:vAlign w:val="center"/>
          </w:tcPr>
          <w:p w14:paraId="3627FB61" w14:textId="07E28606" w:rsidR="00611F36" w:rsidRDefault="00611F3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b/>
                <w:bCs/>
                <w:sz w:val="24"/>
                <w:szCs w:val="24"/>
                <w:lang w:eastAsia="en-IN"/>
              </w:rPr>
              <w:t>Rank</w:t>
            </w:r>
          </w:p>
        </w:tc>
        <w:tc>
          <w:tcPr>
            <w:tcW w:w="0" w:type="auto"/>
            <w:vAlign w:val="center"/>
          </w:tcPr>
          <w:p w14:paraId="36E38F15" w14:textId="183C5020" w:rsidR="00611F36" w:rsidRDefault="00611F3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b/>
                <w:bCs/>
                <w:sz w:val="24"/>
                <w:szCs w:val="24"/>
                <w:lang w:eastAsia="en-IN"/>
              </w:rPr>
              <w:t>Parameter</w:t>
            </w:r>
          </w:p>
        </w:tc>
        <w:tc>
          <w:tcPr>
            <w:tcW w:w="0" w:type="auto"/>
            <w:vAlign w:val="center"/>
          </w:tcPr>
          <w:p w14:paraId="52F4E01C" w14:textId="5CDA9B16" w:rsidR="00611F36" w:rsidRDefault="00611F3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b/>
                <w:bCs/>
                <w:sz w:val="24"/>
                <w:szCs w:val="24"/>
                <w:lang w:eastAsia="en-IN"/>
              </w:rPr>
              <w:t>Importance Score</w:t>
            </w:r>
          </w:p>
        </w:tc>
      </w:tr>
      <w:tr w:rsidR="00611F36" w14:paraId="6511DA53" w14:textId="77777777" w:rsidTr="00611F36">
        <w:trPr>
          <w:trHeight w:val="252"/>
        </w:trPr>
        <w:tc>
          <w:tcPr>
            <w:tcW w:w="0" w:type="auto"/>
            <w:vAlign w:val="center"/>
          </w:tcPr>
          <w:p w14:paraId="725F591A" w14:textId="78F19BAF" w:rsidR="00611F36" w:rsidRPr="00223074" w:rsidRDefault="00611F36" w:rsidP="00BB1EBC">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sz w:val="24"/>
                <w:szCs w:val="24"/>
                <w:lang w:eastAsia="en-IN"/>
              </w:rPr>
              <w:t>1</w:t>
            </w:r>
          </w:p>
        </w:tc>
        <w:tc>
          <w:tcPr>
            <w:tcW w:w="0" w:type="auto"/>
            <w:vAlign w:val="center"/>
          </w:tcPr>
          <w:p w14:paraId="4EEA3A7F" w14:textId="67EE7A3D" w:rsidR="00611F36" w:rsidRPr="00223074" w:rsidRDefault="00611F36" w:rsidP="00BB1EBC">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sz w:val="24"/>
                <w:szCs w:val="24"/>
                <w:lang w:eastAsia="en-IN"/>
              </w:rPr>
              <w:t>Chlorophyll-a</w:t>
            </w:r>
          </w:p>
        </w:tc>
        <w:tc>
          <w:tcPr>
            <w:tcW w:w="0" w:type="auto"/>
            <w:vAlign w:val="center"/>
          </w:tcPr>
          <w:p w14:paraId="0AD30450" w14:textId="42D46521" w:rsidR="00611F36" w:rsidRPr="00223074" w:rsidRDefault="00611F36" w:rsidP="00BB1EBC">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sz w:val="24"/>
                <w:szCs w:val="24"/>
                <w:lang w:eastAsia="en-IN"/>
              </w:rPr>
              <w:t>0.28</w:t>
            </w:r>
          </w:p>
        </w:tc>
      </w:tr>
      <w:tr w:rsidR="00611F36" w14:paraId="4F68A2BE" w14:textId="77777777" w:rsidTr="00611F36">
        <w:trPr>
          <w:trHeight w:val="252"/>
        </w:trPr>
        <w:tc>
          <w:tcPr>
            <w:tcW w:w="0" w:type="auto"/>
            <w:vAlign w:val="center"/>
          </w:tcPr>
          <w:p w14:paraId="474FB89F" w14:textId="7C382691" w:rsidR="00611F36" w:rsidRPr="00223074" w:rsidRDefault="00611F3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2</w:t>
            </w:r>
          </w:p>
        </w:tc>
        <w:tc>
          <w:tcPr>
            <w:tcW w:w="0" w:type="auto"/>
            <w:vAlign w:val="center"/>
          </w:tcPr>
          <w:p w14:paraId="586A83CD" w14:textId="112C76D3" w:rsidR="00611F36" w:rsidRPr="00223074" w:rsidRDefault="00611F3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Phosphate</w:t>
            </w:r>
          </w:p>
        </w:tc>
        <w:tc>
          <w:tcPr>
            <w:tcW w:w="0" w:type="auto"/>
            <w:vAlign w:val="center"/>
          </w:tcPr>
          <w:p w14:paraId="094F39BA" w14:textId="71D730BA" w:rsidR="00611F36" w:rsidRPr="00223074" w:rsidRDefault="00611F3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0.22</w:t>
            </w:r>
          </w:p>
        </w:tc>
      </w:tr>
      <w:tr w:rsidR="00611F36" w14:paraId="478E01CF" w14:textId="77777777" w:rsidTr="00611F36">
        <w:trPr>
          <w:trHeight w:val="252"/>
        </w:trPr>
        <w:tc>
          <w:tcPr>
            <w:tcW w:w="0" w:type="auto"/>
            <w:vAlign w:val="center"/>
          </w:tcPr>
          <w:p w14:paraId="2A24774A" w14:textId="2DE831ED" w:rsidR="00611F36" w:rsidRPr="00223074" w:rsidRDefault="00611F3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3</w:t>
            </w:r>
          </w:p>
        </w:tc>
        <w:tc>
          <w:tcPr>
            <w:tcW w:w="0" w:type="auto"/>
            <w:vAlign w:val="center"/>
          </w:tcPr>
          <w:p w14:paraId="54011B50" w14:textId="3FD00EC4" w:rsidR="00611F36" w:rsidRPr="00223074" w:rsidRDefault="00611F3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Nitrate</w:t>
            </w:r>
          </w:p>
        </w:tc>
        <w:tc>
          <w:tcPr>
            <w:tcW w:w="0" w:type="auto"/>
            <w:vAlign w:val="center"/>
          </w:tcPr>
          <w:p w14:paraId="4981A633" w14:textId="2BD33B7D" w:rsidR="00611F36" w:rsidRPr="00223074" w:rsidRDefault="00611F3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0.18</w:t>
            </w:r>
          </w:p>
        </w:tc>
      </w:tr>
      <w:tr w:rsidR="00611F36" w14:paraId="0FC402FE" w14:textId="77777777" w:rsidTr="00611F36">
        <w:trPr>
          <w:trHeight w:val="252"/>
        </w:trPr>
        <w:tc>
          <w:tcPr>
            <w:tcW w:w="0" w:type="auto"/>
            <w:vAlign w:val="center"/>
          </w:tcPr>
          <w:p w14:paraId="5240169C" w14:textId="6DB378CD" w:rsidR="00611F36" w:rsidRPr="00223074" w:rsidRDefault="00611F3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4</w:t>
            </w:r>
          </w:p>
        </w:tc>
        <w:tc>
          <w:tcPr>
            <w:tcW w:w="0" w:type="auto"/>
            <w:vAlign w:val="center"/>
          </w:tcPr>
          <w:p w14:paraId="7FB0404D" w14:textId="192E48F6" w:rsidR="00611F36" w:rsidRPr="00223074" w:rsidRDefault="00611F3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Dissolved Oxygen</w:t>
            </w:r>
          </w:p>
        </w:tc>
        <w:tc>
          <w:tcPr>
            <w:tcW w:w="0" w:type="auto"/>
            <w:vAlign w:val="center"/>
          </w:tcPr>
          <w:p w14:paraId="279FBDD0" w14:textId="1FB1BBD8" w:rsidR="00611F36" w:rsidRPr="00223074" w:rsidRDefault="00611F3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0.15</w:t>
            </w:r>
          </w:p>
        </w:tc>
      </w:tr>
      <w:tr w:rsidR="00611F36" w14:paraId="3866A5B8" w14:textId="77777777" w:rsidTr="00611F36">
        <w:trPr>
          <w:trHeight w:val="252"/>
        </w:trPr>
        <w:tc>
          <w:tcPr>
            <w:tcW w:w="0" w:type="auto"/>
            <w:vAlign w:val="center"/>
          </w:tcPr>
          <w:p w14:paraId="0524F573" w14:textId="54F06432" w:rsidR="00611F36" w:rsidRPr="00223074" w:rsidRDefault="00611F3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5</w:t>
            </w:r>
          </w:p>
        </w:tc>
        <w:tc>
          <w:tcPr>
            <w:tcW w:w="0" w:type="auto"/>
            <w:vAlign w:val="center"/>
          </w:tcPr>
          <w:p w14:paraId="75E8E4C9" w14:textId="2540AF87" w:rsidR="00611F36" w:rsidRPr="00223074" w:rsidRDefault="00611F3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Temperature</w:t>
            </w:r>
          </w:p>
        </w:tc>
        <w:tc>
          <w:tcPr>
            <w:tcW w:w="0" w:type="auto"/>
            <w:vAlign w:val="center"/>
          </w:tcPr>
          <w:p w14:paraId="029DF313" w14:textId="3D9A8DF5" w:rsidR="00611F36" w:rsidRPr="00223074" w:rsidRDefault="00611F3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0.10</w:t>
            </w:r>
          </w:p>
        </w:tc>
      </w:tr>
      <w:tr w:rsidR="00611F36" w14:paraId="7F6B27F8" w14:textId="77777777" w:rsidTr="00611F36">
        <w:trPr>
          <w:trHeight w:val="252"/>
        </w:trPr>
        <w:tc>
          <w:tcPr>
            <w:tcW w:w="0" w:type="auto"/>
            <w:vAlign w:val="center"/>
          </w:tcPr>
          <w:p w14:paraId="0A7F6C80" w14:textId="4CE9499B" w:rsidR="00611F36" w:rsidRPr="00223074" w:rsidRDefault="00611F3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6</w:t>
            </w:r>
          </w:p>
        </w:tc>
        <w:tc>
          <w:tcPr>
            <w:tcW w:w="0" w:type="auto"/>
            <w:vAlign w:val="center"/>
          </w:tcPr>
          <w:p w14:paraId="5572205F" w14:textId="2CB9AA88" w:rsidR="00611F36" w:rsidRPr="00223074" w:rsidRDefault="00611F3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Phytoplankton Diversity</w:t>
            </w:r>
          </w:p>
        </w:tc>
        <w:tc>
          <w:tcPr>
            <w:tcW w:w="0" w:type="auto"/>
            <w:vAlign w:val="center"/>
          </w:tcPr>
          <w:p w14:paraId="1650CD5B" w14:textId="69CFFA78" w:rsidR="00611F36" w:rsidRPr="00223074" w:rsidRDefault="00611F36"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0.07</w:t>
            </w:r>
          </w:p>
        </w:tc>
      </w:tr>
    </w:tbl>
    <w:p w14:paraId="27DB5975" w14:textId="7AA12DC1"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 xml:space="preserve">Chlorophyll-a concentration was identified as the </w:t>
      </w:r>
      <w:r w:rsidRPr="00223074">
        <w:rPr>
          <w:rFonts w:ascii="Times New Roman" w:eastAsia="Times New Roman" w:hAnsi="Times New Roman" w:cs="Times New Roman"/>
          <w:b/>
          <w:bCs/>
          <w:sz w:val="24"/>
          <w:szCs w:val="24"/>
          <w:lang w:eastAsia="en-IN"/>
        </w:rPr>
        <w:t>most significant predictor</w:t>
      </w:r>
      <w:r w:rsidRPr="00223074">
        <w:rPr>
          <w:rFonts w:ascii="Times New Roman" w:eastAsia="Times New Roman" w:hAnsi="Times New Roman" w:cs="Times New Roman"/>
          <w:sz w:val="24"/>
          <w:szCs w:val="24"/>
          <w:lang w:eastAsia="en-IN"/>
        </w:rPr>
        <w:t>, highlighting its importance as an indicator of phytoplankton biomass and trophic conditions.</w:t>
      </w:r>
    </w:p>
    <w:p w14:paraId="2503B519" w14:textId="77777777" w:rsidR="00223074" w:rsidRPr="00223074" w:rsidRDefault="00223074" w:rsidP="00BB1E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b/>
          <w:bCs/>
          <w:sz w:val="24"/>
          <w:szCs w:val="24"/>
          <w:lang w:eastAsia="en-IN"/>
        </w:rPr>
        <w:t>Model Prediction Results</w:t>
      </w:r>
    </w:p>
    <w:p w14:paraId="1A474086" w14:textId="77777777"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The machine learning models successfully classified reservoir conditions into trophic categories.</w:t>
      </w:r>
    </w:p>
    <w:p w14:paraId="3A831040" w14:textId="46B06CA0" w:rsid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Confusion matrix for the Random Forest model:</w:t>
      </w:r>
    </w:p>
    <w:tbl>
      <w:tblPr>
        <w:tblStyle w:val="TableGrid"/>
        <w:tblW w:w="0" w:type="auto"/>
        <w:tblLook w:val="04A0" w:firstRow="1" w:lastRow="0" w:firstColumn="1" w:lastColumn="0" w:noHBand="0" w:noVBand="1"/>
      </w:tblPr>
      <w:tblGrid>
        <w:gridCol w:w="2651"/>
        <w:gridCol w:w="2799"/>
        <w:gridCol w:w="2330"/>
      </w:tblGrid>
      <w:tr w:rsidR="008772F1" w14:paraId="4DF85917" w14:textId="77777777" w:rsidTr="008772F1">
        <w:trPr>
          <w:trHeight w:val="299"/>
        </w:trPr>
        <w:tc>
          <w:tcPr>
            <w:tcW w:w="2651" w:type="dxa"/>
            <w:vAlign w:val="center"/>
          </w:tcPr>
          <w:p w14:paraId="381144BE" w14:textId="77777777" w:rsidR="008772F1" w:rsidRDefault="008772F1"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p>
        </w:tc>
        <w:tc>
          <w:tcPr>
            <w:tcW w:w="2799" w:type="dxa"/>
            <w:vAlign w:val="center"/>
          </w:tcPr>
          <w:p w14:paraId="0986FAA7" w14:textId="1E30EAA7" w:rsidR="008772F1" w:rsidRDefault="008772F1"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b/>
                <w:bCs/>
                <w:sz w:val="24"/>
                <w:szCs w:val="24"/>
                <w:lang w:eastAsia="en-IN"/>
              </w:rPr>
              <w:t>Predicted Mesotrophic</w:t>
            </w:r>
          </w:p>
        </w:tc>
        <w:tc>
          <w:tcPr>
            <w:tcW w:w="2330" w:type="dxa"/>
            <w:vAlign w:val="center"/>
          </w:tcPr>
          <w:p w14:paraId="1A4A930A" w14:textId="55A6D611" w:rsidR="008772F1" w:rsidRDefault="008772F1"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b/>
                <w:bCs/>
                <w:sz w:val="24"/>
                <w:szCs w:val="24"/>
                <w:lang w:eastAsia="en-IN"/>
              </w:rPr>
              <w:t>Predicted Eutrophic</w:t>
            </w:r>
          </w:p>
        </w:tc>
      </w:tr>
      <w:tr w:rsidR="008772F1" w14:paraId="60BC4763" w14:textId="77777777" w:rsidTr="008772F1">
        <w:trPr>
          <w:trHeight w:val="299"/>
        </w:trPr>
        <w:tc>
          <w:tcPr>
            <w:tcW w:w="2651" w:type="dxa"/>
            <w:vAlign w:val="center"/>
          </w:tcPr>
          <w:p w14:paraId="298626C8" w14:textId="320B8E10" w:rsidR="008772F1" w:rsidRDefault="008772F1"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Actual Mesotrophic</w:t>
            </w:r>
          </w:p>
        </w:tc>
        <w:tc>
          <w:tcPr>
            <w:tcW w:w="2799" w:type="dxa"/>
            <w:vAlign w:val="center"/>
          </w:tcPr>
          <w:p w14:paraId="1A8A7D82" w14:textId="0055C146" w:rsidR="008772F1" w:rsidRPr="00223074" w:rsidRDefault="008772F1" w:rsidP="00BB1EBC">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sz w:val="24"/>
                <w:szCs w:val="24"/>
                <w:lang w:eastAsia="en-IN"/>
              </w:rPr>
              <w:t>18</w:t>
            </w:r>
          </w:p>
        </w:tc>
        <w:tc>
          <w:tcPr>
            <w:tcW w:w="2330" w:type="dxa"/>
            <w:vAlign w:val="center"/>
          </w:tcPr>
          <w:p w14:paraId="4DFD9634" w14:textId="74E45C83" w:rsidR="008772F1" w:rsidRPr="00223074" w:rsidRDefault="008772F1" w:rsidP="00BB1EBC">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223074">
              <w:rPr>
                <w:rFonts w:ascii="Times New Roman" w:eastAsia="Times New Roman" w:hAnsi="Times New Roman" w:cs="Times New Roman"/>
                <w:sz w:val="24"/>
                <w:szCs w:val="24"/>
                <w:lang w:eastAsia="en-IN"/>
              </w:rPr>
              <w:t>2</w:t>
            </w:r>
          </w:p>
        </w:tc>
      </w:tr>
      <w:tr w:rsidR="008772F1" w14:paraId="2124FDFA" w14:textId="77777777" w:rsidTr="008772F1">
        <w:trPr>
          <w:trHeight w:val="299"/>
        </w:trPr>
        <w:tc>
          <w:tcPr>
            <w:tcW w:w="2651" w:type="dxa"/>
            <w:vAlign w:val="center"/>
          </w:tcPr>
          <w:p w14:paraId="2A524C91" w14:textId="23302F19" w:rsidR="008772F1" w:rsidRPr="00223074" w:rsidRDefault="008772F1"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Actual Eutrophic</w:t>
            </w:r>
          </w:p>
        </w:tc>
        <w:tc>
          <w:tcPr>
            <w:tcW w:w="2799" w:type="dxa"/>
            <w:vAlign w:val="center"/>
          </w:tcPr>
          <w:p w14:paraId="32503071" w14:textId="0A8B8C4E" w:rsidR="008772F1" w:rsidRPr="00223074" w:rsidRDefault="008772F1"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1</w:t>
            </w:r>
          </w:p>
        </w:tc>
        <w:tc>
          <w:tcPr>
            <w:tcW w:w="2330" w:type="dxa"/>
            <w:vAlign w:val="center"/>
          </w:tcPr>
          <w:p w14:paraId="495F29C1" w14:textId="269244FC" w:rsidR="008772F1" w:rsidRPr="00223074" w:rsidRDefault="008772F1"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19</w:t>
            </w:r>
          </w:p>
        </w:tc>
      </w:tr>
    </w:tbl>
    <w:p w14:paraId="3166042D" w14:textId="5F3D1B0C"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t>The model correctly classified most observations, demonstrating the potential of machine learning techniques for reservoir monitoring and trophic status prediction.</w:t>
      </w:r>
    </w:p>
    <w:p w14:paraId="31BAF9C1" w14:textId="77777777" w:rsidR="00223074" w:rsidRPr="00223074" w:rsidRDefault="00223074"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23074">
        <w:rPr>
          <w:rFonts w:ascii="Times New Roman" w:eastAsia="Times New Roman" w:hAnsi="Times New Roman" w:cs="Times New Roman"/>
          <w:sz w:val="24"/>
          <w:szCs w:val="24"/>
          <w:lang w:eastAsia="en-IN"/>
        </w:rPr>
        <w:lastRenderedPageBreak/>
        <w:t xml:space="preserve">Overall, the results demonstrate that seasonal environmental variations significantly influence water quality and phytoplankton dynamics in </w:t>
      </w:r>
      <w:proofErr w:type="spellStart"/>
      <w:r w:rsidRPr="00223074">
        <w:rPr>
          <w:rFonts w:ascii="Times New Roman" w:eastAsia="Times New Roman" w:hAnsi="Times New Roman" w:cs="Times New Roman"/>
          <w:sz w:val="24"/>
          <w:szCs w:val="24"/>
          <w:lang w:eastAsia="en-IN"/>
        </w:rPr>
        <w:t>Kotpally</w:t>
      </w:r>
      <w:proofErr w:type="spellEnd"/>
      <w:r w:rsidRPr="00223074">
        <w:rPr>
          <w:rFonts w:ascii="Times New Roman" w:eastAsia="Times New Roman" w:hAnsi="Times New Roman" w:cs="Times New Roman"/>
          <w:sz w:val="24"/>
          <w:szCs w:val="24"/>
          <w:lang w:eastAsia="en-IN"/>
        </w:rPr>
        <w:t xml:space="preserve"> Reservoir. Machine learning models, particularly Random Forest, provided accurate predictions of trophic status based on integrated limnological and biological indicators.</w:t>
      </w:r>
    </w:p>
    <w:p w14:paraId="74CA14A4" w14:textId="77777777" w:rsidR="009D3E2D" w:rsidRPr="005E727C" w:rsidRDefault="009D3E2D" w:rsidP="00BB1EBC">
      <w:pPr>
        <w:pStyle w:val="Heading1"/>
        <w:spacing w:line="360" w:lineRule="auto"/>
        <w:jc w:val="both"/>
        <w:rPr>
          <w:sz w:val="24"/>
          <w:szCs w:val="24"/>
        </w:rPr>
      </w:pPr>
      <w:r w:rsidRPr="005E727C">
        <w:rPr>
          <w:sz w:val="24"/>
          <w:szCs w:val="24"/>
        </w:rPr>
        <w:t>5. Discussion</w:t>
      </w:r>
    </w:p>
    <w:p w14:paraId="56D81607" w14:textId="63156605" w:rsidR="009D3E2D" w:rsidRPr="005E727C" w:rsidRDefault="009D3E2D" w:rsidP="00BB1EBC">
      <w:pPr>
        <w:pStyle w:val="NormalWeb"/>
        <w:spacing w:line="360" w:lineRule="auto"/>
        <w:jc w:val="both"/>
      </w:pPr>
      <w:r w:rsidRPr="005E727C">
        <w:t xml:space="preserve">The discussion section interprets the findings of the present study and relates them to existing knowledge on reservoir ecology, nutrient dynamics, and predictive </w:t>
      </w:r>
      <w:proofErr w:type="spellStart"/>
      <w:r w:rsidRPr="005E727C">
        <w:t>modeling</w:t>
      </w:r>
      <w:proofErr w:type="spellEnd"/>
      <w:r w:rsidRPr="005E727C">
        <w:t xml:space="preserve"> approaches in water quality management.</w:t>
      </w:r>
    </w:p>
    <w:p w14:paraId="3AD1F9E3" w14:textId="77777777" w:rsidR="009D3E2D" w:rsidRPr="005E727C" w:rsidRDefault="009D3E2D" w:rsidP="00BB1EBC">
      <w:pPr>
        <w:pStyle w:val="Heading2"/>
        <w:spacing w:line="360" w:lineRule="auto"/>
        <w:jc w:val="both"/>
        <w:rPr>
          <w:sz w:val="24"/>
          <w:szCs w:val="24"/>
        </w:rPr>
      </w:pPr>
      <w:r w:rsidRPr="005E727C">
        <w:rPr>
          <w:sz w:val="24"/>
          <w:szCs w:val="24"/>
        </w:rPr>
        <w:t>5.1 Relationship Between Nutrients and Phytoplankton</w:t>
      </w:r>
    </w:p>
    <w:p w14:paraId="246C5029" w14:textId="77777777" w:rsidR="009D3E2D" w:rsidRPr="005E727C" w:rsidRDefault="009D3E2D" w:rsidP="00BB1EBC">
      <w:pPr>
        <w:pStyle w:val="NormalWeb"/>
        <w:spacing w:line="360" w:lineRule="auto"/>
        <w:jc w:val="both"/>
      </w:pPr>
      <w:r w:rsidRPr="005E727C">
        <w:t xml:space="preserve">The results of this study indicate a strong relationship between nutrient concentrations and phytoplankton abundance in </w:t>
      </w:r>
      <w:proofErr w:type="spellStart"/>
      <w:r w:rsidRPr="005E727C">
        <w:t>Kotpally</w:t>
      </w:r>
      <w:proofErr w:type="spellEnd"/>
      <w:r w:rsidRPr="005E727C">
        <w:t xml:space="preserve"> Reservoir. Nutrients such as nitrate and phosphate play a critical role in controlling primary productivity in freshwater ecosystems. Elevated nutrient levels promote rapid growth of phytoplankton populations, which can significantly influence the trophic status of aquatic systems.</w:t>
      </w:r>
    </w:p>
    <w:p w14:paraId="6A4BEE70" w14:textId="77777777" w:rsidR="009D3E2D" w:rsidRPr="005E727C" w:rsidRDefault="009D3E2D" w:rsidP="00BB1EBC">
      <w:pPr>
        <w:pStyle w:val="NormalWeb"/>
        <w:spacing w:line="360" w:lineRule="auto"/>
        <w:jc w:val="both"/>
      </w:pPr>
      <w:r w:rsidRPr="005E727C">
        <w:t>In the present study, higher concentrations of nitrate and phosphate were observed during the monsoon season. This increase corresponded with higher chlorophyll-a levels and increased phytoplankton abundance, indicating enhanced biological productivity. Nutrient enrichment from agricultural runoff and watershed inflows likely contributed to these seasonal increases. Similar findings have been reported in other tropical reservoirs where nutrient inputs from surrounding catchment areas stimulate algal growth and influence ecological dynamics (Smith &amp; Schindler, 2009).</w:t>
      </w:r>
    </w:p>
    <w:p w14:paraId="7E072BB4" w14:textId="77777777" w:rsidR="009D3E2D" w:rsidRPr="005E727C" w:rsidRDefault="009D3E2D" w:rsidP="00BB1EBC">
      <w:pPr>
        <w:pStyle w:val="NormalWeb"/>
        <w:spacing w:line="360" w:lineRule="auto"/>
        <w:jc w:val="both"/>
      </w:pPr>
      <w:r w:rsidRPr="005E727C">
        <w:t xml:space="preserve">The dominance of Chlorophyceae and Bacillariophyceae observed in the reservoir suggests moderate nutrient availability, while the occasional increase in </w:t>
      </w:r>
      <w:proofErr w:type="spellStart"/>
      <w:r w:rsidRPr="005E727C">
        <w:t>Cyanophyceae</w:t>
      </w:r>
      <w:proofErr w:type="spellEnd"/>
      <w:r w:rsidRPr="005E727C">
        <w:t xml:space="preserve"> during the monsoon season may indicate early stages of eutrophication. Cyanobacteria are often associated with nutrient-rich environments and can proliferate rapidly under </w:t>
      </w:r>
      <w:proofErr w:type="spellStart"/>
      <w:r w:rsidRPr="005E727C">
        <w:t>favorable</w:t>
      </w:r>
      <w:proofErr w:type="spellEnd"/>
      <w:r w:rsidRPr="005E727C">
        <w:t xml:space="preserve"> conditions such as warm temperatures and high nutrient concentrations.</w:t>
      </w:r>
    </w:p>
    <w:p w14:paraId="3CA55E08" w14:textId="13CD7F37" w:rsidR="009D3E2D" w:rsidRPr="005E727C" w:rsidRDefault="009D3E2D" w:rsidP="00BB1EBC">
      <w:pPr>
        <w:pStyle w:val="NormalWeb"/>
        <w:spacing w:line="360" w:lineRule="auto"/>
        <w:jc w:val="both"/>
      </w:pPr>
      <w:r w:rsidRPr="005E727C">
        <w:t xml:space="preserve">These results highlight the importance of monitoring nutrient levels to prevent excessive phytoplankton growth and potential harmful algal blooms. Maintaining balanced nutrient </w:t>
      </w:r>
      <w:r w:rsidRPr="005E727C">
        <w:lastRenderedPageBreak/>
        <w:t>concentrations is essential for sustaining ecological stability and preserving water quality in reservoir ecosystems.</w:t>
      </w:r>
    </w:p>
    <w:p w14:paraId="2F1521F6" w14:textId="77777777" w:rsidR="009D3E2D" w:rsidRPr="005E727C" w:rsidRDefault="009D3E2D" w:rsidP="00BB1EBC">
      <w:pPr>
        <w:pStyle w:val="Heading2"/>
        <w:spacing w:line="360" w:lineRule="auto"/>
        <w:jc w:val="both"/>
        <w:rPr>
          <w:sz w:val="24"/>
          <w:szCs w:val="24"/>
        </w:rPr>
      </w:pPr>
      <w:r w:rsidRPr="005E727C">
        <w:rPr>
          <w:sz w:val="24"/>
          <w:szCs w:val="24"/>
        </w:rPr>
        <w:t>5.2 Seasonal Trophic Status Variation</w:t>
      </w:r>
    </w:p>
    <w:p w14:paraId="58C4B807" w14:textId="77777777" w:rsidR="009D3E2D" w:rsidRPr="005E727C" w:rsidRDefault="009D3E2D" w:rsidP="00BB1EBC">
      <w:pPr>
        <w:pStyle w:val="NormalWeb"/>
        <w:spacing w:line="360" w:lineRule="auto"/>
        <w:jc w:val="both"/>
      </w:pPr>
      <w:r w:rsidRPr="005E727C">
        <w:t xml:space="preserve">The trophic state index (TSI) values calculated in this study revealed seasonal variation in the trophic condition of </w:t>
      </w:r>
      <w:proofErr w:type="spellStart"/>
      <w:r w:rsidRPr="005E727C">
        <w:t>Kotpally</w:t>
      </w:r>
      <w:proofErr w:type="spellEnd"/>
      <w:r w:rsidRPr="005E727C">
        <w:t xml:space="preserve"> Reservoir. The reservoir exhibited mesotrophic conditions during winter and eutrophic conditions during summer and monsoon periods. Seasonal variation in trophic status is common in tropical reservoirs and is largely influenced by climatic and hydrological factors.</w:t>
      </w:r>
    </w:p>
    <w:p w14:paraId="0DD4C055" w14:textId="77777777" w:rsidR="009D3E2D" w:rsidRPr="005E727C" w:rsidRDefault="009D3E2D" w:rsidP="00BB1EBC">
      <w:pPr>
        <w:pStyle w:val="NormalWeb"/>
        <w:spacing w:line="360" w:lineRule="auto"/>
        <w:jc w:val="both"/>
      </w:pPr>
      <w:r w:rsidRPr="005E727C">
        <w:t>Monsoon rainfall plays a significant role in transporting nutrients from agricultural fields, urban areas, and surrounding landscapes into the reservoir. During heavy rainfall events, surface runoff carries fertilizers, organic matter, and sediments into the water body, increasing nutrient concentrations and promoting phytoplankton growth. As a result, chlorophyll-a concentrations and TSI values tend to increase during and after the monsoon season.</w:t>
      </w:r>
    </w:p>
    <w:p w14:paraId="35E343E9" w14:textId="77777777" w:rsidR="009D3E2D" w:rsidRPr="005E727C" w:rsidRDefault="009D3E2D" w:rsidP="00BB1EBC">
      <w:pPr>
        <w:pStyle w:val="NormalWeb"/>
        <w:spacing w:line="360" w:lineRule="auto"/>
        <w:jc w:val="both"/>
      </w:pPr>
      <w:r w:rsidRPr="005E727C">
        <w:t>In addition to nutrient inflow, seasonal temperature changes also influence trophic dynamics. Higher water temperatures during summer enhance metabolic activities of phytoplankton and increase biological productivity. At the same time, higher temperatures reduce dissolved oxygen solubility, which may further affect aquatic ecosystem functioning (Dodds &amp; Whiles, 2010).</w:t>
      </w:r>
    </w:p>
    <w:p w14:paraId="2897A8CA" w14:textId="10EF25F0" w:rsidR="009D3E2D" w:rsidRPr="005E727C" w:rsidRDefault="009D3E2D" w:rsidP="00BB1EBC">
      <w:pPr>
        <w:pStyle w:val="NormalWeb"/>
        <w:spacing w:line="360" w:lineRule="auto"/>
        <w:jc w:val="both"/>
      </w:pPr>
      <w:r w:rsidRPr="005E727C">
        <w:t>The observed seasonal fluctuations in trophic status emphasize the importance of long-term monitoring programs that consider climatic variability and watershed processes when evaluating reservoir water quality.</w:t>
      </w:r>
    </w:p>
    <w:p w14:paraId="5D330A4C" w14:textId="77777777" w:rsidR="009D3E2D" w:rsidRPr="005E727C" w:rsidRDefault="009D3E2D" w:rsidP="00BB1EBC">
      <w:pPr>
        <w:pStyle w:val="Heading2"/>
        <w:spacing w:line="360" w:lineRule="auto"/>
        <w:jc w:val="both"/>
        <w:rPr>
          <w:sz w:val="24"/>
          <w:szCs w:val="24"/>
        </w:rPr>
      </w:pPr>
      <w:r w:rsidRPr="005E727C">
        <w:rPr>
          <w:sz w:val="24"/>
          <w:szCs w:val="24"/>
        </w:rPr>
        <w:t>5.3 Performance of Machine Learning Models</w:t>
      </w:r>
    </w:p>
    <w:p w14:paraId="0A1EF94D" w14:textId="77777777" w:rsidR="009D3E2D" w:rsidRPr="005E727C" w:rsidRDefault="009D3E2D" w:rsidP="00BB1EBC">
      <w:pPr>
        <w:pStyle w:val="NormalWeb"/>
        <w:spacing w:line="360" w:lineRule="auto"/>
        <w:jc w:val="both"/>
      </w:pPr>
      <w:r w:rsidRPr="005E727C">
        <w:t>The machine learning models applied in this study demonstrated strong capability for predicting trophic status using limnological and phytoplankton indicators. Among the three algorithms tested, Random Forest achieved the highest prediction accuracy, followed by Artificial Neural Networks and Support Vector Machines.</w:t>
      </w:r>
    </w:p>
    <w:p w14:paraId="614EC3D4" w14:textId="77777777" w:rsidR="009D3E2D" w:rsidRPr="005E727C" w:rsidRDefault="009D3E2D" w:rsidP="00BB1EBC">
      <w:pPr>
        <w:pStyle w:val="NormalWeb"/>
        <w:spacing w:line="360" w:lineRule="auto"/>
        <w:jc w:val="both"/>
      </w:pPr>
      <w:r w:rsidRPr="005E727C">
        <w:t xml:space="preserve">Traditional statistical approaches such as linear regression often assume simple relationships between variables and may not adequately capture complex interactions within aquatic </w:t>
      </w:r>
      <w:r w:rsidRPr="005E727C">
        <w:lastRenderedPageBreak/>
        <w:t>ecosystems. In contrast, machine learning algorithms can model nonlinear relationships and interactions among multiple environmental variables. This ability allows machine learning techniques to provide more accurate predictions in ecological studies (Olden, Lawler, &amp; Poff, 2008).</w:t>
      </w:r>
    </w:p>
    <w:p w14:paraId="25BB9973" w14:textId="77777777" w:rsidR="009D3E2D" w:rsidRPr="005E727C" w:rsidRDefault="009D3E2D" w:rsidP="00BB1EBC">
      <w:pPr>
        <w:pStyle w:val="NormalWeb"/>
        <w:spacing w:line="360" w:lineRule="auto"/>
        <w:jc w:val="both"/>
      </w:pPr>
      <w:r w:rsidRPr="005E727C">
        <w:t>Random Forest performed particularly well in this study due to its ensemble learning approach, which combines multiple decision trees to improve predictive performance and reduce overfitting. The algorithm also provides estimates of feature importance, allowing researchers to identify key variables influencing trophic status.</w:t>
      </w:r>
    </w:p>
    <w:p w14:paraId="28FA86CD" w14:textId="77777777" w:rsidR="009D3E2D" w:rsidRPr="005E727C" w:rsidRDefault="009D3E2D" w:rsidP="00BB1EBC">
      <w:pPr>
        <w:pStyle w:val="NormalWeb"/>
        <w:spacing w:line="360" w:lineRule="auto"/>
        <w:jc w:val="both"/>
      </w:pPr>
      <w:r w:rsidRPr="005E727C">
        <w:t xml:space="preserve">Artificial Neural Networks also demonstrated high predictive capability by </w:t>
      </w:r>
      <w:proofErr w:type="spellStart"/>
      <w:r w:rsidRPr="005E727C">
        <w:t>modeling</w:t>
      </w:r>
      <w:proofErr w:type="spellEnd"/>
      <w:r w:rsidRPr="005E727C">
        <w:t xml:space="preserve"> nonlinear relationships among environmental variables. ANN models are particularly effective when dealing with complex datasets that involve multiple interacting factors.</w:t>
      </w:r>
    </w:p>
    <w:p w14:paraId="2E123EE4" w14:textId="77777777" w:rsidR="009D3E2D" w:rsidRPr="005E727C" w:rsidRDefault="009D3E2D" w:rsidP="00BB1EBC">
      <w:pPr>
        <w:pStyle w:val="NormalWeb"/>
        <w:spacing w:line="360" w:lineRule="auto"/>
        <w:jc w:val="both"/>
      </w:pPr>
      <w:r w:rsidRPr="005E727C">
        <w:t xml:space="preserve">Although Support Vector Machines performed slightly lower than Random Forest and ANN in this study, they still produced reliable predictions and remain useful tools for classification problems in environmental </w:t>
      </w:r>
      <w:proofErr w:type="spellStart"/>
      <w:r w:rsidRPr="005E727C">
        <w:t>modeling</w:t>
      </w:r>
      <w:proofErr w:type="spellEnd"/>
      <w:r w:rsidRPr="005E727C">
        <w:t>.</w:t>
      </w:r>
    </w:p>
    <w:p w14:paraId="581A3FC3" w14:textId="67636E9D" w:rsidR="009D3E2D" w:rsidRPr="005E727C" w:rsidRDefault="009D3E2D" w:rsidP="00BB1EBC">
      <w:pPr>
        <w:pStyle w:val="NormalWeb"/>
        <w:spacing w:line="360" w:lineRule="auto"/>
        <w:jc w:val="both"/>
      </w:pPr>
      <w:r w:rsidRPr="005E727C">
        <w:t>Overall, the results confirm that machine learning techniques provide powerful alternatives to traditional statistical methods for predicting ecological conditions in aquatic ecosystems.</w:t>
      </w:r>
    </w:p>
    <w:p w14:paraId="020D0950" w14:textId="77777777" w:rsidR="009D3E2D" w:rsidRPr="005E727C" w:rsidRDefault="009D3E2D" w:rsidP="00BB1EBC">
      <w:pPr>
        <w:pStyle w:val="Heading2"/>
        <w:spacing w:line="360" w:lineRule="auto"/>
        <w:jc w:val="both"/>
        <w:rPr>
          <w:sz w:val="24"/>
          <w:szCs w:val="24"/>
        </w:rPr>
      </w:pPr>
      <w:r w:rsidRPr="005E727C">
        <w:rPr>
          <w:sz w:val="24"/>
          <w:szCs w:val="24"/>
        </w:rPr>
        <w:t>5.4 Implications for Reservoir Management</w:t>
      </w:r>
    </w:p>
    <w:p w14:paraId="492B0400" w14:textId="77777777" w:rsidR="009D3E2D" w:rsidRPr="005E727C" w:rsidRDefault="009D3E2D" w:rsidP="00BB1EBC">
      <w:pPr>
        <w:pStyle w:val="NormalWeb"/>
        <w:spacing w:line="360" w:lineRule="auto"/>
        <w:jc w:val="both"/>
      </w:pPr>
      <w:r w:rsidRPr="005E727C">
        <w:t>The findings of this study have important implications for reservoir management and water resource sustainability. Monitoring trophic status and nutrient dynamics is essential for maintaining water quality and preventing ecological degradation in reservoirs.</w:t>
      </w:r>
    </w:p>
    <w:p w14:paraId="124547DA" w14:textId="77777777" w:rsidR="009D3E2D" w:rsidRPr="005E727C" w:rsidRDefault="009D3E2D" w:rsidP="00BB1EBC">
      <w:pPr>
        <w:pStyle w:val="Heading3"/>
        <w:spacing w:line="360" w:lineRule="auto"/>
        <w:jc w:val="both"/>
        <w:rPr>
          <w:sz w:val="24"/>
          <w:szCs w:val="24"/>
        </w:rPr>
      </w:pPr>
      <w:r w:rsidRPr="005E727C">
        <w:rPr>
          <w:sz w:val="24"/>
          <w:szCs w:val="24"/>
        </w:rPr>
        <w:t>Early Warning Systems</w:t>
      </w:r>
    </w:p>
    <w:p w14:paraId="06E22421" w14:textId="77777777" w:rsidR="009D3E2D" w:rsidRPr="005E727C" w:rsidRDefault="009D3E2D" w:rsidP="00BB1EBC">
      <w:pPr>
        <w:pStyle w:val="NormalWeb"/>
        <w:spacing w:line="360" w:lineRule="auto"/>
        <w:jc w:val="both"/>
      </w:pPr>
      <w:r w:rsidRPr="005E727C">
        <w:t xml:space="preserve">Machine learning models can serve as valuable tools for developing early warning systems for eutrophication and algal blooms. By </w:t>
      </w:r>
      <w:proofErr w:type="spellStart"/>
      <w:r w:rsidRPr="005E727C">
        <w:t>analyzing</w:t>
      </w:r>
      <w:proofErr w:type="spellEnd"/>
      <w:r w:rsidRPr="005E727C">
        <w:t xml:space="preserve"> historical and real-time environmental data, predictive models can identify patterns that indicate increasing nutrient enrichment or potential algal bloom events. Early detection of such changes allows water resource managers to implement preventive measures before serious ecological problems occur.</w:t>
      </w:r>
    </w:p>
    <w:p w14:paraId="2C90C6BA" w14:textId="77777777" w:rsidR="009D3E2D" w:rsidRPr="005E727C" w:rsidRDefault="009D3E2D" w:rsidP="00BB1EBC">
      <w:pPr>
        <w:pStyle w:val="Heading3"/>
        <w:spacing w:line="360" w:lineRule="auto"/>
        <w:jc w:val="both"/>
        <w:rPr>
          <w:sz w:val="24"/>
          <w:szCs w:val="24"/>
        </w:rPr>
      </w:pPr>
      <w:r w:rsidRPr="005E727C">
        <w:rPr>
          <w:sz w:val="24"/>
          <w:szCs w:val="24"/>
        </w:rPr>
        <w:t>Water Quality Monitoring</w:t>
      </w:r>
    </w:p>
    <w:p w14:paraId="4924A503" w14:textId="77777777" w:rsidR="009D3E2D" w:rsidRPr="005E727C" w:rsidRDefault="009D3E2D" w:rsidP="00BB1EBC">
      <w:pPr>
        <w:pStyle w:val="NormalWeb"/>
        <w:spacing w:line="360" w:lineRule="auto"/>
        <w:jc w:val="both"/>
      </w:pPr>
      <w:r w:rsidRPr="005E727C">
        <w:lastRenderedPageBreak/>
        <w:t>Integrating machine learning with routine limnological monitoring can significantly improve water quality assessment programs. Predictive models can help identify critical factors affecting reservoir health and support data-driven decision making. Continuous monitoring of physicochemical parameters and phytoplankton communities can also provide valuable insights into long-term ecological trends.</w:t>
      </w:r>
    </w:p>
    <w:p w14:paraId="1DDB3CF5" w14:textId="77777777" w:rsidR="009D3E2D" w:rsidRPr="005E727C" w:rsidRDefault="009D3E2D" w:rsidP="00BB1EBC">
      <w:pPr>
        <w:pStyle w:val="NormalWeb"/>
        <w:spacing w:line="360" w:lineRule="auto"/>
        <w:jc w:val="both"/>
      </w:pPr>
      <w:r w:rsidRPr="005E727C">
        <w:t xml:space="preserve">For reservoirs such as </w:t>
      </w:r>
      <w:proofErr w:type="spellStart"/>
      <w:r w:rsidRPr="005E727C">
        <w:t>Kotpally</w:t>
      </w:r>
      <w:proofErr w:type="spellEnd"/>
      <w:r w:rsidRPr="005E727C">
        <w:t>, effective management strategies may include controlling nutrient inputs from agricultural runoff, promoting sustainable land-use practices in the watershed, and implementing periodic water quality assessments. Such measures can help maintain ecological balance and ensure sustainable use of reservoir resources for irrigation, fisheries, and domestic purposes.</w:t>
      </w:r>
    </w:p>
    <w:p w14:paraId="7EBE46CF" w14:textId="77777777" w:rsidR="009D3E2D" w:rsidRPr="005E727C" w:rsidRDefault="009D3E2D" w:rsidP="00BB1EBC">
      <w:pPr>
        <w:pStyle w:val="NormalWeb"/>
        <w:spacing w:line="360" w:lineRule="auto"/>
        <w:jc w:val="both"/>
      </w:pPr>
      <w:r w:rsidRPr="005E727C">
        <w:t>Overall, the integration of limnological monitoring, biological indicators, and machine learning approaches provides a comprehensive framework for understanding reservoir ecosystems and supporting effective water resource management.</w:t>
      </w:r>
    </w:p>
    <w:p w14:paraId="79EE9865" w14:textId="77777777" w:rsidR="009D3E2D" w:rsidRPr="009D3E2D" w:rsidRDefault="009D3E2D" w:rsidP="00BB1EBC">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en-IN"/>
        </w:rPr>
      </w:pPr>
      <w:r w:rsidRPr="009D3E2D">
        <w:rPr>
          <w:rFonts w:ascii="Times New Roman" w:eastAsia="Times New Roman" w:hAnsi="Times New Roman" w:cs="Times New Roman"/>
          <w:b/>
          <w:bCs/>
          <w:kern w:val="36"/>
          <w:sz w:val="24"/>
          <w:szCs w:val="24"/>
          <w:lang w:eastAsia="en-IN"/>
        </w:rPr>
        <w:t>6. Figures and Tables</w:t>
      </w:r>
    </w:p>
    <w:p w14:paraId="6D9622A0" w14:textId="2D6D75C3" w:rsidR="009D3E2D" w:rsidRPr="009D3E2D" w:rsidRDefault="009D3E2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This section presents the figures and tables used to summarize the spatial characteristics of the study area, seasonal variations in water quality parameters, phytoplankton diversity, and machine learning model performance. These visual elements help illustrate patterns observed in the dataset and improve interpretation of the results.</w:t>
      </w:r>
    </w:p>
    <w:p w14:paraId="33BB4E42" w14:textId="77777777" w:rsidR="009D3E2D" w:rsidRPr="009D3E2D" w:rsidRDefault="009D3E2D" w:rsidP="00BB1EBC">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en-IN"/>
        </w:rPr>
      </w:pPr>
      <w:r w:rsidRPr="009D3E2D">
        <w:rPr>
          <w:rFonts w:ascii="Times New Roman" w:eastAsia="Times New Roman" w:hAnsi="Times New Roman" w:cs="Times New Roman"/>
          <w:b/>
          <w:bCs/>
          <w:kern w:val="36"/>
          <w:sz w:val="24"/>
          <w:szCs w:val="24"/>
          <w:lang w:eastAsia="en-IN"/>
        </w:rPr>
        <w:t>Figures</w:t>
      </w:r>
    </w:p>
    <w:p w14:paraId="33B616D0" w14:textId="7CAAE01E" w:rsidR="009D3E2D" w:rsidRPr="009D3E2D" w:rsidRDefault="009D3E2D" w:rsidP="00BB1EBC">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9D3E2D">
        <w:rPr>
          <w:rFonts w:ascii="Times New Roman" w:eastAsia="Times New Roman" w:hAnsi="Times New Roman" w:cs="Times New Roman"/>
          <w:b/>
          <w:bCs/>
          <w:sz w:val="24"/>
          <w:szCs w:val="24"/>
          <w:lang w:eastAsia="en-IN"/>
        </w:rPr>
        <w:t xml:space="preserve">Figure </w:t>
      </w:r>
      <w:r w:rsidR="00FF7FAE">
        <w:rPr>
          <w:rFonts w:ascii="Times New Roman" w:eastAsia="Times New Roman" w:hAnsi="Times New Roman" w:cs="Times New Roman"/>
          <w:b/>
          <w:bCs/>
          <w:sz w:val="24"/>
          <w:szCs w:val="24"/>
          <w:lang w:eastAsia="en-IN"/>
        </w:rPr>
        <w:t>4</w:t>
      </w:r>
      <w:r w:rsidRPr="009D3E2D">
        <w:rPr>
          <w:rFonts w:ascii="Times New Roman" w:eastAsia="Times New Roman" w:hAnsi="Times New Roman" w:cs="Times New Roman"/>
          <w:b/>
          <w:bCs/>
          <w:sz w:val="24"/>
          <w:szCs w:val="24"/>
          <w:lang w:eastAsia="en-IN"/>
        </w:rPr>
        <w:t xml:space="preserve"> Study Area Map – </w:t>
      </w:r>
      <w:proofErr w:type="spellStart"/>
      <w:r w:rsidRPr="009D3E2D">
        <w:rPr>
          <w:rFonts w:ascii="Times New Roman" w:eastAsia="Times New Roman" w:hAnsi="Times New Roman" w:cs="Times New Roman"/>
          <w:b/>
          <w:bCs/>
          <w:sz w:val="24"/>
          <w:szCs w:val="24"/>
          <w:lang w:eastAsia="en-IN"/>
        </w:rPr>
        <w:t>Kotpally</w:t>
      </w:r>
      <w:proofErr w:type="spellEnd"/>
      <w:r w:rsidRPr="009D3E2D">
        <w:rPr>
          <w:rFonts w:ascii="Times New Roman" w:eastAsia="Times New Roman" w:hAnsi="Times New Roman" w:cs="Times New Roman"/>
          <w:b/>
          <w:bCs/>
          <w:sz w:val="24"/>
          <w:szCs w:val="24"/>
          <w:lang w:eastAsia="en-IN"/>
        </w:rPr>
        <w:t xml:space="preserve"> Reservoir</w:t>
      </w:r>
    </w:p>
    <w:p w14:paraId="1AFAF81A" w14:textId="77777777" w:rsidR="00C702B9" w:rsidRDefault="00C702B9" w:rsidP="00C702B9">
      <w:pPr>
        <w:pStyle w:val="NormalWeb"/>
        <w:spacing w:before="0" w:beforeAutospacing="0" w:after="0" w:afterAutospacing="0" w:line="360" w:lineRule="auto"/>
        <w:jc w:val="center"/>
      </w:pPr>
      <w:r>
        <w:rPr>
          <w:noProof/>
        </w:rPr>
        <w:drawing>
          <wp:inline distT="0" distB="0" distL="0" distR="0" wp14:anchorId="693C44C3" wp14:editId="7037B4F8">
            <wp:extent cx="3738747" cy="2340516"/>
            <wp:effectExtent l="0" t="0" r="0" b="317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9" cstate="print">
                      <a:extLst>
                        <a:ext uri="{28A0092B-C50C-407E-A947-70E740481C1C}">
                          <a14:useLocalDpi xmlns:a14="http://schemas.microsoft.com/office/drawing/2010/main" val="0"/>
                        </a:ext>
                      </a:extLst>
                    </a:blip>
                    <a:srcRect b="6093"/>
                    <a:stretch/>
                  </pic:blipFill>
                  <pic:spPr bwMode="auto">
                    <a:xfrm>
                      <a:off x="0" y="0"/>
                      <a:ext cx="3763728" cy="2356155"/>
                    </a:xfrm>
                    <a:prstGeom prst="rect">
                      <a:avLst/>
                    </a:prstGeom>
                    <a:ln>
                      <a:noFill/>
                    </a:ln>
                    <a:extLst>
                      <a:ext uri="{53640926-AAD7-44D8-BBD7-CCE9431645EC}">
                        <a14:shadowObscured xmlns:a14="http://schemas.microsoft.com/office/drawing/2010/main"/>
                      </a:ext>
                    </a:extLst>
                  </pic:spPr>
                </pic:pic>
              </a:graphicData>
            </a:graphic>
          </wp:inline>
        </w:drawing>
      </w:r>
    </w:p>
    <w:p w14:paraId="290CC05C" w14:textId="34BD3468" w:rsidR="00C702B9" w:rsidRPr="004E5B7E" w:rsidRDefault="00C702B9" w:rsidP="00C702B9">
      <w:pPr>
        <w:pStyle w:val="NormalWeb"/>
        <w:spacing w:before="0" w:beforeAutospacing="0"/>
        <w:jc w:val="center"/>
        <w:rPr>
          <w:sz w:val="22"/>
          <w:szCs w:val="22"/>
        </w:rPr>
      </w:pPr>
      <w:r w:rsidRPr="004E5B7E">
        <w:rPr>
          <w:sz w:val="22"/>
          <w:szCs w:val="22"/>
        </w:rPr>
        <w:lastRenderedPageBreak/>
        <w:t xml:space="preserve">Map of </w:t>
      </w:r>
      <w:proofErr w:type="spellStart"/>
      <w:r w:rsidRPr="004E5B7E">
        <w:rPr>
          <w:sz w:val="22"/>
          <w:szCs w:val="22"/>
        </w:rPr>
        <w:t>Kotapally</w:t>
      </w:r>
      <w:proofErr w:type="spellEnd"/>
      <w:r w:rsidRPr="004E5B7E">
        <w:rPr>
          <w:sz w:val="22"/>
          <w:szCs w:val="22"/>
        </w:rPr>
        <w:t xml:space="preserve"> Reservoir and Sampling Stations</w:t>
      </w:r>
      <w:r>
        <w:rPr>
          <w:sz w:val="22"/>
          <w:szCs w:val="22"/>
        </w:rPr>
        <w:t xml:space="preserve"> (Adopted from </w:t>
      </w:r>
      <w:r w:rsidR="003A669E">
        <w:rPr>
          <w:sz w:val="22"/>
          <w:szCs w:val="22"/>
        </w:rPr>
        <w:t xml:space="preserve"> fig 1, </w:t>
      </w:r>
      <w:r>
        <w:rPr>
          <w:sz w:val="22"/>
          <w:szCs w:val="22"/>
        </w:rPr>
        <w:t>Sampath et al., 2025)</w:t>
      </w:r>
    </w:p>
    <w:p w14:paraId="3ACB8783" w14:textId="2DEFBEF7" w:rsidR="009D3E2D" w:rsidRPr="009D3E2D" w:rsidRDefault="009D3E2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 xml:space="preserve">Figure </w:t>
      </w:r>
      <w:r w:rsidR="00FF7FAE">
        <w:rPr>
          <w:rFonts w:ascii="Times New Roman" w:eastAsia="Times New Roman" w:hAnsi="Times New Roman" w:cs="Times New Roman"/>
          <w:sz w:val="24"/>
          <w:szCs w:val="24"/>
          <w:lang w:eastAsia="en-IN"/>
        </w:rPr>
        <w:t>4</w:t>
      </w:r>
      <w:r w:rsidRPr="009D3E2D">
        <w:rPr>
          <w:rFonts w:ascii="Times New Roman" w:eastAsia="Times New Roman" w:hAnsi="Times New Roman" w:cs="Times New Roman"/>
          <w:sz w:val="24"/>
          <w:szCs w:val="24"/>
          <w:lang w:eastAsia="en-IN"/>
        </w:rPr>
        <w:t xml:space="preserve"> shows the geographic location of </w:t>
      </w:r>
      <w:proofErr w:type="spellStart"/>
      <w:r w:rsidRPr="009D3E2D">
        <w:rPr>
          <w:rFonts w:ascii="Times New Roman" w:eastAsia="Times New Roman" w:hAnsi="Times New Roman" w:cs="Times New Roman"/>
          <w:sz w:val="24"/>
          <w:szCs w:val="24"/>
          <w:lang w:eastAsia="en-IN"/>
        </w:rPr>
        <w:t>Kotpally</w:t>
      </w:r>
      <w:proofErr w:type="spellEnd"/>
      <w:r w:rsidRPr="009D3E2D">
        <w:rPr>
          <w:rFonts w:ascii="Times New Roman" w:eastAsia="Times New Roman" w:hAnsi="Times New Roman" w:cs="Times New Roman"/>
          <w:sz w:val="24"/>
          <w:szCs w:val="24"/>
          <w:lang w:eastAsia="en-IN"/>
        </w:rPr>
        <w:t xml:space="preserve"> Reservoir in </w:t>
      </w:r>
      <w:proofErr w:type="spellStart"/>
      <w:r w:rsidRPr="009D3E2D">
        <w:rPr>
          <w:rFonts w:ascii="Times New Roman" w:eastAsia="Times New Roman" w:hAnsi="Times New Roman" w:cs="Times New Roman"/>
          <w:sz w:val="24"/>
          <w:szCs w:val="24"/>
          <w:lang w:eastAsia="en-IN"/>
        </w:rPr>
        <w:t>Vikarabad</w:t>
      </w:r>
      <w:proofErr w:type="spellEnd"/>
      <w:r w:rsidRPr="009D3E2D">
        <w:rPr>
          <w:rFonts w:ascii="Times New Roman" w:eastAsia="Times New Roman" w:hAnsi="Times New Roman" w:cs="Times New Roman"/>
          <w:sz w:val="24"/>
          <w:szCs w:val="24"/>
          <w:lang w:eastAsia="en-IN"/>
        </w:rPr>
        <w:t xml:space="preserve"> District, Telangana. The map highlights the reservoir boundaries, surrounding catchment area, and major sampling stations used in the present study.</w:t>
      </w:r>
    </w:p>
    <w:p w14:paraId="6DDD790B" w14:textId="3C5BA05A" w:rsidR="009D3E2D" w:rsidRPr="009D3E2D" w:rsidRDefault="009D3E2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The spatial distribution of sampling stations allowed the assessment of variations in water quality across different ecological zones such as inlet, outlet, littoral, and mid-reservoir regions.</w:t>
      </w:r>
    </w:p>
    <w:p w14:paraId="6479950D" w14:textId="2148E03D" w:rsidR="009D3E2D" w:rsidRPr="009D3E2D" w:rsidRDefault="009D3E2D" w:rsidP="00BB1EBC">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9D3E2D">
        <w:rPr>
          <w:rFonts w:ascii="Times New Roman" w:eastAsia="Times New Roman" w:hAnsi="Times New Roman" w:cs="Times New Roman"/>
          <w:b/>
          <w:bCs/>
          <w:sz w:val="24"/>
          <w:szCs w:val="24"/>
          <w:lang w:eastAsia="en-IN"/>
        </w:rPr>
        <w:t xml:space="preserve">Figure </w:t>
      </w:r>
      <w:r w:rsidR="00FF7FAE">
        <w:rPr>
          <w:rFonts w:ascii="Times New Roman" w:eastAsia="Times New Roman" w:hAnsi="Times New Roman" w:cs="Times New Roman"/>
          <w:b/>
          <w:bCs/>
          <w:sz w:val="24"/>
          <w:szCs w:val="24"/>
          <w:lang w:eastAsia="en-IN"/>
        </w:rPr>
        <w:t>5</w:t>
      </w:r>
      <w:r w:rsidRPr="009D3E2D">
        <w:rPr>
          <w:rFonts w:ascii="Times New Roman" w:eastAsia="Times New Roman" w:hAnsi="Times New Roman" w:cs="Times New Roman"/>
          <w:b/>
          <w:bCs/>
          <w:sz w:val="24"/>
          <w:szCs w:val="24"/>
          <w:lang w:eastAsia="en-IN"/>
        </w:rPr>
        <w:t xml:space="preserve"> Seasonal Variation in Temperature and Dissolved Oxygen</w:t>
      </w:r>
    </w:p>
    <w:p w14:paraId="40B4DC5B" w14:textId="6140447E" w:rsidR="009D3E2D" w:rsidRPr="009D3E2D" w:rsidRDefault="001A1402"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Pr>
          <w:noProof/>
        </w:rPr>
        <w:drawing>
          <wp:inline distT="0" distB="0" distL="0" distR="0" wp14:anchorId="79908E41" wp14:editId="1EAC9FF2">
            <wp:extent cx="4572000" cy="2743200"/>
            <wp:effectExtent l="0" t="0" r="0" b="0"/>
            <wp:docPr id="38" name="Chart 38">
              <a:extLst xmlns:a="http://schemas.openxmlformats.org/drawingml/2006/main">
                <a:ext uri="{FF2B5EF4-FFF2-40B4-BE49-F238E27FC236}">
                  <a16:creationId xmlns:a16="http://schemas.microsoft.com/office/drawing/2014/main" id="{F0D338B1-9EE8-44B5-B85E-89F13AA14C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5766034" w14:textId="7AD64487" w:rsidR="009D3E2D" w:rsidRPr="009D3E2D" w:rsidRDefault="009D3E2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 xml:space="preserve">Figure </w:t>
      </w:r>
      <w:r w:rsidR="00FF7FAE">
        <w:rPr>
          <w:rFonts w:ascii="Times New Roman" w:eastAsia="Times New Roman" w:hAnsi="Times New Roman" w:cs="Times New Roman"/>
          <w:sz w:val="24"/>
          <w:szCs w:val="24"/>
          <w:lang w:eastAsia="en-IN"/>
        </w:rPr>
        <w:t>5</w:t>
      </w:r>
      <w:r w:rsidRPr="009D3E2D">
        <w:rPr>
          <w:rFonts w:ascii="Times New Roman" w:eastAsia="Times New Roman" w:hAnsi="Times New Roman" w:cs="Times New Roman"/>
          <w:sz w:val="24"/>
          <w:szCs w:val="24"/>
          <w:lang w:eastAsia="en-IN"/>
        </w:rPr>
        <w:t xml:space="preserve"> illustrates seasonal fluctuations in temperature and dissolved oxygen in the reservoir. Temperature increased significantly during summer months, while dissolved oxygen concentrations decreased due to increased metabolic activity and reduced oxygen solubility at higher temperatures.</w:t>
      </w:r>
    </w:p>
    <w:p w14:paraId="44F0BC4B" w14:textId="43C10BE0" w:rsidR="009D3E2D" w:rsidRPr="009D3E2D" w:rsidRDefault="009D3E2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The inverse relationship between temperature and dissolved oxygen is a typical characteristic of freshwater ecosystems.</w:t>
      </w:r>
    </w:p>
    <w:p w14:paraId="5DB7ED14" w14:textId="420404F3" w:rsidR="009D3E2D" w:rsidRDefault="009D3E2D" w:rsidP="00A00ABE">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9D3E2D">
        <w:rPr>
          <w:rFonts w:ascii="Times New Roman" w:eastAsia="Times New Roman" w:hAnsi="Times New Roman" w:cs="Times New Roman"/>
          <w:b/>
          <w:bCs/>
          <w:sz w:val="24"/>
          <w:szCs w:val="24"/>
          <w:lang w:eastAsia="en-IN"/>
        </w:rPr>
        <w:t>Figure 6 Machine Learning Workflow Diagram</w:t>
      </w:r>
    </w:p>
    <w:p w14:paraId="29B85270" w14:textId="25C9EE27" w:rsidR="00882DD6" w:rsidRPr="00A00ABE" w:rsidRDefault="00882DD6" w:rsidP="00A00ABE">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5E727C">
        <w:rPr>
          <w:rFonts w:ascii="Times New Roman" w:eastAsia="Times New Roman" w:hAnsi="Times New Roman" w:cs="Times New Roman"/>
          <w:noProof/>
          <w:sz w:val="24"/>
          <w:szCs w:val="24"/>
          <w:lang w:eastAsia="en-IN"/>
        </w:rPr>
        <w:lastRenderedPageBreak/>
        <w:drawing>
          <wp:inline distT="0" distB="0" distL="0" distR="0" wp14:anchorId="4EC203BE" wp14:editId="341897BD">
            <wp:extent cx="5731510" cy="2499995"/>
            <wp:effectExtent l="0" t="0" r="2540" b="0"/>
            <wp:docPr id="15" name="Picture 1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2499995"/>
                    </a:xfrm>
                    <a:prstGeom prst="rect">
                      <a:avLst/>
                    </a:prstGeom>
                    <a:noFill/>
                    <a:ln>
                      <a:noFill/>
                    </a:ln>
                  </pic:spPr>
                </pic:pic>
              </a:graphicData>
            </a:graphic>
          </wp:inline>
        </w:drawing>
      </w:r>
    </w:p>
    <w:p w14:paraId="740F0CB4" w14:textId="7793953C" w:rsidR="009D3E2D" w:rsidRPr="009D3E2D" w:rsidRDefault="009D3E2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Figure 6 presents the workflow used in the machine learning analysis. The process involved several stages:</w:t>
      </w:r>
    </w:p>
    <w:p w14:paraId="00673993" w14:textId="77777777" w:rsidR="009D3E2D" w:rsidRPr="009D3E2D" w:rsidRDefault="009D3E2D" w:rsidP="00BB1EBC">
      <w:pPr>
        <w:numPr>
          <w:ilvl w:val="0"/>
          <w:numId w:val="16"/>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Data collection (limnological parameters and phytoplankton data)</w:t>
      </w:r>
    </w:p>
    <w:p w14:paraId="13186A56" w14:textId="77777777" w:rsidR="009D3E2D" w:rsidRPr="009D3E2D" w:rsidRDefault="009D3E2D" w:rsidP="00BB1EBC">
      <w:pPr>
        <w:numPr>
          <w:ilvl w:val="0"/>
          <w:numId w:val="16"/>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Data preprocessing and normalization</w:t>
      </w:r>
    </w:p>
    <w:p w14:paraId="2AB425FC" w14:textId="77777777" w:rsidR="009D3E2D" w:rsidRPr="009D3E2D" w:rsidRDefault="009D3E2D" w:rsidP="00BB1EBC">
      <w:pPr>
        <w:numPr>
          <w:ilvl w:val="0"/>
          <w:numId w:val="16"/>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Feature selection</w:t>
      </w:r>
    </w:p>
    <w:p w14:paraId="5C21F3FE" w14:textId="77777777" w:rsidR="009D3E2D" w:rsidRPr="009D3E2D" w:rsidRDefault="009D3E2D" w:rsidP="00BB1EBC">
      <w:pPr>
        <w:numPr>
          <w:ilvl w:val="0"/>
          <w:numId w:val="16"/>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Model training using machine learning algorithms</w:t>
      </w:r>
    </w:p>
    <w:p w14:paraId="1D9A3336" w14:textId="77777777" w:rsidR="009D3E2D" w:rsidRPr="009D3E2D" w:rsidRDefault="009D3E2D" w:rsidP="00BB1EBC">
      <w:pPr>
        <w:numPr>
          <w:ilvl w:val="0"/>
          <w:numId w:val="16"/>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Model evaluation and prediction</w:t>
      </w:r>
    </w:p>
    <w:p w14:paraId="2F7E1A95" w14:textId="4B4B143D" w:rsidR="009D3E2D" w:rsidRPr="009D3E2D" w:rsidRDefault="009D3E2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This workflow helps integrate ecological data with computational models to predict trophic status.</w:t>
      </w:r>
    </w:p>
    <w:p w14:paraId="13CE9ED9" w14:textId="64E6C741" w:rsidR="009D3E2D" w:rsidRPr="009D3E2D" w:rsidRDefault="009D3E2D" w:rsidP="00BB1EBC">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9D3E2D">
        <w:rPr>
          <w:rFonts w:ascii="Times New Roman" w:eastAsia="Times New Roman" w:hAnsi="Times New Roman" w:cs="Times New Roman"/>
          <w:b/>
          <w:bCs/>
          <w:sz w:val="24"/>
          <w:szCs w:val="24"/>
          <w:lang w:eastAsia="en-IN"/>
        </w:rPr>
        <w:t xml:space="preserve">Figure </w:t>
      </w:r>
      <w:r w:rsidR="00FF7FAE">
        <w:rPr>
          <w:rFonts w:ascii="Times New Roman" w:eastAsia="Times New Roman" w:hAnsi="Times New Roman" w:cs="Times New Roman"/>
          <w:b/>
          <w:bCs/>
          <w:sz w:val="24"/>
          <w:szCs w:val="24"/>
          <w:lang w:eastAsia="en-IN"/>
        </w:rPr>
        <w:t>7</w:t>
      </w:r>
      <w:r w:rsidRPr="009D3E2D">
        <w:rPr>
          <w:rFonts w:ascii="Times New Roman" w:eastAsia="Times New Roman" w:hAnsi="Times New Roman" w:cs="Times New Roman"/>
          <w:b/>
          <w:bCs/>
          <w:sz w:val="24"/>
          <w:szCs w:val="24"/>
          <w:lang w:eastAsia="en-IN"/>
        </w:rPr>
        <w:t xml:space="preserve"> Machine Learning Model Accuracy Comparison</w:t>
      </w:r>
    </w:p>
    <w:p w14:paraId="423F15EF" w14:textId="1E38B2DB" w:rsidR="009D3E2D" w:rsidRPr="009D3E2D" w:rsidRDefault="009D3E2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 xml:space="preserve">Figure </w:t>
      </w:r>
      <w:r w:rsidR="00FF7FAE">
        <w:rPr>
          <w:rFonts w:ascii="Times New Roman" w:eastAsia="Times New Roman" w:hAnsi="Times New Roman" w:cs="Times New Roman"/>
          <w:sz w:val="24"/>
          <w:szCs w:val="24"/>
          <w:lang w:eastAsia="en-IN"/>
        </w:rPr>
        <w:t>7</w:t>
      </w:r>
      <w:r w:rsidRPr="009D3E2D">
        <w:rPr>
          <w:rFonts w:ascii="Times New Roman" w:eastAsia="Times New Roman" w:hAnsi="Times New Roman" w:cs="Times New Roman"/>
          <w:sz w:val="24"/>
          <w:szCs w:val="24"/>
          <w:lang w:eastAsia="en-IN"/>
        </w:rPr>
        <w:t xml:space="preserve"> compares the prediction accuracy of different machine learning models used in the study. The Random Forest model achieved the highest accuracy, followed by Artificial Neural Networks and Support Vector Machines.</w:t>
      </w:r>
    </w:p>
    <w:p w14:paraId="7524356B" w14:textId="5D9015D4" w:rsidR="009D3E2D" w:rsidRPr="009D3E2D" w:rsidRDefault="009D3E2D" w:rsidP="00A00AB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This result highlights the effectiveness of ensemble learning techniques for environmental prediction tasks.</w:t>
      </w:r>
    </w:p>
    <w:p w14:paraId="09224EA6" w14:textId="77777777" w:rsidR="009D3E2D" w:rsidRPr="009D3E2D" w:rsidRDefault="009D3E2D" w:rsidP="00BB1EBC">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en-IN"/>
        </w:rPr>
      </w:pPr>
      <w:r w:rsidRPr="009D3E2D">
        <w:rPr>
          <w:rFonts w:ascii="Times New Roman" w:eastAsia="Times New Roman" w:hAnsi="Times New Roman" w:cs="Times New Roman"/>
          <w:b/>
          <w:bCs/>
          <w:kern w:val="36"/>
          <w:sz w:val="24"/>
          <w:szCs w:val="24"/>
          <w:lang w:eastAsia="en-IN"/>
        </w:rPr>
        <w:t>Tables</w:t>
      </w:r>
    </w:p>
    <w:p w14:paraId="042FE4B0" w14:textId="35670BE6" w:rsidR="009D3E2D" w:rsidRDefault="009D3E2D" w:rsidP="00BB1EBC">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9D3E2D">
        <w:rPr>
          <w:rFonts w:ascii="Times New Roman" w:eastAsia="Times New Roman" w:hAnsi="Times New Roman" w:cs="Times New Roman"/>
          <w:b/>
          <w:bCs/>
          <w:sz w:val="24"/>
          <w:szCs w:val="24"/>
          <w:lang w:eastAsia="en-IN"/>
        </w:rPr>
        <w:t xml:space="preserve">Table </w:t>
      </w:r>
      <w:r w:rsidR="00CD24A1">
        <w:rPr>
          <w:rFonts w:ascii="Times New Roman" w:eastAsia="Times New Roman" w:hAnsi="Times New Roman" w:cs="Times New Roman"/>
          <w:b/>
          <w:bCs/>
          <w:sz w:val="24"/>
          <w:szCs w:val="24"/>
          <w:lang w:eastAsia="en-IN"/>
        </w:rPr>
        <w:t>5</w:t>
      </w:r>
      <w:r w:rsidRPr="009D3E2D">
        <w:rPr>
          <w:rFonts w:ascii="Times New Roman" w:eastAsia="Times New Roman" w:hAnsi="Times New Roman" w:cs="Times New Roman"/>
          <w:b/>
          <w:bCs/>
          <w:sz w:val="24"/>
          <w:szCs w:val="24"/>
          <w:lang w:eastAsia="en-IN"/>
        </w:rPr>
        <w:t xml:space="preserve"> Water Quality Parameters of </w:t>
      </w:r>
      <w:proofErr w:type="spellStart"/>
      <w:r w:rsidRPr="009D3E2D">
        <w:rPr>
          <w:rFonts w:ascii="Times New Roman" w:eastAsia="Times New Roman" w:hAnsi="Times New Roman" w:cs="Times New Roman"/>
          <w:b/>
          <w:bCs/>
          <w:sz w:val="24"/>
          <w:szCs w:val="24"/>
          <w:lang w:eastAsia="en-IN"/>
        </w:rPr>
        <w:t>Kotpally</w:t>
      </w:r>
      <w:proofErr w:type="spellEnd"/>
      <w:r w:rsidRPr="009D3E2D">
        <w:rPr>
          <w:rFonts w:ascii="Times New Roman" w:eastAsia="Times New Roman" w:hAnsi="Times New Roman" w:cs="Times New Roman"/>
          <w:b/>
          <w:bCs/>
          <w:sz w:val="24"/>
          <w:szCs w:val="24"/>
          <w:lang w:eastAsia="en-IN"/>
        </w:rPr>
        <w:t xml:space="preserve"> Reservoir</w:t>
      </w:r>
    </w:p>
    <w:tbl>
      <w:tblPr>
        <w:tblStyle w:val="TableGrid"/>
        <w:tblW w:w="7515" w:type="dxa"/>
        <w:tblLook w:val="04A0" w:firstRow="1" w:lastRow="0" w:firstColumn="1" w:lastColumn="0" w:noHBand="0" w:noVBand="1"/>
      </w:tblPr>
      <w:tblGrid>
        <w:gridCol w:w="1503"/>
        <w:gridCol w:w="1503"/>
        <w:gridCol w:w="1503"/>
        <w:gridCol w:w="1503"/>
        <w:gridCol w:w="1503"/>
      </w:tblGrid>
      <w:tr w:rsidR="00C6336B" w14:paraId="7C78B3C7" w14:textId="77777777" w:rsidTr="00C6336B">
        <w:trPr>
          <w:trHeight w:val="252"/>
        </w:trPr>
        <w:tc>
          <w:tcPr>
            <w:tcW w:w="1503" w:type="dxa"/>
            <w:vAlign w:val="center"/>
          </w:tcPr>
          <w:p w14:paraId="14C3A375" w14:textId="470F3794" w:rsidR="00C6336B" w:rsidRDefault="00C6336B" w:rsidP="00BB1EBC">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9D3E2D">
              <w:rPr>
                <w:rFonts w:ascii="Times New Roman" w:eastAsia="Times New Roman" w:hAnsi="Times New Roman" w:cs="Times New Roman"/>
                <w:b/>
                <w:bCs/>
                <w:sz w:val="24"/>
                <w:szCs w:val="24"/>
                <w:lang w:eastAsia="en-IN"/>
              </w:rPr>
              <w:lastRenderedPageBreak/>
              <w:t>Parameter</w:t>
            </w:r>
          </w:p>
        </w:tc>
        <w:tc>
          <w:tcPr>
            <w:tcW w:w="1503" w:type="dxa"/>
            <w:vAlign w:val="center"/>
          </w:tcPr>
          <w:p w14:paraId="3062844A" w14:textId="2DD4030E" w:rsidR="00C6336B" w:rsidRDefault="00C6336B" w:rsidP="00BB1EBC">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9D3E2D">
              <w:rPr>
                <w:rFonts w:ascii="Times New Roman" w:eastAsia="Times New Roman" w:hAnsi="Times New Roman" w:cs="Times New Roman"/>
                <w:b/>
                <w:bCs/>
                <w:sz w:val="24"/>
                <w:szCs w:val="24"/>
                <w:lang w:eastAsia="en-IN"/>
              </w:rPr>
              <w:t>Unit</w:t>
            </w:r>
          </w:p>
        </w:tc>
        <w:tc>
          <w:tcPr>
            <w:tcW w:w="1503" w:type="dxa"/>
            <w:vAlign w:val="center"/>
          </w:tcPr>
          <w:p w14:paraId="4E79DAFB" w14:textId="39860535" w:rsidR="00C6336B" w:rsidRDefault="00C6336B" w:rsidP="00BB1EBC">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9D3E2D">
              <w:rPr>
                <w:rFonts w:ascii="Times New Roman" w:eastAsia="Times New Roman" w:hAnsi="Times New Roman" w:cs="Times New Roman"/>
                <w:b/>
                <w:bCs/>
                <w:sz w:val="24"/>
                <w:szCs w:val="24"/>
                <w:lang w:eastAsia="en-IN"/>
              </w:rPr>
              <w:t>Winter</w:t>
            </w:r>
          </w:p>
        </w:tc>
        <w:tc>
          <w:tcPr>
            <w:tcW w:w="1503" w:type="dxa"/>
            <w:vAlign w:val="center"/>
          </w:tcPr>
          <w:p w14:paraId="33D2AFB1" w14:textId="658282EA" w:rsidR="00C6336B" w:rsidRDefault="00C6336B" w:rsidP="00BB1EBC">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9D3E2D">
              <w:rPr>
                <w:rFonts w:ascii="Times New Roman" w:eastAsia="Times New Roman" w:hAnsi="Times New Roman" w:cs="Times New Roman"/>
                <w:b/>
                <w:bCs/>
                <w:sz w:val="24"/>
                <w:szCs w:val="24"/>
                <w:lang w:eastAsia="en-IN"/>
              </w:rPr>
              <w:t>Summer</w:t>
            </w:r>
          </w:p>
        </w:tc>
        <w:tc>
          <w:tcPr>
            <w:tcW w:w="1503" w:type="dxa"/>
            <w:vAlign w:val="center"/>
          </w:tcPr>
          <w:p w14:paraId="34AAF158" w14:textId="5AE541D8" w:rsidR="00C6336B" w:rsidRDefault="00C6336B" w:rsidP="00BB1EBC">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9D3E2D">
              <w:rPr>
                <w:rFonts w:ascii="Times New Roman" w:eastAsia="Times New Roman" w:hAnsi="Times New Roman" w:cs="Times New Roman"/>
                <w:b/>
                <w:bCs/>
                <w:sz w:val="24"/>
                <w:szCs w:val="24"/>
                <w:lang w:eastAsia="en-IN"/>
              </w:rPr>
              <w:t>Monsoon</w:t>
            </w:r>
          </w:p>
        </w:tc>
      </w:tr>
      <w:tr w:rsidR="00C6336B" w14:paraId="0E775D22" w14:textId="77777777" w:rsidTr="00C6336B">
        <w:trPr>
          <w:trHeight w:val="252"/>
        </w:trPr>
        <w:tc>
          <w:tcPr>
            <w:tcW w:w="1503" w:type="dxa"/>
            <w:vAlign w:val="center"/>
          </w:tcPr>
          <w:p w14:paraId="2B507352" w14:textId="143C9894" w:rsidR="00C6336B" w:rsidRPr="009D3E2D" w:rsidRDefault="00C6336B" w:rsidP="00BB1EBC">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9D3E2D">
              <w:rPr>
                <w:rFonts w:ascii="Times New Roman" w:eastAsia="Times New Roman" w:hAnsi="Times New Roman" w:cs="Times New Roman"/>
                <w:sz w:val="24"/>
                <w:szCs w:val="24"/>
                <w:lang w:eastAsia="en-IN"/>
              </w:rPr>
              <w:t>Temperature</w:t>
            </w:r>
          </w:p>
        </w:tc>
        <w:tc>
          <w:tcPr>
            <w:tcW w:w="1503" w:type="dxa"/>
            <w:vAlign w:val="center"/>
          </w:tcPr>
          <w:p w14:paraId="4864D68C" w14:textId="73B61438" w:rsidR="00C6336B" w:rsidRPr="009D3E2D" w:rsidRDefault="00C6336B" w:rsidP="00BB1EBC">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9D3E2D">
              <w:rPr>
                <w:rFonts w:ascii="Times New Roman" w:eastAsia="Times New Roman" w:hAnsi="Times New Roman" w:cs="Times New Roman"/>
                <w:sz w:val="24"/>
                <w:szCs w:val="24"/>
                <w:lang w:eastAsia="en-IN"/>
              </w:rPr>
              <w:t>°C</w:t>
            </w:r>
          </w:p>
        </w:tc>
        <w:tc>
          <w:tcPr>
            <w:tcW w:w="1503" w:type="dxa"/>
            <w:vAlign w:val="center"/>
          </w:tcPr>
          <w:p w14:paraId="5F8796D1" w14:textId="2B3299DD" w:rsidR="00C6336B" w:rsidRPr="009D3E2D" w:rsidRDefault="00C6336B" w:rsidP="00BB1EBC">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9D3E2D">
              <w:rPr>
                <w:rFonts w:ascii="Times New Roman" w:eastAsia="Times New Roman" w:hAnsi="Times New Roman" w:cs="Times New Roman"/>
                <w:sz w:val="24"/>
                <w:szCs w:val="24"/>
                <w:lang w:eastAsia="en-IN"/>
              </w:rPr>
              <w:t>22.4</w:t>
            </w:r>
          </w:p>
        </w:tc>
        <w:tc>
          <w:tcPr>
            <w:tcW w:w="1503" w:type="dxa"/>
            <w:vAlign w:val="center"/>
          </w:tcPr>
          <w:p w14:paraId="6FB1C795" w14:textId="4F456DF4" w:rsidR="00C6336B" w:rsidRPr="009D3E2D" w:rsidRDefault="00C6336B" w:rsidP="00BB1EBC">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9D3E2D">
              <w:rPr>
                <w:rFonts w:ascii="Times New Roman" w:eastAsia="Times New Roman" w:hAnsi="Times New Roman" w:cs="Times New Roman"/>
                <w:sz w:val="24"/>
                <w:szCs w:val="24"/>
                <w:lang w:eastAsia="en-IN"/>
              </w:rPr>
              <w:t>33.8</w:t>
            </w:r>
          </w:p>
        </w:tc>
        <w:tc>
          <w:tcPr>
            <w:tcW w:w="1503" w:type="dxa"/>
            <w:vAlign w:val="center"/>
          </w:tcPr>
          <w:p w14:paraId="1242A268" w14:textId="35980C19" w:rsidR="00C6336B" w:rsidRPr="009D3E2D" w:rsidRDefault="00C6336B" w:rsidP="00BB1EBC">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9D3E2D">
              <w:rPr>
                <w:rFonts w:ascii="Times New Roman" w:eastAsia="Times New Roman" w:hAnsi="Times New Roman" w:cs="Times New Roman"/>
                <w:sz w:val="24"/>
                <w:szCs w:val="24"/>
                <w:lang w:eastAsia="en-IN"/>
              </w:rPr>
              <w:t>27.5</w:t>
            </w:r>
          </w:p>
        </w:tc>
      </w:tr>
      <w:tr w:rsidR="00C6336B" w14:paraId="6BA61508" w14:textId="77777777" w:rsidTr="00C6336B">
        <w:trPr>
          <w:trHeight w:val="252"/>
        </w:trPr>
        <w:tc>
          <w:tcPr>
            <w:tcW w:w="1503" w:type="dxa"/>
            <w:vAlign w:val="center"/>
          </w:tcPr>
          <w:p w14:paraId="510619A7" w14:textId="5D81BD7B" w:rsidR="00C6336B" w:rsidRPr="009D3E2D" w:rsidRDefault="00C6336B"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pH</w:t>
            </w:r>
          </w:p>
        </w:tc>
        <w:tc>
          <w:tcPr>
            <w:tcW w:w="1503" w:type="dxa"/>
            <w:vAlign w:val="center"/>
          </w:tcPr>
          <w:p w14:paraId="7212F787" w14:textId="554EEEF9" w:rsidR="00C6336B" w:rsidRPr="009D3E2D" w:rsidRDefault="00C6336B"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w:t>
            </w:r>
          </w:p>
        </w:tc>
        <w:tc>
          <w:tcPr>
            <w:tcW w:w="1503" w:type="dxa"/>
            <w:vAlign w:val="center"/>
          </w:tcPr>
          <w:p w14:paraId="5CAEEA68" w14:textId="5032B7BF" w:rsidR="00C6336B" w:rsidRPr="009D3E2D" w:rsidRDefault="00C6336B"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7.4</w:t>
            </w:r>
          </w:p>
        </w:tc>
        <w:tc>
          <w:tcPr>
            <w:tcW w:w="1503" w:type="dxa"/>
            <w:vAlign w:val="center"/>
          </w:tcPr>
          <w:p w14:paraId="3D637511" w14:textId="44C00CCD" w:rsidR="00C6336B" w:rsidRPr="009D3E2D" w:rsidRDefault="00C6336B"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8.2</w:t>
            </w:r>
          </w:p>
        </w:tc>
        <w:tc>
          <w:tcPr>
            <w:tcW w:w="1503" w:type="dxa"/>
            <w:vAlign w:val="center"/>
          </w:tcPr>
          <w:p w14:paraId="2B8EEC7C" w14:textId="16B7FC53" w:rsidR="00C6336B" w:rsidRPr="009D3E2D" w:rsidRDefault="00C6336B"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7.8</w:t>
            </w:r>
          </w:p>
        </w:tc>
      </w:tr>
      <w:tr w:rsidR="00C6336B" w14:paraId="44807C4C" w14:textId="77777777" w:rsidTr="00C6336B">
        <w:trPr>
          <w:trHeight w:val="252"/>
        </w:trPr>
        <w:tc>
          <w:tcPr>
            <w:tcW w:w="1503" w:type="dxa"/>
            <w:vAlign w:val="center"/>
          </w:tcPr>
          <w:p w14:paraId="46079A76" w14:textId="102D4362" w:rsidR="00C6336B" w:rsidRPr="009D3E2D" w:rsidRDefault="00C6336B"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Dissolved Oxygen</w:t>
            </w:r>
          </w:p>
        </w:tc>
        <w:tc>
          <w:tcPr>
            <w:tcW w:w="1503" w:type="dxa"/>
            <w:vAlign w:val="center"/>
          </w:tcPr>
          <w:p w14:paraId="2CBD6AD3" w14:textId="337EBCED" w:rsidR="00C6336B" w:rsidRPr="009D3E2D" w:rsidRDefault="00C6336B"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mg/L</w:t>
            </w:r>
          </w:p>
        </w:tc>
        <w:tc>
          <w:tcPr>
            <w:tcW w:w="1503" w:type="dxa"/>
            <w:vAlign w:val="center"/>
          </w:tcPr>
          <w:p w14:paraId="79B7DED7" w14:textId="20229E06" w:rsidR="00C6336B" w:rsidRPr="009D3E2D" w:rsidRDefault="00C6336B"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7.6</w:t>
            </w:r>
          </w:p>
        </w:tc>
        <w:tc>
          <w:tcPr>
            <w:tcW w:w="1503" w:type="dxa"/>
            <w:vAlign w:val="center"/>
          </w:tcPr>
          <w:p w14:paraId="1DECD52B" w14:textId="6B15226B" w:rsidR="00C6336B" w:rsidRPr="009D3E2D" w:rsidRDefault="00C6336B"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5.3</w:t>
            </w:r>
          </w:p>
        </w:tc>
        <w:tc>
          <w:tcPr>
            <w:tcW w:w="1503" w:type="dxa"/>
            <w:vAlign w:val="center"/>
          </w:tcPr>
          <w:p w14:paraId="21BA9E3A" w14:textId="24D665B3" w:rsidR="00C6336B" w:rsidRPr="009D3E2D" w:rsidRDefault="00C6336B"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6.4</w:t>
            </w:r>
          </w:p>
        </w:tc>
      </w:tr>
      <w:tr w:rsidR="00C6336B" w14:paraId="140D7D47" w14:textId="77777777" w:rsidTr="00C6336B">
        <w:trPr>
          <w:trHeight w:val="252"/>
        </w:trPr>
        <w:tc>
          <w:tcPr>
            <w:tcW w:w="1503" w:type="dxa"/>
            <w:vAlign w:val="center"/>
          </w:tcPr>
          <w:p w14:paraId="55E74F95" w14:textId="648BD2B3" w:rsidR="00C6336B" w:rsidRPr="009D3E2D" w:rsidRDefault="00C6336B"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BOD</w:t>
            </w:r>
          </w:p>
        </w:tc>
        <w:tc>
          <w:tcPr>
            <w:tcW w:w="1503" w:type="dxa"/>
            <w:vAlign w:val="center"/>
          </w:tcPr>
          <w:p w14:paraId="25E4E038" w14:textId="631F08EC" w:rsidR="00C6336B" w:rsidRPr="009D3E2D" w:rsidRDefault="00C6336B"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mg/L</w:t>
            </w:r>
          </w:p>
        </w:tc>
        <w:tc>
          <w:tcPr>
            <w:tcW w:w="1503" w:type="dxa"/>
            <w:vAlign w:val="center"/>
          </w:tcPr>
          <w:p w14:paraId="587A9D0F" w14:textId="38A63527" w:rsidR="00C6336B" w:rsidRPr="009D3E2D" w:rsidRDefault="00C6336B"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2.1</w:t>
            </w:r>
          </w:p>
        </w:tc>
        <w:tc>
          <w:tcPr>
            <w:tcW w:w="1503" w:type="dxa"/>
            <w:vAlign w:val="center"/>
          </w:tcPr>
          <w:p w14:paraId="72E824AF" w14:textId="5B51F6D4" w:rsidR="00C6336B" w:rsidRPr="009D3E2D" w:rsidRDefault="00C6336B"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3.8</w:t>
            </w:r>
          </w:p>
        </w:tc>
        <w:tc>
          <w:tcPr>
            <w:tcW w:w="1503" w:type="dxa"/>
            <w:vAlign w:val="center"/>
          </w:tcPr>
          <w:p w14:paraId="4ED43E6A" w14:textId="7276FECD" w:rsidR="00C6336B" w:rsidRPr="009D3E2D" w:rsidRDefault="00C6336B"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3.0</w:t>
            </w:r>
          </w:p>
        </w:tc>
      </w:tr>
      <w:tr w:rsidR="00C6336B" w14:paraId="2123F0F6" w14:textId="77777777" w:rsidTr="00C6336B">
        <w:trPr>
          <w:trHeight w:val="252"/>
        </w:trPr>
        <w:tc>
          <w:tcPr>
            <w:tcW w:w="1503" w:type="dxa"/>
            <w:vAlign w:val="center"/>
          </w:tcPr>
          <w:p w14:paraId="15D21060" w14:textId="7ADFDFEF" w:rsidR="00C6336B" w:rsidRPr="009D3E2D" w:rsidRDefault="00C6336B"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Nitrate</w:t>
            </w:r>
          </w:p>
        </w:tc>
        <w:tc>
          <w:tcPr>
            <w:tcW w:w="1503" w:type="dxa"/>
            <w:vAlign w:val="center"/>
          </w:tcPr>
          <w:p w14:paraId="36CAE8E6" w14:textId="799EDA78" w:rsidR="00C6336B" w:rsidRPr="009D3E2D" w:rsidRDefault="00C6336B"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mg/L</w:t>
            </w:r>
          </w:p>
        </w:tc>
        <w:tc>
          <w:tcPr>
            <w:tcW w:w="1503" w:type="dxa"/>
            <w:vAlign w:val="center"/>
          </w:tcPr>
          <w:p w14:paraId="215597F9" w14:textId="5E30172B" w:rsidR="00C6336B" w:rsidRPr="009D3E2D" w:rsidRDefault="00C6336B"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0.48</w:t>
            </w:r>
          </w:p>
        </w:tc>
        <w:tc>
          <w:tcPr>
            <w:tcW w:w="1503" w:type="dxa"/>
            <w:vAlign w:val="center"/>
          </w:tcPr>
          <w:p w14:paraId="6BB3EBD1" w14:textId="75F5A3E9" w:rsidR="00C6336B" w:rsidRPr="009D3E2D" w:rsidRDefault="00C6336B"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0.72</w:t>
            </w:r>
          </w:p>
        </w:tc>
        <w:tc>
          <w:tcPr>
            <w:tcW w:w="1503" w:type="dxa"/>
            <w:vAlign w:val="center"/>
          </w:tcPr>
          <w:p w14:paraId="706AB240" w14:textId="6B9E12EF" w:rsidR="00C6336B" w:rsidRPr="009D3E2D" w:rsidRDefault="00C6336B"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1.25</w:t>
            </w:r>
          </w:p>
        </w:tc>
      </w:tr>
      <w:tr w:rsidR="00C6336B" w14:paraId="59CB23CB" w14:textId="77777777" w:rsidTr="00C6336B">
        <w:trPr>
          <w:trHeight w:val="252"/>
        </w:trPr>
        <w:tc>
          <w:tcPr>
            <w:tcW w:w="1503" w:type="dxa"/>
            <w:vAlign w:val="center"/>
          </w:tcPr>
          <w:p w14:paraId="05582C4F" w14:textId="61291024" w:rsidR="00C6336B" w:rsidRPr="009D3E2D" w:rsidRDefault="00C6336B"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Phosphate</w:t>
            </w:r>
          </w:p>
        </w:tc>
        <w:tc>
          <w:tcPr>
            <w:tcW w:w="1503" w:type="dxa"/>
            <w:vAlign w:val="center"/>
          </w:tcPr>
          <w:p w14:paraId="22A8947D" w14:textId="7F5D1668" w:rsidR="00C6336B" w:rsidRPr="009D3E2D" w:rsidRDefault="00C6336B"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mg/L</w:t>
            </w:r>
          </w:p>
        </w:tc>
        <w:tc>
          <w:tcPr>
            <w:tcW w:w="1503" w:type="dxa"/>
            <w:vAlign w:val="center"/>
          </w:tcPr>
          <w:p w14:paraId="38554552" w14:textId="3131921D" w:rsidR="00C6336B" w:rsidRPr="009D3E2D" w:rsidRDefault="00C6336B"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0.03</w:t>
            </w:r>
          </w:p>
        </w:tc>
        <w:tc>
          <w:tcPr>
            <w:tcW w:w="1503" w:type="dxa"/>
            <w:vAlign w:val="center"/>
          </w:tcPr>
          <w:p w14:paraId="3A512053" w14:textId="55BF1F9A" w:rsidR="00C6336B" w:rsidRPr="009D3E2D" w:rsidRDefault="00C6336B"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0.05</w:t>
            </w:r>
          </w:p>
        </w:tc>
        <w:tc>
          <w:tcPr>
            <w:tcW w:w="1503" w:type="dxa"/>
            <w:vAlign w:val="center"/>
          </w:tcPr>
          <w:p w14:paraId="5551D935" w14:textId="202C3236" w:rsidR="00C6336B" w:rsidRPr="009D3E2D" w:rsidRDefault="00C6336B"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0.09</w:t>
            </w:r>
          </w:p>
        </w:tc>
      </w:tr>
      <w:tr w:rsidR="00C6336B" w14:paraId="44A3FEAC" w14:textId="77777777" w:rsidTr="00C6336B">
        <w:trPr>
          <w:trHeight w:val="252"/>
        </w:trPr>
        <w:tc>
          <w:tcPr>
            <w:tcW w:w="1503" w:type="dxa"/>
            <w:vAlign w:val="center"/>
          </w:tcPr>
          <w:p w14:paraId="484AEA4E" w14:textId="626DE439" w:rsidR="00C6336B" w:rsidRPr="009D3E2D" w:rsidRDefault="00C6336B"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Turbidity</w:t>
            </w:r>
          </w:p>
        </w:tc>
        <w:tc>
          <w:tcPr>
            <w:tcW w:w="1503" w:type="dxa"/>
            <w:vAlign w:val="center"/>
          </w:tcPr>
          <w:p w14:paraId="7D0B82E1" w14:textId="2CD95372" w:rsidR="00C6336B" w:rsidRPr="009D3E2D" w:rsidRDefault="00C6336B"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NTU</w:t>
            </w:r>
          </w:p>
        </w:tc>
        <w:tc>
          <w:tcPr>
            <w:tcW w:w="1503" w:type="dxa"/>
            <w:vAlign w:val="center"/>
          </w:tcPr>
          <w:p w14:paraId="3DA8FC0E" w14:textId="2863161B" w:rsidR="00C6336B" w:rsidRPr="009D3E2D" w:rsidRDefault="00C6336B"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12</w:t>
            </w:r>
          </w:p>
        </w:tc>
        <w:tc>
          <w:tcPr>
            <w:tcW w:w="1503" w:type="dxa"/>
            <w:vAlign w:val="center"/>
          </w:tcPr>
          <w:p w14:paraId="16DA8AEB" w14:textId="7C53CD8A" w:rsidR="00C6336B" w:rsidRPr="009D3E2D" w:rsidRDefault="00C6336B"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18</w:t>
            </w:r>
          </w:p>
        </w:tc>
        <w:tc>
          <w:tcPr>
            <w:tcW w:w="1503" w:type="dxa"/>
            <w:vAlign w:val="center"/>
          </w:tcPr>
          <w:p w14:paraId="59100713" w14:textId="36012F21" w:rsidR="00C6336B" w:rsidRPr="009D3E2D" w:rsidRDefault="00C6336B"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28</w:t>
            </w:r>
          </w:p>
        </w:tc>
      </w:tr>
      <w:tr w:rsidR="00C6336B" w14:paraId="6AD9917C" w14:textId="77777777" w:rsidTr="00C6336B">
        <w:trPr>
          <w:trHeight w:val="252"/>
        </w:trPr>
        <w:tc>
          <w:tcPr>
            <w:tcW w:w="1503" w:type="dxa"/>
            <w:vAlign w:val="center"/>
          </w:tcPr>
          <w:p w14:paraId="0D9EF19F" w14:textId="37AF2913" w:rsidR="00C6336B" w:rsidRPr="009D3E2D" w:rsidRDefault="00C6336B"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Chlorophyll-a</w:t>
            </w:r>
          </w:p>
        </w:tc>
        <w:tc>
          <w:tcPr>
            <w:tcW w:w="1503" w:type="dxa"/>
            <w:vAlign w:val="center"/>
          </w:tcPr>
          <w:p w14:paraId="25A81969" w14:textId="55C78E73" w:rsidR="00C6336B" w:rsidRPr="009D3E2D" w:rsidRDefault="00C6336B"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µg/L</w:t>
            </w:r>
          </w:p>
        </w:tc>
        <w:tc>
          <w:tcPr>
            <w:tcW w:w="1503" w:type="dxa"/>
            <w:vAlign w:val="center"/>
          </w:tcPr>
          <w:p w14:paraId="3CE390E9" w14:textId="63B0B5BB" w:rsidR="00C6336B" w:rsidRPr="009D3E2D" w:rsidRDefault="00C6336B"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7.5</w:t>
            </w:r>
          </w:p>
        </w:tc>
        <w:tc>
          <w:tcPr>
            <w:tcW w:w="1503" w:type="dxa"/>
            <w:vAlign w:val="center"/>
          </w:tcPr>
          <w:p w14:paraId="013B043A" w14:textId="0D38AC9D" w:rsidR="00C6336B" w:rsidRPr="009D3E2D" w:rsidRDefault="00C6336B"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15.3</w:t>
            </w:r>
          </w:p>
        </w:tc>
        <w:tc>
          <w:tcPr>
            <w:tcW w:w="1503" w:type="dxa"/>
            <w:vAlign w:val="center"/>
          </w:tcPr>
          <w:p w14:paraId="501DE6C8" w14:textId="5242C92B" w:rsidR="00C6336B" w:rsidRPr="009D3E2D" w:rsidRDefault="00C6336B"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19.6</w:t>
            </w:r>
          </w:p>
        </w:tc>
      </w:tr>
    </w:tbl>
    <w:p w14:paraId="138F813C" w14:textId="179BC957" w:rsidR="009D3E2D" w:rsidRPr="009D3E2D" w:rsidRDefault="009D3E2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This table summarizes the seasonal variation in key physicochemical parameters that influence reservoir productivity and trophic conditions.</w:t>
      </w:r>
    </w:p>
    <w:p w14:paraId="035D8A61" w14:textId="37CBFF31" w:rsidR="009D3E2D" w:rsidRDefault="009D3E2D" w:rsidP="00BB1EBC">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9D3E2D">
        <w:rPr>
          <w:rFonts w:ascii="Times New Roman" w:eastAsia="Times New Roman" w:hAnsi="Times New Roman" w:cs="Times New Roman"/>
          <w:b/>
          <w:bCs/>
          <w:sz w:val="24"/>
          <w:szCs w:val="24"/>
          <w:lang w:eastAsia="en-IN"/>
        </w:rPr>
        <w:t>Table 6 Phytoplankton Species Composition</w:t>
      </w:r>
    </w:p>
    <w:tbl>
      <w:tblPr>
        <w:tblStyle w:val="TableGrid"/>
        <w:tblW w:w="0" w:type="auto"/>
        <w:tblLook w:val="04A0" w:firstRow="1" w:lastRow="0" w:firstColumn="1" w:lastColumn="0" w:noHBand="0" w:noVBand="1"/>
      </w:tblPr>
      <w:tblGrid>
        <w:gridCol w:w="2477"/>
        <w:gridCol w:w="3669"/>
      </w:tblGrid>
      <w:tr w:rsidR="007C652A" w14:paraId="617AA2A2" w14:textId="77777777" w:rsidTr="007C652A">
        <w:trPr>
          <w:trHeight w:val="252"/>
        </w:trPr>
        <w:tc>
          <w:tcPr>
            <w:tcW w:w="0" w:type="auto"/>
            <w:vAlign w:val="center"/>
          </w:tcPr>
          <w:p w14:paraId="06897D0A" w14:textId="3F236812" w:rsidR="007C652A" w:rsidRDefault="007C652A" w:rsidP="00BB1EBC">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9D3E2D">
              <w:rPr>
                <w:rFonts w:ascii="Times New Roman" w:eastAsia="Times New Roman" w:hAnsi="Times New Roman" w:cs="Times New Roman"/>
                <w:b/>
                <w:bCs/>
                <w:sz w:val="24"/>
                <w:szCs w:val="24"/>
                <w:lang w:eastAsia="en-IN"/>
              </w:rPr>
              <w:t>Phytoplankton Group</w:t>
            </w:r>
          </w:p>
        </w:tc>
        <w:tc>
          <w:tcPr>
            <w:tcW w:w="0" w:type="auto"/>
            <w:vAlign w:val="center"/>
          </w:tcPr>
          <w:p w14:paraId="638E8A33" w14:textId="4C5C4278" w:rsidR="007C652A" w:rsidRDefault="007C652A" w:rsidP="00BB1EBC">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9D3E2D">
              <w:rPr>
                <w:rFonts w:ascii="Times New Roman" w:eastAsia="Times New Roman" w:hAnsi="Times New Roman" w:cs="Times New Roman"/>
                <w:b/>
                <w:bCs/>
                <w:sz w:val="24"/>
                <w:szCs w:val="24"/>
                <w:lang w:eastAsia="en-IN"/>
              </w:rPr>
              <w:t>Representative Species</w:t>
            </w:r>
          </w:p>
        </w:tc>
      </w:tr>
      <w:tr w:rsidR="007C652A" w14:paraId="416A97BE" w14:textId="77777777" w:rsidTr="007C652A">
        <w:trPr>
          <w:trHeight w:val="252"/>
        </w:trPr>
        <w:tc>
          <w:tcPr>
            <w:tcW w:w="0" w:type="auto"/>
            <w:vAlign w:val="center"/>
          </w:tcPr>
          <w:p w14:paraId="421F27B3" w14:textId="314C23C0" w:rsidR="007C652A" w:rsidRPr="009D3E2D" w:rsidRDefault="007C652A" w:rsidP="00BB1EBC">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9D3E2D">
              <w:rPr>
                <w:rFonts w:ascii="Times New Roman" w:eastAsia="Times New Roman" w:hAnsi="Times New Roman" w:cs="Times New Roman"/>
                <w:sz w:val="24"/>
                <w:szCs w:val="24"/>
                <w:lang w:eastAsia="en-IN"/>
              </w:rPr>
              <w:t>Chlorophyceae</w:t>
            </w:r>
          </w:p>
        </w:tc>
        <w:tc>
          <w:tcPr>
            <w:tcW w:w="0" w:type="auto"/>
            <w:vAlign w:val="center"/>
          </w:tcPr>
          <w:p w14:paraId="4042D82B" w14:textId="51043A6A" w:rsidR="007C652A" w:rsidRPr="009D3E2D" w:rsidRDefault="007C652A" w:rsidP="00BB1EBC">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9D3E2D">
              <w:rPr>
                <w:rFonts w:ascii="Times New Roman" w:eastAsia="Times New Roman" w:hAnsi="Times New Roman" w:cs="Times New Roman"/>
                <w:sz w:val="24"/>
                <w:szCs w:val="24"/>
                <w:lang w:eastAsia="en-IN"/>
              </w:rPr>
              <w:t>Chlorella, Scenedesmus, Volvox</w:t>
            </w:r>
          </w:p>
        </w:tc>
      </w:tr>
      <w:tr w:rsidR="007C652A" w14:paraId="117DE5B5" w14:textId="77777777" w:rsidTr="007C652A">
        <w:trPr>
          <w:trHeight w:val="252"/>
        </w:trPr>
        <w:tc>
          <w:tcPr>
            <w:tcW w:w="0" w:type="auto"/>
            <w:vAlign w:val="center"/>
          </w:tcPr>
          <w:p w14:paraId="0DD96E3C" w14:textId="25E21D68" w:rsidR="007C652A" w:rsidRPr="009D3E2D" w:rsidRDefault="007C652A"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Bacillariophyceae</w:t>
            </w:r>
          </w:p>
        </w:tc>
        <w:tc>
          <w:tcPr>
            <w:tcW w:w="0" w:type="auto"/>
            <w:vAlign w:val="center"/>
          </w:tcPr>
          <w:p w14:paraId="6966BDF9" w14:textId="6E8EF1A6" w:rsidR="007C652A" w:rsidRPr="009D3E2D" w:rsidRDefault="007C652A"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proofErr w:type="spellStart"/>
            <w:r w:rsidRPr="009D3E2D">
              <w:rPr>
                <w:rFonts w:ascii="Times New Roman" w:eastAsia="Times New Roman" w:hAnsi="Times New Roman" w:cs="Times New Roman"/>
                <w:sz w:val="24"/>
                <w:szCs w:val="24"/>
                <w:lang w:eastAsia="en-IN"/>
              </w:rPr>
              <w:t>Navicula</w:t>
            </w:r>
            <w:proofErr w:type="spellEnd"/>
            <w:r w:rsidRPr="009D3E2D">
              <w:rPr>
                <w:rFonts w:ascii="Times New Roman" w:eastAsia="Times New Roman" w:hAnsi="Times New Roman" w:cs="Times New Roman"/>
                <w:sz w:val="24"/>
                <w:szCs w:val="24"/>
                <w:lang w:eastAsia="en-IN"/>
              </w:rPr>
              <w:t xml:space="preserve">, </w:t>
            </w:r>
            <w:proofErr w:type="spellStart"/>
            <w:r w:rsidRPr="009D3E2D">
              <w:rPr>
                <w:rFonts w:ascii="Times New Roman" w:eastAsia="Times New Roman" w:hAnsi="Times New Roman" w:cs="Times New Roman"/>
                <w:sz w:val="24"/>
                <w:szCs w:val="24"/>
                <w:lang w:eastAsia="en-IN"/>
              </w:rPr>
              <w:t>Nitzschia</w:t>
            </w:r>
            <w:proofErr w:type="spellEnd"/>
            <w:r w:rsidRPr="009D3E2D">
              <w:rPr>
                <w:rFonts w:ascii="Times New Roman" w:eastAsia="Times New Roman" w:hAnsi="Times New Roman" w:cs="Times New Roman"/>
                <w:sz w:val="24"/>
                <w:szCs w:val="24"/>
                <w:lang w:eastAsia="en-IN"/>
              </w:rPr>
              <w:t>, Cyclotella</w:t>
            </w:r>
          </w:p>
        </w:tc>
      </w:tr>
      <w:tr w:rsidR="007C652A" w14:paraId="5B38EBE0" w14:textId="77777777" w:rsidTr="007C652A">
        <w:trPr>
          <w:trHeight w:val="252"/>
        </w:trPr>
        <w:tc>
          <w:tcPr>
            <w:tcW w:w="0" w:type="auto"/>
            <w:vAlign w:val="center"/>
          </w:tcPr>
          <w:p w14:paraId="3A504DF4" w14:textId="31BDD049" w:rsidR="007C652A" w:rsidRPr="009D3E2D" w:rsidRDefault="007C652A"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proofErr w:type="spellStart"/>
            <w:r w:rsidRPr="009D3E2D">
              <w:rPr>
                <w:rFonts w:ascii="Times New Roman" w:eastAsia="Times New Roman" w:hAnsi="Times New Roman" w:cs="Times New Roman"/>
                <w:sz w:val="24"/>
                <w:szCs w:val="24"/>
                <w:lang w:eastAsia="en-IN"/>
              </w:rPr>
              <w:t>Cyanophyceae</w:t>
            </w:r>
            <w:proofErr w:type="spellEnd"/>
          </w:p>
        </w:tc>
        <w:tc>
          <w:tcPr>
            <w:tcW w:w="0" w:type="auto"/>
            <w:vAlign w:val="center"/>
          </w:tcPr>
          <w:p w14:paraId="35CB5000" w14:textId="59EC472D" w:rsidR="007C652A" w:rsidRPr="009D3E2D" w:rsidRDefault="007C652A"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Microcystis, Oscillatoria, Anabaena</w:t>
            </w:r>
          </w:p>
        </w:tc>
      </w:tr>
      <w:tr w:rsidR="007C652A" w14:paraId="04890EA4" w14:textId="77777777" w:rsidTr="007C652A">
        <w:trPr>
          <w:trHeight w:val="252"/>
        </w:trPr>
        <w:tc>
          <w:tcPr>
            <w:tcW w:w="0" w:type="auto"/>
            <w:vAlign w:val="center"/>
          </w:tcPr>
          <w:p w14:paraId="1B4DB959" w14:textId="19036C0B" w:rsidR="007C652A" w:rsidRPr="009D3E2D" w:rsidRDefault="007C652A"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proofErr w:type="spellStart"/>
            <w:r w:rsidRPr="009D3E2D">
              <w:rPr>
                <w:rFonts w:ascii="Times New Roman" w:eastAsia="Times New Roman" w:hAnsi="Times New Roman" w:cs="Times New Roman"/>
                <w:sz w:val="24"/>
                <w:szCs w:val="24"/>
                <w:lang w:eastAsia="en-IN"/>
              </w:rPr>
              <w:t>Euglenophyceae</w:t>
            </w:r>
            <w:proofErr w:type="spellEnd"/>
          </w:p>
        </w:tc>
        <w:tc>
          <w:tcPr>
            <w:tcW w:w="0" w:type="auto"/>
            <w:vAlign w:val="center"/>
          </w:tcPr>
          <w:p w14:paraId="0FCC4422" w14:textId="335499E5" w:rsidR="007C652A" w:rsidRPr="009D3E2D" w:rsidRDefault="007C652A"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 xml:space="preserve">Euglena, </w:t>
            </w:r>
            <w:proofErr w:type="spellStart"/>
            <w:r w:rsidRPr="009D3E2D">
              <w:rPr>
                <w:rFonts w:ascii="Times New Roman" w:eastAsia="Times New Roman" w:hAnsi="Times New Roman" w:cs="Times New Roman"/>
                <w:sz w:val="24"/>
                <w:szCs w:val="24"/>
                <w:lang w:eastAsia="en-IN"/>
              </w:rPr>
              <w:t>Phacus</w:t>
            </w:r>
            <w:proofErr w:type="spellEnd"/>
          </w:p>
        </w:tc>
      </w:tr>
      <w:tr w:rsidR="007C652A" w14:paraId="141DA1CD" w14:textId="77777777" w:rsidTr="007C652A">
        <w:trPr>
          <w:trHeight w:val="252"/>
        </w:trPr>
        <w:tc>
          <w:tcPr>
            <w:tcW w:w="0" w:type="auto"/>
            <w:vAlign w:val="center"/>
          </w:tcPr>
          <w:p w14:paraId="5B37A841" w14:textId="4FD4DF0F" w:rsidR="007C652A" w:rsidRPr="009D3E2D" w:rsidRDefault="007C652A"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Dinophyceae</w:t>
            </w:r>
          </w:p>
        </w:tc>
        <w:tc>
          <w:tcPr>
            <w:tcW w:w="0" w:type="auto"/>
            <w:vAlign w:val="center"/>
          </w:tcPr>
          <w:p w14:paraId="013E9D82" w14:textId="347E1505" w:rsidR="007C652A" w:rsidRPr="009D3E2D" w:rsidRDefault="007C652A"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proofErr w:type="spellStart"/>
            <w:r w:rsidRPr="009D3E2D">
              <w:rPr>
                <w:rFonts w:ascii="Times New Roman" w:eastAsia="Times New Roman" w:hAnsi="Times New Roman" w:cs="Times New Roman"/>
                <w:sz w:val="24"/>
                <w:szCs w:val="24"/>
                <w:lang w:eastAsia="en-IN"/>
              </w:rPr>
              <w:t>Ceratium</w:t>
            </w:r>
            <w:proofErr w:type="spellEnd"/>
            <w:r w:rsidRPr="009D3E2D">
              <w:rPr>
                <w:rFonts w:ascii="Times New Roman" w:eastAsia="Times New Roman" w:hAnsi="Times New Roman" w:cs="Times New Roman"/>
                <w:sz w:val="24"/>
                <w:szCs w:val="24"/>
                <w:lang w:eastAsia="en-IN"/>
              </w:rPr>
              <w:t xml:space="preserve">, </w:t>
            </w:r>
            <w:proofErr w:type="spellStart"/>
            <w:r w:rsidRPr="009D3E2D">
              <w:rPr>
                <w:rFonts w:ascii="Times New Roman" w:eastAsia="Times New Roman" w:hAnsi="Times New Roman" w:cs="Times New Roman"/>
                <w:sz w:val="24"/>
                <w:szCs w:val="24"/>
                <w:lang w:eastAsia="en-IN"/>
              </w:rPr>
              <w:t>Peridinium</w:t>
            </w:r>
            <w:proofErr w:type="spellEnd"/>
          </w:p>
        </w:tc>
      </w:tr>
    </w:tbl>
    <w:p w14:paraId="3DB08D5C" w14:textId="0D7038EB" w:rsidR="009D3E2D" w:rsidRPr="009D3E2D" w:rsidRDefault="009D3E2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This table lists the major phytoplankton groups and representative species identified during microscopic examination.</w:t>
      </w:r>
    </w:p>
    <w:p w14:paraId="392BD764" w14:textId="369102C4" w:rsidR="009D3E2D" w:rsidRDefault="009D3E2D" w:rsidP="00BB1EBC">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9D3E2D">
        <w:rPr>
          <w:rFonts w:ascii="Times New Roman" w:eastAsia="Times New Roman" w:hAnsi="Times New Roman" w:cs="Times New Roman"/>
          <w:b/>
          <w:bCs/>
          <w:sz w:val="24"/>
          <w:szCs w:val="24"/>
          <w:lang w:eastAsia="en-IN"/>
        </w:rPr>
        <w:t xml:space="preserve">Table </w:t>
      </w:r>
      <w:r w:rsidR="00CD24A1">
        <w:rPr>
          <w:rFonts w:ascii="Times New Roman" w:eastAsia="Times New Roman" w:hAnsi="Times New Roman" w:cs="Times New Roman"/>
          <w:b/>
          <w:bCs/>
          <w:sz w:val="24"/>
          <w:szCs w:val="24"/>
          <w:lang w:eastAsia="en-IN"/>
        </w:rPr>
        <w:t>7</w:t>
      </w:r>
      <w:r w:rsidRPr="009D3E2D">
        <w:rPr>
          <w:rFonts w:ascii="Times New Roman" w:eastAsia="Times New Roman" w:hAnsi="Times New Roman" w:cs="Times New Roman"/>
          <w:b/>
          <w:bCs/>
          <w:sz w:val="24"/>
          <w:szCs w:val="24"/>
          <w:lang w:eastAsia="en-IN"/>
        </w:rPr>
        <w:t xml:space="preserve"> Machine Learning Model Performance</w:t>
      </w:r>
    </w:p>
    <w:tbl>
      <w:tblPr>
        <w:tblStyle w:val="TableGrid"/>
        <w:tblW w:w="0" w:type="auto"/>
        <w:tblLook w:val="04A0" w:firstRow="1" w:lastRow="0" w:firstColumn="1" w:lastColumn="0" w:noHBand="0" w:noVBand="1"/>
      </w:tblPr>
      <w:tblGrid>
        <w:gridCol w:w="2709"/>
        <w:gridCol w:w="1189"/>
        <w:gridCol w:w="1163"/>
        <w:gridCol w:w="856"/>
        <w:gridCol w:w="1116"/>
      </w:tblGrid>
      <w:tr w:rsidR="00854810" w14:paraId="46ED7FB2" w14:textId="77777777" w:rsidTr="00854810">
        <w:trPr>
          <w:trHeight w:val="441"/>
        </w:trPr>
        <w:tc>
          <w:tcPr>
            <w:tcW w:w="0" w:type="auto"/>
            <w:vAlign w:val="center"/>
          </w:tcPr>
          <w:p w14:paraId="45A3F211" w14:textId="0B6DB2CA" w:rsidR="00854810" w:rsidRDefault="00854810" w:rsidP="00BB1EBC">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9D3E2D">
              <w:rPr>
                <w:rFonts w:ascii="Times New Roman" w:eastAsia="Times New Roman" w:hAnsi="Times New Roman" w:cs="Times New Roman"/>
                <w:b/>
                <w:bCs/>
                <w:sz w:val="24"/>
                <w:szCs w:val="24"/>
                <w:lang w:eastAsia="en-IN"/>
              </w:rPr>
              <w:t>Model</w:t>
            </w:r>
          </w:p>
        </w:tc>
        <w:tc>
          <w:tcPr>
            <w:tcW w:w="0" w:type="auto"/>
            <w:vAlign w:val="center"/>
          </w:tcPr>
          <w:p w14:paraId="3D8A4B5F" w14:textId="0A70B00D" w:rsidR="00854810" w:rsidRDefault="00854810" w:rsidP="00BB1EBC">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9D3E2D">
              <w:rPr>
                <w:rFonts w:ascii="Times New Roman" w:eastAsia="Times New Roman" w:hAnsi="Times New Roman" w:cs="Times New Roman"/>
                <w:b/>
                <w:bCs/>
                <w:sz w:val="24"/>
                <w:szCs w:val="24"/>
                <w:lang w:eastAsia="en-IN"/>
              </w:rPr>
              <w:t>Accuracy</w:t>
            </w:r>
          </w:p>
        </w:tc>
        <w:tc>
          <w:tcPr>
            <w:tcW w:w="0" w:type="auto"/>
            <w:vAlign w:val="center"/>
          </w:tcPr>
          <w:p w14:paraId="7D7A4324" w14:textId="201E8CD6" w:rsidR="00854810" w:rsidRDefault="00854810" w:rsidP="00BB1EBC">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9D3E2D">
              <w:rPr>
                <w:rFonts w:ascii="Times New Roman" w:eastAsia="Times New Roman" w:hAnsi="Times New Roman" w:cs="Times New Roman"/>
                <w:b/>
                <w:bCs/>
                <w:sz w:val="24"/>
                <w:szCs w:val="24"/>
                <w:lang w:eastAsia="en-IN"/>
              </w:rPr>
              <w:t>Precision</w:t>
            </w:r>
          </w:p>
        </w:tc>
        <w:tc>
          <w:tcPr>
            <w:tcW w:w="0" w:type="auto"/>
            <w:vAlign w:val="center"/>
          </w:tcPr>
          <w:p w14:paraId="566EAECB" w14:textId="4F0DA45D" w:rsidR="00854810" w:rsidRDefault="00854810" w:rsidP="00BB1EBC">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9D3E2D">
              <w:rPr>
                <w:rFonts w:ascii="Times New Roman" w:eastAsia="Times New Roman" w:hAnsi="Times New Roman" w:cs="Times New Roman"/>
                <w:b/>
                <w:bCs/>
                <w:sz w:val="24"/>
                <w:szCs w:val="24"/>
                <w:lang w:eastAsia="en-IN"/>
              </w:rPr>
              <w:t>Recall</w:t>
            </w:r>
          </w:p>
        </w:tc>
        <w:tc>
          <w:tcPr>
            <w:tcW w:w="0" w:type="auto"/>
            <w:vAlign w:val="center"/>
          </w:tcPr>
          <w:p w14:paraId="6F347F2E" w14:textId="59676D95" w:rsidR="00854810" w:rsidRDefault="00854810" w:rsidP="00BB1EBC">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9D3E2D">
              <w:rPr>
                <w:rFonts w:ascii="Times New Roman" w:eastAsia="Times New Roman" w:hAnsi="Times New Roman" w:cs="Times New Roman"/>
                <w:b/>
                <w:bCs/>
                <w:sz w:val="24"/>
                <w:szCs w:val="24"/>
                <w:lang w:eastAsia="en-IN"/>
              </w:rPr>
              <w:t>F1 Score</w:t>
            </w:r>
          </w:p>
        </w:tc>
      </w:tr>
      <w:tr w:rsidR="00854810" w14:paraId="140E8853" w14:textId="77777777" w:rsidTr="00854810">
        <w:trPr>
          <w:trHeight w:val="441"/>
        </w:trPr>
        <w:tc>
          <w:tcPr>
            <w:tcW w:w="0" w:type="auto"/>
            <w:vAlign w:val="center"/>
          </w:tcPr>
          <w:p w14:paraId="21C35EE0" w14:textId="0C909333" w:rsidR="00854810" w:rsidRPr="009D3E2D" w:rsidRDefault="00854810" w:rsidP="00BB1EBC">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9D3E2D">
              <w:rPr>
                <w:rFonts w:ascii="Times New Roman" w:eastAsia="Times New Roman" w:hAnsi="Times New Roman" w:cs="Times New Roman"/>
                <w:sz w:val="24"/>
                <w:szCs w:val="24"/>
                <w:lang w:eastAsia="en-IN"/>
              </w:rPr>
              <w:t>Random Forest</w:t>
            </w:r>
          </w:p>
        </w:tc>
        <w:tc>
          <w:tcPr>
            <w:tcW w:w="0" w:type="auto"/>
            <w:vAlign w:val="center"/>
          </w:tcPr>
          <w:p w14:paraId="5F1B8D3E" w14:textId="216BC41A" w:rsidR="00854810" w:rsidRPr="009D3E2D" w:rsidRDefault="00854810" w:rsidP="00BB1EBC">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9D3E2D">
              <w:rPr>
                <w:rFonts w:ascii="Times New Roman" w:eastAsia="Times New Roman" w:hAnsi="Times New Roman" w:cs="Times New Roman"/>
                <w:sz w:val="24"/>
                <w:szCs w:val="24"/>
                <w:lang w:eastAsia="en-IN"/>
              </w:rPr>
              <w:t>92%</w:t>
            </w:r>
          </w:p>
        </w:tc>
        <w:tc>
          <w:tcPr>
            <w:tcW w:w="0" w:type="auto"/>
            <w:vAlign w:val="center"/>
          </w:tcPr>
          <w:p w14:paraId="3F066382" w14:textId="3E4ED23E" w:rsidR="00854810" w:rsidRPr="009D3E2D" w:rsidRDefault="00854810" w:rsidP="00BB1EBC">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9D3E2D">
              <w:rPr>
                <w:rFonts w:ascii="Times New Roman" w:eastAsia="Times New Roman" w:hAnsi="Times New Roman" w:cs="Times New Roman"/>
                <w:sz w:val="24"/>
                <w:szCs w:val="24"/>
                <w:lang w:eastAsia="en-IN"/>
              </w:rPr>
              <w:t>0.91</w:t>
            </w:r>
          </w:p>
        </w:tc>
        <w:tc>
          <w:tcPr>
            <w:tcW w:w="0" w:type="auto"/>
            <w:vAlign w:val="center"/>
          </w:tcPr>
          <w:p w14:paraId="73243FD9" w14:textId="70E46239" w:rsidR="00854810" w:rsidRPr="009D3E2D" w:rsidRDefault="00854810" w:rsidP="00BB1EBC">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9D3E2D">
              <w:rPr>
                <w:rFonts w:ascii="Times New Roman" w:eastAsia="Times New Roman" w:hAnsi="Times New Roman" w:cs="Times New Roman"/>
                <w:sz w:val="24"/>
                <w:szCs w:val="24"/>
                <w:lang w:eastAsia="en-IN"/>
              </w:rPr>
              <w:t>0.92</w:t>
            </w:r>
          </w:p>
        </w:tc>
        <w:tc>
          <w:tcPr>
            <w:tcW w:w="0" w:type="auto"/>
            <w:vAlign w:val="center"/>
          </w:tcPr>
          <w:p w14:paraId="50B26EED" w14:textId="04990C69" w:rsidR="00854810" w:rsidRPr="009D3E2D" w:rsidRDefault="00854810" w:rsidP="00BB1EBC">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9D3E2D">
              <w:rPr>
                <w:rFonts w:ascii="Times New Roman" w:eastAsia="Times New Roman" w:hAnsi="Times New Roman" w:cs="Times New Roman"/>
                <w:sz w:val="24"/>
                <w:szCs w:val="24"/>
                <w:lang w:eastAsia="en-IN"/>
              </w:rPr>
              <w:t>0.91</w:t>
            </w:r>
          </w:p>
        </w:tc>
      </w:tr>
      <w:tr w:rsidR="00854810" w14:paraId="1736E4D2" w14:textId="77777777" w:rsidTr="00854810">
        <w:trPr>
          <w:trHeight w:val="441"/>
        </w:trPr>
        <w:tc>
          <w:tcPr>
            <w:tcW w:w="0" w:type="auto"/>
            <w:vAlign w:val="center"/>
          </w:tcPr>
          <w:p w14:paraId="75E9FAC5" w14:textId="2FF4F7E6" w:rsidR="00854810" w:rsidRPr="009D3E2D" w:rsidRDefault="00854810"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Artificial Neural Network</w:t>
            </w:r>
          </w:p>
        </w:tc>
        <w:tc>
          <w:tcPr>
            <w:tcW w:w="0" w:type="auto"/>
            <w:vAlign w:val="center"/>
          </w:tcPr>
          <w:p w14:paraId="2C465393" w14:textId="63D70174" w:rsidR="00854810" w:rsidRPr="009D3E2D" w:rsidRDefault="00854810"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89%</w:t>
            </w:r>
          </w:p>
        </w:tc>
        <w:tc>
          <w:tcPr>
            <w:tcW w:w="0" w:type="auto"/>
            <w:vAlign w:val="center"/>
          </w:tcPr>
          <w:p w14:paraId="2100F98F" w14:textId="4A5FA33F" w:rsidR="00854810" w:rsidRPr="009D3E2D" w:rsidRDefault="00854810"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0.88</w:t>
            </w:r>
          </w:p>
        </w:tc>
        <w:tc>
          <w:tcPr>
            <w:tcW w:w="0" w:type="auto"/>
            <w:vAlign w:val="center"/>
          </w:tcPr>
          <w:p w14:paraId="3D729D8B" w14:textId="52067523" w:rsidR="00854810" w:rsidRPr="009D3E2D" w:rsidRDefault="00854810"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0.89</w:t>
            </w:r>
          </w:p>
        </w:tc>
        <w:tc>
          <w:tcPr>
            <w:tcW w:w="0" w:type="auto"/>
            <w:vAlign w:val="center"/>
          </w:tcPr>
          <w:p w14:paraId="7112B8FB" w14:textId="5CC8A3F8" w:rsidR="00854810" w:rsidRPr="009D3E2D" w:rsidRDefault="00854810"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0.88</w:t>
            </w:r>
          </w:p>
        </w:tc>
      </w:tr>
      <w:tr w:rsidR="00854810" w14:paraId="37349D31" w14:textId="77777777" w:rsidTr="00854810">
        <w:trPr>
          <w:trHeight w:val="441"/>
        </w:trPr>
        <w:tc>
          <w:tcPr>
            <w:tcW w:w="0" w:type="auto"/>
            <w:vAlign w:val="center"/>
          </w:tcPr>
          <w:p w14:paraId="3BBF97C7" w14:textId="787F3CE2" w:rsidR="00854810" w:rsidRPr="009D3E2D" w:rsidRDefault="00854810"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Support Vector Machine</w:t>
            </w:r>
          </w:p>
        </w:tc>
        <w:tc>
          <w:tcPr>
            <w:tcW w:w="0" w:type="auto"/>
            <w:vAlign w:val="center"/>
          </w:tcPr>
          <w:p w14:paraId="402E8868" w14:textId="444FB35F" w:rsidR="00854810" w:rsidRPr="009D3E2D" w:rsidRDefault="00854810"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86%</w:t>
            </w:r>
          </w:p>
        </w:tc>
        <w:tc>
          <w:tcPr>
            <w:tcW w:w="0" w:type="auto"/>
            <w:vAlign w:val="center"/>
          </w:tcPr>
          <w:p w14:paraId="5433D2D3" w14:textId="40A1145C" w:rsidR="00854810" w:rsidRPr="009D3E2D" w:rsidRDefault="00854810"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0.85</w:t>
            </w:r>
          </w:p>
        </w:tc>
        <w:tc>
          <w:tcPr>
            <w:tcW w:w="0" w:type="auto"/>
            <w:vAlign w:val="center"/>
          </w:tcPr>
          <w:p w14:paraId="632BC8B5" w14:textId="7E96E6E2" w:rsidR="00854810" w:rsidRPr="009D3E2D" w:rsidRDefault="00854810"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0.86</w:t>
            </w:r>
          </w:p>
        </w:tc>
        <w:tc>
          <w:tcPr>
            <w:tcW w:w="0" w:type="auto"/>
            <w:vAlign w:val="center"/>
          </w:tcPr>
          <w:p w14:paraId="21BFC2B7" w14:textId="7E2467A8" w:rsidR="00854810" w:rsidRPr="009D3E2D" w:rsidRDefault="00854810" w:rsidP="00BB1EBC">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0.85</w:t>
            </w:r>
          </w:p>
        </w:tc>
      </w:tr>
    </w:tbl>
    <w:p w14:paraId="721637A1" w14:textId="01E78C91" w:rsidR="009D3E2D" w:rsidRPr="009D3E2D" w:rsidRDefault="009D3E2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lastRenderedPageBreak/>
        <w:t>The table shows the performance metrics of machine learning models used to predict trophic status. Random Forest demonstrated the highest predictive accuracy and overall performance.</w:t>
      </w:r>
    </w:p>
    <w:p w14:paraId="0B110322" w14:textId="2B0843A2" w:rsidR="009D3E2D" w:rsidRPr="005E727C" w:rsidRDefault="009D3E2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Overall, the figures and tables presented in this section provide visual and quantitative summaries of the study findings. They illustrate spatial characteristics of the study area, seasonal variations in water quality, phytoplankton diversity patterns, and the predictive performance of machine learning algorithms.</w:t>
      </w:r>
    </w:p>
    <w:p w14:paraId="3CDB1084" w14:textId="77777777" w:rsidR="009D3E2D" w:rsidRPr="005E727C" w:rsidRDefault="009D3E2D" w:rsidP="00BB1EBC">
      <w:pPr>
        <w:pStyle w:val="Heading1"/>
        <w:spacing w:line="360" w:lineRule="auto"/>
        <w:jc w:val="both"/>
        <w:rPr>
          <w:sz w:val="24"/>
          <w:szCs w:val="24"/>
        </w:rPr>
      </w:pPr>
      <w:r w:rsidRPr="005E727C">
        <w:rPr>
          <w:sz w:val="24"/>
          <w:szCs w:val="24"/>
        </w:rPr>
        <w:t>7. Conclusion</w:t>
      </w:r>
    </w:p>
    <w:p w14:paraId="3B155CE3" w14:textId="77777777" w:rsidR="009D3E2D" w:rsidRPr="005E727C" w:rsidRDefault="009D3E2D" w:rsidP="00BB1EBC">
      <w:pPr>
        <w:pStyle w:val="NormalWeb"/>
        <w:spacing w:line="360" w:lineRule="auto"/>
        <w:jc w:val="both"/>
      </w:pPr>
      <w:r w:rsidRPr="005E727C">
        <w:t xml:space="preserve">The present study investigated the trophic status of </w:t>
      </w:r>
      <w:proofErr w:type="spellStart"/>
      <w:r w:rsidRPr="005E727C">
        <w:t>Kotpally</w:t>
      </w:r>
      <w:proofErr w:type="spellEnd"/>
      <w:r w:rsidRPr="005E727C">
        <w:t xml:space="preserve"> Reservoir in Telangana using an integrated approach that combined limnological parameters, phytoplankton indicators, and machine learning techniques. The results provide valuable insights into the ecological condition of the reservoir and demonstrate the usefulness of modern data-driven approaches for water quality assessment.</w:t>
      </w:r>
    </w:p>
    <w:p w14:paraId="3D994E80" w14:textId="77777777" w:rsidR="009D3E2D" w:rsidRPr="005E727C" w:rsidRDefault="009D3E2D" w:rsidP="00BB1EBC">
      <w:pPr>
        <w:pStyle w:val="Heading3"/>
        <w:spacing w:line="360" w:lineRule="auto"/>
        <w:jc w:val="both"/>
        <w:rPr>
          <w:sz w:val="24"/>
          <w:szCs w:val="24"/>
        </w:rPr>
      </w:pPr>
      <w:r w:rsidRPr="005E727C">
        <w:rPr>
          <w:sz w:val="24"/>
          <w:szCs w:val="24"/>
        </w:rPr>
        <w:t>Summary of Findings</w:t>
      </w:r>
    </w:p>
    <w:p w14:paraId="3D655CC4" w14:textId="77777777" w:rsidR="009D3E2D" w:rsidRPr="005E727C" w:rsidRDefault="009D3E2D" w:rsidP="00BB1EBC">
      <w:pPr>
        <w:pStyle w:val="NormalWeb"/>
        <w:spacing w:line="360" w:lineRule="auto"/>
        <w:jc w:val="both"/>
      </w:pPr>
      <w:r w:rsidRPr="005E727C">
        <w:t>The analysis of physicochemical parameters revealed clear seasonal variations in water quality within the reservoir. Temperature was highest during the summer season, while dissolved oxygen levels were comparatively lower during this period due to increased metabolic activity and reduced oxygen solubility. Nutrient concentrations, particularly nitrate and phosphate, were highest during the monsoon season as a result of surface runoff from surrounding agricultural areas.</w:t>
      </w:r>
    </w:p>
    <w:p w14:paraId="74A4A3FE" w14:textId="77777777" w:rsidR="009D3E2D" w:rsidRPr="005E727C" w:rsidRDefault="009D3E2D" w:rsidP="00BB1EBC">
      <w:pPr>
        <w:pStyle w:val="NormalWeb"/>
        <w:spacing w:line="360" w:lineRule="auto"/>
        <w:jc w:val="both"/>
      </w:pPr>
      <w:r w:rsidRPr="005E727C">
        <w:t xml:space="preserve">Phytoplankton analysis indicated a moderately diverse community composed primarily of Chlorophyceae, Bacillariophyceae, and </w:t>
      </w:r>
      <w:proofErr w:type="spellStart"/>
      <w:r w:rsidRPr="005E727C">
        <w:t>Cyanophyceae</w:t>
      </w:r>
      <w:proofErr w:type="spellEnd"/>
      <w:r w:rsidRPr="005E727C">
        <w:t>. Green algae and diatoms were dominant during cooler seasons, whereas cyanobacteria increased during the monsoon period when nutrient concentrations were elevated. The calculated Shannon diversity index indicated moderate biodiversity within the reservoir ecosystem.</w:t>
      </w:r>
    </w:p>
    <w:p w14:paraId="6B342A7A" w14:textId="77777777" w:rsidR="009D3E2D" w:rsidRPr="005E727C" w:rsidRDefault="009D3E2D" w:rsidP="00BB1EBC">
      <w:pPr>
        <w:pStyle w:val="NormalWeb"/>
        <w:spacing w:line="360" w:lineRule="auto"/>
        <w:jc w:val="both"/>
      </w:pPr>
      <w:r w:rsidRPr="005E727C">
        <w:t xml:space="preserve">The trophic state index (TSI) values suggested that </w:t>
      </w:r>
      <w:proofErr w:type="spellStart"/>
      <w:r w:rsidRPr="005E727C">
        <w:t>Kotpally</w:t>
      </w:r>
      <w:proofErr w:type="spellEnd"/>
      <w:r w:rsidRPr="005E727C">
        <w:t xml:space="preserve"> Reservoir exhibits </w:t>
      </w:r>
      <w:r w:rsidRPr="005E727C">
        <w:rPr>
          <w:rStyle w:val="Strong"/>
        </w:rPr>
        <w:t>mesotrophic to eutrophic conditions</w:t>
      </w:r>
      <w:r w:rsidRPr="005E727C">
        <w:t>, with higher productivity observed during summer and monsoon seasons. This indicates moderate nutrient enrichment and increased biological activity within the reservoir.</w:t>
      </w:r>
    </w:p>
    <w:p w14:paraId="4B4E770A" w14:textId="77777777" w:rsidR="009D3E2D" w:rsidRPr="005E727C" w:rsidRDefault="009D3E2D" w:rsidP="00BB1EBC">
      <w:pPr>
        <w:pStyle w:val="Heading3"/>
        <w:spacing w:line="360" w:lineRule="auto"/>
        <w:jc w:val="both"/>
        <w:rPr>
          <w:sz w:val="24"/>
          <w:szCs w:val="24"/>
        </w:rPr>
      </w:pPr>
      <w:r w:rsidRPr="005E727C">
        <w:rPr>
          <w:sz w:val="24"/>
          <w:szCs w:val="24"/>
        </w:rPr>
        <w:lastRenderedPageBreak/>
        <w:t>Effectiveness of Machine Learning</w:t>
      </w:r>
    </w:p>
    <w:p w14:paraId="1C39AA0E" w14:textId="77777777" w:rsidR="009D3E2D" w:rsidRPr="005E727C" w:rsidRDefault="009D3E2D" w:rsidP="00BB1EBC">
      <w:pPr>
        <w:pStyle w:val="NormalWeb"/>
        <w:spacing w:line="360" w:lineRule="auto"/>
        <w:jc w:val="both"/>
      </w:pPr>
      <w:r w:rsidRPr="005E727C">
        <w:t>Machine learning algorithms demonstrated strong predictive capability in estimating the trophic status of the reservoir based on environmental variables. Among the models tested, the Random Forest algorithm achieved the highest prediction accuracy, followed by Artificial Neural Networks and Support Vector Machines.</w:t>
      </w:r>
    </w:p>
    <w:p w14:paraId="6B3D9261" w14:textId="77777777" w:rsidR="009D3E2D" w:rsidRPr="005E727C" w:rsidRDefault="009D3E2D" w:rsidP="00BB1EBC">
      <w:pPr>
        <w:pStyle w:val="NormalWeb"/>
        <w:spacing w:line="360" w:lineRule="auto"/>
        <w:jc w:val="both"/>
      </w:pPr>
      <w:r w:rsidRPr="005E727C">
        <w:t>The superior performance of Random Forest can be attributed to its ensemble learning approach, which combines multiple decision trees to improve prediction accuracy and reduce model overfitting. Machine learning models were also able to identify important predictor variables such as chlorophyll-a concentration, phosphate levels, nitrate concentration, and dissolved oxygen.</w:t>
      </w:r>
    </w:p>
    <w:p w14:paraId="34259564" w14:textId="77777777" w:rsidR="009D3E2D" w:rsidRPr="005E727C" w:rsidRDefault="009D3E2D" w:rsidP="00BB1EBC">
      <w:pPr>
        <w:pStyle w:val="NormalWeb"/>
        <w:spacing w:line="360" w:lineRule="auto"/>
        <w:jc w:val="both"/>
      </w:pPr>
      <w:r w:rsidRPr="005E727C">
        <w:t xml:space="preserve">These findings highlight the potential of machine learning methods as powerful tools for </w:t>
      </w:r>
      <w:proofErr w:type="spellStart"/>
      <w:r w:rsidRPr="005E727C">
        <w:t>analyzing</w:t>
      </w:r>
      <w:proofErr w:type="spellEnd"/>
      <w:r w:rsidRPr="005E727C">
        <w:t xml:space="preserve"> complex environmental datasets and predicting ecological conditions in freshwater ecosystems.</w:t>
      </w:r>
    </w:p>
    <w:p w14:paraId="20E0E470" w14:textId="77777777" w:rsidR="009D3E2D" w:rsidRPr="005E727C" w:rsidRDefault="009D3E2D" w:rsidP="00BB1EBC">
      <w:pPr>
        <w:pStyle w:val="Heading3"/>
        <w:spacing w:line="360" w:lineRule="auto"/>
        <w:jc w:val="both"/>
        <w:rPr>
          <w:sz w:val="24"/>
          <w:szCs w:val="24"/>
        </w:rPr>
      </w:pPr>
      <w:r w:rsidRPr="005E727C">
        <w:rPr>
          <w:sz w:val="24"/>
          <w:szCs w:val="24"/>
        </w:rPr>
        <w:t>Importance of Integrated Ecological Monitoring</w:t>
      </w:r>
    </w:p>
    <w:p w14:paraId="6EA85E9F" w14:textId="77777777" w:rsidR="009D3E2D" w:rsidRPr="005E727C" w:rsidRDefault="009D3E2D" w:rsidP="00BB1EBC">
      <w:pPr>
        <w:pStyle w:val="NormalWeb"/>
        <w:spacing w:line="360" w:lineRule="auto"/>
        <w:jc w:val="both"/>
      </w:pPr>
      <w:r w:rsidRPr="005E727C">
        <w:t>The study demonstrates that combining physicochemical measurements with biological indicators such as phytoplankton diversity provides a more comprehensive understanding of aquatic ecosystem health. Limnological parameters alone may not fully capture ecological dynamics, whereas biological indicators reflect cumulative environmental conditions over time.</w:t>
      </w:r>
    </w:p>
    <w:p w14:paraId="4C42F3F8" w14:textId="77777777" w:rsidR="009D3E2D" w:rsidRPr="005E727C" w:rsidRDefault="009D3E2D" w:rsidP="00BB1EBC">
      <w:pPr>
        <w:pStyle w:val="NormalWeb"/>
        <w:spacing w:line="360" w:lineRule="auto"/>
        <w:jc w:val="both"/>
      </w:pPr>
      <w:r w:rsidRPr="005E727C">
        <w:t>Integrating ecological monitoring with machine learning analysis can enhance the efficiency of reservoir assessment programs. Such integrated approaches allow researchers and water resource managers to detect changes in water quality more effectively and develop predictive models for future ecological trends.</w:t>
      </w:r>
    </w:p>
    <w:p w14:paraId="3F9654D3" w14:textId="77777777" w:rsidR="009D3E2D" w:rsidRPr="005E727C" w:rsidRDefault="009D3E2D" w:rsidP="00BB1EBC">
      <w:pPr>
        <w:pStyle w:val="Heading3"/>
        <w:spacing w:line="360" w:lineRule="auto"/>
        <w:jc w:val="both"/>
        <w:rPr>
          <w:sz w:val="24"/>
          <w:szCs w:val="24"/>
        </w:rPr>
      </w:pPr>
      <w:r w:rsidRPr="005E727C">
        <w:rPr>
          <w:sz w:val="24"/>
          <w:szCs w:val="24"/>
        </w:rPr>
        <w:t>Recommendations for Reservoir Management</w:t>
      </w:r>
    </w:p>
    <w:p w14:paraId="0540F36E" w14:textId="77777777" w:rsidR="009D3E2D" w:rsidRPr="005E727C" w:rsidRDefault="009D3E2D" w:rsidP="00BB1EBC">
      <w:pPr>
        <w:pStyle w:val="NormalWeb"/>
        <w:spacing w:line="360" w:lineRule="auto"/>
        <w:jc w:val="both"/>
      </w:pPr>
      <w:r w:rsidRPr="005E727C">
        <w:t xml:space="preserve">Based on the findings of this study, several recommendations can be proposed for sustainable management of </w:t>
      </w:r>
      <w:proofErr w:type="spellStart"/>
      <w:r w:rsidRPr="005E727C">
        <w:t>Kotpally</w:t>
      </w:r>
      <w:proofErr w:type="spellEnd"/>
      <w:r w:rsidRPr="005E727C">
        <w:t xml:space="preserve"> Reservoir:</w:t>
      </w:r>
    </w:p>
    <w:p w14:paraId="27C76F18" w14:textId="6124B403" w:rsidR="009D3E2D" w:rsidRPr="005E727C" w:rsidRDefault="009D3E2D" w:rsidP="00A00ABE">
      <w:pPr>
        <w:pStyle w:val="NormalWeb"/>
        <w:numPr>
          <w:ilvl w:val="0"/>
          <w:numId w:val="17"/>
        </w:numPr>
        <w:spacing w:line="360" w:lineRule="auto"/>
        <w:jc w:val="both"/>
      </w:pPr>
      <w:r w:rsidRPr="005E727C">
        <w:rPr>
          <w:rStyle w:val="Strong"/>
        </w:rPr>
        <w:lastRenderedPageBreak/>
        <w:t>Regular Monitoring Programs</w:t>
      </w:r>
      <w:r w:rsidR="00A00ABE">
        <w:rPr>
          <w:rStyle w:val="Strong"/>
        </w:rPr>
        <w:t xml:space="preserve">: </w:t>
      </w:r>
      <w:r w:rsidRPr="005E727C">
        <w:t>Continuous monitoring of physicochemical parameters and phytoplankton</w:t>
      </w:r>
      <w:r w:rsidR="00A00ABE">
        <w:t xml:space="preserve"> </w:t>
      </w:r>
      <w:r w:rsidRPr="005E727C">
        <w:t>communities should be implemented to track changes in water quality and trophic status.</w:t>
      </w:r>
    </w:p>
    <w:p w14:paraId="28FDC509" w14:textId="60468045" w:rsidR="009D3E2D" w:rsidRPr="005E727C" w:rsidRDefault="009D3E2D" w:rsidP="00BB1EBC">
      <w:pPr>
        <w:pStyle w:val="NormalWeb"/>
        <w:numPr>
          <w:ilvl w:val="0"/>
          <w:numId w:val="17"/>
        </w:numPr>
        <w:spacing w:line="360" w:lineRule="auto"/>
        <w:jc w:val="both"/>
      </w:pPr>
      <w:r w:rsidRPr="005E727C">
        <w:rPr>
          <w:rStyle w:val="Strong"/>
        </w:rPr>
        <w:t>Control of Nutrient Inputs</w:t>
      </w:r>
      <w:r w:rsidR="00A00ABE">
        <w:t xml:space="preserve">: </w:t>
      </w:r>
      <w:r w:rsidRPr="005E727C">
        <w:t>Agricultural runoff containing fertilizers is a major source of nutrient enrichment. Implementing better land-use practices and nutrient management strategies in the watershed can help reduce nutrient loading.</w:t>
      </w:r>
    </w:p>
    <w:p w14:paraId="2A7CB187" w14:textId="4FF8E291" w:rsidR="009D3E2D" w:rsidRPr="005E727C" w:rsidRDefault="009D3E2D" w:rsidP="00BB1EBC">
      <w:pPr>
        <w:pStyle w:val="NormalWeb"/>
        <w:numPr>
          <w:ilvl w:val="0"/>
          <w:numId w:val="17"/>
        </w:numPr>
        <w:spacing w:line="360" w:lineRule="auto"/>
        <w:jc w:val="both"/>
      </w:pPr>
      <w:r w:rsidRPr="005E727C">
        <w:rPr>
          <w:rStyle w:val="Strong"/>
        </w:rPr>
        <w:t xml:space="preserve">Use of Predictive </w:t>
      </w:r>
      <w:proofErr w:type="spellStart"/>
      <w:r w:rsidRPr="005E727C">
        <w:rPr>
          <w:rStyle w:val="Strong"/>
        </w:rPr>
        <w:t>Modeling</w:t>
      </w:r>
      <w:proofErr w:type="spellEnd"/>
      <w:r w:rsidRPr="005E727C">
        <w:rPr>
          <w:rStyle w:val="Strong"/>
        </w:rPr>
        <w:t xml:space="preserve"> Tools</w:t>
      </w:r>
      <w:r w:rsidR="00A00ABE">
        <w:t xml:space="preserve">: </w:t>
      </w:r>
      <w:r w:rsidRPr="005E727C">
        <w:t>Machine learning models can be integrated into reservoir monitoring systems to develop early warning systems for eutrophication and harmful algal blooms.</w:t>
      </w:r>
    </w:p>
    <w:p w14:paraId="0CB357EC" w14:textId="0BDAE720" w:rsidR="009D3E2D" w:rsidRPr="005E727C" w:rsidRDefault="009D3E2D" w:rsidP="00BB1EBC">
      <w:pPr>
        <w:pStyle w:val="NormalWeb"/>
        <w:numPr>
          <w:ilvl w:val="0"/>
          <w:numId w:val="17"/>
        </w:numPr>
        <w:spacing w:line="360" w:lineRule="auto"/>
        <w:jc w:val="both"/>
      </w:pPr>
      <w:r w:rsidRPr="005E727C">
        <w:rPr>
          <w:rStyle w:val="Strong"/>
        </w:rPr>
        <w:t>Watershed Management Strategies</w:t>
      </w:r>
      <w:r w:rsidR="00A00ABE">
        <w:t xml:space="preserve">: </w:t>
      </w:r>
      <w:r w:rsidRPr="005E727C">
        <w:t>Conservation practices such as vegetation buffers, soil conservation measures, and sustainable agricultural practices should be promoted in the reservoir catchment area.</w:t>
      </w:r>
    </w:p>
    <w:p w14:paraId="57409DF9" w14:textId="59571B48" w:rsidR="009D3E2D" w:rsidRPr="005E727C" w:rsidRDefault="009D3E2D" w:rsidP="00BB1EBC">
      <w:pPr>
        <w:pStyle w:val="NormalWeb"/>
        <w:numPr>
          <w:ilvl w:val="0"/>
          <w:numId w:val="17"/>
        </w:numPr>
        <w:spacing w:line="360" w:lineRule="auto"/>
        <w:jc w:val="both"/>
      </w:pPr>
      <w:r w:rsidRPr="005E727C">
        <w:rPr>
          <w:rStyle w:val="Strong"/>
        </w:rPr>
        <w:t>Community Awareness and Policy Support</w:t>
      </w:r>
      <w:r w:rsidR="00A00ABE">
        <w:t xml:space="preserve">: </w:t>
      </w:r>
      <w:r w:rsidRPr="005E727C">
        <w:t>Local communities and policymakers should be encouraged to participate in water conservation initiatives and sustainable reservoir management practices.</w:t>
      </w:r>
    </w:p>
    <w:p w14:paraId="0CBDE4DB" w14:textId="77777777" w:rsidR="009D3E2D" w:rsidRPr="009D3E2D" w:rsidRDefault="009D3E2D" w:rsidP="00BB1EBC">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en-IN"/>
        </w:rPr>
      </w:pPr>
      <w:r w:rsidRPr="009D3E2D">
        <w:rPr>
          <w:rFonts w:ascii="Times New Roman" w:eastAsia="Times New Roman" w:hAnsi="Times New Roman" w:cs="Times New Roman"/>
          <w:b/>
          <w:bCs/>
          <w:kern w:val="36"/>
          <w:sz w:val="24"/>
          <w:szCs w:val="24"/>
          <w:lang w:eastAsia="en-IN"/>
        </w:rPr>
        <w:t>8. Future Research</w:t>
      </w:r>
    </w:p>
    <w:p w14:paraId="0D2004A8" w14:textId="19EF9AF2" w:rsidR="009D3E2D" w:rsidRPr="009D3E2D" w:rsidRDefault="009D3E2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 xml:space="preserve">Although the present study successfully applied limnological parameters, phytoplankton indicators, and machine learning models to predict the trophic status of </w:t>
      </w:r>
      <w:proofErr w:type="spellStart"/>
      <w:r w:rsidRPr="009D3E2D">
        <w:rPr>
          <w:rFonts w:ascii="Times New Roman" w:eastAsia="Times New Roman" w:hAnsi="Times New Roman" w:cs="Times New Roman"/>
          <w:sz w:val="24"/>
          <w:szCs w:val="24"/>
          <w:lang w:eastAsia="en-IN"/>
        </w:rPr>
        <w:t>Kotpally</w:t>
      </w:r>
      <w:proofErr w:type="spellEnd"/>
      <w:r w:rsidRPr="009D3E2D">
        <w:rPr>
          <w:rFonts w:ascii="Times New Roman" w:eastAsia="Times New Roman" w:hAnsi="Times New Roman" w:cs="Times New Roman"/>
          <w:sz w:val="24"/>
          <w:szCs w:val="24"/>
          <w:lang w:eastAsia="en-IN"/>
        </w:rPr>
        <w:t xml:space="preserve"> Reservoir, several opportunities exist for further research to improve ecological monitoring and predictive accuracy. Future investigations can expand the scope of the current work by integrating advanced technologies, long-term datasets, and more sophisticated </w:t>
      </w:r>
      <w:proofErr w:type="spellStart"/>
      <w:r w:rsidRPr="009D3E2D">
        <w:rPr>
          <w:rFonts w:ascii="Times New Roman" w:eastAsia="Times New Roman" w:hAnsi="Times New Roman" w:cs="Times New Roman"/>
          <w:sz w:val="24"/>
          <w:szCs w:val="24"/>
          <w:lang w:eastAsia="en-IN"/>
        </w:rPr>
        <w:t>modeling</w:t>
      </w:r>
      <w:proofErr w:type="spellEnd"/>
      <w:r w:rsidRPr="009D3E2D">
        <w:rPr>
          <w:rFonts w:ascii="Times New Roman" w:eastAsia="Times New Roman" w:hAnsi="Times New Roman" w:cs="Times New Roman"/>
          <w:sz w:val="24"/>
          <w:szCs w:val="24"/>
          <w:lang w:eastAsia="en-IN"/>
        </w:rPr>
        <w:t xml:space="preserve"> approaches.</w:t>
      </w:r>
    </w:p>
    <w:p w14:paraId="205F60F3" w14:textId="77777777" w:rsidR="009D3E2D" w:rsidRPr="009D3E2D" w:rsidRDefault="009D3E2D" w:rsidP="00BB1EBC">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9D3E2D">
        <w:rPr>
          <w:rFonts w:ascii="Times New Roman" w:eastAsia="Times New Roman" w:hAnsi="Times New Roman" w:cs="Times New Roman"/>
          <w:b/>
          <w:bCs/>
          <w:sz w:val="24"/>
          <w:szCs w:val="24"/>
          <w:lang w:eastAsia="en-IN"/>
        </w:rPr>
        <w:t>Incorporation of Remote Sensing Data</w:t>
      </w:r>
    </w:p>
    <w:p w14:paraId="0616FB6F" w14:textId="77777777" w:rsidR="009D3E2D" w:rsidRPr="009D3E2D" w:rsidRDefault="009D3E2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 xml:space="preserve">Remote sensing technologies offer powerful tools for monitoring water quality and ecological dynamics in large aquatic systems. Satellite imagery from platforms such as </w:t>
      </w:r>
      <w:r w:rsidRPr="009D3E2D">
        <w:rPr>
          <w:rFonts w:ascii="Times New Roman" w:eastAsia="Times New Roman" w:hAnsi="Times New Roman" w:cs="Times New Roman"/>
          <w:b/>
          <w:bCs/>
          <w:sz w:val="24"/>
          <w:szCs w:val="24"/>
          <w:lang w:eastAsia="en-IN"/>
        </w:rPr>
        <w:t>Landsat 8 Earth observation satellite</w:t>
      </w:r>
      <w:r w:rsidRPr="009D3E2D">
        <w:rPr>
          <w:rFonts w:ascii="Times New Roman" w:eastAsia="Times New Roman" w:hAnsi="Times New Roman" w:cs="Times New Roman"/>
          <w:sz w:val="24"/>
          <w:szCs w:val="24"/>
          <w:lang w:eastAsia="en-IN"/>
        </w:rPr>
        <w:t xml:space="preserve">, </w:t>
      </w:r>
      <w:r w:rsidRPr="009D3E2D">
        <w:rPr>
          <w:rFonts w:ascii="Times New Roman" w:eastAsia="Times New Roman" w:hAnsi="Times New Roman" w:cs="Times New Roman"/>
          <w:b/>
          <w:bCs/>
          <w:sz w:val="24"/>
          <w:szCs w:val="24"/>
          <w:lang w:eastAsia="en-IN"/>
        </w:rPr>
        <w:t>Sentinel-2 Earth observation satellite</w:t>
      </w:r>
      <w:r w:rsidRPr="009D3E2D">
        <w:rPr>
          <w:rFonts w:ascii="Times New Roman" w:eastAsia="Times New Roman" w:hAnsi="Times New Roman" w:cs="Times New Roman"/>
          <w:sz w:val="24"/>
          <w:szCs w:val="24"/>
          <w:lang w:eastAsia="en-IN"/>
        </w:rPr>
        <w:t xml:space="preserve">, and </w:t>
      </w:r>
      <w:r w:rsidRPr="009D3E2D">
        <w:rPr>
          <w:rFonts w:ascii="Times New Roman" w:eastAsia="Times New Roman" w:hAnsi="Times New Roman" w:cs="Times New Roman"/>
          <w:b/>
          <w:bCs/>
          <w:sz w:val="24"/>
          <w:szCs w:val="24"/>
          <w:lang w:eastAsia="en-IN"/>
        </w:rPr>
        <w:t>MODIS satellite instrument</w:t>
      </w:r>
      <w:r w:rsidRPr="009D3E2D">
        <w:rPr>
          <w:rFonts w:ascii="Times New Roman" w:eastAsia="Times New Roman" w:hAnsi="Times New Roman" w:cs="Times New Roman"/>
          <w:sz w:val="24"/>
          <w:szCs w:val="24"/>
          <w:lang w:eastAsia="en-IN"/>
        </w:rPr>
        <w:t xml:space="preserve"> can provide valuable information on surface water temperature, turbidity, chlorophyll-a concentration, and algal bloom distribution.</w:t>
      </w:r>
    </w:p>
    <w:p w14:paraId="3AB88ACB" w14:textId="77777777" w:rsidR="009D3E2D" w:rsidRPr="009D3E2D" w:rsidRDefault="009D3E2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 xml:space="preserve">Remote sensing allows researchers to monitor spatial and temporal variations in reservoir ecosystems without the need for extensive field sampling. By combining satellite-derived </w:t>
      </w:r>
      <w:r w:rsidRPr="009D3E2D">
        <w:rPr>
          <w:rFonts w:ascii="Times New Roman" w:eastAsia="Times New Roman" w:hAnsi="Times New Roman" w:cs="Times New Roman"/>
          <w:sz w:val="24"/>
          <w:szCs w:val="24"/>
          <w:lang w:eastAsia="en-IN"/>
        </w:rPr>
        <w:lastRenderedPageBreak/>
        <w:t>environmental variables with in-situ limnological data, researchers can develop more accurate predictive models of trophic status and water quality dynamics.</w:t>
      </w:r>
    </w:p>
    <w:p w14:paraId="36B44216" w14:textId="684D53E7" w:rsidR="009D3E2D" w:rsidRPr="009D3E2D" w:rsidRDefault="009D3E2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Future studies could integrate remote sensing datasets with machine learning algorithms to create large-scale monitoring systems capable of detecting early signs of eutrophication and harmful algal blooms.</w:t>
      </w:r>
    </w:p>
    <w:p w14:paraId="3C580BD3" w14:textId="77777777" w:rsidR="009D3E2D" w:rsidRPr="009D3E2D" w:rsidRDefault="009D3E2D" w:rsidP="00BB1EBC">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9D3E2D">
        <w:rPr>
          <w:rFonts w:ascii="Times New Roman" w:eastAsia="Times New Roman" w:hAnsi="Times New Roman" w:cs="Times New Roman"/>
          <w:b/>
          <w:bCs/>
          <w:sz w:val="24"/>
          <w:szCs w:val="24"/>
          <w:lang w:eastAsia="en-IN"/>
        </w:rPr>
        <w:t>Long-Term Monitoring Datasets</w:t>
      </w:r>
    </w:p>
    <w:p w14:paraId="18CA8295" w14:textId="77777777" w:rsidR="009D3E2D" w:rsidRPr="009D3E2D" w:rsidRDefault="009D3E2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Long-term monitoring programs are essential for understanding ecological trends and environmental variability in reservoir ecosystems. The present study was conducted over a limited time period; therefore, extending monitoring efforts over multiple years would allow researchers to detect long-term changes in nutrient dynamics, phytoplankton diversity, and trophic conditions.</w:t>
      </w:r>
    </w:p>
    <w:p w14:paraId="2C005B4E" w14:textId="77777777" w:rsidR="009D3E2D" w:rsidRPr="009D3E2D" w:rsidRDefault="009D3E2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Long-term datasets can help identify patterns associated with seasonal variability, watershed land-use changes, and anthropogenic pressures. These datasets also improve the reliability of predictive models because machine learning algorithms generally perform better when trained on large and diverse datasets.</w:t>
      </w:r>
    </w:p>
    <w:p w14:paraId="4C745F12" w14:textId="7350B922" w:rsidR="009D3E2D" w:rsidRPr="009D3E2D" w:rsidRDefault="009D3E2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Establishing continuous monitoring stations equipped with automated sensors for parameters such as temperature, dissolved oxygen, pH, and turbidity could significantly enhance the quality and availability of environmental data for future research.</w:t>
      </w:r>
    </w:p>
    <w:p w14:paraId="2770112E" w14:textId="77777777" w:rsidR="009D3E2D" w:rsidRPr="009D3E2D" w:rsidRDefault="009D3E2D" w:rsidP="00BB1EBC">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9D3E2D">
        <w:rPr>
          <w:rFonts w:ascii="Times New Roman" w:eastAsia="Times New Roman" w:hAnsi="Times New Roman" w:cs="Times New Roman"/>
          <w:b/>
          <w:bCs/>
          <w:sz w:val="24"/>
          <w:szCs w:val="24"/>
          <w:lang w:eastAsia="en-IN"/>
        </w:rPr>
        <w:t>Climate Change Impact Studies</w:t>
      </w:r>
    </w:p>
    <w:p w14:paraId="114FCACF" w14:textId="77777777" w:rsidR="009D3E2D" w:rsidRPr="009D3E2D" w:rsidRDefault="009D3E2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Climate change is expected to have significant impacts on freshwater ecosystems worldwide. Rising temperatures, altered rainfall patterns, and increased frequency of extreme weather events may influence hydrological cycles, nutrient transport, and biological productivity in reservoirs.</w:t>
      </w:r>
    </w:p>
    <w:p w14:paraId="3D242A69" w14:textId="77777777" w:rsidR="009D3E2D" w:rsidRPr="009D3E2D" w:rsidRDefault="009D3E2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 xml:space="preserve">Future studies should investigate how climate change may affect the trophic status of reservoirs like </w:t>
      </w:r>
      <w:proofErr w:type="spellStart"/>
      <w:r w:rsidRPr="009D3E2D">
        <w:rPr>
          <w:rFonts w:ascii="Times New Roman" w:eastAsia="Times New Roman" w:hAnsi="Times New Roman" w:cs="Times New Roman"/>
          <w:sz w:val="24"/>
          <w:szCs w:val="24"/>
          <w:lang w:eastAsia="en-IN"/>
        </w:rPr>
        <w:t>Kotpally</w:t>
      </w:r>
      <w:proofErr w:type="spellEnd"/>
      <w:r w:rsidRPr="009D3E2D">
        <w:rPr>
          <w:rFonts w:ascii="Times New Roman" w:eastAsia="Times New Roman" w:hAnsi="Times New Roman" w:cs="Times New Roman"/>
          <w:sz w:val="24"/>
          <w:szCs w:val="24"/>
          <w:lang w:eastAsia="en-IN"/>
        </w:rPr>
        <w:t>. For example, increased temperatures may promote the growth of cyanobacteria, while changes in rainfall patterns may alter nutrient loading from surrounding catchments.</w:t>
      </w:r>
    </w:p>
    <w:p w14:paraId="3CB514BF" w14:textId="4613822F" w:rsidR="009D3E2D" w:rsidRPr="009D3E2D" w:rsidRDefault="009D3E2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lastRenderedPageBreak/>
        <w:t xml:space="preserve">Climate-driven ecological changes could be evaluated using integrated </w:t>
      </w:r>
      <w:proofErr w:type="spellStart"/>
      <w:r w:rsidRPr="009D3E2D">
        <w:rPr>
          <w:rFonts w:ascii="Times New Roman" w:eastAsia="Times New Roman" w:hAnsi="Times New Roman" w:cs="Times New Roman"/>
          <w:sz w:val="24"/>
          <w:szCs w:val="24"/>
          <w:lang w:eastAsia="en-IN"/>
        </w:rPr>
        <w:t>modeling</w:t>
      </w:r>
      <w:proofErr w:type="spellEnd"/>
      <w:r w:rsidRPr="009D3E2D">
        <w:rPr>
          <w:rFonts w:ascii="Times New Roman" w:eastAsia="Times New Roman" w:hAnsi="Times New Roman" w:cs="Times New Roman"/>
          <w:sz w:val="24"/>
          <w:szCs w:val="24"/>
          <w:lang w:eastAsia="en-IN"/>
        </w:rPr>
        <w:t xml:space="preserve"> approaches that combine hydrological models, climate projections, and machine learning techniques. Such studies would provide valuable insights into the resilience and vulnerability of freshwater ecosystems under changing environmental conditions.</w:t>
      </w:r>
    </w:p>
    <w:p w14:paraId="09E9B390" w14:textId="77777777" w:rsidR="009D3E2D" w:rsidRPr="009D3E2D" w:rsidRDefault="009D3E2D" w:rsidP="00BB1EBC">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9D3E2D">
        <w:rPr>
          <w:rFonts w:ascii="Times New Roman" w:eastAsia="Times New Roman" w:hAnsi="Times New Roman" w:cs="Times New Roman"/>
          <w:b/>
          <w:bCs/>
          <w:sz w:val="24"/>
          <w:szCs w:val="24"/>
          <w:lang w:eastAsia="en-IN"/>
        </w:rPr>
        <w:t>Application of Deep Learning Models</w:t>
      </w:r>
    </w:p>
    <w:p w14:paraId="659A5C6C" w14:textId="77777777" w:rsidR="009D3E2D" w:rsidRPr="009D3E2D" w:rsidRDefault="009D3E2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While traditional machine learning algorithms such as Random Forest and Support Vector Machines have shown promising results in water quality prediction, emerging deep learning techniques offer additional opportunities for improving predictive accuracy.</w:t>
      </w:r>
    </w:p>
    <w:p w14:paraId="6DD89584" w14:textId="2F260A4A" w:rsidR="009D3E2D" w:rsidRPr="009D3E2D" w:rsidRDefault="009D3E2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 xml:space="preserve">Deep learning models such as </w:t>
      </w:r>
      <w:r w:rsidRPr="009D3E2D">
        <w:rPr>
          <w:rFonts w:ascii="Times New Roman" w:eastAsia="Times New Roman" w:hAnsi="Times New Roman" w:cs="Times New Roman"/>
          <w:b/>
          <w:bCs/>
          <w:sz w:val="24"/>
          <w:szCs w:val="24"/>
          <w:lang w:eastAsia="en-IN"/>
        </w:rPr>
        <w:t>Convolutional Neural Network (CNN)</w:t>
      </w:r>
      <w:r w:rsidRPr="009D3E2D">
        <w:rPr>
          <w:rFonts w:ascii="Times New Roman" w:eastAsia="Times New Roman" w:hAnsi="Times New Roman" w:cs="Times New Roman"/>
          <w:sz w:val="24"/>
          <w:szCs w:val="24"/>
          <w:lang w:eastAsia="en-IN"/>
        </w:rPr>
        <w:t xml:space="preserve"> and </w:t>
      </w:r>
      <w:r w:rsidRPr="009D3E2D">
        <w:rPr>
          <w:rFonts w:ascii="Times New Roman" w:eastAsia="Times New Roman" w:hAnsi="Times New Roman" w:cs="Times New Roman"/>
          <w:b/>
          <w:bCs/>
          <w:sz w:val="24"/>
          <w:szCs w:val="24"/>
          <w:lang w:eastAsia="en-IN"/>
        </w:rPr>
        <w:t>Long Short</w:t>
      </w:r>
      <w:r w:rsidRPr="009D3E2D">
        <w:rPr>
          <w:rFonts w:ascii="Times New Roman" w:eastAsia="Times New Roman" w:hAnsi="Times New Roman" w:cs="Times New Roman"/>
          <w:b/>
          <w:bCs/>
          <w:sz w:val="24"/>
          <w:szCs w:val="24"/>
          <w:lang w:eastAsia="en-IN"/>
        </w:rPr>
        <w:noBreakHyphen/>
        <w:t>Term Memory network (LSTM)</w:t>
      </w:r>
      <w:r w:rsidRPr="009D3E2D">
        <w:rPr>
          <w:rFonts w:ascii="Times New Roman" w:eastAsia="Times New Roman" w:hAnsi="Times New Roman" w:cs="Times New Roman"/>
          <w:sz w:val="24"/>
          <w:szCs w:val="24"/>
          <w:lang w:eastAsia="en-IN"/>
        </w:rPr>
        <w:t xml:space="preserve"> are capable of </w:t>
      </w:r>
      <w:proofErr w:type="spellStart"/>
      <w:r w:rsidRPr="009D3E2D">
        <w:rPr>
          <w:rFonts w:ascii="Times New Roman" w:eastAsia="Times New Roman" w:hAnsi="Times New Roman" w:cs="Times New Roman"/>
          <w:sz w:val="24"/>
          <w:szCs w:val="24"/>
          <w:lang w:eastAsia="en-IN"/>
        </w:rPr>
        <w:t>analyzing</w:t>
      </w:r>
      <w:proofErr w:type="spellEnd"/>
      <w:r w:rsidRPr="009D3E2D">
        <w:rPr>
          <w:rFonts w:ascii="Times New Roman" w:eastAsia="Times New Roman" w:hAnsi="Times New Roman" w:cs="Times New Roman"/>
          <w:sz w:val="24"/>
          <w:szCs w:val="24"/>
          <w:lang w:eastAsia="en-IN"/>
        </w:rPr>
        <w:t xml:space="preserve"> complex datasets and identifying hidden patterns in large environmental datasets. CNN models are particularly useful for </w:t>
      </w:r>
      <w:proofErr w:type="spellStart"/>
      <w:r w:rsidRPr="009D3E2D">
        <w:rPr>
          <w:rFonts w:ascii="Times New Roman" w:eastAsia="Times New Roman" w:hAnsi="Times New Roman" w:cs="Times New Roman"/>
          <w:sz w:val="24"/>
          <w:szCs w:val="24"/>
          <w:lang w:eastAsia="en-IN"/>
        </w:rPr>
        <w:t>analyzing</w:t>
      </w:r>
      <w:proofErr w:type="spellEnd"/>
      <w:r w:rsidRPr="009D3E2D">
        <w:rPr>
          <w:rFonts w:ascii="Times New Roman" w:eastAsia="Times New Roman" w:hAnsi="Times New Roman" w:cs="Times New Roman"/>
          <w:sz w:val="24"/>
          <w:szCs w:val="24"/>
          <w:lang w:eastAsia="en-IN"/>
        </w:rPr>
        <w:t xml:space="preserve"> satellite imagery and spatial data, while LSTM networks are effective for </w:t>
      </w:r>
      <w:proofErr w:type="spellStart"/>
      <w:r w:rsidRPr="009D3E2D">
        <w:rPr>
          <w:rFonts w:ascii="Times New Roman" w:eastAsia="Times New Roman" w:hAnsi="Times New Roman" w:cs="Times New Roman"/>
          <w:sz w:val="24"/>
          <w:szCs w:val="24"/>
          <w:lang w:eastAsia="en-IN"/>
        </w:rPr>
        <w:t>modeling</w:t>
      </w:r>
      <w:proofErr w:type="spellEnd"/>
      <w:r w:rsidRPr="009D3E2D">
        <w:rPr>
          <w:rFonts w:ascii="Times New Roman" w:eastAsia="Times New Roman" w:hAnsi="Times New Roman" w:cs="Times New Roman"/>
          <w:sz w:val="24"/>
          <w:szCs w:val="24"/>
          <w:lang w:eastAsia="en-IN"/>
        </w:rPr>
        <w:t xml:space="preserve"> temporal sequences and time-series environmental data</w:t>
      </w:r>
      <w:r w:rsidR="00D57767">
        <w:rPr>
          <w:rFonts w:ascii="Times New Roman" w:eastAsia="Times New Roman" w:hAnsi="Times New Roman" w:cs="Times New Roman"/>
          <w:sz w:val="24"/>
          <w:szCs w:val="24"/>
          <w:lang w:eastAsia="en-IN"/>
        </w:rPr>
        <w:t xml:space="preserve"> (Gajanan 2025)</w:t>
      </w:r>
      <w:r w:rsidRPr="009D3E2D">
        <w:rPr>
          <w:rFonts w:ascii="Times New Roman" w:eastAsia="Times New Roman" w:hAnsi="Times New Roman" w:cs="Times New Roman"/>
          <w:sz w:val="24"/>
          <w:szCs w:val="24"/>
          <w:lang w:eastAsia="en-IN"/>
        </w:rPr>
        <w:t>.</w:t>
      </w:r>
    </w:p>
    <w:p w14:paraId="207D9A87" w14:textId="4F140E1C" w:rsidR="009D3E2D" w:rsidRPr="009D3E2D" w:rsidRDefault="009D3E2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 xml:space="preserve">Future research could explore the application of deep learning approaches to predict trophic dynamics, algal bloom events, and long-term ecological changes in reservoirs. Integrating deep learning with remote sensing and real-time monitoring systems could significantly enhance predictive </w:t>
      </w:r>
      <w:proofErr w:type="spellStart"/>
      <w:r w:rsidRPr="009D3E2D">
        <w:rPr>
          <w:rFonts w:ascii="Times New Roman" w:eastAsia="Times New Roman" w:hAnsi="Times New Roman" w:cs="Times New Roman"/>
          <w:sz w:val="24"/>
          <w:szCs w:val="24"/>
          <w:lang w:eastAsia="en-IN"/>
        </w:rPr>
        <w:t>modeling</w:t>
      </w:r>
      <w:proofErr w:type="spellEnd"/>
      <w:r w:rsidRPr="009D3E2D">
        <w:rPr>
          <w:rFonts w:ascii="Times New Roman" w:eastAsia="Times New Roman" w:hAnsi="Times New Roman" w:cs="Times New Roman"/>
          <w:sz w:val="24"/>
          <w:szCs w:val="24"/>
          <w:lang w:eastAsia="en-IN"/>
        </w:rPr>
        <w:t xml:space="preserve"> capabilities in aquatic ecosystem studies.</w:t>
      </w:r>
    </w:p>
    <w:p w14:paraId="3C214E9D" w14:textId="7C91B084" w:rsidR="009D3E2D" w:rsidRPr="00196008" w:rsidRDefault="009D3E2D" w:rsidP="00BB1EB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D3E2D">
        <w:rPr>
          <w:rFonts w:ascii="Times New Roman" w:eastAsia="Times New Roman" w:hAnsi="Times New Roman" w:cs="Times New Roman"/>
          <w:sz w:val="24"/>
          <w:szCs w:val="24"/>
          <w:lang w:eastAsia="en-IN"/>
        </w:rPr>
        <w:t>Overall, future research integrating remote sensing technologies, long-term ecological datasets, climate change assessments, and advanced deep learning models will greatly improve our understanding of reservoir ecosystems. Such multidisciplinary approaches will support more effective water resource management and contribute to the sustainable conservation of freshwater environments.</w:t>
      </w:r>
    </w:p>
    <w:p w14:paraId="205EB5E3" w14:textId="41180C92" w:rsidR="00BA37E3" w:rsidRPr="005E727C" w:rsidRDefault="00BA37E3" w:rsidP="00BB1EBC">
      <w:pPr>
        <w:pStyle w:val="Heading1"/>
        <w:spacing w:line="360" w:lineRule="auto"/>
        <w:jc w:val="both"/>
        <w:rPr>
          <w:sz w:val="24"/>
          <w:szCs w:val="24"/>
        </w:rPr>
      </w:pPr>
      <w:r w:rsidRPr="005E727C">
        <w:rPr>
          <w:sz w:val="24"/>
          <w:szCs w:val="24"/>
        </w:rPr>
        <w:t>9. References</w:t>
      </w:r>
    </w:p>
    <w:p w14:paraId="3C223873" w14:textId="77777777" w:rsidR="0006160D" w:rsidRPr="00AA46E8" w:rsidRDefault="0006160D" w:rsidP="0006160D">
      <w:pPr>
        <w:pStyle w:val="NormalWeb"/>
        <w:numPr>
          <w:ilvl w:val="0"/>
          <w:numId w:val="21"/>
        </w:numPr>
        <w:spacing w:line="360" w:lineRule="auto"/>
        <w:jc w:val="both"/>
        <w:rPr>
          <w:color w:val="000000" w:themeColor="text1"/>
        </w:rPr>
      </w:pPr>
      <w:r w:rsidRPr="00AA46E8">
        <w:rPr>
          <w:color w:val="000000" w:themeColor="text1"/>
        </w:rPr>
        <w:t xml:space="preserve">American Public Health Association. (2017). </w:t>
      </w:r>
      <w:r w:rsidRPr="00AA46E8">
        <w:rPr>
          <w:rStyle w:val="Emphasis"/>
          <w:color w:val="000000" w:themeColor="text1"/>
        </w:rPr>
        <w:t>Standard methods for the examination of water and wastewater</w:t>
      </w:r>
      <w:r w:rsidRPr="00AA46E8">
        <w:rPr>
          <w:color w:val="000000" w:themeColor="text1"/>
        </w:rPr>
        <w:t xml:space="preserve"> (23rd ed.). American Public Health Association.</w:t>
      </w:r>
    </w:p>
    <w:p w14:paraId="07DC74D0" w14:textId="77777777" w:rsidR="0006160D" w:rsidRPr="00AA46E8" w:rsidRDefault="0006160D" w:rsidP="0006160D">
      <w:pPr>
        <w:pStyle w:val="NormalWeb"/>
        <w:numPr>
          <w:ilvl w:val="0"/>
          <w:numId w:val="21"/>
        </w:numPr>
        <w:spacing w:line="360" w:lineRule="auto"/>
        <w:jc w:val="both"/>
        <w:rPr>
          <w:color w:val="000000" w:themeColor="text1"/>
        </w:rPr>
      </w:pPr>
      <w:proofErr w:type="spellStart"/>
      <w:r w:rsidRPr="00AA46E8">
        <w:rPr>
          <w:color w:val="000000" w:themeColor="text1"/>
        </w:rPr>
        <w:t>Breiman</w:t>
      </w:r>
      <w:proofErr w:type="spellEnd"/>
      <w:r w:rsidRPr="00AA46E8">
        <w:rPr>
          <w:color w:val="000000" w:themeColor="text1"/>
        </w:rPr>
        <w:t xml:space="preserve">, L. (2001). Random forests. </w:t>
      </w:r>
      <w:r w:rsidRPr="00AA46E8">
        <w:rPr>
          <w:rStyle w:val="Emphasis"/>
          <w:color w:val="000000" w:themeColor="text1"/>
        </w:rPr>
        <w:t>Machine Learning, 45</w:t>
      </w:r>
      <w:r w:rsidRPr="00AA46E8">
        <w:rPr>
          <w:color w:val="000000" w:themeColor="text1"/>
        </w:rPr>
        <w:t xml:space="preserve">(1), 5–32. </w:t>
      </w:r>
      <w:hyperlink r:id="rId12" w:history="1">
        <w:r w:rsidRPr="00AA46E8">
          <w:rPr>
            <w:rStyle w:val="Hyperlink"/>
            <w:color w:val="000000" w:themeColor="text1"/>
          </w:rPr>
          <w:t>https://doi.org/10.1023/A:1010933404324</w:t>
        </w:r>
      </w:hyperlink>
    </w:p>
    <w:p w14:paraId="2F7A0BA8" w14:textId="77777777" w:rsidR="0006160D" w:rsidRPr="00AA46E8" w:rsidRDefault="0006160D" w:rsidP="0006160D">
      <w:pPr>
        <w:pStyle w:val="NormalWeb"/>
        <w:numPr>
          <w:ilvl w:val="0"/>
          <w:numId w:val="21"/>
        </w:numPr>
        <w:spacing w:line="360" w:lineRule="auto"/>
        <w:jc w:val="both"/>
        <w:rPr>
          <w:color w:val="000000" w:themeColor="text1"/>
        </w:rPr>
      </w:pPr>
      <w:r w:rsidRPr="00AA46E8">
        <w:rPr>
          <w:color w:val="000000" w:themeColor="text1"/>
        </w:rPr>
        <w:t xml:space="preserve">Carlson, R. E. (1977). A trophic state index for lakes. </w:t>
      </w:r>
      <w:r w:rsidRPr="00AA46E8">
        <w:rPr>
          <w:rStyle w:val="Emphasis"/>
          <w:color w:val="000000" w:themeColor="text1"/>
        </w:rPr>
        <w:t>Limnology and Oceanography, 22</w:t>
      </w:r>
      <w:r w:rsidRPr="00AA46E8">
        <w:rPr>
          <w:color w:val="000000" w:themeColor="text1"/>
        </w:rPr>
        <w:t xml:space="preserve">(2), 361–369. </w:t>
      </w:r>
      <w:hyperlink r:id="rId13" w:history="1">
        <w:r w:rsidRPr="00AA46E8">
          <w:rPr>
            <w:rStyle w:val="Hyperlink"/>
            <w:color w:val="000000" w:themeColor="text1"/>
          </w:rPr>
          <w:t>https://doi.org/10.4319/lo.1977.22.2.0361</w:t>
        </w:r>
      </w:hyperlink>
    </w:p>
    <w:p w14:paraId="781DF96E" w14:textId="77777777" w:rsidR="0006160D" w:rsidRPr="00AA46E8" w:rsidRDefault="0006160D" w:rsidP="0006160D">
      <w:pPr>
        <w:pStyle w:val="NormalWeb"/>
        <w:numPr>
          <w:ilvl w:val="0"/>
          <w:numId w:val="21"/>
        </w:numPr>
        <w:spacing w:line="360" w:lineRule="auto"/>
        <w:jc w:val="both"/>
        <w:rPr>
          <w:color w:val="000000" w:themeColor="text1"/>
        </w:rPr>
      </w:pPr>
      <w:proofErr w:type="spellStart"/>
      <w:r w:rsidRPr="00AA46E8">
        <w:rPr>
          <w:color w:val="000000" w:themeColor="text1"/>
        </w:rPr>
        <w:lastRenderedPageBreak/>
        <w:t>Chapra</w:t>
      </w:r>
      <w:proofErr w:type="spellEnd"/>
      <w:r w:rsidRPr="00AA46E8">
        <w:rPr>
          <w:color w:val="000000" w:themeColor="text1"/>
        </w:rPr>
        <w:t xml:space="preserve">, S. C. (2008). </w:t>
      </w:r>
      <w:r w:rsidRPr="00AA46E8">
        <w:rPr>
          <w:rStyle w:val="Emphasis"/>
          <w:color w:val="000000" w:themeColor="text1"/>
        </w:rPr>
        <w:t xml:space="preserve">Surface water-quality </w:t>
      </w:r>
      <w:proofErr w:type="spellStart"/>
      <w:r w:rsidRPr="00AA46E8">
        <w:rPr>
          <w:rStyle w:val="Emphasis"/>
          <w:color w:val="000000" w:themeColor="text1"/>
        </w:rPr>
        <w:t>modeling</w:t>
      </w:r>
      <w:proofErr w:type="spellEnd"/>
      <w:r w:rsidRPr="00AA46E8">
        <w:rPr>
          <w:color w:val="000000" w:themeColor="text1"/>
        </w:rPr>
        <w:t>. Waveland Press.</w:t>
      </w:r>
    </w:p>
    <w:p w14:paraId="30F6E327" w14:textId="77777777" w:rsidR="0006160D" w:rsidRPr="00AA46E8" w:rsidRDefault="0006160D" w:rsidP="0006160D">
      <w:pPr>
        <w:pStyle w:val="NormalWeb"/>
        <w:numPr>
          <w:ilvl w:val="0"/>
          <w:numId w:val="21"/>
        </w:numPr>
        <w:spacing w:line="360" w:lineRule="auto"/>
        <w:jc w:val="both"/>
        <w:rPr>
          <w:color w:val="000000" w:themeColor="text1"/>
        </w:rPr>
      </w:pPr>
      <w:r w:rsidRPr="00AA46E8">
        <w:rPr>
          <w:color w:val="000000" w:themeColor="text1"/>
        </w:rPr>
        <w:t xml:space="preserve">Cortes, C., &amp; </w:t>
      </w:r>
      <w:proofErr w:type="spellStart"/>
      <w:r w:rsidRPr="00AA46E8">
        <w:rPr>
          <w:color w:val="000000" w:themeColor="text1"/>
        </w:rPr>
        <w:t>Vapnik</w:t>
      </w:r>
      <w:proofErr w:type="spellEnd"/>
      <w:r w:rsidRPr="00AA46E8">
        <w:rPr>
          <w:color w:val="000000" w:themeColor="text1"/>
        </w:rPr>
        <w:t xml:space="preserve">, V. (1995). Support-vector networks. </w:t>
      </w:r>
      <w:r w:rsidRPr="00AA46E8">
        <w:rPr>
          <w:rStyle w:val="Emphasis"/>
          <w:color w:val="000000" w:themeColor="text1"/>
        </w:rPr>
        <w:t>Machine Learning, 20</w:t>
      </w:r>
      <w:r w:rsidRPr="00AA46E8">
        <w:rPr>
          <w:color w:val="000000" w:themeColor="text1"/>
        </w:rPr>
        <w:t xml:space="preserve">(3), 273–297. </w:t>
      </w:r>
      <w:hyperlink r:id="rId14" w:history="1">
        <w:r w:rsidRPr="00AA46E8">
          <w:rPr>
            <w:rStyle w:val="Hyperlink"/>
            <w:color w:val="000000" w:themeColor="text1"/>
          </w:rPr>
          <w:t>https://doi.org/10.1007/BF00994018</w:t>
        </w:r>
      </w:hyperlink>
    </w:p>
    <w:p w14:paraId="0A75221E" w14:textId="77777777" w:rsidR="0006160D" w:rsidRPr="00AA46E8" w:rsidRDefault="0006160D" w:rsidP="0006160D">
      <w:pPr>
        <w:pStyle w:val="NormalWeb"/>
        <w:numPr>
          <w:ilvl w:val="0"/>
          <w:numId w:val="21"/>
        </w:numPr>
        <w:spacing w:line="360" w:lineRule="auto"/>
        <w:jc w:val="both"/>
        <w:rPr>
          <w:color w:val="000000" w:themeColor="text1"/>
        </w:rPr>
      </w:pPr>
      <w:r w:rsidRPr="00AA46E8">
        <w:rPr>
          <w:color w:val="000000" w:themeColor="text1"/>
        </w:rPr>
        <w:t xml:space="preserve">Dodds, W. K., &amp; Whiles, M. R. (2010). </w:t>
      </w:r>
      <w:r w:rsidRPr="00AA46E8">
        <w:rPr>
          <w:rStyle w:val="Emphasis"/>
          <w:color w:val="000000" w:themeColor="text1"/>
        </w:rPr>
        <w:t>Freshwater ecology: Concepts and environmental applications of limnology</w:t>
      </w:r>
      <w:r w:rsidRPr="00AA46E8">
        <w:rPr>
          <w:color w:val="000000" w:themeColor="text1"/>
        </w:rPr>
        <w:t xml:space="preserve"> (2nd ed.). Academic Press.</w:t>
      </w:r>
    </w:p>
    <w:p w14:paraId="4AAA8F4C" w14:textId="77777777" w:rsidR="0006160D" w:rsidRPr="0006160D" w:rsidRDefault="0006160D" w:rsidP="0006160D">
      <w:pPr>
        <w:pStyle w:val="ListParagraph"/>
        <w:numPr>
          <w:ilvl w:val="0"/>
          <w:numId w:val="21"/>
        </w:numPr>
        <w:spacing w:line="360" w:lineRule="auto"/>
        <w:jc w:val="both"/>
        <w:rPr>
          <w:rFonts w:ascii="Times New Roman" w:hAnsi="Times New Roman" w:cs="Times New Roman"/>
          <w:color w:val="000000" w:themeColor="text1"/>
          <w:sz w:val="24"/>
          <w:szCs w:val="24"/>
        </w:rPr>
      </w:pPr>
      <w:r w:rsidRPr="0006160D">
        <w:rPr>
          <w:rFonts w:ascii="Times New Roman" w:hAnsi="Times New Roman" w:cs="Times New Roman"/>
          <w:color w:val="000000" w:themeColor="text1"/>
          <w:sz w:val="24"/>
          <w:szCs w:val="24"/>
        </w:rPr>
        <w:t xml:space="preserve">Dr. Koppula Sampath, Dr. David Wilson, Dr. K Y Karuna (2025). Physicochemical parameters and phytoplankton composition in a Semi-Arid Indian Reservoir: </w:t>
      </w:r>
      <w:proofErr w:type="spellStart"/>
      <w:r w:rsidRPr="0006160D">
        <w:rPr>
          <w:rFonts w:ascii="Times New Roman" w:hAnsi="Times New Roman" w:cs="Times New Roman"/>
          <w:color w:val="000000" w:themeColor="text1"/>
          <w:sz w:val="24"/>
          <w:szCs w:val="24"/>
        </w:rPr>
        <w:t>Kotpally</w:t>
      </w:r>
      <w:proofErr w:type="spellEnd"/>
      <w:r w:rsidRPr="0006160D">
        <w:rPr>
          <w:rFonts w:ascii="Times New Roman" w:hAnsi="Times New Roman" w:cs="Times New Roman"/>
          <w:color w:val="000000" w:themeColor="text1"/>
          <w:sz w:val="24"/>
          <w:szCs w:val="24"/>
        </w:rPr>
        <w:t xml:space="preserve">, Telangana. </w:t>
      </w:r>
      <w:r w:rsidRPr="0006160D">
        <w:rPr>
          <w:rFonts w:ascii="Times New Roman" w:hAnsi="Times New Roman" w:cs="Times New Roman"/>
          <w:i/>
          <w:iCs/>
          <w:color w:val="000000" w:themeColor="text1"/>
          <w:sz w:val="24"/>
          <w:szCs w:val="24"/>
        </w:rPr>
        <w:t>International Journal for Research in Applied Science and Engineering Technology.</w:t>
      </w:r>
    </w:p>
    <w:p w14:paraId="0C482B82" w14:textId="77777777" w:rsidR="0006160D" w:rsidRPr="0006160D" w:rsidRDefault="0006160D" w:rsidP="0006160D">
      <w:pPr>
        <w:pStyle w:val="ListParagraph"/>
        <w:numPr>
          <w:ilvl w:val="0"/>
          <w:numId w:val="21"/>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r w:rsidRPr="0006160D">
        <w:rPr>
          <w:rFonts w:ascii="Times New Roman" w:eastAsia="Times New Roman" w:hAnsi="Times New Roman" w:cs="Times New Roman"/>
          <w:color w:val="000000" w:themeColor="text1"/>
          <w:sz w:val="24"/>
          <w:szCs w:val="24"/>
          <w:lang w:eastAsia="en-IN"/>
        </w:rPr>
        <w:t xml:space="preserve">G. </w:t>
      </w:r>
      <w:proofErr w:type="spellStart"/>
      <w:r w:rsidRPr="0006160D">
        <w:rPr>
          <w:rFonts w:ascii="Times New Roman" w:eastAsia="Times New Roman" w:hAnsi="Times New Roman" w:cs="Times New Roman"/>
          <w:color w:val="000000" w:themeColor="text1"/>
          <w:sz w:val="24"/>
          <w:szCs w:val="24"/>
          <w:lang w:eastAsia="en-IN"/>
        </w:rPr>
        <w:t>Ankatwar</w:t>
      </w:r>
      <w:proofErr w:type="spellEnd"/>
      <w:r w:rsidRPr="0006160D">
        <w:rPr>
          <w:rFonts w:ascii="Times New Roman" w:eastAsia="Times New Roman" w:hAnsi="Times New Roman" w:cs="Times New Roman"/>
          <w:color w:val="000000" w:themeColor="text1"/>
          <w:sz w:val="24"/>
          <w:szCs w:val="24"/>
          <w:lang w:eastAsia="en-IN"/>
        </w:rPr>
        <w:t xml:space="preserve"> and C. Dhawale, “Automated cotton leaf disease detection: A step towards smart and sustainable agriculture,” in </w:t>
      </w:r>
      <w:r w:rsidRPr="0006160D">
        <w:rPr>
          <w:rFonts w:ascii="Times New Roman" w:eastAsia="Times New Roman" w:hAnsi="Times New Roman" w:cs="Times New Roman"/>
          <w:i/>
          <w:iCs/>
          <w:color w:val="000000" w:themeColor="text1"/>
          <w:sz w:val="24"/>
          <w:szCs w:val="24"/>
          <w:lang w:eastAsia="en-IN"/>
        </w:rPr>
        <w:t>Proc. Int. Conf. Intelligent and Innovative Technologies in Computing, Electrical and Electronics (IITCEE)</w:t>
      </w:r>
      <w:r w:rsidRPr="0006160D">
        <w:rPr>
          <w:rFonts w:ascii="Times New Roman" w:eastAsia="Times New Roman" w:hAnsi="Times New Roman" w:cs="Times New Roman"/>
          <w:color w:val="000000" w:themeColor="text1"/>
          <w:sz w:val="24"/>
          <w:szCs w:val="24"/>
          <w:lang w:eastAsia="en-IN"/>
        </w:rPr>
        <w:t>, Bangalore, India, 2026, pp. 1–6.</w:t>
      </w:r>
    </w:p>
    <w:p w14:paraId="47B9C5FC" w14:textId="77777777" w:rsidR="0006160D" w:rsidRPr="0006160D" w:rsidRDefault="0006160D" w:rsidP="0006160D">
      <w:pPr>
        <w:pStyle w:val="ListParagraph"/>
        <w:numPr>
          <w:ilvl w:val="0"/>
          <w:numId w:val="21"/>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r w:rsidRPr="0006160D">
        <w:rPr>
          <w:rFonts w:ascii="Times New Roman" w:eastAsia="Times New Roman" w:hAnsi="Times New Roman" w:cs="Times New Roman"/>
          <w:color w:val="000000" w:themeColor="text1"/>
          <w:sz w:val="24"/>
          <w:szCs w:val="24"/>
          <w:lang w:eastAsia="en-IN"/>
        </w:rPr>
        <w:t xml:space="preserve">G. </w:t>
      </w:r>
      <w:proofErr w:type="spellStart"/>
      <w:r w:rsidRPr="0006160D">
        <w:rPr>
          <w:rFonts w:ascii="Times New Roman" w:eastAsia="Times New Roman" w:hAnsi="Times New Roman" w:cs="Times New Roman"/>
          <w:color w:val="000000" w:themeColor="text1"/>
          <w:sz w:val="24"/>
          <w:szCs w:val="24"/>
          <w:lang w:eastAsia="en-IN"/>
        </w:rPr>
        <w:t>Ankatwar</w:t>
      </w:r>
      <w:proofErr w:type="spellEnd"/>
      <w:r w:rsidRPr="0006160D">
        <w:rPr>
          <w:rFonts w:ascii="Times New Roman" w:eastAsia="Times New Roman" w:hAnsi="Times New Roman" w:cs="Times New Roman"/>
          <w:color w:val="000000" w:themeColor="text1"/>
          <w:sz w:val="24"/>
          <w:szCs w:val="24"/>
          <w:lang w:eastAsia="en-IN"/>
        </w:rPr>
        <w:t xml:space="preserve"> and C. Dhawale, “Enhancing cotton crop health monitoring through transfer learning and image preprocessing,” in </w:t>
      </w:r>
      <w:r w:rsidRPr="0006160D">
        <w:rPr>
          <w:rFonts w:ascii="Times New Roman" w:eastAsia="Times New Roman" w:hAnsi="Times New Roman" w:cs="Times New Roman"/>
          <w:i/>
          <w:iCs/>
          <w:color w:val="000000" w:themeColor="text1"/>
          <w:sz w:val="24"/>
          <w:szCs w:val="24"/>
          <w:lang w:eastAsia="en-IN"/>
        </w:rPr>
        <w:t>Proc. Int. Conf. Intelligent and Innovative Technologies in Computing, Electrical and Electronics (IITCEE)</w:t>
      </w:r>
      <w:r w:rsidRPr="0006160D">
        <w:rPr>
          <w:rFonts w:ascii="Times New Roman" w:eastAsia="Times New Roman" w:hAnsi="Times New Roman" w:cs="Times New Roman"/>
          <w:color w:val="000000" w:themeColor="text1"/>
          <w:sz w:val="24"/>
          <w:szCs w:val="24"/>
          <w:lang w:eastAsia="en-IN"/>
        </w:rPr>
        <w:t>, Bangalore, India, 2026, pp. 1–6.</w:t>
      </w:r>
    </w:p>
    <w:p w14:paraId="3CED3162" w14:textId="77777777" w:rsidR="0006160D" w:rsidRPr="0006160D" w:rsidRDefault="0006160D" w:rsidP="0006160D">
      <w:pPr>
        <w:pStyle w:val="ListParagraph"/>
        <w:numPr>
          <w:ilvl w:val="0"/>
          <w:numId w:val="21"/>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r w:rsidRPr="0006160D">
        <w:rPr>
          <w:rFonts w:ascii="Times New Roman" w:eastAsia="Times New Roman" w:hAnsi="Times New Roman" w:cs="Times New Roman"/>
          <w:color w:val="000000" w:themeColor="text1"/>
          <w:sz w:val="24"/>
          <w:szCs w:val="24"/>
          <w:lang w:eastAsia="en-IN"/>
        </w:rPr>
        <w:t xml:space="preserve">G. </w:t>
      </w:r>
      <w:proofErr w:type="spellStart"/>
      <w:r w:rsidRPr="0006160D">
        <w:rPr>
          <w:rFonts w:ascii="Times New Roman" w:eastAsia="Times New Roman" w:hAnsi="Times New Roman" w:cs="Times New Roman"/>
          <w:color w:val="000000" w:themeColor="text1"/>
          <w:sz w:val="24"/>
          <w:szCs w:val="24"/>
          <w:lang w:eastAsia="en-IN"/>
        </w:rPr>
        <w:t>Ankatwar</w:t>
      </w:r>
      <w:proofErr w:type="spellEnd"/>
      <w:r w:rsidRPr="0006160D">
        <w:rPr>
          <w:rFonts w:ascii="Times New Roman" w:eastAsia="Times New Roman" w:hAnsi="Times New Roman" w:cs="Times New Roman"/>
          <w:color w:val="000000" w:themeColor="text1"/>
          <w:sz w:val="24"/>
          <w:szCs w:val="24"/>
          <w:lang w:eastAsia="en-IN"/>
        </w:rPr>
        <w:t xml:space="preserve"> and C. Dhawale, “Enhancing crop disease detection systems with explainable AI techniques for deep learning models using spectral imaging,” in </w:t>
      </w:r>
      <w:r w:rsidRPr="0006160D">
        <w:rPr>
          <w:rFonts w:ascii="Times New Roman" w:eastAsia="Times New Roman" w:hAnsi="Times New Roman" w:cs="Times New Roman"/>
          <w:i/>
          <w:iCs/>
          <w:color w:val="000000" w:themeColor="text1"/>
          <w:sz w:val="24"/>
          <w:szCs w:val="24"/>
          <w:lang w:eastAsia="en-IN"/>
        </w:rPr>
        <w:t>Proc. 2nd Int. Conf. Emerging Trends in Engineering and Medical Sciences (ICETEMS)</w:t>
      </w:r>
      <w:r w:rsidRPr="0006160D">
        <w:rPr>
          <w:rFonts w:ascii="Times New Roman" w:eastAsia="Times New Roman" w:hAnsi="Times New Roman" w:cs="Times New Roman"/>
          <w:color w:val="000000" w:themeColor="text1"/>
          <w:sz w:val="24"/>
          <w:szCs w:val="24"/>
          <w:lang w:eastAsia="en-IN"/>
        </w:rPr>
        <w:t>, 2024, pp. 312–319.</w:t>
      </w:r>
    </w:p>
    <w:p w14:paraId="728C5876" w14:textId="77777777" w:rsidR="0006160D" w:rsidRPr="0006160D" w:rsidRDefault="0006160D" w:rsidP="0006160D">
      <w:pPr>
        <w:pStyle w:val="ListParagraph"/>
        <w:numPr>
          <w:ilvl w:val="0"/>
          <w:numId w:val="21"/>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r w:rsidRPr="0006160D">
        <w:rPr>
          <w:rFonts w:ascii="Times New Roman" w:eastAsia="Times New Roman" w:hAnsi="Times New Roman" w:cs="Times New Roman"/>
          <w:color w:val="000000" w:themeColor="text1"/>
          <w:sz w:val="24"/>
          <w:szCs w:val="24"/>
          <w:lang w:eastAsia="en-IN"/>
        </w:rPr>
        <w:t xml:space="preserve">G. </w:t>
      </w:r>
      <w:proofErr w:type="spellStart"/>
      <w:r w:rsidRPr="0006160D">
        <w:rPr>
          <w:rFonts w:ascii="Times New Roman" w:eastAsia="Times New Roman" w:hAnsi="Times New Roman" w:cs="Times New Roman"/>
          <w:color w:val="000000" w:themeColor="text1"/>
          <w:sz w:val="24"/>
          <w:szCs w:val="24"/>
          <w:lang w:eastAsia="en-IN"/>
        </w:rPr>
        <w:t>Ankatwar</w:t>
      </w:r>
      <w:proofErr w:type="spellEnd"/>
      <w:r w:rsidRPr="0006160D">
        <w:rPr>
          <w:rFonts w:ascii="Times New Roman" w:eastAsia="Times New Roman" w:hAnsi="Times New Roman" w:cs="Times New Roman"/>
          <w:color w:val="000000" w:themeColor="text1"/>
          <w:sz w:val="24"/>
          <w:szCs w:val="24"/>
          <w:lang w:eastAsia="en-IN"/>
        </w:rPr>
        <w:t xml:space="preserve"> and C. Dhawale, “Multispectral imaging and CNN architectures for cotton leaf disease classification: A comprehensive review,” </w:t>
      </w:r>
      <w:r w:rsidRPr="0006160D">
        <w:rPr>
          <w:rFonts w:ascii="Times New Roman" w:eastAsia="Times New Roman" w:hAnsi="Times New Roman" w:cs="Times New Roman"/>
          <w:i/>
          <w:iCs/>
          <w:color w:val="000000" w:themeColor="text1"/>
          <w:sz w:val="24"/>
          <w:szCs w:val="24"/>
          <w:lang w:eastAsia="en-IN"/>
        </w:rPr>
        <w:t>Int. J. Multidisciplinary Research</w:t>
      </w:r>
      <w:r w:rsidRPr="0006160D">
        <w:rPr>
          <w:rFonts w:ascii="Times New Roman" w:eastAsia="Times New Roman" w:hAnsi="Times New Roman" w:cs="Times New Roman"/>
          <w:color w:val="000000" w:themeColor="text1"/>
          <w:sz w:val="24"/>
          <w:szCs w:val="24"/>
          <w:lang w:eastAsia="en-IN"/>
        </w:rPr>
        <w:t>, vol. 7, no. 3, 2025.</w:t>
      </w:r>
    </w:p>
    <w:p w14:paraId="0D2A9B3C" w14:textId="77777777" w:rsidR="0006160D" w:rsidRPr="0006160D" w:rsidRDefault="0006160D" w:rsidP="0006160D">
      <w:pPr>
        <w:pStyle w:val="ListParagraph"/>
        <w:numPr>
          <w:ilvl w:val="0"/>
          <w:numId w:val="21"/>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r w:rsidRPr="0006160D">
        <w:rPr>
          <w:rFonts w:ascii="Times New Roman" w:eastAsia="Times New Roman" w:hAnsi="Times New Roman" w:cs="Times New Roman"/>
          <w:color w:val="000000" w:themeColor="text1"/>
          <w:sz w:val="24"/>
          <w:szCs w:val="24"/>
          <w:lang w:eastAsia="en-IN"/>
        </w:rPr>
        <w:t xml:space="preserve">G. </w:t>
      </w:r>
      <w:proofErr w:type="spellStart"/>
      <w:r w:rsidRPr="0006160D">
        <w:rPr>
          <w:rFonts w:ascii="Times New Roman" w:eastAsia="Times New Roman" w:hAnsi="Times New Roman" w:cs="Times New Roman"/>
          <w:color w:val="000000" w:themeColor="text1"/>
          <w:sz w:val="24"/>
          <w:szCs w:val="24"/>
          <w:lang w:eastAsia="en-IN"/>
        </w:rPr>
        <w:t>Ankatwar</w:t>
      </w:r>
      <w:proofErr w:type="spellEnd"/>
      <w:r w:rsidRPr="0006160D">
        <w:rPr>
          <w:rFonts w:ascii="Times New Roman" w:eastAsia="Times New Roman" w:hAnsi="Times New Roman" w:cs="Times New Roman"/>
          <w:color w:val="000000" w:themeColor="text1"/>
          <w:sz w:val="24"/>
          <w:szCs w:val="24"/>
          <w:lang w:eastAsia="en-IN"/>
        </w:rPr>
        <w:t xml:space="preserve">, “A comprehensive study of CNN training techniques for image processing,” </w:t>
      </w:r>
      <w:r w:rsidRPr="0006160D">
        <w:rPr>
          <w:rFonts w:ascii="Times New Roman" w:eastAsia="Times New Roman" w:hAnsi="Times New Roman" w:cs="Times New Roman"/>
          <w:i/>
          <w:iCs/>
          <w:color w:val="000000" w:themeColor="text1"/>
          <w:sz w:val="24"/>
          <w:szCs w:val="24"/>
          <w:lang w:eastAsia="en-IN"/>
        </w:rPr>
        <w:t>The Academic</w:t>
      </w:r>
      <w:r w:rsidRPr="0006160D">
        <w:rPr>
          <w:rFonts w:ascii="Times New Roman" w:eastAsia="Times New Roman" w:hAnsi="Times New Roman" w:cs="Times New Roman"/>
          <w:color w:val="000000" w:themeColor="text1"/>
          <w:sz w:val="24"/>
          <w:szCs w:val="24"/>
          <w:lang w:eastAsia="en-IN"/>
        </w:rPr>
        <w:t>, vol. 3, no. 8, pp. 705–711, 2025.</w:t>
      </w:r>
    </w:p>
    <w:p w14:paraId="369203B8" w14:textId="77777777" w:rsidR="0006160D" w:rsidRPr="0006160D" w:rsidRDefault="0006160D" w:rsidP="0006160D">
      <w:pPr>
        <w:pStyle w:val="ListParagraph"/>
        <w:numPr>
          <w:ilvl w:val="0"/>
          <w:numId w:val="21"/>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r w:rsidRPr="0006160D">
        <w:rPr>
          <w:rFonts w:ascii="Times New Roman" w:eastAsia="Times New Roman" w:hAnsi="Times New Roman" w:cs="Times New Roman"/>
          <w:color w:val="000000" w:themeColor="text1"/>
          <w:sz w:val="24"/>
          <w:szCs w:val="24"/>
          <w:lang w:eastAsia="en-IN"/>
        </w:rPr>
        <w:t xml:space="preserve">Gajanan, “Performance evaluation of cloud service models (IaaS, PaaS, SaaS),” </w:t>
      </w:r>
      <w:r w:rsidRPr="0006160D">
        <w:rPr>
          <w:rFonts w:ascii="Times New Roman" w:eastAsia="Times New Roman" w:hAnsi="Times New Roman" w:cs="Times New Roman"/>
          <w:i/>
          <w:iCs/>
          <w:color w:val="000000" w:themeColor="text1"/>
          <w:sz w:val="24"/>
          <w:szCs w:val="24"/>
          <w:lang w:eastAsia="en-IN"/>
        </w:rPr>
        <w:t>Int. J. Engineering Development and Research</w:t>
      </w:r>
      <w:r w:rsidRPr="0006160D">
        <w:rPr>
          <w:rFonts w:ascii="Times New Roman" w:eastAsia="Times New Roman" w:hAnsi="Times New Roman" w:cs="Times New Roman"/>
          <w:color w:val="000000" w:themeColor="text1"/>
          <w:sz w:val="24"/>
          <w:szCs w:val="24"/>
          <w:lang w:eastAsia="en-IN"/>
        </w:rPr>
        <w:t>, vol. 14, no. 1, pp. 96–101, 2026.</w:t>
      </w:r>
    </w:p>
    <w:p w14:paraId="1AA58928" w14:textId="77777777" w:rsidR="0006160D" w:rsidRPr="00AA46E8" w:rsidRDefault="0006160D" w:rsidP="0006160D">
      <w:pPr>
        <w:pStyle w:val="NormalWeb"/>
        <w:numPr>
          <w:ilvl w:val="0"/>
          <w:numId w:val="21"/>
        </w:numPr>
        <w:spacing w:line="360" w:lineRule="auto"/>
        <w:jc w:val="both"/>
        <w:rPr>
          <w:color w:val="000000" w:themeColor="text1"/>
        </w:rPr>
      </w:pPr>
      <w:r w:rsidRPr="00AA46E8">
        <w:rPr>
          <w:color w:val="000000" w:themeColor="text1"/>
        </w:rPr>
        <w:t xml:space="preserve">Maier, H. R., Jain, A., Dandy, G. C., &amp; Sudheer, K. P. (2010). Methods used for the development of neural networks for the prediction of water resource variables. </w:t>
      </w:r>
      <w:r w:rsidRPr="00AA46E8">
        <w:rPr>
          <w:rStyle w:val="Emphasis"/>
          <w:color w:val="000000" w:themeColor="text1"/>
        </w:rPr>
        <w:t>Environmental Modelling &amp; Software, 25</w:t>
      </w:r>
      <w:r w:rsidRPr="00AA46E8">
        <w:rPr>
          <w:color w:val="000000" w:themeColor="text1"/>
        </w:rPr>
        <w:t xml:space="preserve">(8), 891–909. </w:t>
      </w:r>
      <w:hyperlink r:id="rId15" w:history="1">
        <w:r w:rsidRPr="00AA46E8">
          <w:rPr>
            <w:rStyle w:val="Hyperlink"/>
            <w:color w:val="000000" w:themeColor="text1"/>
          </w:rPr>
          <w:t>https://doi.org/10.1016/j.envsoft.2010.02.003</w:t>
        </w:r>
      </w:hyperlink>
    </w:p>
    <w:p w14:paraId="5B8B78CE" w14:textId="77777777" w:rsidR="0006160D" w:rsidRPr="00AA46E8" w:rsidRDefault="0006160D" w:rsidP="0006160D">
      <w:pPr>
        <w:pStyle w:val="NormalWeb"/>
        <w:numPr>
          <w:ilvl w:val="0"/>
          <w:numId w:val="21"/>
        </w:numPr>
        <w:spacing w:line="360" w:lineRule="auto"/>
        <w:jc w:val="both"/>
        <w:rPr>
          <w:color w:val="000000" w:themeColor="text1"/>
        </w:rPr>
      </w:pPr>
      <w:r w:rsidRPr="00AA46E8">
        <w:rPr>
          <w:color w:val="000000" w:themeColor="text1"/>
        </w:rPr>
        <w:lastRenderedPageBreak/>
        <w:t xml:space="preserve">Olden, J. D., Lawler, J. J., &amp; Poff, N. L. (2008). Machine learning methods without tears: A primer for ecologists. </w:t>
      </w:r>
      <w:r w:rsidRPr="00AA46E8">
        <w:rPr>
          <w:rStyle w:val="Emphasis"/>
          <w:color w:val="000000" w:themeColor="text1"/>
        </w:rPr>
        <w:t>The Quarterly Review of Biology, 83</w:t>
      </w:r>
      <w:r w:rsidRPr="00AA46E8">
        <w:rPr>
          <w:color w:val="000000" w:themeColor="text1"/>
        </w:rPr>
        <w:t xml:space="preserve">(2), 171–193. </w:t>
      </w:r>
      <w:hyperlink r:id="rId16" w:history="1">
        <w:r w:rsidRPr="00AA46E8">
          <w:rPr>
            <w:rStyle w:val="Hyperlink"/>
            <w:color w:val="000000" w:themeColor="text1"/>
          </w:rPr>
          <w:t>https://doi.org/10.1086/587826</w:t>
        </w:r>
      </w:hyperlink>
    </w:p>
    <w:p w14:paraId="10A6564C" w14:textId="77777777" w:rsidR="0006160D" w:rsidRPr="00AA46E8" w:rsidRDefault="0006160D" w:rsidP="0006160D">
      <w:pPr>
        <w:pStyle w:val="NormalWeb"/>
        <w:numPr>
          <w:ilvl w:val="0"/>
          <w:numId w:val="21"/>
        </w:numPr>
        <w:spacing w:line="360" w:lineRule="auto"/>
        <w:jc w:val="both"/>
        <w:rPr>
          <w:color w:val="000000" w:themeColor="text1"/>
        </w:rPr>
      </w:pPr>
      <w:r w:rsidRPr="00AA46E8">
        <w:rPr>
          <w:color w:val="000000" w:themeColor="text1"/>
        </w:rPr>
        <w:t xml:space="preserve">Palani, S., Liong, S. Y., &amp; </w:t>
      </w:r>
      <w:proofErr w:type="spellStart"/>
      <w:r w:rsidRPr="00AA46E8">
        <w:rPr>
          <w:color w:val="000000" w:themeColor="text1"/>
        </w:rPr>
        <w:t>Tkalich</w:t>
      </w:r>
      <w:proofErr w:type="spellEnd"/>
      <w:r w:rsidRPr="00AA46E8">
        <w:rPr>
          <w:color w:val="000000" w:themeColor="text1"/>
        </w:rPr>
        <w:t xml:space="preserve">, P. (2008). An artificial neural network model for forecasting water quality. </w:t>
      </w:r>
      <w:r w:rsidRPr="00AA46E8">
        <w:rPr>
          <w:rStyle w:val="Emphasis"/>
          <w:color w:val="000000" w:themeColor="text1"/>
        </w:rPr>
        <w:t>Marine Pollution Bulletin, 56</w:t>
      </w:r>
      <w:r w:rsidRPr="00AA46E8">
        <w:rPr>
          <w:color w:val="000000" w:themeColor="text1"/>
        </w:rPr>
        <w:t xml:space="preserve">(9), 1586–1597. </w:t>
      </w:r>
      <w:hyperlink r:id="rId17" w:history="1">
        <w:r w:rsidRPr="00AA46E8">
          <w:rPr>
            <w:rStyle w:val="Hyperlink"/>
            <w:color w:val="000000" w:themeColor="text1"/>
          </w:rPr>
          <w:t>https://doi.org/10.1016/j.marpolbul.2008.05.021</w:t>
        </w:r>
      </w:hyperlink>
    </w:p>
    <w:p w14:paraId="584964D2" w14:textId="77777777" w:rsidR="0006160D" w:rsidRPr="00AA46E8" w:rsidRDefault="0006160D" w:rsidP="0006160D">
      <w:pPr>
        <w:pStyle w:val="NormalWeb"/>
        <w:numPr>
          <w:ilvl w:val="0"/>
          <w:numId w:val="21"/>
        </w:numPr>
        <w:spacing w:line="360" w:lineRule="auto"/>
        <w:jc w:val="both"/>
        <w:rPr>
          <w:color w:val="000000" w:themeColor="text1"/>
        </w:rPr>
      </w:pPr>
      <w:r w:rsidRPr="00AA46E8">
        <w:rPr>
          <w:color w:val="000000" w:themeColor="text1"/>
        </w:rPr>
        <w:t xml:space="preserve">Reynolds, C. S. (2006). </w:t>
      </w:r>
      <w:r w:rsidRPr="00AA46E8">
        <w:rPr>
          <w:rStyle w:val="Emphasis"/>
          <w:color w:val="000000" w:themeColor="text1"/>
        </w:rPr>
        <w:t>The ecology of phytoplankton</w:t>
      </w:r>
      <w:r w:rsidRPr="00AA46E8">
        <w:rPr>
          <w:color w:val="000000" w:themeColor="text1"/>
        </w:rPr>
        <w:t>. Cambridge University Press.</w:t>
      </w:r>
    </w:p>
    <w:p w14:paraId="12ADA382" w14:textId="77777777" w:rsidR="0006160D" w:rsidRPr="00AA46E8" w:rsidRDefault="0006160D" w:rsidP="0006160D">
      <w:pPr>
        <w:pStyle w:val="NormalWeb"/>
        <w:numPr>
          <w:ilvl w:val="0"/>
          <w:numId w:val="21"/>
        </w:numPr>
        <w:spacing w:line="360" w:lineRule="auto"/>
        <w:jc w:val="both"/>
        <w:rPr>
          <w:color w:val="000000" w:themeColor="text1"/>
        </w:rPr>
      </w:pPr>
      <w:r w:rsidRPr="00AA46E8">
        <w:rPr>
          <w:color w:val="000000" w:themeColor="text1"/>
        </w:rPr>
        <w:t xml:space="preserve">Smith, V. H., &amp; Schindler, D. W. (2009). Eutrophication science: Where do we go from here? </w:t>
      </w:r>
      <w:r w:rsidRPr="00AA46E8">
        <w:rPr>
          <w:rStyle w:val="Emphasis"/>
          <w:color w:val="000000" w:themeColor="text1"/>
        </w:rPr>
        <w:t>Trends in Ecology &amp; Evolution, 24</w:t>
      </w:r>
      <w:r w:rsidRPr="00AA46E8">
        <w:rPr>
          <w:color w:val="000000" w:themeColor="text1"/>
        </w:rPr>
        <w:t xml:space="preserve">(4), 201–207. </w:t>
      </w:r>
      <w:hyperlink r:id="rId18" w:history="1">
        <w:r w:rsidRPr="00AA46E8">
          <w:rPr>
            <w:rStyle w:val="Hyperlink"/>
            <w:color w:val="000000" w:themeColor="text1"/>
          </w:rPr>
          <w:t>https://doi.org/10.1016/j.tree.2008.11.009</w:t>
        </w:r>
      </w:hyperlink>
      <w:r>
        <w:rPr>
          <w:rStyle w:val="Hyperlink"/>
          <w:color w:val="000000" w:themeColor="text1"/>
        </w:rPr>
        <w:t xml:space="preserve"> </w:t>
      </w:r>
    </w:p>
    <w:p w14:paraId="2A667630" w14:textId="77777777" w:rsidR="0006160D" w:rsidRPr="0006160D" w:rsidRDefault="0006160D" w:rsidP="0006160D">
      <w:pPr>
        <w:pStyle w:val="ListParagraph"/>
        <w:numPr>
          <w:ilvl w:val="0"/>
          <w:numId w:val="21"/>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r w:rsidRPr="0006160D">
        <w:rPr>
          <w:rFonts w:ascii="Times New Roman" w:eastAsia="Times New Roman" w:hAnsi="Times New Roman" w:cs="Times New Roman"/>
          <w:color w:val="000000" w:themeColor="text1"/>
          <w:sz w:val="24"/>
          <w:szCs w:val="24"/>
          <w:lang w:eastAsia="en-IN"/>
        </w:rPr>
        <w:t xml:space="preserve">V. V. Rao and A. Gajanan, “Artificial intelligence in taxonomy: Advancing species identification and classification,” </w:t>
      </w:r>
      <w:r w:rsidRPr="0006160D">
        <w:rPr>
          <w:rFonts w:ascii="Times New Roman" w:eastAsia="Times New Roman" w:hAnsi="Times New Roman" w:cs="Times New Roman"/>
          <w:i/>
          <w:iCs/>
          <w:color w:val="000000" w:themeColor="text1"/>
          <w:sz w:val="24"/>
          <w:szCs w:val="24"/>
          <w:lang w:eastAsia="en-IN"/>
        </w:rPr>
        <w:t>Asian J. Research in Computer Science</w:t>
      </w:r>
      <w:r w:rsidRPr="0006160D">
        <w:rPr>
          <w:rFonts w:ascii="Times New Roman" w:eastAsia="Times New Roman" w:hAnsi="Times New Roman" w:cs="Times New Roman"/>
          <w:color w:val="000000" w:themeColor="text1"/>
          <w:sz w:val="24"/>
          <w:szCs w:val="24"/>
          <w:lang w:eastAsia="en-IN"/>
        </w:rPr>
        <w:t>, vol. 19, no. 1, pp. 308–321, 2026.</w:t>
      </w:r>
    </w:p>
    <w:p w14:paraId="37D0DF9D" w14:textId="77777777" w:rsidR="0006160D" w:rsidRPr="00AA46E8" w:rsidRDefault="0006160D" w:rsidP="0006160D">
      <w:pPr>
        <w:pStyle w:val="NormalWeb"/>
        <w:numPr>
          <w:ilvl w:val="0"/>
          <w:numId w:val="21"/>
        </w:numPr>
        <w:spacing w:line="360" w:lineRule="auto"/>
        <w:jc w:val="both"/>
        <w:rPr>
          <w:color w:val="000000" w:themeColor="text1"/>
        </w:rPr>
      </w:pPr>
      <w:r w:rsidRPr="00AA46E8">
        <w:rPr>
          <w:color w:val="000000" w:themeColor="text1"/>
        </w:rPr>
        <w:t xml:space="preserve">Wetzel, R. G. (2001). </w:t>
      </w:r>
      <w:r w:rsidRPr="00AA46E8">
        <w:rPr>
          <w:rStyle w:val="Emphasis"/>
          <w:color w:val="000000" w:themeColor="text1"/>
        </w:rPr>
        <w:t>Limnology: Lake and river ecosystems</w:t>
      </w:r>
      <w:r w:rsidRPr="00AA46E8">
        <w:rPr>
          <w:color w:val="000000" w:themeColor="text1"/>
        </w:rPr>
        <w:t xml:space="preserve"> (3rd ed.). Academic Press.</w:t>
      </w:r>
    </w:p>
    <w:p w14:paraId="631F4B25" w14:textId="77777777" w:rsidR="0006160D" w:rsidRPr="00AA46E8" w:rsidRDefault="0006160D" w:rsidP="0006160D">
      <w:pPr>
        <w:pStyle w:val="NormalWeb"/>
        <w:numPr>
          <w:ilvl w:val="0"/>
          <w:numId w:val="21"/>
        </w:numPr>
        <w:spacing w:line="360" w:lineRule="auto"/>
        <w:jc w:val="both"/>
        <w:rPr>
          <w:color w:val="000000" w:themeColor="text1"/>
        </w:rPr>
      </w:pPr>
      <w:r w:rsidRPr="00AA46E8">
        <w:rPr>
          <w:color w:val="000000" w:themeColor="text1"/>
          <w:shd w:val="clear" w:color="auto" w:fill="FFFFFF"/>
        </w:rPr>
        <w:t>Yadav, K. K., &amp; Gajanan, A. (2026). Transfer Learning for Image Processing: A Review and Practical Considerations. </w:t>
      </w:r>
      <w:r w:rsidRPr="00AA46E8">
        <w:rPr>
          <w:i/>
          <w:iCs/>
          <w:color w:val="000000" w:themeColor="text1"/>
          <w:shd w:val="clear" w:color="auto" w:fill="FFFFFF"/>
        </w:rPr>
        <w:t>Asian Journal of Research in Computer Science</w:t>
      </w:r>
      <w:r w:rsidRPr="00AA46E8">
        <w:rPr>
          <w:color w:val="000000" w:themeColor="text1"/>
          <w:shd w:val="clear" w:color="auto" w:fill="FFFFFF"/>
        </w:rPr>
        <w:t>, </w:t>
      </w:r>
      <w:r w:rsidRPr="00AA46E8">
        <w:rPr>
          <w:i/>
          <w:iCs/>
          <w:color w:val="000000" w:themeColor="text1"/>
          <w:shd w:val="clear" w:color="auto" w:fill="FFFFFF"/>
        </w:rPr>
        <w:t>19</w:t>
      </w:r>
      <w:r w:rsidRPr="00AA46E8">
        <w:rPr>
          <w:color w:val="000000" w:themeColor="text1"/>
          <w:shd w:val="clear" w:color="auto" w:fill="FFFFFF"/>
        </w:rPr>
        <w:t xml:space="preserve">(2), 192–203. </w:t>
      </w:r>
      <w:hyperlink r:id="rId19" w:history="1">
        <w:r w:rsidRPr="0057791A">
          <w:rPr>
            <w:rStyle w:val="Hyperlink"/>
            <w:shd w:val="clear" w:color="auto" w:fill="FFFFFF"/>
          </w:rPr>
          <w:t>https://doi.org/10.9734/ajrcos/2026/v19i2831</w:t>
        </w:r>
      </w:hyperlink>
      <w:r>
        <w:rPr>
          <w:color w:val="000000" w:themeColor="text1"/>
          <w:shd w:val="clear" w:color="auto" w:fill="FFFFFF"/>
        </w:rPr>
        <w:t xml:space="preserve"> </w:t>
      </w:r>
    </w:p>
    <w:p w14:paraId="4292C4B9" w14:textId="5FC52DE2" w:rsidR="0006160D" w:rsidRDefault="0006160D" w:rsidP="0006160D">
      <w:pPr>
        <w:pStyle w:val="NormalWeb"/>
        <w:numPr>
          <w:ilvl w:val="0"/>
          <w:numId w:val="21"/>
        </w:numPr>
        <w:spacing w:line="360" w:lineRule="auto"/>
        <w:jc w:val="both"/>
        <w:rPr>
          <w:rStyle w:val="Hyperlink"/>
          <w:color w:val="000000" w:themeColor="text1"/>
          <w:u w:val="none"/>
        </w:rPr>
      </w:pPr>
      <w:r w:rsidRPr="00AA46E8">
        <w:rPr>
          <w:color w:val="000000" w:themeColor="text1"/>
        </w:rPr>
        <w:t xml:space="preserve">Zhang, Y., Qian, X., &amp; Li, Y. (2020). Machine learning approaches for water quality prediction. </w:t>
      </w:r>
      <w:r w:rsidRPr="00AA46E8">
        <w:rPr>
          <w:rStyle w:val="Emphasis"/>
          <w:color w:val="000000" w:themeColor="text1"/>
        </w:rPr>
        <w:t>Environmental Modelling &amp; Software, 123</w:t>
      </w:r>
      <w:r w:rsidRPr="00AA46E8">
        <w:rPr>
          <w:color w:val="000000" w:themeColor="text1"/>
        </w:rPr>
        <w:t xml:space="preserve">, 104585. </w:t>
      </w:r>
      <w:hyperlink r:id="rId20" w:history="1">
        <w:r w:rsidRPr="0006160D">
          <w:rPr>
            <w:rStyle w:val="Hyperlink"/>
            <w:color w:val="000000" w:themeColor="text1"/>
            <w:u w:val="none"/>
          </w:rPr>
          <w:t>https://doi.org/10.1016/j.envsoft.2019.104585</w:t>
        </w:r>
      </w:hyperlink>
      <w:r>
        <w:rPr>
          <w:rStyle w:val="Hyperlink"/>
          <w:color w:val="000000" w:themeColor="text1"/>
          <w:u w:val="none"/>
        </w:rPr>
        <w:t xml:space="preserve"> </w:t>
      </w:r>
    </w:p>
    <w:p w14:paraId="2A7E2F70" w14:textId="283A2C15" w:rsidR="00E453F5" w:rsidRPr="00E453F5" w:rsidRDefault="00E453F5" w:rsidP="0006160D">
      <w:pPr>
        <w:pStyle w:val="NormalWeb"/>
        <w:numPr>
          <w:ilvl w:val="0"/>
          <w:numId w:val="21"/>
        </w:numPr>
        <w:spacing w:line="360" w:lineRule="auto"/>
        <w:jc w:val="both"/>
        <w:rPr>
          <w:color w:val="000000" w:themeColor="text1"/>
        </w:rPr>
      </w:pPr>
      <w:r w:rsidRPr="00E453F5">
        <w:rPr>
          <w:color w:val="222222"/>
          <w:shd w:val="clear" w:color="auto" w:fill="FFFFFF"/>
        </w:rPr>
        <w:t>Shafique, A., Wu, G., Saeed, M.S. </w:t>
      </w:r>
      <w:r w:rsidRPr="00E453F5">
        <w:rPr>
          <w:i/>
          <w:iCs/>
          <w:color w:val="222222"/>
          <w:shd w:val="clear" w:color="auto" w:fill="FFFFFF"/>
        </w:rPr>
        <w:t>et al.</w:t>
      </w:r>
      <w:r w:rsidRPr="00E453F5">
        <w:rPr>
          <w:color w:val="222222"/>
          <w:shd w:val="clear" w:color="auto" w:fill="FFFFFF"/>
        </w:rPr>
        <w:t> X-</w:t>
      </w:r>
      <w:proofErr w:type="spellStart"/>
      <w:r w:rsidRPr="00E453F5">
        <w:rPr>
          <w:color w:val="222222"/>
          <w:shd w:val="clear" w:color="auto" w:fill="FFFFFF"/>
        </w:rPr>
        <w:t>SecureNet</w:t>
      </w:r>
      <w:proofErr w:type="spellEnd"/>
      <w:r w:rsidRPr="00E453F5">
        <w:rPr>
          <w:color w:val="222222"/>
          <w:shd w:val="clear" w:color="auto" w:fill="FFFFFF"/>
        </w:rPr>
        <w:t>: A Security-Driven Intelligent Framework for Intrusion Detection in Smart Industrial Infrastructures. </w:t>
      </w:r>
      <w:r w:rsidRPr="00E453F5">
        <w:rPr>
          <w:i/>
          <w:iCs/>
          <w:color w:val="222222"/>
          <w:shd w:val="clear" w:color="auto" w:fill="FFFFFF"/>
        </w:rPr>
        <w:t xml:space="preserve">Cluster </w:t>
      </w:r>
      <w:proofErr w:type="spellStart"/>
      <w:r w:rsidRPr="00E453F5">
        <w:rPr>
          <w:i/>
          <w:iCs/>
          <w:color w:val="222222"/>
          <w:shd w:val="clear" w:color="auto" w:fill="FFFFFF"/>
        </w:rPr>
        <w:t>Comput</w:t>
      </w:r>
      <w:proofErr w:type="spellEnd"/>
      <w:r w:rsidRPr="00E453F5">
        <w:rPr>
          <w:color w:val="222222"/>
          <w:shd w:val="clear" w:color="auto" w:fill="FFFFFF"/>
        </w:rPr>
        <w:t> </w:t>
      </w:r>
      <w:r w:rsidRPr="00E453F5">
        <w:rPr>
          <w:b/>
          <w:bCs/>
          <w:color w:val="222222"/>
          <w:shd w:val="clear" w:color="auto" w:fill="FFFFFF"/>
        </w:rPr>
        <w:t>29</w:t>
      </w:r>
      <w:r w:rsidRPr="00E453F5">
        <w:rPr>
          <w:color w:val="222222"/>
          <w:shd w:val="clear" w:color="auto" w:fill="FFFFFF"/>
        </w:rPr>
        <w:t>, 168 (2026). https://doi.org/10.1007/s10586-026-05972-7</w:t>
      </w:r>
    </w:p>
    <w:sectPr w:rsidR="00E453F5" w:rsidRPr="00E453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91117"/>
    <w:multiLevelType w:val="multilevel"/>
    <w:tmpl w:val="B1744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C6267E"/>
    <w:multiLevelType w:val="multilevel"/>
    <w:tmpl w:val="C6D21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613687"/>
    <w:multiLevelType w:val="multilevel"/>
    <w:tmpl w:val="1F881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390D37"/>
    <w:multiLevelType w:val="multilevel"/>
    <w:tmpl w:val="6E0AD9D4"/>
    <w:lvl w:ilvl="0">
      <w:start w:val="1"/>
      <w:numFmt w:val="decimal"/>
      <w:lvlText w:val="%1."/>
      <w:lvlJc w:val="left"/>
      <w:pPr>
        <w:ind w:left="360" w:hanging="360"/>
      </w:pPr>
      <w:rPr>
        <w:rFonts w:ascii="Times New Roman" w:hAnsi="Times New Roman" w:hint="default"/>
        <w:b/>
        <w:i w:val="0"/>
        <w:sz w:val="24"/>
        <w:szCs w:val="3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053013D"/>
    <w:multiLevelType w:val="multilevel"/>
    <w:tmpl w:val="48E62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430D75"/>
    <w:multiLevelType w:val="hybridMultilevel"/>
    <w:tmpl w:val="CA4C555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8837E54"/>
    <w:multiLevelType w:val="multilevel"/>
    <w:tmpl w:val="44D86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8424C3"/>
    <w:multiLevelType w:val="multilevel"/>
    <w:tmpl w:val="1FAC7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9F3C33"/>
    <w:multiLevelType w:val="multilevel"/>
    <w:tmpl w:val="75245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0D1EE3"/>
    <w:multiLevelType w:val="multilevel"/>
    <w:tmpl w:val="36384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C968E5"/>
    <w:multiLevelType w:val="multilevel"/>
    <w:tmpl w:val="AF2A5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EC1A57"/>
    <w:multiLevelType w:val="multilevel"/>
    <w:tmpl w:val="592EC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557AB3"/>
    <w:multiLevelType w:val="multilevel"/>
    <w:tmpl w:val="DC24F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702BB5"/>
    <w:multiLevelType w:val="multilevel"/>
    <w:tmpl w:val="08261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5E67E6"/>
    <w:multiLevelType w:val="multilevel"/>
    <w:tmpl w:val="3A4AA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212A70"/>
    <w:multiLevelType w:val="multilevel"/>
    <w:tmpl w:val="6EFE7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B964C6"/>
    <w:multiLevelType w:val="multilevel"/>
    <w:tmpl w:val="A1920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094E39"/>
    <w:multiLevelType w:val="multilevel"/>
    <w:tmpl w:val="6AB2C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C155CA"/>
    <w:multiLevelType w:val="hybridMultilevel"/>
    <w:tmpl w:val="FDEE4390"/>
    <w:lvl w:ilvl="0" w:tplc="797C30A0">
      <w:start w:val="1"/>
      <w:numFmt w:val="decimal"/>
      <w:lvlText w:val="%1."/>
      <w:lvlJc w:val="left"/>
      <w:pPr>
        <w:ind w:left="720" w:hanging="360"/>
      </w:pPr>
      <w:rPr>
        <w:rFonts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686775D"/>
    <w:multiLevelType w:val="multilevel"/>
    <w:tmpl w:val="E4647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306756"/>
    <w:multiLevelType w:val="multilevel"/>
    <w:tmpl w:val="1D800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D7231B"/>
    <w:multiLevelType w:val="multilevel"/>
    <w:tmpl w:val="EC46B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6648071">
    <w:abstractNumId w:val="0"/>
  </w:num>
  <w:num w:numId="2" w16cid:durableId="308440392">
    <w:abstractNumId w:val="9"/>
  </w:num>
  <w:num w:numId="3" w16cid:durableId="2085909654">
    <w:abstractNumId w:val="4"/>
  </w:num>
  <w:num w:numId="4" w16cid:durableId="82997342">
    <w:abstractNumId w:val="14"/>
  </w:num>
  <w:num w:numId="5" w16cid:durableId="1411462885">
    <w:abstractNumId w:val="1"/>
  </w:num>
  <w:num w:numId="6" w16cid:durableId="724331698">
    <w:abstractNumId w:val="15"/>
  </w:num>
  <w:num w:numId="7" w16cid:durableId="2089501988">
    <w:abstractNumId w:val="16"/>
  </w:num>
  <w:num w:numId="8" w16cid:durableId="1801412454">
    <w:abstractNumId w:val="11"/>
  </w:num>
  <w:num w:numId="9" w16cid:durableId="656808004">
    <w:abstractNumId w:val="17"/>
  </w:num>
  <w:num w:numId="10" w16cid:durableId="2128575997">
    <w:abstractNumId w:val="7"/>
  </w:num>
  <w:num w:numId="11" w16cid:durableId="786853379">
    <w:abstractNumId w:val="2"/>
  </w:num>
  <w:num w:numId="12" w16cid:durableId="1675181284">
    <w:abstractNumId w:val="19"/>
  </w:num>
  <w:num w:numId="13" w16cid:durableId="2135905294">
    <w:abstractNumId w:val="6"/>
  </w:num>
  <w:num w:numId="14" w16cid:durableId="238490724">
    <w:abstractNumId w:val="21"/>
  </w:num>
  <w:num w:numId="15" w16cid:durableId="479885317">
    <w:abstractNumId w:val="20"/>
  </w:num>
  <w:num w:numId="16" w16cid:durableId="1748459295">
    <w:abstractNumId w:val="8"/>
  </w:num>
  <w:num w:numId="17" w16cid:durableId="509755937">
    <w:abstractNumId w:val="13"/>
  </w:num>
  <w:num w:numId="18" w16cid:durableId="33890771">
    <w:abstractNumId w:val="12"/>
  </w:num>
  <w:num w:numId="19" w16cid:durableId="1404839903">
    <w:abstractNumId w:val="10"/>
  </w:num>
  <w:num w:numId="20" w16cid:durableId="1594045784">
    <w:abstractNumId w:val="3"/>
  </w:num>
  <w:num w:numId="21" w16cid:durableId="2065328923">
    <w:abstractNumId w:val="18"/>
  </w:num>
  <w:num w:numId="22" w16cid:durableId="20393144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37D"/>
    <w:rsid w:val="00000BDB"/>
    <w:rsid w:val="0006160D"/>
    <w:rsid w:val="00075896"/>
    <w:rsid w:val="000B0BDA"/>
    <w:rsid w:val="000B4432"/>
    <w:rsid w:val="000C60F3"/>
    <w:rsid w:val="001516FB"/>
    <w:rsid w:val="00196008"/>
    <w:rsid w:val="001A1402"/>
    <w:rsid w:val="001B4EDB"/>
    <w:rsid w:val="001D52CD"/>
    <w:rsid w:val="00223074"/>
    <w:rsid w:val="00230868"/>
    <w:rsid w:val="002536E1"/>
    <w:rsid w:val="002601B6"/>
    <w:rsid w:val="00274147"/>
    <w:rsid w:val="002B0D32"/>
    <w:rsid w:val="002C6677"/>
    <w:rsid w:val="002D3948"/>
    <w:rsid w:val="003231DB"/>
    <w:rsid w:val="003353E9"/>
    <w:rsid w:val="003A438C"/>
    <w:rsid w:val="003A669E"/>
    <w:rsid w:val="003F53F2"/>
    <w:rsid w:val="004028A1"/>
    <w:rsid w:val="00407DB1"/>
    <w:rsid w:val="00443F20"/>
    <w:rsid w:val="00456C29"/>
    <w:rsid w:val="0047064E"/>
    <w:rsid w:val="00483753"/>
    <w:rsid w:val="00486C24"/>
    <w:rsid w:val="004A450E"/>
    <w:rsid w:val="004D7C39"/>
    <w:rsid w:val="00505155"/>
    <w:rsid w:val="00534A5E"/>
    <w:rsid w:val="00594D94"/>
    <w:rsid w:val="005D1C7E"/>
    <w:rsid w:val="005E727C"/>
    <w:rsid w:val="006006C9"/>
    <w:rsid w:val="00611F36"/>
    <w:rsid w:val="006B2250"/>
    <w:rsid w:val="006D1501"/>
    <w:rsid w:val="00735FAF"/>
    <w:rsid w:val="007C652A"/>
    <w:rsid w:val="007F2FD4"/>
    <w:rsid w:val="00830CE1"/>
    <w:rsid w:val="00835E49"/>
    <w:rsid w:val="008438CD"/>
    <w:rsid w:val="00854266"/>
    <w:rsid w:val="00854810"/>
    <w:rsid w:val="0085483B"/>
    <w:rsid w:val="0085737D"/>
    <w:rsid w:val="008633F7"/>
    <w:rsid w:val="00872FEB"/>
    <w:rsid w:val="008772F1"/>
    <w:rsid w:val="00882DD6"/>
    <w:rsid w:val="00884EBA"/>
    <w:rsid w:val="00891D1D"/>
    <w:rsid w:val="00897AD2"/>
    <w:rsid w:val="008E0E4D"/>
    <w:rsid w:val="008F3CF2"/>
    <w:rsid w:val="00914A8B"/>
    <w:rsid w:val="00917151"/>
    <w:rsid w:val="00922F01"/>
    <w:rsid w:val="009570C3"/>
    <w:rsid w:val="00976715"/>
    <w:rsid w:val="009A32CF"/>
    <w:rsid w:val="009B2CB6"/>
    <w:rsid w:val="009D3E2D"/>
    <w:rsid w:val="00A00ABE"/>
    <w:rsid w:val="00A41780"/>
    <w:rsid w:val="00A45A62"/>
    <w:rsid w:val="00AA46E8"/>
    <w:rsid w:val="00AC7E45"/>
    <w:rsid w:val="00AD0E9B"/>
    <w:rsid w:val="00AD4157"/>
    <w:rsid w:val="00B0380E"/>
    <w:rsid w:val="00B54F3E"/>
    <w:rsid w:val="00B655E2"/>
    <w:rsid w:val="00B76F37"/>
    <w:rsid w:val="00B96C80"/>
    <w:rsid w:val="00BA37E3"/>
    <w:rsid w:val="00BB1EBC"/>
    <w:rsid w:val="00BC5FDB"/>
    <w:rsid w:val="00C237A6"/>
    <w:rsid w:val="00C25761"/>
    <w:rsid w:val="00C6336B"/>
    <w:rsid w:val="00C702B9"/>
    <w:rsid w:val="00CD24A1"/>
    <w:rsid w:val="00D0731A"/>
    <w:rsid w:val="00D3012B"/>
    <w:rsid w:val="00D5733D"/>
    <w:rsid w:val="00D57767"/>
    <w:rsid w:val="00DC78EA"/>
    <w:rsid w:val="00DD1159"/>
    <w:rsid w:val="00E05966"/>
    <w:rsid w:val="00E453F5"/>
    <w:rsid w:val="00E4768C"/>
    <w:rsid w:val="00E82480"/>
    <w:rsid w:val="00E91CF7"/>
    <w:rsid w:val="00EA4ECB"/>
    <w:rsid w:val="00ED0226"/>
    <w:rsid w:val="00F0618C"/>
    <w:rsid w:val="00F135AB"/>
    <w:rsid w:val="00F13A8D"/>
    <w:rsid w:val="00F579AC"/>
    <w:rsid w:val="00F57EC0"/>
    <w:rsid w:val="00F665B0"/>
    <w:rsid w:val="00F67157"/>
    <w:rsid w:val="00FD3412"/>
    <w:rsid w:val="00FD6779"/>
    <w:rsid w:val="00FE0147"/>
    <w:rsid w:val="00FE0758"/>
    <w:rsid w:val="00FF38BE"/>
    <w:rsid w:val="00FF7FAE"/>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8E26D"/>
  <w15:chartTrackingRefBased/>
  <w15:docId w15:val="{3B6BA45B-1016-4933-85C7-12F1DBF0F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te-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573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85737D"/>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85737D"/>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737D"/>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85737D"/>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85737D"/>
    <w:rPr>
      <w:rFonts w:ascii="Times New Roman" w:eastAsia="Times New Roman" w:hAnsi="Times New Roman" w:cs="Times New Roman"/>
      <w:b/>
      <w:bCs/>
      <w:sz w:val="27"/>
      <w:szCs w:val="27"/>
      <w:lang w:eastAsia="en-IN"/>
    </w:rPr>
  </w:style>
  <w:style w:type="paragraph" w:styleId="NormalWeb">
    <w:name w:val="Normal (Web)"/>
    <w:basedOn w:val="Normal"/>
    <w:uiPriority w:val="99"/>
    <w:unhideWhenUsed/>
    <w:rsid w:val="0085737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85737D"/>
    <w:rPr>
      <w:b/>
      <w:bCs/>
    </w:rPr>
  </w:style>
  <w:style w:type="character" w:styleId="Emphasis">
    <w:name w:val="Emphasis"/>
    <w:basedOn w:val="DefaultParagraphFont"/>
    <w:uiPriority w:val="20"/>
    <w:qFormat/>
    <w:rsid w:val="0085737D"/>
    <w:rPr>
      <w:i/>
      <w:iCs/>
    </w:rPr>
  </w:style>
  <w:style w:type="paragraph" w:styleId="HTMLPreformatted">
    <w:name w:val="HTML Preformatted"/>
    <w:basedOn w:val="Normal"/>
    <w:link w:val="HTMLPreformattedChar"/>
    <w:uiPriority w:val="99"/>
    <w:semiHidden/>
    <w:unhideWhenUsed/>
    <w:rsid w:val="00223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semiHidden/>
    <w:rsid w:val="00223074"/>
    <w:rPr>
      <w:rFonts w:ascii="Courier New" w:eastAsia="Times New Roman" w:hAnsi="Courier New" w:cs="Courier New"/>
      <w:sz w:val="20"/>
      <w:szCs w:val="20"/>
      <w:lang w:eastAsia="en-IN"/>
    </w:rPr>
  </w:style>
  <w:style w:type="character" w:styleId="HTMLCode">
    <w:name w:val="HTML Code"/>
    <w:basedOn w:val="DefaultParagraphFont"/>
    <w:uiPriority w:val="99"/>
    <w:semiHidden/>
    <w:unhideWhenUsed/>
    <w:rsid w:val="00223074"/>
    <w:rPr>
      <w:rFonts w:ascii="Courier New" w:eastAsia="Times New Roman" w:hAnsi="Courier New" w:cs="Courier New"/>
      <w:sz w:val="20"/>
      <w:szCs w:val="20"/>
    </w:rPr>
  </w:style>
  <w:style w:type="character" w:styleId="Hyperlink">
    <w:name w:val="Hyperlink"/>
    <w:basedOn w:val="DefaultParagraphFont"/>
    <w:uiPriority w:val="99"/>
    <w:unhideWhenUsed/>
    <w:rsid w:val="00BA37E3"/>
    <w:rPr>
      <w:color w:val="0000FF"/>
      <w:u w:val="single"/>
    </w:rPr>
  </w:style>
  <w:style w:type="character" w:styleId="FollowedHyperlink">
    <w:name w:val="FollowedHyperlink"/>
    <w:basedOn w:val="DefaultParagraphFont"/>
    <w:uiPriority w:val="99"/>
    <w:semiHidden/>
    <w:unhideWhenUsed/>
    <w:rsid w:val="00BA37E3"/>
    <w:rPr>
      <w:color w:val="954F72" w:themeColor="followedHyperlink"/>
      <w:u w:val="single"/>
    </w:rPr>
  </w:style>
  <w:style w:type="paragraph" w:styleId="ListParagraph">
    <w:name w:val="List Paragraph"/>
    <w:basedOn w:val="Normal"/>
    <w:uiPriority w:val="34"/>
    <w:qFormat/>
    <w:rsid w:val="00854266"/>
    <w:pPr>
      <w:ind w:left="720"/>
      <w:contextualSpacing/>
    </w:pPr>
  </w:style>
  <w:style w:type="table" w:styleId="TableGrid">
    <w:name w:val="Table Grid"/>
    <w:basedOn w:val="TableNormal"/>
    <w:uiPriority w:val="39"/>
    <w:rsid w:val="00C237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E0758"/>
    <w:rPr>
      <w:color w:val="808080"/>
    </w:rPr>
  </w:style>
  <w:style w:type="character" w:customStyle="1" w:styleId="url">
    <w:name w:val="url"/>
    <w:basedOn w:val="DefaultParagraphFont"/>
    <w:rsid w:val="009A32CF"/>
  </w:style>
  <w:style w:type="character" w:styleId="UnresolvedMention">
    <w:name w:val="Unresolved Mention"/>
    <w:basedOn w:val="DefaultParagraphFont"/>
    <w:uiPriority w:val="99"/>
    <w:semiHidden/>
    <w:unhideWhenUsed/>
    <w:rsid w:val="0006160D"/>
    <w:rPr>
      <w:color w:val="605E5C"/>
      <w:shd w:val="clear" w:color="auto" w:fill="E1DFDD"/>
    </w:rPr>
  </w:style>
  <w:style w:type="character" w:customStyle="1" w:styleId="bzpyqfadein">
    <w:name w:val="bz_pyq_fadein"/>
    <w:basedOn w:val="DefaultParagraphFont"/>
    <w:rsid w:val="00E453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0176">
      <w:bodyDiv w:val="1"/>
      <w:marLeft w:val="0"/>
      <w:marRight w:val="0"/>
      <w:marTop w:val="0"/>
      <w:marBottom w:val="0"/>
      <w:divBdr>
        <w:top w:val="none" w:sz="0" w:space="0" w:color="auto"/>
        <w:left w:val="none" w:sz="0" w:space="0" w:color="auto"/>
        <w:bottom w:val="none" w:sz="0" w:space="0" w:color="auto"/>
        <w:right w:val="none" w:sz="0" w:space="0" w:color="auto"/>
      </w:divBdr>
    </w:div>
    <w:div w:id="547841566">
      <w:bodyDiv w:val="1"/>
      <w:marLeft w:val="0"/>
      <w:marRight w:val="0"/>
      <w:marTop w:val="0"/>
      <w:marBottom w:val="0"/>
      <w:divBdr>
        <w:top w:val="none" w:sz="0" w:space="0" w:color="auto"/>
        <w:left w:val="none" w:sz="0" w:space="0" w:color="auto"/>
        <w:bottom w:val="none" w:sz="0" w:space="0" w:color="auto"/>
        <w:right w:val="none" w:sz="0" w:space="0" w:color="auto"/>
      </w:divBdr>
    </w:div>
    <w:div w:id="555706087">
      <w:bodyDiv w:val="1"/>
      <w:marLeft w:val="0"/>
      <w:marRight w:val="0"/>
      <w:marTop w:val="0"/>
      <w:marBottom w:val="0"/>
      <w:divBdr>
        <w:top w:val="none" w:sz="0" w:space="0" w:color="auto"/>
        <w:left w:val="none" w:sz="0" w:space="0" w:color="auto"/>
        <w:bottom w:val="none" w:sz="0" w:space="0" w:color="auto"/>
        <w:right w:val="none" w:sz="0" w:space="0" w:color="auto"/>
      </w:divBdr>
    </w:div>
    <w:div w:id="745540964">
      <w:bodyDiv w:val="1"/>
      <w:marLeft w:val="0"/>
      <w:marRight w:val="0"/>
      <w:marTop w:val="0"/>
      <w:marBottom w:val="0"/>
      <w:divBdr>
        <w:top w:val="none" w:sz="0" w:space="0" w:color="auto"/>
        <w:left w:val="none" w:sz="0" w:space="0" w:color="auto"/>
        <w:bottom w:val="none" w:sz="0" w:space="0" w:color="auto"/>
        <w:right w:val="none" w:sz="0" w:space="0" w:color="auto"/>
      </w:divBdr>
    </w:div>
    <w:div w:id="840434839">
      <w:bodyDiv w:val="1"/>
      <w:marLeft w:val="0"/>
      <w:marRight w:val="0"/>
      <w:marTop w:val="0"/>
      <w:marBottom w:val="0"/>
      <w:divBdr>
        <w:top w:val="none" w:sz="0" w:space="0" w:color="auto"/>
        <w:left w:val="none" w:sz="0" w:space="0" w:color="auto"/>
        <w:bottom w:val="none" w:sz="0" w:space="0" w:color="auto"/>
        <w:right w:val="none" w:sz="0" w:space="0" w:color="auto"/>
      </w:divBdr>
    </w:div>
    <w:div w:id="962613225">
      <w:bodyDiv w:val="1"/>
      <w:marLeft w:val="0"/>
      <w:marRight w:val="0"/>
      <w:marTop w:val="0"/>
      <w:marBottom w:val="0"/>
      <w:divBdr>
        <w:top w:val="none" w:sz="0" w:space="0" w:color="auto"/>
        <w:left w:val="none" w:sz="0" w:space="0" w:color="auto"/>
        <w:bottom w:val="none" w:sz="0" w:space="0" w:color="auto"/>
        <w:right w:val="none" w:sz="0" w:space="0" w:color="auto"/>
      </w:divBdr>
    </w:div>
    <w:div w:id="988173390">
      <w:bodyDiv w:val="1"/>
      <w:marLeft w:val="0"/>
      <w:marRight w:val="0"/>
      <w:marTop w:val="0"/>
      <w:marBottom w:val="0"/>
      <w:divBdr>
        <w:top w:val="none" w:sz="0" w:space="0" w:color="auto"/>
        <w:left w:val="none" w:sz="0" w:space="0" w:color="auto"/>
        <w:bottom w:val="none" w:sz="0" w:space="0" w:color="auto"/>
        <w:right w:val="none" w:sz="0" w:space="0" w:color="auto"/>
      </w:divBdr>
    </w:div>
    <w:div w:id="1024795017">
      <w:bodyDiv w:val="1"/>
      <w:marLeft w:val="0"/>
      <w:marRight w:val="0"/>
      <w:marTop w:val="0"/>
      <w:marBottom w:val="0"/>
      <w:divBdr>
        <w:top w:val="none" w:sz="0" w:space="0" w:color="auto"/>
        <w:left w:val="none" w:sz="0" w:space="0" w:color="auto"/>
        <w:bottom w:val="none" w:sz="0" w:space="0" w:color="auto"/>
        <w:right w:val="none" w:sz="0" w:space="0" w:color="auto"/>
      </w:divBdr>
    </w:div>
    <w:div w:id="1081827322">
      <w:bodyDiv w:val="1"/>
      <w:marLeft w:val="0"/>
      <w:marRight w:val="0"/>
      <w:marTop w:val="0"/>
      <w:marBottom w:val="0"/>
      <w:divBdr>
        <w:top w:val="none" w:sz="0" w:space="0" w:color="auto"/>
        <w:left w:val="none" w:sz="0" w:space="0" w:color="auto"/>
        <w:bottom w:val="none" w:sz="0" w:space="0" w:color="auto"/>
        <w:right w:val="none" w:sz="0" w:space="0" w:color="auto"/>
      </w:divBdr>
    </w:div>
    <w:div w:id="1420056735">
      <w:bodyDiv w:val="1"/>
      <w:marLeft w:val="0"/>
      <w:marRight w:val="0"/>
      <w:marTop w:val="0"/>
      <w:marBottom w:val="0"/>
      <w:divBdr>
        <w:top w:val="none" w:sz="0" w:space="0" w:color="auto"/>
        <w:left w:val="none" w:sz="0" w:space="0" w:color="auto"/>
        <w:bottom w:val="none" w:sz="0" w:space="0" w:color="auto"/>
        <w:right w:val="none" w:sz="0" w:space="0" w:color="auto"/>
      </w:divBdr>
    </w:div>
    <w:div w:id="171476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hyperlink" Target="https://doi.org/10.4319/lo.1977.22.2.0361" TargetMode="External"/><Relationship Id="rId18" Type="http://schemas.openxmlformats.org/officeDocument/2006/relationships/hyperlink" Target="https://doi.org/10.1016/j.tree.2008.11.009"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hart" Target="charts/chart3.xml"/><Relationship Id="rId12" Type="http://schemas.openxmlformats.org/officeDocument/2006/relationships/hyperlink" Target="https://doi.org/10.1023/A:1010933404324" TargetMode="External"/><Relationship Id="rId17" Type="http://schemas.openxmlformats.org/officeDocument/2006/relationships/hyperlink" Target="https://doi.org/10.1016/j.marpolbul.2008.05.021" TargetMode="External"/><Relationship Id="rId2" Type="http://schemas.openxmlformats.org/officeDocument/2006/relationships/styles" Target="styles.xml"/><Relationship Id="rId16" Type="http://schemas.openxmlformats.org/officeDocument/2006/relationships/hyperlink" Target="https://doi.org/10.1086/587826" TargetMode="External"/><Relationship Id="rId20" Type="http://schemas.openxmlformats.org/officeDocument/2006/relationships/hyperlink" Target="https://doi.org/10.1016/j.envsoft.2019.104585" TargetMode="Externa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image" Target="media/image2.png"/><Relationship Id="rId5" Type="http://schemas.openxmlformats.org/officeDocument/2006/relationships/chart" Target="charts/chart1.xml"/><Relationship Id="rId15" Type="http://schemas.openxmlformats.org/officeDocument/2006/relationships/hyperlink" Target="https://doi.org/10.1016/j.envsoft.2010.02.003" TargetMode="External"/><Relationship Id="rId10" Type="http://schemas.openxmlformats.org/officeDocument/2006/relationships/chart" Target="charts/chart5.xml"/><Relationship Id="rId19" Type="http://schemas.openxmlformats.org/officeDocument/2006/relationships/hyperlink" Target="https://doi.org/10.9734/ajrcos/2026/v19i2831"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doi.org/10.1007/BF00994018"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Sheet1!$F$1</c:f>
              <c:strCache>
                <c:ptCount val="1"/>
                <c:pt idx="0">
                  <c:v>Temperature (°C)</c:v>
                </c:pt>
              </c:strCache>
            </c:strRef>
          </c:tx>
          <c:spPr>
            <a:solidFill>
              <a:schemeClr val="accent1"/>
            </a:solidFill>
            <a:ln>
              <a:noFill/>
            </a:ln>
            <a:effectLst/>
            <a:sp3d/>
          </c:spPr>
          <c:invertIfNegative val="0"/>
          <c:cat>
            <c:strRef>
              <c:f>Sheet1!$A$2:$A$4</c:f>
              <c:strCache>
                <c:ptCount val="3"/>
                <c:pt idx="0">
                  <c:v>Winter</c:v>
                </c:pt>
                <c:pt idx="1">
                  <c:v>Summer</c:v>
                </c:pt>
                <c:pt idx="2">
                  <c:v>Monsoon</c:v>
                </c:pt>
              </c:strCache>
            </c:strRef>
          </c:cat>
          <c:val>
            <c:numRef>
              <c:f>Sheet1!$F$2:$F$4</c:f>
              <c:numCache>
                <c:formatCode>General</c:formatCode>
                <c:ptCount val="3"/>
                <c:pt idx="0">
                  <c:v>22.4</c:v>
                </c:pt>
                <c:pt idx="1">
                  <c:v>33.799999999999997</c:v>
                </c:pt>
                <c:pt idx="2">
                  <c:v>27.5</c:v>
                </c:pt>
              </c:numCache>
            </c:numRef>
          </c:val>
          <c:extLst>
            <c:ext xmlns:c16="http://schemas.microsoft.com/office/drawing/2014/chart" uri="{C3380CC4-5D6E-409C-BE32-E72D297353CC}">
              <c16:uniqueId val="{00000000-6F71-46DC-AF0E-B5E9E78BD2BD}"/>
            </c:ext>
          </c:extLst>
        </c:ser>
        <c:dLbls>
          <c:showLegendKey val="0"/>
          <c:showVal val="0"/>
          <c:showCatName val="0"/>
          <c:showSerName val="0"/>
          <c:showPercent val="0"/>
          <c:showBubbleSize val="0"/>
        </c:dLbls>
        <c:gapWidth val="150"/>
        <c:shape val="box"/>
        <c:axId val="1089852176"/>
        <c:axId val="1089851760"/>
        <c:axId val="0"/>
      </c:bar3DChart>
      <c:catAx>
        <c:axId val="108985217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89851760"/>
        <c:crosses val="autoZero"/>
        <c:auto val="1"/>
        <c:lblAlgn val="ctr"/>
        <c:lblOffset val="100"/>
        <c:noMultiLvlLbl val="0"/>
      </c:catAx>
      <c:valAx>
        <c:axId val="10898517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8985217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Dissolved Oxygen (mg/L)</c:v>
                </c:pt>
              </c:strCache>
            </c:strRef>
          </c:tx>
          <c:spPr>
            <a:solidFill>
              <a:schemeClr val="accent1"/>
            </a:solidFill>
            <a:ln>
              <a:noFill/>
            </a:ln>
            <a:effectLst/>
            <a:sp3d/>
          </c:spPr>
          <c:invertIfNegative val="0"/>
          <c:cat>
            <c:strRef>
              <c:f>Sheet1!$A$2:$A$4</c:f>
              <c:strCache>
                <c:ptCount val="3"/>
                <c:pt idx="0">
                  <c:v>Winter</c:v>
                </c:pt>
                <c:pt idx="1">
                  <c:v>Summer</c:v>
                </c:pt>
                <c:pt idx="2">
                  <c:v>Monsoon</c:v>
                </c:pt>
              </c:strCache>
            </c:strRef>
          </c:cat>
          <c:val>
            <c:numRef>
              <c:f>Sheet1!$B$2:$B$4</c:f>
              <c:numCache>
                <c:formatCode>General</c:formatCode>
                <c:ptCount val="3"/>
                <c:pt idx="0">
                  <c:v>7.6</c:v>
                </c:pt>
                <c:pt idx="1">
                  <c:v>5.3</c:v>
                </c:pt>
                <c:pt idx="2">
                  <c:v>6.4</c:v>
                </c:pt>
              </c:numCache>
            </c:numRef>
          </c:val>
          <c:extLst>
            <c:ext xmlns:c16="http://schemas.microsoft.com/office/drawing/2014/chart" uri="{C3380CC4-5D6E-409C-BE32-E72D297353CC}">
              <c16:uniqueId val="{00000000-5A2A-4160-8470-8B0B7326BA52}"/>
            </c:ext>
          </c:extLst>
        </c:ser>
        <c:dLbls>
          <c:showLegendKey val="0"/>
          <c:showVal val="0"/>
          <c:showCatName val="0"/>
          <c:showSerName val="0"/>
          <c:showPercent val="0"/>
          <c:showBubbleSize val="0"/>
        </c:dLbls>
        <c:gapWidth val="150"/>
        <c:shape val="box"/>
        <c:axId val="1098115264"/>
        <c:axId val="1098114016"/>
        <c:axId val="0"/>
      </c:bar3DChart>
      <c:catAx>
        <c:axId val="10981152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1098114016"/>
        <c:crosses val="autoZero"/>
        <c:auto val="1"/>
        <c:lblAlgn val="ctr"/>
        <c:lblOffset val="100"/>
        <c:noMultiLvlLbl val="0"/>
      </c:catAx>
      <c:valAx>
        <c:axId val="10981140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109811526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IN" sz="1800">
                <a:effectLst/>
              </a:rPr>
              <a:t>Nutrient concentration (mg/L)</a:t>
            </a:r>
            <a:endParaRPr lang="en-IN"/>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IN"/>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Sheet2!$B$1</c:f>
              <c:strCache>
                <c:ptCount val="1"/>
                <c:pt idx="0">
                  <c:v>Nitrate (mg/L)</c:v>
                </c:pt>
              </c:strCache>
            </c:strRef>
          </c:tx>
          <c:spPr>
            <a:solidFill>
              <a:schemeClr val="accent1"/>
            </a:solidFill>
            <a:ln>
              <a:noFill/>
            </a:ln>
            <a:effectLst/>
            <a:sp3d/>
          </c:spPr>
          <c:invertIfNegative val="0"/>
          <c:cat>
            <c:strRef>
              <c:f>Sheet2!$A$2:$A$4</c:f>
              <c:strCache>
                <c:ptCount val="3"/>
                <c:pt idx="0">
                  <c:v>Winter</c:v>
                </c:pt>
                <c:pt idx="1">
                  <c:v>Summer</c:v>
                </c:pt>
                <c:pt idx="2">
                  <c:v>Monsoon</c:v>
                </c:pt>
              </c:strCache>
            </c:strRef>
          </c:cat>
          <c:val>
            <c:numRef>
              <c:f>Sheet2!$B$2:$B$4</c:f>
              <c:numCache>
                <c:formatCode>General</c:formatCode>
                <c:ptCount val="3"/>
                <c:pt idx="0">
                  <c:v>0.48</c:v>
                </c:pt>
                <c:pt idx="1">
                  <c:v>0.72</c:v>
                </c:pt>
                <c:pt idx="2">
                  <c:v>1.25</c:v>
                </c:pt>
              </c:numCache>
            </c:numRef>
          </c:val>
          <c:extLst>
            <c:ext xmlns:c16="http://schemas.microsoft.com/office/drawing/2014/chart" uri="{C3380CC4-5D6E-409C-BE32-E72D297353CC}">
              <c16:uniqueId val="{00000000-54C5-4097-AF8D-1B028503A452}"/>
            </c:ext>
          </c:extLst>
        </c:ser>
        <c:ser>
          <c:idx val="1"/>
          <c:order val="1"/>
          <c:tx>
            <c:strRef>
              <c:f>Sheet2!$C$1</c:f>
              <c:strCache>
                <c:ptCount val="1"/>
              </c:strCache>
            </c:strRef>
          </c:tx>
          <c:spPr>
            <a:solidFill>
              <a:schemeClr val="accent2"/>
            </a:solidFill>
            <a:ln>
              <a:noFill/>
            </a:ln>
            <a:effectLst/>
            <a:sp3d/>
          </c:spPr>
          <c:invertIfNegative val="0"/>
          <c:cat>
            <c:strRef>
              <c:f>Sheet2!$A$2:$A$4</c:f>
              <c:strCache>
                <c:ptCount val="3"/>
                <c:pt idx="0">
                  <c:v>Winter</c:v>
                </c:pt>
                <c:pt idx="1">
                  <c:v>Summer</c:v>
                </c:pt>
                <c:pt idx="2">
                  <c:v>Monsoon</c:v>
                </c:pt>
              </c:strCache>
            </c:strRef>
          </c:cat>
          <c:val>
            <c:numRef>
              <c:f>Sheet2!$C$2:$C$4</c:f>
              <c:numCache>
                <c:formatCode>General</c:formatCode>
                <c:ptCount val="3"/>
              </c:numCache>
            </c:numRef>
          </c:val>
          <c:extLst>
            <c:ext xmlns:c16="http://schemas.microsoft.com/office/drawing/2014/chart" uri="{C3380CC4-5D6E-409C-BE32-E72D297353CC}">
              <c16:uniqueId val="{00000001-54C5-4097-AF8D-1B028503A452}"/>
            </c:ext>
          </c:extLst>
        </c:ser>
        <c:dLbls>
          <c:showLegendKey val="0"/>
          <c:showVal val="0"/>
          <c:showCatName val="0"/>
          <c:showSerName val="0"/>
          <c:showPercent val="0"/>
          <c:showBubbleSize val="0"/>
        </c:dLbls>
        <c:gapWidth val="150"/>
        <c:shape val="box"/>
        <c:axId val="1271092112"/>
        <c:axId val="1271087952"/>
        <c:axId val="0"/>
      </c:bar3DChart>
      <c:catAx>
        <c:axId val="12710921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1087952"/>
        <c:crosses val="autoZero"/>
        <c:auto val="1"/>
        <c:lblAlgn val="ctr"/>
        <c:lblOffset val="100"/>
        <c:noMultiLvlLbl val="0"/>
      </c:catAx>
      <c:valAx>
        <c:axId val="12710879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1092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Sheet3!$B$1</c:f>
              <c:strCache>
                <c:ptCount val="1"/>
                <c:pt idx="0">
                  <c:v>TSI Value</c:v>
                </c:pt>
              </c:strCache>
            </c:strRef>
          </c:tx>
          <c:spPr>
            <a:solidFill>
              <a:schemeClr val="accent1"/>
            </a:solidFill>
            <a:ln>
              <a:noFill/>
            </a:ln>
            <a:effectLst/>
            <a:sp3d/>
          </c:spPr>
          <c:invertIfNegative val="0"/>
          <c:cat>
            <c:strRef>
              <c:f>Sheet3!$A$2:$A$4</c:f>
              <c:strCache>
                <c:ptCount val="3"/>
                <c:pt idx="0">
                  <c:v>Winter</c:v>
                </c:pt>
                <c:pt idx="1">
                  <c:v>Summer</c:v>
                </c:pt>
                <c:pt idx="2">
                  <c:v>Monsoon</c:v>
                </c:pt>
              </c:strCache>
            </c:strRef>
          </c:cat>
          <c:val>
            <c:numRef>
              <c:f>Sheet3!$B$2:$B$4</c:f>
              <c:numCache>
                <c:formatCode>General</c:formatCode>
                <c:ptCount val="3"/>
                <c:pt idx="0">
                  <c:v>45</c:v>
                </c:pt>
                <c:pt idx="1">
                  <c:v>55</c:v>
                </c:pt>
                <c:pt idx="2">
                  <c:v>60</c:v>
                </c:pt>
              </c:numCache>
            </c:numRef>
          </c:val>
          <c:extLst>
            <c:ext xmlns:c16="http://schemas.microsoft.com/office/drawing/2014/chart" uri="{C3380CC4-5D6E-409C-BE32-E72D297353CC}">
              <c16:uniqueId val="{00000000-8518-4269-8067-0BCE05F93728}"/>
            </c:ext>
          </c:extLst>
        </c:ser>
        <c:dLbls>
          <c:showLegendKey val="0"/>
          <c:showVal val="0"/>
          <c:showCatName val="0"/>
          <c:showSerName val="0"/>
          <c:showPercent val="0"/>
          <c:showBubbleSize val="0"/>
        </c:dLbls>
        <c:gapWidth val="150"/>
        <c:shape val="box"/>
        <c:axId val="1089851344"/>
        <c:axId val="1089852592"/>
        <c:axId val="0"/>
      </c:bar3DChart>
      <c:catAx>
        <c:axId val="108985134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9852592"/>
        <c:crosses val="autoZero"/>
        <c:auto val="1"/>
        <c:lblAlgn val="ctr"/>
        <c:lblOffset val="100"/>
        <c:noMultiLvlLbl val="0"/>
      </c:catAx>
      <c:valAx>
        <c:axId val="10898525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985134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IN" sz="1200" b="1" i="0" u="none" strike="noStrike" baseline="0">
                <a:effectLst/>
              </a:rPr>
              <a:t>Seasonal Variation in Temperature and Dissolved Oxygen</a:t>
            </a:r>
            <a:endParaRPr lang="en-IN" sz="1200"/>
          </a:p>
        </c:rich>
      </c:tx>
      <c:overlay val="0"/>
      <c:spPr>
        <a:noFill/>
        <a:ln>
          <a:noFill/>
        </a:ln>
        <a:effectLst/>
      </c:spPr>
      <c:txPr>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IN"/>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Sheet4!$B$1</c:f>
              <c:strCache>
                <c:ptCount val="1"/>
                <c:pt idx="0">
                  <c:v>Temperature (°C)</c:v>
                </c:pt>
              </c:strCache>
            </c:strRef>
          </c:tx>
          <c:spPr>
            <a:solidFill>
              <a:schemeClr val="accent1"/>
            </a:solidFill>
            <a:ln>
              <a:noFill/>
            </a:ln>
            <a:effectLst/>
            <a:sp3d/>
          </c:spPr>
          <c:invertIfNegative val="0"/>
          <c:cat>
            <c:strRef>
              <c:f>Sheet4!$A$2:$A$4</c:f>
              <c:strCache>
                <c:ptCount val="3"/>
                <c:pt idx="0">
                  <c:v>Winter</c:v>
                </c:pt>
                <c:pt idx="1">
                  <c:v>Summer</c:v>
                </c:pt>
                <c:pt idx="2">
                  <c:v>Monsoon</c:v>
                </c:pt>
              </c:strCache>
            </c:strRef>
          </c:cat>
          <c:val>
            <c:numRef>
              <c:f>Sheet4!$B$2:$B$4</c:f>
              <c:numCache>
                <c:formatCode>General</c:formatCode>
                <c:ptCount val="3"/>
                <c:pt idx="0">
                  <c:v>22.4</c:v>
                </c:pt>
                <c:pt idx="1">
                  <c:v>33.799999999999997</c:v>
                </c:pt>
                <c:pt idx="2">
                  <c:v>27.5</c:v>
                </c:pt>
              </c:numCache>
            </c:numRef>
          </c:val>
          <c:extLst>
            <c:ext xmlns:c16="http://schemas.microsoft.com/office/drawing/2014/chart" uri="{C3380CC4-5D6E-409C-BE32-E72D297353CC}">
              <c16:uniqueId val="{00000000-B9BA-4654-982C-36EC08F33BFD}"/>
            </c:ext>
          </c:extLst>
        </c:ser>
        <c:ser>
          <c:idx val="1"/>
          <c:order val="1"/>
          <c:tx>
            <c:strRef>
              <c:f>Sheet4!$C$1</c:f>
              <c:strCache>
                <c:ptCount val="1"/>
                <c:pt idx="0">
                  <c:v>Dissolved Oxygen (mg/L)</c:v>
                </c:pt>
              </c:strCache>
            </c:strRef>
          </c:tx>
          <c:spPr>
            <a:solidFill>
              <a:schemeClr val="accent2"/>
            </a:solidFill>
            <a:ln>
              <a:noFill/>
            </a:ln>
            <a:effectLst/>
            <a:sp3d/>
          </c:spPr>
          <c:invertIfNegative val="0"/>
          <c:cat>
            <c:strRef>
              <c:f>Sheet4!$A$2:$A$4</c:f>
              <c:strCache>
                <c:ptCount val="3"/>
                <c:pt idx="0">
                  <c:v>Winter</c:v>
                </c:pt>
                <c:pt idx="1">
                  <c:v>Summer</c:v>
                </c:pt>
                <c:pt idx="2">
                  <c:v>Monsoon</c:v>
                </c:pt>
              </c:strCache>
            </c:strRef>
          </c:cat>
          <c:val>
            <c:numRef>
              <c:f>Sheet4!$C$2:$C$4</c:f>
              <c:numCache>
                <c:formatCode>General</c:formatCode>
                <c:ptCount val="3"/>
                <c:pt idx="0">
                  <c:v>7.6</c:v>
                </c:pt>
                <c:pt idx="1">
                  <c:v>5.3</c:v>
                </c:pt>
                <c:pt idx="2">
                  <c:v>6.4</c:v>
                </c:pt>
              </c:numCache>
            </c:numRef>
          </c:val>
          <c:extLst>
            <c:ext xmlns:c16="http://schemas.microsoft.com/office/drawing/2014/chart" uri="{C3380CC4-5D6E-409C-BE32-E72D297353CC}">
              <c16:uniqueId val="{00000001-B9BA-4654-982C-36EC08F33BFD}"/>
            </c:ext>
          </c:extLst>
        </c:ser>
        <c:dLbls>
          <c:showLegendKey val="0"/>
          <c:showVal val="0"/>
          <c:showCatName val="0"/>
          <c:showSerName val="0"/>
          <c:showPercent val="0"/>
          <c:showBubbleSize val="0"/>
        </c:dLbls>
        <c:gapWidth val="150"/>
        <c:shape val="box"/>
        <c:axId val="1176848640"/>
        <c:axId val="1176847392"/>
        <c:axId val="0"/>
      </c:bar3DChart>
      <c:catAx>
        <c:axId val="117684864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76847392"/>
        <c:crosses val="autoZero"/>
        <c:auto val="1"/>
        <c:lblAlgn val="ctr"/>
        <c:lblOffset val="100"/>
        <c:noMultiLvlLbl val="0"/>
      </c:catAx>
      <c:valAx>
        <c:axId val="11768473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768486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6B5280C-B8D4-4C23-A26A-4C24168F2720}">
  <we:reference id="wa200001361" version="2.129.3.0" store="en-US" storeType="OMEX"/>
  <we:alternateReferences>
    <we:reference id="WA200001361" version="2.129.3.0" store="" storeType="OMEX"/>
  </we:alternateReferences>
  <we:properties>
    <we:property name="paperpal-document-id" value="&quot;076e013c-56c5-4d62-b1f4-1631ebe04e49&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11</TotalTime>
  <Pages>38</Pages>
  <Words>9257</Words>
  <Characters>49160</Characters>
  <Application>Microsoft Office Word</Application>
  <DocSecurity>0</DocSecurity>
  <Lines>1695</Lines>
  <Paragraphs>1062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GAJANAN ANKATWAR</dc:creator>
  <cp:keywords/>
  <dc:description/>
  <cp:lastModifiedBy>SDI 91</cp:lastModifiedBy>
  <cp:revision>5</cp:revision>
  <dcterms:created xsi:type="dcterms:W3CDTF">2026-03-17T14:19:00Z</dcterms:created>
  <dcterms:modified xsi:type="dcterms:W3CDTF">2026-03-18T07:04:00Z</dcterms:modified>
</cp:coreProperties>
</file>