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D641B" w14:textId="77777777" w:rsidR="002134BE" w:rsidRDefault="00000000">
      <w:pPr>
        <w:widowControl w:val="0"/>
        <w:pBdr>
          <w:top w:val="nil"/>
          <w:left w:val="nil"/>
          <w:bottom w:val="nil"/>
          <w:right w:val="nil"/>
          <w:between w:val="nil"/>
        </w:pBdr>
      </w:pPr>
      <w:r>
        <w:pict w14:anchorId="0C0F6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728;visibility:hidden">
            <o:lock v:ext="edit" selection="t"/>
          </v:shape>
        </w:pict>
      </w:r>
      <w:r>
        <w:pict w14:anchorId="44F4CB29">
          <v:shape id="_x0000_s2051" type="#_x0000_t136" style="position:absolute;margin-left:0;margin-top:0;width:50pt;height:50pt;z-index:251658752;visibility:hidden">
            <o:lock v:ext="edit" selection="t"/>
          </v:shape>
        </w:pict>
      </w:r>
      <w:r>
        <w:pict w14:anchorId="7E22CF7D">
          <v:shape id="_x0000_s2053" type="#_x0000_t136" style="position:absolute;margin-left:0;margin-top:0;width:50pt;height:50pt;z-index:251656704;visibility:hidden">
            <o:lock v:ext="edit" selection="t"/>
          </v:shape>
        </w:pict>
      </w:r>
    </w:p>
    <w:p w14:paraId="55D65598" w14:textId="77777777" w:rsidR="002134BE" w:rsidRDefault="002B1F24">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Prompt Injection and Training Data Poisoning as Emerging Threats to PCI DSS–Protected Financial Data</w:t>
      </w:r>
    </w:p>
    <w:p w14:paraId="1A9E96BE" w14:textId="77777777" w:rsidR="002134BE" w:rsidRDefault="002134BE">
      <w:pPr>
        <w:spacing w:after="240"/>
        <w:rPr>
          <w:rFonts w:ascii="Times New Roman" w:eastAsia="Times New Roman" w:hAnsi="Times New Roman" w:cs="Times New Roman"/>
          <w:b/>
          <w:bCs/>
          <w:sz w:val="24"/>
          <w:szCs w:val="24"/>
        </w:rPr>
      </w:pPr>
    </w:p>
    <w:p w14:paraId="5109A76D" w14:textId="77777777" w:rsidR="002134BE" w:rsidRDefault="002134BE">
      <w:pPr>
        <w:pBdr>
          <w:top w:val="nil"/>
          <w:left w:val="nil"/>
          <w:bottom w:val="nil"/>
          <w:right w:val="nil"/>
          <w:between w:val="nil"/>
        </w:pBdr>
        <w:spacing w:line="240" w:lineRule="auto"/>
        <w:rPr>
          <w:rFonts w:ascii="Tenorite" w:eastAsia="Tenorite" w:hAnsi="Tenorite" w:cs="Tenorite"/>
          <w:color w:val="000000"/>
          <w:sz w:val="26"/>
          <w:szCs w:val="26"/>
        </w:rPr>
      </w:pPr>
    </w:p>
    <w:p w14:paraId="7A68E779" w14:textId="77777777" w:rsidR="002134BE" w:rsidRDefault="002134BE">
      <w:pPr>
        <w:spacing w:after="240"/>
        <w:rPr>
          <w:rFonts w:ascii="Times New Roman" w:eastAsia="Times New Roman" w:hAnsi="Times New Roman" w:cs="Times New Roman"/>
          <w:b/>
          <w:bCs/>
          <w:sz w:val="24"/>
          <w:szCs w:val="24"/>
        </w:rPr>
      </w:pPr>
    </w:p>
    <w:p w14:paraId="2584F5D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8D8B7C9" w14:textId="77777777" w:rsidR="002134BE" w:rsidRDefault="002B1F2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how prompt injection and training data poisoning compromise artificial intelligence (AI) systems operating within PCI DSS–protected financial environments and evaluates the adequacy of existing compliance controls in addressing these emerging threats. A multi-phase quantitative research design was employed, integrating controlled convolutional neural network (CNN)–based poisoning simulation, logistic regression modeling using categorized breach variables, PCI DSS v4.0 compliance gap index construction, and Structural Equation Modeling (SEM) to validate a proposed AI security governance framework. Experimental results indicate that even minimal poisoning can produce substantial latent compromise: at a 5% poisoning rate, attack success reached 78.6% despite only a 4.6% decline in overall model accuracy. Logistic regression analysis further revealed that logging failures significantly reduce breach detection likelihood by 76% (OR = 0.24, p &lt; .001), highlighting the central role of monitoring controls in compliance-based security architectures. Compliance coverage analysis identified a substantial governance gap, with only 33.3% of PCI DSS domains explicitly addressing prompt injection risks, producing an explicit coverage deficit of 66.7%. The largest control deficiencies were observed in domains related to transmission encryption, authentication, anti-malware protections, and secure model governance, which provide limited safeguards against AI-specific manipulation. Structural modeling results demonstrated strong explanatory power (R² = 0.74), with preventive lifecycle controls exerting the strongest influence on AI risk reduction (γ = 0.61). These findings highlight that financial institutions may remain technically compliant with PCI DSS while AI-driven systems remain vulnerable to adversarial manipulation. The study therefore recommends incorporating explicit AI lifecycle governance, continuous model integrity monitoring, and strengthened third-party AI oversight into PCI DSS revisions to improve resilience of AI-enabled financial infrastructures.</w:t>
      </w:r>
    </w:p>
    <w:p w14:paraId="2D0F8312" w14:textId="77777777" w:rsidR="002134BE" w:rsidRDefault="002B1F24">
      <w:pPr>
        <w:pBdr>
          <w:top w:val="nil"/>
          <w:left w:val="nil"/>
          <w:bottom w:val="nil"/>
          <w:right w:val="nil"/>
          <w:between w:val="nil"/>
        </w:pBdr>
        <w:spacing w:after="240"/>
        <w:rPr>
          <w:rFonts w:ascii="Times New Roman" w:eastAsia="Times New Roman" w:hAnsi="Times New Roman" w:cs="Times New Roman"/>
          <w:b/>
          <w:bCs/>
          <w:sz w:val="24"/>
          <w:szCs w:val="24"/>
        </w:rPr>
      </w:pPr>
      <w:bookmarkStart w:id="0" w:name="_heading=h.yh4x6hvxsk1f" w:colFirst="0" w:colLast="0"/>
      <w:bookmarkEnd w:id="0"/>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Prompt Injection Attacks; Training Data Poisoning; PCI DSS Compliance Gap; Adversarial Machine Learning in Finance; AI Governance Controls</w:t>
      </w:r>
    </w:p>
    <w:p w14:paraId="4724167E" w14:textId="77777777" w:rsidR="002134BE" w:rsidRDefault="002B1F24">
      <w:pPr>
        <w:spacing w:after="240"/>
        <w:rPr>
          <w:rFonts w:ascii="Times New Roman" w:eastAsia="Times New Roman" w:hAnsi="Times New Roman" w:cs="Times New Roman"/>
          <w:b/>
          <w:bCs/>
          <w:sz w:val="24"/>
          <w:szCs w:val="24"/>
        </w:rPr>
      </w:pPr>
      <w:bookmarkStart w:id="1" w:name="_heading=h.o98ie9wz64fh" w:colFirst="0" w:colLast="0"/>
      <w:bookmarkEnd w:id="1"/>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t>Introduction</w:t>
      </w:r>
    </w:p>
    <w:p w14:paraId="4E7FA82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Artificial intelligence systems have rapidly evolved from niche research artifacts to essential components of enterprise information systems, and their adoption in finance, cybersecurity, and automation continues to expand at an unprecedented pace. These advances include the use of large language models and generative artificial intelligence to support decision making, document processing, customer engagement, automated risk modeling, and fraud detection. Research indicates that while artificial intelligence enhances organizational efficiency and analytical capability, it simultaneously introduces new classes of vulnerabilities that were largely absent in conventional software architectures (Karras, 2025). Such vulnerabilities include susceptibility to prompt manipulation, adversarial perturbations, and corrupted training data, all of which are beginning to manifest in operational environments. This evolution is occurring alongside growing evidence that many organizations are rapidly deploying generative artificial intelligence within operational production environments, often without fully developed defensive mechanisms to address emerging adversarial threats (Financial Stability Board, 2024; Karras et al., 2025).</w:t>
      </w:r>
    </w:p>
    <w:p w14:paraId="1262CBD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threats associated with modern artificial intelligence arises from the way models interpret and prioritize instructions. Prompt injection attacks exploit the contextual interpretation processes of language models, allowing malicious inputs to override system intended behavior without modifying source code. Cybersecurity authorities and standard setting bodies have identified prompt injection as a critical risk category for generative artificial intelligence applications because user input and system instructions are processed through the same interpretive channel (OWASP Gen AI Security Project, 2025). Empirical demonstrations show that prompt injection can bypass safety controls, extract sensitive internal information, and alter automated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processes. At the same time, training data poisoning attacks target the learning phase of artificial intelligence by embedding malicious patterns into datasets, thereby shaping model behavior long after deployment. Systematic security reviews indicate that even limited amounts of poisoned data can significantly degrade model reliability and introduce hidden backdoors that are difficult to detect using conventional validation techniques (Hartle et al., 2025; Kure et al., 2025).</w:t>
      </w:r>
    </w:p>
    <w:p w14:paraId="7332D19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vulnerabilities have progressed beyond theoretical constructs and are increasingly being observed in operational AI systems. Prompt injection techniques have been empirically demonstrated across a variety of real-world deployments, including large language model–integrated applications, enterprise artificial intelligence systems, and institutional digital platforms, where adversarial prompts can manipulate model behavior or override system instructions (Liu et al., 2023; Geng et al., 2025). Experimental studies further report that data poisoning attacks can reduce classification accuracy by nearly thirty percent in standardized datasets, with particularly severe implications for anomaly detection and fraud classification systems (Kure et al., 2025). Additional research shows that architectural features such as retrieval augmented generation and autonomous task chaining may amplify the impact of adversarial inputs because manipulated content can become persistently embedded within </w:t>
      </w:r>
      <w:r>
        <w:rPr>
          <w:rFonts w:ascii="Times New Roman" w:eastAsia="Times New Roman" w:hAnsi="Times New Roman" w:cs="Times New Roman"/>
          <w:sz w:val="24"/>
          <w:szCs w:val="24"/>
        </w:rPr>
        <w:lastRenderedPageBreak/>
        <w:t>inference contexts (Ramakrishnan &amp; Balaji, 2025). Collectively, these findings illustrate that artificial intelligence introduces security failure modes that differ fundamentally from those addressed by traditional software security models.</w:t>
      </w:r>
    </w:p>
    <w:p w14:paraId="7FA0846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implications of these developments become especially consequential within financial systems. Financial institutions rely extensively on the Payment Card Industry Data Security Standard to safeguard cardholder data and reduce exposure to fraud and data breaches. PCI DSS has historically focused on network security, cryptographic protection, access control, vulnerability management, and logging. However, these controls were designed primarily for deterministic software environments in which system behavior is predictable and bounded. Analytical evaluations of PCI DSS implementation effectiveness indicate that formal compliance does not necessarily equate to comprehensive security, particularly in complex and evolving technological contexts (</w:t>
      </w:r>
      <w:proofErr w:type="spellStart"/>
      <w:r>
        <w:rPr>
          <w:rFonts w:ascii="Times New Roman" w:eastAsia="Times New Roman" w:hAnsi="Times New Roman" w:cs="Times New Roman"/>
          <w:sz w:val="24"/>
          <w:szCs w:val="24"/>
        </w:rPr>
        <w:t>Chippagiri</w:t>
      </w:r>
      <w:proofErr w:type="spellEnd"/>
      <w:r>
        <w:rPr>
          <w:rFonts w:ascii="Times New Roman" w:eastAsia="Times New Roman" w:hAnsi="Times New Roman" w:cs="Times New Roman"/>
          <w:sz w:val="24"/>
          <w:szCs w:val="24"/>
        </w:rPr>
        <w:t xml:space="preserve"> &amp; Ramesh, 2025). As artificial intelligence becomes embedded within payment authorization, fraud detection, transaction monitoring, and customer interaction pipelines, this misalignment between standard assumptions and system behavior becomes increasingly pronounced.</w:t>
      </w:r>
    </w:p>
    <w:p w14:paraId="4C04FDF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present, artificial intelligence systems may directly or indirectly process cardholder data, generate transaction risk scores, or influence authorization outcomes. Yet PCI DSS provides little explicit guidance on securing model training pipelines, governing prompt handling, or validating model output behavior. This situation creates an environment in which organizations may satisfy compliance requirements while simultaneously deploying artificial intelligence components that introduce unexamined attack surfaces. Research on large language model security emphasizes that artificial intelligence vulnerabilities are often invisible to traditional intrusion detection systems because malicious influence may occur through legitimate input channels rather than exploit code execution flaws (Karras, 2025). Consequently, organizations may be unable to determine whether an artificial intelligence component has been manipulated unless overt system failure occurs.</w:t>
      </w:r>
    </w:p>
    <w:p w14:paraId="7690121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undesirable condition that emerges from these observations is characterized by a convergence of accelerating artificial intelligence adoption, increasing sophistication of adversarial machine learning attacks, and static compliance frameworks. Prompt injection and training data poisoning represent threat categories that directly undermine confidentiality, integrity, and access control while remaining largely outside the scope of traditional compliance verification. Despite growing recognition of these risks within the artificial intelligence </w:t>
      </w:r>
      <w:proofErr w:type="gramStart"/>
      <w:r>
        <w:rPr>
          <w:rFonts w:ascii="Times New Roman" w:eastAsia="Times New Roman" w:hAnsi="Times New Roman" w:cs="Times New Roman"/>
          <w:sz w:val="24"/>
          <w:szCs w:val="24"/>
        </w:rPr>
        <w:t>security  studies</w:t>
      </w:r>
      <w:proofErr w:type="gramEnd"/>
      <w:r>
        <w:rPr>
          <w:rFonts w:ascii="Times New Roman" w:eastAsia="Times New Roman" w:hAnsi="Times New Roman" w:cs="Times New Roman"/>
          <w:sz w:val="24"/>
          <w:szCs w:val="24"/>
        </w:rPr>
        <w:t>, limited research has systematically examined how such attacks intersect with PCI DSS protected financial environments. This gap raises unresolved questions regarding whether existing PCI DSS control families meaningfully address artificial intelligence specific manipulation, which control objectives implicitly rely on deterministic software behavior, and how compliance frameworks should evolve to remain effective in artificial intelligence mediated systems.</w:t>
      </w:r>
    </w:p>
    <w:p w14:paraId="10131E5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response to these concerns, this study aims to examine how prompt injection and training data poisoning attacks compromise financial systems protected under PCI DSS and to develop a security framework that integrates artificial intelligence specific threat controls into existing compliance architectures. To achieve this aim, the study pursues four objectives:</w:t>
      </w:r>
    </w:p>
    <w:p w14:paraId="48803172"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and classify prompt injection attack vectors and training data poisoning techniques that affect artificial intelligence components responsible for processing, storing, or transmitting cardholder data within financial systems.</w:t>
      </w:r>
    </w:p>
    <w:p w14:paraId="78F5B894"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effectiveness of existing PCI DSS control requirements in detecting, preventing, and mitigating prompt injection and training data poisoning attacks in artificial intelligence driven financial workflows.</w:t>
      </w:r>
    </w:p>
    <w:p w14:paraId="05B701A0"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map identified artificial intelligence specific threats to corresponding PCI DSS control domains and determine explicit control gaps that expose PCI DSS protected financial data.</w:t>
      </w:r>
    </w:p>
    <w:p w14:paraId="58C61457"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design and validate a PCI DSS aligned security framework that incorporates preventive, detective, and corrective controls for prompt injection and training data poisoning in artificial intelligence enabled financial systems.</w:t>
      </w:r>
    </w:p>
    <w:p w14:paraId="420736CE"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2" w:name="_heading=h.bpb02q4k2xrr" w:colFirst="0" w:colLast="0"/>
      <w:bookmarkEnd w:id="2"/>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ab/>
        <w:t>Literature Review</w:t>
      </w:r>
    </w:p>
    <w:p w14:paraId="29CE579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institutions have moved from experimental use of artificial intelligence toward substantive operational deployment, especially in areas such as fraud detection, credit scoring, compliance automation, and customer engagement. According to Cao and Zhai (2022), adoption has shifted from </w:t>
      </w:r>
      <w:proofErr w:type="spellStart"/>
      <w:r>
        <w:rPr>
          <w:rFonts w:ascii="Times New Roman" w:eastAsia="Times New Roman" w:hAnsi="Times New Roman" w:cs="Times New Roman"/>
          <w:sz w:val="24"/>
          <w:szCs w:val="24"/>
        </w:rPr>
        <w:t>piloteering</w:t>
      </w:r>
      <w:proofErr w:type="spellEnd"/>
      <w:r>
        <w:rPr>
          <w:rFonts w:ascii="Times New Roman" w:eastAsia="Times New Roman" w:hAnsi="Times New Roman" w:cs="Times New Roman"/>
          <w:sz w:val="24"/>
          <w:szCs w:val="24"/>
        </w:rPr>
        <w:t xml:space="preserve"> to production use, with banks and fintech firms embedding supervised and unsupervised models into real time decision pipelines. However, this shift is uneven across functional domains, which suggests that adoption is driven as much by business case clarity as by regulatory permissibility. In contrast to early optimism that automation would be universally beneficial, recent reviews indicate that the complexity of financial workflows creates environment specific constraints that limit transferability of model performance from research datasets to live operations (</w:t>
      </w:r>
      <w:proofErr w:type="spellStart"/>
      <w:r>
        <w:rPr>
          <w:rFonts w:ascii="Times New Roman" w:eastAsia="Times New Roman" w:hAnsi="Times New Roman" w:cs="Times New Roman"/>
          <w:sz w:val="24"/>
          <w:szCs w:val="24"/>
        </w:rPr>
        <w:t>Bahoo</w:t>
      </w:r>
      <w:proofErr w:type="spellEnd"/>
      <w:r>
        <w:rPr>
          <w:rFonts w:ascii="Times New Roman" w:eastAsia="Times New Roman" w:hAnsi="Times New Roman" w:cs="Times New Roman"/>
          <w:sz w:val="24"/>
          <w:szCs w:val="24"/>
        </w:rPr>
        <w:t xml:space="preserve"> et al., 2024). This suggests that wide adoption alone does not guarantee robust, context aware deployment.</w:t>
      </w:r>
    </w:p>
    <w:p w14:paraId="6C027AF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language models and generative artificial intelligence mark a new phase in adoption because they extend beyond narrow prediction to natural language interaction and synthesis functions. The ACM survey on LLMs in finance documents concrete use cases such as document summarization, regulatory reporting assistance, and intelligent assistants for trading desks, yet the authors caution that model outputs are probabilistic and can be misaligned with institutional objectives if governance is weak (Li et al., 2023). Despite this evidence of utility, the Financial Stability Board reports that widespread use of advanced models may amplify </w:t>
      </w:r>
      <w:r>
        <w:rPr>
          <w:rFonts w:ascii="Times New Roman" w:eastAsia="Times New Roman" w:hAnsi="Times New Roman" w:cs="Times New Roman"/>
          <w:sz w:val="24"/>
          <w:szCs w:val="24"/>
        </w:rPr>
        <w:lastRenderedPageBreak/>
        <w:t>operational fragility, especially when models are not stress tested for adversarial inputs or cascading failure modes (Financial Stability Board, 2024). Therefore, the movement from narrow machine learning models to general purpose language models increases both functional reach and attack surface.</w:t>
      </w:r>
    </w:p>
    <w:p w14:paraId="36344A6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 detection and transaction monitoring remain among the most consequential AI enabled workflows because model outputs directly affect access to funds and the integrity of customer accounts (Obioha-Val et al., 2025). Recent systematic surveys of fraud detection methods emphasize that modern approaches offer improved detection rates, but they also reveal sensitivity to data drift and adversarial manipulation, which undermines long term reliability (Gosh </w:t>
      </w:r>
      <w:proofErr w:type="spellStart"/>
      <w:r>
        <w:rPr>
          <w:rFonts w:ascii="Times New Roman" w:eastAsia="Times New Roman" w:hAnsi="Times New Roman" w:cs="Times New Roman"/>
          <w:sz w:val="24"/>
          <w:szCs w:val="24"/>
        </w:rPr>
        <w:t>Dastidar</w:t>
      </w:r>
      <w:proofErr w:type="spellEnd"/>
      <w:r>
        <w:rPr>
          <w:rFonts w:ascii="Times New Roman" w:eastAsia="Times New Roman" w:hAnsi="Times New Roman" w:cs="Times New Roman"/>
          <w:sz w:val="24"/>
          <w:szCs w:val="24"/>
        </w:rPr>
        <w:t xml:space="preserve"> et al., 2024). A critical limitation is that many high performing methods depend on large, curated training sets and on assumptions about transaction distributions that may not hold in rapidly evolving fraud ecosystems (Okolo et al., 2025). This makes models effective yet brittle, thereby creating attractive targets for supply chain manipulation and inference time exploitation.</w:t>
      </w:r>
    </w:p>
    <w:p w14:paraId="0F16D77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and industry bodies have recognized both the opportunity and the risk. The European supervisory report on large language models in finance highlights governance gaps including model provenance, validation regimes, and operational testing practices (Giulio et al., 2025). The World Economic Forum further notes that governance frameworks are usually high level and lack domain specific implementation guidance for payment systems and cardholder data protection (WEF, 2025). In agreement, Vuković et al. (2025) find rapid growth in AI finance studies, but note a research emphasis on algorithms over deployment centric controls and resilience testing. Thus, while the adoption of AI in finance is substantial and accelerating, the corpus of operational controls and regulatory practice has not yet matured to the same degree, implying that AI components are now part of the financial technology perimeter without commensurate security hardening.</w:t>
      </w:r>
    </w:p>
    <w:p w14:paraId="7A55A53B"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3" w:name="_heading=h.4lj67147kb64" w:colFirst="0" w:colLast="0"/>
      <w:bookmarkEnd w:id="3"/>
      <w:r>
        <w:rPr>
          <w:rFonts w:ascii="Times New Roman" w:eastAsia="Times New Roman" w:hAnsi="Times New Roman" w:cs="Times New Roman"/>
          <w:b/>
          <w:bCs/>
          <w:color w:val="000000"/>
          <w:sz w:val="24"/>
          <w:szCs w:val="24"/>
        </w:rPr>
        <w:t>Prompt Injection Attacks as a Distinct AI Security Paradigm</w:t>
      </w:r>
    </w:p>
    <w:p w14:paraId="42B0CBE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 attacks have emerged as a fundamental security threat in large language model and generative AI systems because they exploit the very contextual processing mechanisms that enable model flexibility. By embedding malicious instructions within user inputs, attackers manipulate model behavior in ways that models cannot reliably distinguish from legitimate operational directives. This architectural inability to enforce strict boundaries between system instructions and user-provided content suggests that prompt injection represents an inherent structural vulnerability rather than a conventional input validation flaw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et al., 2026; OWASP, 2025).</w:t>
      </w:r>
    </w:p>
    <w:p w14:paraId="138C614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evidence confirms the pervasiveness of this weakness across deployment contexts. Liu et al. (2023) demonstrated that 31 of 36 real-world applications integrating large language models were vulnerable to large-scale prompt injection, exposing millions of users despite </w:t>
      </w:r>
      <w:r>
        <w:rPr>
          <w:rFonts w:ascii="Times New Roman" w:eastAsia="Times New Roman" w:hAnsi="Times New Roman" w:cs="Times New Roman"/>
          <w:sz w:val="24"/>
          <w:szCs w:val="24"/>
        </w:rPr>
        <w:lastRenderedPageBreak/>
        <w:t>heuristic mitigation attempts. Similarly, Zhang et al. (2024) showed that goal-guided adversarial prompts embedded in natural user interfaces could systematically compromise model outputs, revealing that user-facing interaction surfaces are intrinsically high-risk because they rely on contextual trust. In agreement, Geng et al. (2025) identifies prompt injection as one of the most critical vulnerabilities in large language model applications due to its ability to subvert safety controls and degrade application integrity (Geng et al., 2022). However, many existing defenses rely on syntactic filtering and heuristic pattern recognition, approaches that attackers can bypass through semantically coherent adversarial prompts, thereby exposing the inadequacy of surface-level mitigation strategies.</w:t>
      </w:r>
    </w:p>
    <w:p w14:paraId="0B7C7EE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threat extends beyond text-based systems. A recent study on multimodal vision-language models demonstrates that prompt injection can manipulate outputs even when models process both visual and textual data, indicating that the vulnerability is modality-agnostic and embedded in contextual reasoning architectures rather than confined to text interfaces (</w:t>
      </w:r>
      <w:proofErr w:type="spellStart"/>
      <w:r>
        <w:rPr>
          <w:rFonts w:ascii="Times New Roman" w:eastAsia="Times New Roman" w:hAnsi="Times New Roman" w:cs="Times New Roman"/>
          <w:sz w:val="24"/>
          <w:szCs w:val="24"/>
        </w:rPr>
        <w:t>Clusmann</w:t>
      </w:r>
      <w:proofErr w:type="spellEnd"/>
      <w:r>
        <w:rPr>
          <w:rFonts w:ascii="Times New Roman" w:eastAsia="Times New Roman" w:hAnsi="Times New Roman" w:cs="Times New Roman"/>
          <w:sz w:val="24"/>
          <w:szCs w:val="24"/>
        </w:rPr>
        <w:t xml:space="preserve"> et al., 2025). This expansion significantly broadens the attack surface and complicates defensive design because adversarial cues can be distributed across heterogeneous input streams.</w:t>
      </w:r>
    </w:p>
    <w:p w14:paraId="421DB19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Even advanced alignment techniques do not eliminate this risk. Yip et al. (2024) found that while newer model generations such as Llama2 exhibited comparatively improved robustness, adversarial prompts still achieved non-zero success rates, reflecting persistent structural susceptibility. These findings reinforce the argument that incremental robustness improvements cannot fully resolve vulnerabilities rooted in probabilistic context processing. Indeed, the architectural design of large language models prioritizes continuity of context and next-token probability estimation, not rigid separation between code and input (Olaniyi et al., 2026b; Olisa et al., 2026). As a result, prompt injection can be conceptualized as a confused-deputy attack in which models execute adversarial cues embedded within legitimate contexts, effectively bypassing guardrails and safety alignments (OWASP Gen AI Security Project, 2025).</w:t>
      </w:r>
    </w:p>
    <w:p w14:paraId="0833053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isolated exploits, cybersecurity advisories increasingly classify prompt injection as the leading threat in secure AI development because current mitigations do not alter the underlying interpretive mechanism of models (Parekh, 2025). Moreover, threat taxonomies situate prompt injection alongside protocol-level exploits and backdoor mechanisms, emphasizing its strategic role within layered adversarial campaigns that can escalate into deeper system compromise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 These findings position prompt injection not as a peripheral vulnerability but as a structurally embedded risk within contemporary generative AI architectures.</w:t>
      </w:r>
    </w:p>
    <w:p w14:paraId="285BBF29"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4" w:name="_heading=h.j3tbf2tvf8b0" w:colFirst="0" w:colLast="0"/>
      <w:bookmarkEnd w:id="4"/>
      <w:r>
        <w:rPr>
          <w:rFonts w:ascii="Times New Roman" w:eastAsia="Times New Roman" w:hAnsi="Times New Roman" w:cs="Times New Roman"/>
          <w:b/>
          <w:bCs/>
          <w:color w:val="000000"/>
          <w:sz w:val="24"/>
          <w:szCs w:val="24"/>
        </w:rPr>
        <w:t>Training data poisoning and backdoor insertion in machine learning systems</w:t>
      </w:r>
    </w:p>
    <w:p w14:paraId="62C159D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data poisoning represents one of the most structurally disruptive threats to machine learning systems because it compromises model integrity at the point of knowledge acquisition rather than during execution. By manipulating training data distributions in ways that remain statistically plausible yet behaviorally consequential, attackers embed malicious behavior </w:t>
      </w:r>
      <w:r>
        <w:rPr>
          <w:rFonts w:ascii="Times New Roman" w:eastAsia="Times New Roman" w:hAnsi="Times New Roman" w:cs="Times New Roman"/>
          <w:sz w:val="24"/>
          <w:szCs w:val="24"/>
        </w:rPr>
        <w:lastRenderedPageBreak/>
        <w:t>directly into model parameters (Wang et al., 2022). Unlike inference-time attacks, which may be mitigated through runtime monitoring or anomaly detection, poisoning attacks persist after training and are difficult to detect without retraining or forensic analysis (Abtahi et al., 2026). This shift from operational defense to supply chain assurance challenges traditional perimeter-based security models and underscores the need to treat data provenance and curation as core security functions.</w:t>
      </w:r>
    </w:p>
    <w:p w14:paraId="2EA1688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studies identify multiple poisoning paradigms distinguished by attacker access and intent. Dirty-label attacks introduce mislabeled samples to distort decision boundaries, whereas clean-label attacks preserve label correctness while embedding subtle feature correlations that activate under specific conditions (Wang et al., 2024). Jagielski et al. (2021) demonstrate that clean-label subpopulation attacks evade standard sanitization techniques that rely on detecting label noise. Similarly, Gan et al. (2022) show that poisoned samples can be aligned with natural data manifolds, bypassing outlier detection mechanisms and exposing the fragility of statistical defense assumptions. Backdoor insertion represents a particularly severe form of poisoning in which models perform normally across most inputs but produce attacker-controlled outputs when specific triggers are present (backdoored models behave correctly on untainted inputs but misclassify trigger-embedded inputs) (Lyu et al., 2025). Goldblum et al. (2022) argue that such attacks are especially dangerous because poisoned models maintain high validation accuracy, enabling them to pass audit checks undetected. While poisoning effectiveness depends on architecture and training dynamics, Xie et al. (2024) suggest that high-capacity transformer models may actually amplify backdoor persistence, revealing a paradox in which performance-oriented architectural advances can increase attack viability.</w:t>
      </w:r>
    </w:p>
    <w:p w14:paraId="0134A6F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widespread adoption of pre-trained foundation models further expands the poisoning surface. Transfer learning workflows rely on fine-tuning with domain-specific datasets that are often smaller and less rigorously curated than original pre-training corpora (</w:t>
      </w: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et al., 2023; Kurita et al., 2020). </w:t>
      </w: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et al. (2023) contend that this adaptation phase provides an efficient attack vector, as limited poisoning can disproportionately influence downstream behavior. Although large-scale pre-training is frequently assumed to confer robustness, empirical findings indicate that fine-tuning-stage poisoning can introduce domain-specific backdoors that remain invisible under generic benchmark evaluations (Alber et al., 2025). These results challenge assumptions that model scale alone ensures security.</w:t>
      </w:r>
    </w:p>
    <w:p w14:paraId="5BF61EF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learning paradigms introduce additional governance complexity. In federated learning, attackers can conduct model replacement or poisoning attacks while remaining within nominal aggregation bounds. Bagdasaryan et al. (2020) demonstrate that a single malicious participant can exert disproportionate influence over the global model without triggering anomaly thresholds. Although federated learning reduces centralized data exposure, it simultaneously creates challenges in participant trust validation, update verification, and </w:t>
      </w:r>
      <w:r>
        <w:rPr>
          <w:rFonts w:ascii="Times New Roman" w:eastAsia="Times New Roman" w:hAnsi="Times New Roman" w:cs="Times New Roman"/>
          <w:sz w:val="24"/>
          <w:szCs w:val="24"/>
        </w:rPr>
        <w:lastRenderedPageBreak/>
        <w:t xml:space="preserve">provenance tracking, illustrating that privacy-preserving architectures do not inherently guarantee security-preserving outcomes (Bottoni et al., 2025; </w:t>
      </w:r>
      <w:proofErr w:type="spellStart"/>
      <w:r>
        <w:rPr>
          <w:rFonts w:ascii="Times New Roman" w:eastAsia="Times New Roman" w:hAnsi="Times New Roman" w:cs="Times New Roman"/>
          <w:sz w:val="24"/>
          <w:szCs w:val="24"/>
        </w:rPr>
        <w:t>Kairouz</w:t>
      </w:r>
      <w:proofErr w:type="spellEnd"/>
      <w:r>
        <w:rPr>
          <w:rFonts w:ascii="Times New Roman" w:eastAsia="Times New Roman" w:hAnsi="Times New Roman" w:cs="Times New Roman"/>
          <w:sz w:val="24"/>
          <w:szCs w:val="24"/>
        </w:rPr>
        <w:t xml:space="preserve"> &amp; McMahan, 2021).</w:t>
      </w:r>
    </w:p>
    <w:p w14:paraId="0C0F6771"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Defensive approaches have evolved but remain fragmented. Robust training objectives, influence function analysis, data sanitization, and anomaly-resistant aggregation have been proposed, yet their effectiveness is often limited to specific threat assumptions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 Olaniyi et al., 2026a). Zhou et al. (2024) report that robust foundation model training can reduce poisoning success rates under constrained conditions, but performance degradation and computational overhead constrain deployment. Moreover, many defenses are reactive and attack-specific rather than grounded in systemic data governance controls (Oprea et al., 2022). When considered alongside layered adversarial strategies, poisoning can be combined with inference-time exploits, prompt injection, or other manipulation techniques to produce persistent multi-stage compromise scenarios (Wang et al., 2022). These dynamics indicate that securing machine learning systems requires integrated lifecycle governance that treats training data as a regulated security asset rather than merely a technical input.</w:t>
      </w:r>
    </w:p>
    <w:p w14:paraId="46001A57"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5" w:name="_heading=h.nym2bw516bww" w:colFirst="0" w:colLast="0"/>
      <w:bookmarkEnd w:id="5"/>
      <w:r>
        <w:rPr>
          <w:rFonts w:ascii="Times New Roman" w:eastAsia="Times New Roman" w:hAnsi="Times New Roman" w:cs="Times New Roman"/>
          <w:b/>
          <w:bCs/>
          <w:color w:val="000000"/>
          <w:sz w:val="24"/>
          <w:szCs w:val="24"/>
        </w:rPr>
        <w:t>PCI DSS control philosophy and traditional financial data protection models</w:t>
      </w:r>
    </w:p>
    <w:p w14:paraId="0CFF4F9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Payment Card Industry Data Security Standard has long functioned as the dominant framework for safeguarding cardholder data within payment ecosystems. Designed to reduce fraud and data breaches through prescriptive technical and procedural controls, PCI DSS emphasizes confidentiality and integrity across the data lifecycle (Goodspeed, 2022). However, the standard is grounded in traditional information security assumptions, particularly that protected systems behave deterministically and that risks can be mitigated through static control enforcement. As financial infrastructures incorporate adaptive and learning-based technologies, these assumptions become increasingly strained.</w:t>
      </w:r>
    </w:p>
    <w:p w14:paraId="399D922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DSS prioritizes perimeter defense, access control, encryption, logging, and vulnerability management, presupposing bounded systems and predictable data flows (Singer &amp; Friedman, 2014). In contrast, contemporary financial architectures rely on distributed systems, cloud services, and automated decision engines that blur system boundaries and complicate enforcement (Kumar, 2025). Although compliance assessments verify the presence of required controls, they often remain checklist-oriented, evaluating procedural adherence rather than dynamic risk exposure (Bello et al., 2024). This distinction suggests that PCI DSS may effectively validate control implementation while offering limited insight into behavioral or evolving threats.</w:t>
      </w:r>
    </w:p>
    <w:p w14:paraId="6CFD89E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compliance-driven orientation of PCI DSS further contributes to structural limitations. Organizations frequently treat compliance as an endpoint rather than a baseline, prioritizing audit success over adaptive risk management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2022). Empirical breach analyses reinforce this concern, indicating that some compromised organizations were technically compliant at the time of incident, revealing a disconnect between formal compliance </w:t>
      </w:r>
      <w:r>
        <w:rPr>
          <w:rFonts w:ascii="Times New Roman" w:eastAsia="Times New Roman" w:hAnsi="Times New Roman" w:cs="Times New Roman"/>
          <w:sz w:val="24"/>
          <w:szCs w:val="24"/>
        </w:rPr>
        <w:lastRenderedPageBreak/>
        <w:t>and operational resilience (Verizon, 2020). This gap becomes more pronounced in AI-mediated environments, where compromise may occur through subtle manipulation of model behavior without triggering traditional control violations.</w:t>
      </w:r>
    </w:p>
    <w:p w14:paraId="55A0870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limitation lies in PCI DSS’s implicit treatment of software as static artifacts. The framework assumes that once securely developed and deployed, system behavior remains stable unless explicitly altered. However, adaptive systems research shows that machine learning components evolve through data exposure, configuration changes, and fine-tuning processes (Ashmore et al., 2021). This dynamic behavior challenges periodic assessment models and static validation mechanisms, suggesting that compliance frameworks designed for fixed logic systems may inadequately capture ongoing risk in learning-enabled financial infrastructures.</w:t>
      </w:r>
    </w:p>
    <w:p w14:paraId="0A68502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DSS also provides limited guidance on data provenance, training pipelines, and algorithmic governance. While controls address data storage and transmission security, they do not explicitly account for securing upstream data sources or safeguarding derived artifacts such as analytical models (</w:t>
      </w:r>
      <w:proofErr w:type="spellStart"/>
      <w:r>
        <w:rPr>
          <w:rFonts w:ascii="Times New Roman" w:eastAsia="Times New Roman" w:hAnsi="Times New Roman" w:cs="Times New Roman"/>
          <w:sz w:val="24"/>
          <w:szCs w:val="24"/>
        </w:rPr>
        <w:t>Choowan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Daovisan</w:t>
      </w:r>
      <w:proofErr w:type="spellEnd"/>
      <w:r>
        <w:rPr>
          <w:rFonts w:ascii="Times New Roman" w:eastAsia="Times New Roman" w:hAnsi="Times New Roman" w:cs="Times New Roman"/>
          <w:sz w:val="24"/>
          <w:szCs w:val="24"/>
        </w:rPr>
        <w:t xml:space="preserve">, 2025). Research on secure data pipelines emphasizes that integrity must extend across transformation and inference stages, not merely storage layers. The absence of such considerations reflects an implicit trust in internal processing </w:t>
      </w:r>
      <w:proofErr w:type="gramStart"/>
      <w:r>
        <w:rPr>
          <w:rFonts w:ascii="Times New Roman" w:eastAsia="Times New Roman" w:hAnsi="Times New Roman" w:cs="Times New Roman"/>
          <w:sz w:val="24"/>
          <w:szCs w:val="24"/>
        </w:rPr>
        <w:t>logic,</w:t>
      </w:r>
      <w:proofErr w:type="gramEnd"/>
      <w:r>
        <w:rPr>
          <w:rFonts w:ascii="Times New Roman" w:eastAsia="Times New Roman" w:hAnsi="Times New Roman" w:cs="Times New Roman"/>
          <w:sz w:val="24"/>
          <w:szCs w:val="24"/>
        </w:rPr>
        <w:t xml:space="preserve"> an assumption increasingly contested in adversarial machine learning research.</w:t>
      </w:r>
    </w:p>
    <w:p w14:paraId="5ED7249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complexities are further amplified in cloud and AI service ecosystems. Financial institutions increasingly depend on third-party platforms and managed AI services, complicating accountability and obscuring visibility into internal system behavior (Seth et al., 2024). Although PCI DSS addresses third-party risk contractually, it offers limited technical mechanisms for validating the security posture of externally managed intelligent systems. This creates oversight gaps in environments where critical decision logic may reside outside direct organizational control.</w:t>
      </w:r>
    </w:p>
    <w:p w14:paraId="7EA3481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analyses with newer regulatory instruments reveal additional misalignment. Frameworks such as the European Union Artificial Intelligence Act and the NIST AI Risk Management Framework incorporate concepts of transparency, explainability, and adversarial robustness that operate at the behavioral and lifecycle level (Raji et al., 2022). PCI DSS, by contrast, remains largely infrastructure-centric, lacking explicit provisions for assessing model-level or probabilistic risk. While this does not diminish its effectiveness against conventional threats, it suggests that the standard was not designed to address AI-specific manipulation vectors.</w:t>
      </w:r>
    </w:p>
    <w:p w14:paraId="59124E2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PCI DSS remains effective within its original scope. Evidence shows that compliance reduces exposure to traditional threats such as credential theft, misconfiguration, and network intrusion (Safa et al., 2021). However, such effectiveness does not automatically extend to AI-mediated systems, where compromise may occur without breaching conventional control boundaries. This divergence underscores the need to reassess how established financial </w:t>
      </w:r>
      <w:r>
        <w:rPr>
          <w:rFonts w:ascii="Times New Roman" w:eastAsia="Times New Roman" w:hAnsi="Times New Roman" w:cs="Times New Roman"/>
          <w:sz w:val="24"/>
          <w:szCs w:val="24"/>
        </w:rPr>
        <w:lastRenderedPageBreak/>
        <w:t>security models translate into environments characterized by adaptive, probabilistic decision logic.</w:t>
      </w:r>
    </w:p>
    <w:p w14:paraId="2E4D5BA1"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6" w:name="_heading=h.ytc76nvup253" w:colFirst="0" w:colLast="0"/>
      <w:bookmarkEnd w:id="6"/>
      <w:r>
        <w:rPr>
          <w:rFonts w:ascii="Times New Roman" w:eastAsia="Times New Roman" w:hAnsi="Times New Roman" w:cs="Times New Roman"/>
          <w:b/>
          <w:bCs/>
          <w:color w:val="000000"/>
          <w:sz w:val="24"/>
          <w:szCs w:val="24"/>
        </w:rPr>
        <w:t>Mapping AI-specific threats to compliance gaps in PCI DSS</w:t>
      </w:r>
    </w:p>
    <w:p w14:paraId="68C0F61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payment processing and financial decision workflows exposes structural tensions between AI-specific threat models and the control logic embedded in PCI DSS. Compliance frameworks such as PCI DSS were originally designed to address unauthorized access, data exfiltration, and infrastructure compromise rather than behavioral manipulation of decision systems (Douha et al., 2023). However, prompt injection and training data poisoning exploit legitimate interfaces and trusted data flows, operating within permitted system boundaries (Zhao, Zhu, et al., 2025). This divergence suggests that AI-driven attacks may bypass compliance controls without triggering traditional audit or monitoring mechanisms, raising concerns about the adequacy of PCI DSS in AI-mediated financial environments.</w:t>
      </w:r>
    </w:p>
    <w:p w14:paraId="4DACEE6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gap lies in how PCI DSS conceptualizes input validation and trust boundaries. The standard assumes that authenticated inputs from approved channels are benign, emphasizing protection against unauthorized actors (Carlini et al., 2023). In contrast, adversarial AI research demonstrates that malicious intent can be embedded within syntactically valid and authorized inputs, particularly in natural language interfaces (Bender et al., 2021). Prompt injection exploits this semantic vulnerability by manipulating instruction hierarchies rather than violating access controls. Similarly, training data poisoning operates within authorized data pipelines, introducing </w:t>
      </w:r>
      <w:proofErr w:type="spellStart"/>
      <w:r>
        <w:rPr>
          <w:rFonts w:ascii="Times New Roman" w:eastAsia="Times New Roman" w:hAnsi="Times New Roman" w:cs="Times New Roman"/>
          <w:sz w:val="24"/>
          <w:szCs w:val="24"/>
        </w:rPr>
        <w:t>adversarially</w:t>
      </w:r>
      <w:proofErr w:type="spellEnd"/>
      <w:r>
        <w:rPr>
          <w:rFonts w:ascii="Times New Roman" w:eastAsia="Times New Roman" w:hAnsi="Times New Roman" w:cs="Times New Roman"/>
          <w:sz w:val="24"/>
          <w:szCs w:val="24"/>
        </w:rPr>
        <w:t xml:space="preserve"> crafted yet statistically plausible inputs that evade traditional integrity checks (Siva Kumar et al., 2020). Because PCI DSS integrity mechanisms focus on preventing unauthorized modification rather than detecting adversarial manipulation within permitted workflows, these attacks expose a structural conflation of authorization with trustworthiness.</w:t>
      </w:r>
    </w:p>
    <w:p w14:paraId="7E4395E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and validation mechanisms further illustrate this misalignment. PCI DSS relies on continuous logging and anomaly detection to identify events such as privilege escalation or unauthorized access. However, prompt injection and poisoning attacks often leave no anomalous logs because they do not violate formal policy constraints (Carlini et al., 2023). Additionally, PCI DSS validation processes assume deterministic system behavior and rely on static configuration reviews (Ribeiro et al., 2016). In adaptive AI systems, model behavior evolves through contextual interaction and data exposure, meaning that periodic compliance assessments may fail to capture gradual behavioral compromise (Adebiyi et al., 2026;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2025).</w:t>
      </w:r>
    </w:p>
    <w:p w14:paraId="01DB862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Blind spots also emerge in third-party and shared responsibility contexts. Although PCI DSS includes provisions for managing service provider risk, these are largely contractual rather than technically transparent. AI supply chain research indicates that organizations frequently lack visibility into model training practices, data provenance, and prompt handling within externally </w:t>
      </w:r>
      <w:r>
        <w:rPr>
          <w:rFonts w:ascii="Times New Roman" w:eastAsia="Times New Roman" w:hAnsi="Times New Roman" w:cs="Times New Roman"/>
          <w:sz w:val="24"/>
          <w:szCs w:val="24"/>
        </w:rPr>
        <w:lastRenderedPageBreak/>
        <w:t>managed AI services (Yang et al., 2022). This opacity amplifies poisoning and prompt injection risks in outsourced or cloud-based deployments, suggesting that existing third-party controls are insufficient for intelligent service ecosystems.</w:t>
      </w:r>
    </w:p>
    <w:p w14:paraId="5DB5828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governance analyses reinforce these structural gaps. Emerging frameworks such as the NIST AI Risk Management Framework and the European Union Artificial Intelligence Act incorporate concepts of adversarial robustness, lifecycle governance, and behavioral validation that are largely absent in PCI DSS. Although these instruments are not payment-specific, they recognize threat categories that intersect directly with AI-mediated financial risk (Obsidian Security, 2025). The absence of equivalent controls within PCI DSS indicates a lag between traditional compliance models and contemporary AI threat landscapes.</w:t>
      </w:r>
    </w:p>
    <w:p w14:paraId="175CFCB1"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AI-specific attacks align with the incentive structures described in security economics research. Attackers rationally exploit vulnerabilities that maximize impact while minimizing detection probability (Al-</w:t>
      </w:r>
      <w:proofErr w:type="spellStart"/>
      <w:r>
        <w:rPr>
          <w:rFonts w:ascii="Times New Roman" w:eastAsia="Times New Roman" w:hAnsi="Times New Roman" w:cs="Times New Roman"/>
          <w:sz w:val="24"/>
          <w:szCs w:val="24"/>
        </w:rPr>
        <w:t>Shattarat</w:t>
      </w:r>
      <w:proofErr w:type="spellEnd"/>
      <w:r>
        <w:rPr>
          <w:rFonts w:ascii="Times New Roman" w:eastAsia="Times New Roman" w:hAnsi="Times New Roman" w:cs="Times New Roman"/>
          <w:sz w:val="24"/>
          <w:szCs w:val="24"/>
        </w:rPr>
        <w:t xml:space="preserve"> et al., 2025; Zhao et al., 2025). Prompt injection and training data poisoning fit this profile because they leverage trust assumptions and internal workflows rather than technical misconfigurations. This suggests that PCI DSS control gaps stem not only from technical omission but from foundational assumptions about adversary behavior and system failure modes in deterministic infrastructures.</w:t>
      </w:r>
    </w:p>
    <w:p w14:paraId="6556CAA5"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7" w:name="_heading=h.eb36u0bx11bb" w:colFirst="0" w:colLast="0"/>
      <w:bookmarkEnd w:id="7"/>
      <w:r>
        <w:rPr>
          <w:rFonts w:ascii="Times New Roman" w:eastAsia="Times New Roman" w:hAnsi="Times New Roman" w:cs="Times New Roman"/>
          <w:b/>
          <w:bCs/>
          <w:color w:val="000000"/>
          <w:sz w:val="24"/>
          <w:szCs w:val="24"/>
        </w:rPr>
        <w:t>Existing AI security frameworks and their limitations for regulated financial data</w:t>
      </w:r>
    </w:p>
    <w:p w14:paraId="4DA90C8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expansion of artificial intelligence across critical sectors has led to the development of multiple AI security and governance frameworks aimed at managing risks associated with automated decision-making. Recent initiatives emphasize principles such as trustworthiness, robustness, transparency, and accountability (NIST, 2023). However, although these frameworks provide valuable conceptual guidance, scholars argue that they remain largely abstract and insufficiently operationalized for environments governed by strict regulatory compliance mandates (Abba et al., 2025;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 In financial systems, security controls must not only mitigate risk but also produce verifiable audit artifacts, creating tension between principle-based AI governance and prescriptive compliance regimes.</w:t>
      </w:r>
    </w:p>
    <w:p w14:paraId="6953A40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NIST Artificial Intelligence Risk Management Framework exemplifies this tension. Its lifecycle-oriented model addresses sociotechnical risks including bias, explainability, and system reliability, expanding beyond traditional cybersecurity concerns. Nevertheless, researchers note that it lacks enforceable control mappings and measurable validation criteria, limiting its utility in regulated domains that demand auditable evidence of compliance. Similarly, the European Union Artificial Intelligence Act introduces a risk-tiered regulatory structure for high-risk AI systems, including those used in finance (Veale &amp; </w:t>
      </w:r>
      <w:proofErr w:type="spellStart"/>
      <w:r>
        <w:rPr>
          <w:rFonts w:ascii="Times New Roman" w:eastAsia="Times New Roman" w:hAnsi="Times New Roman" w:cs="Times New Roman"/>
          <w:sz w:val="24"/>
          <w:szCs w:val="24"/>
        </w:rPr>
        <w:t>Borgesius</w:t>
      </w:r>
      <w:proofErr w:type="spellEnd"/>
      <w:r>
        <w:rPr>
          <w:rFonts w:ascii="Times New Roman" w:eastAsia="Times New Roman" w:hAnsi="Times New Roman" w:cs="Times New Roman"/>
          <w:sz w:val="24"/>
          <w:szCs w:val="24"/>
        </w:rPr>
        <w:t>, 2021). Yet critics contend that its emphasis on ethical and societal harms leaves adversarial threat vectors such as data poisoning and prompt manipulation comparatively under-specified (</w:t>
      </w:r>
      <w:proofErr w:type="spellStart"/>
      <w:r>
        <w:rPr>
          <w:rFonts w:ascii="Times New Roman" w:eastAsia="Times New Roman" w:hAnsi="Times New Roman" w:cs="Times New Roman"/>
          <w:sz w:val="24"/>
          <w:szCs w:val="24"/>
        </w:rPr>
        <w:t>Obrik-</w:t>
      </w:r>
      <w:r>
        <w:rPr>
          <w:rFonts w:ascii="Times New Roman" w:eastAsia="Times New Roman" w:hAnsi="Times New Roman" w:cs="Times New Roman"/>
          <w:sz w:val="24"/>
          <w:szCs w:val="24"/>
        </w:rPr>
        <w:lastRenderedPageBreak/>
        <w:t>Uloho</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These limitations suggest that contemporary AI governance instruments prioritize normative guidance over concrete adversarial resilience.</w:t>
      </w:r>
    </w:p>
    <w:p w14:paraId="48C7EDA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Industry-led AI security proposals reveal comparable constraints. Frameworks such as Microsoft’s AI security architecture emphasize monitoring, anomaly detection, and responsible deployment practices, yet adversarial machine learning research indicates that reactive defenses are often insufficient against stealthy manipulation of training pipelines or legitimate user interfaces (He et al., 2025). Efforts to extend zero trust principles to AI systems likewise encounter conceptual barriers. While zero trust architectures aim to eliminate implicit trust assumptions, probabilistic model behavior complicates notions of authentication and authorization, particularly in financial contexts where AI systems themselves make trust-relevant </w:t>
      </w:r>
      <w:proofErr w:type="gramStart"/>
      <w:r>
        <w:rPr>
          <w:rFonts w:ascii="Times New Roman" w:eastAsia="Times New Roman" w:hAnsi="Times New Roman" w:cs="Times New Roman"/>
          <w:sz w:val="24"/>
          <w:szCs w:val="24"/>
        </w:rPr>
        <w:t>decisions  (</w:t>
      </w:r>
      <w:proofErr w:type="gramEnd"/>
      <w:r>
        <w:rPr>
          <w:rFonts w:ascii="Times New Roman" w:eastAsia="Times New Roman" w:hAnsi="Times New Roman" w:cs="Times New Roman"/>
          <w:sz w:val="24"/>
          <w:szCs w:val="24"/>
        </w:rPr>
        <w:t>Rose et al., 2020). These examples illustrate the difficulty of translating infrastructure-centric security paradigms into adaptive AI environments.</w:t>
      </w:r>
    </w:p>
    <w:p w14:paraId="38F5862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Structural misalignment becomes more pronounced when AI frameworks are compared with established compliance regimes. Eisenberg et al. (2025) argue that many </w:t>
      </w:r>
      <w:proofErr w:type="gramStart"/>
      <w:r>
        <w:rPr>
          <w:rFonts w:ascii="Times New Roman" w:eastAsia="Times New Roman" w:hAnsi="Times New Roman" w:cs="Times New Roman"/>
          <w:sz w:val="24"/>
          <w:szCs w:val="24"/>
        </w:rPr>
        <w:t>AI</w:t>
      </w:r>
      <w:proofErr w:type="gramEnd"/>
      <w:r>
        <w:rPr>
          <w:rFonts w:ascii="Times New Roman" w:eastAsia="Times New Roman" w:hAnsi="Times New Roman" w:cs="Times New Roman"/>
          <w:sz w:val="24"/>
          <w:szCs w:val="24"/>
        </w:rPr>
        <w:t xml:space="preserve"> governance frameworks function as overlays rather than replacements for existing standards, resulting in fragmented control structures and overlapping responsibilities. In contrast, standards such as PCI DSS require tightly scoped, auditable controls with clear ownership and accountability. The absence of integrated control mappings between AI governance principles and financial compliance requirements creates gaps at the intersection of intelligent systems and regulated data protection.</w:t>
      </w:r>
    </w:p>
    <w:p w14:paraId="3E282F2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Auditability further complicates this landscape. Mittelstadt observes that transparency and accountability are frequently invoked as guiding principles without specifying how they can be objectively assessed or evidenced. In regulated financial environments, the inability to demonstrate model integrity, robustness, and data lineage undermines compliance credibility, especially when adversarial manipulation does not generate conventional security alerts. Moreover, data-centric risks remain insufficiently emphasized. Sambasivan et al. (2021) highlight that failures in data governance are a primary source of AI system vulnerability, yet many frameworks focus disproportionately on model-level evaluation rather than data provenance and lifecycle controls. This imbalance is particularly problematic in financial systems where data protection obligations are central to regulatory oversight.</w:t>
      </w:r>
    </w:p>
    <w:p w14:paraId="26A5D2B9" w14:textId="77777777" w:rsidR="002134BE" w:rsidRDefault="002134BE">
      <w:pPr>
        <w:spacing w:after="240"/>
        <w:rPr>
          <w:rFonts w:ascii="Times New Roman" w:eastAsia="Times New Roman" w:hAnsi="Times New Roman" w:cs="Times New Roman"/>
          <w:sz w:val="24"/>
          <w:szCs w:val="24"/>
        </w:rPr>
      </w:pPr>
    </w:p>
    <w:p w14:paraId="4291B7BB" w14:textId="77777777" w:rsidR="002134BE" w:rsidRDefault="002B1F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t>Methodology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This study employed a fully quantitative, multi-phase research design to examine the structural misalignment between artificial intelligence (AI) threat vectors and PCI DSS control architecture, and to validate a PCI DSS-aligned AI security framework. The methodological </w:t>
      </w:r>
      <w:r>
        <w:rPr>
          <w:rFonts w:ascii="Times New Roman" w:eastAsia="Times New Roman" w:hAnsi="Times New Roman" w:cs="Times New Roman"/>
          <w:sz w:val="24"/>
          <w:szCs w:val="24"/>
        </w:rPr>
        <w:lastRenderedPageBreak/>
        <w:t>structure was sequential and integrative, combining experimental simulation, probabilistic modeling, compliance gap quantification, and structural equation modeling to ensure empirical continuity across all research objectives.</w:t>
      </w:r>
    </w:p>
    <w:p w14:paraId="6B42676F" w14:textId="77777777" w:rsidR="002134BE" w:rsidRDefault="002B1F24">
      <w:pPr>
        <w:pStyle w:val="Heading3"/>
        <w:keepNext w:val="0"/>
        <w:keepLines w:val="0"/>
        <w:spacing w:before="280"/>
        <w:rPr>
          <w:rFonts w:ascii="Times New Roman" w:eastAsia="Times New Roman" w:hAnsi="Times New Roman" w:cs="Times New Roman"/>
          <w:b/>
          <w:bCs/>
          <w:color w:val="000000"/>
          <w:sz w:val="24"/>
          <w:szCs w:val="24"/>
        </w:rPr>
      </w:pPr>
      <w:bookmarkStart w:id="8" w:name="_heading=h.vmkndx6w9icd" w:colFirst="0" w:colLast="0"/>
      <w:bookmarkEnd w:id="8"/>
      <w:r>
        <w:rPr>
          <w:rFonts w:ascii="Times New Roman" w:eastAsia="Times New Roman" w:hAnsi="Times New Roman" w:cs="Times New Roman"/>
          <w:b/>
          <w:bCs/>
          <w:color w:val="000000"/>
          <w:sz w:val="24"/>
          <w:szCs w:val="24"/>
        </w:rPr>
        <w:t>Experimental Simulation of Training Data Poisoning</w:t>
      </w:r>
    </w:p>
    <w:p w14:paraId="6D86F9BE" w14:textId="77777777" w:rsidR="002134BE" w:rsidRDefault="002B1F24">
      <w:pPr>
        <w:spacing w:before="240" w:after="240"/>
        <w:rPr>
          <w:rFonts w:ascii="Cambria Math" w:eastAsia="Cambria Math" w:hAnsi="Cambria Math" w:cs="Cambria Math"/>
          <w:sz w:val="24"/>
          <w:szCs w:val="24"/>
        </w:rPr>
      </w:pPr>
      <w:r>
        <w:rPr>
          <w:rFonts w:ascii="Times New Roman" w:eastAsia="Times New Roman" w:hAnsi="Times New Roman" w:cs="Times New Roman"/>
          <w:sz w:val="24"/>
          <w:szCs w:val="24"/>
        </w:rPr>
        <w:t xml:space="preserve">To evaluate the integrity degradation of AI systems under adversarial manipulation, a controlled experimental simulation was conducted. A baseline convolutional neural network (CNN) classifier was trained under clean conditions and subsequently retrained using progressively poisoned training distributions. The poisoning process involved injecting manipulated samples into the training dataset at predefined ratios to simulate adversarial data contamination during the training </w:t>
      </w:r>
      <w:proofErr w:type="spellStart"/>
      <w:r>
        <w:rPr>
          <w:rFonts w:ascii="Times New Roman" w:eastAsia="Times New Roman" w:hAnsi="Times New Roman" w:cs="Times New Roman"/>
          <w:sz w:val="24"/>
          <w:szCs w:val="24"/>
        </w:rPr>
        <w:t>phase.The</w:t>
      </w:r>
      <w:proofErr w:type="spellEnd"/>
      <w:r>
        <w:rPr>
          <w:rFonts w:ascii="Times New Roman" w:eastAsia="Times New Roman" w:hAnsi="Times New Roman" w:cs="Times New Roman"/>
          <w:sz w:val="24"/>
          <w:szCs w:val="24"/>
        </w:rPr>
        <w:t xml:space="preserve"> poisoning rate was operationalized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8"/>
              <w:szCs w:val="18"/>
            </w:rPr>
            <m:t>PoisonRate=</m:t>
          </m:r>
          <m:d>
            <m:dPr>
              <m:ctrlPr>
                <w:rPr>
                  <w:rFonts w:ascii="Cambria Math" w:eastAsia="Cambria Math" w:hAnsi="Cambria Math" w:cs="Cambria Math"/>
                  <w:sz w:val="18"/>
                  <w:szCs w:val="18"/>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NumberPoisonedSamples</m:t>
                  </m:r>
                </m:num>
                <m:den>
                  <m:r>
                    <w:rPr>
                      <w:rFonts w:ascii="Cambria Math" w:eastAsia="Cambria Math" w:hAnsi="Cambria Math" w:cs="Cambria Math"/>
                      <w:sz w:val="18"/>
                      <w:szCs w:val="18"/>
                    </w:rPr>
                    <m:t>TotalTrainingSamples</m:t>
                  </m:r>
                </m:den>
              </m:f>
            </m:e>
          </m:d>
          <m:r>
            <w:rPr>
              <w:rFonts w:ascii="Cambria Math" w:eastAsia="Cambria Math" w:hAnsi="Cambria Math" w:cs="Cambria Math"/>
              <w:sz w:val="18"/>
              <w:szCs w:val="18"/>
            </w:rPr>
            <m:t>×100</m:t>
          </m:r>
          <m:r>
            <w:rPr>
              <w:rFonts w:ascii="Times New Roman" w:eastAsia="Times New Roman" w:hAnsi="Times New Roman" w:cs="Times New Roman"/>
              <w:sz w:val="18"/>
              <w:szCs w:val="18"/>
            </w:rPr>
            <m:t>Model performance was evaluated using standard classification metrics. Overall accuracy was calculated as:</m:t>
          </m:r>
          <m:r>
            <w:rPr>
              <w:rFonts w:ascii="Cambria Math" w:eastAsia="Cambria Math" w:hAnsi="Cambria Math" w:cs="Cambria Math"/>
              <w:sz w:val="18"/>
              <w:szCs w:val="18"/>
            </w:rPr>
            <m:t>Accuracy=</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TP+TN</m:t>
              </m:r>
            </m:num>
            <m:den>
              <m:r>
                <w:rPr>
                  <w:rFonts w:ascii="Cambria Math" w:eastAsia="Cambria Math" w:hAnsi="Cambria Math" w:cs="Cambria Math"/>
                  <w:sz w:val="18"/>
                  <w:szCs w:val="18"/>
                </w:rPr>
                <m:t>TP+TN+FP+FN</m:t>
              </m:r>
            </m:den>
          </m:f>
          <m:r>
            <w:rPr>
              <w:rFonts w:ascii="Times New Roman" w:eastAsia="Times New Roman" w:hAnsi="Times New Roman" w:cs="Times New Roman"/>
              <w:sz w:val="18"/>
              <w:szCs w:val="18"/>
            </w:rPr>
            <m:t>The harmonic balance between precision and recall was assessed using:</m:t>
          </m:r>
          <m:r>
            <w:rPr>
              <w:rFonts w:ascii="Cambria Math" w:eastAsia="Cambria Math" w:hAnsi="Cambria Math" w:cs="Cambria Math"/>
              <w:sz w:val="18"/>
              <w:szCs w:val="18"/>
            </w:rPr>
            <m:t>F1Score=</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2×Precision×Recall</m:t>
              </m:r>
            </m:num>
            <m:den>
              <m:r>
                <w:rPr>
                  <w:rFonts w:ascii="Cambria Math" w:eastAsia="Cambria Math" w:hAnsi="Cambria Math" w:cs="Cambria Math"/>
                  <w:sz w:val="18"/>
                  <w:szCs w:val="18"/>
                </w:rPr>
                <m:t>Precision+Recall</m:t>
              </m:r>
            </m:den>
          </m:f>
        </m:oMath>
      </m:oMathPara>
    </w:p>
    <w:p w14:paraId="6E27E7EE" w14:textId="77777777" w:rsidR="002134BE" w:rsidRDefault="002B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degradation resulting from poisoning was quantified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2"/>
              <w:szCs w:val="12"/>
            </w:rPr>
            <m:t>AccuracyDrop=Ac</m:t>
          </m:r>
          <m:sSub>
            <m:sSubPr>
              <m:ctrlPr>
                <w:rPr>
                  <w:rFonts w:ascii="Cambria Math" w:eastAsia="Cambria Math" w:hAnsi="Cambria Math" w:cs="Cambria Math"/>
                  <w:sz w:val="12"/>
                  <w:szCs w:val="12"/>
                </w:rPr>
              </m:ctrlPr>
            </m:sSubPr>
            <m:e>
              <m:r>
                <w:rPr>
                  <w:rFonts w:ascii="Cambria Math" w:eastAsia="Cambria Math" w:hAnsi="Cambria Math" w:cs="Cambria Math"/>
                  <w:sz w:val="12"/>
                  <w:szCs w:val="12"/>
                </w:rPr>
                <m:t>c</m:t>
              </m:r>
            </m:e>
            <m:sub>
              <m:r>
                <w:rPr>
                  <w:rFonts w:ascii="Cambria Math" w:eastAsia="Cambria Math" w:hAnsi="Cambria Math" w:cs="Cambria Math"/>
                  <w:sz w:val="12"/>
                  <w:szCs w:val="12"/>
                </w:rPr>
                <m:t>clean</m:t>
              </m:r>
            </m:sub>
          </m:sSub>
          <m:r>
            <w:rPr>
              <w:rFonts w:ascii="Cambria Math" w:eastAsia="Cambria Math" w:hAnsi="Cambria Math" w:cs="Cambria Math"/>
              <w:sz w:val="12"/>
              <w:szCs w:val="12"/>
            </w:rPr>
            <m:t>-Ac</m:t>
          </m:r>
          <m:sSub>
            <m:sSubPr>
              <m:ctrlPr>
                <w:rPr>
                  <w:rFonts w:ascii="Cambria Math" w:eastAsia="Cambria Math" w:hAnsi="Cambria Math" w:cs="Cambria Math"/>
                  <w:sz w:val="12"/>
                  <w:szCs w:val="12"/>
                </w:rPr>
              </m:ctrlPr>
            </m:sSubPr>
            <m:e>
              <m:r>
                <w:rPr>
                  <w:rFonts w:ascii="Cambria Math" w:eastAsia="Cambria Math" w:hAnsi="Cambria Math" w:cs="Cambria Math"/>
                  <w:sz w:val="12"/>
                  <w:szCs w:val="12"/>
                </w:rPr>
                <m:t>c</m:t>
              </m:r>
            </m:e>
            <m:sub>
              <m:r>
                <w:rPr>
                  <w:rFonts w:ascii="Cambria Math" w:eastAsia="Cambria Math" w:hAnsi="Cambria Math" w:cs="Cambria Math"/>
                  <w:sz w:val="12"/>
                  <w:szCs w:val="12"/>
                </w:rPr>
                <m:t>poisoned</m:t>
              </m:r>
            </m:sub>
          </m:sSub>
          <m:r>
            <w:rPr>
              <w:rFonts w:ascii="Times New Roman" w:eastAsia="Times New Roman" w:hAnsi="Times New Roman" w:cs="Times New Roman"/>
              <w:sz w:val="12"/>
              <w:szCs w:val="12"/>
            </w:rPr>
            <m:t>To isolate targeted compromise effectiveness independent of global accuracy, Attack Success Rate (ASR) was computed as:</m:t>
          </m:r>
          <m:r>
            <w:rPr>
              <w:rFonts w:ascii="Cambria Math" w:eastAsia="Cambria Math" w:hAnsi="Cambria Math" w:cs="Cambria Math"/>
              <w:sz w:val="12"/>
              <w:szCs w:val="12"/>
            </w:rPr>
            <m:t>ASR=</m:t>
          </m:r>
          <m:d>
            <m:dPr>
              <m:ctrlPr>
                <w:rPr>
                  <w:rFonts w:ascii="Cambria Math" w:eastAsia="Cambria Math" w:hAnsi="Cambria Math" w:cs="Cambria Math"/>
                  <w:sz w:val="12"/>
                  <w:szCs w:val="12"/>
                </w:rPr>
              </m:ctrlPr>
            </m:dPr>
            <m:e>
              <m:f>
                <m:fPr>
                  <m:ctrlPr>
                    <w:rPr>
                      <w:rFonts w:ascii="Cambria Math" w:eastAsia="Cambria Math" w:hAnsi="Cambria Math" w:cs="Cambria Math"/>
                      <w:sz w:val="12"/>
                      <w:szCs w:val="12"/>
                    </w:rPr>
                  </m:ctrlPr>
                </m:fPr>
                <m:num>
                  <m:r>
                    <w:rPr>
                      <w:rFonts w:ascii="Cambria Math" w:eastAsia="Cambria Math" w:hAnsi="Cambria Math" w:cs="Cambria Math"/>
                      <w:sz w:val="12"/>
                      <w:szCs w:val="12"/>
                    </w:rPr>
                    <m:t>TriggeredMisclassifications</m:t>
                  </m:r>
                </m:num>
                <m:den>
                  <m:r>
                    <w:rPr>
                      <w:rFonts w:ascii="Cambria Math" w:eastAsia="Cambria Math" w:hAnsi="Cambria Math" w:cs="Cambria Math"/>
                      <w:sz w:val="12"/>
                      <w:szCs w:val="12"/>
                    </w:rPr>
                    <m:t>TotalTriggeredInputs</m:t>
                  </m:r>
                </m:den>
              </m:f>
            </m:e>
          </m:d>
          <m:r>
            <w:rPr>
              <w:rFonts w:ascii="Cambria Math" w:eastAsia="Cambria Math" w:hAnsi="Cambria Math" w:cs="Cambria Math"/>
              <w:sz w:val="12"/>
              <w:szCs w:val="12"/>
            </w:rPr>
            <m:t>×100</m:t>
          </m:r>
          <m:r>
            <w:rPr>
              <w:rFonts w:ascii="Times New Roman" w:eastAsia="Times New Roman" w:hAnsi="Times New Roman" w:cs="Times New Roman"/>
              <w:sz w:val="12"/>
              <w:szCs w:val="12"/>
            </w:rPr>
            <m:t xml:space="preserve">This design enabled simultaneous measurement of observable performance stability and latent behavioral compromise, thereby establishing the existence of stealth vulnerability in </m:t>
          </m:r>
        </m:oMath>
      </m:oMathPara>
    </w:p>
    <w:p w14:paraId="0BF983AF" w14:textId="77777777" w:rsidR="002134BE" w:rsidRDefault="002B1F24">
      <w:pPr>
        <w:jc w:val="center"/>
        <w:rPr>
          <w:rFonts w:ascii="Cambria Math" w:eastAsia="Cambria Math" w:hAnsi="Cambria Math" w:cs="Cambria Math"/>
          <w:sz w:val="24"/>
          <w:szCs w:val="24"/>
        </w:rPr>
      </w:pPr>
      <w:r>
        <w:rPr>
          <w:rFonts w:ascii="Times New Roman" w:eastAsia="Times New Roman" w:hAnsi="Times New Roman" w:cs="Times New Roman"/>
          <w:sz w:val="24"/>
          <w:szCs w:val="24"/>
        </w:rPr>
        <w:t>AI-driven systems.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To examine whether traditional PCI DSS-aligned controls effectively detect such compromise patterns, a binary logistic regression model was estimated. The dependent variable represented breach detection status (Detected=1, Undetected=0), while independent variables captured failure conditions in access control, logging integrity, third-party involvement, and data integrity management. The logistic model was specified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Logit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ln</m:t>
              </m:r>
            </m:e>
          </m:box>
          <m:r>
            <w:rPr>
              <w:rFonts w:ascii="Cambria Math" w:eastAsia="Cambria Math" w:hAnsi="Cambria Math" w:cs="Cambria Math"/>
              <w:sz w:val="24"/>
              <w:szCs w:val="24"/>
            </w:rPr>
            <m:t>ln</m:t>
          </m:r>
          <m:r>
            <w:rPr>
              <w:rFonts w:ascii="Cambria Math" w:hAnsi="Cambria Math"/>
              <w:sz w:val="24"/>
              <w:szCs w:val="24"/>
            </w:rPr>
            <m:t xml:space="preserve"> </m:t>
          </m:r>
          <m:d>
            <m:dPr>
              <m:ctrlPr>
                <w:rPr>
                  <w:rFonts w:ascii="Cambria Math" w:hAnsi="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num>
                <m:den>
                  <m:r>
                    <w:rPr>
                      <w:rFonts w:ascii="Cambria Math" w:eastAsia="Cambria Math" w:hAnsi="Cambria Math" w:cs="Cambria Math"/>
                      <w:sz w:val="24"/>
                      <w:szCs w:val="24"/>
                    </w:rPr>
                    <m:t>1-p</m:t>
                  </m:r>
                </m:den>
              </m:f>
            </m:e>
          </m:d>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4</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4</m:t>
              </m:r>
            </m:sub>
          </m:sSub>
        </m:oMath>
      </m:oMathPara>
    </w:p>
    <w:p w14:paraId="7E3D8B8A" w14:textId="77777777" w:rsidR="002134BE" w:rsidRDefault="002B1F24">
      <w:pPr>
        <w:jc w:val="center"/>
        <w:rPr>
          <w:rFonts w:ascii="Cambria Math" w:eastAsia="Cambria Math" w:hAnsi="Cambria Math" w:cs="Cambria Math"/>
          <w:sz w:val="24"/>
          <w:szCs w:val="24"/>
        </w:rPr>
      </w:pPr>
      <w:r>
        <w:rPr>
          <w:rFonts w:ascii="Times New Roman" w:eastAsia="Times New Roman" w:hAnsi="Times New Roman" w:cs="Times New Roman"/>
          <w:sz w:val="24"/>
          <w:szCs w:val="24"/>
        </w:rPr>
        <w:br/>
        <w:t>where p denotes the probability of breach detection. Odds ratios were derived using: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4"/>
              <w:szCs w:val="14"/>
            </w:rPr>
            <m:t>OR=</m:t>
          </m:r>
          <m:sSup>
            <m:sSupPr>
              <m:ctrlPr>
                <w:rPr>
                  <w:rFonts w:ascii="Cambria Math" w:eastAsia="Cambria Math" w:hAnsi="Cambria Math" w:cs="Cambria Math"/>
                  <w:sz w:val="14"/>
                  <w:szCs w:val="14"/>
                </w:rPr>
              </m:ctrlPr>
            </m:sSupPr>
            <m:e>
              <m:r>
                <w:rPr>
                  <w:rFonts w:ascii="Cambria Math" w:eastAsia="Cambria Math" w:hAnsi="Cambria Math" w:cs="Cambria Math"/>
                  <w:sz w:val="14"/>
                  <w:szCs w:val="14"/>
                </w:rPr>
                <m:t>e</m:t>
              </m:r>
            </m:e>
            <m:sup>
              <m:r>
                <w:rPr>
                  <w:rFonts w:ascii="Cambria Math" w:eastAsia="Cambria Math" w:hAnsi="Cambria Math" w:cs="Cambria Math"/>
                  <w:sz w:val="14"/>
                  <w:szCs w:val="14"/>
                </w:rPr>
                <m:t>β</m:t>
              </m:r>
            </m:sup>
          </m:sSup>
          <m:r>
            <w:rPr>
              <w:rFonts w:ascii="Times New Roman" w:eastAsia="Times New Roman" w:hAnsi="Times New Roman" w:cs="Times New Roman"/>
              <w:sz w:val="14"/>
              <w:szCs w:val="14"/>
            </w:rPr>
            <m:t>Model predictive accuracy was assessed using:</m:t>
          </m:r>
          <m:r>
            <w:rPr>
              <w:rFonts w:ascii="Cambria Math" w:eastAsia="Cambria Math" w:hAnsi="Cambria Math" w:cs="Cambria Math"/>
              <w:sz w:val="14"/>
              <w:szCs w:val="14"/>
            </w:rPr>
            <m:t>ClassificationAccuracy=</m:t>
          </m:r>
          <m:d>
            <m:dPr>
              <m:ctrlPr>
                <w:rPr>
                  <w:rFonts w:ascii="Cambria Math" w:eastAsia="Cambria Math" w:hAnsi="Cambria Math" w:cs="Cambria Math"/>
                  <w:sz w:val="14"/>
                  <w:szCs w:val="14"/>
                </w:rPr>
              </m:ctrlPr>
            </m:dPr>
            <m:e>
              <m:f>
                <m:fPr>
                  <m:ctrlPr>
                    <w:rPr>
                      <w:rFonts w:ascii="Cambria Math" w:eastAsia="Cambria Math" w:hAnsi="Cambria Math" w:cs="Cambria Math"/>
                      <w:sz w:val="14"/>
                      <w:szCs w:val="14"/>
                    </w:rPr>
                  </m:ctrlPr>
                </m:fPr>
                <m:num>
                  <m:r>
                    <w:rPr>
                      <w:rFonts w:ascii="Cambria Math" w:eastAsia="Cambria Math" w:hAnsi="Cambria Math" w:cs="Cambria Math"/>
                      <w:sz w:val="14"/>
                      <w:szCs w:val="14"/>
                    </w:rPr>
                    <m:t>CorrectPredictions</m:t>
                  </m:r>
                </m:num>
                <m:den>
                  <m:r>
                    <w:rPr>
                      <w:rFonts w:ascii="Cambria Math" w:eastAsia="Cambria Math" w:hAnsi="Cambria Math" w:cs="Cambria Math"/>
                      <w:sz w:val="14"/>
                      <w:szCs w:val="14"/>
                    </w:rPr>
                    <m:t>TotalObservations</m:t>
                  </m:r>
                </m:den>
              </m:f>
            </m:e>
          </m:d>
          <m:r>
            <w:rPr>
              <w:rFonts w:ascii="Cambria Math" w:eastAsia="Cambria Math" w:hAnsi="Cambria Math" w:cs="Cambria Math"/>
              <w:sz w:val="14"/>
              <w:szCs w:val="14"/>
            </w:rPr>
            <m:t>×100</m:t>
          </m:r>
          <m:r>
            <w:rPr>
              <w:rFonts w:ascii="Times New Roman" w:eastAsia="Times New Roman" w:hAnsi="Times New Roman" w:cs="Times New Roman"/>
              <w:sz w:val="14"/>
              <w:szCs w:val="14"/>
            </w:rPr>
            <m:t xml:space="preserve">This modeling </m:t>
          </m:r>
          <m:r>
            <w:rPr>
              <w:rFonts w:ascii="Cambria Math" w:eastAsia="Times New Roman" w:hAnsi="Cambria Math" w:cs="Times New Roman"/>
              <w:sz w:val="14"/>
              <w:szCs w:val="14"/>
            </w:rPr>
            <m:t>approach</m:t>
          </m:r>
          <m:r>
            <w:rPr>
              <w:rFonts w:ascii="Times New Roman" w:eastAsia="Times New Roman" w:hAnsi="Times New Roman" w:cs="Times New Roman"/>
              <w:sz w:val="14"/>
              <w:szCs w:val="14"/>
            </w:rPr>
            <m:t xml:space="preserve"> quantified how degradation of deterministic control mechanisms statistically reduces detection likelihood under AI-mediated threat conditions.To </m:t>
          </m:r>
          <m:r>
            <w:rPr>
              <w:rFonts w:ascii="Cambria Math" w:eastAsia="Times New Roman" w:hAnsi="Cambria Math" w:cs="Times New Roman"/>
              <w:sz w:val="14"/>
              <w:szCs w:val="14"/>
            </w:rPr>
            <m:t>determine</m:t>
          </m:r>
          <m:r>
            <w:rPr>
              <w:rFonts w:ascii="Times New Roman" w:eastAsia="Times New Roman" w:hAnsi="Times New Roman" w:cs="Times New Roman"/>
              <w:sz w:val="14"/>
              <w:szCs w:val="14"/>
            </w:rPr>
            <m:t xml:space="preserve"> the structural adequacy of PCI DSS in addressing AI-specific threats, a quantitative compliance gap index was constructed. Each PCI DSS v4.0 requirement domain was coded according to its level of AI threat coverage: explicit coverage (1), implicit coverage (0.5), or no coverage (0). Threat-specific coverage was computed using:</m:t>
          </m:r>
          <m:r>
            <w:rPr>
              <w:rFonts w:ascii="Cambria Math" w:eastAsia="Cambria Math" w:hAnsi="Cambria Math" w:cs="Cambria Math"/>
              <w:sz w:val="14"/>
              <w:szCs w:val="14"/>
            </w:rPr>
            <m:t>CoverageScore=</m:t>
          </m:r>
          <m:d>
            <m:dPr>
              <m:ctrlPr>
                <w:rPr>
                  <w:rFonts w:ascii="Cambria Math" w:eastAsia="Cambria Math" w:hAnsi="Cambria Math" w:cs="Cambria Math"/>
                  <w:sz w:val="14"/>
                  <w:szCs w:val="14"/>
                </w:rPr>
              </m:ctrlPr>
            </m:dPr>
            <m:e>
              <m:f>
                <m:fPr>
                  <m:ctrlPr>
                    <w:rPr>
                      <w:rFonts w:ascii="Cambria Math" w:eastAsia="Cambria Math" w:hAnsi="Cambria Math" w:cs="Cambria Math"/>
                      <w:sz w:val="14"/>
                      <w:szCs w:val="14"/>
                    </w:rPr>
                  </m:ctrlPr>
                </m:fPr>
                <m:num>
                  <m:r>
                    <w:rPr>
                      <w:rFonts w:ascii="Cambria Math" w:eastAsia="Cambria Math" w:hAnsi="Cambria Math" w:cs="Cambria Math"/>
                      <w:sz w:val="14"/>
                      <w:szCs w:val="14"/>
                    </w:rPr>
                    <m:t>∑ControlScores</m:t>
                  </m:r>
                </m:num>
                <m:den>
                  <m:r>
                    <w:rPr>
                      <w:rFonts w:ascii="Cambria Math" w:eastAsia="Cambria Math" w:hAnsi="Cambria Math" w:cs="Cambria Math"/>
                      <w:sz w:val="14"/>
                      <w:szCs w:val="14"/>
                    </w:rPr>
                    <m:t>TotalDomains</m:t>
                  </m:r>
                </m:den>
              </m:f>
            </m:e>
          </m:d>
          <m:r>
            <w:rPr>
              <w:rFonts w:ascii="Cambria Math" w:eastAsia="Cambria Math" w:hAnsi="Cambria Math" w:cs="Cambria Math"/>
              <w:sz w:val="14"/>
              <w:szCs w:val="14"/>
            </w:rPr>
            <m:t>×100</m:t>
          </m:r>
        </m:oMath>
      </m:oMathPara>
    </w:p>
    <w:p w14:paraId="1A1F2B77" w14:textId="77777777" w:rsidR="002134BE" w:rsidRDefault="002B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The explicit compliance gap was derived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ExplicitGap=100-CoverageScore</m:t>
          </m:r>
          <m:r>
            <w:rPr>
              <w:rFonts w:ascii="Times New Roman" w:eastAsia="Times New Roman" w:hAnsi="Times New Roman" w:cs="Times New Roman"/>
              <w:sz w:val="24"/>
              <w:szCs w:val="24"/>
            </w:rPr>
            <m:t xml:space="preserve">Separate indices were calculated for prompt injection and training data poisoning. This index methodology provided a measurable representation of regulatory </m:t>
          </m:r>
        </m:oMath>
      </m:oMathPara>
    </w:p>
    <w:p w14:paraId="38D3314C" w14:textId="77777777" w:rsidR="002134BE" w:rsidRDefault="002B1F2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undercoverage</w:t>
      </w:r>
      <w:proofErr w:type="spellEnd"/>
      <w:r>
        <w:rPr>
          <w:rFonts w:ascii="Times New Roman" w:eastAsia="Times New Roman" w:hAnsi="Times New Roman" w:cs="Times New Roman"/>
          <w:sz w:val="24"/>
          <w:szCs w:val="24"/>
        </w:rPr>
        <w:t xml:space="preserve"> and enabled direct comparison of threat-specific governance asymmetries.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Finally, to validate the proposed PCI DSS-aligned AI security framework, a covariance-based Structural Equation Model (SEM) was estimated. The structural model examined the direct influence of preventive, detective, and corrective control dimensions on AI risk reduction and was specified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AIRiskReduction=γ1Preventive+γ2Detective+γ3Corrective+ζ</m:t>
          </m:r>
          <m:r>
            <w:rPr>
              <w:rFonts w:ascii="Times New Roman" w:eastAsia="Times New Roman" w:hAnsi="Times New Roman" w:cs="Times New Roman"/>
              <w:sz w:val="24"/>
              <w:szCs w:val="24"/>
            </w:rPr>
            <m:t>where γ r</m:t>
          </m:r>
        </m:oMath>
      </m:oMathPara>
    </w:p>
    <w:p w14:paraId="19170BE0" w14:textId="77777777" w:rsidR="002134BE" w:rsidRPr="00163D31" w:rsidRDefault="002B1F24">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24"/>
          <w:szCs w:val="24"/>
        </w:rPr>
        <w:t>epresents</w:t>
      </w:r>
      <w:proofErr w:type="spellEnd"/>
      <w:r>
        <w:rPr>
          <w:rFonts w:ascii="Times New Roman" w:eastAsia="Times New Roman" w:hAnsi="Times New Roman" w:cs="Times New Roman"/>
          <w:sz w:val="24"/>
          <w:szCs w:val="24"/>
        </w:rPr>
        <w:t xml:space="preserve"> standardized path coefficients and ζ represents residual variance.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Measurement validity was assessed using standardized factor loadings (λ), composite reliability (CR), and average variance extracted (AVE). Composite reliability was calculated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8"/>
              <w:szCs w:val="18"/>
            </w:rPr>
            <m:t>CR=</m:t>
          </m:r>
          <m:f>
            <m:fPr>
              <m:ctrlPr>
                <w:rPr>
                  <w:rFonts w:ascii="Cambria Math" w:eastAsia="Cambria Math" w:hAnsi="Cambria Math" w:cs="Cambria Math"/>
                  <w:sz w:val="18"/>
                  <w:szCs w:val="18"/>
                </w:rPr>
              </m:ctrlPr>
            </m:fPr>
            <m:num>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∑λ</m:t>
                      </m:r>
                    </m:e>
                  </m:d>
                </m:e>
                <m:sup>
                  <m:r>
                    <w:rPr>
                      <w:rFonts w:ascii="Cambria Math" w:eastAsia="Cambria Math" w:hAnsi="Cambria Math" w:cs="Cambria Math"/>
                      <w:sz w:val="18"/>
                      <w:szCs w:val="18"/>
                    </w:rPr>
                    <m:t>2</m:t>
                  </m:r>
                </m:sup>
              </m:sSup>
            </m:num>
            <m:den>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∑λ</m:t>
                      </m:r>
                    </m:e>
                  </m:d>
                </m:e>
                <m:sup>
                  <m:r>
                    <w:rPr>
                      <w:rFonts w:ascii="Cambria Math" w:eastAsia="Cambria Math" w:hAnsi="Cambria Math" w:cs="Cambria Math"/>
                      <w:sz w:val="18"/>
                      <w:szCs w:val="18"/>
                    </w:rPr>
                    <m:t>2</m:t>
                  </m:r>
                </m:sup>
              </m:sSup>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λ</m:t>
                      </m:r>
                    </m:e>
                    <m:sup>
                      <m:r>
                        <w:rPr>
                          <w:rFonts w:ascii="Cambria Math" w:eastAsia="Cambria Math" w:hAnsi="Cambria Math" w:cs="Cambria Math"/>
                          <w:sz w:val="18"/>
                          <w:szCs w:val="18"/>
                        </w:rPr>
                        <m:t>2</m:t>
                      </m:r>
                    </m:sup>
                  </m:sSup>
                </m:e>
              </m:d>
            </m:den>
          </m:f>
          <m:r>
            <w:rPr>
              <w:rFonts w:ascii="Times New Roman" w:eastAsia="Times New Roman" w:hAnsi="Times New Roman" w:cs="Times New Roman"/>
              <w:sz w:val="18"/>
              <w:szCs w:val="18"/>
            </w:rPr>
            <m:t>Convergent validity was evaluated using:</m:t>
          </m:r>
          <m:r>
            <w:rPr>
              <w:rFonts w:ascii="Cambria Math" w:eastAsia="Cambria Math" w:hAnsi="Cambria Math" w:cs="Cambria Math"/>
              <w:sz w:val="18"/>
              <w:szCs w:val="18"/>
            </w:rPr>
            <m:t>AVE=</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λ</m:t>
                  </m:r>
                </m:e>
                <m:sup>
                  <m:r>
                    <w:rPr>
                      <w:rFonts w:ascii="Cambria Math" w:eastAsia="Cambria Math" w:hAnsi="Cambria Math" w:cs="Cambria Math"/>
                      <w:sz w:val="18"/>
                      <w:szCs w:val="18"/>
                    </w:rPr>
                    <m:t>2</m:t>
                  </m:r>
                </m:sup>
              </m:sSup>
            </m:num>
            <m:den>
              <m:r>
                <w:rPr>
                  <w:rFonts w:ascii="Cambria Math" w:eastAsia="Cambria Math" w:hAnsi="Cambria Math" w:cs="Cambria Math"/>
                  <w:sz w:val="18"/>
                  <w:szCs w:val="18"/>
                </w:rPr>
                <m:t>n</m:t>
              </m:r>
            </m:den>
          </m:f>
          <m:r>
            <w:rPr>
              <w:rFonts w:ascii="Times New Roman" w:eastAsia="Times New Roman" w:hAnsi="Times New Roman" w:cs="Times New Roman"/>
              <w:sz w:val="18"/>
              <w:szCs w:val="18"/>
            </w:rPr>
            <m:t>Model explanatory strength was determined using:</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R</m:t>
              </m:r>
            </m:e>
            <m:sup>
              <m:r>
                <w:rPr>
                  <w:rFonts w:ascii="Cambria Math" w:eastAsia="Cambria Math" w:hAnsi="Cambria Math" w:cs="Cambria Math"/>
                  <w:sz w:val="18"/>
                  <w:szCs w:val="18"/>
                </w:rPr>
                <m:t>2</m:t>
              </m:r>
            </m:sup>
          </m:sSup>
          <m:r>
            <w:rPr>
              <w:rFonts w:ascii="Cambria Math" w:eastAsia="Cambria Math" w:hAnsi="Cambria Math" w:cs="Cambria Math"/>
              <w:sz w:val="18"/>
              <w:szCs w:val="18"/>
            </w:rPr>
            <m:t>=1-</m:t>
          </m:r>
          <m:d>
            <m:dPr>
              <m:ctrlPr>
                <w:rPr>
                  <w:rFonts w:ascii="Cambria Math" w:eastAsia="Cambria Math" w:hAnsi="Cambria Math" w:cs="Cambria Math"/>
                  <w:sz w:val="18"/>
                  <w:szCs w:val="18"/>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Var</m:t>
                  </m:r>
                  <m:d>
                    <m:dPr>
                      <m:ctrlPr>
                        <w:rPr>
                          <w:rFonts w:ascii="Cambria Math" w:eastAsia="Cambria Math" w:hAnsi="Cambria Math" w:cs="Cambria Math"/>
                          <w:sz w:val="18"/>
                          <w:szCs w:val="18"/>
                        </w:rPr>
                      </m:ctrlPr>
                    </m:dPr>
                    <m:e>
                      <m:r>
                        <w:rPr>
                          <w:rFonts w:ascii="Cambria Math" w:eastAsia="Cambria Math" w:hAnsi="Cambria Math" w:cs="Cambria Math"/>
                          <w:sz w:val="18"/>
                          <w:szCs w:val="18"/>
                        </w:rPr>
                        <m:t>residuals</m:t>
                      </m:r>
                    </m:e>
                  </m:d>
                </m:num>
                <m:den>
                  <m:r>
                    <w:rPr>
                      <w:rFonts w:ascii="Cambria Math" w:eastAsia="Cambria Math" w:hAnsi="Cambria Math" w:cs="Cambria Math"/>
                      <w:sz w:val="18"/>
                      <w:szCs w:val="18"/>
                    </w:rPr>
                    <m:t>Var</m:t>
                  </m:r>
                  <m:d>
                    <m:dPr>
                      <m:ctrlPr>
                        <w:rPr>
                          <w:rFonts w:ascii="Cambria Math" w:eastAsia="Cambria Math" w:hAnsi="Cambria Math" w:cs="Cambria Math"/>
                          <w:sz w:val="18"/>
                          <w:szCs w:val="18"/>
                        </w:rPr>
                      </m:ctrlPr>
                    </m:dPr>
                    <m:e>
                      <m:r>
                        <w:rPr>
                          <w:rFonts w:ascii="Cambria Math" w:eastAsia="Cambria Math" w:hAnsi="Cambria Math" w:cs="Cambria Math"/>
                          <w:sz w:val="18"/>
                          <w:szCs w:val="18"/>
                        </w:rPr>
                        <m:t>total</m:t>
                      </m:r>
                    </m:e>
                  </m:d>
                </m:den>
              </m:f>
            </m:e>
          </m:d>
          <m:r>
            <w:rPr>
              <w:rFonts w:ascii="Times New Roman" w:eastAsia="Times New Roman" w:hAnsi="Times New Roman" w:cs="Times New Roman"/>
              <w:sz w:val="18"/>
              <w:szCs w:val="18"/>
            </w:rPr>
            <m:t>Model fit was evaluated using established structural thresholds including the Co</m:t>
          </m:r>
        </m:oMath>
      </m:oMathPara>
    </w:p>
    <w:p w14:paraId="242F4CFE" w14:textId="4CF6E82D" w:rsidR="002134BE" w:rsidRDefault="002B1F24">
      <w:pPr>
        <w:spacing w:after="240"/>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mparative</w:t>
      </w:r>
      <w:proofErr w:type="spellEnd"/>
      <w:r>
        <w:rPr>
          <w:rFonts w:ascii="Times New Roman" w:eastAsia="Times New Roman" w:hAnsi="Times New Roman" w:cs="Times New Roman"/>
          <w:sz w:val="24"/>
          <w:szCs w:val="24"/>
        </w:rPr>
        <w:t xml:space="preserve"> Fit Index (CFI), Root Mean Square Error of Approximation (RMSEA), and Standardized Root Mean Square Residual (SRMR).</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w:t>
      </w:r>
    </w:p>
    <w:p w14:paraId="45A98417"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t>Results and Discussion</w:t>
      </w:r>
    </w:p>
    <w:p w14:paraId="133D3BB4"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1: Identify and classify prompt injection and training data poisoning techniques affecting AI components in PCI-relevant financial workflows.</w:t>
      </w:r>
    </w:p>
    <w:p w14:paraId="2F28179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controlled quantitative experimental design was adopted to evaluate the behavioral and structural impact of training data poisoning on model integrity. The assessment focused on global model degradation metrics and targeted exploit success rates to determine the extent to which latent compromise can persist despite near-normal aggregate performance indicators.</w:t>
      </w:r>
    </w:p>
    <w:p w14:paraId="301E0CB1" w14:textId="77777777" w:rsidR="002134BE" w:rsidRDefault="002134BE">
      <w:pPr>
        <w:spacing w:after="240"/>
        <w:rPr>
          <w:rFonts w:ascii="Times New Roman" w:eastAsia="Times New Roman" w:hAnsi="Times New Roman" w:cs="Times New Roman"/>
          <w:sz w:val="24"/>
          <w:szCs w:val="24"/>
        </w:rPr>
      </w:pPr>
    </w:p>
    <w:p w14:paraId="0BD9C06A"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 Model Performance Under Progressive Poisoning</w:t>
      </w:r>
    </w:p>
    <w:tbl>
      <w:tblPr>
        <w:tblStyle w:val="a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2134BE" w14:paraId="13467091" w14:textId="77777777">
        <w:tc>
          <w:tcPr>
            <w:tcW w:w="1728" w:type="dxa"/>
          </w:tcPr>
          <w:p w14:paraId="3BB75B6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Poison Rate (%)</w:t>
            </w:r>
          </w:p>
        </w:tc>
        <w:tc>
          <w:tcPr>
            <w:tcW w:w="1728" w:type="dxa"/>
          </w:tcPr>
          <w:p w14:paraId="04396CE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w:t>
            </w:r>
          </w:p>
        </w:tc>
        <w:tc>
          <w:tcPr>
            <w:tcW w:w="1728" w:type="dxa"/>
          </w:tcPr>
          <w:p w14:paraId="2A13E3D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Drop (%)</w:t>
            </w:r>
          </w:p>
        </w:tc>
        <w:tc>
          <w:tcPr>
            <w:tcW w:w="1728" w:type="dxa"/>
          </w:tcPr>
          <w:p w14:paraId="5819581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F1-score (%)</w:t>
            </w:r>
          </w:p>
        </w:tc>
        <w:tc>
          <w:tcPr>
            <w:tcW w:w="1728" w:type="dxa"/>
          </w:tcPr>
          <w:p w14:paraId="5F56780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ASR (%)</w:t>
            </w:r>
          </w:p>
        </w:tc>
      </w:tr>
      <w:tr w:rsidR="002134BE" w14:paraId="168AD35C" w14:textId="77777777">
        <w:tc>
          <w:tcPr>
            <w:tcW w:w="1728" w:type="dxa"/>
          </w:tcPr>
          <w:p w14:paraId="105938F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14:paraId="49EBA18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c>
          <w:tcPr>
            <w:tcW w:w="1728" w:type="dxa"/>
          </w:tcPr>
          <w:p w14:paraId="6FA119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728" w:type="dxa"/>
          </w:tcPr>
          <w:p w14:paraId="125672F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c>
          <w:tcPr>
            <w:tcW w:w="1728" w:type="dxa"/>
          </w:tcPr>
          <w:p w14:paraId="1984CBC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2134BE" w14:paraId="603FADB6" w14:textId="77777777">
        <w:tc>
          <w:tcPr>
            <w:tcW w:w="1728" w:type="dxa"/>
          </w:tcPr>
          <w:p w14:paraId="66DB352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28" w:type="dxa"/>
          </w:tcPr>
          <w:p w14:paraId="0292227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p>
        </w:tc>
        <w:tc>
          <w:tcPr>
            <w:tcW w:w="1728" w:type="dxa"/>
          </w:tcPr>
          <w:p w14:paraId="3B41AD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728" w:type="dxa"/>
          </w:tcPr>
          <w:p w14:paraId="61A2ADB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728" w:type="dxa"/>
          </w:tcPr>
          <w:p w14:paraId="38EFBD5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r>
      <w:tr w:rsidR="002134BE" w14:paraId="7B5BA3F4" w14:textId="77777777">
        <w:tc>
          <w:tcPr>
            <w:tcW w:w="1728" w:type="dxa"/>
          </w:tcPr>
          <w:p w14:paraId="05F809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28" w:type="dxa"/>
          </w:tcPr>
          <w:p w14:paraId="1797A3D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c>
          <w:tcPr>
            <w:tcW w:w="1728" w:type="dxa"/>
          </w:tcPr>
          <w:p w14:paraId="2F7523D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728" w:type="dxa"/>
          </w:tcPr>
          <w:p w14:paraId="3BED5D9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c>
          <w:tcPr>
            <w:tcW w:w="1728" w:type="dxa"/>
          </w:tcPr>
          <w:p w14:paraId="1C2CBD0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2134BE" w14:paraId="3E25174B" w14:textId="77777777">
        <w:tc>
          <w:tcPr>
            <w:tcW w:w="1728" w:type="dxa"/>
          </w:tcPr>
          <w:p w14:paraId="05ADCA9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8" w:type="dxa"/>
          </w:tcPr>
          <w:p w14:paraId="7742D6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1728" w:type="dxa"/>
          </w:tcPr>
          <w:p w14:paraId="5A263B6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728" w:type="dxa"/>
          </w:tcPr>
          <w:p w14:paraId="07C27A7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1728" w:type="dxa"/>
          </w:tcPr>
          <w:p w14:paraId="4AE13E6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93.4</w:t>
            </w:r>
          </w:p>
        </w:tc>
      </w:tr>
    </w:tbl>
    <w:p w14:paraId="2FFB727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demonstrates that minimal poisoning produces limited observable global degradation while simultaneously generating substantial increases in targeted exploit success. At a 5% poisoning rate, overall accuracy declines modestly, yet attack success exceeds 75%, indicating significant latent behavioral compromise.</w:t>
      </w:r>
    </w:p>
    <w:p w14:paraId="5C62E704" w14:textId="77777777" w:rsidR="002134BE" w:rsidRDefault="002134BE">
      <w:pPr>
        <w:spacing w:after="240"/>
        <w:rPr>
          <w:rFonts w:ascii="Times New Roman" w:eastAsia="Times New Roman" w:hAnsi="Times New Roman" w:cs="Times New Roman"/>
          <w:sz w:val="24"/>
          <w:szCs w:val="24"/>
        </w:rPr>
      </w:pPr>
    </w:p>
    <w:p w14:paraId="59456F99" w14:textId="77777777" w:rsidR="002134BE" w:rsidRDefault="002134BE">
      <w:pPr>
        <w:spacing w:after="240"/>
        <w:rPr>
          <w:rFonts w:ascii="Times New Roman" w:eastAsia="Times New Roman" w:hAnsi="Times New Roman" w:cs="Times New Roman"/>
          <w:sz w:val="24"/>
          <w:szCs w:val="24"/>
        </w:rPr>
      </w:pPr>
    </w:p>
    <w:p w14:paraId="57D7370B"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7EE852" wp14:editId="57A359A5">
            <wp:extent cx="5029200" cy="3332676"/>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5916"/>
                    <a:stretch>
                      <a:fillRect/>
                    </a:stretch>
                  </pic:blipFill>
                  <pic:spPr>
                    <a:xfrm>
                      <a:off x="0" y="0"/>
                      <a:ext cx="5029200" cy="3332676"/>
                    </a:xfrm>
                    <a:prstGeom prst="rect">
                      <a:avLst/>
                    </a:prstGeom>
                    <a:ln/>
                  </pic:spPr>
                </pic:pic>
              </a:graphicData>
            </a:graphic>
          </wp:inline>
        </w:drawing>
      </w:r>
    </w:p>
    <w:p w14:paraId="76678180"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Escalation of Targeted Compromise Under Training Data Poisoning</w:t>
      </w:r>
    </w:p>
    <w:p w14:paraId="7BE009E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1, attack success rate increases nonlinearly relative to poisoning intensity. The expanding bubble magnitude further reflects the acceleration of structural degradation as poisoning scales.</w:t>
      </w:r>
    </w:p>
    <w:p w14:paraId="5CE8CD3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B2F033" wp14:editId="5BB5A586">
            <wp:extent cx="5029200" cy="313588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6264"/>
                    <a:stretch>
                      <a:fillRect/>
                    </a:stretch>
                  </pic:blipFill>
                  <pic:spPr>
                    <a:xfrm>
                      <a:off x="0" y="0"/>
                      <a:ext cx="5029200" cy="3135880"/>
                    </a:xfrm>
                    <a:prstGeom prst="rect">
                      <a:avLst/>
                    </a:prstGeom>
                    <a:ln/>
                  </pic:spPr>
                </pic:pic>
              </a:graphicData>
            </a:graphic>
          </wp:inline>
        </w:drawing>
      </w:r>
    </w:p>
    <w:p w14:paraId="6A1693C5"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Divergence Between Global Degradation and Targeted Exploit Success</w:t>
      </w:r>
    </w:p>
    <w:p w14:paraId="7F2FDB0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highlights the divergence between global performance degradation and targeted exploit effectiveness. The widening separation between the two curves demonstrates that conventional accuracy monitoring fails to capture embedded adversarial manipulation.</w:t>
      </w:r>
    </w:p>
    <w:p w14:paraId="69F1D1E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evidence indicates that even limited poisoning can generate disproportionate targeted vulnerability while maintaining statistically acceptable global performance metrics. This behavioral asymmetry reinforces the structural concern that AI-driven financial workflows may remain operationally functional yet strategically compromised within compliance-validated environments.</w:t>
      </w:r>
    </w:p>
    <w:p w14:paraId="7D0DDC8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2: Evaluate the effectiveness of existing PCI DSS controls in detecting and mitigating AI-related compromise patterns.</w:t>
      </w:r>
    </w:p>
    <w:p w14:paraId="17D2634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binary logistic regression model was employed to estimate the likelihood of breach detection under varying control failure conditions. The analysis examined the relationship between control breakdowns and the probability that incidents were successfully detected within regulated financial environments.</w:t>
      </w:r>
    </w:p>
    <w:p w14:paraId="7D36E5F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 Logistic Regression Predicting Detection Outcome</w:t>
      </w:r>
    </w:p>
    <w:tbl>
      <w:tblPr>
        <w:tblStyle w:val="a6"/>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2134BE" w14:paraId="797CE985" w14:textId="77777777">
        <w:tc>
          <w:tcPr>
            <w:tcW w:w="2160" w:type="dxa"/>
          </w:tcPr>
          <w:p w14:paraId="3E2132C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160" w:type="dxa"/>
          </w:tcPr>
          <w:p w14:paraId="1AA52A6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p>
        </w:tc>
        <w:tc>
          <w:tcPr>
            <w:tcW w:w="2160" w:type="dxa"/>
          </w:tcPr>
          <w:p w14:paraId="4D58507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w:t>
            </w:r>
          </w:p>
        </w:tc>
        <w:tc>
          <w:tcPr>
            <w:tcW w:w="2160" w:type="dxa"/>
          </w:tcPr>
          <w:p w14:paraId="5012BA2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2134BE" w14:paraId="10680764" w14:textId="77777777">
        <w:tc>
          <w:tcPr>
            <w:tcW w:w="2160" w:type="dxa"/>
          </w:tcPr>
          <w:p w14:paraId="481794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 Control Failure</w:t>
            </w:r>
          </w:p>
        </w:tc>
        <w:tc>
          <w:tcPr>
            <w:tcW w:w="2160" w:type="dxa"/>
          </w:tcPr>
          <w:p w14:paraId="4BB124F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2160" w:type="dxa"/>
          </w:tcPr>
          <w:p w14:paraId="65E50F6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2160" w:type="dxa"/>
          </w:tcPr>
          <w:p w14:paraId="1F8D725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2134BE" w14:paraId="523B7A51" w14:textId="77777777">
        <w:tc>
          <w:tcPr>
            <w:tcW w:w="2160" w:type="dxa"/>
          </w:tcPr>
          <w:p w14:paraId="01F0390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Logging Failure</w:t>
            </w:r>
          </w:p>
        </w:tc>
        <w:tc>
          <w:tcPr>
            <w:tcW w:w="2160" w:type="dxa"/>
          </w:tcPr>
          <w:p w14:paraId="77C7C59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2160" w:type="dxa"/>
          </w:tcPr>
          <w:p w14:paraId="45F4E13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2160" w:type="dxa"/>
          </w:tcPr>
          <w:p w14:paraId="5E71E3C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7FF69F6B" w14:textId="77777777">
        <w:tc>
          <w:tcPr>
            <w:tcW w:w="2160" w:type="dxa"/>
          </w:tcPr>
          <w:p w14:paraId="4ED064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Third-Party Involvement</w:t>
            </w:r>
          </w:p>
        </w:tc>
        <w:tc>
          <w:tcPr>
            <w:tcW w:w="2160" w:type="dxa"/>
          </w:tcPr>
          <w:p w14:paraId="2BA850E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2160" w:type="dxa"/>
          </w:tcPr>
          <w:p w14:paraId="7334A26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2160" w:type="dxa"/>
          </w:tcPr>
          <w:p w14:paraId="454841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6F5B8CE7" w14:textId="77777777">
        <w:tc>
          <w:tcPr>
            <w:tcW w:w="2160" w:type="dxa"/>
          </w:tcPr>
          <w:p w14:paraId="334EBA5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Integrity Compromise</w:t>
            </w:r>
          </w:p>
        </w:tc>
        <w:tc>
          <w:tcPr>
            <w:tcW w:w="2160" w:type="dxa"/>
          </w:tcPr>
          <w:p w14:paraId="6E4E855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2160" w:type="dxa"/>
          </w:tcPr>
          <w:p w14:paraId="555F867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160" w:type="dxa"/>
          </w:tcPr>
          <w:p w14:paraId="4CB5A3D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639684A"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indicates that Logging Failure exerts the strongest negative influence on detection likelihood (OR = 0.24, p &lt; .001), followed by Third-Party Involvement (OR = 0.33, p &lt; .001). Data Integrity Compromise also significantly reduces detection probability (OR = 0.54, p &lt; .001), while Access Control Failure shows a comparatively smaller effect (OR = 0.73, p = .010).</w:t>
      </w:r>
    </w:p>
    <w:p w14:paraId="0362A7CB"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9BED14" wp14:editId="12E30B95">
            <wp:extent cx="5029200" cy="304287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29200" cy="3042877"/>
                    </a:xfrm>
                    <a:prstGeom prst="rect">
                      <a:avLst/>
                    </a:prstGeom>
                    <a:ln/>
                  </pic:spPr>
                </pic:pic>
              </a:graphicData>
            </a:graphic>
          </wp:inline>
        </w:drawing>
      </w:r>
    </w:p>
    <w:p w14:paraId="7ACBC01A"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Odds Ratios for Detection Outcome</w:t>
      </w:r>
    </w:p>
    <w:p w14:paraId="7595AFD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illustrates the relative suppression effect of each control failure on breach detection. All predictors fall below the neutrality threshold (OR = 1), confirming that control degradation significantly reduces detection likelihood. The magnitude of deviation demonstrates the dominant role of logging integrity in traditional detection architectures.</w:t>
      </w:r>
    </w:p>
    <w:p w14:paraId="0A879177"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401B83" wp14:editId="556C35E6">
            <wp:extent cx="5029200" cy="388499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29200" cy="3884990"/>
                    </a:xfrm>
                    <a:prstGeom prst="rect">
                      <a:avLst/>
                    </a:prstGeom>
                    <a:ln/>
                  </pic:spPr>
                </pic:pic>
              </a:graphicData>
            </a:graphic>
          </wp:inline>
        </w:drawing>
      </w:r>
    </w:p>
    <w:p w14:paraId="0DE44B4A"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Decline in Detection Probability with Compounding Control Failures</w:t>
      </w:r>
    </w:p>
    <w:p w14:paraId="0A290D2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demonstrates a nonlinear decline in predicted detection probability as multiple control failures accumulate. Detection probability decreases from approximately 70% under intact controls to below 10% when all failure conditions are present, indicating compounding vulnerability within compliance-based detection frameworks.</w:t>
      </w:r>
    </w:p>
    <w:p w14:paraId="63EB797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while PCI DSS-aligned logging and monitoring controls remain critical for detecting conventional system violations, detection effectiveness diminishes substantially when compromise involves integrity manipulation and third-party ecosystems. This pattern reflects structural sensitivity within deterministic control environments when exposed to AI-mediated threat dynamics.</w:t>
      </w:r>
    </w:p>
    <w:p w14:paraId="5BA0EA8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3: Map AI threats to PCI DSS control domains and quantify explicit control gaps.</w:t>
      </w:r>
    </w:p>
    <w:p w14:paraId="475244B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gap scoring index was constructed to evaluate the degree to which PCI DSS v4.0 control domains explicitly or implicitly address AI-specific threats, including prompt injection and training data poisoning. Each domain was evaluated and aggregated to compute threat-specific coverage indices.</w:t>
      </w:r>
    </w:p>
    <w:p w14:paraId="3A23DEA0"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Domain-Level AI Threat Coverage Scores</w:t>
      </w:r>
    </w:p>
    <w:tbl>
      <w:tblPr>
        <w:tblStyle w:val="a7"/>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313D0EF9" w14:textId="77777777">
        <w:tc>
          <w:tcPr>
            <w:tcW w:w="2880" w:type="dxa"/>
          </w:tcPr>
          <w:p w14:paraId="0D20836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PCI DSS Domain</w:t>
            </w:r>
          </w:p>
        </w:tc>
        <w:tc>
          <w:tcPr>
            <w:tcW w:w="2880" w:type="dxa"/>
          </w:tcPr>
          <w:p w14:paraId="335DFA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 Coverage (%)</w:t>
            </w:r>
          </w:p>
        </w:tc>
        <w:tc>
          <w:tcPr>
            <w:tcW w:w="2880" w:type="dxa"/>
          </w:tcPr>
          <w:p w14:paraId="3750C90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Poisoning Coverage (%)</w:t>
            </w:r>
          </w:p>
        </w:tc>
      </w:tr>
      <w:tr w:rsidR="002134BE" w14:paraId="6F7483FA" w14:textId="77777777">
        <w:tc>
          <w:tcPr>
            <w:tcW w:w="2880" w:type="dxa"/>
          </w:tcPr>
          <w:p w14:paraId="0E7442D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Security</w:t>
            </w:r>
          </w:p>
        </w:tc>
        <w:tc>
          <w:tcPr>
            <w:tcW w:w="2880" w:type="dxa"/>
          </w:tcPr>
          <w:p w14:paraId="1D3530E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1CA134D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21AC48EB" w14:textId="77777777">
        <w:tc>
          <w:tcPr>
            <w:tcW w:w="2880" w:type="dxa"/>
          </w:tcPr>
          <w:p w14:paraId="63F7FB4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Configuration</w:t>
            </w:r>
          </w:p>
        </w:tc>
        <w:tc>
          <w:tcPr>
            <w:tcW w:w="2880" w:type="dxa"/>
          </w:tcPr>
          <w:p w14:paraId="3B702E4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59AB74C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40630F47" w14:textId="77777777">
        <w:tc>
          <w:tcPr>
            <w:tcW w:w="2880" w:type="dxa"/>
          </w:tcPr>
          <w:p w14:paraId="6976298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Stored Data Protection</w:t>
            </w:r>
          </w:p>
        </w:tc>
        <w:tc>
          <w:tcPr>
            <w:tcW w:w="2880" w:type="dxa"/>
          </w:tcPr>
          <w:p w14:paraId="7524D95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21B1E32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757E5BE7" w14:textId="77777777">
        <w:tc>
          <w:tcPr>
            <w:tcW w:w="2880" w:type="dxa"/>
          </w:tcPr>
          <w:p w14:paraId="334DE9A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Encryption</w:t>
            </w:r>
          </w:p>
        </w:tc>
        <w:tc>
          <w:tcPr>
            <w:tcW w:w="2880" w:type="dxa"/>
          </w:tcPr>
          <w:p w14:paraId="4F09F48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4BF79E3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7771EAC6" w14:textId="77777777">
        <w:tc>
          <w:tcPr>
            <w:tcW w:w="2880" w:type="dxa"/>
          </w:tcPr>
          <w:p w14:paraId="0B98B3A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Anti-Malware</w:t>
            </w:r>
          </w:p>
        </w:tc>
        <w:tc>
          <w:tcPr>
            <w:tcW w:w="2880" w:type="dxa"/>
          </w:tcPr>
          <w:p w14:paraId="7C3064D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6799197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53AEB916" w14:textId="77777777">
        <w:tc>
          <w:tcPr>
            <w:tcW w:w="2880" w:type="dxa"/>
          </w:tcPr>
          <w:p w14:paraId="6848AF4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Development</w:t>
            </w:r>
          </w:p>
        </w:tc>
        <w:tc>
          <w:tcPr>
            <w:tcW w:w="2880" w:type="dxa"/>
          </w:tcPr>
          <w:p w14:paraId="47783E3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6AF853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134BE" w14:paraId="3803E68E" w14:textId="77777777">
        <w:tc>
          <w:tcPr>
            <w:tcW w:w="2880" w:type="dxa"/>
          </w:tcPr>
          <w:p w14:paraId="70FF657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w:t>
            </w:r>
          </w:p>
        </w:tc>
        <w:tc>
          <w:tcPr>
            <w:tcW w:w="2880" w:type="dxa"/>
          </w:tcPr>
          <w:p w14:paraId="10E49CB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2D5BDB9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161C4709" w14:textId="77777777">
        <w:tc>
          <w:tcPr>
            <w:tcW w:w="2880" w:type="dxa"/>
          </w:tcPr>
          <w:p w14:paraId="08B09FF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Authentication</w:t>
            </w:r>
          </w:p>
        </w:tc>
        <w:tc>
          <w:tcPr>
            <w:tcW w:w="2880" w:type="dxa"/>
          </w:tcPr>
          <w:p w14:paraId="7AF694E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60BB8CF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6214E58E" w14:textId="77777777">
        <w:tc>
          <w:tcPr>
            <w:tcW w:w="2880" w:type="dxa"/>
          </w:tcPr>
          <w:p w14:paraId="55DDF38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Logging &amp; Monitoring</w:t>
            </w:r>
          </w:p>
        </w:tc>
        <w:tc>
          <w:tcPr>
            <w:tcW w:w="2880" w:type="dxa"/>
          </w:tcPr>
          <w:p w14:paraId="3ED4FC1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0BD76A4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18EE6B8C" w14:textId="77777777">
        <w:tc>
          <w:tcPr>
            <w:tcW w:w="2880" w:type="dxa"/>
          </w:tcPr>
          <w:p w14:paraId="56B7688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Vulnerability Management</w:t>
            </w:r>
          </w:p>
        </w:tc>
        <w:tc>
          <w:tcPr>
            <w:tcW w:w="2880" w:type="dxa"/>
          </w:tcPr>
          <w:p w14:paraId="5531EB1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7715C33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374627DE" w14:textId="77777777">
        <w:tc>
          <w:tcPr>
            <w:tcW w:w="2880" w:type="dxa"/>
          </w:tcPr>
          <w:p w14:paraId="0DA0A29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Response</w:t>
            </w:r>
          </w:p>
        </w:tc>
        <w:tc>
          <w:tcPr>
            <w:tcW w:w="2880" w:type="dxa"/>
          </w:tcPr>
          <w:p w14:paraId="668B492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08837C5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3A1D259F" w14:textId="77777777">
        <w:tc>
          <w:tcPr>
            <w:tcW w:w="2880" w:type="dxa"/>
          </w:tcPr>
          <w:p w14:paraId="197438B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Provider Governance</w:t>
            </w:r>
          </w:p>
        </w:tc>
        <w:tc>
          <w:tcPr>
            <w:tcW w:w="2880" w:type="dxa"/>
          </w:tcPr>
          <w:p w14:paraId="1AB02F0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7409E18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0B39261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coverage for prompt injection remains limited across most domains, while data poisoning receives comparatively broader but still incomplete treatment.</w:t>
      </w:r>
    </w:p>
    <w:p w14:paraId="2A773EB0"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Aggregate AI Threat Coverage Indices</w:t>
      </w:r>
    </w:p>
    <w:tbl>
      <w:tblPr>
        <w:tblStyle w:val="a8"/>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62548438" w14:textId="77777777">
        <w:tc>
          <w:tcPr>
            <w:tcW w:w="2880" w:type="dxa"/>
          </w:tcPr>
          <w:p w14:paraId="3BACA2D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Threat Type</w:t>
            </w:r>
          </w:p>
        </w:tc>
        <w:tc>
          <w:tcPr>
            <w:tcW w:w="2880" w:type="dxa"/>
          </w:tcPr>
          <w:p w14:paraId="68F078E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Coverage Score (%)</w:t>
            </w:r>
          </w:p>
        </w:tc>
        <w:tc>
          <w:tcPr>
            <w:tcW w:w="2880" w:type="dxa"/>
          </w:tcPr>
          <w:p w14:paraId="6C5A615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 Gap (%)</w:t>
            </w:r>
          </w:p>
        </w:tc>
      </w:tr>
      <w:tr w:rsidR="002134BE" w14:paraId="29C035D2" w14:textId="77777777">
        <w:tc>
          <w:tcPr>
            <w:tcW w:w="2880" w:type="dxa"/>
          </w:tcPr>
          <w:p w14:paraId="5F6134E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w:t>
            </w:r>
          </w:p>
        </w:tc>
        <w:tc>
          <w:tcPr>
            <w:tcW w:w="2880" w:type="dxa"/>
          </w:tcPr>
          <w:p w14:paraId="2F36821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2880" w:type="dxa"/>
          </w:tcPr>
          <w:p w14:paraId="59298AD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2134BE" w14:paraId="581A1D7E" w14:textId="77777777">
        <w:tc>
          <w:tcPr>
            <w:tcW w:w="2880" w:type="dxa"/>
          </w:tcPr>
          <w:p w14:paraId="4DDD79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Data Poisoning</w:t>
            </w:r>
          </w:p>
        </w:tc>
        <w:tc>
          <w:tcPr>
            <w:tcW w:w="2880" w:type="dxa"/>
          </w:tcPr>
          <w:p w14:paraId="4485572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2880" w:type="dxa"/>
          </w:tcPr>
          <w:p w14:paraId="4A6D24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14:paraId="7CEA4CB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indicates that PCI DSS addresses approximately one-third of prompt injection risks and one-half of data poisoning risks, revealing substantial explicit governance gaps.</w:t>
      </w:r>
    </w:p>
    <w:p w14:paraId="438D7EB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5C9312" wp14:editId="0182DD34">
            <wp:extent cx="5029200" cy="4344753"/>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29200" cy="4344753"/>
                    </a:xfrm>
                    <a:prstGeom prst="rect">
                      <a:avLst/>
                    </a:prstGeom>
                    <a:ln/>
                  </pic:spPr>
                </pic:pic>
              </a:graphicData>
            </a:graphic>
          </wp:inline>
        </w:drawing>
      </w:r>
    </w:p>
    <w:p w14:paraId="2644017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Comparative Radar of AI Threat Coverage Across PCI DSS Domains</w:t>
      </w:r>
    </w:p>
    <w:p w14:paraId="19F9D04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visually demonstrates the structural asymmetry between prompt injection and data poisoning coverage. The narrower area for prompt injection reflects systematic underrepresentation within PCI DSS domains.</w:t>
      </w:r>
    </w:p>
    <w:p w14:paraId="1FB92D82"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6CC832" wp14:editId="2C48D167">
            <wp:extent cx="5029200" cy="4812797"/>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29200" cy="4812797"/>
                    </a:xfrm>
                    <a:prstGeom prst="rect">
                      <a:avLst/>
                    </a:prstGeom>
                    <a:ln/>
                  </pic:spPr>
                </pic:pic>
              </a:graphicData>
            </a:graphic>
          </wp:inline>
        </w:drawing>
      </w:r>
    </w:p>
    <w:p w14:paraId="1E13A0A8"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Domain-Level Coverage Gap Magnitude</w:t>
      </w:r>
    </w:p>
    <w:p w14:paraId="72070AF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coverage deficits by domain, where larger vertical differentials reflect greater governance blind spots. Several domains exhibit maximal gaps for prompt injection, reinforcing the misalignment between AI behavioral risks and perimeter-oriented compliance controls.</w:t>
      </w:r>
    </w:p>
    <w:p w14:paraId="133DBAC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indices and visual analysis demonstrate that while PCI DSS provides foundational data protection controls, its architecture remains predominantly oriented toward deterministic system threats rather than adaptive AI-specific manipulation. This measurable asymmetry provides empirical grounding for the structural compliance gap identified in prior objectives.</w:t>
      </w:r>
    </w:p>
    <w:p w14:paraId="4233D5C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4: Design and validate a PCI DSS-aligned AI security framework.</w:t>
      </w:r>
    </w:p>
    <w:p w14:paraId="599D6A4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Structural Equation Modeling (SEM) approach was employed to evaluate the explanatory strength of the proposed PCI DSS-aligned AI security framework. The structural model </w:t>
      </w:r>
      <w:r>
        <w:rPr>
          <w:rFonts w:ascii="Times New Roman" w:eastAsia="Times New Roman" w:hAnsi="Times New Roman" w:cs="Times New Roman"/>
          <w:sz w:val="24"/>
          <w:szCs w:val="24"/>
        </w:rPr>
        <w:lastRenderedPageBreak/>
        <w:t>assessed the influence of Preventive, Detective, and Corrective control dimensions on AI Risk Reduction within regulated financial environments.</w:t>
      </w:r>
    </w:p>
    <w:p w14:paraId="0702A24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 Confirmatory Factor Analysis Results</w:t>
      </w:r>
    </w:p>
    <w:tbl>
      <w:tblPr>
        <w:tblStyle w:val="a9"/>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4108F230" w14:textId="77777777">
        <w:tc>
          <w:tcPr>
            <w:tcW w:w="2880" w:type="dxa"/>
          </w:tcPr>
          <w:p w14:paraId="0B181C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Latent Construct</w:t>
            </w:r>
          </w:p>
        </w:tc>
        <w:tc>
          <w:tcPr>
            <w:tcW w:w="2880" w:type="dxa"/>
          </w:tcPr>
          <w:p w14:paraId="3710794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w:t>
            </w:r>
          </w:p>
        </w:tc>
        <w:tc>
          <w:tcPr>
            <w:tcW w:w="2880" w:type="dxa"/>
          </w:tcPr>
          <w:p w14:paraId="0E0A6D1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Loading (λ)</w:t>
            </w:r>
          </w:p>
        </w:tc>
      </w:tr>
      <w:tr w:rsidR="002134BE" w14:paraId="47C9C136" w14:textId="77777777">
        <w:tc>
          <w:tcPr>
            <w:tcW w:w="2880" w:type="dxa"/>
          </w:tcPr>
          <w:p w14:paraId="0F3FF08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22FC5E9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Provenance Validation</w:t>
            </w:r>
          </w:p>
        </w:tc>
        <w:tc>
          <w:tcPr>
            <w:tcW w:w="2880" w:type="dxa"/>
          </w:tcPr>
          <w:p w14:paraId="46C67D8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2134BE" w14:paraId="6084A713" w14:textId="77777777">
        <w:tc>
          <w:tcPr>
            <w:tcW w:w="2880" w:type="dxa"/>
          </w:tcPr>
          <w:p w14:paraId="22061E6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5FC9B4A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Filtering Mechanism</w:t>
            </w:r>
          </w:p>
        </w:tc>
        <w:tc>
          <w:tcPr>
            <w:tcW w:w="2880" w:type="dxa"/>
          </w:tcPr>
          <w:p w14:paraId="5823627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2134BE" w14:paraId="6E70589F" w14:textId="77777777">
        <w:tc>
          <w:tcPr>
            <w:tcW w:w="2880" w:type="dxa"/>
          </w:tcPr>
          <w:p w14:paraId="5C0A60D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1530EE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Model Training Governance</w:t>
            </w:r>
          </w:p>
        </w:tc>
        <w:tc>
          <w:tcPr>
            <w:tcW w:w="2880" w:type="dxa"/>
          </w:tcPr>
          <w:p w14:paraId="1136629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2134BE" w14:paraId="6C3A31D6" w14:textId="77777777">
        <w:tc>
          <w:tcPr>
            <w:tcW w:w="2880" w:type="dxa"/>
          </w:tcPr>
          <w:p w14:paraId="6704C6F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3D50FD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Drift Monitoring</w:t>
            </w:r>
          </w:p>
        </w:tc>
        <w:tc>
          <w:tcPr>
            <w:tcW w:w="2880" w:type="dxa"/>
          </w:tcPr>
          <w:p w14:paraId="6709562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2134BE" w14:paraId="2DABDFD2" w14:textId="77777777">
        <w:tc>
          <w:tcPr>
            <w:tcW w:w="2880" w:type="dxa"/>
          </w:tcPr>
          <w:p w14:paraId="0F96D6A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28B4A9F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Anomaly Detection</w:t>
            </w:r>
          </w:p>
        </w:tc>
        <w:tc>
          <w:tcPr>
            <w:tcW w:w="2880" w:type="dxa"/>
          </w:tcPr>
          <w:p w14:paraId="35E8590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r>
      <w:tr w:rsidR="002134BE" w14:paraId="5F512ACB" w14:textId="77777777">
        <w:tc>
          <w:tcPr>
            <w:tcW w:w="2880" w:type="dxa"/>
          </w:tcPr>
          <w:p w14:paraId="35B64E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2DE7106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Trace Expansion</w:t>
            </w:r>
          </w:p>
        </w:tc>
        <w:tc>
          <w:tcPr>
            <w:tcW w:w="2880" w:type="dxa"/>
          </w:tcPr>
          <w:p w14:paraId="146E1CB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2134BE" w14:paraId="3117E043" w14:textId="77777777">
        <w:tc>
          <w:tcPr>
            <w:tcW w:w="2880" w:type="dxa"/>
          </w:tcPr>
          <w:p w14:paraId="47E3870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7EC138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 Rollback Capability</w:t>
            </w:r>
          </w:p>
        </w:tc>
        <w:tc>
          <w:tcPr>
            <w:tcW w:w="2880" w:type="dxa"/>
          </w:tcPr>
          <w:p w14:paraId="5590DA6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2134BE" w14:paraId="47486ADB" w14:textId="77777777">
        <w:tc>
          <w:tcPr>
            <w:tcW w:w="2880" w:type="dxa"/>
          </w:tcPr>
          <w:p w14:paraId="7C0336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2247A24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Containment Protocol</w:t>
            </w:r>
          </w:p>
        </w:tc>
        <w:tc>
          <w:tcPr>
            <w:tcW w:w="2880" w:type="dxa"/>
          </w:tcPr>
          <w:p w14:paraId="312A854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2134BE" w14:paraId="07514351" w14:textId="77777777">
        <w:tc>
          <w:tcPr>
            <w:tcW w:w="2880" w:type="dxa"/>
          </w:tcPr>
          <w:p w14:paraId="403840E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491DD21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Adaptive Re-Training Controls</w:t>
            </w:r>
          </w:p>
        </w:tc>
        <w:tc>
          <w:tcPr>
            <w:tcW w:w="2880" w:type="dxa"/>
          </w:tcPr>
          <w:p w14:paraId="18120B8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2134BE" w14:paraId="397A00C8" w14:textId="77777777">
        <w:tc>
          <w:tcPr>
            <w:tcW w:w="2880" w:type="dxa"/>
          </w:tcPr>
          <w:p w14:paraId="539024E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5BE4D8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Exploit Persistence</w:t>
            </w:r>
          </w:p>
        </w:tc>
        <w:tc>
          <w:tcPr>
            <w:tcW w:w="2880" w:type="dxa"/>
          </w:tcPr>
          <w:p w14:paraId="75437F5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r>
      <w:tr w:rsidR="002134BE" w14:paraId="76152B94" w14:textId="77777777">
        <w:tc>
          <w:tcPr>
            <w:tcW w:w="2880" w:type="dxa"/>
          </w:tcPr>
          <w:p w14:paraId="187CC50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059EBB1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Attack Success Rate</w:t>
            </w:r>
          </w:p>
        </w:tc>
        <w:tc>
          <w:tcPr>
            <w:tcW w:w="2880" w:type="dxa"/>
          </w:tcPr>
          <w:p w14:paraId="357C214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2134BE" w14:paraId="1EE3768F" w14:textId="77777777">
        <w:tc>
          <w:tcPr>
            <w:tcW w:w="2880" w:type="dxa"/>
          </w:tcPr>
          <w:p w14:paraId="2535D2F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1CEB0D7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Detection Stability</w:t>
            </w:r>
          </w:p>
        </w:tc>
        <w:tc>
          <w:tcPr>
            <w:tcW w:w="2880" w:type="dxa"/>
          </w:tcPr>
          <w:p w14:paraId="00718A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r>
    </w:tbl>
    <w:p w14:paraId="17480AE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5 demonstrates strong construct validity, as all standardized loadings exceed 0.70, indicating reliable representation of each latent construct.</w:t>
      </w:r>
    </w:p>
    <w:p w14:paraId="41D6A1F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Structural Path Estimates</w:t>
      </w:r>
    </w:p>
    <w:tbl>
      <w:tblPr>
        <w:tblStyle w:val="aa"/>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3102"/>
        <w:gridCol w:w="977"/>
      </w:tblGrid>
      <w:tr w:rsidR="002134BE" w14:paraId="1B1963CC" w14:textId="77777777">
        <w:tc>
          <w:tcPr>
            <w:tcW w:w="5196" w:type="dxa"/>
          </w:tcPr>
          <w:p w14:paraId="621117E0"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Structural Relationship</w:t>
            </w:r>
          </w:p>
        </w:tc>
        <w:tc>
          <w:tcPr>
            <w:tcW w:w="3102" w:type="dxa"/>
          </w:tcPr>
          <w:p w14:paraId="44CDCDEF"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Standardized Coefficient (γ)</w:t>
            </w:r>
          </w:p>
        </w:tc>
        <w:tc>
          <w:tcPr>
            <w:tcW w:w="977" w:type="dxa"/>
          </w:tcPr>
          <w:p w14:paraId="26621055"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2134BE" w14:paraId="68E46386" w14:textId="77777777">
        <w:tc>
          <w:tcPr>
            <w:tcW w:w="5196" w:type="dxa"/>
          </w:tcPr>
          <w:p w14:paraId="3816578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Preventive Controls on AI Risk Reduction</w:t>
            </w:r>
          </w:p>
        </w:tc>
        <w:tc>
          <w:tcPr>
            <w:tcW w:w="3102" w:type="dxa"/>
          </w:tcPr>
          <w:p w14:paraId="4C29E99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977" w:type="dxa"/>
          </w:tcPr>
          <w:p w14:paraId="7EF3C54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2F809C07" w14:textId="77777777">
        <w:tc>
          <w:tcPr>
            <w:tcW w:w="5196" w:type="dxa"/>
          </w:tcPr>
          <w:p w14:paraId="1CCAFC0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Detective Controls on AI Risk Reduction</w:t>
            </w:r>
          </w:p>
        </w:tc>
        <w:tc>
          <w:tcPr>
            <w:tcW w:w="3102" w:type="dxa"/>
          </w:tcPr>
          <w:p w14:paraId="32324A3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77" w:type="dxa"/>
          </w:tcPr>
          <w:p w14:paraId="4E550A7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594D70FD" w14:textId="77777777">
        <w:tc>
          <w:tcPr>
            <w:tcW w:w="5196" w:type="dxa"/>
          </w:tcPr>
          <w:p w14:paraId="73EE95F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Corrective Controls on AI Risk Reduction</w:t>
            </w:r>
          </w:p>
        </w:tc>
        <w:tc>
          <w:tcPr>
            <w:tcW w:w="3102" w:type="dxa"/>
          </w:tcPr>
          <w:p w14:paraId="22FC85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77" w:type="dxa"/>
          </w:tcPr>
          <w:p w14:paraId="4C89B0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0AF47434" w14:textId="77777777" w:rsidR="002134BE" w:rsidRDefault="002134BE">
      <w:pPr>
        <w:spacing w:after="240"/>
        <w:rPr>
          <w:rFonts w:ascii="Times New Roman" w:eastAsia="Times New Roman" w:hAnsi="Times New Roman" w:cs="Times New Roman"/>
          <w:sz w:val="24"/>
          <w:szCs w:val="24"/>
        </w:rPr>
      </w:pPr>
    </w:p>
    <w:p w14:paraId="5F1A9DA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6 indicates that Preventive Controls exert the strongest influence on AI Risk Reduction (γ = 0.61, p &lt; .001), followed by Detective Controls (γ = 0.38, p &lt; .001) and Corrective Controls (γ = 0.29, p = .004).</w:t>
      </w:r>
    </w:p>
    <w:p w14:paraId="1B1EA9F8"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9613FB" wp14:editId="18893ED1">
            <wp:extent cx="5029200" cy="3233057"/>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29200" cy="3233057"/>
                    </a:xfrm>
                    <a:prstGeom prst="rect">
                      <a:avLst/>
                    </a:prstGeom>
                    <a:ln/>
                  </pic:spPr>
                </pic:pic>
              </a:graphicData>
            </a:graphic>
          </wp:inline>
        </w:drawing>
      </w:r>
    </w:p>
    <w:p w14:paraId="026B5F92"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Structural Path Strengths Predicting AI Risk Reduction</w:t>
      </w:r>
    </w:p>
    <w:p w14:paraId="6C3E1AA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illustrates the relative magnitude of structural effects, highlighting the dominant contribution of preventive governance mechanisms in reducing AI-mediated risk.</w:t>
      </w:r>
    </w:p>
    <w:p w14:paraId="2591AF33"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3BA3B7" wp14:editId="5F0491A0">
            <wp:extent cx="5029200" cy="3707593"/>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29200" cy="3707593"/>
                    </a:xfrm>
                    <a:prstGeom prst="rect">
                      <a:avLst/>
                    </a:prstGeom>
                    <a:ln/>
                  </pic:spPr>
                </pic:pic>
              </a:graphicData>
            </a:graphic>
          </wp:inline>
        </w:drawing>
      </w:r>
    </w:p>
    <w:p w14:paraId="60FAEE00"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Explained Variance (R²) for AI Risk Reduction</w:t>
      </w:r>
    </w:p>
    <w:p w14:paraId="158951D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demonstrates that the integrated framework explains 74% of the variance in AI Risk Reduction outcomes (R² = 0.74), indicating substantial explanatory power within PCI DSS-aligned financial environments.</w:t>
      </w:r>
    </w:p>
    <w:p w14:paraId="5016594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structural results reinforce the empirical progression established across prior objectives, demonstrating that lifecycle-oriented preventive controls provide the most substantial reduction in AI-specific financial risk, while detective and corrective controls contribute complementary stabilizing effects.</w:t>
      </w:r>
    </w:p>
    <w:p w14:paraId="046C22B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14:paraId="437D3846"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empirical confirmation of the structural concerns articulated in the introduction and literature review, namely that artificial intelligence introduces failure modes that extend beyond the deterministic assumptions embedded in PCI DSS. Across all four objectives, the results consistently demonstrate that prompt injection and training data poisoning undermine financial systems in ways that remain partially invisible to traditional compliance-oriented controls.</w:t>
      </w:r>
    </w:p>
    <w:p w14:paraId="35E4B530"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experimental evidence presented in Table 1 and Figures 1 and 2 substantiates prior adversarial machine learning research indicating that poisoning attacks can preserve global </w:t>
      </w:r>
      <w:r>
        <w:rPr>
          <w:rFonts w:ascii="Times New Roman" w:eastAsia="Times New Roman" w:hAnsi="Times New Roman" w:cs="Times New Roman"/>
          <w:sz w:val="24"/>
          <w:szCs w:val="24"/>
        </w:rPr>
        <w:lastRenderedPageBreak/>
        <w:t>performance metrics while embedding targeted vulnerabilities (Jagielski et al., 2021; Goldblum et al., 2022). Notably, at a 5% poisoning rate, accuracy declines modestly while attack success exceeds 75%, revealing a pronounced divergence between aggregate reliability and targeted exploitability. This empirical asymmetry directly supports arguments advanced by Wang et al. (2022) and Kure et al. (2025) that model integrity cannot be inferred solely from overall accuracy. More importantly, within the financial context described in the introduction, this divergence implies that AI-driven fraud detection or authorization systems may remain operationally acceptable under audit metrics while simultaneously exhibiting systematic behavioral compromise. The structural implication is that compliance validation grounded in performance stability does not equate to adversarial robustness.</w:t>
      </w:r>
    </w:p>
    <w:p w14:paraId="2207D186"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logistic regression results in Table 2 and the probability patterns illustrated in Figures 3 and 4 further reinforce this concern. While logging integrity emerges as the strongest predictor of breach detection, the magnitude of suppression effects associated with third-party involvement and data integrity compromise suggests that detection effectiveness diminishes precisely in contexts where AI supply chains and model governance are most relevant. This finding aligns with the critique advanced by Singer and Friedman (2014) and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(2022), who argue that PCI DSS is optimized for perimeter and credential-based threats. The nonlinear decline in detection probability as failures compound indicates that compliance-based architectures exhibit fragility when confronted with integrity-centered compromise rather than overt intrusion. Moreover, the statistical insignificance of conventional access failure relative to logging degradation emphasizes the findings of previous studies that AI threats frequently operate within authorized channels (Bender et al., 2021). Consequently, the empirical results support the contention that prompt injection and poisoning exploit trust assumptions rather than authentication weaknesses, thereby evading controls designed for unauthorized access scenarios.</w:t>
      </w:r>
    </w:p>
    <w:p w14:paraId="20FDC86A"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compliance gap analysis presented in Tables 3 and 4 and visualized in Figures 5 and 6 provides quantitative substantiation for the structural misalignment discussed in the literature review. With only 33.3% coverage for prompt injection and 50% for data poisoning, PCI DSS demonstrates measurable underrepresentation of AI-specific threats. The near-zero coverage in domains such as encryption, anti-malware, and authentication is particularly instructive. These domains are foundational to traditional cybersecurity, yet they offer little defense against semantic manipulation or lifecycle-level data corruption. This outcome echoes Ribeiro et al. (2016), who emphasize the probabilistic and context-dependent behavior of machine learning systems, as well as Raji et al. (2022), who highlight the absence of adversarial robustness constructs in PCI DSS relative to newer AI governance frameworks. Importantly, the narrower radar distribution for prompt injection compared to data poisoning suggests that instruction-layer manipulation is even less represented within existing compliance architecture, thereby confirming the theoretical assertion that PCI DSS implicitly conflates authorization with trustworthiness.</w:t>
      </w:r>
    </w:p>
    <w:p w14:paraId="42FE4FF7"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structural equation modeling results extend these insights by demonstrating that lifecycle-oriented preventive controls exert the strongest influence on AI risk reduction, as shown in Table 6 and Figure 7. The standardized coefficient of 0.61 for preventive mechanisms, coupled with an R² of 0.74 in Figure 8, indicates that the majority of variance in AI risk reduction can be explained by governance interventions focused on data provenance validation, secure model training, and prompt filtering. This finding is consistent with Oprea et al. (2022), who argue that systemic data governance provides more durable protection than reactive defenses. Furthermore, the comparatively lower coefficients for detective and corrective controls reinforce the empirical narrative established in Objective 2: detection and remediation remain necessary but insufficient when preventive lifecycle safeguards are absent. In other words, once adversarial behavior becomes embedded within model parameters or contextual inference processes, subsequent monitoring cannot fully neutralize structural compromise.</w:t>
      </w:r>
    </w:p>
    <w:p w14:paraId="314E9F2F"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findings challenge the deterministic control philosophy historically embedded in PCI DSS. Whereas the standard presumes that threats manifest through observable boundary violations, the evidence presented here demonstrates that AI threats often materialize through behavioral deviation within legitimate operational channels. This distinction is central. It suggests that the locus of financial data protection must expand from static configuration validation toward dynamic lifecycle governance encompassing training data integrity, model interpretive boundaries, and third-party AI transparency. </w:t>
      </w:r>
    </w:p>
    <w:p w14:paraId="303D897E" w14:textId="77777777" w:rsidR="002134BE" w:rsidRDefault="002134BE">
      <w:pPr>
        <w:pBdr>
          <w:top w:val="nil"/>
          <w:left w:val="nil"/>
          <w:bottom w:val="nil"/>
          <w:right w:val="nil"/>
          <w:between w:val="nil"/>
        </w:pBdr>
        <w:spacing w:after="240"/>
        <w:rPr>
          <w:rFonts w:ascii="Times New Roman" w:eastAsia="Times New Roman" w:hAnsi="Times New Roman" w:cs="Times New Roman"/>
          <w:sz w:val="24"/>
          <w:szCs w:val="24"/>
        </w:rPr>
      </w:pPr>
    </w:p>
    <w:p w14:paraId="43D08230"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ab/>
        <w:t>Conclusion and Recommendations</w:t>
      </w:r>
    </w:p>
    <w:p w14:paraId="311F35F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demonstrates that prompt injection and training data poisoning materially compromise AI-enabled financial systems while remaining partially undetected within PCI DSS–validated environments. Experimental results confirm that targeted exploit success can escalate despite modest global performance degradation, while regression findings reveal declining detection probability under integrity and third-party control failures. The quantified coverage gaps further establish that PCI DSS inadequately encodes AI-specific threat categories, particularly instruction-layer manipulation. Structural modeling shows that lifecycle-oriented preventive governance significantly reduces AI risk exposure. Collectively, the evidence indicates that compliance grounded in deterministic system assumptions is insufficient for adaptive AI-driven infrastructures. In light of these findings, targeted regulatory and operational recalibration is required.</w:t>
      </w:r>
    </w:p>
    <w:p w14:paraId="156720DA"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Security Standards Council should incorporate explicit AI lifecycle governance controls addressing data provenance, prompt handling, and adversarial robustness within PCI DSS revisions.</w:t>
      </w:r>
    </w:p>
    <w:p w14:paraId="3063FAED"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Financial institutions should implement preventive validation mechanisms across training and inference pipelines to mitigate latent compromise.</w:t>
      </w:r>
    </w:p>
    <w:p w14:paraId="069E24A0"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Regulators should mandate auditable AI integrity monitoring integrated with logging frameworks.</w:t>
      </w:r>
    </w:p>
    <w:p w14:paraId="7BEFCF62"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providers should adopt transparent AI supply chain verification protocols to reduce third-party exposure.</w:t>
      </w:r>
    </w:p>
    <w:p w14:paraId="39F3EAD2" w14:textId="77777777" w:rsidR="002134BE" w:rsidRDefault="002134BE">
      <w:pPr>
        <w:spacing w:after="240"/>
        <w:rPr>
          <w:rFonts w:ascii="Times New Roman" w:eastAsia="Times New Roman" w:hAnsi="Times New Roman" w:cs="Times New Roman"/>
          <w:sz w:val="24"/>
          <w:szCs w:val="24"/>
        </w:rPr>
      </w:pPr>
    </w:p>
    <w:p w14:paraId="5D845CD1" w14:textId="77777777" w:rsidR="002134BE" w:rsidRDefault="002B1F24">
      <w:pPr>
        <w:pBdr>
          <w:top w:val="nil"/>
          <w:left w:val="nil"/>
          <w:bottom w:val="nil"/>
          <w:right w:val="nil"/>
          <w:between w:val="nil"/>
        </w:pBdr>
        <w:spacing w:line="240" w:lineRule="auto"/>
        <w:rPr>
          <w:color w:val="000000"/>
          <w:highlight w:val="yellow"/>
        </w:rPr>
      </w:pPr>
      <w:bookmarkStart w:id="9" w:name="_heading=h.gxnf1c26jxa4" w:colFirst="0" w:colLast="0"/>
      <w:bookmarkEnd w:id="9"/>
      <w:r>
        <w:rPr>
          <w:color w:val="000000"/>
          <w:highlight w:val="yellow"/>
        </w:rPr>
        <w:t>Disclaimer (Artificial intelligence)</w:t>
      </w:r>
    </w:p>
    <w:p w14:paraId="39E9B8A9" w14:textId="77777777" w:rsidR="002134BE" w:rsidRDefault="002134BE">
      <w:pPr>
        <w:pBdr>
          <w:top w:val="nil"/>
          <w:left w:val="nil"/>
          <w:bottom w:val="nil"/>
          <w:right w:val="nil"/>
          <w:between w:val="nil"/>
        </w:pBdr>
        <w:spacing w:line="240" w:lineRule="auto"/>
        <w:rPr>
          <w:color w:val="000000"/>
          <w:highlight w:val="yellow"/>
        </w:rPr>
      </w:pPr>
    </w:p>
    <w:p w14:paraId="565DF31A" w14:textId="77777777" w:rsidR="002134BE" w:rsidRDefault="002B1F24">
      <w:pPr>
        <w:pBdr>
          <w:top w:val="nil"/>
          <w:left w:val="nil"/>
          <w:bottom w:val="nil"/>
          <w:right w:val="nil"/>
          <w:between w:val="nil"/>
        </w:pBdr>
        <w:spacing w:line="240" w:lineRule="auto"/>
        <w:rPr>
          <w:color w:val="000000"/>
          <w:highlight w:val="yellow"/>
        </w:rPr>
      </w:pPr>
      <w:r>
        <w:rPr>
          <w:color w:val="000000"/>
          <w:highlight w:val="yellow"/>
        </w:rPr>
        <w:t xml:space="preserve">Author(s) hereby </w:t>
      </w:r>
      <w:proofErr w:type="gramStart"/>
      <w:r>
        <w:rPr>
          <w:color w:val="000000"/>
          <w:highlight w:val="yellow"/>
        </w:rPr>
        <w:t>declare</w:t>
      </w:r>
      <w:proofErr w:type="gramEnd"/>
      <w:r>
        <w:rPr>
          <w:color w:val="000000"/>
          <w:highlight w:val="yellow"/>
        </w:rPr>
        <w:t xml:space="preserve"> that NO generative AI technologies such as Large Language Models (ChatGPT, COPILOT, etc.) and text-to-image generators have been used during the writing or editing of this manuscript. </w:t>
      </w:r>
    </w:p>
    <w:p w14:paraId="6D43FFC3" w14:textId="77777777" w:rsidR="002134BE" w:rsidRDefault="002134BE">
      <w:pPr>
        <w:pBdr>
          <w:top w:val="nil"/>
          <w:left w:val="nil"/>
          <w:bottom w:val="nil"/>
          <w:right w:val="nil"/>
          <w:between w:val="nil"/>
        </w:pBdr>
        <w:spacing w:line="240" w:lineRule="auto"/>
        <w:rPr>
          <w:color w:val="000000"/>
        </w:rPr>
      </w:pPr>
    </w:p>
    <w:p w14:paraId="64B7DB71" w14:textId="77777777" w:rsidR="002134BE" w:rsidRDefault="002134BE">
      <w:pPr>
        <w:spacing w:after="240"/>
        <w:rPr>
          <w:rFonts w:ascii="Times New Roman" w:eastAsia="Times New Roman" w:hAnsi="Times New Roman" w:cs="Times New Roman"/>
          <w:sz w:val="24"/>
          <w:szCs w:val="24"/>
        </w:rPr>
      </w:pPr>
      <w:bookmarkStart w:id="10" w:name="_heading=h.lyk3ofq5eui0" w:colFirst="0" w:colLast="0"/>
      <w:bookmarkEnd w:id="10"/>
    </w:p>
    <w:p w14:paraId="7C6A64C6" w14:textId="77777777" w:rsidR="002134BE" w:rsidRDefault="002134BE">
      <w:pPr>
        <w:spacing w:after="240"/>
        <w:rPr>
          <w:rFonts w:ascii="Times New Roman" w:eastAsia="Times New Roman" w:hAnsi="Times New Roman" w:cs="Times New Roman"/>
          <w:sz w:val="24"/>
          <w:szCs w:val="24"/>
        </w:rPr>
      </w:pPr>
    </w:p>
    <w:p w14:paraId="18A90142" w14:textId="77777777" w:rsidR="002134BE" w:rsidRDefault="002B1F24">
      <w:pPr>
        <w:rPr>
          <w:rFonts w:ascii="Times New Roman" w:eastAsia="Times New Roman" w:hAnsi="Times New Roman" w:cs="Times New Roman"/>
          <w:b/>
          <w:bCs/>
          <w:sz w:val="24"/>
          <w:szCs w:val="24"/>
        </w:rPr>
      </w:pPr>
      <w:r>
        <w:br w:type="page"/>
      </w:r>
    </w:p>
    <w:p w14:paraId="26A2083C" w14:textId="77777777" w:rsidR="002134BE" w:rsidRDefault="002B1F24">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3122B5A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 S., Obioha-Val, O. A., Ejiofor, V. O., Olaniyi, O. M., &amp;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 xml:space="preserve">(12), 20–41. </w:t>
      </w:r>
      <w:hyperlink r:id="rId16">
        <w:r>
          <w:rPr>
            <w:rFonts w:ascii="Times New Roman" w:eastAsia="Times New Roman" w:hAnsi="Times New Roman" w:cs="Times New Roman"/>
            <w:color w:val="0000FF"/>
            <w:sz w:val="24"/>
            <w:szCs w:val="24"/>
            <w:u w:val="single"/>
          </w:rPr>
          <w:t>https://doi.org/10.9734/ajrcos/2025/v18i12788</w:t>
        </w:r>
      </w:hyperlink>
      <w:r>
        <w:rPr>
          <w:rFonts w:ascii="Times New Roman" w:eastAsia="Times New Roman" w:hAnsi="Times New Roman" w:cs="Times New Roman"/>
          <w:sz w:val="24"/>
          <w:szCs w:val="24"/>
        </w:rPr>
        <w:t xml:space="preserve"> </w:t>
      </w:r>
    </w:p>
    <w:p w14:paraId="1BA0531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Abtahi, F., Seoane, F., Pau, I., &amp; Vega-Barbas, M. (2026). Data Poisoning Vulnerabilities Across Health Care Artificial Intelligence Architectures: Analytical Security Framework and Defense Strategies. </w:t>
      </w:r>
      <w:r>
        <w:rPr>
          <w:rFonts w:ascii="Times New Roman" w:eastAsia="Times New Roman" w:hAnsi="Times New Roman" w:cs="Times New Roman"/>
          <w:i/>
          <w:iCs/>
          <w:sz w:val="24"/>
          <w:szCs w:val="24"/>
        </w:rPr>
        <w:t>Journal of Medical Internet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 e87969–e87969. </w:t>
      </w:r>
      <w:hyperlink r:id="rId17">
        <w:r>
          <w:rPr>
            <w:rFonts w:ascii="Times New Roman" w:eastAsia="Times New Roman" w:hAnsi="Times New Roman" w:cs="Times New Roman"/>
            <w:color w:val="0000FF"/>
            <w:sz w:val="24"/>
            <w:szCs w:val="24"/>
            <w:u w:val="single"/>
          </w:rPr>
          <w:t>https://doi.org/10.2196/87969</w:t>
        </w:r>
      </w:hyperlink>
      <w:r>
        <w:rPr>
          <w:rFonts w:ascii="Times New Roman" w:eastAsia="Times New Roman" w:hAnsi="Times New Roman" w:cs="Times New Roman"/>
          <w:sz w:val="24"/>
          <w:szCs w:val="24"/>
        </w:rPr>
        <w:t xml:space="preserve"> </w:t>
      </w:r>
    </w:p>
    <w:p w14:paraId="70A0576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Adebiyi, O. O., Popoola, A. D., Adeyinka, P. D., </w:t>
      </w:r>
      <w:proofErr w:type="spellStart"/>
      <w:r>
        <w:rPr>
          <w:rFonts w:ascii="Times New Roman" w:eastAsia="Times New Roman" w:hAnsi="Times New Roman" w:cs="Times New Roman"/>
          <w:sz w:val="24"/>
          <w:szCs w:val="24"/>
        </w:rPr>
        <w:t>Arigbabu</w:t>
      </w:r>
      <w:proofErr w:type="spellEnd"/>
      <w:r>
        <w:rPr>
          <w:rFonts w:ascii="Times New Roman" w:eastAsia="Times New Roman" w:hAnsi="Times New Roman" w:cs="Times New Roman"/>
          <w:sz w:val="24"/>
          <w:szCs w:val="24"/>
        </w:rPr>
        <w:t xml:space="preserve">, A. T., &amp; </w:t>
      </w:r>
      <w:proofErr w:type="spellStart"/>
      <w:r>
        <w:rPr>
          <w:rFonts w:ascii="Times New Roman" w:eastAsia="Times New Roman" w:hAnsi="Times New Roman" w:cs="Times New Roman"/>
          <w:sz w:val="24"/>
          <w:szCs w:val="24"/>
        </w:rPr>
        <w:t>Olateju</w:t>
      </w:r>
      <w:proofErr w:type="spellEnd"/>
      <w:r>
        <w:rPr>
          <w:rFonts w:ascii="Times New Roman" w:eastAsia="Times New Roman" w:hAnsi="Times New Roman" w:cs="Times New Roman"/>
          <w:sz w:val="24"/>
          <w:szCs w:val="24"/>
        </w:rPr>
        <w:t xml:space="preserve">, O. O. (2026). Blockchain-integrated AI Systems for Enhancing Trust and Transparency in Cross-Border Finance.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271–291. </w:t>
      </w:r>
      <w:hyperlink r:id="rId18">
        <w:r>
          <w:rPr>
            <w:rFonts w:ascii="Times New Roman" w:eastAsia="Times New Roman" w:hAnsi="Times New Roman" w:cs="Times New Roman"/>
            <w:color w:val="0000FF"/>
            <w:sz w:val="24"/>
            <w:szCs w:val="24"/>
            <w:u w:val="single"/>
          </w:rPr>
          <w:t>https://doi.org/10.9734/ajrcos/2026/v19i1818</w:t>
        </w:r>
      </w:hyperlink>
      <w:r>
        <w:rPr>
          <w:rFonts w:ascii="Times New Roman" w:eastAsia="Times New Roman" w:hAnsi="Times New Roman" w:cs="Times New Roman"/>
          <w:sz w:val="24"/>
          <w:szCs w:val="24"/>
        </w:rPr>
        <w:t xml:space="preserve"> </w:t>
      </w:r>
    </w:p>
    <w:p w14:paraId="5245A6D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Shattarat</w:t>
      </w:r>
      <w:proofErr w:type="spellEnd"/>
      <w:r>
        <w:rPr>
          <w:rFonts w:ascii="Times New Roman" w:eastAsia="Times New Roman" w:hAnsi="Times New Roman" w:cs="Times New Roman"/>
          <w:sz w:val="24"/>
          <w:szCs w:val="24"/>
        </w:rPr>
        <w:t xml:space="preserve">, W., Benameur, K. B., Mostafa, M. M., Hassanein, A., &amp; Hamed, R. S. (2025). A decade of cybersecurity research in business, management, and accounting: bibliometric analyses and future research directions. </w:t>
      </w:r>
      <w:r>
        <w:rPr>
          <w:rFonts w:ascii="Times New Roman" w:eastAsia="Times New Roman" w:hAnsi="Times New Roman" w:cs="Times New Roman"/>
          <w:i/>
          <w:iCs/>
          <w:sz w:val="24"/>
          <w:szCs w:val="24"/>
        </w:rPr>
        <w:t>Cogent Business &amp;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hyperlink r:id="rId19">
        <w:r>
          <w:rPr>
            <w:rFonts w:ascii="Times New Roman" w:eastAsia="Times New Roman" w:hAnsi="Times New Roman" w:cs="Times New Roman"/>
            <w:color w:val="0000FF"/>
            <w:sz w:val="24"/>
            <w:szCs w:val="24"/>
            <w:u w:val="single"/>
          </w:rPr>
          <w:t>https://doi.org/10.1080/23311975.2025.2544230</w:t>
        </w:r>
      </w:hyperlink>
      <w:r>
        <w:rPr>
          <w:rFonts w:ascii="Times New Roman" w:eastAsia="Times New Roman" w:hAnsi="Times New Roman" w:cs="Times New Roman"/>
          <w:sz w:val="24"/>
          <w:szCs w:val="24"/>
        </w:rPr>
        <w:t xml:space="preserve"> </w:t>
      </w:r>
    </w:p>
    <w:p w14:paraId="551D73C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 D. A., Yang, Z., Alyakin, A., Yang, E., Rai, S., Valliani, A. A., Zhang, J., Rosenbaum, G. R., Amend-Thomas, A. K., Kurland, D. B., Kremer, C. M., </w:t>
      </w:r>
      <w:proofErr w:type="spellStart"/>
      <w:r>
        <w:rPr>
          <w:rFonts w:ascii="Times New Roman" w:eastAsia="Times New Roman" w:hAnsi="Times New Roman" w:cs="Times New Roman"/>
          <w:sz w:val="24"/>
          <w:szCs w:val="24"/>
        </w:rPr>
        <w:t>Eremiev</w:t>
      </w:r>
      <w:proofErr w:type="spellEnd"/>
      <w:r>
        <w:rPr>
          <w:rFonts w:ascii="Times New Roman" w:eastAsia="Times New Roman" w:hAnsi="Times New Roman" w:cs="Times New Roman"/>
          <w:sz w:val="24"/>
          <w:szCs w:val="24"/>
        </w:rPr>
        <w:t xml:space="preserve">, A., Negash, B., Wiggan, D. D., Nakatsuka, M. A., </w:t>
      </w:r>
      <w:proofErr w:type="spellStart"/>
      <w:r>
        <w:rPr>
          <w:rFonts w:ascii="Times New Roman" w:eastAsia="Times New Roman" w:hAnsi="Times New Roman" w:cs="Times New Roman"/>
          <w:sz w:val="24"/>
          <w:szCs w:val="24"/>
        </w:rPr>
        <w:t>Sangwon</w:t>
      </w:r>
      <w:proofErr w:type="spellEnd"/>
      <w:r>
        <w:rPr>
          <w:rFonts w:ascii="Times New Roman" w:eastAsia="Times New Roman" w:hAnsi="Times New Roman" w:cs="Times New Roman"/>
          <w:sz w:val="24"/>
          <w:szCs w:val="24"/>
        </w:rPr>
        <w:t xml:space="preserve">, K. L., Neifert, S. N., Khan, H. A., Save, A. V., &amp; Palla, A. (2025). Medical large language models are vulnerable to data-poisoning attacks. </w:t>
      </w:r>
      <w:r>
        <w:rPr>
          <w:rFonts w:ascii="Times New Roman" w:eastAsia="Times New Roman" w:hAnsi="Times New Roman" w:cs="Times New Roman"/>
          <w:i/>
          <w:iCs/>
          <w:sz w:val="24"/>
          <w:szCs w:val="24"/>
        </w:rPr>
        <w:t>Nature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000FF"/>
            <w:sz w:val="24"/>
            <w:szCs w:val="24"/>
            <w:u w:val="single"/>
          </w:rPr>
          <w:t>https://doi.org/10.1038/s41591-024-03445-1</w:t>
        </w:r>
      </w:hyperlink>
      <w:r>
        <w:rPr>
          <w:rFonts w:ascii="Times New Roman" w:eastAsia="Times New Roman" w:hAnsi="Times New Roman" w:cs="Times New Roman"/>
          <w:sz w:val="24"/>
          <w:szCs w:val="24"/>
        </w:rPr>
        <w:t xml:space="preserve"> </w:t>
      </w:r>
    </w:p>
    <w:p w14:paraId="65EF303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R., &amp; Moore, T. (2006). The Economics of Information Security.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314</w:t>
      </w:r>
      <w:r>
        <w:rPr>
          <w:rFonts w:ascii="Times New Roman" w:eastAsia="Times New Roman" w:hAnsi="Times New Roman" w:cs="Times New Roman"/>
          <w:sz w:val="24"/>
          <w:szCs w:val="24"/>
        </w:rPr>
        <w:t xml:space="preserve">(5799), 610–613. </w:t>
      </w:r>
      <w:hyperlink r:id="rId21">
        <w:r>
          <w:rPr>
            <w:rFonts w:ascii="Times New Roman" w:eastAsia="Times New Roman" w:hAnsi="Times New Roman" w:cs="Times New Roman"/>
            <w:color w:val="0000FF"/>
            <w:sz w:val="24"/>
            <w:szCs w:val="24"/>
            <w:u w:val="single"/>
          </w:rPr>
          <w:t>https://doi.org/10.1126/science.1130992</w:t>
        </w:r>
      </w:hyperlink>
      <w:r>
        <w:rPr>
          <w:rFonts w:ascii="Times New Roman" w:eastAsia="Times New Roman" w:hAnsi="Times New Roman" w:cs="Times New Roman"/>
          <w:sz w:val="24"/>
          <w:szCs w:val="24"/>
        </w:rPr>
        <w:t xml:space="preserve"> </w:t>
      </w:r>
    </w:p>
    <w:p w14:paraId="2419C48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Ashmore, R., Calinescu, R., &amp; Paterson, C. (2021). Assuring the Machine Learning Lifecycle.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54</w:t>
      </w:r>
      <w:r>
        <w:rPr>
          <w:rFonts w:ascii="Times New Roman" w:eastAsia="Times New Roman" w:hAnsi="Times New Roman" w:cs="Times New Roman"/>
          <w:sz w:val="24"/>
          <w:szCs w:val="24"/>
        </w:rPr>
        <w:t xml:space="preserve">(5), 1–39. </w:t>
      </w:r>
      <w:hyperlink r:id="rId22">
        <w:r>
          <w:rPr>
            <w:rFonts w:ascii="Times New Roman" w:eastAsia="Times New Roman" w:hAnsi="Times New Roman" w:cs="Times New Roman"/>
            <w:color w:val="0000FF"/>
            <w:sz w:val="24"/>
            <w:szCs w:val="24"/>
            <w:u w:val="single"/>
          </w:rPr>
          <w:t>https://doi.org/10.1145/3453444</w:t>
        </w:r>
      </w:hyperlink>
      <w:r>
        <w:rPr>
          <w:rFonts w:ascii="Times New Roman" w:eastAsia="Times New Roman" w:hAnsi="Times New Roman" w:cs="Times New Roman"/>
          <w:sz w:val="24"/>
          <w:szCs w:val="24"/>
        </w:rPr>
        <w:t xml:space="preserve"> </w:t>
      </w:r>
    </w:p>
    <w:p w14:paraId="0B94AC3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Bagdasaryan, E., Veit, A., Hua, Y., Estrin, D., &amp; Shmatikov, V. (2020, June 3). </w:t>
      </w:r>
      <w:r>
        <w:rPr>
          <w:rFonts w:ascii="Times New Roman" w:eastAsia="Times New Roman" w:hAnsi="Times New Roman" w:cs="Times New Roman"/>
          <w:i/>
          <w:iCs/>
          <w:sz w:val="24"/>
          <w:szCs w:val="24"/>
        </w:rPr>
        <w:t>How To Backdoor Federated Learning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Proceedings.mlr.press</w:t>
      </w:r>
      <w:proofErr w:type="spellEnd"/>
      <w:r>
        <w:rPr>
          <w:rFonts w:ascii="Times New Roman" w:eastAsia="Times New Roman" w:hAnsi="Times New Roman" w:cs="Times New Roman"/>
          <w:sz w:val="24"/>
          <w:szCs w:val="24"/>
        </w:rPr>
        <w:t xml:space="preserve">; PMLR. </w:t>
      </w:r>
      <w:hyperlink r:id="rId23">
        <w:r>
          <w:rPr>
            <w:rFonts w:ascii="Times New Roman" w:eastAsia="Times New Roman" w:hAnsi="Times New Roman" w:cs="Times New Roman"/>
            <w:color w:val="0000FF"/>
            <w:sz w:val="24"/>
            <w:szCs w:val="24"/>
            <w:u w:val="single"/>
          </w:rPr>
          <w:t>https://proceedings.mlr.press/v108/bagdasaryan20a.html</w:t>
        </w:r>
      </w:hyperlink>
      <w:r>
        <w:rPr>
          <w:rFonts w:ascii="Times New Roman" w:eastAsia="Times New Roman" w:hAnsi="Times New Roman" w:cs="Times New Roman"/>
          <w:sz w:val="24"/>
          <w:szCs w:val="24"/>
        </w:rPr>
        <w:t xml:space="preserve"> </w:t>
      </w:r>
    </w:p>
    <w:p w14:paraId="619F4631"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Bahoo</w:t>
      </w:r>
      <w:proofErr w:type="spellEnd"/>
      <w:r>
        <w:rPr>
          <w:rFonts w:ascii="Times New Roman" w:eastAsia="Times New Roman" w:hAnsi="Times New Roman" w:cs="Times New Roman"/>
          <w:sz w:val="24"/>
          <w:szCs w:val="24"/>
        </w:rPr>
        <w:t xml:space="preserve">, S., Cucculelli, M., Goga, X., &amp; </w:t>
      </w:r>
      <w:proofErr w:type="spellStart"/>
      <w:r>
        <w:rPr>
          <w:rFonts w:ascii="Times New Roman" w:eastAsia="Times New Roman" w:hAnsi="Times New Roman" w:cs="Times New Roman"/>
          <w:sz w:val="24"/>
          <w:szCs w:val="24"/>
        </w:rPr>
        <w:t>Mondolo</w:t>
      </w:r>
      <w:proofErr w:type="spellEnd"/>
      <w:r>
        <w:rPr>
          <w:rFonts w:ascii="Times New Roman" w:eastAsia="Times New Roman" w:hAnsi="Times New Roman" w:cs="Times New Roman"/>
          <w:sz w:val="24"/>
          <w:szCs w:val="24"/>
        </w:rPr>
        <w:t xml:space="preserve">, J. (2024). Artificial intelligence in Finance: a comprehensive review through bibliometric and content analysis. </w:t>
      </w:r>
      <w:r>
        <w:rPr>
          <w:rFonts w:ascii="Times New Roman" w:eastAsia="Times New Roman" w:hAnsi="Times New Roman" w:cs="Times New Roman"/>
          <w:i/>
          <w:iCs/>
          <w:sz w:val="24"/>
          <w:szCs w:val="24"/>
        </w:rPr>
        <w:t>Artificial Intelligence in Finance: A Comprehensive Review through Bibliometric and Content 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(2). </w:t>
      </w:r>
      <w:hyperlink r:id="rId24">
        <w:r>
          <w:rPr>
            <w:rFonts w:ascii="Times New Roman" w:eastAsia="Times New Roman" w:hAnsi="Times New Roman" w:cs="Times New Roman"/>
            <w:color w:val="0000FF"/>
            <w:sz w:val="24"/>
            <w:szCs w:val="24"/>
            <w:u w:val="single"/>
          </w:rPr>
          <w:t>https://doi.org/10.1007/s43546-023-00618-x</w:t>
        </w:r>
      </w:hyperlink>
      <w:r>
        <w:rPr>
          <w:rFonts w:ascii="Times New Roman" w:eastAsia="Times New Roman" w:hAnsi="Times New Roman" w:cs="Times New Roman"/>
          <w:sz w:val="24"/>
          <w:szCs w:val="24"/>
        </w:rPr>
        <w:t xml:space="preserve"> </w:t>
      </w:r>
    </w:p>
    <w:p w14:paraId="3654B6F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Bello, A. D., </w:t>
      </w:r>
      <w:proofErr w:type="spellStart"/>
      <w:r>
        <w:rPr>
          <w:rFonts w:ascii="Times New Roman" w:eastAsia="Times New Roman" w:hAnsi="Times New Roman" w:cs="Times New Roman"/>
          <w:sz w:val="24"/>
          <w:szCs w:val="24"/>
        </w:rPr>
        <w:t>Elebe</w:t>
      </w:r>
      <w:proofErr w:type="spellEnd"/>
      <w:r>
        <w:rPr>
          <w:rFonts w:ascii="Times New Roman" w:eastAsia="Times New Roman" w:hAnsi="Times New Roman" w:cs="Times New Roman"/>
          <w:sz w:val="24"/>
          <w:szCs w:val="24"/>
        </w:rPr>
        <w:t xml:space="preserve">, O., &amp; Hammed, M. I. (2024). A Cybersecurity Risk Management and Regulatory Compliance Framework for Financial Institutions. </w:t>
      </w:r>
      <w:r>
        <w:rPr>
          <w:rFonts w:ascii="Times New Roman" w:eastAsia="Times New Roman" w:hAnsi="Times New Roman" w:cs="Times New Roman"/>
          <w:i/>
          <w:iCs/>
          <w:sz w:val="24"/>
          <w:szCs w:val="24"/>
        </w:rPr>
        <w:t>Iconic Research and Engineering Journals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(2). </w:t>
      </w:r>
      <w:hyperlink r:id="rId25">
        <w:r>
          <w:rPr>
            <w:rFonts w:ascii="Times New Roman" w:eastAsia="Times New Roman" w:hAnsi="Times New Roman" w:cs="Times New Roman"/>
            <w:color w:val="0000FF"/>
            <w:sz w:val="24"/>
            <w:szCs w:val="24"/>
            <w:u w:val="single"/>
          </w:rPr>
          <w:t>https://doi.org/10.64388/irev8i2-1713553</w:t>
        </w:r>
      </w:hyperlink>
      <w:r>
        <w:rPr>
          <w:rFonts w:ascii="Times New Roman" w:eastAsia="Times New Roman" w:hAnsi="Times New Roman" w:cs="Times New Roman"/>
          <w:sz w:val="24"/>
          <w:szCs w:val="24"/>
        </w:rPr>
        <w:t xml:space="preserve"> </w:t>
      </w:r>
    </w:p>
    <w:p w14:paraId="6AFB200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Bender, E., McMillan-Major, A., </w:t>
      </w:r>
      <w:proofErr w:type="spellStart"/>
      <w:r>
        <w:rPr>
          <w:rFonts w:ascii="Times New Roman" w:eastAsia="Times New Roman" w:hAnsi="Times New Roman" w:cs="Times New Roman"/>
          <w:sz w:val="24"/>
          <w:szCs w:val="24"/>
        </w:rPr>
        <w:t>Shmitchell</w:t>
      </w:r>
      <w:proofErr w:type="spellEnd"/>
      <w:r>
        <w:rPr>
          <w:rFonts w:ascii="Times New Roman" w:eastAsia="Times New Roman" w:hAnsi="Times New Roman" w:cs="Times New Roman"/>
          <w:sz w:val="24"/>
          <w:szCs w:val="24"/>
        </w:rPr>
        <w:t xml:space="preserve">, S., &amp; Gebru, T. (2021). On the Dangers of Stochastic Parrots: Can Language Models Be Too Big? </w:t>
      </w:r>
      <w:proofErr w:type="spellStart"/>
      <w:r>
        <w:rPr>
          <w:rFonts w:ascii="Times New Roman" w:eastAsia="Times New Roman" w:hAnsi="Times New Roman" w:cs="Times New Roman"/>
          <w:i/>
          <w:iCs/>
          <w:sz w:val="24"/>
          <w:szCs w:val="24"/>
        </w:rPr>
        <w:t>FAccT</w:t>
      </w:r>
      <w:proofErr w:type="spellEnd"/>
      <w:r>
        <w:rPr>
          <w:rFonts w:ascii="Times New Roman" w:eastAsia="Times New Roman" w:hAnsi="Times New Roman" w:cs="Times New Roman"/>
          <w:i/>
          <w:iCs/>
          <w:sz w:val="24"/>
          <w:szCs w:val="24"/>
        </w:rPr>
        <w:t xml:space="preserve"> ’21: Proceedings of the 2021 ACM Conference on Fairness, Accountability, and Transparency</w:t>
      </w:r>
      <w:r>
        <w:rPr>
          <w:rFonts w:ascii="Times New Roman" w:eastAsia="Times New Roman" w:hAnsi="Times New Roman" w:cs="Times New Roman"/>
          <w:sz w:val="24"/>
          <w:szCs w:val="24"/>
        </w:rPr>
        <w:t xml:space="preserve">, 610–623. </w:t>
      </w:r>
      <w:hyperlink r:id="rId26">
        <w:r>
          <w:rPr>
            <w:rFonts w:ascii="Times New Roman" w:eastAsia="Times New Roman" w:hAnsi="Times New Roman" w:cs="Times New Roman"/>
            <w:color w:val="0000FF"/>
            <w:sz w:val="24"/>
            <w:szCs w:val="24"/>
            <w:u w:val="single"/>
          </w:rPr>
          <w:t>https://doi.org/10.1145/3442188.3445922</w:t>
        </w:r>
      </w:hyperlink>
      <w:r>
        <w:rPr>
          <w:rFonts w:ascii="Times New Roman" w:eastAsia="Times New Roman" w:hAnsi="Times New Roman" w:cs="Times New Roman"/>
          <w:sz w:val="24"/>
          <w:szCs w:val="24"/>
        </w:rPr>
        <w:t xml:space="preserve"> </w:t>
      </w:r>
    </w:p>
    <w:p w14:paraId="3F089CA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Bottoni, S., Zizzo, G., </w:t>
      </w:r>
      <w:proofErr w:type="spellStart"/>
      <w:r>
        <w:rPr>
          <w:rFonts w:ascii="Times New Roman" w:eastAsia="Times New Roman" w:hAnsi="Times New Roman" w:cs="Times New Roman"/>
          <w:sz w:val="24"/>
          <w:szCs w:val="24"/>
        </w:rPr>
        <w:t>Braghin</w:t>
      </w:r>
      <w:proofErr w:type="spellEnd"/>
      <w:r>
        <w:rPr>
          <w:rFonts w:ascii="Times New Roman" w:eastAsia="Times New Roman" w:hAnsi="Times New Roman" w:cs="Times New Roman"/>
          <w:sz w:val="24"/>
          <w:szCs w:val="24"/>
        </w:rPr>
        <w:t xml:space="preserve">, S., &amp; Trombetta, A. (2025). </w:t>
      </w:r>
      <w:r>
        <w:rPr>
          <w:rFonts w:ascii="Times New Roman" w:eastAsia="Times New Roman" w:hAnsi="Times New Roman" w:cs="Times New Roman"/>
          <w:i/>
          <w:iCs/>
          <w:sz w:val="24"/>
          <w:szCs w:val="24"/>
        </w:rPr>
        <w:t>Verifiability and Privacy in Federated Learning through Context-Hiding Multi-Key Homomorphic Authenticators</w:t>
      </w:r>
      <w:r>
        <w:rPr>
          <w:rFonts w:ascii="Times New Roman" w:eastAsia="Times New Roman" w:hAnsi="Times New Roman" w:cs="Times New Roman"/>
          <w:sz w:val="24"/>
          <w:szCs w:val="24"/>
        </w:rPr>
        <w:t xml:space="preserve">. ArXiv.org. </w:t>
      </w:r>
      <w:hyperlink r:id="rId27">
        <w:r>
          <w:rPr>
            <w:rFonts w:ascii="Times New Roman" w:eastAsia="Times New Roman" w:hAnsi="Times New Roman" w:cs="Times New Roman"/>
            <w:color w:val="0000FF"/>
            <w:sz w:val="24"/>
            <w:szCs w:val="24"/>
            <w:u w:val="single"/>
          </w:rPr>
          <w:t>https://arxiv.org/abs/2509.05162</w:t>
        </w:r>
      </w:hyperlink>
      <w:r>
        <w:rPr>
          <w:rFonts w:ascii="Times New Roman" w:eastAsia="Times New Roman" w:hAnsi="Times New Roman" w:cs="Times New Roman"/>
          <w:sz w:val="24"/>
          <w:szCs w:val="24"/>
        </w:rPr>
        <w:t xml:space="preserve"> </w:t>
      </w:r>
    </w:p>
    <w:p w14:paraId="486DE8DD"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Y., &amp; Zhai, J. (2022). A survey of AI in finance. </w:t>
      </w:r>
      <w:r>
        <w:rPr>
          <w:rFonts w:ascii="Times New Roman" w:eastAsia="Times New Roman" w:hAnsi="Times New Roman" w:cs="Times New Roman"/>
          <w:i/>
          <w:iCs/>
          <w:sz w:val="24"/>
          <w:szCs w:val="24"/>
        </w:rPr>
        <w:t>Journal of Chinese Economic and Business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 xml:space="preserve">(2), 125–137. </w:t>
      </w:r>
      <w:hyperlink r:id="rId28">
        <w:r>
          <w:rPr>
            <w:rFonts w:ascii="Times New Roman" w:eastAsia="Times New Roman" w:hAnsi="Times New Roman" w:cs="Times New Roman"/>
            <w:color w:val="0000FF"/>
            <w:sz w:val="24"/>
            <w:szCs w:val="24"/>
            <w:u w:val="single"/>
          </w:rPr>
          <w:t>https://doi.org/10.1080/14765284.2022.2077632</w:t>
        </w:r>
      </w:hyperlink>
      <w:r>
        <w:rPr>
          <w:rFonts w:ascii="Times New Roman" w:eastAsia="Times New Roman" w:hAnsi="Times New Roman" w:cs="Times New Roman"/>
          <w:sz w:val="24"/>
          <w:szCs w:val="24"/>
        </w:rPr>
        <w:t xml:space="preserve"> </w:t>
      </w:r>
    </w:p>
    <w:p w14:paraId="3B8B435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Carlini, N., Jagielski, M., Choquette-Choo, C. A., Paleka, D., Pearce, W., Anderson, H., Terzis, A., Thomas, K., &amp; </w:t>
      </w:r>
      <w:proofErr w:type="spellStart"/>
      <w:r>
        <w:rPr>
          <w:rFonts w:ascii="Times New Roman" w:eastAsia="Times New Roman" w:hAnsi="Times New Roman" w:cs="Times New Roman"/>
          <w:sz w:val="24"/>
          <w:szCs w:val="24"/>
        </w:rPr>
        <w:t>Tramèr</w:t>
      </w:r>
      <w:proofErr w:type="spellEnd"/>
      <w:r>
        <w:rPr>
          <w:rFonts w:ascii="Times New Roman" w:eastAsia="Times New Roman" w:hAnsi="Times New Roman" w:cs="Times New Roman"/>
          <w:sz w:val="24"/>
          <w:szCs w:val="24"/>
        </w:rPr>
        <w:t xml:space="preserve">, F. (2023). Poisoning Web-Scale Training Datasets is Practical. </w:t>
      </w:r>
      <w:r>
        <w:rPr>
          <w:rFonts w:ascii="Times New Roman" w:eastAsia="Times New Roman" w:hAnsi="Times New Roman" w:cs="Times New Roman"/>
          <w:i/>
          <w:iCs/>
          <w:sz w:val="24"/>
          <w:szCs w:val="24"/>
        </w:rPr>
        <w:t>ArXiv:2302.10149 [Cs]</w:t>
      </w: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000FF"/>
            <w:sz w:val="24"/>
            <w:szCs w:val="24"/>
            <w:u w:val="single"/>
          </w:rPr>
          <w:t>https://arxiv.org/abs/2302.10149</w:t>
        </w:r>
      </w:hyperlink>
      <w:r>
        <w:rPr>
          <w:rFonts w:ascii="Times New Roman" w:eastAsia="Times New Roman" w:hAnsi="Times New Roman" w:cs="Times New Roman"/>
          <w:sz w:val="24"/>
          <w:szCs w:val="24"/>
        </w:rPr>
        <w:t xml:space="preserve"> </w:t>
      </w:r>
    </w:p>
    <w:p w14:paraId="68A377B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Chippagiri</w:t>
      </w:r>
      <w:proofErr w:type="spellEnd"/>
      <w:r>
        <w:rPr>
          <w:rFonts w:ascii="Times New Roman" w:eastAsia="Times New Roman" w:hAnsi="Times New Roman" w:cs="Times New Roman"/>
          <w:sz w:val="24"/>
          <w:szCs w:val="24"/>
        </w:rPr>
        <w:t xml:space="preserve">, S., &amp; Ramesh, A. (2025). PCI DSS: A Critical Analysis of Implementation, Effectiveness, and Legislative Impact in Payment Card Security. </w:t>
      </w:r>
      <w:r>
        <w:rPr>
          <w:rFonts w:ascii="Times New Roman" w:eastAsia="Times New Roman" w:hAnsi="Times New Roman" w:cs="Times New Roman"/>
          <w:i/>
          <w:iCs/>
          <w:sz w:val="24"/>
          <w:szCs w:val="24"/>
        </w:rPr>
        <w:t>International Journal of Scientific Research in Computer Science, Engineering and Information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(1), 1258–1266. </w:t>
      </w:r>
      <w:hyperlink r:id="rId30">
        <w:r>
          <w:rPr>
            <w:rFonts w:ascii="Times New Roman" w:eastAsia="Times New Roman" w:hAnsi="Times New Roman" w:cs="Times New Roman"/>
            <w:color w:val="0000FF"/>
            <w:sz w:val="24"/>
            <w:szCs w:val="24"/>
            <w:u w:val="single"/>
          </w:rPr>
          <w:t>https://doi.org/10.32628/cseit251112115</w:t>
        </w:r>
      </w:hyperlink>
      <w:r>
        <w:rPr>
          <w:rFonts w:ascii="Times New Roman" w:eastAsia="Times New Roman" w:hAnsi="Times New Roman" w:cs="Times New Roman"/>
          <w:sz w:val="24"/>
          <w:szCs w:val="24"/>
        </w:rPr>
        <w:t xml:space="preserve"> </w:t>
      </w:r>
    </w:p>
    <w:p w14:paraId="62354F4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Choowan</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Daovisan</w:t>
      </w:r>
      <w:proofErr w:type="spellEnd"/>
      <w:r>
        <w:rPr>
          <w:rFonts w:ascii="Times New Roman" w:eastAsia="Times New Roman" w:hAnsi="Times New Roman" w:cs="Times New Roman"/>
          <w:sz w:val="24"/>
          <w:szCs w:val="24"/>
        </w:rPr>
        <w:t xml:space="preserve">, H. (2025). Artificial Intelligence in Data Governance for Financial Decision-Making: A Systematic Review. </w:t>
      </w:r>
      <w:r>
        <w:rPr>
          <w:rFonts w:ascii="Times New Roman" w:eastAsia="Times New Roman" w:hAnsi="Times New Roman" w:cs="Times New Roman"/>
          <w:i/>
          <w:iCs/>
          <w:sz w:val="24"/>
          <w:szCs w:val="24"/>
        </w:rPr>
        <w:t>Big Data and Cognitive Computing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(1), 8–8. </w:t>
      </w:r>
      <w:hyperlink r:id="rId31">
        <w:r>
          <w:rPr>
            <w:rFonts w:ascii="Times New Roman" w:eastAsia="Times New Roman" w:hAnsi="Times New Roman" w:cs="Times New Roman"/>
            <w:color w:val="0000FF"/>
            <w:sz w:val="24"/>
            <w:szCs w:val="24"/>
            <w:u w:val="single"/>
          </w:rPr>
          <w:t>https://doi.org/10.3390/bdcc10010008</w:t>
        </w:r>
      </w:hyperlink>
      <w:r>
        <w:rPr>
          <w:rFonts w:ascii="Times New Roman" w:eastAsia="Times New Roman" w:hAnsi="Times New Roman" w:cs="Times New Roman"/>
          <w:sz w:val="24"/>
          <w:szCs w:val="24"/>
        </w:rPr>
        <w:t xml:space="preserve"> </w:t>
      </w:r>
    </w:p>
    <w:p w14:paraId="322FF4F2"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A. E., Grosse, K., </w:t>
      </w:r>
      <w:proofErr w:type="spellStart"/>
      <w:r>
        <w:rPr>
          <w:rFonts w:ascii="Times New Roman" w:eastAsia="Times New Roman" w:hAnsi="Times New Roman" w:cs="Times New Roman"/>
          <w:sz w:val="24"/>
          <w:szCs w:val="24"/>
        </w:rPr>
        <w:t>Demontis</w:t>
      </w:r>
      <w:proofErr w:type="spellEnd"/>
      <w:r>
        <w:rPr>
          <w:rFonts w:ascii="Times New Roman" w:eastAsia="Times New Roman" w:hAnsi="Times New Roman" w:cs="Times New Roman"/>
          <w:sz w:val="24"/>
          <w:szCs w:val="24"/>
        </w:rPr>
        <w:t xml:space="preserve">, A., Vascon, S., Zellinger, W., Moser, B. A., Oprea, A., Biggio, B., </w:t>
      </w:r>
      <w:proofErr w:type="spellStart"/>
      <w:r>
        <w:rPr>
          <w:rFonts w:ascii="Times New Roman" w:eastAsia="Times New Roman" w:hAnsi="Times New Roman" w:cs="Times New Roman"/>
          <w:sz w:val="24"/>
          <w:szCs w:val="24"/>
        </w:rPr>
        <w:t>Pelillo</w:t>
      </w:r>
      <w:proofErr w:type="spellEnd"/>
      <w:r>
        <w:rPr>
          <w:rFonts w:ascii="Times New Roman" w:eastAsia="Times New Roman" w:hAnsi="Times New Roman" w:cs="Times New Roman"/>
          <w:sz w:val="24"/>
          <w:szCs w:val="24"/>
        </w:rPr>
        <w:t xml:space="preserve">, M., &amp; Roli, F. (2023). Wild Patterns Reloaded: A Survey of Machine Learning Security against Training Data Poisoning.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0000FF"/>
            <w:sz w:val="24"/>
            <w:szCs w:val="24"/>
            <w:u w:val="single"/>
          </w:rPr>
          <w:t>https://doi.org/10.1145/3585385</w:t>
        </w:r>
      </w:hyperlink>
      <w:r>
        <w:rPr>
          <w:rFonts w:ascii="Times New Roman" w:eastAsia="Times New Roman" w:hAnsi="Times New Roman" w:cs="Times New Roman"/>
          <w:sz w:val="24"/>
          <w:szCs w:val="24"/>
        </w:rPr>
        <w:t xml:space="preserve"> </w:t>
      </w:r>
    </w:p>
    <w:p w14:paraId="74D4B5B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Clusmann, J., Ferber, D., Wiest, I. C., Schneider, C. V., Brinker, T. J., </w:t>
      </w:r>
      <w:proofErr w:type="spellStart"/>
      <w:r>
        <w:rPr>
          <w:rFonts w:ascii="Times New Roman" w:eastAsia="Times New Roman" w:hAnsi="Times New Roman" w:cs="Times New Roman"/>
          <w:sz w:val="24"/>
          <w:szCs w:val="24"/>
        </w:rPr>
        <w:t>Foersch</w:t>
      </w:r>
      <w:proofErr w:type="spellEnd"/>
      <w:r>
        <w:rPr>
          <w:rFonts w:ascii="Times New Roman" w:eastAsia="Times New Roman" w:hAnsi="Times New Roman" w:cs="Times New Roman"/>
          <w:sz w:val="24"/>
          <w:szCs w:val="24"/>
        </w:rPr>
        <w:t xml:space="preserve">, S., Truhn, D., &amp; Kather, J. N. (2025). Prompt injection attacks on vision language models in oncology. </w:t>
      </w:r>
      <w:r>
        <w:rPr>
          <w:rFonts w:ascii="Times New Roman" w:eastAsia="Times New Roman" w:hAnsi="Times New Roman" w:cs="Times New Roman"/>
          <w:i/>
          <w:iCs/>
          <w:sz w:val="24"/>
          <w:szCs w:val="24"/>
        </w:rPr>
        <w:t>Nature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 </w:t>
      </w:r>
      <w:hyperlink r:id="rId33">
        <w:r>
          <w:rPr>
            <w:rFonts w:ascii="Times New Roman" w:eastAsia="Times New Roman" w:hAnsi="Times New Roman" w:cs="Times New Roman"/>
            <w:color w:val="0000FF"/>
            <w:sz w:val="24"/>
            <w:szCs w:val="24"/>
            <w:u w:val="single"/>
          </w:rPr>
          <w:t>https://doi.org/10.1038/s41467-024-55631-x</w:t>
        </w:r>
      </w:hyperlink>
      <w:r>
        <w:rPr>
          <w:rFonts w:ascii="Times New Roman" w:eastAsia="Times New Roman" w:hAnsi="Times New Roman" w:cs="Times New Roman"/>
          <w:sz w:val="24"/>
          <w:szCs w:val="24"/>
        </w:rPr>
        <w:t xml:space="preserve"> </w:t>
      </w:r>
    </w:p>
    <w:p w14:paraId="1F4B0F9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Douha, N. Y.-R., </w:t>
      </w:r>
      <w:proofErr w:type="spellStart"/>
      <w:r>
        <w:rPr>
          <w:rFonts w:ascii="Times New Roman" w:eastAsia="Times New Roman" w:hAnsi="Times New Roman" w:cs="Times New Roman"/>
          <w:sz w:val="24"/>
          <w:szCs w:val="24"/>
        </w:rPr>
        <w:t>Sasabe</w:t>
      </w:r>
      <w:proofErr w:type="spellEnd"/>
      <w:r>
        <w:rPr>
          <w:rFonts w:ascii="Times New Roman" w:eastAsia="Times New Roman" w:hAnsi="Times New Roman" w:cs="Times New Roman"/>
          <w:sz w:val="24"/>
          <w:szCs w:val="24"/>
        </w:rPr>
        <w:t xml:space="preserve">, M., Taenaka, Y., &amp; </w:t>
      </w:r>
      <w:proofErr w:type="spellStart"/>
      <w:r>
        <w:rPr>
          <w:rFonts w:ascii="Times New Roman" w:eastAsia="Times New Roman" w:hAnsi="Times New Roman" w:cs="Times New Roman"/>
          <w:sz w:val="24"/>
          <w:szCs w:val="24"/>
        </w:rPr>
        <w:t>Kadobayashi</w:t>
      </w:r>
      <w:proofErr w:type="spellEnd"/>
      <w:r>
        <w:rPr>
          <w:rFonts w:ascii="Times New Roman" w:eastAsia="Times New Roman" w:hAnsi="Times New Roman" w:cs="Times New Roman"/>
          <w:sz w:val="24"/>
          <w:szCs w:val="24"/>
        </w:rPr>
        <w:t xml:space="preserve">, Y. (2023). An Evolutionary Game Theoretic Analysis of Cybersecurity Investment Strategies for Smart-Home Users against Cyberattacks. </w:t>
      </w:r>
      <w:r>
        <w:rPr>
          <w:rFonts w:ascii="Times New Roman" w:eastAsia="Times New Roman" w:hAnsi="Times New Roman" w:cs="Times New Roman"/>
          <w:i/>
          <w:iCs/>
          <w:sz w:val="24"/>
          <w:szCs w:val="24"/>
        </w:rPr>
        <w:t>Applied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(7), 4645–4645. </w:t>
      </w:r>
      <w:hyperlink r:id="rId34">
        <w:r>
          <w:rPr>
            <w:rFonts w:ascii="Times New Roman" w:eastAsia="Times New Roman" w:hAnsi="Times New Roman" w:cs="Times New Roman"/>
            <w:color w:val="0000FF"/>
            <w:sz w:val="24"/>
            <w:szCs w:val="24"/>
            <w:u w:val="single"/>
          </w:rPr>
          <w:t>https://doi.org/10.3390/app13074645</w:t>
        </w:r>
      </w:hyperlink>
      <w:r>
        <w:rPr>
          <w:rFonts w:ascii="Times New Roman" w:eastAsia="Times New Roman" w:hAnsi="Times New Roman" w:cs="Times New Roman"/>
          <w:sz w:val="24"/>
          <w:szCs w:val="24"/>
        </w:rPr>
        <w:t xml:space="preserve"> </w:t>
      </w:r>
    </w:p>
    <w:p w14:paraId="1DA2921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Eisenberg, I. W., Gamboa, L., &amp; Sherman, E. (2025). </w:t>
      </w:r>
      <w:r>
        <w:rPr>
          <w:rFonts w:ascii="Times New Roman" w:eastAsia="Times New Roman" w:hAnsi="Times New Roman" w:cs="Times New Roman"/>
          <w:i/>
          <w:iCs/>
          <w:sz w:val="24"/>
          <w:szCs w:val="24"/>
        </w:rPr>
        <w:t>The Unified Control Framework: Establishing a Common Foundation for Enterprise AI Governance, Risk Management and Regulatory Compliance</w:t>
      </w:r>
      <w:r>
        <w:rPr>
          <w:rFonts w:ascii="Times New Roman" w:eastAsia="Times New Roman" w:hAnsi="Times New Roman" w:cs="Times New Roman"/>
          <w:sz w:val="24"/>
          <w:szCs w:val="24"/>
        </w:rPr>
        <w:t xml:space="preserve">. ArXiv.org. </w:t>
      </w:r>
      <w:hyperlink r:id="rId35">
        <w:r>
          <w:rPr>
            <w:rFonts w:ascii="Times New Roman" w:eastAsia="Times New Roman" w:hAnsi="Times New Roman" w:cs="Times New Roman"/>
            <w:color w:val="0000FF"/>
            <w:sz w:val="24"/>
            <w:szCs w:val="24"/>
            <w:u w:val="single"/>
          </w:rPr>
          <w:t>https://arxiv.org/abs/2503.05937</w:t>
        </w:r>
      </w:hyperlink>
      <w:r>
        <w:rPr>
          <w:rFonts w:ascii="Times New Roman" w:eastAsia="Times New Roman" w:hAnsi="Times New Roman" w:cs="Times New Roman"/>
          <w:sz w:val="24"/>
          <w:szCs w:val="24"/>
        </w:rPr>
        <w:t xml:space="preserve"> </w:t>
      </w:r>
    </w:p>
    <w:p w14:paraId="00CB3B99"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M. A., Tihanyi, N., Hamouda, D., Maglaras, L., Lakas, A., &amp; Debbah, M. (2025). From prompt injections to protocol exploits: Threats in LLM-powered AI </w:t>
      </w:r>
      <w:proofErr w:type="gramStart"/>
      <w:r>
        <w:rPr>
          <w:rFonts w:ascii="Times New Roman" w:eastAsia="Times New Roman" w:hAnsi="Times New Roman" w:cs="Times New Roman"/>
          <w:sz w:val="24"/>
          <w:szCs w:val="24"/>
        </w:rPr>
        <w:t>agents</w:t>
      </w:r>
      <w:proofErr w:type="gramEnd"/>
      <w:r>
        <w:rPr>
          <w:rFonts w:ascii="Times New Roman" w:eastAsia="Times New Roman" w:hAnsi="Times New Roman" w:cs="Times New Roman"/>
          <w:sz w:val="24"/>
          <w:szCs w:val="24"/>
        </w:rPr>
        <w:t xml:space="preserve"> workflows. </w:t>
      </w:r>
      <w:r>
        <w:rPr>
          <w:rFonts w:ascii="Times New Roman" w:eastAsia="Times New Roman" w:hAnsi="Times New Roman" w:cs="Times New Roman"/>
          <w:i/>
          <w:iCs/>
          <w:sz w:val="24"/>
          <w:szCs w:val="24"/>
        </w:rPr>
        <w:t>ICT Express</w:t>
      </w:r>
      <w:r>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color w:val="0000FF"/>
            <w:sz w:val="24"/>
            <w:szCs w:val="24"/>
            <w:u w:val="single"/>
          </w:rPr>
          <w:t>https://doi.org/10.1016/j.icte.2025.12.001</w:t>
        </w:r>
      </w:hyperlink>
      <w:r>
        <w:rPr>
          <w:rFonts w:ascii="Times New Roman" w:eastAsia="Times New Roman" w:hAnsi="Times New Roman" w:cs="Times New Roman"/>
          <w:sz w:val="24"/>
          <w:szCs w:val="24"/>
        </w:rPr>
        <w:t xml:space="preserve"> </w:t>
      </w:r>
    </w:p>
    <w:p w14:paraId="0FBA1BC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Stability Board. (2024). </w:t>
      </w:r>
      <w:r>
        <w:rPr>
          <w:rFonts w:ascii="Times New Roman" w:eastAsia="Times New Roman" w:hAnsi="Times New Roman" w:cs="Times New Roman"/>
          <w:i/>
          <w:iCs/>
          <w:sz w:val="24"/>
          <w:szCs w:val="24"/>
        </w:rPr>
        <w:t>The Financial Stability Implications of Artificial Intelligence</w:t>
      </w:r>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color w:val="0000FF"/>
            <w:sz w:val="24"/>
            <w:szCs w:val="24"/>
            <w:u w:val="single"/>
          </w:rPr>
          <w:t>https://www.fsb.org/uploads/P14112024.pdf</w:t>
        </w:r>
      </w:hyperlink>
      <w:r>
        <w:rPr>
          <w:rFonts w:ascii="Times New Roman" w:eastAsia="Times New Roman" w:hAnsi="Times New Roman" w:cs="Times New Roman"/>
          <w:sz w:val="24"/>
          <w:szCs w:val="24"/>
        </w:rPr>
        <w:t xml:space="preserve"> </w:t>
      </w:r>
    </w:p>
    <w:p w14:paraId="71C74CF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L., Li, J., Zhang, T., Li, X., Meng, Y., Wu, F., Guo, S., &amp; Fan, C. (2022). Triggerless Backdoor Attack for NLP Tasks with Clean Labels. </w:t>
      </w:r>
      <w:r>
        <w:rPr>
          <w:rFonts w:ascii="Times New Roman" w:eastAsia="Times New Roman" w:hAnsi="Times New Roman" w:cs="Times New Roman"/>
          <w:i/>
          <w:iCs/>
          <w:sz w:val="24"/>
          <w:szCs w:val="24"/>
        </w:rPr>
        <w:t>Proceedings of the 2022 Conference of the North American Chapter of the Association for Computational Linguistics: Human Language Technologies</w:t>
      </w: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0000FF"/>
            <w:sz w:val="24"/>
            <w:szCs w:val="24"/>
            <w:u w:val="single"/>
          </w:rPr>
          <w:t>https://doi.org/10.18653/v1/2022.naacl-main.214</w:t>
        </w:r>
      </w:hyperlink>
      <w:r>
        <w:rPr>
          <w:rFonts w:ascii="Times New Roman" w:eastAsia="Times New Roman" w:hAnsi="Times New Roman" w:cs="Times New Roman"/>
          <w:sz w:val="24"/>
          <w:szCs w:val="24"/>
        </w:rPr>
        <w:t xml:space="preserve"> </w:t>
      </w:r>
    </w:p>
    <w:p w14:paraId="05DFCE1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Geng, T., Xu, Z., Qu, Y., &amp; Wong, W. E. (2025). Prompt Injection Attacks on Large Language Models: A Survey of Attack Methods, Root Causes, and Defense Strategies. </w:t>
      </w:r>
      <w:r>
        <w:rPr>
          <w:rFonts w:ascii="Times New Roman" w:eastAsia="Times New Roman" w:hAnsi="Times New Roman" w:cs="Times New Roman"/>
          <w:i/>
          <w:iCs/>
          <w:sz w:val="24"/>
          <w:szCs w:val="24"/>
        </w:rPr>
        <w:t>Computers, Materials &amp; Continua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w:t>
      </w:r>
      <w:r>
        <w:rPr>
          <w:rFonts w:ascii="Times New Roman" w:eastAsia="Times New Roman" w:hAnsi="Times New Roman" w:cs="Times New Roman"/>
          <w:sz w:val="24"/>
          <w:szCs w:val="24"/>
        </w:rPr>
        <w:t xml:space="preserve">(0), 1–10. </w:t>
      </w:r>
      <w:hyperlink r:id="rId39">
        <w:r>
          <w:rPr>
            <w:rFonts w:ascii="Times New Roman" w:eastAsia="Times New Roman" w:hAnsi="Times New Roman" w:cs="Times New Roman"/>
            <w:color w:val="0000FF"/>
            <w:sz w:val="24"/>
            <w:szCs w:val="24"/>
            <w:u w:val="single"/>
          </w:rPr>
          <w:t>https://doi.org/10.32604/cmc.2025.074081</w:t>
        </w:r>
      </w:hyperlink>
      <w:r>
        <w:rPr>
          <w:rFonts w:ascii="Times New Roman" w:eastAsia="Times New Roman" w:hAnsi="Times New Roman" w:cs="Times New Roman"/>
          <w:sz w:val="24"/>
          <w:szCs w:val="24"/>
        </w:rPr>
        <w:t xml:space="preserve"> </w:t>
      </w:r>
    </w:p>
    <w:p w14:paraId="75F25FC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Ghosh Dastidar, K., Caelen, O., &amp; </w:t>
      </w:r>
      <w:proofErr w:type="spellStart"/>
      <w:r>
        <w:rPr>
          <w:rFonts w:ascii="Times New Roman" w:eastAsia="Times New Roman" w:hAnsi="Times New Roman" w:cs="Times New Roman"/>
          <w:sz w:val="24"/>
          <w:szCs w:val="24"/>
        </w:rPr>
        <w:t>Granitzer</w:t>
      </w:r>
      <w:proofErr w:type="spellEnd"/>
      <w:r>
        <w:rPr>
          <w:rFonts w:ascii="Times New Roman" w:eastAsia="Times New Roman" w:hAnsi="Times New Roman" w:cs="Times New Roman"/>
          <w:sz w:val="24"/>
          <w:szCs w:val="24"/>
        </w:rPr>
        <w:t xml:space="preserve">, M. (2024). Machine Learning Methods for Credit Card Fraud Detection: A Survey.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 1–1. </w:t>
      </w:r>
      <w:hyperlink r:id="rId40">
        <w:r>
          <w:rPr>
            <w:rFonts w:ascii="Times New Roman" w:eastAsia="Times New Roman" w:hAnsi="Times New Roman" w:cs="Times New Roman"/>
            <w:color w:val="0000FF"/>
            <w:sz w:val="24"/>
            <w:szCs w:val="24"/>
            <w:u w:val="single"/>
          </w:rPr>
          <w:t>https://doi.org/10.1109/access.2024.3487298</w:t>
        </w:r>
      </w:hyperlink>
      <w:r>
        <w:rPr>
          <w:rFonts w:ascii="Times New Roman" w:eastAsia="Times New Roman" w:hAnsi="Times New Roman" w:cs="Times New Roman"/>
          <w:sz w:val="24"/>
          <w:szCs w:val="24"/>
        </w:rPr>
        <w:t xml:space="preserve"> </w:t>
      </w:r>
    </w:p>
    <w:p w14:paraId="6E517F8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Giulio, B., Marie, B., Claudia, G., Carsten, M., &amp; Alpay, S. (2025). </w:t>
      </w:r>
      <w:r>
        <w:rPr>
          <w:rFonts w:ascii="Times New Roman" w:eastAsia="Times New Roman" w:hAnsi="Times New Roman" w:cs="Times New Roman"/>
          <w:i/>
          <w:iCs/>
          <w:sz w:val="24"/>
          <w:szCs w:val="24"/>
        </w:rPr>
        <w:t>LEVERAGING LARGE LANGUAGE MODELS IN FINANCE: Pathways to Responsible Adoption</w:t>
      </w:r>
      <w:r>
        <w:rPr>
          <w:rFonts w:ascii="Times New Roman" w:eastAsia="Times New Roman" w:hAnsi="Times New Roman" w:cs="Times New Roman"/>
          <w:sz w:val="24"/>
          <w:szCs w:val="24"/>
        </w:rPr>
        <w:t xml:space="preserve">. </w:t>
      </w:r>
      <w:hyperlink r:id="rId41">
        <w:r>
          <w:rPr>
            <w:rFonts w:ascii="Times New Roman" w:eastAsia="Times New Roman" w:hAnsi="Times New Roman" w:cs="Times New Roman"/>
            <w:color w:val="0000FF"/>
            <w:sz w:val="24"/>
            <w:szCs w:val="24"/>
            <w:u w:val="single"/>
          </w:rPr>
          <w:t>https://www.esma.europa.eu/sites/default/files/2025-06/LLMs_in_finance_-_ILB_ESMA_Turing_Report.pdf</w:t>
        </w:r>
      </w:hyperlink>
      <w:r>
        <w:rPr>
          <w:rFonts w:ascii="Times New Roman" w:eastAsia="Times New Roman" w:hAnsi="Times New Roman" w:cs="Times New Roman"/>
          <w:sz w:val="24"/>
          <w:szCs w:val="24"/>
        </w:rPr>
        <w:t xml:space="preserve"> </w:t>
      </w:r>
    </w:p>
    <w:p w14:paraId="4796524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Goldblum, M., Tsipras, D., Xie, C., Chen, X., Schwarzschild, A., Song, D., Madry, A., Li, B., &amp; Goldstein, T. (2022). Dataset Security for Machine Learning: Data Poisoning, Backdoor Attacks, and Defenses. </w:t>
      </w:r>
      <w:r>
        <w:rPr>
          <w:rFonts w:ascii="Times New Roman" w:eastAsia="Times New Roman" w:hAnsi="Times New Roman" w:cs="Times New Roman"/>
          <w:i/>
          <w:iCs/>
          <w:sz w:val="24"/>
          <w:szCs w:val="24"/>
        </w:rPr>
        <w:t>IEEE Transactions on Pattern Analysis and Machine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45</w:t>
      </w:r>
      <w:r>
        <w:rPr>
          <w:rFonts w:ascii="Times New Roman" w:eastAsia="Times New Roman" w:hAnsi="Times New Roman" w:cs="Times New Roman"/>
          <w:sz w:val="24"/>
          <w:szCs w:val="24"/>
        </w:rPr>
        <w:t xml:space="preserve">(2), 1–1. </w:t>
      </w:r>
      <w:hyperlink r:id="rId42">
        <w:r>
          <w:rPr>
            <w:rFonts w:ascii="Times New Roman" w:eastAsia="Times New Roman" w:hAnsi="Times New Roman" w:cs="Times New Roman"/>
            <w:color w:val="0000FF"/>
            <w:sz w:val="24"/>
            <w:szCs w:val="24"/>
            <w:u w:val="single"/>
          </w:rPr>
          <w:t>https://doi.org/10.1109/tpami.2022.3162397</w:t>
        </w:r>
      </w:hyperlink>
      <w:r>
        <w:rPr>
          <w:rFonts w:ascii="Times New Roman" w:eastAsia="Times New Roman" w:hAnsi="Times New Roman" w:cs="Times New Roman"/>
          <w:sz w:val="24"/>
          <w:szCs w:val="24"/>
        </w:rPr>
        <w:t xml:space="preserve"> </w:t>
      </w:r>
    </w:p>
    <w:p w14:paraId="6CDE7D5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Goodspeed, L. (2022). </w:t>
      </w:r>
      <w:r>
        <w:rPr>
          <w:rFonts w:ascii="Times New Roman" w:eastAsia="Times New Roman" w:hAnsi="Times New Roman" w:cs="Times New Roman"/>
          <w:i/>
          <w:iCs/>
          <w:sz w:val="24"/>
          <w:szCs w:val="24"/>
        </w:rPr>
        <w:t>PCI DSS v4.x Resource Hub</w:t>
      </w:r>
      <w:r>
        <w:rPr>
          <w:rFonts w:ascii="Times New Roman" w:eastAsia="Times New Roman" w:hAnsi="Times New Roman" w:cs="Times New Roman"/>
          <w:sz w:val="24"/>
          <w:szCs w:val="24"/>
        </w:rPr>
        <w:t xml:space="preserve">. Pcisecuritystandards.org. </w:t>
      </w:r>
      <w:hyperlink r:id="rId43">
        <w:r>
          <w:rPr>
            <w:rFonts w:ascii="Times New Roman" w:eastAsia="Times New Roman" w:hAnsi="Times New Roman" w:cs="Times New Roman"/>
            <w:color w:val="0000FF"/>
            <w:sz w:val="24"/>
            <w:szCs w:val="24"/>
            <w:u w:val="single"/>
          </w:rPr>
          <w:t>https://blog.pcisecuritystandards.org/pci-dss-v4-0-resource-hub?utm_</w:t>
        </w:r>
      </w:hyperlink>
      <w:r>
        <w:rPr>
          <w:rFonts w:ascii="Times New Roman" w:eastAsia="Times New Roman" w:hAnsi="Times New Roman" w:cs="Times New Roman"/>
          <w:sz w:val="24"/>
          <w:szCs w:val="24"/>
        </w:rPr>
        <w:t xml:space="preserve"> </w:t>
      </w:r>
    </w:p>
    <w:p w14:paraId="2E7AC0B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Gulyamov, S.,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S., Rodionov, A., Khursanov, R., </w:t>
      </w:r>
      <w:proofErr w:type="spellStart"/>
      <w:r>
        <w:rPr>
          <w:rFonts w:ascii="Times New Roman" w:eastAsia="Times New Roman" w:hAnsi="Times New Roman" w:cs="Times New Roman"/>
          <w:sz w:val="24"/>
          <w:szCs w:val="24"/>
        </w:rPr>
        <w:t>Mekhmonov</w:t>
      </w:r>
      <w:proofErr w:type="spellEnd"/>
      <w:r>
        <w:rPr>
          <w:rFonts w:ascii="Times New Roman" w:eastAsia="Times New Roman" w:hAnsi="Times New Roman" w:cs="Times New Roman"/>
          <w:sz w:val="24"/>
          <w:szCs w:val="24"/>
        </w:rPr>
        <w:t xml:space="preserve">, K., Babaev, D., &amp; </w:t>
      </w:r>
      <w:proofErr w:type="spellStart"/>
      <w:r>
        <w:rPr>
          <w:rFonts w:ascii="Times New Roman" w:eastAsia="Times New Roman" w:hAnsi="Times New Roman" w:cs="Times New Roman"/>
          <w:sz w:val="24"/>
          <w:szCs w:val="24"/>
        </w:rPr>
        <w:t>Rakhimjonov</w:t>
      </w:r>
      <w:proofErr w:type="spellEnd"/>
      <w:r>
        <w:rPr>
          <w:rFonts w:ascii="Times New Roman" w:eastAsia="Times New Roman" w:hAnsi="Times New Roman" w:cs="Times New Roman"/>
          <w:sz w:val="24"/>
          <w:szCs w:val="24"/>
        </w:rPr>
        <w:t xml:space="preserve">, A. (2026). Prompt Injection Attacks in Large Language Models and AI Agent Systems: A Comprehensive Review of Vulnerabilities, Attack Vectors, and Defense Mechanisms.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(1), 54. </w:t>
      </w:r>
      <w:hyperlink r:id="rId44">
        <w:r>
          <w:rPr>
            <w:rFonts w:ascii="Times New Roman" w:eastAsia="Times New Roman" w:hAnsi="Times New Roman" w:cs="Times New Roman"/>
            <w:color w:val="0000FF"/>
            <w:sz w:val="24"/>
            <w:szCs w:val="24"/>
            <w:u w:val="single"/>
          </w:rPr>
          <w:t>https://doi.org/10.3390/info17010054</w:t>
        </w:r>
      </w:hyperlink>
      <w:r>
        <w:rPr>
          <w:rFonts w:ascii="Times New Roman" w:eastAsia="Times New Roman" w:hAnsi="Times New Roman" w:cs="Times New Roman"/>
          <w:sz w:val="24"/>
          <w:szCs w:val="24"/>
        </w:rPr>
        <w:t xml:space="preserve"> </w:t>
      </w:r>
    </w:p>
    <w:p w14:paraId="363F946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Hartle, F., Mancini, S., &amp; Kerry, E. (2025). Issues in Information Systems Data poisoning 2018-2025: A systematic review of risks, impacts, and mitigation challenges. </w:t>
      </w:r>
      <w:r>
        <w:rPr>
          <w:rFonts w:ascii="Times New Roman" w:eastAsia="Times New Roman" w:hAnsi="Times New Roman" w:cs="Times New Roman"/>
          <w:i/>
          <w:iCs/>
          <w:sz w:val="24"/>
          <w:szCs w:val="24"/>
        </w:rPr>
        <w:t>Issues in Information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 xml:space="preserve">(4), 433–442. </w:t>
      </w:r>
      <w:hyperlink r:id="rId45">
        <w:r>
          <w:rPr>
            <w:rFonts w:ascii="Times New Roman" w:eastAsia="Times New Roman" w:hAnsi="Times New Roman" w:cs="Times New Roman"/>
            <w:color w:val="0000FF"/>
            <w:sz w:val="24"/>
            <w:szCs w:val="24"/>
            <w:u w:val="single"/>
          </w:rPr>
          <w:t>https://doi.org/10.48009/4_iis_2025_135</w:t>
        </w:r>
      </w:hyperlink>
      <w:r>
        <w:rPr>
          <w:rFonts w:ascii="Times New Roman" w:eastAsia="Times New Roman" w:hAnsi="Times New Roman" w:cs="Times New Roman"/>
          <w:sz w:val="24"/>
          <w:szCs w:val="24"/>
        </w:rPr>
        <w:t xml:space="preserve"> </w:t>
      </w:r>
    </w:p>
    <w:p w14:paraId="402E0E0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Z., Davila, D., Bi, S., Wang, T., &amp; Hou, T. (2025). Machine Learning for Cybersecurity: A Survey of Applications, Adversarial Challenges, and Future Research Directions. </w:t>
      </w:r>
      <w:r>
        <w:rPr>
          <w:rFonts w:ascii="Times New Roman" w:eastAsia="Times New Roman" w:hAnsi="Times New Roman" w:cs="Times New Roman"/>
          <w:i/>
          <w:iCs/>
          <w:sz w:val="24"/>
          <w:szCs w:val="24"/>
        </w:rPr>
        <w:t>Electronics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xml:space="preserve">(23), 4563. </w:t>
      </w:r>
      <w:hyperlink r:id="rId46">
        <w:r>
          <w:rPr>
            <w:rFonts w:ascii="Times New Roman" w:eastAsia="Times New Roman" w:hAnsi="Times New Roman" w:cs="Times New Roman"/>
            <w:color w:val="0000FF"/>
            <w:sz w:val="24"/>
            <w:szCs w:val="24"/>
            <w:u w:val="single"/>
          </w:rPr>
          <w:t>https://doi.org/10.3390/electronics14234563</w:t>
        </w:r>
      </w:hyperlink>
      <w:r>
        <w:rPr>
          <w:rFonts w:ascii="Times New Roman" w:eastAsia="Times New Roman" w:hAnsi="Times New Roman" w:cs="Times New Roman"/>
          <w:sz w:val="24"/>
          <w:szCs w:val="24"/>
        </w:rPr>
        <w:t xml:space="preserve"> </w:t>
      </w:r>
    </w:p>
    <w:p w14:paraId="41DD537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Jagielski, M., Severi, G., Harger, N. P., &amp; Oprea, A. (2021). </w:t>
      </w:r>
      <w:r>
        <w:rPr>
          <w:rFonts w:ascii="Times New Roman" w:eastAsia="Times New Roman" w:hAnsi="Times New Roman" w:cs="Times New Roman"/>
          <w:i/>
          <w:iCs/>
          <w:sz w:val="24"/>
          <w:szCs w:val="24"/>
        </w:rPr>
        <w:t>Subpopulation Data Poisoning Attacks</w:t>
      </w:r>
      <w:r>
        <w:rPr>
          <w:rFonts w:ascii="Times New Roman" w:eastAsia="Times New Roman" w:hAnsi="Times New Roman" w:cs="Times New Roman"/>
          <w:sz w:val="24"/>
          <w:szCs w:val="24"/>
        </w:rPr>
        <w:t xml:space="preserve">. ArXiv.org. </w:t>
      </w:r>
      <w:hyperlink r:id="rId47">
        <w:r>
          <w:rPr>
            <w:rFonts w:ascii="Times New Roman" w:eastAsia="Times New Roman" w:hAnsi="Times New Roman" w:cs="Times New Roman"/>
            <w:color w:val="0000FF"/>
            <w:sz w:val="24"/>
            <w:szCs w:val="24"/>
            <w:u w:val="single"/>
          </w:rPr>
          <w:t>https://arxiv.org/abs/2006.14026v3</w:t>
        </w:r>
      </w:hyperlink>
      <w:r>
        <w:rPr>
          <w:rFonts w:ascii="Times New Roman" w:eastAsia="Times New Roman" w:hAnsi="Times New Roman" w:cs="Times New Roman"/>
          <w:sz w:val="24"/>
          <w:szCs w:val="24"/>
        </w:rPr>
        <w:t xml:space="preserve"> </w:t>
      </w:r>
    </w:p>
    <w:p w14:paraId="62D736F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Kairouz, P., &amp; McMahan, H. B. (2021). Advances and Open Problems in Federated Learning. </w:t>
      </w:r>
      <w:r>
        <w:rPr>
          <w:rFonts w:ascii="Times New Roman" w:eastAsia="Times New Roman" w:hAnsi="Times New Roman" w:cs="Times New Roman"/>
          <w:i/>
          <w:iCs/>
          <w:sz w:val="24"/>
          <w:szCs w:val="24"/>
        </w:rPr>
        <w:t>Foundations and Trends® in Machine Learning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xml:space="preserve">(1). </w:t>
      </w:r>
      <w:hyperlink r:id="rId48">
        <w:r>
          <w:rPr>
            <w:rFonts w:ascii="Times New Roman" w:eastAsia="Times New Roman" w:hAnsi="Times New Roman" w:cs="Times New Roman"/>
            <w:color w:val="0000FF"/>
            <w:sz w:val="24"/>
            <w:szCs w:val="24"/>
            <w:u w:val="single"/>
          </w:rPr>
          <w:t>https://doi.org/10.1561/2200000083</w:t>
        </w:r>
      </w:hyperlink>
      <w:r>
        <w:rPr>
          <w:rFonts w:ascii="Times New Roman" w:eastAsia="Times New Roman" w:hAnsi="Times New Roman" w:cs="Times New Roman"/>
          <w:sz w:val="24"/>
          <w:szCs w:val="24"/>
        </w:rPr>
        <w:t xml:space="preserve"> </w:t>
      </w:r>
    </w:p>
    <w:p w14:paraId="7565B4C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Karras, A., Theodorakopoulos, L., Karras, C., Theodoropoulou, A., </w:t>
      </w:r>
      <w:proofErr w:type="spellStart"/>
      <w:r>
        <w:rPr>
          <w:rFonts w:ascii="Times New Roman" w:eastAsia="Times New Roman" w:hAnsi="Times New Roman" w:cs="Times New Roman"/>
          <w:sz w:val="24"/>
          <w:szCs w:val="24"/>
        </w:rPr>
        <w:t>Kalliampakou</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Kalogeratos</w:t>
      </w:r>
      <w:proofErr w:type="spellEnd"/>
      <w:r>
        <w:rPr>
          <w:rFonts w:ascii="Times New Roman" w:eastAsia="Times New Roman" w:hAnsi="Times New Roman" w:cs="Times New Roman"/>
          <w:sz w:val="24"/>
          <w:szCs w:val="24"/>
        </w:rPr>
        <w:t xml:space="preserve">, G. (2025). LLMs for Cybersecurity in the Big Data Era: A Comprehensive Review of Applications, Challenges, and Future Directions.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(11), 957–957. </w:t>
      </w:r>
      <w:hyperlink r:id="rId49">
        <w:r>
          <w:rPr>
            <w:rFonts w:ascii="Times New Roman" w:eastAsia="Times New Roman" w:hAnsi="Times New Roman" w:cs="Times New Roman"/>
            <w:color w:val="0000FF"/>
            <w:sz w:val="24"/>
            <w:szCs w:val="24"/>
            <w:u w:val="single"/>
          </w:rPr>
          <w:t>https://doi.org/10.3390/info16110957</w:t>
        </w:r>
      </w:hyperlink>
      <w:r>
        <w:rPr>
          <w:rFonts w:ascii="Times New Roman" w:eastAsia="Times New Roman" w:hAnsi="Times New Roman" w:cs="Times New Roman"/>
          <w:sz w:val="24"/>
          <w:szCs w:val="24"/>
        </w:rPr>
        <w:t xml:space="preserve"> </w:t>
      </w:r>
    </w:p>
    <w:p w14:paraId="59D4C521"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E. (2022). Data Privacy Considerations for Central Bank Digital Currencies in Asia–Pacific Countries. </w:t>
      </w:r>
      <w:r>
        <w:rPr>
          <w:rFonts w:ascii="Times New Roman" w:eastAsia="Times New Roman" w:hAnsi="Times New Roman" w:cs="Times New Roman"/>
          <w:i/>
          <w:iCs/>
          <w:sz w:val="24"/>
          <w:szCs w:val="24"/>
        </w:rPr>
        <w:t>Computer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(3), 95–100. </w:t>
      </w:r>
      <w:hyperlink r:id="rId50">
        <w:r>
          <w:rPr>
            <w:rFonts w:ascii="Times New Roman" w:eastAsia="Times New Roman" w:hAnsi="Times New Roman" w:cs="Times New Roman"/>
            <w:color w:val="0000FF"/>
            <w:sz w:val="24"/>
            <w:szCs w:val="24"/>
            <w:u w:val="single"/>
          </w:rPr>
          <w:t>https://doi.org/10.1109/mc.2022.3141228</w:t>
        </w:r>
      </w:hyperlink>
      <w:r>
        <w:rPr>
          <w:rFonts w:ascii="Times New Roman" w:eastAsia="Times New Roman" w:hAnsi="Times New Roman" w:cs="Times New Roman"/>
          <w:sz w:val="24"/>
          <w:szCs w:val="24"/>
        </w:rPr>
        <w:t xml:space="preserve"> </w:t>
      </w:r>
    </w:p>
    <w:p w14:paraId="529B5BA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(2025). Distributed computing technologies: Transforming the modern fintech landscape. </w:t>
      </w:r>
      <w:r>
        <w:rPr>
          <w:rFonts w:ascii="Times New Roman" w:eastAsia="Times New Roman" w:hAnsi="Times New Roman" w:cs="Times New Roman"/>
          <w:i/>
          <w:iCs/>
          <w:sz w:val="24"/>
          <w:szCs w:val="24"/>
        </w:rPr>
        <w:t>World Journal of Advanced Engineering Technology and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(2), 996–1004. </w:t>
      </w:r>
      <w:hyperlink r:id="rId51">
        <w:r>
          <w:rPr>
            <w:rFonts w:ascii="Times New Roman" w:eastAsia="Times New Roman" w:hAnsi="Times New Roman" w:cs="Times New Roman"/>
            <w:color w:val="0000FF"/>
            <w:sz w:val="24"/>
            <w:szCs w:val="24"/>
            <w:u w:val="single"/>
          </w:rPr>
          <w:t>https://doi.org/10.30574/wjaets.2025.15.2.0660</w:t>
        </w:r>
      </w:hyperlink>
      <w:r>
        <w:rPr>
          <w:rFonts w:ascii="Times New Roman" w:eastAsia="Times New Roman" w:hAnsi="Times New Roman" w:cs="Times New Roman"/>
          <w:sz w:val="24"/>
          <w:szCs w:val="24"/>
        </w:rPr>
        <w:t xml:space="preserve"> </w:t>
      </w:r>
    </w:p>
    <w:p w14:paraId="2D1704C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Kure, H. I., Sarkar, P., </w:t>
      </w:r>
      <w:proofErr w:type="spellStart"/>
      <w:r>
        <w:rPr>
          <w:rFonts w:ascii="Times New Roman" w:eastAsia="Times New Roman" w:hAnsi="Times New Roman" w:cs="Times New Roman"/>
          <w:sz w:val="24"/>
          <w:szCs w:val="24"/>
        </w:rPr>
        <w:t>Ndanusa</w:t>
      </w:r>
      <w:proofErr w:type="spellEnd"/>
      <w:r>
        <w:rPr>
          <w:rFonts w:ascii="Times New Roman" w:eastAsia="Times New Roman" w:hAnsi="Times New Roman" w:cs="Times New Roman"/>
          <w:sz w:val="24"/>
          <w:szCs w:val="24"/>
        </w:rPr>
        <w:t xml:space="preserve">, A. B., &amp; </w:t>
      </w:r>
      <w:proofErr w:type="spellStart"/>
      <w:r>
        <w:rPr>
          <w:rFonts w:ascii="Times New Roman" w:eastAsia="Times New Roman" w:hAnsi="Times New Roman" w:cs="Times New Roman"/>
          <w:sz w:val="24"/>
          <w:szCs w:val="24"/>
        </w:rPr>
        <w:t>Nwajana</w:t>
      </w:r>
      <w:proofErr w:type="spellEnd"/>
      <w:r>
        <w:rPr>
          <w:rFonts w:ascii="Times New Roman" w:eastAsia="Times New Roman" w:hAnsi="Times New Roman" w:cs="Times New Roman"/>
          <w:sz w:val="24"/>
          <w:szCs w:val="24"/>
        </w:rPr>
        <w:t xml:space="preserve">, A. O. (2025, March 12). </w:t>
      </w:r>
      <w:r>
        <w:rPr>
          <w:rFonts w:ascii="Times New Roman" w:eastAsia="Times New Roman" w:hAnsi="Times New Roman" w:cs="Times New Roman"/>
          <w:i/>
          <w:iCs/>
          <w:sz w:val="24"/>
          <w:szCs w:val="24"/>
        </w:rPr>
        <w:t>Detecting and Preventing Data Poisoning Attacks on AI Models</w:t>
      </w:r>
      <w:r>
        <w:rPr>
          <w:rFonts w:ascii="Times New Roman" w:eastAsia="Times New Roman" w:hAnsi="Times New Roman" w:cs="Times New Roman"/>
          <w:sz w:val="24"/>
          <w:szCs w:val="24"/>
        </w:rPr>
        <w:t xml:space="preserve">. Computer Science &gt; Cryptography and Security. </w:t>
      </w:r>
      <w:hyperlink r:id="rId52">
        <w:r>
          <w:rPr>
            <w:rFonts w:ascii="Times New Roman" w:eastAsia="Times New Roman" w:hAnsi="Times New Roman" w:cs="Times New Roman"/>
            <w:color w:val="0000FF"/>
            <w:sz w:val="24"/>
            <w:szCs w:val="24"/>
            <w:u w:val="single"/>
          </w:rPr>
          <w:t>https://doi.org/10.48550/arXiv.2503.09302</w:t>
        </w:r>
      </w:hyperlink>
      <w:r>
        <w:rPr>
          <w:rFonts w:ascii="Times New Roman" w:eastAsia="Times New Roman" w:hAnsi="Times New Roman" w:cs="Times New Roman"/>
          <w:sz w:val="24"/>
          <w:szCs w:val="24"/>
        </w:rPr>
        <w:t xml:space="preserve"> </w:t>
      </w:r>
    </w:p>
    <w:p w14:paraId="671E551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Kurita, K., Michel, P., &amp; Neubig, G. (2020). Weight Poisoning Attacks on Pretrained Models.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0000FF"/>
            <w:sz w:val="24"/>
            <w:szCs w:val="24"/>
            <w:u w:val="single"/>
          </w:rPr>
          <w:t>https://doi.org/10.18653/v1/2020.acl-main.249</w:t>
        </w:r>
      </w:hyperlink>
      <w:r>
        <w:rPr>
          <w:rFonts w:ascii="Times New Roman" w:eastAsia="Times New Roman" w:hAnsi="Times New Roman" w:cs="Times New Roman"/>
          <w:sz w:val="24"/>
          <w:szCs w:val="24"/>
        </w:rPr>
        <w:t xml:space="preserve"> </w:t>
      </w:r>
    </w:p>
    <w:p w14:paraId="11B2A88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K., Li, C., Yuan, X., Li, S., Zou, S., Ahmed, S. S., Ni, W., Dusit Niyato, Abbas Jamalipour, Dressler, F., &amp; Akan, Ö. B. (2025). Zero-Trust Foundation Models: A New Paradigm for Secure and Collaborative Artificial Intelligence for Internet of Things. </w:t>
      </w:r>
      <w:r>
        <w:rPr>
          <w:rFonts w:ascii="Times New Roman" w:eastAsia="Times New Roman" w:hAnsi="Times New Roman" w:cs="Times New Roman"/>
          <w:i/>
          <w:iCs/>
          <w:sz w:val="24"/>
          <w:szCs w:val="24"/>
        </w:rPr>
        <w:t>IEEE Internet of Things Journal</w:t>
      </w:r>
      <w:r>
        <w:rPr>
          <w:rFonts w:ascii="Times New Roman" w:eastAsia="Times New Roman" w:hAnsi="Times New Roman" w:cs="Times New Roman"/>
          <w:sz w:val="24"/>
          <w:szCs w:val="24"/>
        </w:rPr>
        <w:t xml:space="preserve">, 1–1. </w:t>
      </w:r>
      <w:hyperlink r:id="rId54">
        <w:r>
          <w:rPr>
            <w:rFonts w:ascii="Times New Roman" w:eastAsia="Times New Roman" w:hAnsi="Times New Roman" w:cs="Times New Roman"/>
            <w:color w:val="0000FF"/>
            <w:sz w:val="24"/>
            <w:szCs w:val="24"/>
            <w:u w:val="single"/>
          </w:rPr>
          <w:t>https://doi.org/10.1109/jiot.2025.3603957</w:t>
        </w:r>
      </w:hyperlink>
      <w:r>
        <w:rPr>
          <w:rFonts w:ascii="Times New Roman" w:eastAsia="Times New Roman" w:hAnsi="Times New Roman" w:cs="Times New Roman"/>
          <w:sz w:val="24"/>
          <w:szCs w:val="24"/>
        </w:rPr>
        <w:t xml:space="preserve"> </w:t>
      </w:r>
    </w:p>
    <w:p w14:paraId="0DF6EDE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Y., Wang, S., Ding, H., &amp; Chen, H. (2023). Large Language Models in Finance: A Survey. </w:t>
      </w:r>
      <w:r>
        <w:rPr>
          <w:rFonts w:ascii="Times New Roman" w:eastAsia="Times New Roman" w:hAnsi="Times New Roman" w:cs="Times New Roman"/>
          <w:i/>
          <w:iCs/>
          <w:sz w:val="24"/>
          <w:szCs w:val="24"/>
        </w:rPr>
        <w:t>ICAIF ’23: Proceedings of the Fourth ACM International Conference on AI in Finance</w:t>
      </w:r>
      <w:r>
        <w:rPr>
          <w:rFonts w:ascii="Times New Roman" w:eastAsia="Times New Roman" w:hAnsi="Times New Roman" w:cs="Times New Roman"/>
          <w:sz w:val="24"/>
          <w:szCs w:val="24"/>
        </w:rPr>
        <w:t xml:space="preserve">, 374–382. </w:t>
      </w:r>
      <w:hyperlink r:id="rId55">
        <w:r>
          <w:rPr>
            <w:rFonts w:ascii="Times New Roman" w:eastAsia="Times New Roman" w:hAnsi="Times New Roman" w:cs="Times New Roman"/>
            <w:color w:val="0000FF"/>
            <w:sz w:val="24"/>
            <w:szCs w:val="24"/>
            <w:u w:val="single"/>
          </w:rPr>
          <w:t>https://doi.org/10.1145/3604237.3626869</w:t>
        </w:r>
      </w:hyperlink>
      <w:r>
        <w:rPr>
          <w:rFonts w:ascii="Times New Roman" w:eastAsia="Times New Roman" w:hAnsi="Times New Roman" w:cs="Times New Roman"/>
          <w:sz w:val="24"/>
          <w:szCs w:val="24"/>
        </w:rPr>
        <w:t xml:space="preserve"> </w:t>
      </w:r>
    </w:p>
    <w:p w14:paraId="551066C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Liu, Y., Deng, G., Li, Y., Wang, K., Zhang, T., Liu, Y., Wang, H., Zheng, Y., &amp; Liu, Y. (2023, June 8). </w:t>
      </w:r>
      <w:r>
        <w:rPr>
          <w:rFonts w:ascii="Times New Roman" w:eastAsia="Times New Roman" w:hAnsi="Times New Roman" w:cs="Times New Roman"/>
          <w:i/>
          <w:iCs/>
          <w:sz w:val="24"/>
          <w:szCs w:val="24"/>
        </w:rPr>
        <w:t>Prompt Injection attack against LLM-integrated Applications</w:t>
      </w:r>
      <w:r>
        <w:rPr>
          <w:rFonts w:ascii="Times New Roman" w:eastAsia="Times New Roman" w:hAnsi="Times New Roman" w:cs="Times New Roman"/>
          <w:sz w:val="24"/>
          <w:szCs w:val="24"/>
        </w:rPr>
        <w:t xml:space="preserve">. ArXiv.org. </w:t>
      </w:r>
      <w:hyperlink r:id="rId56">
        <w:r>
          <w:rPr>
            <w:rFonts w:ascii="Times New Roman" w:eastAsia="Times New Roman" w:hAnsi="Times New Roman" w:cs="Times New Roman"/>
            <w:color w:val="0000FF"/>
            <w:sz w:val="24"/>
            <w:szCs w:val="24"/>
            <w:u w:val="single"/>
          </w:rPr>
          <w:t>https://doi.org/10.48550/arXiv.2306.05499</w:t>
        </w:r>
      </w:hyperlink>
      <w:r>
        <w:rPr>
          <w:rFonts w:ascii="Times New Roman" w:eastAsia="Times New Roman" w:hAnsi="Times New Roman" w:cs="Times New Roman"/>
          <w:sz w:val="24"/>
          <w:szCs w:val="24"/>
        </w:rPr>
        <w:t xml:space="preserve"> </w:t>
      </w:r>
    </w:p>
    <w:p w14:paraId="7143567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Lyu, W., Bi, Z., Wang, F., &amp; Chen, C. (2025). </w:t>
      </w:r>
      <w:proofErr w:type="spellStart"/>
      <w:r>
        <w:rPr>
          <w:rFonts w:ascii="Times New Roman" w:eastAsia="Times New Roman" w:hAnsi="Times New Roman" w:cs="Times New Roman"/>
          <w:sz w:val="24"/>
          <w:szCs w:val="24"/>
        </w:rPr>
        <w:t>BadCLM</w:t>
      </w:r>
      <w:proofErr w:type="spellEnd"/>
      <w:r>
        <w:rPr>
          <w:rFonts w:ascii="Times New Roman" w:eastAsia="Times New Roman" w:hAnsi="Times New Roman" w:cs="Times New Roman"/>
          <w:sz w:val="24"/>
          <w:szCs w:val="24"/>
        </w:rPr>
        <w:t xml:space="preserve">: Backdoor Attack in Clinical Language Models for Electronic Health Records. </w:t>
      </w:r>
      <w:r>
        <w:rPr>
          <w:rFonts w:ascii="Times New Roman" w:eastAsia="Times New Roman" w:hAnsi="Times New Roman" w:cs="Times New Roman"/>
          <w:i/>
          <w:iCs/>
          <w:sz w:val="24"/>
          <w:szCs w:val="24"/>
        </w:rPr>
        <w:t>AMIA ... Annual Symposium Proceedings. AMIA Symposium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2024</w:t>
      </w:r>
      <w:r>
        <w:rPr>
          <w:rFonts w:ascii="Times New Roman" w:eastAsia="Times New Roman" w:hAnsi="Times New Roman" w:cs="Times New Roman"/>
          <w:sz w:val="24"/>
          <w:szCs w:val="24"/>
        </w:rPr>
        <w:t xml:space="preserve">, 768–777. </w:t>
      </w:r>
      <w:hyperlink r:id="rId57">
        <w:r>
          <w:rPr>
            <w:rFonts w:ascii="Times New Roman" w:eastAsia="Times New Roman" w:hAnsi="Times New Roman" w:cs="Times New Roman"/>
            <w:color w:val="0000FF"/>
            <w:sz w:val="24"/>
            <w:szCs w:val="24"/>
            <w:u w:val="single"/>
          </w:rPr>
          <w:t>https://pubmed.ncbi.nlm.nih.gov/40417555/</w:t>
        </w:r>
      </w:hyperlink>
      <w:r>
        <w:rPr>
          <w:rFonts w:ascii="Times New Roman" w:eastAsia="Times New Roman" w:hAnsi="Times New Roman" w:cs="Times New Roman"/>
          <w:sz w:val="24"/>
          <w:szCs w:val="24"/>
        </w:rPr>
        <w:t xml:space="preserve"> </w:t>
      </w:r>
    </w:p>
    <w:p w14:paraId="3F596807"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Adapting Telemetry for Cyber-Physical Continuous Verification in Cameroon’s Energy Sector. </w:t>
      </w:r>
      <w:r>
        <w:rPr>
          <w:rFonts w:ascii="Times New Roman" w:eastAsia="Times New Roman" w:hAnsi="Times New Roman" w:cs="Times New Roman"/>
          <w:i/>
          <w:iCs/>
          <w:sz w:val="24"/>
          <w:szCs w:val="24"/>
        </w:rPr>
        <w:t>Journal of Energy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(12), 107–131. </w:t>
      </w:r>
      <w:hyperlink r:id="rId58">
        <w:r>
          <w:rPr>
            <w:rFonts w:ascii="Times New Roman" w:eastAsia="Times New Roman" w:hAnsi="Times New Roman" w:cs="Times New Roman"/>
            <w:color w:val="0000FF"/>
            <w:sz w:val="24"/>
            <w:szCs w:val="24"/>
            <w:u w:val="single"/>
          </w:rPr>
          <w:t>https://doi.org/10.9734/jenrr/2025/v17i12482</w:t>
        </w:r>
      </w:hyperlink>
      <w:r>
        <w:rPr>
          <w:rFonts w:ascii="Times New Roman" w:eastAsia="Times New Roman" w:hAnsi="Times New Roman" w:cs="Times New Roman"/>
          <w:sz w:val="24"/>
          <w:szCs w:val="24"/>
        </w:rPr>
        <w:t xml:space="preserve"> </w:t>
      </w:r>
    </w:p>
    <w:p w14:paraId="63F8A8F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Micali, S., </w:t>
      </w:r>
      <w:proofErr w:type="spellStart"/>
      <w:r>
        <w:rPr>
          <w:rFonts w:ascii="Times New Roman" w:eastAsia="Times New Roman" w:hAnsi="Times New Roman" w:cs="Times New Roman"/>
          <w:sz w:val="24"/>
          <w:szCs w:val="24"/>
        </w:rPr>
        <w:t>Reyzin</w:t>
      </w:r>
      <w:proofErr w:type="spellEnd"/>
      <w:r>
        <w:rPr>
          <w:rFonts w:ascii="Times New Roman" w:eastAsia="Times New Roman" w:hAnsi="Times New Roman" w:cs="Times New Roman"/>
          <w:sz w:val="24"/>
          <w:szCs w:val="24"/>
        </w:rPr>
        <w:t xml:space="preserve">, L., Vlachos, G., Wahby, R. S., &amp; </w:t>
      </w:r>
      <w:proofErr w:type="spellStart"/>
      <w:r>
        <w:rPr>
          <w:rFonts w:ascii="Times New Roman" w:eastAsia="Times New Roman" w:hAnsi="Times New Roman" w:cs="Times New Roman"/>
          <w:sz w:val="24"/>
          <w:szCs w:val="24"/>
        </w:rPr>
        <w:t>Zeldovich</w:t>
      </w:r>
      <w:proofErr w:type="spellEnd"/>
      <w:r>
        <w:rPr>
          <w:rFonts w:ascii="Times New Roman" w:eastAsia="Times New Roman" w:hAnsi="Times New Roman" w:cs="Times New Roman"/>
          <w:sz w:val="24"/>
          <w:szCs w:val="24"/>
        </w:rPr>
        <w:t xml:space="preserve">, N. (2021). Compact Certificates of Collective Knowledge. </w:t>
      </w:r>
      <w:r>
        <w:rPr>
          <w:rFonts w:ascii="Times New Roman" w:eastAsia="Times New Roman" w:hAnsi="Times New Roman" w:cs="Times New Roman"/>
          <w:i/>
          <w:iCs/>
          <w:sz w:val="24"/>
          <w:szCs w:val="24"/>
        </w:rPr>
        <w:t>2021 IEEE Symposium on Security and Privacy (SP)</w:t>
      </w:r>
      <w:r>
        <w:rPr>
          <w:rFonts w:ascii="Times New Roman" w:eastAsia="Times New Roman" w:hAnsi="Times New Roman" w:cs="Times New Roman"/>
          <w:sz w:val="24"/>
          <w:szCs w:val="24"/>
        </w:rPr>
        <w:t xml:space="preserve">, 626–641. </w:t>
      </w:r>
      <w:hyperlink r:id="rId59">
        <w:r>
          <w:rPr>
            <w:rFonts w:ascii="Times New Roman" w:eastAsia="Times New Roman" w:hAnsi="Times New Roman" w:cs="Times New Roman"/>
            <w:color w:val="0000FF"/>
            <w:sz w:val="24"/>
            <w:szCs w:val="24"/>
            <w:u w:val="single"/>
          </w:rPr>
          <w:t>https://doi.org/10.1109/sp40001.2021.00096</w:t>
        </w:r>
      </w:hyperlink>
      <w:r>
        <w:rPr>
          <w:rFonts w:ascii="Times New Roman" w:eastAsia="Times New Roman" w:hAnsi="Times New Roman" w:cs="Times New Roman"/>
          <w:sz w:val="24"/>
          <w:szCs w:val="24"/>
        </w:rPr>
        <w:t xml:space="preserve"> </w:t>
      </w:r>
    </w:p>
    <w:p w14:paraId="5577C09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(2023, July 12). </w:t>
      </w:r>
      <w:r>
        <w:rPr>
          <w:rFonts w:ascii="Times New Roman" w:eastAsia="Times New Roman" w:hAnsi="Times New Roman" w:cs="Times New Roman"/>
          <w:i/>
          <w:iCs/>
          <w:sz w:val="24"/>
          <w:szCs w:val="24"/>
        </w:rPr>
        <w:t>AI Risk Management Framework</w:t>
      </w:r>
      <w:r>
        <w:rPr>
          <w:rFonts w:ascii="Times New Roman" w:eastAsia="Times New Roman" w:hAnsi="Times New Roman" w:cs="Times New Roman"/>
          <w:sz w:val="24"/>
          <w:szCs w:val="24"/>
        </w:rPr>
        <w:t xml:space="preserve">. NIST. </w:t>
      </w:r>
      <w:hyperlink r:id="rId60">
        <w:r>
          <w:rPr>
            <w:rFonts w:ascii="Times New Roman" w:eastAsia="Times New Roman" w:hAnsi="Times New Roman" w:cs="Times New Roman"/>
            <w:color w:val="0000FF"/>
            <w:sz w:val="24"/>
            <w:szCs w:val="24"/>
            <w:u w:val="single"/>
          </w:rPr>
          <w:t>https://www.nist.gov/itl/ai-risk-management-framework</w:t>
        </w:r>
      </w:hyperlink>
      <w:r>
        <w:rPr>
          <w:rFonts w:ascii="Times New Roman" w:eastAsia="Times New Roman" w:hAnsi="Times New Roman" w:cs="Times New Roman"/>
          <w:sz w:val="24"/>
          <w:szCs w:val="24"/>
        </w:rPr>
        <w:t xml:space="preserve"> </w:t>
      </w:r>
    </w:p>
    <w:p w14:paraId="6E2409B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Obioha-Val, O. A., Lawal, T. I., Olaniyi, O. O., Gbadebo, M. O., &amp; Olisa, A. O. (2025). Investigating the Feasibility and Risks of Leveraging Artificial Intelligence and </w:t>
      </w:r>
      <w:proofErr w:type="gramStart"/>
      <w:r>
        <w:rPr>
          <w:rFonts w:ascii="Times New Roman" w:eastAsia="Times New Roman" w:hAnsi="Times New Roman" w:cs="Times New Roman"/>
          <w:sz w:val="24"/>
          <w:szCs w:val="24"/>
        </w:rPr>
        <w:t>Open Source</w:t>
      </w:r>
      <w:proofErr w:type="gramEnd"/>
      <w:r>
        <w:rPr>
          <w:rFonts w:ascii="Times New Roman" w:eastAsia="Times New Roman" w:hAnsi="Times New Roman" w:cs="Times New Roman"/>
          <w:sz w:val="24"/>
          <w:szCs w:val="24"/>
        </w:rPr>
        <w:t xml:space="preserve"> Intelligence to Manage Predictive Cyber Threat Models.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w:t>
      </w:r>
      <w:r>
        <w:rPr>
          <w:rFonts w:ascii="Times New Roman" w:eastAsia="Times New Roman" w:hAnsi="Times New Roman" w:cs="Times New Roman"/>
          <w:sz w:val="24"/>
          <w:szCs w:val="24"/>
        </w:rPr>
        <w:t xml:space="preserve">(2), 10–28. </w:t>
      </w:r>
      <w:hyperlink r:id="rId61">
        <w:r>
          <w:rPr>
            <w:rFonts w:ascii="Times New Roman" w:eastAsia="Times New Roman" w:hAnsi="Times New Roman" w:cs="Times New Roman"/>
            <w:color w:val="0000FF"/>
            <w:sz w:val="24"/>
            <w:szCs w:val="24"/>
            <w:u w:val="single"/>
          </w:rPr>
          <w:t>https://doi.org/10.9734/jerr/2025/v27i21390</w:t>
        </w:r>
      </w:hyperlink>
      <w:r>
        <w:rPr>
          <w:rFonts w:ascii="Times New Roman" w:eastAsia="Times New Roman" w:hAnsi="Times New Roman" w:cs="Times New Roman"/>
          <w:sz w:val="24"/>
          <w:szCs w:val="24"/>
        </w:rPr>
        <w:t xml:space="preserve"> </w:t>
      </w:r>
    </w:p>
    <w:p w14:paraId="7794A4E9"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 P., Gbadebo, M. O., Afolabi, O. O., Joseph, S. A., Oladoyinbo, T. O., &amp; Olaniyi, O. O. (2026). Shared Responsibility in Practice: Evaluating the Security–Usability Trade-Off and User Accountability in WhatsApp’s Ecosystem.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81–105. </w:t>
      </w:r>
      <w:hyperlink r:id="rId62">
        <w:r>
          <w:rPr>
            <w:rFonts w:ascii="Times New Roman" w:eastAsia="Times New Roman" w:hAnsi="Times New Roman" w:cs="Times New Roman"/>
            <w:color w:val="0000FF"/>
            <w:sz w:val="24"/>
            <w:szCs w:val="24"/>
            <w:u w:val="single"/>
          </w:rPr>
          <w:t>https://doi.org/10.9734/ajrcos/2026/v19i1807</w:t>
        </w:r>
      </w:hyperlink>
      <w:r>
        <w:rPr>
          <w:rFonts w:ascii="Times New Roman" w:eastAsia="Times New Roman" w:hAnsi="Times New Roman" w:cs="Times New Roman"/>
          <w:sz w:val="24"/>
          <w:szCs w:val="24"/>
        </w:rPr>
        <w:t xml:space="preserve"> </w:t>
      </w:r>
    </w:p>
    <w:p w14:paraId="1C87882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Obsidian Security. (2025). </w:t>
      </w:r>
      <w:r>
        <w:rPr>
          <w:rFonts w:ascii="Times New Roman" w:eastAsia="Times New Roman" w:hAnsi="Times New Roman" w:cs="Times New Roman"/>
          <w:i/>
          <w:iCs/>
          <w:sz w:val="24"/>
          <w:szCs w:val="24"/>
        </w:rPr>
        <w:t>What Is AI Governance? Definitions, Frameworks, and Tools for 2025</w:t>
      </w:r>
      <w:r>
        <w:rPr>
          <w:rFonts w:ascii="Times New Roman" w:eastAsia="Times New Roman" w:hAnsi="Times New Roman" w:cs="Times New Roman"/>
          <w:sz w:val="24"/>
          <w:szCs w:val="24"/>
        </w:rPr>
        <w:t xml:space="preserve">. Obsidiansecurity.com; Obsidian Security. </w:t>
      </w:r>
      <w:hyperlink r:id="rId63">
        <w:r>
          <w:rPr>
            <w:rFonts w:ascii="Times New Roman" w:eastAsia="Times New Roman" w:hAnsi="Times New Roman" w:cs="Times New Roman"/>
            <w:color w:val="0000FF"/>
            <w:sz w:val="24"/>
            <w:szCs w:val="24"/>
            <w:u w:val="single"/>
          </w:rPr>
          <w:t>https://www.obsidiansecurity.com/blog/what-is-ai-governance?utm_</w:t>
        </w:r>
      </w:hyperlink>
      <w:r>
        <w:rPr>
          <w:rFonts w:ascii="Times New Roman" w:eastAsia="Times New Roman" w:hAnsi="Times New Roman" w:cs="Times New Roman"/>
          <w:sz w:val="24"/>
          <w:szCs w:val="24"/>
        </w:rPr>
        <w:t xml:space="preserve"> </w:t>
      </w:r>
    </w:p>
    <w:p w14:paraId="167E8C8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Ifeoma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Abdulmalik, A. A., Salami, I. A., &amp;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(2026). Bridging AI-automated Governance, Adaptive Certification, Behavioral Authentication, and AI-agent Risk Monitoring in Zero-trust Digital Infrastructures.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371–387. </w:t>
      </w:r>
      <w:hyperlink r:id="rId64">
        <w:r>
          <w:rPr>
            <w:rFonts w:ascii="Times New Roman" w:eastAsia="Times New Roman" w:hAnsi="Times New Roman" w:cs="Times New Roman"/>
            <w:color w:val="0000FF"/>
            <w:sz w:val="24"/>
            <w:szCs w:val="24"/>
            <w:u w:val="single"/>
          </w:rPr>
          <w:t>https://doi.org/10.9734/jerr/2026/v28i11783</w:t>
        </w:r>
      </w:hyperlink>
      <w:r>
        <w:rPr>
          <w:rFonts w:ascii="Times New Roman" w:eastAsia="Times New Roman" w:hAnsi="Times New Roman" w:cs="Times New Roman"/>
          <w:sz w:val="24"/>
          <w:szCs w:val="24"/>
        </w:rPr>
        <w:t xml:space="preserve"> </w:t>
      </w:r>
    </w:p>
    <w:p w14:paraId="0FE28492"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Abba, S. S., Olaniyi, O. M.,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&amp; Salami, I. A. (2026). Adaptive Cognitive Profiling for Executive AI Agents Amid Emerging AI </w:t>
      </w:r>
      <w:r>
        <w:rPr>
          <w:rFonts w:ascii="Times New Roman" w:eastAsia="Times New Roman" w:hAnsi="Times New Roman" w:cs="Times New Roman"/>
          <w:sz w:val="24"/>
          <w:szCs w:val="24"/>
        </w:rPr>
        <w:lastRenderedPageBreak/>
        <w:t xml:space="preserve">Impersonation Threats.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388–405. </w:t>
      </w:r>
      <w:hyperlink r:id="rId65">
        <w:r>
          <w:rPr>
            <w:rFonts w:ascii="Times New Roman" w:eastAsia="Times New Roman" w:hAnsi="Times New Roman" w:cs="Times New Roman"/>
            <w:color w:val="0000FF"/>
            <w:sz w:val="24"/>
            <w:szCs w:val="24"/>
            <w:u w:val="single"/>
          </w:rPr>
          <w:t>https://doi.org/10.9734/jerr/2026/v28i11784</w:t>
        </w:r>
      </w:hyperlink>
      <w:r>
        <w:rPr>
          <w:rFonts w:ascii="Times New Roman" w:eastAsia="Times New Roman" w:hAnsi="Times New Roman" w:cs="Times New Roman"/>
          <w:sz w:val="24"/>
          <w:szCs w:val="24"/>
        </w:rPr>
        <w:t xml:space="preserve"> </w:t>
      </w:r>
    </w:p>
    <w:p w14:paraId="000480E0"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Adeyinka, P. D., &amp; </w:t>
      </w:r>
      <w:proofErr w:type="spellStart"/>
      <w:r>
        <w:rPr>
          <w:rFonts w:ascii="Times New Roman" w:eastAsia="Times New Roman" w:hAnsi="Times New Roman" w:cs="Times New Roman"/>
          <w:sz w:val="24"/>
          <w:szCs w:val="24"/>
        </w:rPr>
        <w:t>Olutimehin</w:t>
      </w:r>
      <w:proofErr w:type="spellEnd"/>
      <w:r>
        <w:rPr>
          <w:rFonts w:ascii="Times New Roman" w:eastAsia="Times New Roman" w:hAnsi="Times New Roman" w:cs="Times New Roman"/>
          <w:sz w:val="24"/>
          <w:szCs w:val="24"/>
        </w:rPr>
        <w:t xml:space="preserve">, A. T. (2026). AI-Driven Observability for Managing Security Complexity in Cloud-native Microservices and Containerized Environments.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1–17. </w:t>
      </w:r>
      <w:hyperlink r:id="rId66">
        <w:r>
          <w:rPr>
            <w:rFonts w:ascii="Times New Roman" w:eastAsia="Times New Roman" w:hAnsi="Times New Roman" w:cs="Times New Roman"/>
            <w:color w:val="0000FF"/>
            <w:sz w:val="24"/>
            <w:szCs w:val="24"/>
            <w:u w:val="single"/>
          </w:rPr>
          <w:t>https://doi.org/10.9734/jerr/2026/v28i21786</w:t>
        </w:r>
      </w:hyperlink>
      <w:r>
        <w:rPr>
          <w:rFonts w:ascii="Times New Roman" w:eastAsia="Times New Roman" w:hAnsi="Times New Roman" w:cs="Times New Roman"/>
          <w:sz w:val="24"/>
          <w:szCs w:val="24"/>
        </w:rPr>
        <w:t xml:space="preserve"> </w:t>
      </w:r>
    </w:p>
    <w:p w14:paraId="47D0CED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Okolo, J. N., Adeniji, S. A., </w:t>
      </w:r>
      <w:proofErr w:type="spellStart"/>
      <w:r>
        <w:rPr>
          <w:rFonts w:ascii="Times New Roman" w:eastAsia="Times New Roman" w:hAnsi="Times New Roman" w:cs="Times New Roman"/>
          <w:sz w:val="24"/>
          <w:szCs w:val="24"/>
        </w:rPr>
        <w:t>Onwuegbuchi</w:t>
      </w:r>
      <w:proofErr w:type="spellEnd"/>
      <w:r>
        <w:rPr>
          <w:rFonts w:ascii="Times New Roman" w:eastAsia="Times New Roman" w:hAnsi="Times New Roman" w:cs="Times New Roman"/>
          <w:sz w:val="24"/>
          <w:szCs w:val="24"/>
        </w:rPr>
        <w:t xml:space="preserve">, O., &amp; Sanni, S. (2025). Analyzing the use of machine learning techniques in detecting fraudulent activities. </w:t>
      </w:r>
      <w:r>
        <w:rPr>
          <w:rFonts w:ascii="Times New Roman" w:eastAsia="Times New Roman" w:hAnsi="Times New Roman" w:cs="Times New Roman"/>
          <w:i/>
          <w:iCs/>
          <w:sz w:val="24"/>
          <w:szCs w:val="24"/>
        </w:rPr>
        <w:t>World Journal of Advanced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 xml:space="preserve">(1), 1198–1209. </w:t>
      </w:r>
      <w:hyperlink r:id="rId67">
        <w:r>
          <w:rPr>
            <w:rFonts w:ascii="Times New Roman" w:eastAsia="Times New Roman" w:hAnsi="Times New Roman" w:cs="Times New Roman"/>
            <w:color w:val="0000FF"/>
            <w:sz w:val="24"/>
            <w:szCs w:val="24"/>
            <w:u w:val="single"/>
          </w:rPr>
          <w:t>https://doi.org/10.30574/wjarr.2025.26.1.1097</w:t>
        </w:r>
      </w:hyperlink>
      <w:r>
        <w:rPr>
          <w:rFonts w:ascii="Times New Roman" w:eastAsia="Times New Roman" w:hAnsi="Times New Roman" w:cs="Times New Roman"/>
          <w:sz w:val="24"/>
          <w:szCs w:val="24"/>
        </w:rPr>
        <w:t xml:space="preserve"> </w:t>
      </w:r>
    </w:p>
    <w:p w14:paraId="309AFFA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Olaniyi, O. M., Adebiyi, O. O.,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I., Afolabi, O. O., &amp; Ejiofor, V. O. (2026). Conversational AI-Powered Fraud Prevention in Augmented Reality E-Commerce: A Natural Language Processing Framework for Real-time Transaction Security.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255–270. </w:t>
      </w:r>
      <w:hyperlink r:id="rId68">
        <w:r>
          <w:rPr>
            <w:rFonts w:ascii="Times New Roman" w:eastAsia="Times New Roman" w:hAnsi="Times New Roman" w:cs="Times New Roman"/>
            <w:color w:val="0000FF"/>
            <w:sz w:val="24"/>
            <w:szCs w:val="24"/>
            <w:u w:val="single"/>
          </w:rPr>
          <w:t>https://doi.org/10.9734/ajrcos/2026/v19i1817</w:t>
        </w:r>
      </w:hyperlink>
      <w:r>
        <w:rPr>
          <w:rFonts w:ascii="Times New Roman" w:eastAsia="Times New Roman" w:hAnsi="Times New Roman" w:cs="Times New Roman"/>
          <w:sz w:val="24"/>
          <w:szCs w:val="24"/>
        </w:rPr>
        <w:t xml:space="preserve"> </w:t>
      </w:r>
    </w:p>
    <w:p w14:paraId="454F1F5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Olaniyi, O.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w:t>
      </w:r>
      <w:proofErr w:type="spellStart"/>
      <w:r>
        <w:rPr>
          <w:rFonts w:ascii="Times New Roman" w:eastAsia="Times New Roman" w:hAnsi="Times New Roman" w:cs="Times New Roman"/>
          <w:sz w:val="24"/>
          <w:szCs w:val="24"/>
        </w:rPr>
        <w:t>Metibemu</w:t>
      </w:r>
      <w:proofErr w:type="spellEnd"/>
      <w:r>
        <w:rPr>
          <w:rFonts w:ascii="Times New Roman" w:eastAsia="Times New Roman" w:hAnsi="Times New Roman" w:cs="Times New Roman"/>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18–36. </w:t>
      </w:r>
      <w:hyperlink r:id="rId69">
        <w:r>
          <w:rPr>
            <w:rFonts w:ascii="Times New Roman" w:eastAsia="Times New Roman" w:hAnsi="Times New Roman" w:cs="Times New Roman"/>
            <w:color w:val="0000FF"/>
            <w:sz w:val="24"/>
            <w:szCs w:val="24"/>
            <w:u w:val="single"/>
          </w:rPr>
          <w:t>https://doi.org/10.9734/jerr/2026/v28i21787</w:t>
        </w:r>
      </w:hyperlink>
      <w:r>
        <w:rPr>
          <w:rFonts w:ascii="Times New Roman" w:eastAsia="Times New Roman" w:hAnsi="Times New Roman" w:cs="Times New Roman"/>
          <w:sz w:val="24"/>
          <w:szCs w:val="24"/>
        </w:rPr>
        <w:t xml:space="preserve"> </w:t>
      </w:r>
    </w:p>
    <w:p w14:paraId="0772D6E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Olisa, A. O., Gbadebo, M. O.,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Oladoyinbo, T. O., &amp; Oluwapamilerin Kolo, F. H. (2026). Quantum-Resistant Cryptographic Protocols for CBDC Interoperability: A Cross-Border Settlement Security Framework. </w:t>
      </w:r>
      <w:r>
        <w:rPr>
          <w:rFonts w:ascii="Times New Roman" w:eastAsia="Times New Roman" w:hAnsi="Times New Roman" w:cs="Times New Roman"/>
          <w:i/>
          <w:iCs/>
          <w:sz w:val="24"/>
          <w:szCs w:val="24"/>
        </w:rPr>
        <w:t>Engineering and Technology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(01). </w:t>
      </w:r>
      <w:hyperlink r:id="rId70">
        <w:r>
          <w:rPr>
            <w:rFonts w:ascii="Times New Roman" w:eastAsia="Times New Roman" w:hAnsi="Times New Roman" w:cs="Times New Roman"/>
            <w:color w:val="0000FF"/>
            <w:sz w:val="24"/>
            <w:szCs w:val="24"/>
            <w:u w:val="single"/>
          </w:rPr>
          <w:t>https://doi.org/10.47191/etj/v11i01.35</w:t>
        </w:r>
      </w:hyperlink>
      <w:r>
        <w:rPr>
          <w:rFonts w:ascii="Times New Roman" w:eastAsia="Times New Roman" w:hAnsi="Times New Roman" w:cs="Times New Roman"/>
          <w:sz w:val="24"/>
          <w:szCs w:val="24"/>
        </w:rPr>
        <w:t xml:space="preserve"> </w:t>
      </w:r>
    </w:p>
    <w:p w14:paraId="5BAB248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Oprea, A., Singhal, A., &amp; Vassilev, A. (2022). Poisoning Attacks Against Machine Learning: Can Machine Learning Be Trustworthy? </w:t>
      </w:r>
      <w:r>
        <w:rPr>
          <w:rFonts w:ascii="Times New Roman" w:eastAsia="Times New Roman" w:hAnsi="Times New Roman" w:cs="Times New Roman"/>
          <w:i/>
          <w:iCs/>
          <w:sz w:val="24"/>
          <w:szCs w:val="24"/>
        </w:rPr>
        <w:t>Computer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(11), 94–99. </w:t>
      </w:r>
      <w:hyperlink r:id="rId71">
        <w:r>
          <w:rPr>
            <w:rFonts w:ascii="Times New Roman" w:eastAsia="Times New Roman" w:hAnsi="Times New Roman" w:cs="Times New Roman"/>
            <w:color w:val="0000FF"/>
            <w:sz w:val="24"/>
            <w:szCs w:val="24"/>
            <w:u w:val="single"/>
          </w:rPr>
          <w:t>https://doi.org/10.1109/mc.2022.3190787</w:t>
        </w:r>
      </w:hyperlink>
      <w:r>
        <w:rPr>
          <w:rFonts w:ascii="Times New Roman" w:eastAsia="Times New Roman" w:hAnsi="Times New Roman" w:cs="Times New Roman"/>
          <w:sz w:val="24"/>
          <w:szCs w:val="24"/>
        </w:rPr>
        <w:t xml:space="preserve"> </w:t>
      </w:r>
    </w:p>
    <w:p w14:paraId="4FA502E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OWASP. (2025, April 17). </w:t>
      </w:r>
      <w:r>
        <w:rPr>
          <w:rFonts w:ascii="Times New Roman" w:eastAsia="Times New Roman" w:hAnsi="Times New Roman" w:cs="Times New Roman"/>
          <w:i/>
          <w:iCs/>
          <w:sz w:val="24"/>
          <w:szCs w:val="24"/>
        </w:rPr>
        <w:t>LLM01:2025 Prompt Injection</w:t>
      </w:r>
      <w:r>
        <w:rPr>
          <w:rFonts w:ascii="Times New Roman" w:eastAsia="Times New Roman" w:hAnsi="Times New Roman" w:cs="Times New Roman"/>
          <w:sz w:val="24"/>
          <w:szCs w:val="24"/>
        </w:rPr>
        <w:t xml:space="preserve">. OWASP Gen AI Security Project. </w:t>
      </w:r>
      <w:hyperlink r:id="rId72">
        <w:r>
          <w:rPr>
            <w:rFonts w:ascii="Times New Roman" w:eastAsia="Times New Roman" w:hAnsi="Times New Roman" w:cs="Times New Roman"/>
            <w:color w:val="0000FF"/>
            <w:sz w:val="24"/>
            <w:szCs w:val="24"/>
            <w:u w:val="single"/>
          </w:rPr>
          <w:t>https://genai.owasp.org/llmrisk/llm01-prompt-injection/?utm_</w:t>
        </w:r>
      </w:hyperlink>
      <w:r>
        <w:rPr>
          <w:rFonts w:ascii="Times New Roman" w:eastAsia="Times New Roman" w:hAnsi="Times New Roman" w:cs="Times New Roman"/>
          <w:sz w:val="24"/>
          <w:szCs w:val="24"/>
        </w:rPr>
        <w:t xml:space="preserve"> </w:t>
      </w:r>
    </w:p>
    <w:p w14:paraId="086CD95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Parekh, M. (2025, September 15). </w:t>
      </w:r>
      <w:r>
        <w:rPr>
          <w:rFonts w:ascii="Times New Roman" w:eastAsia="Times New Roman" w:hAnsi="Times New Roman" w:cs="Times New Roman"/>
          <w:i/>
          <w:iCs/>
          <w:sz w:val="24"/>
          <w:szCs w:val="24"/>
        </w:rPr>
        <w:t>Model Context Protocol Security: Critical Vulnerabilities Every CISO Should Address in 2025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ESentire</w:t>
      </w:r>
      <w:proofErr w:type="spellEnd"/>
      <w:r>
        <w:rPr>
          <w:rFonts w:ascii="Times New Roman" w:eastAsia="Times New Roman" w:hAnsi="Times New Roman" w:cs="Times New Roman"/>
          <w:sz w:val="24"/>
          <w:szCs w:val="24"/>
        </w:rPr>
        <w:t xml:space="preserve">. </w:t>
      </w:r>
      <w:hyperlink r:id="rId73">
        <w:r>
          <w:rPr>
            <w:rFonts w:ascii="Times New Roman" w:eastAsia="Times New Roman" w:hAnsi="Times New Roman" w:cs="Times New Roman"/>
            <w:color w:val="0000FF"/>
            <w:sz w:val="24"/>
            <w:szCs w:val="24"/>
            <w:u w:val="single"/>
          </w:rPr>
          <w:t>https://www.esentire.com/blog/model-context-protocol-security-critical-vulnerabilities-every-ciso-should-address-in-2025?utm_</w:t>
        </w:r>
      </w:hyperlink>
      <w:r>
        <w:rPr>
          <w:rFonts w:ascii="Times New Roman" w:eastAsia="Times New Roman" w:hAnsi="Times New Roman" w:cs="Times New Roman"/>
          <w:sz w:val="24"/>
          <w:szCs w:val="24"/>
        </w:rPr>
        <w:t xml:space="preserve"> </w:t>
      </w:r>
    </w:p>
    <w:p w14:paraId="52DAC9C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Raji, I. D., Smart, A., White, R. N., Mitchell, M., Gebru, T., Hutchinson, B., Smith-Loud, J., Theron, D., &amp; Barnes, P. (2020). Closing the AI accountability gap: Defining an End-</w:t>
      </w:r>
      <w:r>
        <w:rPr>
          <w:rFonts w:ascii="Times New Roman" w:eastAsia="Times New Roman" w:hAnsi="Times New Roman" w:cs="Times New Roman"/>
          <w:sz w:val="24"/>
          <w:szCs w:val="24"/>
        </w:rPr>
        <w:lastRenderedPageBreak/>
        <w:t xml:space="preserve">to-End Framework for Internal Algorithmic Auditing. </w:t>
      </w:r>
      <w:r>
        <w:rPr>
          <w:rFonts w:ascii="Times New Roman" w:eastAsia="Times New Roman" w:hAnsi="Times New Roman" w:cs="Times New Roman"/>
          <w:i/>
          <w:iCs/>
          <w:sz w:val="24"/>
          <w:szCs w:val="24"/>
        </w:rPr>
        <w:t>Proceedings of the 2020 Conference on Fairness, Accountability, and Transparency</w:t>
      </w:r>
      <w:r>
        <w:rPr>
          <w:rFonts w:ascii="Times New Roman" w:eastAsia="Times New Roman" w:hAnsi="Times New Roman" w:cs="Times New Roman"/>
          <w:sz w:val="24"/>
          <w:szCs w:val="24"/>
        </w:rPr>
        <w:t xml:space="preserve">, 33–44. </w:t>
      </w:r>
      <w:hyperlink r:id="rId74">
        <w:r>
          <w:rPr>
            <w:rFonts w:ascii="Times New Roman" w:eastAsia="Times New Roman" w:hAnsi="Times New Roman" w:cs="Times New Roman"/>
            <w:color w:val="0000FF"/>
            <w:sz w:val="24"/>
            <w:szCs w:val="24"/>
            <w:u w:val="single"/>
          </w:rPr>
          <w:t>https://doi.org/10.1145/3351095.3372873</w:t>
        </w:r>
      </w:hyperlink>
      <w:r>
        <w:rPr>
          <w:rFonts w:ascii="Times New Roman" w:eastAsia="Times New Roman" w:hAnsi="Times New Roman" w:cs="Times New Roman"/>
          <w:sz w:val="24"/>
          <w:szCs w:val="24"/>
        </w:rPr>
        <w:t xml:space="preserve"> </w:t>
      </w:r>
    </w:p>
    <w:p w14:paraId="2E7AC13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Ramakrishnan, B., &amp; Balaji, A. (2025). Securing AI Agents Against Prompt Injection Attacks.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75">
        <w:r>
          <w:rPr>
            <w:rFonts w:ascii="Times New Roman" w:eastAsia="Times New Roman" w:hAnsi="Times New Roman" w:cs="Times New Roman"/>
            <w:color w:val="0000FF"/>
            <w:sz w:val="24"/>
            <w:szCs w:val="24"/>
            <w:u w:val="single"/>
          </w:rPr>
          <w:t>https://doi.org/10.48550/arxiv.2511.15759</w:t>
        </w:r>
      </w:hyperlink>
      <w:r>
        <w:rPr>
          <w:rFonts w:ascii="Times New Roman" w:eastAsia="Times New Roman" w:hAnsi="Times New Roman" w:cs="Times New Roman"/>
          <w:sz w:val="24"/>
          <w:szCs w:val="24"/>
        </w:rPr>
        <w:t xml:space="preserve"> </w:t>
      </w:r>
    </w:p>
    <w:p w14:paraId="3653152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M. T., Singh, S., &amp; </w:t>
      </w:r>
      <w:proofErr w:type="spellStart"/>
      <w:r>
        <w:rPr>
          <w:rFonts w:ascii="Times New Roman" w:eastAsia="Times New Roman" w:hAnsi="Times New Roman" w:cs="Times New Roman"/>
          <w:sz w:val="24"/>
          <w:szCs w:val="24"/>
        </w:rPr>
        <w:t>Guestrin</w:t>
      </w:r>
      <w:proofErr w:type="spellEnd"/>
      <w:r>
        <w:rPr>
          <w:rFonts w:ascii="Times New Roman" w:eastAsia="Times New Roman" w:hAnsi="Times New Roman" w:cs="Times New Roman"/>
          <w:sz w:val="24"/>
          <w:szCs w:val="24"/>
        </w:rPr>
        <w:t xml:space="preserve">, C. (2016). “Why Should I Trust You?”: Explaining the Predictions of Any Classifier. </w:t>
      </w:r>
      <w:r>
        <w:rPr>
          <w:rFonts w:ascii="Times New Roman" w:eastAsia="Times New Roman" w:hAnsi="Times New Roman" w:cs="Times New Roman"/>
          <w:i/>
          <w:iCs/>
          <w:sz w:val="24"/>
          <w:szCs w:val="24"/>
        </w:rPr>
        <w:t>Proceedings of the 22nd ACM SIGKDD International Conference on Knowledge Discovery and Data Mining - KDD ’16</w:t>
      </w:r>
      <w:r>
        <w:rPr>
          <w:rFonts w:ascii="Times New Roman" w:eastAsia="Times New Roman" w:hAnsi="Times New Roman" w:cs="Times New Roman"/>
          <w:sz w:val="24"/>
          <w:szCs w:val="24"/>
        </w:rPr>
        <w:t xml:space="preserve">, 1135–1144. </w:t>
      </w:r>
      <w:hyperlink r:id="rId76">
        <w:r>
          <w:rPr>
            <w:rFonts w:ascii="Times New Roman" w:eastAsia="Times New Roman" w:hAnsi="Times New Roman" w:cs="Times New Roman"/>
            <w:color w:val="0000FF"/>
            <w:sz w:val="24"/>
            <w:szCs w:val="24"/>
            <w:u w:val="single"/>
          </w:rPr>
          <w:t>https://doi.org/10.1145/2939672.2939778</w:t>
        </w:r>
      </w:hyperlink>
      <w:r>
        <w:rPr>
          <w:rFonts w:ascii="Times New Roman" w:eastAsia="Times New Roman" w:hAnsi="Times New Roman" w:cs="Times New Roman"/>
          <w:sz w:val="24"/>
          <w:szCs w:val="24"/>
        </w:rPr>
        <w:t xml:space="preserve"> </w:t>
      </w:r>
    </w:p>
    <w:p w14:paraId="2C5E44A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S., Borchert, O., Mitchell, S., &amp; Connelly, S. (2020). Zero trust architecture. </w:t>
      </w:r>
      <w:r>
        <w:rPr>
          <w:rFonts w:ascii="Times New Roman" w:eastAsia="Times New Roman" w:hAnsi="Times New Roman" w:cs="Times New Roman"/>
          <w:i/>
          <w:iCs/>
          <w:sz w:val="24"/>
          <w:szCs w:val="24"/>
        </w:rPr>
        <w:t>NIST Special Publication 800-207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 xml:space="preserve">(800-207). </w:t>
      </w:r>
      <w:hyperlink r:id="rId77">
        <w:r>
          <w:rPr>
            <w:rFonts w:ascii="Times New Roman" w:eastAsia="Times New Roman" w:hAnsi="Times New Roman" w:cs="Times New Roman"/>
            <w:color w:val="0000FF"/>
            <w:sz w:val="24"/>
            <w:szCs w:val="24"/>
            <w:u w:val="single"/>
          </w:rPr>
          <w:t>https://doi.org/10.6028/nist.sp.800-207</w:t>
        </w:r>
      </w:hyperlink>
      <w:r>
        <w:rPr>
          <w:rFonts w:ascii="Times New Roman" w:eastAsia="Times New Roman" w:hAnsi="Times New Roman" w:cs="Times New Roman"/>
          <w:sz w:val="24"/>
          <w:szCs w:val="24"/>
        </w:rPr>
        <w:t xml:space="preserve"> </w:t>
      </w:r>
    </w:p>
    <w:p w14:paraId="377D180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Safa, N. S., Von Solms, R., &amp; Furnell, S. (2016). Information security policy compliance model in organizations. </w:t>
      </w:r>
      <w:r>
        <w:rPr>
          <w:rFonts w:ascii="Times New Roman" w:eastAsia="Times New Roman" w:hAnsi="Times New Roman" w:cs="Times New Roman"/>
          <w:i/>
          <w:iCs/>
          <w:sz w:val="24"/>
          <w:szCs w:val="24"/>
        </w:rPr>
        <w:t>Computers &amp;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56</w:t>
      </w:r>
      <w:r>
        <w:rPr>
          <w:rFonts w:ascii="Times New Roman" w:eastAsia="Times New Roman" w:hAnsi="Times New Roman" w:cs="Times New Roman"/>
          <w:sz w:val="24"/>
          <w:szCs w:val="24"/>
        </w:rPr>
        <w:t xml:space="preserve">, 70–82. </w:t>
      </w:r>
      <w:hyperlink r:id="rId78">
        <w:r>
          <w:rPr>
            <w:rFonts w:ascii="Times New Roman" w:eastAsia="Times New Roman" w:hAnsi="Times New Roman" w:cs="Times New Roman"/>
            <w:color w:val="0000FF"/>
            <w:sz w:val="24"/>
            <w:szCs w:val="24"/>
            <w:u w:val="single"/>
          </w:rPr>
          <w:t>https://doi.org/10.1016/j.cose.2015.10.006</w:t>
        </w:r>
      </w:hyperlink>
      <w:r>
        <w:rPr>
          <w:rFonts w:ascii="Times New Roman" w:eastAsia="Times New Roman" w:hAnsi="Times New Roman" w:cs="Times New Roman"/>
          <w:sz w:val="24"/>
          <w:szCs w:val="24"/>
        </w:rPr>
        <w:t xml:space="preserve"> </w:t>
      </w:r>
    </w:p>
    <w:p w14:paraId="550ECDE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Sambasivan, N., </w:t>
      </w:r>
      <w:proofErr w:type="spellStart"/>
      <w:r>
        <w:rPr>
          <w:rFonts w:ascii="Times New Roman" w:eastAsia="Times New Roman" w:hAnsi="Times New Roman" w:cs="Times New Roman"/>
          <w:sz w:val="24"/>
          <w:szCs w:val="24"/>
        </w:rPr>
        <w:t>Kapania</w:t>
      </w:r>
      <w:proofErr w:type="spellEnd"/>
      <w:r>
        <w:rPr>
          <w:rFonts w:ascii="Times New Roman" w:eastAsia="Times New Roman" w:hAnsi="Times New Roman" w:cs="Times New Roman"/>
          <w:sz w:val="24"/>
          <w:szCs w:val="24"/>
        </w:rPr>
        <w:t xml:space="preserve">, S., Highfill, H., </w:t>
      </w:r>
      <w:proofErr w:type="spellStart"/>
      <w:r>
        <w:rPr>
          <w:rFonts w:ascii="Times New Roman" w:eastAsia="Times New Roman" w:hAnsi="Times New Roman" w:cs="Times New Roman"/>
          <w:sz w:val="24"/>
          <w:szCs w:val="24"/>
        </w:rPr>
        <w:t>Akrong</w:t>
      </w:r>
      <w:proofErr w:type="spellEnd"/>
      <w:r>
        <w:rPr>
          <w:rFonts w:ascii="Times New Roman" w:eastAsia="Times New Roman" w:hAnsi="Times New Roman" w:cs="Times New Roman"/>
          <w:sz w:val="24"/>
          <w:szCs w:val="24"/>
        </w:rPr>
        <w:t xml:space="preserve">, D., Paritosh, P., &amp; Aroyo, L. (2021). “Everyone wants to do the model work, not the data work”: Data Cascades in High-Stakes AI. </w:t>
      </w:r>
      <w:r>
        <w:rPr>
          <w:rFonts w:ascii="Times New Roman" w:eastAsia="Times New Roman" w:hAnsi="Times New Roman" w:cs="Times New Roman"/>
          <w:i/>
          <w:iCs/>
          <w:sz w:val="24"/>
          <w:szCs w:val="24"/>
        </w:rPr>
        <w:t>CHI ’21: Proceedings of the 2021 CHI Conference on Human Factors in Computing Systems</w:t>
      </w:r>
      <w:r>
        <w:rPr>
          <w:rFonts w:ascii="Times New Roman" w:eastAsia="Times New Roman" w:hAnsi="Times New Roman" w:cs="Times New Roman"/>
          <w:sz w:val="24"/>
          <w:szCs w:val="24"/>
        </w:rPr>
        <w:t xml:space="preserve">. </w:t>
      </w:r>
      <w:hyperlink r:id="rId79">
        <w:r>
          <w:rPr>
            <w:rFonts w:ascii="Times New Roman" w:eastAsia="Times New Roman" w:hAnsi="Times New Roman" w:cs="Times New Roman"/>
            <w:color w:val="0000FF"/>
            <w:sz w:val="24"/>
            <w:szCs w:val="24"/>
            <w:u w:val="single"/>
          </w:rPr>
          <w:t>https://doi.org/10.1145/3411764.3445518</w:t>
        </w:r>
      </w:hyperlink>
      <w:r>
        <w:rPr>
          <w:rFonts w:ascii="Times New Roman" w:eastAsia="Times New Roman" w:hAnsi="Times New Roman" w:cs="Times New Roman"/>
          <w:sz w:val="24"/>
          <w:szCs w:val="24"/>
        </w:rPr>
        <w:t xml:space="preserve"> </w:t>
      </w:r>
    </w:p>
    <w:p w14:paraId="33FF0F0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Seth, D., Najana, M., &amp; Ranjan, P. (2024). Compliance and Regulatory Challenges in Cloud Computing: A Sector-Wise Analysis. </w:t>
      </w:r>
      <w:r>
        <w:rPr>
          <w:rFonts w:ascii="Times New Roman" w:eastAsia="Times New Roman" w:hAnsi="Times New Roman" w:cs="Times New Roman"/>
          <w:i/>
          <w:iCs/>
          <w:sz w:val="24"/>
          <w:szCs w:val="24"/>
        </w:rPr>
        <w:t>Compliance and Regulatory Challenges in Cloud Computing: A Sector-Wise Analysis</w:t>
      </w:r>
      <w:r>
        <w:rPr>
          <w:rFonts w:ascii="Times New Roman" w:eastAsia="Times New Roman" w:hAnsi="Times New Roman" w:cs="Times New Roman"/>
          <w:sz w:val="24"/>
          <w:szCs w:val="24"/>
        </w:rPr>
        <w:t xml:space="preserve">. </w:t>
      </w:r>
      <w:hyperlink r:id="rId80">
        <w:r>
          <w:rPr>
            <w:rFonts w:ascii="Times New Roman" w:eastAsia="Times New Roman" w:hAnsi="Times New Roman" w:cs="Times New Roman"/>
            <w:color w:val="0000FF"/>
            <w:sz w:val="24"/>
            <w:szCs w:val="24"/>
            <w:u w:val="single"/>
          </w:rPr>
          <w:t>https://doi.org/10.21428/e90189c8.68b5dea5</w:t>
        </w:r>
      </w:hyperlink>
      <w:r>
        <w:rPr>
          <w:rFonts w:ascii="Times New Roman" w:eastAsia="Times New Roman" w:hAnsi="Times New Roman" w:cs="Times New Roman"/>
          <w:sz w:val="24"/>
          <w:szCs w:val="24"/>
        </w:rPr>
        <w:t xml:space="preserve"> </w:t>
      </w:r>
    </w:p>
    <w:p w14:paraId="5AF185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Singer, P. W., &amp; Friedman, A. (2014). </w:t>
      </w:r>
      <w:r>
        <w:rPr>
          <w:rFonts w:ascii="Times New Roman" w:eastAsia="Times New Roman" w:hAnsi="Times New Roman" w:cs="Times New Roman"/>
          <w:i/>
          <w:iCs/>
          <w:sz w:val="24"/>
          <w:szCs w:val="24"/>
        </w:rPr>
        <w:t xml:space="preserve">Cybersecurity and </w:t>
      </w:r>
      <w:proofErr w:type="gramStart"/>
      <w:r>
        <w:rPr>
          <w:rFonts w:ascii="Times New Roman" w:eastAsia="Times New Roman" w:hAnsi="Times New Roman" w:cs="Times New Roman"/>
          <w:i/>
          <w:iCs/>
          <w:sz w:val="24"/>
          <w:szCs w:val="24"/>
        </w:rPr>
        <w:t>cyberwar :</w:t>
      </w:r>
      <w:proofErr w:type="gramEnd"/>
      <w:r>
        <w:rPr>
          <w:rFonts w:ascii="Times New Roman" w:eastAsia="Times New Roman" w:hAnsi="Times New Roman" w:cs="Times New Roman"/>
          <w:i/>
          <w:iCs/>
          <w:sz w:val="24"/>
          <w:szCs w:val="24"/>
        </w:rPr>
        <w:t xml:space="preserve"> what everyone needs to know</w:t>
      </w:r>
      <w:r>
        <w:rPr>
          <w:rFonts w:ascii="Times New Roman" w:eastAsia="Times New Roman" w:hAnsi="Times New Roman" w:cs="Times New Roman"/>
          <w:sz w:val="24"/>
          <w:szCs w:val="24"/>
        </w:rPr>
        <w:t xml:space="preserve">. New York, NY: Oxford University Press. </w:t>
      </w:r>
      <w:hyperlink r:id="rId81">
        <w:r>
          <w:rPr>
            <w:rFonts w:ascii="Times New Roman" w:eastAsia="Times New Roman" w:hAnsi="Times New Roman" w:cs="Times New Roman"/>
            <w:color w:val="0000FF"/>
            <w:sz w:val="24"/>
            <w:szCs w:val="24"/>
            <w:u w:val="single"/>
          </w:rPr>
          <w:t>https://catalog.freelibrary.org/Record/1925339?utm_</w:t>
        </w:r>
      </w:hyperlink>
      <w:r>
        <w:rPr>
          <w:rFonts w:ascii="Times New Roman" w:eastAsia="Times New Roman" w:hAnsi="Times New Roman" w:cs="Times New Roman"/>
          <w:sz w:val="24"/>
          <w:szCs w:val="24"/>
        </w:rPr>
        <w:t xml:space="preserve"> </w:t>
      </w:r>
    </w:p>
    <w:p w14:paraId="7EAE4F6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Siva Kumar, R. S., Nyström, M., Lambert, J., Marshall, A., </w:t>
      </w:r>
      <w:proofErr w:type="spellStart"/>
      <w:r>
        <w:rPr>
          <w:rFonts w:ascii="Times New Roman" w:eastAsia="Times New Roman" w:hAnsi="Times New Roman" w:cs="Times New Roman"/>
          <w:sz w:val="24"/>
          <w:szCs w:val="24"/>
        </w:rPr>
        <w:t>Goertzel</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Comissoneru</w:t>
      </w:r>
      <w:proofErr w:type="spellEnd"/>
      <w:r>
        <w:rPr>
          <w:rFonts w:ascii="Times New Roman" w:eastAsia="Times New Roman" w:hAnsi="Times New Roman" w:cs="Times New Roman"/>
          <w:sz w:val="24"/>
          <w:szCs w:val="24"/>
        </w:rPr>
        <w:t xml:space="preserve">, A., Swann, M., &amp; Xia, S. (2020, May 1). </w:t>
      </w:r>
      <w:r>
        <w:rPr>
          <w:rFonts w:ascii="Times New Roman" w:eastAsia="Times New Roman" w:hAnsi="Times New Roman" w:cs="Times New Roman"/>
          <w:i/>
          <w:iCs/>
          <w:sz w:val="24"/>
          <w:szCs w:val="24"/>
        </w:rPr>
        <w:t>Adversarial Machine Learning-Industry Perspectives</w:t>
      </w:r>
      <w:r>
        <w:rPr>
          <w:rFonts w:ascii="Times New Roman" w:eastAsia="Times New Roman" w:hAnsi="Times New Roman" w:cs="Times New Roman"/>
          <w:sz w:val="24"/>
          <w:szCs w:val="24"/>
        </w:rPr>
        <w:t xml:space="preserve">. IEEE Xplore. </w:t>
      </w:r>
      <w:hyperlink r:id="rId82">
        <w:r>
          <w:rPr>
            <w:rFonts w:ascii="Times New Roman" w:eastAsia="Times New Roman" w:hAnsi="Times New Roman" w:cs="Times New Roman"/>
            <w:color w:val="0000FF"/>
            <w:sz w:val="24"/>
            <w:szCs w:val="24"/>
            <w:u w:val="single"/>
          </w:rPr>
          <w:t>https://doi.org/10.1109/SPW50608.2020.00028</w:t>
        </w:r>
      </w:hyperlink>
      <w:r>
        <w:rPr>
          <w:rFonts w:ascii="Times New Roman" w:eastAsia="Times New Roman" w:hAnsi="Times New Roman" w:cs="Times New Roman"/>
          <w:sz w:val="24"/>
          <w:szCs w:val="24"/>
        </w:rPr>
        <w:t xml:space="preserve"> </w:t>
      </w:r>
    </w:p>
    <w:p w14:paraId="0029962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Veale, M., &amp; Borgesius, F. Z. (2021). Demystifying the Draft EU Artificial Intelligence Act —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good, the bad, and the unclear elements of the proposed approach. </w:t>
      </w:r>
      <w:r>
        <w:rPr>
          <w:rFonts w:ascii="Times New Roman" w:eastAsia="Times New Roman" w:hAnsi="Times New Roman" w:cs="Times New Roman"/>
          <w:i/>
          <w:iCs/>
          <w:sz w:val="24"/>
          <w:szCs w:val="24"/>
        </w:rPr>
        <w:t>Computer Law Review International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 xml:space="preserve">(4), 97–112. </w:t>
      </w:r>
      <w:hyperlink r:id="rId83">
        <w:r>
          <w:rPr>
            <w:rFonts w:ascii="Times New Roman" w:eastAsia="Times New Roman" w:hAnsi="Times New Roman" w:cs="Times New Roman"/>
            <w:color w:val="0000FF"/>
            <w:sz w:val="24"/>
            <w:szCs w:val="24"/>
            <w:u w:val="single"/>
          </w:rPr>
          <w:t>https://doi.org/10.9785/cri-2021-220402</w:t>
        </w:r>
      </w:hyperlink>
      <w:r>
        <w:rPr>
          <w:rFonts w:ascii="Times New Roman" w:eastAsia="Times New Roman" w:hAnsi="Times New Roman" w:cs="Times New Roman"/>
          <w:sz w:val="24"/>
          <w:szCs w:val="24"/>
        </w:rPr>
        <w:t xml:space="preserve"> </w:t>
      </w:r>
    </w:p>
    <w:p w14:paraId="5672781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Verizon. (2020). </w:t>
      </w:r>
      <w:r>
        <w:rPr>
          <w:rFonts w:ascii="Times New Roman" w:eastAsia="Times New Roman" w:hAnsi="Times New Roman" w:cs="Times New Roman"/>
          <w:i/>
          <w:iCs/>
          <w:sz w:val="24"/>
          <w:szCs w:val="24"/>
        </w:rPr>
        <w:t>Data Breach Investigations Report</w:t>
      </w:r>
      <w:r>
        <w:rPr>
          <w:rFonts w:ascii="Times New Roman" w:eastAsia="Times New Roman" w:hAnsi="Times New Roman" w:cs="Times New Roman"/>
          <w:sz w:val="24"/>
          <w:szCs w:val="24"/>
        </w:rPr>
        <w:t xml:space="preserve">. </w:t>
      </w:r>
      <w:hyperlink r:id="rId84">
        <w:r>
          <w:rPr>
            <w:rFonts w:ascii="Times New Roman" w:eastAsia="Times New Roman" w:hAnsi="Times New Roman" w:cs="Times New Roman"/>
            <w:color w:val="0000FF"/>
            <w:sz w:val="24"/>
            <w:szCs w:val="24"/>
            <w:u w:val="single"/>
          </w:rPr>
          <w:t>https://www.verizon.com/business/resources/reports/2020-data-breach-investigations-report.pdf?utm_</w:t>
        </w:r>
      </w:hyperlink>
      <w:r>
        <w:rPr>
          <w:rFonts w:ascii="Times New Roman" w:eastAsia="Times New Roman" w:hAnsi="Times New Roman" w:cs="Times New Roman"/>
          <w:sz w:val="24"/>
          <w:szCs w:val="24"/>
        </w:rPr>
        <w:t xml:space="preserve"> </w:t>
      </w:r>
    </w:p>
    <w:p w14:paraId="0075D1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Vuković, D. B., </w:t>
      </w:r>
      <w:proofErr w:type="spellStart"/>
      <w:r>
        <w:rPr>
          <w:rFonts w:ascii="Times New Roman" w:eastAsia="Times New Roman" w:hAnsi="Times New Roman" w:cs="Times New Roman"/>
          <w:sz w:val="24"/>
          <w:szCs w:val="24"/>
        </w:rPr>
        <w:t>Dekpo-Adza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Matović</w:t>
      </w:r>
      <w:proofErr w:type="spellEnd"/>
      <w:r>
        <w:rPr>
          <w:rFonts w:ascii="Times New Roman" w:eastAsia="Times New Roman" w:hAnsi="Times New Roman" w:cs="Times New Roman"/>
          <w:sz w:val="24"/>
          <w:szCs w:val="24"/>
        </w:rPr>
        <w:t xml:space="preserve">, S. (2025). AI integration in financial services: a systematic review of trends and regulatory challenges. </w:t>
      </w:r>
      <w:r>
        <w:rPr>
          <w:rFonts w:ascii="Times New Roman" w:eastAsia="Times New Roman" w:hAnsi="Times New Roman" w:cs="Times New Roman"/>
          <w:i/>
          <w:iCs/>
          <w:sz w:val="24"/>
          <w:szCs w:val="24"/>
        </w:rPr>
        <w:t>Humanities and Social Sciences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hyperlink r:id="rId85">
        <w:r>
          <w:rPr>
            <w:rFonts w:ascii="Times New Roman" w:eastAsia="Times New Roman" w:hAnsi="Times New Roman" w:cs="Times New Roman"/>
            <w:color w:val="0000FF"/>
            <w:sz w:val="24"/>
            <w:szCs w:val="24"/>
            <w:u w:val="single"/>
          </w:rPr>
          <w:t>https://doi.org/10.1057/s41599-025-04850-8</w:t>
        </w:r>
      </w:hyperlink>
      <w:r>
        <w:rPr>
          <w:rFonts w:ascii="Times New Roman" w:eastAsia="Times New Roman" w:hAnsi="Times New Roman" w:cs="Times New Roman"/>
          <w:sz w:val="24"/>
          <w:szCs w:val="24"/>
        </w:rPr>
        <w:t xml:space="preserve"> </w:t>
      </w:r>
    </w:p>
    <w:p w14:paraId="4305B1A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G., Ma, H., Gao, Y., </w:t>
      </w:r>
      <w:proofErr w:type="spellStart"/>
      <w:r>
        <w:rPr>
          <w:rFonts w:ascii="Times New Roman" w:eastAsia="Times New Roman" w:hAnsi="Times New Roman" w:cs="Times New Roman"/>
          <w:sz w:val="24"/>
          <w:szCs w:val="24"/>
        </w:rPr>
        <w:t>Abuadbba</w:t>
      </w:r>
      <w:proofErr w:type="spellEnd"/>
      <w:r>
        <w:rPr>
          <w:rFonts w:ascii="Times New Roman" w:eastAsia="Times New Roman" w:hAnsi="Times New Roman" w:cs="Times New Roman"/>
          <w:sz w:val="24"/>
          <w:szCs w:val="24"/>
        </w:rPr>
        <w:t>, A., Zhang, Z., Kang, W., Al-</w:t>
      </w:r>
      <w:proofErr w:type="spellStart"/>
      <w:r>
        <w:rPr>
          <w:rFonts w:ascii="Times New Roman" w:eastAsia="Times New Roman" w:hAnsi="Times New Roman" w:cs="Times New Roman"/>
          <w:sz w:val="24"/>
          <w:szCs w:val="24"/>
        </w:rPr>
        <w:t>Sarawi</w:t>
      </w:r>
      <w:proofErr w:type="spellEnd"/>
      <w:r>
        <w:rPr>
          <w:rFonts w:ascii="Times New Roman" w:eastAsia="Times New Roman" w:hAnsi="Times New Roman" w:cs="Times New Roman"/>
          <w:sz w:val="24"/>
          <w:szCs w:val="24"/>
        </w:rPr>
        <w:t>, S. F., Zhang, G., &amp; Abbott, D. (2024). One-to-Multiple Clean-Label Image Camouflage (</w:t>
      </w:r>
      <w:proofErr w:type="spellStart"/>
      <w:r>
        <w:rPr>
          <w:rFonts w:ascii="Times New Roman" w:eastAsia="Times New Roman" w:hAnsi="Times New Roman" w:cs="Times New Roman"/>
          <w:sz w:val="24"/>
          <w:szCs w:val="24"/>
        </w:rPr>
        <w:t>OmClic</w:t>
      </w:r>
      <w:proofErr w:type="spellEnd"/>
      <w:r>
        <w:rPr>
          <w:rFonts w:ascii="Times New Roman" w:eastAsia="Times New Roman" w:hAnsi="Times New Roman" w:cs="Times New Roman"/>
          <w:sz w:val="24"/>
          <w:szCs w:val="24"/>
        </w:rPr>
        <w:t xml:space="preserve">) based backdoor attack on deep learning. </w:t>
      </w:r>
      <w:r>
        <w:rPr>
          <w:rFonts w:ascii="Times New Roman" w:eastAsia="Times New Roman" w:hAnsi="Times New Roman" w:cs="Times New Roman"/>
          <w:i/>
          <w:iCs/>
          <w:sz w:val="24"/>
          <w:szCs w:val="24"/>
        </w:rPr>
        <w:t>Knowledge-Based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288</w:t>
      </w:r>
      <w:r>
        <w:rPr>
          <w:rFonts w:ascii="Times New Roman" w:eastAsia="Times New Roman" w:hAnsi="Times New Roman" w:cs="Times New Roman"/>
          <w:sz w:val="24"/>
          <w:szCs w:val="24"/>
        </w:rPr>
        <w:t xml:space="preserve">, 111456–111456. </w:t>
      </w:r>
      <w:hyperlink r:id="rId86">
        <w:r>
          <w:rPr>
            <w:rFonts w:ascii="Times New Roman" w:eastAsia="Times New Roman" w:hAnsi="Times New Roman" w:cs="Times New Roman"/>
            <w:color w:val="0000FF"/>
            <w:sz w:val="24"/>
            <w:szCs w:val="24"/>
            <w:u w:val="single"/>
          </w:rPr>
          <w:t>https://doi.org/10.1016/j.knosys.2024.111456</w:t>
        </w:r>
      </w:hyperlink>
      <w:r>
        <w:rPr>
          <w:rFonts w:ascii="Times New Roman" w:eastAsia="Times New Roman" w:hAnsi="Times New Roman" w:cs="Times New Roman"/>
          <w:sz w:val="24"/>
          <w:szCs w:val="24"/>
        </w:rPr>
        <w:t xml:space="preserve"> </w:t>
      </w:r>
    </w:p>
    <w:p w14:paraId="4C7D05D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Z., Ma, J., Wang, X., Hu, J., Qin, Z., &amp; Ren, K. (2022). Threats to Training: A Survey of Poisoning Attacks and Defenses on Machine Learning Systems.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(7). </w:t>
      </w:r>
      <w:hyperlink r:id="rId87">
        <w:r>
          <w:rPr>
            <w:rFonts w:ascii="Times New Roman" w:eastAsia="Times New Roman" w:hAnsi="Times New Roman" w:cs="Times New Roman"/>
            <w:color w:val="0000FF"/>
            <w:sz w:val="24"/>
            <w:szCs w:val="24"/>
            <w:u w:val="single"/>
          </w:rPr>
          <w:t>https://doi.org/10.1145/3538707</w:t>
        </w:r>
      </w:hyperlink>
      <w:r>
        <w:rPr>
          <w:rFonts w:ascii="Times New Roman" w:eastAsia="Times New Roman" w:hAnsi="Times New Roman" w:cs="Times New Roman"/>
          <w:sz w:val="24"/>
          <w:szCs w:val="24"/>
        </w:rPr>
        <w:t xml:space="preserve"> </w:t>
      </w:r>
    </w:p>
    <w:p w14:paraId="735715C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WEF. (2025). </w:t>
      </w:r>
      <w:r>
        <w:rPr>
          <w:rFonts w:ascii="Times New Roman" w:eastAsia="Times New Roman" w:hAnsi="Times New Roman" w:cs="Times New Roman"/>
          <w:i/>
          <w:iCs/>
          <w:sz w:val="24"/>
          <w:szCs w:val="24"/>
        </w:rPr>
        <w:t>Artificial Intelligence in Financial Services A N U A R Y 2 0 2 5 In collaboration with Accenture Transformation of Industries in the Age of AI</w:t>
      </w:r>
      <w:r>
        <w:rPr>
          <w:rFonts w:ascii="Times New Roman" w:eastAsia="Times New Roman" w:hAnsi="Times New Roman" w:cs="Times New Roman"/>
          <w:sz w:val="24"/>
          <w:szCs w:val="24"/>
        </w:rPr>
        <w:t xml:space="preserve">. </w:t>
      </w:r>
      <w:hyperlink r:id="rId88">
        <w:r>
          <w:rPr>
            <w:rFonts w:ascii="Times New Roman" w:eastAsia="Times New Roman" w:hAnsi="Times New Roman" w:cs="Times New Roman"/>
            <w:color w:val="0000FF"/>
            <w:sz w:val="24"/>
            <w:szCs w:val="24"/>
            <w:u w:val="single"/>
          </w:rPr>
          <w:t>https://reports.weforum.org/docs/WEF_Artificial_Intelligence_in_Financial_Services_2025.pdf</w:t>
        </w:r>
      </w:hyperlink>
      <w:r>
        <w:rPr>
          <w:rFonts w:ascii="Times New Roman" w:eastAsia="Times New Roman" w:hAnsi="Times New Roman" w:cs="Times New Roman"/>
          <w:sz w:val="24"/>
          <w:szCs w:val="24"/>
        </w:rPr>
        <w:t xml:space="preserve"> </w:t>
      </w:r>
    </w:p>
    <w:p w14:paraId="6EEB3D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Xie, X., Yan, M., Zhou, X., Zhao, C., Wang, S., Zhang, Y., &amp; Zhou, J. T. (2024). Shortcuts Arising from Contrast: Towards Effective and Lightweight Clean-Label Attacks in Prompt-Based Learning. </w:t>
      </w:r>
      <w:r>
        <w:rPr>
          <w:rFonts w:ascii="Times New Roman" w:eastAsia="Times New Roman" w:hAnsi="Times New Roman" w:cs="Times New Roman"/>
          <w:i/>
          <w:iCs/>
          <w:sz w:val="24"/>
          <w:szCs w:val="24"/>
        </w:rPr>
        <w:t>Proceedings of the 2024 Conference on Empirical Methods in Natural Language Processing</w:t>
      </w:r>
      <w:r>
        <w:rPr>
          <w:rFonts w:ascii="Times New Roman" w:eastAsia="Times New Roman" w:hAnsi="Times New Roman" w:cs="Times New Roman"/>
          <w:sz w:val="24"/>
          <w:szCs w:val="24"/>
        </w:rPr>
        <w:t xml:space="preserve">, 14966–14977. </w:t>
      </w:r>
      <w:hyperlink r:id="rId89">
        <w:r>
          <w:rPr>
            <w:rFonts w:ascii="Times New Roman" w:eastAsia="Times New Roman" w:hAnsi="Times New Roman" w:cs="Times New Roman"/>
            <w:color w:val="0000FF"/>
            <w:sz w:val="24"/>
            <w:szCs w:val="24"/>
            <w:u w:val="single"/>
          </w:rPr>
          <w:t>https://doi.org/10.18653/v1/2024.emnlp-main.834</w:t>
        </w:r>
      </w:hyperlink>
      <w:r>
        <w:rPr>
          <w:rFonts w:ascii="Times New Roman" w:eastAsia="Times New Roman" w:hAnsi="Times New Roman" w:cs="Times New Roman"/>
          <w:sz w:val="24"/>
          <w:szCs w:val="24"/>
        </w:rPr>
        <w:t xml:space="preserve"> </w:t>
      </w:r>
    </w:p>
    <w:p w14:paraId="51B63D3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M., Lim, M. K., Qu, Y., Ni, D., &amp; Xiao, Z. (2022). Supply chain risk management with machine learning technology: A literature review and future research directions. </w:t>
      </w:r>
      <w:r>
        <w:rPr>
          <w:rFonts w:ascii="Times New Roman" w:eastAsia="Times New Roman" w:hAnsi="Times New Roman" w:cs="Times New Roman"/>
          <w:i/>
          <w:iCs/>
          <w:sz w:val="24"/>
          <w:szCs w:val="24"/>
        </w:rPr>
        <w:t>Computers &amp; Industrial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175</w:t>
      </w:r>
      <w:r>
        <w:rPr>
          <w:rFonts w:ascii="Times New Roman" w:eastAsia="Times New Roman" w:hAnsi="Times New Roman" w:cs="Times New Roman"/>
          <w:sz w:val="24"/>
          <w:szCs w:val="24"/>
        </w:rPr>
        <w:t xml:space="preserve">, 108859. </w:t>
      </w:r>
      <w:hyperlink r:id="rId90">
        <w:r>
          <w:rPr>
            <w:rFonts w:ascii="Times New Roman" w:eastAsia="Times New Roman" w:hAnsi="Times New Roman" w:cs="Times New Roman"/>
            <w:color w:val="0000FF"/>
            <w:sz w:val="24"/>
            <w:szCs w:val="24"/>
            <w:u w:val="single"/>
          </w:rPr>
          <w:t>https://doi.org/10.1016/j.cie.2022.108859</w:t>
        </w:r>
      </w:hyperlink>
      <w:r>
        <w:rPr>
          <w:rFonts w:ascii="Times New Roman" w:eastAsia="Times New Roman" w:hAnsi="Times New Roman" w:cs="Times New Roman"/>
          <w:sz w:val="24"/>
          <w:szCs w:val="24"/>
        </w:rPr>
        <w:t xml:space="preserve"> </w:t>
      </w:r>
    </w:p>
    <w:p w14:paraId="5757889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Yip, D. W., </w:t>
      </w:r>
      <w:proofErr w:type="spellStart"/>
      <w:r>
        <w:rPr>
          <w:rFonts w:ascii="Times New Roman" w:eastAsia="Times New Roman" w:hAnsi="Times New Roman" w:cs="Times New Roman"/>
          <w:sz w:val="24"/>
          <w:szCs w:val="24"/>
        </w:rPr>
        <w:t>Esmradi</w:t>
      </w:r>
      <w:proofErr w:type="spellEnd"/>
      <w:r>
        <w:rPr>
          <w:rFonts w:ascii="Times New Roman" w:eastAsia="Times New Roman" w:hAnsi="Times New Roman" w:cs="Times New Roman"/>
          <w:sz w:val="24"/>
          <w:szCs w:val="24"/>
        </w:rPr>
        <w:t xml:space="preserve">, A., &amp; Chan, C. F. (2024). </w:t>
      </w:r>
      <w:r>
        <w:rPr>
          <w:rFonts w:ascii="Times New Roman" w:eastAsia="Times New Roman" w:hAnsi="Times New Roman" w:cs="Times New Roman"/>
          <w:i/>
          <w:iCs/>
          <w:sz w:val="24"/>
          <w:szCs w:val="24"/>
        </w:rPr>
        <w:t>A Novel Evaluation Framework for Assessing Resilience Against Prompt Injection Attacks in Large Language Models</w:t>
      </w:r>
      <w:r>
        <w:rPr>
          <w:rFonts w:ascii="Times New Roman" w:eastAsia="Times New Roman" w:hAnsi="Times New Roman" w:cs="Times New Roman"/>
          <w:sz w:val="24"/>
          <w:szCs w:val="24"/>
        </w:rPr>
        <w:t xml:space="preserve">. ArXiv.org. </w:t>
      </w:r>
      <w:hyperlink r:id="rId91">
        <w:r>
          <w:rPr>
            <w:rFonts w:ascii="Times New Roman" w:eastAsia="Times New Roman" w:hAnsi="Times New Roman" w:cs="Times New Roman"/>
            <w:color w:val="0000FF"/>
            <w:sz w:val="24"/>
            <w:szCs w:val="24"/>
            <w:u w:val="single"/>
          </w:rPr>
          <w:t>https://arxiv.org/abs/2401.00991v1</w:t>
        </w:r>
      </w:hyperlink>
      <w:r>
        <w:rPr>
          <w:rFonts w:ascii="Times New Roman" w:eastAsia="Times New Roman" w:hAnsi="Times New Roman" w:cs="Times New Roman"/>
          <w:sz w:val="24"/>
          <w:szCs w:val="24"/>
        </w:rPr>
        <w:t xml:space="preserve"> </w:t>
      </w:r>
    </w:p>
    <w:p w14:paraId="54204E1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C., Jin, M., Yu, Q., Liu, C., Xue, H., &amp; Jin, X. (2024). </w:t>
      </w:r>
      <w:r>
        <w:rPr>
          <w:rFonts w:ascii="Times New Roman" w:eastAsia="Times New Roman" w:hAnsi="Times New Roman" w:cs="Times New Roman"/>
          <w:i/>
          <w:iCs/>
          <w:sz w:val="24"/>
          <w:szCs w:val="24"/>
        </w:rPr>
        <w:t>Goal-guided Generative Prompt Injection Attack on Large Language Models</w:t>
      </w:r>
      <w:r>
        <w:rPr>
          <w:rFonts w:ascii="Times New Roman" w:eastAsia="Times New Roman" w:hAnsi="Times New Roman" w:cs="Times New Roman"/>
          <w:sz w:val="24"/>
          <w:szCs w:val="24"/>
        </w:rPr>
        <w:t xml:space="preserve">. ArXiv.org. </w:t>
      </w:r>
      <w:hyperlink r:id="rId92">
        <w:r>
          <w:rPr>
            <w:rFonts w:ascii="Times New Roman" w:eastAsia="Times New Roman" w:hAnsi="Times New Roman" w:cs="Times New Roman"/>
            <w:color w:val="0000FF"/>
            <w:sz w:val="24"/>
            <w:szCs w:val="24"/>
            <w:u w:val="single"/>
          </w:rPr>
          <w:t>https://arxiv.org/abs/2404.07234v4</w:t>
        </w:r>
      </w:hyperlink>
      <w:r>
        <w:rPr>
          <w:rFonts w:ascii="Times New Roman" w:eastAsia="Times New Roman" w:hAnsi="Times New Roman" w:cs="Times New Roman"/>
          <w:sz w:val="24"/>
          <w:szCs w:val="24"/>
        </w:rPr>
        <w:t xml:space="preserve"> </w:t>
      </w:r>
    </w:p>
    <w:p w14:paraId="765FBF0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Zhao, L., Wu, X., Li, J., &amp; Tong, H. (2025). Economics of Cybersecurity Investment and Information Sharing: Firm Decision Making Under Policy Constraints. </w:t>
      </w:r>
      <w:r>
        <w:rPr>
          <w:rFonts w:ascii="Times New Roman" w:eastAsia="Times New Roman" w:hAnsi="Times New Roman" w:cs="Times New Roman"/>
          <w:i/>
          <w:iCs/>
          <w:sz w:val="24"/>
          <w:szCs w:val="24"/>
        </w:rPr>
        <w:t>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(2), 83. </w:t>
      </w:r>
      <w:hyperlink r:id="rId93">
        <w:r>
          <w:rPr>
            <w:rFonts w:ascii="Times New Roman" w:eastAsia="Times New Roman" w:hAnsi="Times New Roman" w:cs="Times New Roman"/>
            <w:color w:val="0000FF"/>
            <w:sz w:val="24"/>
            <w:szCs w:val="24"/>
            <w:u w:val="single"/>
          </w:rPr>
          <w:t>https://doi.org/10.3390/systems13020083</w:t>
        </w:r>
      </w:hyperlink>
      <w:r>
        <w:rPr>
          <w:rFonts w:ascii="Times New Roman" w:eastAsia="Times New Roman" w:hAnsi="Times New Roman" w:cs="Times New Roman"/>
          <w:sz w:val="24"/>
          <w:szCs w:val="24"/>
        </w:rPr>
        <w:t xml:space="preserve"> </w:t>
      </w:r>
    </w:p>
    <w:p w14:paraId="522FB1F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P., Zhu, W., Jiao, P., Gao, D., &amp; Wu, O. (2025). </w:t>
      </w:r>
      <w:r>
        <w:rPr>
          <w:rFonts w:ascii="Times New Roman" w:eastAsia="Times New Roman" w:hAnsi="Times New Roman" w:cs="Times New Roman"/>
          <w:i/>
          <w:iCs/>
          <w:sz w:val="24"/>
          <w:szCs w:val="24"/>
        </w:rPr>
        <w:t>Data Poisoning in Deep Learning: A Survey</w:t>
      </w:r>
      <w:r>
        <w:rPr>
          <w:rFonts w:ascii="Times New Roman" w:eastAsia="Times New Roman" w:hAnsi="Times New Roman" w:cs="Times New Roman"/>
          <w:sz w:val="24"/>
          <w:szCs w:val="24"/>
        </w:rPr>
        <w:t xml:space="preserve">. Arxiv.org. </w:t>
      </w:r>
      <w:hyperlink r:id="rId94" w:anchor="licenses-available">
        <w:r>
          <w:rPr>
            <w:rFonts w:ascii="Times New Roman" w:eastAsia="Times New Roman" w:hAnsi="Times New Roman" w:cs="Times New Roman"/>
            <w:color w:val="0000FF"/>
            <w:sz w:val="24"/>
            <w:szCs w:val="24"/>
            <w:u w:val="single"/>
          </w:rPr>
          <w:t>https://info.arxiv.org/help/license/index.html#licenses-available</w:t>
        </w:r>
      </w:hyperlink>
      <w:r>
        <w:rPr>
          <w:rFonts w:ascii="Times New Roman" w:eastAsia="Times New Roman" w:hAnsi="Times New Roman" w:cs="Times New Roman"/>
          <w:sz w:val="24"/>
          <w:szCs w:val="24"/>
        </w:rPr>
        <w:t xml:space="preserve"> </w:t>
      </w:r>
    </w:p>
    <w:p w14:paraId="0ACAABC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T., Yan, H., Han, B., Liu, L., &amp; Zhang, J. (2024). Learning a robust foundation model against clean-label data poisoning attacks at downstream tasks. </w:t>
      </w:r>
      <w:r>
        <w:rPr>
          <w:rFonts w:ascii="Times New Roman" w:eastAsia="Times New Roman" w:hAnsi="Times New Roman" w:cs="Times New Roman"/>
          <w:i/>
          <w:iCs/>
          <w:sz w:val="24"/>
          <w:szCs w:val="24"/>
        </w:rPr>
        <w:t>Neural Networks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169</w:t>
      </w:r>
      <w:r>
        <w:rPr>
          <w:rFonts w:ascii="Times New Roman" w:eastAsia="Times New Roman" w:hAnsi="Times New Roman" w:cs="Times New Roman"/>
          <w:sz w:val="24"/>
          <w:szCs w:val="24"/>
        </w:rPr>
        <w:t xml:space="preserve">, 756–763. </w:t>
      </w:r>
      <w:hyperlink r:id="rId95">
        <w:r>
          <w:rPr>
            <w:rFonts w:ascii="Times New Roman" w:eastAsia="Times New Roman" w:hAnsi="Times New Roman" w:cs="Times New Roman"/>
            <w:color w:val="0000FF"/>
            <w:sz w:val="24"/>
            <w:szCs w:val="24"/>
            <w:u w:val="single"/>
          </w:rPr>
          <w:t>https://doi.org/10.1016/j.neunet.2023.10.034</w:t>
        </w:r>
      </w:hyperlink>
      <w:r>
        <w:rPr>
          <w:rFonts w:ascii="Times New Roman" w:eastAsia="Times New Roman" w:hAnsi="Times New Roman" w:cs="Times New Roman"/>
          <w:sz w:val="24"/>
          <w:szCs w:val="24"/>
        </w:rPr>
        <w:t xml:space="preserve"> </w:t>
      </w:r>
    </w:p>
    <w:p w14:paraId="1C2D4F88" w14:textId="77777777" w:rsidR="002134BE" w:rsidRDefault="002134BE">
      <w:pPr>
        <w:spacing w:before="480" w:after="480"/>
        <w:rPr>
          <w:rFonts w:ascii="Times New Roman" w:eastAsia="Times New Roman" w:hAnsi="Times New Roman" w:cs="Times New Roman"/>
          <w:sz w:val="24"/>
          <w:szCs w:val="24"/>
        </w:rPr>
      </w:pPr>
    </w:p>
    <w:p w14:paraId="1150E482" w14:textId="77777777" w:rsidR="002134BE" w:rsidRDefault="002134BE">
      <w:pPr>
        <w:spacing w:before="480" w:after="480"/>
        <w:rPr>
          <w:rFonts w:ascii="Times New Roman" w:eastAsia="Times New Roman" w:hAnsi="Times New Roman" w:cs="Times New Roman"/>
          <w:sz w:val="24"/>
          <w:szCs w:val="24"/>
        </w:rPr>
      </w:pPr>
    </w:p>
    <w:p w14:paraId="675B095E" w14:textId="77777777" w:rsidR="002134BE" w:rsidRDefault="002134BE">
      <w:pPr>
        <w:spacing w:before="480" w:after="480"/>
        <w:rPr>
          <w:rFonts w:ascii="Times New Roman" w:eastAsia="Times New Roman" w:hAnsi="Times New Roman" w:cs="Times New Roman"/>
          <w:sz w:val="24"/>
          <w:szCs w:val="24"/>
        </w:rPr>
      </w:pPr>
    </w:p>
    <w:p w14:paraId="2A83598E" w14:textId="77777777" w:rsidR="002134BE" w:rsidRDefault="002134BE">
      <w:pPr>
        <w:spacing w:before="480" w:after="480"/>
        <w:rPr>
          <w:rFonts w:ascii="Times New Roman" w:eastAsia="Times New Roman" w:hAnsi="Times New Roman" w:cs="Times New Roman"/>
          <w:sz w:val="24"/>
          <w:szCs w:val="24"/>
        </w:rPr>
      </w:pPr>
    </w:p>
    <w:sectPr w:rsidR="002134BE" w:rsidSect="00163D31">
      <w:headerReference w:type="even" r:id="rId96"/>
      <w:headerReference w:type="default" r:id="rId97"/>
      <w:footerReference w:type="even" r:id="rId98"/>
      <w:footerReference w:type="default" r:id="rId99"/>
      <w:headerReference w:type="first" r:id="rId100"/>
      <w:footerReference w:type="first" r:id="rId101"/>
      <w:pgSz w:w="12240" w:h="15840"/>
      <w:pgMar w:top="1440" w:right="153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F8105" w14:textId="77777777" w:rsidR="00732A05" w:rsidRDefault="00732A05">
      <w:pPr>
        <w:spacing w:line="240" w:lineRule="auto"/>
      </w:pPr>
      <w:r>
        <w:separator/>
      </w:r>
    </w:p>
  </w:endnote>
  <w:endnote w:type="continuationSeparator" w:id="0">
    <w:p w14:paraId="078201E9" w14:textId="77777777" w:rsidR="00732A05" w:rsidRDefault="00732A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C3155F-5888-484C-ACD3-D646740B67C2}"/>
  </w:font>
  <w:font w:name="Tenorite">
    <w:charset w:val="00"/>
    <w:family w:val="auto"/>
    <w:pitch w:val="variable"/>
    <w:sig w:usb0="80000003" w:usb1="00000001" w:usb2="00000000" w:usb3="00000000" w:csb0="00000001" w:csb1="00000000"/>
    <w:embedRegular r:id="rId2" w:fontKey="{4B0944EC-234B-4331-9112-CAB2B45CF068}"/>
  </w:font>
  <w:font w:name="Cambria Math">
    <w:panose1 w:val="02040503050406030204"/>
    <w:charset w:val="00"/>
    <w:family w:val="roman"/>
    <w:pitch w:val="variable"/>
    <w:sig w:usb0="E00006FF" w:usb1="420024FF" w:usb2="02000000" w:usb3="00000000" w:csb0="0000019F" w:csb1="00000000"/>
    <w:embedRegular r:id="rId3" w:fontKey="{C19FD821-9DC7-4399-A2BA-0D8773E6520C}"/>
    <w:embedItalic r:id="rId4" w:fontKey="{5B54FDB0-491B-4E1C-A315-17FF04C52E5D}"/>
  </w:font>
  <w:font w:name="Calibri">
    <w:panose1 w:val="020F0502020204030204"/>
    <w:charset w:val="00"/>
    <w:family w:val="swiss"/>
    <w:pitch w:val="variable"/>
    <w:sig w:usb0="E4002EFF" w:usb1="C000247B" w:usb2="00000009" w:usb3="00000000" w:csb0="000001FF" w:csb1="00000000"/>
    <w:embedRegular r:id="rId5" w:fontKey="{B2F9A2C2-9211-4D2E-920F-496D374F6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96E4" w14:textId="77777777" w:rsidR="002134BE" w:rsidRDefault="002134B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4525" w14:textId="77777777" w:rsidR="002134BE" w:rsidRDefault="002134B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47A6" w14:textId="77777777" w:rsidR="002134BE" w:rsidRDefault="002134B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BFA86" w14:textId="77777777" w:rsidR="00732A05" w:rsidRDefault="00732A05">
      <w:pPr>
        <w:spacing w:line="240" w:lineRule="auto"/>
      </w:pPr>
      <w:r>
        <w:separator/>
      </w:r>
    </w:p>
  </w:footnote>
  <w:footnote w:type="continuationSeparator" w:id="0">
    <w:p w14:paraId="7CC081FF" w14:textId="77777777" w:rsidR="00732A05" w:rsidRDefault="00732A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C023" w14:textId="77777777" w:rsidR="002134BE"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E254998">
        <v:shapetype id="_x0000_m103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1E254998">
        <v:shape id="PowerPlusWaterMarkObject3" o:spid="_x0000_s1025" type="#_x0000_m1030" style="position:absolute;margin-left:0;margin-top:0;width:592.85pt;height:66.9pt;rotation:315;z-index:-251656192;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o:lock v:ext="edit" text="t" shapetyp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C3F4" w14:textId="77777777" w:rsidR="002134BE"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7851CFF">
        <v:shapetype id="_x0000_m102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17851CFF">
        <v:shape id="PowerPlusWaterMarkObject1" o:spid="_x0000_s1027" type="#_x0000_m1029" style="position:absolute;margin-left:0;margin-top:0;width:592.85pt;height:66.9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o:lock v:ext="edit" text="t" shapetyp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F933" w14:textId="77777777" w:rsidR="002134BE"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68B60EC4">
        <v:shapetype id="_x0000_m1028"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68B60EC4">
        <v:shape id="PowerPlusWaterMarkObject2" o:spid="_x0000_s1026" type="#_x0000_m1028" style="position:absolute;margin-left:0;margin-top:0;width:592.85pt;height:66.9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902551"/>
    <w:multiLevelType w:val="multilevel"/>
    <w:tmpl w:val="9BEE7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9287845"/>
    <w:multiLevelType w:val="multilevel"/>
    <w:tmpl w:val="91D2BE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00016599">
    <w:abstractNumId w:val="0"/>
  </w:num>
  <w:num w:numId="2" w16cid:durableId="1546016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4BE"/>
    <w:rsid w:val="00163D31"/>
    <w:rsid w:val="002134BE"/>
    <w:rsid w:val="002B1F24"/>
    <w:rsid w:val="00732A05"/>
    <w:rsid w:val="00CF5881"/>
    <w:rsid w:val="00F03BF3"/>
    <w:rsid w:val="00F07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4CDC95C"/>
  <w15:docId w15:val="{DFC90CA8-A4DD-4FBC-A855-D43B3B452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59"/>
    <w:rsid w:val="00F153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04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4E5BC1"/>
    <w:rPr>
      <w:color w:val="0000FF" w:themeColor="hyperlink"/>
      <w:u w:val="single"/>
    </w:rPr>
  </w:style>
  <w:style w:type="paragraph" w:styleId="ListParagraph">
    <w:name w:val="List Paragraph"/>
    <w:basedOn w:val="Normal"/>
    <w:uiPriority w:val="34"/>
    <w:qFormat/>
    <w:rsid w:val="004E5BC1"/>
    <w:pPr>
      <w:ind w:left="720"/>
      <w:contextualSpacing/>
    </w:pPr>
  </w:style>
  <w:style w:type="paragraph" w:styleId="NoSpacing">
    <w:name w:val="No Spacing"/>
    <w:uiPriority w:val="1"/>
    <w:qFormat/>
    <w:rsid w:val="000A264D"/>
    <w:pPr>
      <w:spacing w:line="240" w:lineRule="auto"/>
    </w:pPr>
    <w:rPr>
      <w:rFonts w:asciiTheme="minorHAnsi" w:eastAsiaTheme="minorHAnsi" w:hAnsiTheme="minorHAnsi" w:cstheme="minorBidi"/>
      <w:kern w:val="2"/>
      <w:lang w:val="en-US"/>
    </w:rPr>
  </w:style>
  <w:style w:type="character" w:styleId="UnresolvedMention">
    <w:name w:val="Unresolved Mention"/>
    <w:basedOn w:val="DefaultParagraphFont"/>
    <w:uiPriority w:val="99"/>
    <w:semiHidden/>
    <w:unhideWhenUsed/>
    <w:rsid w:val="00ED4845"/>
    <w:rPr>
      <w:color w:val="605E5C"/>
      <w:shd w:val="clear" w:color="auto" w:fill="E1DFDD"/>
    </w:rPr>
  </w:style>
  <w:style w:type="paragraph" w:styleId="Header">
    <w:name w:val="header"/>
    <w:basedOn w:val="Normal"/>
    <w:link w:val="HeaderChar"/>
    <w:uiPriority w:val="99"/>
    <w:unhideWhenUsed/>
    <w:rsid w:val="00C55BA5"/>
    <w:pPr>
      <w:tabs>
        <w:tab w:val="center" w:pos="4680"/>
        <w:tab w:val="right" w:pos="9360"/>
      </w:tabs>
      <w:spacing w:line="240" w:lineRule="auto"/>
    </w:pPr>
  </w:style>
  <w:style w:type="character" w:customStyle="1" w:styleId="HeaderChar">
    <w:name w:val="Header Char"/>
    <w:basedOn w:val="DefaultParagraphFont"/>
    <w:link w:val="Header"/>
    <w:uiPriority w:val="99"/>
    <w:rsid w:val="00C55BA5"/>
  </w:style>
  <w:style w:type="paragraph" w:styleId="Footer">
    <w:name w:val="footer"/>
    <w:basedOn w:val="Normal"/>
    <w:link w:val="FooterChar"/>
    <w:uiPriority w:val="99"/>
    <w:unhideWhenUsed/>
    <w:rsid w:val="00C55BA5"/>
    <w:pPr>
      <w:tabs>
        <w:tab w:val="center" w:pos="4680"/>
        <w:tab w:val="right" w:pos="9360"/>
      </w:tabs>
      <w:spacing w:line="240" w:lineRule="auto"/>
    </w:pPr>
  </w:style>
  <w:style w:type="character" w:customStyle="1" w:styleId="FooterChar">
    <w:name w:val="Footer Char"/>
    <w:basedOn w:val="DefaultParagraphFont"/>
    <w:link w:val="Footer"/>
    <w:uiPriority w:val="99"/>
    <w:rsid w:val="00C55BA5"/>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45/3442188.3445922" TargetMode="External"/><Relationship Id="rId21" Type="http://schemas.openxmlformats.org/officeDocument/2006/relationships/hyperlink" Target="https://doi.org/10.1126/science.1130992" TargetMode="External"/><Relationship Id="rId42" Type="http://schemas.openxmlformats.org/officeDocument/2006/relationships/hyperlink" Target="https://doi.org/10.1109/tpami.2022.3162397" TargetMode="External"/><Relationship Id="rId47" Type="http://schemas.openxmlformats.org/officeDocument/2006/relationships/hyperlink" Target="https://arxiv.org/abs/2006.14026v3" TargetMode="External"/><Relationship Id="rId63" Type="http://schemas.openxmlformats.org/officeDocument/2006/relationships/hyperlink" Target="https://www.obsidiansecurity.com/blog/what-is-ai-governance?utm_" TargetMode="External"/><Relationship Id="rId68" Type="http://schemas.openxmlformats.org/officeDocument/2006/relationships/hyperlink" Target="https://doi.org/10.9734/ajrcos/2026/v19i1817" TargetMode="External"/><Relationship Id="rId84" Type="http://schemas.openxmlformats.org/officeDocument/2006/relationships/hyperlink" Target="https://www.verizon.com/business/resources/reports/2020-data-breach-investigations-report.pdf?utm_" TargetMode="External"/><Relationship Id="rId89" Type="http://schemas.openxmlformats.org/officeDocument/2006/relationships/hyperlink" Target="https://doi.org/10.18653/v1/2024.emnlp-main.834" TargetMode="External"/><Relationship Id="rId16" Type="http://schemas.openxmlformats.org/officeDocument/2006/relationships/hyperlink" Target="https://doi.org/10.9734/ajrcos/2025/v18i12788" TargetMode="External"/><Relationship Id="rId11" Type="http://schemas.openxmlformats.org/officeDocument/2006/relationships/image" Target="media/image4.png"/><Relationship Id="rId32" Type="http://schemas.openxmlformats.org/officeDocument/2006/relationships/hyperlink" Target="https://doi.org/10.1145/3585385" TargetMode="External"/><Relationship Id="rId37" Type="http://schemas.openxmlformats.org/officeDocument/2006/relationships/hyperlink" Target="https://www.fsb.org/uploads/P14112024.pdf" TargetMode="External"/><Relationship Id="rId53" Type="http://schemas.openxmlformats.org/officeDocument/2006/relationships/hyperlink" Target="https://doi.org/10.18653/v1/2020.acl-main.249" TargetMode="External"/><Relationship Id="rId58" Type="http://schemas.openxmlformats.org/officeDocument/2006/relationships/hyperlink" Target="https://doi.org/10.9734/jenrr/2025/v17i12482" TargetMode="External"/><Relationship Id="rId74" Type="http://schemas.openxmlformats.org/officeDocument/2006/relationships/hyperlink" Target="https://doi.org/10.1145/3351095.3372873" TargetMode="External"/><Relationship Id="rId79" Type="http://schemas.openxmlformats.org/officeDocument/2006/relationships/hyperlink" Target="https://doi.org/10.1145/3411764.3445518"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cie.2022.108859" TargetMode="External"/><Relationship Id="rId95" Type="http://schemas.openxmlformats.org/officeDocument/2006/relationships/hyperlink" Target="https://doi.org/10.1016/j.neunet.2023.10.034" TargetMode="External"/><Relationship Id="rId22" Type="http://schemas.openxmlformats.org/officeDocument/2006/relationships/hyperlink" Target="https://doi.org/10.1145/3453444" TargetMode="External"/><Relationship Id="rId27" Type="http://schemas.openxmlformats.org/officeDocument/2006/relationships/hyperlink" Target="https://arxiv.org/abs/2509.05162" TargetMode="External"/><Relationship Id="rId43" Type="http://schemas.openxmlformats.org/officeDocument/2006/relationships/hyperlink" Target="https://blog.pcisecuritystandards.org/pci-dss-v4-0-resource-hub?utm_" TargetMode="External"/><Relationship Id="rId48" Type="http://schemas.openxmlformats.org/officeDocument/2006/relationships/hyperlink" Target="https://doi.org/10.1561/2200000083" TargetMode="External"/><Relationship Id="rId64" Type="http://schemas.openxmlformats.org/officeDocument/2006/relationships/hyperlink" Target="https://doi.org/10.9734/jerr/2026/v28i11783" TargetMode="External"/><Relationship Id="rId69" Type="http://schemas.openxmlformats.org/officeDocument/2006/relationships/hyperlink" Target="https://doi.org/10.9734/jerr/2026/v28i21787" TargetMode="External"/><Relationship Id="rId80" Type="http://schemas.openxmlformats.org/officeDocument/2006/relationships/hyperlink" Target="https://doi.org/10.21428/e90189c8.68b5dea5" TargetMode="External"/><Relationship Id="rId85" Type="http://schemas.openxmlformats.org/officeDocument/2006/relationships/hyperlink" Target="https://doi.org/10.1057/s41599-025-04850-8" TargetMode="External"/><Relationship Id="rId12" Type="http://schemas.openxmlformats.org/officeDocument/2006/relationships/image" Target="media/image5.png"/><Relationship Id="rId17" Type="http://schemas.openxmlformats.org/officeDocument/2006/relationships/hyperlink" Target="https://doi.org/10.2196/87969" TargetMode="External"/><Relationship Id="rId25" Type="http://schemas.openxmlformats.org/officeDocument/2006/relationships/hyperlink" Target="https://doi.org/10.64388/irev8i2-1713553" TargetMode="External"/><Relationship Id="rId33" Type="http://schemas.openxmlformats.org/officeDocument/2006/relationships/hyperlink" Target="https://doi.org/10.1038/s41467-024-55631-x" TargetMode="External"/><Relationship Id="rId38" Type="http://schemas.openxmlformats.org/officeDocument/2006/relationships/hyperlink" Target="https://doi.org/10.18653/v1/2022.naacl-main.214" TargetMode="External"/><Relationship Id="rId46" Type="http://schemas.openxmlformats.org/officeDocument/2006/relationships/hyperlink" Target="https://doi.org/10.3390/electronics14234563" TargetMode="External"/><Relationship Id="rId59" Type="http://schemas.openxmlformats.org/officeDocument/2006/relationships/hyperlink" Target="https://doi.org/10.1109/sp40001.2021.00096" TargetMode="External"/><Relationship Id="rId67" Type="http://schemas.openxmlformats.org/officeDocument/2006/relationships/hyperlink" Target="https://doi.org/10.30574/wjarr.2025.26.1.1097" TargetMode="External"/><Relationship Id="rId103" Type="http://schemas.openxmlformats.org/officeDocument/2006/relationships/theme" Target="theme/theme1.xml"/><Relationship Id="rId20" Type="http://schemas.openxmlformats.org/officeDocument/2006/relationships/hyperlink" Target="https://doi.org/10.1038/s41591-024-03445-1" TargetMode="External"/><Relationship Id="rId41" Type="http://schemas.openxmlformats.org/officeDocument/2006/relationships/hyperlink" Target="https://www.esma.europa.eu/sites/default/files/2025-06/LLMs_in_finance_-_ILB_ESMA_Turing_Report.pdf" TargetMode="External"/><Relationship Id="rId54" Type="http://schemas.openxmlformats.org/officeDocument/2006/relationships/hyperlink" Target="https://doi.org/10.1109/jiot.2025.3603957" TargetMode="External"/><Relationship Id="rId62" Type="http://schemas.openxmlformats.org/officeDocument/2006/relationships/hyperlink" Target="https://doi.org/10.9734/ajrcos/2026/v19i1807" TargetMode="External"/><Relationship Id="rId70" Type="http://schemas.openxmlformats.org/officeDocument/2006/relationships/hyperlink" Target="https://doi.org/10.47191/etj/v11i01.35" TargetMode="External"/><Relationship Id="rId75" Type="http://schemas.openxmlformats.org/officeDocument/2006/relationships/hyperlink" Target="https://doi.org/10.48550/arxiv.2511.15759" TargetMode="External"/><Relationship Id="rId83" Type="http://schemas.openxmlformats.org/officeDocument/2006/relationships/hyperlink" Target="https://doi.org/10.9785/cri-2021-220402" TargetMode="External"/><Relationship Id="rId88" Type="http://schemas.openxmlformats.org/officeDocument/2006/relationships/hyperlink" Target="https://reports.weforum.org/docs/WEF_Artificial_Intelligence_in_Financial_Services_2025.pdf" TargetMode="External"/><Relationship Id="rId91" Type="http://schemas.openxmlformats.org/officeDocument/2006/relationships/hyperlink" Target="https://arxiv.org/abs/2401.00991v1"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roceedings.mlr.press/v108/bagdasaryan20a.html" TargetMode="External"/><Relationship Id="rId28" Type="http://schemas.openxmlformats.org/officeDocument/2006/relationships/hyperlink" Target="https://doi.org/10.1080/14765284.2022.2077632" TargetMode="External"/><Relationship Id="rId36" Type="http://schemas.openxmlformats.org/officeDocument/2006/relationships/hyperlink" Target="https://doi.org/10.1016/j.icte.2025.12.001" TargetMode="External"/><Relationship Id="rId49" Type="http://schemas.openxmlformats.org/officeDocument/2006/relationships/hyperlink" Target="https://doi.org/10.3390/info16110957" TargetMode="External"/><Relationship Id="rId57" Type="http://schemas.openxmlformats.org/officeDocument/2006/relationships/hyperlink" Target="https://pubmed.ncbi.nlm.nih.gov/40417555/" TargetMode="External"/><Relationship Id="rId10" Type="http://schemas.openxmlformats.org/officeDocument/2006/relationships/image" Target="media/image3.png"/><Relationship Id="rId31" Type="http://schemas.openxmlformats.org/officeDocument/2006/relationships/hyperlink" Target="https://doi.org/10.3390/bdcc10010008" TargetMode="External"/><Relationship Id="rId44" Type="http://schemas.openxmlformats.org/officeDocument/2006/relationships/hyperlink" Target="https://doi.org/10.3390/info17010054" TargetMode="External"/><Relationship Id="rId52" Type="http://schemas.openxmlformats.org/officeDocument/2006/relationships/hyperlink" Target="https://doi.org/10.48550/arXiv.2503.09302" TargetMode="External"/><Relationship Id="rId60" Type="http://schemas.openxmlformats.org/officeDocument/2006/relationships/hyperlink" Target="https://www.nist.gov/itl/ai-risk-management-framework" TargetMode="External"/><Relationship Id="rId65" Type="http://schemas.openxmlformats.org/officeDocument/2006/relationships/hyperlink" Target="https://doi.org/10.9734/jerr/2026/v28i11784" TargetMode="External"/><Relationship Id="rId73" Type="http://schemas.openxmlformats.org/officeDocument/2006/relationships/hyperlink" Target="https://www.esentire.com/blog/model-context-protocol-security-critical-vulnerabilities-every-ciso-should-address-in-2025?utm_" TargetMode="External"/><Relationship Id="rId78" Type="http://schemas.openxmlformats.org/officeDocument/2006/relationships/hyperlink" Target="https://doi.org/10.1016/j.cose.2015.10.006" TargetMode="External"/><Relationship Id="rId81" Type="http://schemas.openxmlformats.org/officeDocument/2006/relationships/hyperlink" Target="https://catalog.freelibrary.org/Record/1925339?utm_" TargetMode="External"/><Relationship Id="rId86" Type="http://schemas.openxmlformats.org/officeDocument/2006/relationships/hyperlink" Target="https://doi.org/10.1016/j.knosys.2024.111456" TargetMode="External"/><Relationship Id="rId94" Type="http://schemas.openxmlformats.org/officeDocument/2006/relationships/hyperlink" Target="https://info.arxiv.org/help/license/index.html"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ajrcos/2026/v19i1818" TargetMode="External"/><Relationship Id="rId39" Type="http://schemas.openxmlformats.org/officeDocument/2006/relationships/hyperlink" Target="https://doi.org/10.32604/cmc.2025.074081" TargetMode="External"/><Relationship Id="rId34" Type="http://schemas.openxmlformats.org/officeDocument/2006/relationships/hyperlink" Target="https://doi.org/10.3390/app13074645" TargetMode="External"/><Relationship Id="rId50" Type="http://schemas.openxmlformats.org/officeDocument/2006/relationships/hyperlink" Target="https://doi.org/10.1109/mc.2022.3141228" TargetMode="External"/><Relationship Id="rId55" Type="http://schemas.openxmlformats.org/officeDocument/2006/relationships/hyperlink" Target="https://doi.org/10.1145/3604237.3626869" TargetMode="External"/><Relationship Id="rId76" Type="http://schemas.openxmlformats.org/officeDocument/2006/relationships/hyperlink" Target="https://doi.org/10.1145/2939672.2939778"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109/mc.2022.3190787" TargetMode="External"/><Relationship Id="rId92" Type="http://schemas.openxmlformats.org/officeDocument/2006/relationships/hyperlink" Target="https://arxiv.org/abs/2404.07234v4" TargetMode="External"/><Relationship Id="rId2" Type="http://schemas.openxmlformats.org/officeDocument/2006/relationships/numbering" Target="numbering.xml"/><Relationship Id="rId29" Type="http://schemas.openxmlformats.org/officeDocument/2006/relationships/hyperlink" Target="https://arxiv.org/abs/2302.10149" TargetMode="External"/><Relationship Id="rId24" Type="http://schemas.openxmlformats.org/officeDocument/2006/relationships/hyperlink" Target="https://doi.org/10.1007/s43546-023-00618-x" TargetMode="External"/><Relationship Id="rId40" Type="http://schemas.openxmlformats.org/officeDocument/2006/relationships/hyperlink" Target="https://doi.org/10.1109/access.2024.3487298" TargetMode="External"/><Relationship Id="rId45" Type="http://schemas.openxmlformats.org/officeDocument/2006/relationships/hyperlink" Target="https://doi.org/10.48009/4_iis_2025_135" TargetMode="External"/><Relationship Id="rId66" Type="http://schemas.openxmlformats.org/officeDocument/2006/relationships/hyperlink" Target="https://doi.org/10.9734/jerr/2026/v28i21786" TargetMode="External"/><Relationship Id="rId87" Type="http://schemas.openxmlformats.org/officeDocument/2006/relationships/hyperlink" Target="https://doi.org/10.1145/3538707" TargetMode="External"/><Relationship Id="rId61" Type="http://schemas.openxmlformats.org/officeDocument/2006/relationships/hyperlink" Target="https://doi.org/10.9734/jerr/2025/v27i21390" TargetMode="External"/><Relationship Id="rId82" Type="http://schemas.openxmlformats.org/officeDocument/2006/relationships/hyperlink" Target="https://doi.org/10.1109/SPW50608.2020.00028" TargetMode="External"/><Relationship Id="rId19" Type="http://schemas.openxmlformats.org/officeDocument/2006/relationships/hyperlink" Target="https://doi.org/10.1080/23311975.2025.2544230" TargetMode="External"/><Relationship Id="rId14" Type="http://schemas.openxmlformats.org/officeDocument/2006/relationships/image" Target="media/image7.png"/><Relationship Id="rId30" Type="http://schemas.openxmlformats.org/officeDocument/2006/relationships/hyperlink" Target="https://doi.org/10.32628/cseit251112115" TargetMode="External"/><Relationship Id="rId35" Type="http://schemas.openxmlformats.org/officeDocument/2006/relationships/hyperlink" Target="https://arxiv.org/abs/2503.05937" TargetMode="External"/><Relationship Id="rId56" Type="http://schemas.openxmlformats.org/officeDocument/2006/relationships/hyperlink" Target="https://doi.org/10.48550/arXiv.2306.05499" TargetMode="External"/><Relationship Id="rId77" Type="http://schemas.openxmlformats.org/officeDocument/2006/relationships/hyperlink" Target="https://doi.org/10.6028/nist.sp.800-207"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0574/wjaets.2025.15.2.0660" TargetMode="External"/><Relationship Id="rId72" Type="http://schemas.openxmlformats.org/officeDocument/2006/relationships/hyperlink" Target="https://genai.owasp.org/llmrisk/llm01-prompt-injection/?utm_" TargetMode="External"/><Relationship Id="rId93" Type="http://schemas.openxmlformats.org/officeDocument/2006/relationships/hyperlink" Target="https://doi.org/10.3390/systems13020083" TargetMode="External"/><Relationship Id="rId9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CA5AjDUtRjahDs8hA8ktnZUFA==">CgMxLjAyDmgueWg0eDZodnhzazFmMg5oLm85OGllOXd6NjRmaDIOaC5icGIwMnE0azJ4cnIyDmguNGxqNjcxNDdrYjY0Mg5oLmozdGJmMnR2ZjhiMDIOaC5ueW0yYnc1MTZid3cyDmgueXRjNzZudnVwMjUzMg5oLmViMzZ1MGJ4MTFiYjIOaC52bWtuZHg2dzlpY2QyDmguZ3huZjFjMjZqeGE0Mg5oLmx5azNvZnE1ZXVpMDgAciExOUlYdFB6QVRpTnduei1VTzRkaFdqam1lVE5ZMTNfN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12708</Words>
  <Characters>72441</Characters>
  <Application>Microsoft Office Word</Application>
  <DocSecurity>0</DocSecurity>
  <Lines>603</Lines>
  <Paragraphs>169</Paragraphs>
  <ScaleCrop>false</ScaleCrop>
  <Company/>
  <LinksUpToDate>false</LinksUpToDate>
  <CharactersWithSpaces>84980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91</cp:lastModifiedBy>
  <cp:revision>4</cp:revision>
  <dcterms:created xsi:type="dcterms:W3CDTF">2026-02-11T10:20:00Z</dcterms:created>
  <dcterms:modified xsi:type="dcterms:W3CDTF">2026-03-10T07:38:00Z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20340188-315c-41aa-ae19-0e73ed8b25ec</vt:lpwstr>
  </property>
</Properties>
</file>