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3455" w14:textId="77777777" w:rsidR="009872E5" w:rsidRPr="009872E5" w:rsidRDefault="009872E5" w:rsidP="009872E5">
      <w:pPr>
        <w:spacing w:after="0" w:line="360" w:lineRule="auto"/>
        <w:jc w:val="right"/>
        <w:rPr>
          <w:rFonts w:ascii="Times New Roman" w:hAnsi="Times New Roman" w:cs="Times New Roman"/>
          <w:b/>
          <w:bCs/>
          <w:i/>
          <w:sz w:val="32"/>
          <w:szCs w:val="24"/>
          <w:u w:val="single"/>
        </w:rPr>
      </w:pPr>
      <w:r w:rsidRPr="009872E5">
        <w:rPr>
          <w:rFonts w:ascii="Times New Roman" w:hAnsi="Times New Roman" w:cs="Times New Roman"/>
          <w:b/>
          <w:bCs/>
          <w:i/>
          <w:sz w:val="32"/>
          <w:szCs w:val="24"/>
          <w:u w:val="single"/>
        </w:rPr>
        <w:t>Original Research Article</w:t>
      </w:r>
    </w:p>
    <w:p w14:paraId="0A4B220A" w14:textId="28E3BADB" w:rsidR="00415297" w:rsidRPr="0032200B" w:rsidRDefault="00415297" w:rsidP="00642406">
      <w:pPr>
        <w:spacing w:after="0" w:line="360" w:lineRule="auto"/>
        <w:jc w:val="center"/>
        <w:rPr>
          <w:rFonts w:ascii="Times New Roman" w:hAnsi="Times New Roman" w:cs="Times New Roman"/>
          <w:b/>
          <w:bCs/>
          <w:sz w:val="24"/>
          <w:szCs w:val="24"/>
        </w:rPr>
      </w:pPr>
      <w:r w:rsidRPr="0032200B">
        <w:rPr>
          <w:rFonts w:ascii="Times New Roman" w:hAnsi="Times New Roman" w:cs="Times New Roman"/>
          <w:b/>
          <w:bCs/>
          <w:sz w:val="24"/>
          <w:szCs w:val="24"/>
        </w:rPr>
        <w:t xml:space="preserve">Impact of Organic Substrates on Oxidative Stress and Antioxidant Responses in </w:t>
      </w:r>
      <w:r w:rsidRPr="0032200B">
        <w:rPr>
          <w:rFonts w:ascii="Times New Roman" w:hAnsi="Times New Roman" w:cs="Times New Roman"/>
          <w:b/>
          <w:bCs/>
          <w:i/>
          <w:iCs/>
          <w:sz w:val="24"/>
          <w:szCs w:val="24"/>
        </w:rPr>
        <w:t xml:space="preserve">Perionyx </w:t>
      </w:r>
      <w:proofErr w:type="spellStart"/>
      <w:r w:rsidRPr="0032200B">
        <w:rPr>
          <w:rFonts w:ascii="Times New Roman" w:hAnsi="Times New Roman" w:cs="Times New Roman"/>
          <w:b/>
          <w:bCs/>
          <w:i/>
          <w:iCs/>
          <w:sz w:val="24"/>
          <w:szCs w:val="24"/>
        </w:rPr>
        <w:t>excavatus</w:t>
      </w:r>
      <w:proofErr w:type="spellEnd"/>
    </w:p>
    <w:p w14:paraId="3656D707" w14:textId="77777777" w:rsidR="00C4667F" w:rsidRDefault="00C4667F" w:rsidP="00CB3578">
      <w:pPr>
        <w:spacing w:after="0" w:line="360" w:lineRule="auto"/>
        <w:jc w:val="both"/>
        <w:rPr>
          <w:rFonts w:ascii="Times New Roman" w:hAnsi="Times New Roman" w:cs="Times New Roman"/>
          <w:b/>
          <w:bCs/>
          <w:sz w:val="24"/>
          <w:szCs w:val="24"/>
        </w:rPr>
      </w:pPr>
    </w:p>
    <w:p w14:paraId="5DE44622" w14:textId="7F994772" w:rsidR="007C5408" w:rsidRPr="0032200B" w:rsidRDefault="007C5408" w:rsidP="00CB3578">
      <w:p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Abstract</w:t>
      </w:r>
    </w:p>
    <w:p w14:paraId="07D3C6B9" w14:textId="387AA113"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Aim:</w:t>
      </w:r>
      <w:r w:rsidRPr="00E82EFD">
        <w:rPr>
          <w:rFonts w:ascii="Times New Roman" w:hAnsi="Times New Roman" w:cs="Times New Roman"/>
          <w:sz w:val="24"/>
          <w:szCs w:val="24"/>
        </w:rPr>
        <w:t xml:space="preserve"> The present study aimed to evaluate the influence of different organic substrates on oxidative stress and antioxidant </w:t>
      </w:r>
      <w:proofErr w:type="spellStart"/>
      <w:r w:rsidRPr="00E82EFD">
        <w:rPr>
          <w:rFonts w:ascii="Times New Roman" w:hAnsi="Times New Roman" w:cs="Times New Roman"/>
          <w:sz w:val="24"/>
          <w:szCs w:val="24"/>
        </w:rPr>
        <w:t>defense</w:t>
      </w:r>
      <w:proofErr w:type="spellEnd"/>
      <w:r w:rsidRPr="00E82EFD">
        <w:rPr>
          <w:rFonts w:ascii="Times New Roman" w:hAnsi="Times New Roman" w:cs="Times New Roman"/>
          <w:sz w:val="24"/>
          <w:szCs w:val="24"/>
        </w:rPr>
        <w:t xml:space="preserve"> mechanisms in the earthworm </w:t>
      </w:r>
      <w:r w:rsidRPr="00E82EFD">
        <w:rPr>
          <w:rFonts w:ascii="Times New Roman" w:hAnsi="Times New Roman" w:cs="Times New Roman"/>
          <w:i/>
          <w:iCs/>
          <w:sz w:val="24"/>
          <w:szCs w:val="24"/>
        </w:rPr>
        <w:t xml:space="preserve">Perionyx </w:t>
      </w:r>
      <w:proofErr w:type="spellStart"/>
      <w:r w:rsidRPr="00E82EFD">
        <w:rPr>
          <w:rFonts w:ascii="Times New Roman" w:hAnsi="Times New Roman" w:cs="Times New Roman"/>
          <w:i/>
          <w:iCs/>
          <w:sz w:val="24"/>
          <w:szCs w:val="24"/>
        </w:rPr>
        <w:t>excavatus</w:t>
      </w:r>
      <w:proofErr w:type="spellEnd"/>
      <w:r w:rsidRPr="00E82EFD">
        <w:rPr>
          <w:rFonts w:ascii="Times New Roman" w:hAnsi="Times New Roman" w:cs="Times New Roman"/>
          <w:sz w:val="24"/>
          <w:szCs w:val="24"/>
        </w:rPr>
        <w:t>, with particular emphasis on biochemical responses, antioxidant enzyme activities, oxidative damage biomarkers, and reactive oxygen species (ROS) balance under vermicomposting conditions.</w:t>
      </w:r>
    </w:p>
    <w:p w14:paraId="326C7093" w14:textId="603167C6"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Methodology:</w:t>
      </w:r>
      <w:r w:rsidRPr="00E82EFD">
        <w:rPr>
          <w:rFonts w:ascii="Times New Roman" w:hAnsi="Times New Roman" w:cs="Times New Roman"/>
          <w:sz w:val="24"/>
          <w:szCs w:val="24"/>
        </w:rPr>
        <w:t xml:space="preserve"> A controlled laboratory experiment was conducted over a 28-day exposure period to assess oxidative and biochemical responses of </w:t>
      </w:r>
      <w:r w:rsidRPr="00E82EFD">
        <w:rPr>
          <w:rFonts w:ascii="Times New Roman" w:hAnsi="Times New Roman" w:cs="Times New Roman"/>
          <w:i/>
          <w:iCs/>
          <w:sz w:val="24"/>
          <w:szCs w:val="24"/>
        </w:rPr>
        <w:t xml:space="preserve">P. </w:t>
      </w:r>
      <w:proofErr w:type="spellStart"/>
      <w:r w:rsidRPr="00E82EFD">
        <w:rPr>
          <w:rFonts w:ascii="Times New Roman" w:hAnsi="Times New Roman" w:cs="Times New Roman"/>
          <w:i/>
          <w:iCs/>
          <w:sz w:val="24"/>
          <w:szCs w:val="24"/>
        </w:rPr>
        <w:t>excavatus</w:t>
      </w:r>
      <w:proofErr w:type="spellEnd"/>
      <w:r w:rsidRPr="00E82EFD">
        <w:rPr>
          <w:rFonts w:ascii="Times New Roman" w:hAnsi="Times New Roman" w:cs="Times New Roman"/>
          <w:sz w:val="24"/>
          <w:szCs w:val="24"/>
        </w:rPr>
        <w:t xml:space="preserve"> under </w:t>
      </w:r>
      <w:r>
        <w:rPr>
          <w:rFonts w:ascii="Times New Roman" w:hAnsi="Times New Roman" w:cs="Times New Roman"/>
          <w:sz w:val="24"/>
          <w:szCs w:val="24"/>
        </w:rPr>
        <w:t>04</w:t>
      </w:r>
      <w:r w:rsidRPr="00E82EFD">
        <w:rPr>
          <w:rFonts w:ascii="Times New Roman" w:hAnsi="Times New Roman" w:cs="Times New Roman"/>
          <w:sz w:val="24"/>
          <w:szCs w:val="24"/>
        </w:rPr>
        <w:t xml:space="preserve"> substrate treatments: garden soil (control), cow dung + sugarcane bagasse (1:1), horse dung + sugarcane bagasse (1:1), and a mixed substrate of cow dung + horse dung + sugarcane bagasse (1:1:1). Biochemical parameters such as total protein content and antioxidant enzymes including superoxide dismutase (SOD), catalase (CAT), and glutathione peroxidase (</w:t>
      </w:r>
      <w:proofErr w:type="spellStart"/>
      <w:r w:rsidRPr="00E82EFD">
        <w:rPr>
          <w:rFonts w:ascii="Times New Roman" w:hAnsi="Times New Roman" w:cs="Times New Roman"/>
          <w:sz w:val="24"/>
          <w:szCs w:val="24"/>
        </w:rPr>
        <w:t>GPx</w:t>
      </w:r>
      <w:proofErr w:type="spellEnd"/>
      <w:r w:rsidRPr="00E82EFD">
        <w:rPr>
          <w:rFonts w:ascii="Times New Roman" w:hAnsi="Times New Roman" w:cs="Times New Roman"/>
          <w:sz w:val="24"/>
          <w:szCs w:val="24"/>
        </w:rPr>
        <w:t xml:space="preserve">) </w:t>
      </w:r>
      <w:r>
        <w:rPr>
          <w:rFonts w:ascii="Times New Roman" w:hAnsi="Times New Roman" w:cs="Times New Roman"/>
          <w:sz w:val="24"/>
          <w:szCs w:val="24"/>
        </w:rPr>
        <w:t>was</w:t>
      </w:r>
      <w:r w:rsidRPr="00E82EFD">
        <w:rPr>
          <w:rFonts w:ascii="Times New Roman" w:hAnsi="Times New Roman" w:cs="Times New Roman"/>
          <w:sz w:val="24"/>
          <w:szCs w:val="24"/>
        </w:rPr>
        <w:t xml:space="preserve"> </w:t>
      </w:r>
      <w:proofErr w:type="spellStart"/>
      <w:r w:rsidRPr="00E82EFD">
        <w:rPr>
          <w:rFonts w:ascii="Times New Roman" w:hAnsi="Times New Roman" w:cs="Times New Roman"/>
          <w:sz w:val="24"/>
          <w:szCs w:val="24"/>
        </w:rPr>
        <w:t>analyzed</w:t>
      </w:r>
      <w:proofErr w:type="spellEnd"/>
      <w:r w:rsidRPr="00E82EFD">
        <w:rPr>
          <w:rFonts w:ascii="Times New Roman" w:hAnsi="Times New Roman" w:cs="Times New Roman"/>
          <w:sz w:val="24"/>
          <w:szCs w:val="24"/>
        </w:rPr>
        <w:t xml:space="preserve">. Detoxification enzyme glutathione-S-transferase (GST) and reduced glutathione (GSH) levels were also quantified. Oxidative damage was assessed through lipid peroxidation (MDA) and DNA damage using comet assay. Data were expressed as mean ± standard deviation (n = 5) and </w:t>
      </w:r>
      <w:proofErr w:type="spellStart"/>
      <w:r w:rsidRPr="00E82EFD">
        <w:rPr>
          <w:rFonts w:ascii="Times New Roman" w:hAnsi="Times New Roman" w:cs="Times New Roman"/>
          <w:sz w:val="24"/>
          <w:szCs w:val="24"/>
        </w:rPr>
        <w:t>analyzed</w:t>
      </w:r>
      <w:proofErr w:type="spellEnd"/>
      <w:r w:rsidRPr="00E82EFD">
        <w:rPr>
          <w:rFonts w:ascii="Times New Roman" w:hAnsi="Times New Roman" w:cs="Times New Roman"/>
          <w:sz w:val="24"/>
          <w:szCs w:val="24"/>
        </w:rPr>
        <w:t xml:space="preserve"> using one-way ANOVA followed by Tukey’s HSD test (p &lt; 0.05).</w:t>
      </w:r>
    </w:p>
    <w:p w14:paraId="56E26CE3" w14:textId="432C6C2E"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 xml:space="preserve">Results: </w:t>
      </w:r>
      <w:r w:rsidRPr="00E82EFD">
        <w:rPr>
          <w:rFonts w:ascii="Times New Roman" w:hAnsi="Times New Roman" w:cs="Times New Roman"/>
          <w:sz w:val="24"/>
          <w:szCs w:val="24"/>
        </w:rPr>
        <w:t xml:space="preserve">Organic substrates significantly modulated biochemical and oxidative responses in </w:t>
      </w:r>
      <w:r w:rsidRPr="00E82EFD">
        <w:rPr>
          <w:rFonts w:ascii="Times New Roman" w:hAnsi="Times New Roman" w:cs="Times New Roman"/>
          <w:i/>
          <w:iCs/>
          <w:sz w:val="24"/>
          <w:szCs w:val="24"/>
        </w:rPr>
        <w:t xml:space="preserve">P. </w:t>
      </w:r>
      <w:proofErr w:type="spellStart"/>
      <w:r w:rsidRPr="00E82EFD">
        <w:rPr>
          <w:rFonts w:ascii="Times New Roman" w:hAnsi="Times New Roman" w:cs="Times New Roman"/>
          <w:i/>
          <w:iCs/>
          <w:sz w:val="24"/>
          <w:szCs w:val="24"/>
        </w:rPr>
        <w:t>excavatus</w:t>
      </w:r>
      <w:proofErr w:type="spellEnd"/>
      <w:r w:rsidRPr="00E82EFD">
        <w:rPr>
          <w:rFonts w:ascii="Times New Roman" w:hAnsi="Times New Roman" w:cs="Times New Roman"/>
          <w:i/>
          <w:iCs/>
          <w:sz w:val="24"/>
          <w:szCs w:val="24"/>
        </w:rPr>
        <w:t>.</w:t>
      </w:r>
      <w:r w:rsidRPr="00E82EFD">
        <w:rPr>
          <w:rFonts w:ascii="Times New Roman" w:hAnsi="Times New Roman" w:cs="Times New Roman"/>
          <w:sz w:val="24"/>
          <w:szCs w:val="24"/>
        </w:rPr>
        <w:t xml:space="preserve"> Treated groups exhibited elevated protein content and antioxidant enzyme activities compared to the control. The mixed substrate showed the highest SOD, CAT, </w:t>
      </w:r>
      <w:proofErr w:type="spellStart"/>
      <w:r w:rsidRPr="00E82EFD">
        <w:rPr>
          <w:rFonts w:ascii="Times New Roman" w:hAnsi="Times New Roman" w:cs="Times New Roman"/>
          <w:sz w:val="24"/>
          <w:szCs w:val="24"/>
        </w:rPr>
        <w:t>GPx</w:t>
      </w:r>
      <w:proofErr w:type="spellEnd"/>
      <w:r w:rsidRPr="00E82EFD">
        <w:rPr>
          <w:rFonts w:ascii="Times New Roman" w:hAnsi="Times New Roman" w:cs="Times New Roman"/>
          <w:sz w:val="24"/>
          <w:szCs w:val="24"/>
        </w:rPr>
        <w:t xml:space="preserve">, GST activities and GSH levels, indicating enhanced antioxidant </w:t>
      </w:r>
      <w:proofErr w:type="spellStart"/>
      <w:r w:rsidRPr="00E82EFD">
        <w:rPr>
          <w:rFonts w:ascii="Times New Roman" w:hAnsi="Times New Roman" w:cs="Times New Roman"/>
          <w:sz w:val="24"/>
          <w:szCs w:val="24"/>
        </w:rPr>
        <w:t>defense</w:t>
      </w:r>
      <w:proofErr w:type="spellEnd"/>
      <w:r w:rsidRPr="00E82EFD">
        <w:rPr>
          <w:rFonts w:ascii="Times New Roman" w:hAnsi="Times New Roman" w:cs="Times New Roman"/>
          <w:sz w:val="24"/>
          <w:szCs w:val="24"/>
        </w:rPr>
        <w:t>. Conversely, the horse dung + bagasse treatment exhibited increased lipid peroxidation and DNA damage, reflecting higher oxidative stress.</w:t>
      </w:r>
    </w:p>
    <w:p w14:paraId="693F09D8" w14:textId="1A3EFB4D"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Conclusion:</w:t>
      </w:r>
      <w:r w:rsidRPr="00E82EFD">
        <w:rPr>
          <w:rFonts w:ascii="Times New Roman" w:hAnsi="Times New Roman" w:cs="Times New Roman"/>
          <w:sz w:val="24"/>
          <w:szCs w:val="24"/>
        </w:rPr>
        <w:t xml:space="preserve"> Substrate composition strongly influences oxidative physiology in </w:t>
      </w:r>
      <w:r w:rsidRPr="00E82EFD">
        <w:rPr>
          <w:rFonts w:ascii="Times New Roman" w:hAnsi="Times New Roman" w:cs="Times New Roman"/>
          <w:i/>
          <w:iCs/>
          <w:sz w:val="24"/>
          <w:szCs w:val="24"/>
        </w:rPr>
        <w:t xml:space="preserve">P. </w:t>
      </w:r>
      <w:proofErr w:type="spellStart"/>
      <w:r w:rsidRPr="00E82EFD">
        <w:rPr>
          <w:rFonts w:ascii="Times New Roman" w:hAnsi="Times New Roman" w:cs="Times New Roman"/>
          <w:i/>
          <w:iCs/>
          <w:sz w:val="24"/>
          <w:szCs w:val="24"/>
        </w:rPr>
        <w:t>excavatus</w:t>
      </w:r>
      <w:proofErr w:type="spellEnd"/>
      <w:r w:rsidRPr="00E82EFD">
        <w:rPr>
          <w:rFonts w:ascii="Times New Roman" w:hAnsi="Times New Roman" w:cs="Times New Roman"/>
          <w:i/>
          <w:iCs/>
          <w:sz w:val="24"/>
          <w:szCs w:val="24"/>
        </w:rPr>
        <w:t>.</w:t>
      </w:r>
      <w:r w:rsidRPr="00E82EFD">
        <w:rPr>
          <w:rFonts w:ascii="Times New Roman" w:hAnsi="Times New Roman" w:cs="Times New Roman"/>
          <w:sz w:val="24"/>
          <w:szCs w:val="24"/>
        </w:rPr>
        <w:t xml:space="preserve"> Mixed substrates enhance antioxidant </w:t>
      </w:r>
      <w:proofErr w:type="spellStart"/>
      <w:r w:rsidRPr="00E82EFD">
        <w:rPr>
          <w:rFonts w:ascii="Times New Roman" w:hAnsi="Times New Roman" w:cs="Times New Roman"/>
          <w:sz w:val="24"/>
          <w:szCs w:val="24"/>
        </w:rPr>
        <w:t>defenses</w:t>
      </w:r>
      <w:proofErr w:type="spellEnd"/>
      <w:r w:rsidRPr="00E82EFD">
        <w:rPr>
          <w:rFonts w:ascii="Times New Roman" w:hAnsi="Times New Roman" w:cs="Times New Roman"/>
          <w:sz w:val="24"/>
          <w:szCs w:val="24"/>
        </w:rPr>
        <w:t xml:space="preserve"> and reduce oxidative damage, supporting efficient vermicomposting. The species also serves as a reliable bioindicator of substrate quality and oxidative stress.</w:t>
      </w:r>
    </w:p>
    <w:p w14:paraId="53975419" w14:textId="4ABD004D" w:rsidR="007E007A"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Keywords:</w:t>
      </w:r>
      <w:r w:rsidRPr="00E82EFD">
        <w:rPr>
          <w:rFonts w:ascii="Times New Roman" w:hAnsi="Times New Roman" w:cs="Times New Roman"/>
          <w:sz w:val="24"/>
          <w:szCs w:val="24"/>
        </w:rPr>
        <w:t xml:space="preserve"> </w:t>
      </w:r>
      <w:r w:rsidRPr="00E82EFD">
        <w:rPr>
          <w:rFonts w:ascii="Times New Roman" w:hAnsi="Times New Roman" w:cs="Times New Roman"/>
          <w:i/>
          <w:iCs/>
          <w:sz w:val="24"/>
          <w:szCs w:val="24"/>
        </w:rPr>
        <w:t xml:space="preserve">Perionyx </w:t>
      </w:r>
      <w:proofErr w:type="spellStart"/>
      <w:r w:rsidRPr="00E82EFD">
        <w:rPr>
          <w:rFonts w:ascii="Times New Roman" w:hAnsi="Times New Roman" w:cs="Times New Roman"/>
          <w:i/>
          <w:iCs/>
          <w:sz w:val="24"/>
          <w:szCs w:val="24"/>
        </w:rPr>
        <w:t>excavatus</w:t>
      </w:r>
      <w:proofErr w:type="spellEnd"/>
      <w:r w:rsidRPr="00E82EFD">
        <w:rPr>
          <w:rFonts w:ascii="Times New Roman" w:hAnsi="Times New Roman" w:cs="Times New Roman"/>
          <w:sz w:val="24"/>
          <w:szCs w:val="24"/>
        </w:rPr>
        <w:t>, oxidative stress, antioxidant enzymes, glutathione, vermiculture.</w:t>
      </w:r>
    </w:p>
    <w:p w14:paraId="055DD8EC" w14:textId="77777777" w:rsidR="006F075F" w:rsidRPr="0032200B" w:rsidRDefault="006F075F" w:rsidP="007E007A">
      <w:pPr>
        <w:spacing w:after="0" w:line="360" w:lineRule="auto"/>
        <w:jc w:val="both"/>
        <w:rPr>
          <w:rFonts w:ascii="Times New Roman" w:hAnsi="Times New Roman" w:cs="Times New Roman"/>
          <w:sz w:val="24"/>
          <w:szCs w:val="24"/>
        </w:rPr>
      </w:pPr>
    </w:p>
    <w:p w14:paraId="682661AA" w14:textId="2C0AC7B3" w:rsidR="007C5408" w:rsidRPr="0032200B" w:rsidRDefault="007C5408" w:rsidP="006F075F">
      <w:pPr>
        <w:pStyle w:val="ListParagraph"/>
        <w:numPr>
          <w:ilvl w:val="0"/>
          <w:numId w:val="2"/>
        </w:num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lastRenderedPageBreak/>
        <w:t>Introduction</w:t>
      </w:r>
    </w:p>
    <w:p w14:paraId="253808ED" w14:textId="0F13AD4D"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Earthworms are widely recognized as important soil bioengineers that play a crucial role in maintaining soil health and ecosystem functioning. Through their activities such as burrowing, feeding, and casting, earthworms contribute significantly to nutrient cycling, organic matter decomposition, and the improvement of soil structure and fertility (Edwards &amp; Bohlen, 1996; Domínguez et al., 200</w:t>
      </w:r>
      <w:r w:rsidR="00E901F0">
        <w:rPr>
          <w:rFonts w:ascii="Times New Roman" w:hAnsi="Times New Roman" w:cs="Times New Roman"/>
          <w:sz w:val="24"/>
          <w:szCs w:val="24"/>
        </w:rPr>
        <w:t>9</w:t>
      </w:r>
      <w:r w:rsidRPr="0032200B">
        <w:rPr>
          <w:rFonts w:ascii="Times New Roman" w:hAnsi="Times New Roman" w:cs="Times New Roman"/>
          <w:sz w:val="24"/>
          <w:szCs w:val="24"/>
        </w:rPr>
        <w:t xml:space="preserve">). Among the various earthworm species used in vermiculture, </w:t>
      </w:r>
      <w:r w:rsidRPr="000538E9">
        <w:rPr>
          <w:rFonts w:ascii="Times New Roman" w:hAnsi="Times New Roman" w:cs="Times New Roman"/>
          <w:i/>
          <w:iCs/>
          <w:sz w:val="24"/>
          <w:szCs w:val="24"/>
        </w:rPr>
        <w:t xml:space="preserve">Perionyx </w:t>
      </w:r>
      <w:proofErr w:type="spellStart"/>
      <w:r w:rsidRPr="000538E9">
        <w:rPr>
          <w:rFonts w:ascii="Times New Roman" w:hAnsi="Times New Roman" w:cs="Times New Roman"/>
          <w:i/>
          <w:iCs/>
          <w:sz w:val="24"/>
          <w:szCs w:val="24"/>
        </w:rPr>
        <w:t>excavatus</w:t>
      </w:r>
      <w:proofErr w:type="spellEnd"/>
      <w:r w:rsidRPr="0032200B">
        <w:rPr>
          <w:rFonts w:ascii="Times New Roman" w:hAnsi="Times New Roman" w:cs="Times New Roman"/>
          <w:sz w:val="24"/>
          <w:szCs w:val="24"/>
        </w:rPr>
        <w:t xml:space="preserve"> has received considerable attention because of its high reproductive rate, rapid growth, efficient organic waste conversion capacity, and adaptability to a wide range of organic substrates (Prakash et al., 2008). Due to these characteristics, this species is frequently used in vermicomposting systems and has also been considered a useful biological model for evaluating physiological responses to environmental changes. In particular, the study of oxidative stress responses in </w:t>
      </w:r>
      <w:r w:rsidRPr="000538E9">
        <w:rPr>
          <w:rFonts w:ascii="Times New Roman" w:hAnsi="Times New Roman" w:cs="Times New Roman"/>
          <w:i/>
          <w:iCs/>
          <w:sz w:val="24"/>
          <w:szCs w:val="24"/>
        </w:rPr>
        <w:t xml:space="preserve">P. </w:t>
      </w:r>
      <w:proofErr w:type="spellStart"/>
      <w:r w:rsidRPr="000538E9">
        <w:rPr>
          <w:rFonts w:ascii="Times New Roman" w:hAnsi="Times New Roman" w:cs="Times New Roman"/>
          <w:i/>
          <w:iCs/>
          <w:sz w:val="24"/>
          <w:szCs w:val="24"/>
        </w:rPr>
        <w:t>excavatus</w:t>
      </w:r>
      <w:proofErr w:type="spellEnd"/>
      <w:r w:rsidRPr="0032200B">
        <w:rPr>
          <w:rFonts w:ascii="Times New Roman" w:hAnsi="Times New Roman" w:cs="Times New Roman"/>
          <w:sz w:val="24"/>
          <w:szCs w:val="24"/>
        </w:rPr>
        <w:t xml:space="preserve"> provides valuable insights into earthworm health and soil ecosystem dynamics.</w:t>
      </w:r>
    </w:p>
    <w:p w14:paraId="71BB2E7C" w14:textId="747604D6"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Oxidative stress occurs when the production of reactive oxygen species (ROS) exceeds the capacity of cellular antioxidant </w:t>
      </w:r>
      <w:proofErr w:type="spellStart"/>
      <w:r w:rsidRPr="0032200B">
        <w:rPr>
          <w:rFonts w:ascii="Times New Roman" w:hAnsi="Times New Roman" w:cs="Times New Roman"/>
          <w:sz w:val="24"/>
          <w:szCs w:val="24"/>
        </w:rPr>
        <w:t>defense</w:t>
      </w:r>
      <w:proofErr w:type="spellEnd"/>
      <w:r w:rsidRPr="0032200B">
        <w:rPr>
          <w:rFonts w:ascii="Times New Roman" w:hAnsi="Times New Roman" w:cs="Times New Roman"/>
          <w:sz w:val="24"/>
          <w:szCs w:val="24"/>
        </w:rPr>
        <w:t xml:space="preserve"> systems, leading to potential damage to essential biomolecules such as lipids, proteins, and nucleic acids (Halliwell &amp; </w:t>
      </w:r>
      <w:proofErr w:type="spellStart"/>
      <w:r w:rsidRPr="0032200B">
        <w:rPr>
          <w:rFonts w:ascii="Times New Roman" w:hAnsi="Times New Roman" w:cs="Times New Roman"/>
          <w:sz w:val="24"/>
          <w:szCs w:val="24"/>
        </w:rPr>
        <w:t>Gutteridge</w:t>
      </w:r>
      <w:proofErr w:type="spellEnd"/>
      <w:r w:rsidRPr="0032200B">
        <w:rPr>
          <w:rFonts w:ascii="Times New Roman" w:hAnsi="Times New Roman" w:cs="Times New Roman"/>
          <w:sz w:val="24"/>
          <w:szCs w:val="24"/>
        </w:rPr>
        <w:t>, 2015). In invertebrates, including earthworms, ROS can originate from both endogenous metabolic processes and external environmental factors. These factors include exposure to pollutants, nutrient-rich organic wastes, microbial activity, and other environmental stressors that may alter cellular redox balance (</w:t>
      </w:r>
      <w:r w:rsidR="00E901F0">
        <w:rPr>
          <w:rFonts w:ascii="Times New Roman" w:hAnsi="Times New Roman" w:cs="Times New Roman"/>
          <w:sz w:val="24"/>
          <w:szCs w:val="24"/>
        </w:rPr>
        <w:t xml:space="preserve">Shi </w:t>
      </w:r>
      <w:r w:rsidRPr="0032200B">
        <w:rPr>
          <w:rFonts w:ascii="Times New Roman" w:hAnsi="Times New Roman" w:cs="Times New Roman"/>
          <w:sz w:val="24"/>
          <w:szCs w:val="24"/>
        </w:rPr>
        <w:t xml:space="preserve">et al., 2017). To counteract the harmful effects of ROS, organisms possess a complex antioxidant </w:t>
      </w:r>
      <w:proofErr w:type="spellStart"/>
      <w:r w:rsidRPr="0032200B">
        <w:rPr>
          <w:rFonts w:ascii="Times New Roman" w:hAnsi="Times New Roman" w:cs="Times New Roman"/>
          <w:sz w:val="24"/>
          <w:szCs w:val="24"/>
        </w:rPr>
        <w:t>defense</w:t>
      </w:r>
      <w:proofErr w:type="spellEnd"/>
      <w:r w:rsidRPr="0032200B">
        <w:rPr>
          <w:rFonts w:ascii="Times New Roman" w:hAnsi="Times New Roman" w:cs="Times New Roman"/>
          <w:sz w:val="24"/>
          <w:szCs w:val="24"/>
        </w:rPr>
        <w:t xml:space="preserve"> system composed of enzymatic and non-enzymatic components</w:t>
      </w:r>
      <w:r w:rsidR="0038254E">
        <w:rPr>
          <w:rFonts w:ascii="Times New Roman" w:hAnsi="Times New Roman" w:cs="Times New Roman"/>
          <w:sz w:val="24"/>
          <w:szCs w:val="24"/>
        </w:rPr>
        <w:t xml:space="preserve"> (Figure 1)</w:t>
      </w:r>
      <w:r w:rsidRPr="0032200B">
        <w:rPr>
          <w:rFonts w:ascii="Times New Roman" w:hAnsi="Times New Roman" w:cs="Times New Roman"/>
          <w:sz w:val="24"/>
          <w:szCs w:val="24"/>
        </w:rPr>
        <w:t>. Key enzymatic antioxidants include superoxide dismutase (SOD), catalase (CAT), and glutathione peroxidase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which collectively detoxify superoxide radicals and hydrogen peroxide generated during cellular metabolism (</w:t>
      </w:r>
      <w:proofErr w:type="spellStart"/>
      <w:r w:rsidRPr="0032200B">
        <w:rPr>
          <w:rFonts w:ascii="Times New Roman" w:hAnsi="Times New Roman" w:cs="Times New Roman"/>
          <w:sz w:val="24"/>
          <w:szCs w:val="24"/>
        </w:rPr>
        <w:t>Aebi</w:t>
      </w:r>
      <w:proofErr w:type="spellEnd"/>
      <w:r w:rsidRPr="0032200B">
        <w:rPr>
          <w:rFonts w:ascii="Times New Roman" w:hAnsi="Times New Roman" w:cs="Times New Roman"/>
          <w:sz w:val="24"/>
          <w:szCs w:val="24"/>
        </w:rPr>
        <w:t xml:space="preserve">, 1984; </w:t>
      </w:r>
      <w:proofErr w:type="spellStart"/>
      <w:r w:rsidRPr="0032200B">
        <w:rPr>
          <w:rFonts w:ascii="Times New Roman" w:hAnsi="Times New Roman" w:cs="Times New Roman"/>
          <w:sz w:val="24"/>
          <w:szCs w:val="24"/>
        </w:rPr>
        <w:t>Flohé</w:t>
      </w:r>
      <w:proofErr w:type="spellEnd"/>
      <w:r w:rsidRPr="0032200B">
        <w:rPr>
          <w:rFonts w:ascii="Times New Roman" w:hAnsi="Times New Roman" w:cs="Times New Roman"/>
          <w:sz w:val="24"/>
          <w:szCs w:val="24"/>
        </w:rPr>
        <w:t xml:space="preserve"> &amp; </w:t>
      </w:r>
      <w:proofErr w:type="spellStart"/>
      <w:r w:rsidRPr="0032200B">
        <w:rPr>
          <w:rFonts w:ascii="Times New Roman" w:hAnsi="Times New Roman" w:cs="Times New Roman"/>
          <w:sz w:val="24"/>
          <w:szCs w:val="24"/>
        </w:rPr>
        <w:t>Günzler</w:t>
      </w:r>
      <w:proofErr w:type="spellEnd"/>
      <w:r w:rsidRPr="0032200B">
        <w:rPr>
          <w:rFonts w:ascii="Times New Roman" w:hAnsi="Times New Roman" w:cs="Times New Roman"/>
          <w:sz w:val="24"/>
          <w:szCs w:val="24"/>
        </w:rPr>
        <w:t xml:space="preserve">, 1984). In addition, reduced glutathione (GSH) acts as a major non-enzymatic antioxidant that maintains intracellular redox balance and participates in detoxification reactions (Ellman, 1959). The balance between ROS production and antioxidant </w:t>
      </w:r>
      <w:proofErr w:type="spellStart"/>
      <w:r w:rsidRPr="0032200B">
        <w:rPr>
          <w:rFonts w:ascii="Times New Roman" w:hAnsi="Times New Roman" w:cs="Times New Roman"/>
          <w:sz w:val="24"/>
          <w:szCs w:val="24"/>
        </w:rPr>
        <w:t>defense</w:t>
      </w:r>
      <w:proofErr w:type="spellEnd"/>
      <w:r w:rsidRPr="0032200B">
        <w:rPr>
          <w:rFonts w:ascii="Times New Roman" w:hAnsi="Times New Roman" w:cs="Times New Roman"/>
          <w:sz w:val="24"/>
          <w:szCs w:val="24"/>
        </w:rPr>
        <w:t xml:space="preserve"> is therefore essential for maintaining cellular integrity and physiological stability in earthworms (Reinecke &amp; Reinecke, 200</w:t>
      </w:r>
      <w:r w:rsidR="007D007B">
        <w:rPr>
          <w:rFonts w:ascii="Times New Roman" w:hAnsi="Times New Roman" w:cs="Times New Roman"/>
          <w:sz w:val="24"/>
          <w:szCs w:val="24"/>
        </w:rPr>
        <w:t>7</w:t>
      </w:r>
      <w:r w:rsidRPr="0032200B">
        <w:rPr>
          <w:rFonts w:ascii="Times New Roman" w:hAnsi="Times New Roman" w:cs="Times New Roman"/>
          <w:sz w:val="24"/>
          <w:szCs w:val="24"/>
        </w:rPr>
        <w:t>).</w:t>
      </w:r>
    </w:p>
    <w:p w14:paraId="786C0641" w14:textId="14F684D7" w:rsidR="00A72394"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Organic amendments such as animal manures and agricultural residues are commonly used substrates in vermicomposting systems because they provide abundant nutrients and stimulate microbial activity (Edwards et al., 201</w:t>
      </w:r>
      <w:r w:rsidR="00FC190D">
        <w:rPr>
          <w:rFonts w:ascii="Times New Roman" w:hAnsi="Times New Roman" w:cs="Times New Roman"/>
          <w:sz w:val="24"/>
          <w:szCs w:val="24"/>
        </w:rPr>
        <w:t>0</w:t>
      </w:r>
      <w:r w:rsidRPr="0032200B">
        <w:rPr>
          <w:rFonts w:ascii="Times New Roman" w:hAnsi="Times New Roman" w:cs="Times New Roman"/>
          <w:sz w:val="24"/>
          <w:szCs w:val="24"/>
        </w:rPr>
        <w:t xml:space="preserve">). Cow dung and horse dung are among the most frequently used organic materials due to their high nitrogen content, organic matter, and microbial populations that support earthworm growth and decomposition processes. Similarly, </w:t>
      </w:r>
      <w:r w:rsidRPr="0032200B">
        <w:rPr>
          <w:rFonts w:ascii="Times New Roman" w:hAnsi="Times New Roman" w:cs="Times New Roman"/>
          <w:sz w:val="24"/>
          <w:szCs w:val="24"/>
        </w:rPr>
        <w:lastRenderedPageBreak/>
        <w:t>agricultural residues such as sugarcane bagasse provide a carbon-rich fibrous substrate that improves aeration and facilitates microbial degradation during composting (Domínguez et al., 200</w:t>
      </w:r>
      <w:r w:rsidR="00E901F0">
        <w:rPr>
          <w:rFonts w:ascii="Times New Roman" w:hAnsi="Times New Roman" w:cs="Times New Roman"/>
          <w:sz w:val="24"/>
          <w:szCs w:val="24"/>
        </w:rPr>
        <w:t>9</w:t>
      </w:r>
      <w:r w:rsidRPr="0032200B">
        <w:rPr>
          <w:rFonts w:ascii="Times New Roman" w:hAnsi="Times New Roman" w:cs="Times New Roman"/>
          <w:sz w:val="24"/>
          <w:szCs w:val="24"/>
        </w:rPr>
        <w:t>). However, variations in nutrient composition, microbial activity, and decomposition rates among different organic substrates may significantly influence metabolic activity and ROS production in earthworms. For instance, substrates rich in nitrogen can enhance microbial metabolism and ammonia formation, which may increase oxidative stress and ROS generation in earthworm tissues (</w:t>
      </w:r>
      <w:r w:rsidR="00E901F0">
        <w:rPr>
          <w:rFonts w:ascii="Times New Roman" w:hAnsi="Times New Roman" w:cs="Times New Roman"/>
          <w:sz w:val="24"/>
          <w:szCs w:val="24"/>
        </w:rPr>
        <w:t xml:space="preserve">Shi </w:t>
      </w:r>
      <w:r w:rsidRPr="0032200B">
        <w:rPr>
          <w:rFonts w:ascii="Times New Roman" w:hAnsi="Times New Roman" w:cs="Times New Roman"/>
          <w:sz w:val="24"/>
          <w:szCs w:val="24"/>
        </w:rPr>
        <w:t>et al., 2017).</w:t>
      </w:r>
    </w:p>
    <w:p w14:paraId="456169C6" w14:textId="605FE031" w:rsidR="0038254E" w:rsidRDefault="0038254E" w:rsidP="0038254E">
      <w:pPr>
        <w:spacing w:after="0" w:line="360" w:lineRule="auto"/>
        <w:ind w:firstLine="720"/>
        <w:jc w:val="center"/>
        <w:rPr>
          <w:rFonts w:ascii="Times New Roman" w:hAnsi="Times New Roman" w:cs="Times New Roman"/>
          <w:sz w:val="24"/>
          <w:szCs w:val="24"/>
        </w:rPr>
      </w:pPr>
      <w:r>
        <w:rPr>
          <w:noProof/>
        </w:rPr>
        <w:drawing>
          <wp:inline distT="0" distB="0" distL="0" distR="0" wp14:anchorId="6EA5BFEA" wp14:editId="38791141">
            <wp:extent cx="4138111" cy="3207426"/>
            <wp:effectExtent l="19050" t="19050" r="1524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2263" cy="3210645"/>
                    </a:xfrm>
                    <a:prstGeom prst="rect">
                      <a:avLst/>
                    </a:prstGeom>
                    <a:noFill/>
                    <a:ln>
                      <a:solidFill>
                        <a:schemeClr val="tx1"/>
                      </a:solidFill>
                    </a:ln>
                  </pic:spPr>
                </pic:pic>
              </a:graphicData>
            </a:graphic>
          </wp:inline>
        </w:drawing>
      </w:r>
    </w:p>
    <w:p w14:paraId="39939C93" w14:textId="756A2DA8" w:rsidR="0038254E" w:rsidRPr="0038254E" w:rsidRDefault="0038254E" w:rsidP="0038254E">
      <w:pPr>
        <w:spacing w:after="0" w:line="360" w:lineRule="auto"/>
        <w:ind w:firstLine="720"/>
        <w:jc w:val="center"/>
        <w:rPr>
          <w:rFonts w:ascii="Times New Roman" w:hAnsi="Times New Roman" w:cs="Times New Roman"/>
          <w:b/>
          <w:bCs/>
          <w:sz w:val="24"/>
          <w:szCs w:val="24"/>
        </w:rPr>
      </w:pPr>
      <w:r w:rsidRPr="0038254E">
        <w:rPr>
          <w:rFonts w:ascii="Times New Roman" w:hAnsi="Times New Roman" w:cs="Times New Roman"/>
          <w:b/>
          <w:bCs/>
          <w:sz w:val="24"/>
          <w:szCs w:val="24"/>
        </w:rPr>
        <w:t>Figure 1. ROS-induced damage to cellular macromolecules and structures. The production of intracellular ROS can damage macromolecules such as DNA, proteins, and lipid bilayers. (</w:t>
      </w:r>
      <w:proofErr w:type="spellStart"/>
      <w:r w:rsidRPr="0038254E">
        <w:rPr>
          <w:rFonts w:ascii="Times New Roman" w:hAnsi="Times New Roman" w:cs="Times New Roman"/>
          <w:b/>
          <w:bCs/>
          <w:sz w:val="24"/>
          <w:szCs w:val="24"/>
        </w:rPr>
        <w:t>Mazumder</w:t>
      </w:r>
      <w:proofErr w:type="spellEnd"/>
      <w:r w:rsidRPr="0038254E">
        <w:rPr>
          <w:rFonts w:ascii="Times New Roman" w:hAnsi="Times New Roman" w:cs="Times New Roman"/>
          <w:b/>
          <w:bCs/>
          <w:sz w:val="24"/>
          <w:szCs w:val="24"/>
        </w:rPr>
        <w:t xml:space="preserve">. &amp; </w:t>
      </w:r>
      <w:proofErr w:type="spellStart"/>
      <w:r w:rsidRPr="0038254E">
        <w:rPr>
          <w:rFonts w:ascii="Times New Roman" w:hAnsi="Times New Roman" w:cs="Times New Roman"/>
          <w:b/>
          <w:bCs/>
          <w:sz w:val="24"/>
          <w:szCs w:val="24"/>
        </w:rPr>
        <w:t>Diederich</w:t>
      </w:r>
      <w:proofErr w:type="spellEnd"/>
      <w:r w:rsidRPr="0038254E">
        <w:rPr>
          <w:rFonts w:ascii="Times New Roman" w:hAnsi="Times New Roman" w:cs="Times New Roman"/>
          <w:b/>
          <w:bCs/>
          <w:sz w:val="24"/>
          <w:szCs w:val="24"/>
        </w:rPr>
        <w:t>., 2016).</w:t>
      </w:r>
    </w:p>
    <w:p w14:paraId="16182C94" w14:textId="7E7BF08C"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Several studies have demonstrated that oxidative stress biomarkers can effectively indicate physiological responses of earthworms to environmental and substrate-related stress</w:t>
      </w:r>
      <w:r w:rsidR="00E8142E" w:rsidRPr="0032200B">
        <w:rPr>
          <w:rFonts w:ascii="Times New Roman" w:hAnsi="Times New Roman" w:cs="Times New Roman"/>
          <w:sz w:val="24"/>
          <w:szCs w:val="24"/>
        </w:rPr>
        <w:t xml:space="preserve"> (Shashank &amp; </w:t>
      </w:r>
      <w:proofErr w:type="spellStart"/>
      <w:r w:rsidR="00E8142E" w:rsidRPr="0032200B">
        <w:rPr>
          <w:rFonts w:ascii="Times New Roman" w:hAnsi="Times New Roman" w:cs="Times New Roman"/>
          <w:sz w:val="24"/>
          <w:szCs w:val="24"/>
        </w:rPr>
        <w:t>Mahadevaswamy</w:t>
      </w:r>
      <w:proofErr w:type="spellEnd"/>
      <w:r w:rsidR="00E8142E" w:rsidRPr="0032200B">
        <w:rPr>
          <w:rFonts w:ascii="Times New Roman" w:hAnsi="Times New Roman" w:cs="Times New Roman"/>
          <w:sz w:val="24"/>
          <w:szCs w:val="24"/>
        </w:rPr>
        <w:t>, 2025)</w:t>
      </w:r>
      <w:r w:rsidRPr="0032200B">
        <w:rPr>
          <w:rFonts w:ascii="Times New Roman" w:hAnsi="Times New Roman" w:cs="Times New Roman"/>
          <w:sz w:val="24"/>
          <w:szCs w:val="24"/>
        </w:rPr>
        <w:t>. Lipid peroxidation products such as malondialdehyde (MDA) are widely used indicators of oxidative damage to cellular membranes, while DNA fragmentation reflects genotoxic stress at the molecular level (Singh et al., 1988). In addition, the measurement of antioxidant enzyme activities and non-enzymatic antioxidants provides important information regarding the organism’s capacity to neutralize ROS and maintain redox balance (</w:t>
      </w:r>
      <w:proofErr w:type="spellStart"/>
      <w:r w:rsidRPr="0032200B">
        <w:rPr>
          <w:rFonts w:ascii="Times New Roman" w:hAnsi="Times New Roman" w:cs="Times New Roman"/>
          <w:sz w:val="24"/>
          <w:szCs w:val="24"/>
        </w:rPr>
        <w:t>Weydert</w:t>
      </w:r>
      <w:proofErr w:type="spellEnd"/>
      <w:r w:rsidRPr="0032200B">
        <w:rPr>
          <w:rFonts w:ascii="Times New Roman" w:hAnsi="Times New Roman" w:cs="Times New Roman"/>
          <w:sz w:val="24"/>
          <w:szCs w:val="24"/>
        </w:rPr>
        <w:t xml:space="preserve"> &amp; Cullen, 2010). Recent studies emphasize the importance of integrating multiple biomarkers—including enzymatic antioxidants, non-enzymatic antioxidants, and oxidative damage indicators—to obtain a comprehensive understanding of redox homeostasis </w:t>
      </w:r>
      <w:r w:rsidRPr="0032200B">
        <w:rPr>
          <w:rFonts w:ascii="Times New Roman" w:hAnsi="Times New Roman" w:cs="Times New Roman"/>
          <w:sz w:val="24"/>
          <w:szCs w:val="24"/>
        </w:rPr>
        <w:lastRenderedPageBreak/>
        <w:t>in earthworms exposed to organic wastes or environmental stressors (</w:t>
      </w:r>
      <w:r w:rsidR="00E901F0">
        <w:rPr>
          <w:rFonts w:ascii="Times New Roman" w:hAnsi="Times New Roman" w:cs="Times New Roman"/>
          <w:sz w:val="24"/>
          <w:szCs w:val="24"/>
        </w:rPr>
        <w:t>Shi</w:t>
      </w:r>
      <w:r w:rsidRPr="0032200B">
        <w:rPr>
          <w:rFonts w:ascii="Times New Roman" w:hAnsi="Times New Roman" w:cs="Times New Roman"/>
          <w:sz w:val="24"/>
          <w:szCs w:val="24"/>
        </w:rPr>
        <w:t xml:space="preserve"> et al., 2017; Prakash et al., 2008).</w:t>
      </w:r>
    </w:p>
    <w:p w14:paraId="297906E1" w14:textId="77DD91BD"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Despite these advances, relatively few studies have examined the effects of mixed organic substrates on oxidative stress responses in </w:t>
      </w:r>
      <w:r w:rsidRPr="000538E9">
        <w:rPr>
          <w:rFonts w:ascii="Times New Roman" w:hAnsi="Times New Roman" w:cs="Times New Roman"/>
          <w:i/>
          <w:iCs/>
          <w:sz w:val="24"/>
          <w:szCs w:val="24"/>
        </w:rPr>
        <w:t xml:space="preserve">Perionyx </w:t>
      </w:r>
      <w:proofErr w:type="spellStart"/>
      <w:r w:rsidRPr="000538E9">
        <w:rPr>
          <w:rFonts w:ascii="Times New Roman" w:hAnsi="Times New Roman" w:cs="Times New Roman"/>
          <w:i/>
          <w:iCs/>
          <w:sz w:val="24"/>
          <w:szCs w:val="24"/>
        </w:rPr>
        <w:t>excavatus</w:t>
      </w:r>
      <w:proofErr w:type="spellEnd"/>
      <w:r w:rsidRPr="0032200B">
        <w:rPr>
          <w:rFonts w:ascii="Times New Roman" w:hAnsi="Times New Roman" w:cs="Times New Roman"/>
          <w:sz w:val="24"/>
          <w:szCs w:val="24"/>
        </w:rPr>
        <w:t>. Most previous investigations have focused primarily on single substrate systems, which may not accurately represent the complex nutrient interactions and microbial dynamics that occur in practical vermicomposting environments (Edwards et al., 201</w:t>
      </w:r>
      <w:r w:rsidR="00FC190D">
        <w:rPr>
          <w:rFonts w:ascii="Times New Roman" w:hAnsi="Times New Roman" w:cs="Times New Roman"/>
          <w:sz w:val="24"/>
          <w:szCs w:val="24"/>
        </w:rPr>
        <w:t>0</w:t>
      </w:r>
      <w:r w:rsidRPr="0032200B">
        <w:rPr>
          <w:rFonts w:ascii="Times New Roman" w:hAnsi="Times New Roman" w:cs="Times New Roman"/>
          <w:sz w:val="24"/>
          <w:szCs w:val="24"/>
        </w:rPr>
        <w:t>; Domínguez et al., 200</w:t>
      </w:r>
      <w:r w:rsidR="00E901F0">
        <w:rPr>
          <w:rFonts w:ascii="Times New Roman" w:hAnsi="Times New Roman" w:cs="Times New Roman"/>
          <w:sz w:val="24"/>
          <w:szCs w:val="24"/>
        </w:rPr>
        <w:t>9</w:t>
      </w:r>
      <w:r w:rsidRPr="0032200B">
        <w:rPr>
          <w:rFonts w:ascii="Times New Roman" w:hAnsi="Times New Roman" w:cs="Times New Roman"/>
          <w:sz w:val="24"/>
          <w:szCs w:val="24"/>
        </w:rPr>
        <w:t>). The use of mixed organic substrates may influence metabolic processes, microbial decomposition, and ROS generation differently compared with individual substrates. Therefore, evaluating antioxidant responses and oxidative damage markers under mixed-substrate conditions is essential for understanding the physiological adaptability of earthworms in vermicomposting systems.</w:t>
      </w:r>
    </w:p>
    <w:p w14:paraId="0BE5FB5F" w14:textId="40CF83A6" w:rsidR="007C5408"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The present study was therefore designed to investigate oxidative stress responses in </w:t>
      </w:r>
      <w:r w:rsidRPr="000538E9">
        <w:rPr>
          <w:rFonts w:ascii="Times New Roman" w:hAnsi="Times New Roman" w:cs="Times New Roman"/>
          <w:i/>
          <w:iCs/>
          <w:sz w:val="24"/>
          <w:szCs w:val="24"/>
        </w:rPr>
        <w:t xml:space="preserve">P. </w:t>
      </w:r>
      <w:proofErr w:type="spellStart"/>
      <w:r w:rsidRPr="000538E9">
        <w:rPr>
          <w:rFonts w:ascii="Times New Roman" w:hAnsi="Times New Roman" w:cs="Times New Roman"/>
          <w:i/>
          <w:iCs/>
          <w:sz w:val="24"/>
          <w:szCs w:val="24"/>
        </w:rPr>
        <w:t>excavatus</w:t>
      </w:r>
      <w:proofErr w:type="spellEnd"/>
      <w:r w:rsidRPr="0032200B">
        <w:rPr>
          <w:rFonts w:ascii="Times New Roman" w:hAnsi="Times New Roman" w:cs="Times New Roman"/>
          <w:sz w:val="24"/>
          <w:szCs w:val="24"/>
        </w:rPr>
        <w:t xml:space="preserve"> cultured in different organic substrate combinations, including cow dung + sugarcane bagasse, horse dung + sugarcane bagasse, and a mixed substrate containing cow dung, horse dung, and sugarcane bagasse, with garden soil serving as the control. By integrating biochemical analyses of enzymatic antioxidants (SOD, CAT,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non-enzymatic antioxidant levels (GSH), and oxidative damage indicators such as lipid peroxidation (MDA) and DNA fragmentation, this study aims to: (</w:t>
      </w:r>
      <w:proofErr w:type="spellStart"/>
      <w:r w:rsidRPr="0032200B">
        <w:rPr>
          <w:rFonts w:ascii="Times New Roman" w:hAnsi="Times New Roman" w:cs="Times New Roman"/>
          <w:sz w:val="24"/>
          <w:szCs w:val="24"/>
        </w:rPr>
        <w:t>i</w:t>
      </w:r>
      <w:proofErr w:type="spellEnd"/>
      <w:r w:rsidRPr="0032200B">
        <w:rPr>
          <w:rFonts w:ascii="Times New Roman" w:hAnsi="Times New Roman" w:cs="Times New Roman"/>
          <w:sz w:val="24"/>
          <w:szCs w:val="24"/>
        </w:rPr>
        <w:t xml:space="preserve">) evaluate the differential effects of individual and mixed organic substrates on antioxidant </w:t>
      </w:r>
      <w:proofErr w:type="spellStart"/>
      <w:r w:rsidRPr="0032200B">
        <w:rPr>
          <w:rFonts w:ascii="Times New Roman" w:hAnsi="Times New Roman" w:cs="Times New Roman"/>
          <w:sz w:val="24"/>
          <w:szCs w:val="24"/>
        </w:rPr>
        <w:t>defense</w:t>
      </w:r>
      <w:proofErr w:type="spellEnd"/>
      <w:r w:rsidRPr="0032200B">
        <w:rPr>
          <w:rFonts w:ascii="Times New Roman" w:hAnsi="Times New Roman" w:cs="Times New Roman"/>
          <w:sz w:val="24"/>
          <w:szCs w:val="24"/>
        </w:rPr>
        <w:t xml:space="preserve"> mechanisms in </w:t>
      </w:r>
      <w:r w:rsidRPr="000538E9">
        <w:rPr>
          <w:rFonts w:ascii="Times New Roman" w:hAnsi="Times New Roman" w:cs="Times New Roman"/>
          <w:i/>
          <w:iCs/>
          <w:sz w:val="24"/>
          <w:szCs w:val="24"/>
        </w:rPr>
        <w:t xml:space="preserve">P. </w:t>
      </w:r>
      <w:proofErr w:type="spellStart"/>
      <w:r w:rsidRPr="000538E9">
        <w:rPr>
          <w:rFonts w:ascii="Times New Roman" w:hAnsi="Times New Roman" w:cs="Times New Roman"/>
          <w:i/>
          <w:iCs/>
          <w:sz w:val="24"/>
          <w:szCs w:val="24"/>
        </w:rPr>
        <w:t>excavatus</w:t>
      </w:r>
      <w:proofErr w:type="spellEnd"/>
      <w:r w:rsidRPr="0032200B">
        <w:rPr>
          <w:rFonts w:ascii="Times New Roman" w:hAnsi="Times New Roman" w:cs="Times New Roman"/>
          <w:sz w:val="24"/>
          <w:szCs w:val="24"/>
        </w:rPr>
        <w:t>; (ii) assess the extent of oxidative damage to lipids and DNA; and (iii) develop a relative ROS index as an integrative indicator of redox status. The findings of this study will contribute to a better understanding of oxidative physiology in earthworms and provide insights for optimizing substrate formulations and management strategies in sustainable vermiculture systems</w:t>
      </w:r>
      <w:r w:rsidR="007C5408" w:rsidRPr="0032200B">
        <w:rPr>
          <w:rFonts w:ascii="Times New Roman" w:hAnsi="Times New Roman" w:cs="Times New Roman"/>
          <w:sz w:val="24"/>
          <w:szCs w:val="24"/>
        </w:rPr>
        <w:t>.</w:t>
      </w:r>
    </w:p>
    <w:p w14:paraId="26B036A1" w14:textId="6C21DB92" w:rsidR="00CB3578" w:rsidRPr="0032200B" w:rsidRDefault="00CB3578" w:rsidP="006F075F">
      <w:pPr>
        <w:pStyle w:val="ListParagraph"/>
        <w:numPr>
          <w:ilvl w:val="0"/>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Materials and Methods</w:t>
      </w:r>
    </w:p>
    <w:p w14:paraId="580427D4" w14:textId="40F7C932"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Earthworm culture, substrate treatments, and experimental design</w:t>
      </w:r>
    </w:p>
    <w:p w14:paraId="3A735641" w14:textId="2B8ECC87"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Adult, healthy individuals of </w:t>
      </w:r>
      <w:r w:rsidRPr="0032200B">
        <w:rPr>
          <w:rFonts w:ascii="Times New Roman" w:eastAsia="Times New Roman" w:hAnsi="Times New Roman" w:cs="Times New Roman"/>
          <w:i/>
          <w:iCs/>
          <w:sz w:val="24"/>
          <w:szCs w:val="24"/>
          <w:lang w:eastAsia="en-IN"/>
        </w:rPr>
        <w:t xml:space="preserve">Perionyx </w:t>
      </w:r>
      <w:proofErr w:type="spellStart"/>
      <w:r w:rsidRPr="0032200B">
        <w:rPr>
          <w:rFonts w:ascii="Times New Roman" w:eastAsia="Times New Roman" w:hAnsi="Times New Roman" w:cs="Times New Roman"/>
          <w:i/>
          <w:iCs/>
          <w:sz w:val="24"/>
          <w:szCs w:val="24"/>
          <w:lang w:eastAsia="en-IN"/>
        </w:rPr>
        <w:t>excavatus</w:t>
      </w:r>
      <w:proofErr w:type="spellEnd"/>
      <w:r w:rsidRPr="0032200B">
        <w:rPr>
          <w:rFonts w:ascii="Times New Roman" w:eastAsia="Times New Roman" w:hAnsi="Times New Roman" w:cs="Times New Roman"/>
          <w:sz w:val="24"/>
          <w:szCs w:val="24"/>
          <w:lang w:eastAsia="en-IN"/>
        </w:rPr>
        <w:t xml:space="preserve"> of uniform size (0.45–0.60 g fresh weight) and free from visible injury were collected and acclimatized under laboratory conditions for 7 days prior to experimentation. During acclimatization, the earthworms were maintained in garden soil under controlled environmental conditions (moisture 60–70 %, temperature 25 ± 2 °C) to stabilize physiological status. The experimental setup consisted of four substrate treatments, each with five biological replicates (n = 5). Plastic trays (30 × 20 × 10 cm) were used as experimental units, each containing 2 kg of substrate prepared as follows: </w:t>
      </w:r>
      <w:r w:rsidRPr="0032200B">
        <w:rPr>
          <w:rFonts w:ascii="Times New Roman" w:eastAsia="Times New Roman" w:hAnsi="Times New Roman" w:cs="Times New Roman"/>
          <w:sz w:val="24"/>
          <w:szCs w:val="24"/>
          <w:lang w:eastAsia="en-IN"/>
        </w:rPr>
        <w:lastRenderedPageBreak/>
        <w:t>Cow dung + sugarcane bagasse (1:1, w/w); Horse dung + sugarcane bagasse (1:1, w/w); Cow dung + horse dung + sugarcane bagasse (1:1:1, w/w); Control: garden soil only</w:t>
      </w:r>
    </w:p>
    <w:p w14:paraId="1F0710DC" w14:textId="7CD36245"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All organic substrates were pre-decomposed for 10–15 days under moist conditions to reduce ammonia toxicity and stabilize microbial activity prior to earthworm inoculation (Domínguez et al., 200</w:t>
      </w:r>
      <w:r w:rsidR="00E901F0">
        <w:rPr>
          <w:rFonts w:ascii="Times New Roman" w:eastAsia="Times New Roman" w:hAnsi="Times New Roman" w:cs="Times New Roman"/>
          <w:sz w:val="24"/>
          <w:szCs w:val="24"/>
          <w:lang w:eastAsia="en-IN"/>
        </w:rPr>
        <w:t>9</w:t>
      </w:r>
      <w:r w:rsidRPr="0032200B">
        <w:rPr>
          <w:rFonts w:ascii="Times New Roman" w:eastAsia="Times New Roman" w:hAnsi="Times New Roman" w:cs="Times New Roman"/>
          <w:sz w:val="24"/>
          <w:szCs w:val="24"/>
          <w:lang w:eastAsia="en-IN"/>
        </w:rPr>
        <w:t>; Edwards et al., 201</w:t>
      </w:r>
      <w:r w:rsidR="00FC190D">
        <w:rPr>
          <w:rFonts w:ascii="Times New Roman" w:eastAsia="Times New Roman" w:hAnsi="Times New Roman" w:cs="Times New Roman"/>
          <w:sz w:val="24"/>
          <w:szCs w:val="24"/>
          <w:lang w:eastAsia="en-IN"/>
        </w:rPr>
        <w:t>0</w:t>
      </w:r>
      <w:r w:rsidRPr="0032200B">
        <w:rPr>
          <w:rFonts w:ascii="Times New Roman" w:eastAsia="Times New Roman" w:hAnsi="Times New Roman" w:cs="Times New Roman"/>
          <w:sz w:val="24"/>
          <w:szCs w:val="24"/>
          <w:lang w:eastAsia="en-IN"/>
        </w:rPr>
        <w:t>). Following acclimatization, twenty adult earthworms (0.45–0.60 g fresh weight) were introduced into each tray containing 2 kg of substrate. Moisture content was maintained at 60–70 % throughout the experiment by daily sprinkling with sterile deionized water. The exposure experiment was conducted for 28 days, and earthworms were sampled at five time points: day 0, 7, 14, 21, and 28. At each sampling point, worms were carefully retrieved from the substrate, rinsed with distilled water to remove adhering particles, blotted dry using filter paper, and weighed.</w:t>
      </w:r>
    </w:p>
    <w:p w14:paraId="496D3BD1" w14:textId="0966ACD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For biochemical analyses, 3–5 individuals were pooled per replicate, and tissues </w:t>
      </w:r>
      <w:r w:rsidR="00561401">
        <w:rPr>
          <w:rFonts w:ascii="Times New Roman" w:eastAsia="Times New Roman" w:hAnsi="Times New Roman" w:cs="Times New Roman"/>
          <w:sz w:val="24"/>
          <w:szCs w:val="24"/>
          <w:lang w:eastAsia="en-IN"/>
        </w:rPr>
        <w:t>of e</w:t>
      </w:r>
      <w:r w:rsidR="00561401" w:rsidRPr="00561401">
        <w:rPr>
          <w:rFonts w:ascii="Times New Roman" w:eastAsia="Times New Roman" w:hAnsi="Times New Roman" w:cs="Times New Roman"/>
          <w:sz w:val="24"/>
          <w:szCs w:val="24"/>
          <w:lang w:eastAsia="en-IN"/>
        </w:rPr>
        <w:t>arthworms were allowed to depurate gut contents on moist filter paper for 24 h prior to homogenization</w:t>
      </w:r>
      <w:r w:rsidR="00561401">
        <w:rPr>
          <w:rFonts w:ascii="Times New Roman" w:eastAsia="Times New Roman" w:hAnsi="Times New Roman" w:cs="Times New Roman"/>
          <w:sz w:val="24"/>
          <w:szCs w:val="24"/>
          <w:lang w:eastAsia="en-IN"/>
        </w:rPr>
        <w:t xml:space="preserve"> and </w:t>
      </w:r>
      <w:r w:rsidRPr="0032200B">
        <w:rPr>
          <w:rFonts w:ascii="Times New Roman" w:eastAsia="Times New Roman" w:hAnsi="Times New Roman" w:cs="Times New Roman"/>
          <w:sz w:val="24"/>
          <w:szCs w:val="24"/>
          <w:lang w:eastAsia="en-IN"/>
        </w:rPr>
        <w:t>stored at −80 °C until further analysis.</w:t>
      </w:r>
    </w:p>
    <w:p w14:paraId="58156C72" w14:textId="1DAE3107"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Tissue homogenization and protein estimation</w:t>
      </w:r>
    </w:p>
    <w:p w14:paraId="1DA7D575" w14:textId="4D6F557E" w:rsidR="0025292C" w:rsidRPr="0032200B" w:rsidRDefault="0025292C" w:rsidP="009C20E3">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For each replicate and sampling time point, pooled earthworm tissues were homogenized on ice in 0.1 M phosphate buffer (pH 7.4) containing 1 mM EDTA at a ratio of 1:10 (w/v) (i.e., 0.1 g tissue in 1 mL buffer). Homogenization was performed using a chilled glass homogenizer to minimize enzyme degradation. The homogenate was centrifuged at 10,000 × g for 15 min at 4 °C, and the resulting supernatant was collected as the crude enzyme extract for subsequent biochemical assays.</w:t>
      </w:r>
    </w:p>
    <w:p w14:paraId="1249C911" w14:textId="776CEC04"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Protein concentration in each extract was determined using the Lowry method with bovine serum albumin (BSA) as standard. Enzyme activities were expressed as units per milligram of protein.</w:t>
      </w:r>
    </w:p>
    <w:p w14:paraId="02FE0292" w14:textId="6FBB465C"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Superoxide dismutase (SOD) assay</w:t>
      </w:r>
    </w:p>
    <w:p w14:paraId="6DEAB1A5" w14:textId="5BB1A31B"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Superoxide dismutase (SOD) activity was determined by measuring the inhibition of </w:t>
      </w:r>
      <w:proofErr w:type="spellStart"/>
      <w:r w:rsidRPr="0032200B">
        <w:rPr>
          <w:rFonts w:ascii="Times New Roman" w:eastAsia="Times New Roman" w:hAnsi="Times New Roman" w:cs="Times New Roman"/>
          <w:sz w:val="24"/>
          <w:szCs w:val="24"/>
          <w:lang w:eastAsia="en-IN"/>
        </w:rPr>
        <w:t>nitroblue</w:t>
      </w:r>
      <w:proofErr w:type="spellEnd"/>
      <w:r w:rsidRPr="0032200B">
        <w:rPr>
          <w:rFonts w:ascii="Times New Roman" w:eastAsia="Times New Roman" w:hAnsi="Times New Roman" w:cs="Times New Roman"/>
          <w:sz w:val="24"/>
          <w:szCs w:val="24"/>
          <w:lang w:eastAsia="en-IN"/>
        </w:rPr>
        <w:t xml:space="preserve"> tetrazolium (NBT) reduction, following a modified version of classical photochemical methods (</w:t>
      </w:r>
      <w:proofErr w:type="spellStart"/>
      <w:r w:rsidRPr="0032200B">
        <w:rPr>
          <w:rFonts w:ascii="Times New Roman" w:eastAsia="Times New Roman" w:hAnsi="Times New Roman" w:cs="Times New Roman"/>
          <w:sz w:val="24"/>
          <w:szCs w:val="24"/>
          <w:lang w:eastAsia="en-IN"/>
        </w:rPr>
        <w:t>Ifemeje</w:t>
      </w:r>
      <w:proofErr w:type="spellEnd"/>
      <w:r w:rsidRPr="0032200B">
        <w:rPr>
          <w:rFonts w:ascii="Times New Roman" w:eastAsia="Times New Roman" w:hAnsi="Times New Roman" w:cs="Times New Roman"/>
          <w:sz w:val="24"/>
          <w:szCs w:val="24"/>
          <w:lang w:eastAsia="en-IN"/>
        </w:rPr>
        <w:t xml:space="preserve"> et al., 2015). The reaction mixture (3 mL total volume) contained: 50 mM phosphate buffer (pH 7.8), 0.1 mM EDTA, 13 mM methionine, 75 µM NBT, 2 µM riboflavin, appropriate volume of enzyme extract. The reaction was initiated by exposure to fluorescent light for 10 minutes. Absorbance was then measured at 560 nm using a spectrophotometer. </w:t>
      </w:r>
    </w:p>
    <w:p w14:paraId="31A59027" w14:textId="56071525"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Catalase (CAT) assay</w:t>
      </w:r>
    </w:p>
    <w:p w14:paraId="115CA20B" w14:textId="037FA88A"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lastRenderedPageBreak/>
        <w:t>Catalase (CAT) activity was measured spectrophotometrically by monitoring the decomposition of hydrogen peroxide (H₂O₂) at 240 nm, following established methods used in oxidative stress studies (Wang et al., 2021; Wen et al., 2021). The reaction mixture contained: 50 mM phosphate buffer (pH 7.0), 10 mM H₂O₂, enzyme extract (50–100 µL). The decrease in absorbance at 240 nm was recorded for 1–2 minutes during the linear phase. Catalase activity was calculated using the molar extinction coefficient of H₂O₂ (39.4 M⁻¹ cm⁻¹).</w:t>
      </w:r>
    </w:p>
    <w:p w14:paraId="77615247" w14:textId="13EFC754"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 peroxidase (</w:t>
      </w:r>
      <w:proofErr w:type="spellStart"/>
      <w:r w:rsidRPr="0032200B">
        <w:rPr>
          <w:rFonts w:ascii="Times New Roman" w:eastAsia="Times New Roman" w:hAnsi="Times New Roman" w:cs="Times New Roman"/>
          <w:b/>
          <w:bCs/>
          <w:sz w:val="24"/>
          <w:szCs w:val="24"/>
          <w:lang w:eastAsia="en-IN"/>
        </w:rPr>
        <w:t>GPx</w:t>
      </w:r>
      <w:proofErr w:type="spellEnd"/>
      <w:r w:rsidRPr="0032200B">
        <w:rPr>
          <w:rFonts w:ascii="Times New Roman" w:eastAsia="Times New Roman" w:hAnsi="Times New Roman" w:cs="Times New Roman"/>
          <w:b/>
          <w:bCs/>
          <w:sz w:val="24"/>
          <w:szCs w:val="24"/>
          <w:lang w:eastAsia="en-IN"/>
        </w:rPr>
        <w:t>) assay</w:t>
      </w:r>
    </w:p>
    <w:p w14:paraId="1723D810" w14:textId="0DAB82B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Glutathione peroxidase (</w:t>
      </w:r>
      <w:proofErr w:type="spellStart"/>
      <w:r w:rsidRPr="0032200B">
        <w:rPr>
          <w:rFonts w:ascii="Times New Roman" w:eastAsia="Times New Roman" w:hAnsi="Times New Roman" w:cs="Times New Roman"/>
          <w:sz w:val="24"/>
          <w:szCs w:val="24"/>
          <w:lang w:eastAsia="en-IN"/>
        </w:rPr>
        <w:t>GPx</w:t>
      </w:r>
      <w:proofErr w:type="spellEnd"/>
      <w:r w:rsidRPr="0032200B">
        <w:rPr>
          <w:rFonts w:ascii="Times New Roman" w:eastAsia="Times New Roman" w:hAnsi="Times New Roman" w:cs="Times New Roman"/>
          <w:sz w:val="24"/>
          <w:szCs w:val="24"/>
          <w:lang w:eastAsia="en-IN"/>
        </w:rPr>
        <w:t xml:space="preserve">) activity was determined using the coupled NADPH oxidation method, commonly used in ecotoxicological biomarker studies (Wang et al., 2021; Zhou et al., 2024). The reaction mixture (1 mL total volume) consisted of: 50 mM phosphate buffer (pH 7.0), 1 mM EDTA, 1 mM sodium </w:t>
      </w:r>
      <w:proofErr w:type="spellStart"/>
      <w:r w:rsidRPr="0032200B">
        <w:rPr>
          <w:rFonts w:ascii="Times New Roman" w:eastAsia="Times New Roman" w:hAnsi="Times New Roman" w:cs="Times New Roman"/>
          <w:sz w:val="24"/>
          <w:szCs w:val="24"/>
          <w:lang w:eastAsia="en-IN"/>
        </w:rPr>
        <w:t>azide</w:t>
      </w:r>
      <w:proofErr w:type="spellEnd"/>
      <w:r w:rsidRPr="0032200B">
        <w:rPr>
          <w:rFonts w:ascii="Times New Roman" w:eastAsia="Times New Roman" w:hAnsi="Times New Roman" w:cs="Times New Roman"/>
          <w:sz w:val="24"/>
          <w:szCs w:val="24"/>
          <w:lang w:eastAsia="en-IN"/>
        </w:rPr>
        <w:t xml:space="preserve">, 0.2 mM NADPH, 1 mM reduced glutathione (GSH), 0.25 mM tert-butyl hydroperoxide (or H₂O₂), enzyme extract. The reaction was initiated by addition of the hydroperoxide substrate, and the decrease in NADPH absorbance at 340 nm was monitored for 2–3 minutes. One unit of </w:t>
      </w:r>
      <w:proofErr w:type="spellStart"/>
      <w:r w:rsidRPr="0032200B">
        <w:rPr>
          <w:rFonts w:ascii="Times New Roman" w:eastAsia="Times New Roman" w:hAnsi="Times New Roman" w:cs="Times New Roman"/>
          <w:sz w:val="24"/>
          <w:szCs w:val="24"/>
          <w:lang w:eastAsia="en-IN"/>
        </w:rPr>
        <w:t>GPx</w:t>
      </w:r>
      <w:proofErr w:type="spellEnd"/>
      <w:r w:rsidRPr="0032200B">
        <w:rPr>
          <w:rFonts w:ascii="Times New Roman" w:eastAsia="Times New Roman" w:hAnsi="Times New Roman" w:cs="Times New Roman"/>
          <w:sz w:val="24"/>
          <w:szCs w:val="24"/>
          <w:lang w:eastAsia="en-IN"/>
        </w:rPr>
        <w:t xml:space="preserve"> activity corresponded to the oxidation of 1 µmol NADPH per minute per mg protein.</w:t>
      </w:r>
    </w:p>
    <w:p w14:paraId="7AC08931" w14:textId="3C700F41"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Glutathione-S-transferase (GST) assay</w:t>
      </w:r>
    </w:p>
    <w:p w14:paraId="4692C01D" w14:textId="70FF3A0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GST activity was determined spectrophotometrically using 1-chloro-2,4-dinitrobenzene (CDNB) as substrate (Wang et al., 2021; Wen et al., 2021). The reaction mixture (1 mL) contained: 100 mM phosphate buffer (pH 6.5), 1 mM reduced glutathione (GSH), 1 mM CDNB, enzyme extract. Formation of the CDNB–GSH conjugate was monitored at 340 nm for 3 minutes. GST activity was calculated using the extinction coefficient of 9.6 mM⁻¹ cm⁻¹ and expressed as: µmol conjugate formed min⁻¹ mg⁻¹ protein</w:t>
      </w:r>
    </w:p>
    <w:p w14:paraId="7D0D1212" w14:textId="129508C7"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Reduced glutathione (GSH) determination</w:t>
      </w:r>
    </w:p>
    <w:p w14:paraId="331914A9" w14:textId="3F486E21"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Reduced glutathione levels were quantified using the Ellman’s reagent (DTNB) method (Ellman, 1959; Balamurugan et al., 2008). Earthworm tissues were homogenized in 5 % trichloroacetic acid (TCA) to precipitate proteins and centrifuged at 10,000 × g for 10 minutes.</w:t>
      </w:r>
    </w:p>
    <w:p w14:paraId="4C1249F8" w14:textId="6C36C0B0" w:rsidR="0025292C" w:rsidRPr="0032200B" w:rsidRDefault="0025292C" w:rsidP="0025292C">
      <w:pPr>
        <w:spacing w:after="0" w:line="360" w:lineRule="auto"/>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The reaction mixture consisted of: 0.5 mL supernatant 2.0 mL of 0.3 M disodium phosphate buffer (pH 7.5) 1.0 mL of 0.6 mM DTNB. After 10 minutes incubation at room temperature, absorbance was measured at 412 nm.</w:t>
      </w:r>
    </w:p>
    <w:p w14:paraId="1C8C2DCA" w14:textId="6FB07E58"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Lipid peroxidation assay</w:t>
      </w:r>
    </w:p>
    <w:p w14:paraId="55B12D48" w14:textId="09CE7173" w:rsidR="0025292C" w:rsidRPr="0032200B" w:rsidRDefault="0025292C" w:rsidP="00304721">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Lipid peroxidation was assessed by quantifying malondialdehyde (MDA) using the </w:t>
      </w:r>
      <w:proofErr w:type="spellStart"/>
      <w:r w:rsidRPr="0032200B">
        <w:rPr>
          <w:rFonts w:ascii="Times New Roman" w:eastAsia="Times New Roman" w:hAnsi="Times New Roman" w:cs="Times New Roman"/>
          <w:sz w:val="24"/>
          <w:szCs w:val="24"/>
          <w:lang w:eastAsia="en-IN"/>
        </w:rPr>
        <w:t>thiobarbituric</w:t>
      </w:r>
      <w:proofErr w:type="spellEnd"/>
      <w:r w:rsidRPr="0032200B">
        <w:rPr>
          <w:rFonts w:ascii="Times New Roman" w:eastAsia="Times New Roman" w:hAnsi="Times New Roman" w:cs="Times New Roman"/>
          <w:sz w:val="24"/>
          <w:szCs w:val="24"/>
          <w:lang w:eastAsia="en-IN"/>
        </w:rPr>
        <w:t xml:space="preserve"> acid reactive substances (TBARS) assay (Wang et al., 2021; Wen et al., 2021).</w:t>
      </w:r>
    </w:p>
    <w:p w14:paraId="5C10AB96" w14:textId="51A00AC6" w:rsidR="0025292C" w:rsidRPr="0032200B" w:rsidRDefault="0025292C" w:rsidP="0025292C">
      <w:pPr>
        <w:spacing w:after="0" w:line="360" w:lineRule="auto"/>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An aliquot of 0.5 mL tissue homogenate was mixed with 2.0 mL TBA reagent (0.67 % TBA in 10 % TCA) and heated in a boiling water bath for 15 minutes.</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 xml:space="preserve">After cooling in ice, samples </w:t>
      </w:r>
      <w:r w:rsidRPr="0032200B">
        <w:rPr>
          <w:rFonts w:ascii="Times New Roman" w:eastAsia="Times New Roman" w:hAnsi="Times New Roman" w:cs="Times New Roman"/>
          <w:sz w:val="24"/>
          <w:szCs w:val="24"/>
          <w:lang w:eastAsia="en-IN"/>
        </w:rPr>
        <w:lastRenderedPageBreak/>
        <w:t>were centrifuged and the absorbance of the supernatant was measured at 532 nm, with correction at 600 nm for non-specific turbidity.</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MDA concentration was calculated using an extinction coefficient of 1.56 × 10⁵ M⁻¹ cm⁻¹ and expressed as:</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nmol MDA mg⁻¹ protein</w:t>
      </w:r>
      <w:r w:rsidR="00304721" w:rsidRPr="0032200B">
        <w:rPr>
          <w:rFonts w:ascii="Times New Roman" w:eastAsia="Times New Roman" w:hAnsi="Times New Roman" w:cs="Times New Roman"/>
          <w:sz w:val="24"/>
          <w:szCs w:val="24"/>
          <w:lang w:eastAsia="en-IN"/>
        </w:rPr>
        <w:t>.</w:t>
      </w:r>
    </w:p>
    <w:p w14:paraId="64E9D0F3" w14:textId="46BFBA08"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DNA damage assay</w:t>
      </w:r>
    </w:p>
    <w:p w14:paraId="766F7271" w14:textId="3ADBEAE4" w:rsidR="0025292C" w:rsidRPr="0032200B" w:rsidRDefault="0025292C" w:rsidP="00304721">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DNA damage was evaluated using the single-cell gel electrophoresis (comet) assay in earthworm coelomocytes or tissue-derived nuclei (Wang et al., 2021).</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Cells were embedded in low-melting agarose on microscope slides, lysed under alkaline conditions (pH &gt; 13), and subjected to electrophoresis (25 V, ~300 mA for 20–25 min).</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Slides were neutralized, stained with ethidium bromide (2 µg mL⁻¹), and observed under a fluorescence microscope.</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DNA damage parameters including:</w:t>
      </w:r>
      <w:r w:rsidR="00304721" w:rsidRPr="0032200B">
        <w:rPr>
          <w:rFonts w:ascii="Times New Roman" w:eastAsia="Times New Roman" w:hAnsi="Times New Roman" w:cs="Times New Roman"/>
          <w:sz w:val="24"/>
          <w:szCs w:val="24"/>
          <w:lang w:eastAsia="en-IN"/>
        </w:rPr>
        <w:t xml:space="preserve"> T</w:t>
      </w:r>
      <w:r w:rsidRPr="0032200B">
        <w:rPr>
          <w:rFonts w:ascii="Times New Roman" w:eastAsia="Times New Roman" w:hAnsi="Times New Roman" w:cs="Times New Roman"/>
          <w:sz w:val="24"/>
          <w:szCs w:val="24"/>
          <w:lang w:eastAsia="en-IN"/>
        </w:rPr>
        <w:t>ail length</w:t>
      </w:r>
      <w:r w:rsidR="00304721" w:rsidRPr="0032200B">
        <w:rPr>
          <w:rFonts w:ascii="Times New Roman" w:eastAsia="Times New Roman" w:hAnsi="Times New Roman" w:cs="Times New Roman"/>
          <w:sz w:val="24"/>
          <w:szCs w:val="24"/>
          <w:lang w:eastAsia="en-IN"/>
        </w:rPr>
        <w:t>, T</w:t>
      </w:r>
      <w:r w:rsidRPr="0032200B">
        <w:rPr>
          <w:rFonts w:ascii="Times New Roman" w:eastAsia="Times New Roman" w:hAnsi="Times New Roman" w:cs="Times New Roman"/>
          <w:sz w:val="24"/>
          <w:szCs w:val="24"/>
          <w:lang w:eastAsia="en-IN"/>
        </w:rPr>
        <w:t>ail DNA percentage</w:t>
      </w:r>
      <w:r w:rsidR="00304721" w:rsidRPr="0032200B">
        <w:rPr>
          <w:rFonts w:ascii="Times New Roman" w:eastAsia="Times New Roman" w:hAnsi="Times New Roman" w:cs="Times New Roman"/>
          <w:sz w:val="24"/>
          <w:szCs w:val="24"/>
          <w:lang w:eastAsia="en-IN"/>
        </w:rPr>
        <w:t>, O</w:t>
      </w:r>
      <w:r w:rsidRPr="0032200B">
        <w:rPr>
          <w:rFonts w:ascii="Times New Roman" w:eastAsia="Times New Roman" w:hAnsi="Times New Roman" w:cs="Times New Roman"/>
          <w:sz w:val="24"/>
          <w:szCs w:val="24"/>
          <w:lang w:eastAsia="en-IN"/>
        </w:rPr>
        <w:t>live tail moment (OTM)</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were quantified using image analysis software.</w:t>
      </w:r>
    </w:p>
    <w:p w14:paraId="38462DEE" w14:textId="3E18A82A" w:rsidR="0025292C" w:rsidRPr="0032200B" w:rsidRDefault="006F075F" w:rsidP="006F075F">
      <w:p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 xml:space="preserve">2.10. </w:t>
      </w:r>
      <w:r w:rsidR="0025292C" w:rsidRPr="0032200B">
        <w:rPr>
          <w:rFonts w:ascii="Times New Roman" w:eastAsia="Times New Roman" w:hAnsi="Times New Roman" w:cs="Times New Roman"/>
          <w:b/>
          <w:bCs/>
          <w:sz w:val="24"/>
          <w:szCs w:val="24"/>
          <w:lang w:eastAsia="en-IN"/>
        </w:rPr>
        <w:t>Statistical analysis</w:t>
      </w:r>
    </w:p>
    <w:p w14:paraId="4EEFCFAE" w14:textId="25E62C7A" w:rsidR="001A02F5" w:rsidRPr="0032200B" w:rsidRDefault="0025292C" w:rsidP="00860CAE">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All biochemical measurements were performed with three technical replicates for each biological replicate (n = 5).</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Data were expressed as mean ± standard deviation (SD).</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Statistical analysis was conducted using one-way</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ANOVA to assess differences among treatments and sampling periods. When significant differences were detected, Tukey’s post hoc test was applied to identify pairwise differences at a significance level of p &lt; 0.05.</w:t>
      </w:r>
      <w:r w:rsidR="00E36BB5">
        <w:rPr>
          <w:rFonts w:ascii="Times New Roman" w:eastAsia="Times New Roman" w:hAnsi="Times New Roman" w:cs="Times New Roman"/>
          <w:sz w:val="24"/>
          <w:szCs w:val="24"/>
          <w:lang w:eastAsia="en-IN"/>
        </w:rPr>
        <w:t xml:space="preserve"> </w:t>
      </w:r>
      <w:r w:rsidR="00E36BB5" w:rsidRPr="00E36BB5">
        <w:rPr>
          <w:rFonts w:ascii="Times New Roman" w:eastAsia="Times New Roman" w:hAnsi="Times New Roman" w:cs="Times New Roman"/>
          <w:sz w:val="24"/>
          <w:szCs w:val="24"/>
          <w:lang w:eastAsia="en-IN"/>
        </w:rPr>
        <w:t xml:space="preserve">Statistical analyses were performed using SPSS version </w:t>
      </w:r>
      <w:r w:rsidR="00E36BB5">
        <w:rPr>
          <w:rFonts w:ascii="Times New Roman" w:eastAsia="Times New Roman" w:hAnsi="Times New Roman" w:cs="Times New Roman"/>
          <w:sz w:val="24"/>
          <w:szCs w:val="24"/>
          <w:lang w:eastAsia="en-IN"/>
        </w:rPr>
        <w:t>25</w:t>
      </w:r>
      <w:r w:rsidR="00E36BB5" w:rsidRPr="00E36BB5">
        <w:rPr>
          <w:rFonts w:ascii="Times New Roman" w:eastAsia="Times New Roman" w:hAnsi="Times New Roman" w:cs="Times New Roman"/>
          <w:sz w:val="24"/>
          <w:szCs w:val="24"/>
          <w:lang w:eastAsia="en-IN"/>
        </w:rPr>
        <w:t>.</w:t>
      </w:r>
    </w:p>
    <w:p w14:paraId="42C8897C" w14:textId="77777777" w:rsidR="003733A5" w:rsidRPr="0032200B" w:rsidRDefault="003733A5" w:rsidP="00860CAE">
      <w:pPr>
        <w:spacing w:after="0" w:line="360" w:lineRule="auto"/>
        <w:ind w:firstLine="720"/>
        <w:jc w:val="both"/>
        <w:rPr>
          <w:rFonts w:ascii="Times New Roman" w:eastAsia="Times New Roman" w:hAnsi="Times New Roman" w:cs="Times New Roman"/>
          <w:sz w:val="24"/>
          <w:szCs w:val="24"/>
          <w:lang w:eastAsia="en-IN"/>
        </w:rPr>
      </w:pPr>
    </w:p>
    <w:p w14:paraId="53D0B8C4" w14:textId="77777777" w:rsidR="006F075F" w:rsidRPr="0032200B" w:rsidRDefault="007C5408" w:rsidP="006F075F">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Results</w:t>
      </w:r>
      <w:r w:rsidR="006F075F" w:rsidRPr="0032200B">
        <w:rPr>
          <w:rFonts w:ascii="Times New Roman" w:eastAsia="Times New Roman" w:hAnsi="Times New Roman" w:cs="Times New Roman"/>
          <w:b/>
          <w:bCs/>
          <w:kern w:val="36"/>
          <w:sz w:val="24"/>
          <w:szCs w:val="24"/>
          <w:lang w:eastAsia="en-IN"/>
        </w:rPr>
        <w:t xml:space="preserve"> </w:t>
      </w:r>
      <w:r w:rsidR="006F075F" w:rsidRPr="004D4046">
        <w:rPr>
          <w:rFonts w:ascii="Times New Roman" w:eastAsia="Times New Roman" w:hAnsi="Times New Roman" w:cs="Times New Roman"/>
          <w:b/>
          <w:bCs/>
          <w:kern w:val="36"/>
          <w:sz w:val="24"/>
          <w:szCs w:val="24"/>
          <w:lang w:eastAsia="en-IN"/>
        </w:rPr>
        <w:t>and Discussion</w:t>
      </w:r>
    </w:p>
    <w:p w14:paraId="4A3B29BC" w14:textId="6F3BD709" w:rsidR="00DB54B8" w:rsidRPr="0032200B" w:rsidRDefault="00E70701" w:rsidP="00674CD0">
      <w:pPr>
        <w:pStyle w:val="ListParagraph"/>
        <w:numPr>
          <w:ilvl w:val="1"/>
          <w:numId w:val="2"/>
        </w:numPr>
        <w:spacing w:after="0" w:line="360" w:lineRule="auto"/>
        <w:jc w:val="both"/>
        <w:rPr>
          <w:rFonts w:ascii="Times New Roman" w:hAnsi="Times New Roman" w:cs="Times New Roman"/>
          <w:b/>
          <w:bCs/>
          <w:sz w:val="24"/>
          <w:szCs w:val="24"/>
        </w:rPr>
      </w:pPr>
      <w:r w:rsidRPr="0032200B">
        <w:rPr>
          <w:rFonts w:ascii="Times New Roman" w:eastAsia="Times New Roman" w:hAnsi="Times New Roman" w:cs="Times New Roman"/>
          <w:b/>
          <w:bCs/>
          <w:sz w:val="24"/>
          <w:szCs w:val="24"/>
          <w:lang w:eastAsia="en-IN"/>
        </w:rPr>
        <w:t>Total Soluble Protein Content</w:t>
      </w:r>
    </w:p>
    <w:p w14:paraId="6544E4E3" w14:textId="479F0366"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Total protein content increased progressively in earthworms exposed to organic substrates compared with the control group. At day 0, protein levels were comparable across treatments (7.50–7.54 mg g⁻¹), confirming similar baseline physiological conditions. Over the 28-day exposure period, worms maintained in nutrient-enriched substrates showed a steady increase in protein concentration. The highest value (9.80 mg g⁻¹) was recorded in the mixed substrate treatment, followed by cow dung + bagasse and horse dung + bagasse treatments.</w:t>
      </w:r>
      <w:r w:rsidR="00FC1C79">
        <w:rPr>
          <w:rFonts w:ascii="Times New Roman" w:eastAsia="Times New Roman" w:hAnsi="Times New Roman" w:cs="Times New Roman"/>
          <w:sz w:val="24"/>
          <w:szCs w:val="24"/>
          <w:lang w:eastAsia="en-IN"/>
        </w:rPr>
        <w:t xml:space="preserve"> (Figure. 1).</w:t>
      </w:r>
    </w:p>
    <w:p w14:paraId="1F0DB980" w14:textId="5F1DB9A2" w:rsidR="00E70701" w:rsidRPr="0032200B"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 increase in protein content indicates enhanced metabolic activity and synthesis of structural and enzymatic proteins in response to nutrient-rich organic matter. Earthworms feeding on decomposing organic substrates often exhibit increased protein synthesis due to improved nutrient assimilation and microbial biomass availability (Edwards et al., 201</w:t>
      </w:r>
      <w:r w:rsidR="00FC190D">
        <w:rPr>
          <w:rFonts w:ascii="Times New Roman" w:eastAsia="Times New Roman" w:hAnsi="Times New Roman" w:cs="Times New Roman"/>
          <w:sz w:val="24"/>
          <w:szCs w:val="24"/>
          <w:lang w:eastAsia="en-IN"/>
        </w:rPr>
        <w:t>0</w:t>
      </w:r>
      <w:r w:rsidRPr="004D4046">
        <w:rPr>
          <w:rFonts w:ascii="Times New Roman" w:eastAsia="Times New Roman" w:hAnsi="Times New Roman" w:cs="Times New Roman"/>
          <w:sz w:val="24"/>
          <w:szCs w:val="24"/>
          <w:lang w:eastAsia="en-IN"/>
        </w:rPr>
        <w:t xml:space="preserve">). Similar elevations in protein levels have been reported in </w:t>
      </w:r>
      <w:r w:rsidRPr="004D4046">
        <w:rPr>
          <w:rFonts w:ascii="Times New Roman" w:eastAsia="Times New Roman" w:hAnsi="Times New Roman" w:cs="Times New Roman"/>
          <w:i/>
          <w:iCs/>
          <w:sz w:val="24"/>
          <w:szCs w:val="24"/>
          <w:lang w:eastAsia="en-IN"/>
        </w:rPr>
        <w:t xml:space="preserve">Perionyx </w:t>
      </w:r>
      <w:proofErr w:type="spellStart"/>
      <w:r w:rsidRPr="004D4046">
        <w:rPr>
          <w:rFonts w:ascii="Times New Roman" w:eastAsia="Times New Roman" w:hAnsi="Times New Roman" w:cs="Times New Roman"/>
          <w:i/>
          <w:iCs/>
          <w:sz w:val="24"/>
          <w:szCs w:val="24"/>
          <w:lang w:eastAsia="en-IN"/>
        </w:rPr>
        <w:t>excavatus</w:t>
      </w:r>
      <w:proofErr w:type="spellEnd"/>
      <w:r w:rsidRPr="004D4046">
        <w:rPr>
          <w:rFonts w:ascii="Times New Roman" w:eastAsia="Times New Roman" w:hAnsi="Times New Roman" w:cs="Times New Roman"/>
          <w:sz w:val="24"/>
          <w:szCs w:val="24"/>
          <w:lang w:eastAsia="en-IN"/>
        </w:rPr>
        <w:t xml:space="preserve"> and </w:t>
      </w:r>
      <w:r w:rsidRPr="004D4046">
        <w:rPr>
          <w:rFonts w:ascii="Times New Roman" w:eastAsia="Times New Roman" w:hAnsi="Times New Roman" w:cs="Times New Roman"/>
          <w:i/>
          <w:iCs/>
          <w:sz w:val="24"/>
          <w:szCs w:val="24"/>
          <w:lang w:eastAsia="en-IN"/>
        </w:rPr>
        <w:t xml:space="preserve">Eisenia </w:t>
      </w:r>
      <w:proofErr w:type="spellStart"/>
      <w:r w:rsidRPr="004D4046">
        <w:rPr>
          <w:rFonts w:ascii="Times New Roman" w:eastAsia="Times New Roman" w:hAnsi="Times New Roman" w:cs="Times New Roman"/>
          <w:i/>
          <w:iCs/>
          <w:sz w:val="24"/>
          <w:szCs w:val="24"/>
          <w:lang w:eastAsia="en-IN"/>
        </w:rPr>
        <w:t>fetida</w:t>
      </w:r>
      <w:proofErr w:type="spellEnd"/>
      <w:r w:rsidRPr="004D4046">
        <w:rPr>
          <w:rFonts w:ascii="Times New Roman" w:eastAsia="Times New Roman" w:hAnsi="Times New Roman" w:cs="Times New Roman"/>
          <w:sz w:val="24"/>
          <w:szCs w:val="24"/>
          <w:lang w:eastAsia="en-IN"/>
        </w:rPr>
        <w:t xml:space="preserve"> during vermicomposting of organic residues, where microbial decomposition enhances </w:t>
      </w:r>
      <w:r w:rsidRPr="004D4046">
        <w:rPr>
          <w:rFonts w:ascii="Times New Roman" w:eastAsia="Times New Roman" w:hAnsi="Times New Roman" w:cs="Times New Roman"/>
          <w:sz w:val="24"/>
          <w:szCs w:val="24"/>
          <w:lang w:eastAsia="en-IN"/>
        </w:rPr>
        <w:lastRenderedPageBreak/>
        <w:t>nitrogen availability and promotes protein metabolism (Prakash et al., 2008). The highest protein content in the mixed substrate likely reflects balanced nutrient composition and improved substrate palatability, which enhance physiological performance and enzymatic synthesis</w:t>
      </w:r>
      <w:r w:rsidR="009C20E3" w:rsidRPr="0032200B">
        <w:rPr>
          <w:rFonts w:ascii="Times New Roman" w:eastAsia="Times New Roman" w:hAnsi="Times New Roman" w:cs="Times New Roman"/>
          <w:sz w:val="24"/>
          <w:szCs w:val="24"/>
          <w:lang w:eastAsia="en-IN"/>
        </w:rPr>
        <w:t xml:space="preserve"> </w:t>
      </w:r>
      <w:r w:rsidR="009C20E3" w:rsidRPr="0032200B">
        <w:rPr>
          <w:rFonts w:ascii="Times New Roman" w:hAnsi="Times New Roman" w:cs="Times New Roman"/>
          <w:sz w:val="24"/>
          <w:szCs w:val="24"/>
        </w:rPr>
        <w:t xml:space="preserve">(Shashank &amp; </w:t>
      </w:r>
      <w:proofErr w:type="spellStart"/>
      <w:r w:rsidR="009C20E3" w:rsidRPr="0032200B">
        <w:rPr>
          <w:rFonts w:ascii="Times New Roman" w:hAnsi="Times New Roman" w:cs="Times New Roman"/>
          <w:sz w:val="24"/>
          <w:szCs w:val="24"/>
        </w:rPr>
        <w:t>Mahadevaswamy</w:t>
      </w:r>
      <w:proofErr w:type="spellEnd"/>
      <w:r w:rsidR="009C20E3" w:rsidRPr="0032200B">
        <w:rPr>
          <w:rFonts w:ascii="Times New Roman" w:hAnsi="Times New Roman" w:cs="Times New Roman"/>
          <w:sz w:val="24"/>
          <w:szCs w:val="24"/>
        </w:rPr>
        <w:t>, 2025)</w:t>
      </w:r>
      <w:r w:rsidRPr="004D4046">
        <w:rPr>
          <w:rFonts w:ascii="Times New Roman" w:eastAsia="Times New Roman" w:hAnsi="Times New Roman" w:cs="Times New Roman"/>
          <w:sz w:val="24"/>
          <w:szCs w:val="24"/>
          <w:lang w:eastAsia="en-IN"/>
        </w:rPr>
        <w:t>.</w:t>
      </w:r>
    </w:p>
    <w:p w14:paraId="6C570A6E" w14:textId="525733CF" w:rsidR="002A2E8F"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7DE087E2" wp14:editId="74184EE4">
            <wp:extent cx="4962413" cy="3055144"/>
            <wp:effectExtent l="19050" t="19050" r="10160"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9690" cy="3059624"/>
                    </a:xfrm>
                    <a:prstGeom prst="rect">
                      <a:avLst/>
                    </a:prstGeom>
                    <a:noFill/>
                    <a:ln>
                      <a:solidFill>
                        <a:schemeClr val="tx1"/>
                      </a:solidFill>
                    </a:ln>
                  </pic:spPr>
                </pic:pic>
              </a:graphicData>
            </a:graphic>
          </wp:inline>
        </w:drawing>
      </w:r>
    </w:p>
    <w:p w14:paraId="50165057" w14:textId="77777777" w:rsidR="00674CD0" w:rsidRPr="0032200B"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1. Total soluble protein concentration (mg g⁻¹ fresh weight) in </w:t>
      </w:r>
      <w:r w:rsidRPr="004D4046">
        <w:rPr>
          <w:rFonts w:ascii="Times New Roman" w:eastAsia="Times New Roman" w:hAnsi="Times New Roman" w:cs="Times New Roman"/>
          <w:b/>
          <w:bCs/>
          <w:i/>
          <w:iCs/>
          <w:sz w:val="24"/>
          <w:szCs w:val="24"/>
          <w:lang w:eastAsia="en-IN"/>
        </w:rPr>
        <w:t xml:space="preserve">Perionyx </w:t>
      </w:r>
      <w:proofErr w:type="spellStart"/>
      <w:r w:rsidRPr="004D4046">
        <w:rPr>
          <w:rFonts w:ascii="Times New Roman" w:eastAsia="Times New Roman" w:hAnsi="Times New Roman" w:cs="Times New Roman"/>
          <w:b/>
          <w:bCs/>
          <w:i/>
          <w:iCs/>
          <w:sz w:val="24"/>
          <w:szCs w:val="24"/>
          <w:lang w:eastAsia="en-IN"/>
        </w:rPr>
        <w:t>excavatus</w:t>
      </w:r>
      <w:proofErr w:type="spellEnd"/>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0FFE76E7" w14:textId="77777777" w:rsidR="00674CD0" w:rsidRPr="0032200B" w:rsidRDefault="00674CD0" w:rsidP="00E70701">
      <w:pPr>
        <w:spacing w:after="0" w:line="360" w:lineRule="auto"/>
        <w:jc w:val="both"/>
        <w:outlineLvl w:val="0"/>
        <w:rPr>
          <w:rFonts w:ascii="Times New Roman" w:eastAsia="Times New Roman" w:hAnsi="Times New Roman" w:cs="Times New Roman"/>
          <w:sz w:val="24"/>
          <w:szCs w:val="24"/>
          <w:lang w:eastAsia="en-IN"/>
        </w:rPr>
      </w:pPr>
    </w:p>
    <w:p w14:paraId="10D965ED" w14:textId="27709FCB" w:rsidR="00003066"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Superoxide Dismutase (SOD)</w:t>
      </w:r>
    </w:p>
    <w:p w14:paraId="4106C43F" w14:textId="168792B5" w:rsidR="00E70701" w:rsidRPr="0032200B" w:rsidRDefault="00E70701" w:rsidP="00003066">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SOD activity increased significantly in all substrate treatments relative to the control during the experimental period. The highest activity (13.2 U mg⁻¹ protein) was recorded in worms maintained in the mixed substrate at day 28.</w:t>
      </w:r>
      <w:r w:rsidR="00FC1C79" w:rsidRPr="00FC1C79">
        <w:rPr>
          <w:rFonts w:ascii="Times New Roman" w:eastAsia="Times New Roman" w:hAnsi="Times New Roman" w:cs="Times New Roman"/>
          <w:sz w:val="24"/>
          <w:szCs w:val="24"/>
          <w:lang w:eastAsia="en-IN"/>
        </w:rPr>
        <w:t xml:space="preserve"> </w:t>
      </w:r>
      <w:r w:rsidR="00FC1C79">
        <w:rPr>
          <w:rFonts w:ascii="Times New Roman" w:eastAsia="Times New Roman" w:hAnsi="Times New Roman" w:cs="Times New Roman"/>
          <w:sz w:val="24"/>
          <w:szCs w:val="24"/>
          <w:lang w:eastAsia="en-IN"/>
        </w:rPr>
        <w:t>(Figure. 2)</w:t>
      </w:r>
      <w:r w:rsidRPr="004D4046">
        <w:rPr>
          <w:rFonts w:ascii="Times New Roman" w:eastAsia="Times New Roman" w:hAnsi="Times New Roman" w:cs="Times New Roman"/>
          <w:sz w:val="24"/>
          <w:szCs w:val="24"/>
          <w:lang w:eastAsia="en-IN"/>
        </w:rPr>
        <w:t xml:space="preserve"> This enzyme </w:t>
      </w:r>
      <w:proofErr w:type="spellStart"/>
      <w:r w:rsidRPr="004D4046">
        <w:rPr>
          <w:rFonts w:ascii="Times New Roman" w:eastAsia="Times New Roman" w:hAnsi="Times New Roman" w:cs="Times New Roman"/>
          <w:sz w:val="24"/>
          <w:szCs w:val="24"/>
          <w:lang w:eastAsia="en-IN"/>
        </w:rPr>
        <w:t>catalyzes</w:t>
      </w:r>
      <w:proofErr w:type="spellEnd"/>
      <w:r w:rsidRPr="004D4046">
        <w:rPr>
          <w:rFonts w:ascii="Times New Roman" w:eastAsia="Times New Roman" w:hAnsi="Times New Roman" w:cs="Times New Roman"/>
          <w:sz w:val="24"/>
          <w:szCs w:val="24"/>
          <w:lang w:eastAsia="en-IN"/>
        </w:rPr>
        <w:t xml:space="preserve"> the dismutation of superoxide radicals into hydrogen peroxide and molecular oxygen, representing the first line of </w:t>
      </w:r>
      <w:proofErr w:type="spellStart"/>
      <w:r w:rsidRPr="004D4046">
        <w:rPr>
          <w:rFonts w:ascii="Times New Roman" w:eastAsia="Times New Roman" w:hAnsi="Times New Roman" w:cs="Times New Roman"/>
          <w:sz w:val="24"/>
          <w:szCs w:val="24"/>
          <w:lang w:eastAsia="en-IN"/>
        </w:rPr>
        <w:t>defense</w:t>
      </w:r>
      <w:proofErr w:type="spellEnd"/>
      <w:r w:rsidRPr="004D4046">
        <w:rPr>
          <w:rFonts w:ascii="Times New Roman" w:eastAsia="Times New Roman" w:hAnsi="Times New Roman" w:cs="Times New Roman"/>
          <w:sz w:val="24"/>
          <w:szCs w:val="24"/>
          <w:lang w:eastAsia="en-IN"/>
        </w:rPr>
        <w:t xml:space="preserve"> against oxidative stress (</w:t>
      </w:r>
      <w:proofErr w:type="spellStart"/>
      <w:r w:rsidRPr="004D4046">
        <w:rPr>
          <w:rFonts w:ascii="Times New Roman" w:eastAsia="Times New Roman" w:hAnsi="Times New Roman" w:cs="Times New Roman"/>
          <w:sz w:val="24"/>
          <w:szCs w:val="24"/>
          <w:lang w:eastAsia="en-IN"/>
        </w:rPr>
        <w:t>Weydert</w:t>
      </w:r>
      <w:proofErr w:type="spellEnd"/>
      <w:r w:rsidRPr="004D4046">
        <w:rPr>
          <w:rFonts w:ascii="Times New Roman" w:eastAsia="Times New Roman" w:hAnsi="Times New Roman" w:cs="Times New Roman"/>
          <w:sz w:val="24"/>
          <w:szCs w:val="24"/>
          <w:lang w:eastAsia="en-IN"/>
        </w:rPr>
        <w:t xml:space="preserve"> &amp; Cullen, 2010).</w:t>
      </w:r>
      <w:r w:rsidR="00003066"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Elevated SOD activity in substrate-treated worms suggests increased production of reactive oxygen species (ROS) associated with enhanced metabolic processes and microbial decomposition of organic matter. Similar SOD induction has been observed in earthworms exposed to organic residues and environmental stressors, indicating adaptive regulation of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(Prakash et al., 2008; </w:t>
      </w:r>
      <w:proofErr w:type="spellStart"/>
      <w:r w:rsidRPr="004D4046">
        <w:rPr>
          <w:rFonts w:ascii="Times New Roman" w:eastAsia="Times New Roman" w:hAnsi="Times New Roman" w:cs="Times New Roman"/>
          <w:sz w:val="24"/>
          <w:szCs w:val="24"/>
          <w:lang w:eastAsia="en-IN"/>
        </w:rPr>
        <w:t>Nwaka</w:t>
      </w:r>
      <w:proofErr w:type="spellEnd"/>
      <w:r w:rsidRPr="004D4046">
        <w:rPr>
          <w:rFonts w:ascii="Times New Roman" w:eastAsia="Times New Roman" w:hAnsi="Times New Roman" w:cs="Times New Roman"/>
          <w:sz w:val="24"/>
          <w:szCs w:val="24"/>
          <w:lang w:eastAsia="en-IN"/>
        </w:rPr>
        <w:t xml:space="preserve"> et al., 2015).</w:t>
      </w:r>
    </w:p>
    <w:p w14:paraId="2159D1A7" w14:textId="2A1A50A5"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lastRenderedPageBreak/>
        <w:drawing>
          <wp:inline distT="0" distB="0" distL="0" distR="0" wp14:anchorId="01F8284E" wp14:editId="34230672">
            <wp:extent cx="4584700" cy="2755900"/>
            <wp:effectExtent l="19050" t="19050" r="25400"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44D14D87" w14:textId="224F3DB4" w:rsidR="00674CD0" w:rsidRPr="0032200B" w:rsidRDefault="00674CD0" w:rsidP="003733A5">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2. SOD activity (U mg⁻¹ protein) in </w:t>
      </w:r>
      <w:r w:rsidRPr="004D4046">
        <w:rPr>
          <w:rFonts w:ascii="Times New Roman" w:eastAsia="Times New Roman" w:hAnsi="Times New Roman" w:cs="Times New Roman"/>
          <w:b/>
          <w:bCs/>
          <w:i/>
          <w:iCs/>
          <w:sz w:val="24"/>
          <w:szCs w:val="24"/>
          <w:lang w:eastAsia="en-IN"/>
        </w:rPr>
        <w:t xml:space="preserve">Perionyx </w:t>
      </w:r>
      <w:proofErr w:type="spellStart"/>
      <w:r w:rsidRPr="004D4046">
        <w:rPr>
          <w:rFonts w:ascii="Times New Roman" w:eastAsia="Times New Roman" w:hAnsi="Times New Roman" w:cs="Times New Roman"/>
          <w:b/>
          <w:bCs/>
          <w:i/>
          <w:iCs/>
          <w:sz w:val="24"/>
          <w:szCs w:val="24"/>
          <w:lang w:eastAsia="en-IN"/>
        </w:rPr>
        <w:t>excavatus</w:t>
      </w:r>
      <w:proofErr w:type="spellEnd"/>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54FEEC32" w14:textId="77777777" w:rsidR="003733A5" w:rsidRPr="004D4046" w:rsidRDefault="003733A5" w:rsidP="003733A5">
      <w:pPr>
        <w:spacing w:after="0" w:line="240" w:lineRule="auto"/>
        <w:jc w:val="center"/>
        <w:rPr>
          <w:rFonts w:ascii="Times New Roman" w:eastAsia="Times New Roman" w:hAnsi="Times New Roman" w:cs="Times New Roman"/>
          <w:b/>
          <w:bCs/>
          <w:sz w:val="24"/>
          <w:szCs w:val="24"/>
          <w:lang w:eastAsia="en-IN"/>
        </w:rPr>
      </w:pPr>
    </w:p>
    <w:p w14:paraId="1EDB9372" w14:textId="1E34AD94" w:rsidR="0006702D" w:rsidRPr="0032200B" w:rsidRDefault="00E70701" w:rsidP="00674CD0">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Catalase (CAT)</w:t>
      </w:r>
    </w:p>
    <w:p w14:paraId="275E700E" w14:textId="1CD68B1F"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 xml:space="preserve">Catalase activity increased markedly in substrate-treated worms, reaching a maximum value of </w:t>
      </w:r>
      <w:r w:rsidRPr="00FC1C79">
        <w:rPr>
          <w:rFonts w:ascii="Times New Roman" w:eastAsia="Times New Roman" w:hAnsi="Times New Roman" w:cs="Times New Roman"/>
          <w:sz w:val="24"/>
          <w:szCs w:val="24"/>
          <w:lang w:eastAsia="en-IN"/>
        </w:rPr>
        <w:t>35.2 µmol H₂O₂ min⁻¹ mg⁻¹ protein</w:t>
      </w:r>
      <w:r w:rsidRPr="004D4046">
        <w:rPr>
          <w:rFonts w:ascii="Times New Roman" w:eastAsia="Times New Roman" w:hAnsi="Times New Roman" w:cs="Times New Roman"/>
          <w:sz w:val="24"/>
          <w:szCs w:val="24"/>
          <w:lang w:eastAsia="en-IN"/>
        </w:rPr>
        <w:t xml:space="preserve"> in the mixed treatment.</w:t>
      </w:r>
      <w:r w:rsidR="00FC1C79" w:rsidRPr="00FC1C79">
        <w:rPr>
          <w:rFonts w:ascii="Times New Roman" w:eastAsia="Times New Roman" w:hAnsi="Times New Roman" w:cs="Times New Roman"/>
          <w:sz w:val="24"/>
          <w:szCs w:val="24"/>
          <w:lang w:eastAsia="en-IN"/>
        </w:rPr>
        <w:t xml:space="preserve"> </w:t>
      </w:r>
      <w:r w:rsidR="00FC1C79">
        <w:rPr>
          <w:rFonts w:ascii="Times New Roman" w:eastAsia="Times New Roman" w:hAnsi="Times New Roman" w:cs="Times New Roman"/>
          <w:sz w:val="24"/>
          <w:szCs w:val="24"/>
          <w:lang w:eastAsia="en-IN"/>
        </w:rPr>
        <w:t>(Figure. 3).</w:t>
      </w:r>
      <w:r w:rsidRPr="004D4046">
        <w:rPr>
          <w:rFonts w:ascii="Times New Roman" w:eastAsia="Times New Roman" w:hAnsi="Times New Roman" w:cs="Times New Roman"/>
          <w:sz w:val="24"/>
          <w:szCs w:val="24"/>
          <w:lang w:eastAsia="en-IN"/>
        </w:rPr>
        <w:t xml:space="preserve"> Catalase detoxifies hydrogen peroxide produced during SOD activity, preventing its accumulation and subsequent formation of hydroxyl radicals (</w:t>
      </w:r>
      <w:proofErr w:type="spellStart"/>
      <w:r w:rsidRPr="004D4046">
        <w:rPr>
          <w:rFonts w:ascii="Times New Roman" w:eastAsia="Times New Roman" w:hAnsi="Times New Roman" w:cs="Times New Roman"/>
          <w:sz w:val="24"/>
          <w:szCs w:val="24"/>
          <w:lang w:eastAsia="en-IN"/>
        </w:rPr>
        <w:t>Aebi</w:t>
      </w:r>
      <w:proofErr w:type="spellEnd"/>
      <w:r w:rsidRPr="004D4046">
        <w:rPr>
          <w:rFonts w:ascii="Times New Roman" w:eastAsia="Times New Roman" w:hAnsi="Times New Roman" w:cs="Times New Roman"/>
          <w:sz w:val="24"/>
          <w:szCs w:val="24"/>
          <w:lang w:eastAsia="en-IN"/>
        </w:rPr>
        <w:t>, 1984).</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The coordinated elevation of SOD and CAT observed in this study indicates an efficient antioxidant cascade functioning to neutralize ROS generated during active decomposition of organic substrates. Similar synergistic induction of antioxidant enzymes has been reported in earthworms exposed to organic wastes and compost substrates (Wang et al., 2021).</w:t>
      </w:r>
    </w:p>
    <w:p w14:paraId="180E1A73" w14:textId="5F2B2B18"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53F9E745" wp14:editId="4043466A">
            <wp:extent cx="4584700" cy="2755900"/>
            <wp:effectExtent l="19050" t="19050" r="25400" b="254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5B564075" w14:textId="78825644" w:rsidR="00674CD0" w:rsidRPr="0032200B" w:rsidRDefault="00674CD0" w:rsidP="00674CD0">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lastRenderedPageBreak/>
        <w:t>Fig</w:t>
      </w:r>
      <w:r w:rsidRPr="004D4046">
        <w:rPr>
          <w:rFonts w:ascii="Times New Roman" w:eastAsia="Times New Roman" w:hAnsi="Times New Roman" w:cs="Times New Roman"/>
          <w:b/>
          <w:bCs/>
          <w:sz w:val="24"/>
          <w:szCs w:val="24"/>
          <w:lang w:eastAsia="en-IN"/>
        </w:rPr>
        <w:t xml:space="preserve"> 3. CAT activity (µmol H₂O₂ min⁻¹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 xml:space="preserve">Perionyx </w:t>
      </w:r>
      <w:proofErr w:type="spellStart"/>
      <w:r w:rsidRPr="004D4046">
        <w:rPr>
          <w:rFonts w:ascii="Times New Roman" w:eastAsia="Times New Roman" w:hAnsi="Times New Roman" w:cs="Times New Roman"/>
          <w:b/>
          <w:bCs/>
          <w:i/>
          <w:iCs/>
          <w:sz w:val="24"/>
          <w:szCs w:val="24"/>
          <w:lang w:eastAsia="en-IN"/>
        </w:rPr>
        <w:t>excavatus</w:t>
      </w:r>
      <w:proofErr w:type="spellEnd"/>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3B346AEF"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p>
    <w:p w14:paraId="57C52243" w14:textId="4FB87B26" w:rsidR="00E70701"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 Peroxidase (</w:t>
      </w:r>
      <w:proofErr w:type="spellStart"/>
      <w:r w:rsidRPr="0032200B">
        <w:rPr>
          <w:rFonts w:ascii="Times New Roman" w:eastAsia="Times New Roman" w:hAnsi="Times New Roman" w:cs="Times New Roman"/>
          <w:b/>
          <w:bCs/>
          <w:sz w:val="24"/>
          <w:szCs w:val="24"/>
          <w:lang w:eastAsia="en-IN"/>
        </w:rPr>
        <w:t>GPx</w:t>
      </w:r>
      <w:proofErr w:type="spellEnd"/>
      <w:r w:rsidRPr="0032200B">
        <w:rPr>
          <w:rFonts w:ascii="Times New Roman" w:eastAsia="Times New Roman" w:hAnsi="Times New Roman" w:cs="Times New Roman"/>
          <w:b/>
          <w:bCs/>
          <w:sz w:val="24"/>
          <w:szCs w:val="24"/>
          <w:lang w:eastAsia="en-IN"/>
        </w:rPr>
        <w:t>)</w:t>
      </w:r>
    </w:p>
    <w:p w14:paraId="61BEA371" w14:textId="651F7E32" w:rsidR="00E70701" w:rsidRPr="0032200B" w:rsidRDefault="00E70701" w:rsidP="00674CD0">
      <w:pPr>
        <w:spacing w:after="0" w:line="360" w:lineRule="auto"/>
        <w:ind w:firstLine="720"/>
        <w:jc w:val="both"/>
        <w:rPr>
          <w:rFonts w:ascii="Times New Roman" w:eastAsia="Times New Roman" w:hAnsi="Times New Roman" w:cs="Times New Roman"/>
          <w:sz w:val="24"/>
          <w:szCs w:val="24"/>
          <w:lang w:eastAsia="en-IN"/>
        </w:rPr>
      </w:pP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activity also increased significantly during exposure to organic substrates. The highest activity occurred in the mixed treatment</w:t>
      </w:r>
      <w:r w:rsidR="00FC1C79">
        <w:rPr>
          <w:rFonts w:ascii="Times New Roman" w:eastAsia="Times New Roman" w:hAnsi="Times New Roman" w:cs="Times New Roman"/>
          <w:sz w:val="24"/>
          <w:szCs w:val="24"/>
          <w:lang w:eastAsia="en-IN"/>
        </w:rPr>
        <w:t xml:space="preserve"> (Figure. 4)</w:t>
      </w:r>
      <w:r w:rsidRPr="004D4046">
        <w:rPr>
          <w:rFonts w:ascii="Times New Roman" w:eastAsia="Times New Roman" w:hAnsi="Times New Roman" w:cs="Times New Roman"/>
          <w:sz w:val="24"/>
          <w:szCs w:val="24"/>
          <w:lang w:eastAsia="en-IN"/>
        </w:rPr>
        <w:t>, indicating enhanced detoxification of peroxides through the glutathione-dependent pathway.</w:t>
      </w:r>
      <w:r w:rsidR="00674CD0" w:rsidRPr="0032200B">
        <w:rPr>
          <w:rFonts w:ascii="Times New Roman" w:eastAsia="Times New Roman" w:hAnsi="Times New Roman" w:cs="Times New Roman"/>
          <w:sz w:val="24"/>
          <w:szCs w:val="24"/>
          <w:lang w:eastAsia="en-IN"/>
        </w:rPr>
        <w:t xml:space="preserve"> </w:t>
      </w: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works in conjunction with glutathione to neutralize hydrogen peroxide and lipid peroxides, thereby preventing oxidative damage to cellular components (</w:t>
      </w:r>
      <w:proofErr w:type="spellStart"/>
      <w:r w:rsidRPr="004D4046">
        <w:rPr>
          <w:rFonts w:ascii="Times New Roman" w:eastAsia="Times New Roman" w:hAnsi="Times New Roman" w:cs="Times New Roman"/>
          <w:sz w:val="24"/>
          <w:szCs w:val="24"/>
          <w:lang w:eastAsia="en-IN"/>
        </w:rPr>
        <w:t>Flohé</w:t>
      </w:r>
      <w:proofErr w:type="spellEnd"/>
      <w:r w:rsidRPr="004D4046">
        <w:rPr>
          <w:rFonts w:ascii="Times New Roman" w:eastAsia="Times New Roman" w:hAnsi="Times New Roman" w:cs="Times New Roman"/>
          <w:sz w:val="24"/>
          <w:szCs w:val="24"/>
          <w:lang w:eastAsia="en-IN"/>
        </w:rPr>
        <w:t xml:space="preserve"> &amp; </w:t>
      </w:r>
      <w:proofErr w:type="spellStart"/>
      <w:r w:rsidRPr="004D4046">
        <w:rPr>
          <w:rFonts w:ascii="Times New Roman" w:eastAsia="Times New Roman" w:hAnsi="Times New Roman" w:cs="Times New Roman"/>
          <w:sz w:val="24"/>
          <w:szCs w:val="24"/>
          <w:lang w:eastAsia="en-IN"/>
        </w:rPr>
        <w:t>Günzler</w:t>
      </w:r>
      <w:proofErr w:type="spellEnd"/>
      <w:r w:rsidRPr="004D4046">
        <w:rPr>
          <w:rFonts w:ascii="Times New Roman" w:eastAsia="Times New Roman" w:hAnsi="Times New Roman" w:cs="Times New Roman"/>
          <w:sz w:val="24"/>
          <w:szCs w:val="24"/>
          <w:lang w:eastAsia="en-IN"/>
        </w:rPr>
        <w:t xml:space="preserve">, 1984). Increased </w:t>
      </w: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activity has been widely reported in earthworms experiencing oxidative stress during exposure to environmental pollutants or organic substrates (</w:t>
      </w:r>
      <w:proofErr w:type="spellStart"/>
      <w:r w:rsidRPr="004D4046">
        <w:rPr>
          <w:rFonts w:ascii="Times New Roman" w:eastAsia="Times New Roman" w:hAnsi="Times New Roman" w:cs="Times New Roman"/>
          <w:sz w:val="24"/>
          <w:szCs w:val="24"/>
          <w:lang w:eastAsia="en-IN"/>
        </w:rPr>
        <w:t>Saleeb</w:t>
      </w:r>
      <w:proofErr w:type="spellEnd"/>
      <w:r w:rsidRPr="004D4046">
        <w:rPr>
          <w:rFonts w:ascii="Times New Roman" w:eastAsia="Times New Roman" w:hAnsi="Times New Roman" w:cs="Times New Roman"/>
          <w:sz w:val="24"/>
          <w:szCs w:val="24"/>
          <w:lang w:eastAsia="en-IN"/>
        </w:rPr>
        <w:t xml:space="preserve"> et al., 2020).</w:t>
      </w:r>
    </w:p>
    <w:p w14:paraId="7A68A198" w14:textId="11FC4CCE"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3E67EF0D" wp14:editId="0759B56C">
            <wp:extent cx="5041900" cy="2767965"/>
            <wp:effectExtent l="19050" t="19050" r="25400" b="133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767965"/>
                    </a:xfrm>
                    <a:prstGeom prst="rect">
                      <a:avLst/>
                    </a:prstGeom>
                    <a:noFill/>
                    <a:ln>
                      <a:solidFill>
                        <a:schemeClr val="tx1"/>
                      </a:solidFill>
                    </a:ln>
                  </pic:spPr>
                </pic:pic>
              </a:graphicData>
            </a:graphic>
          </wp:inline>
        </w:drawing>
      </w:r>
    </w:p>
    <w:p w14:paraId="6991201B" w14:textId="7A6ABC90" w:rsidR="00E70701" w:rsidRPr="0032200B" w:rsidRDefault="00674CD0" w:rsidP="00674CD0">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4. </w:t>
      </w:r>
      <w:proofErr w:type="spellStart"/>
      <w:r w:rsidRPr="004D4046">
        <w:rPr>
          <w:rFonts w:ascii="Times New Roman" w:eastAsia="Times New Roman" w:hAnsi="Times New Roman" w:cs="Times New Roman"/>
          <w:b/>
          <w:bCs/>
          <w:sz w:val="24"/>
          <w:szCs w:val="24"/>
          <w:lang w:eastAsia="en-IN"/>
        </w:rPr>
        <w:t>GPx</w:t>
      </w:r>
      <w:proofErr w:type="spellEnd"/>
      <w:r w:rsidRPr="004D4046">
        <w:rPr>
          <w:rFonts w:ascii="Times New Roman" w:eastAsia="Times New Roman" w:hAnsi="Times New Roman" w:cs="Times New Roman"/>
          <w:b/>
          <w:bCs/>
          <w:sz w:val="24"/>
          <w:szCs w:val="24"/>
          <w:lang w:eastAsia="en-IN"/>
        </w:rPr>
        <w:t xml:space="preserve"> activity (U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 xml:space="preserve">Perionyx </w:t>
      </w:r>
      <w:proofErr w:type="spellStart"/>
      <w:r w:rsidRPr="004D4046">
        <w:rPr>
          <w:rFonts w:ascii="Times New Roman" w:eastAsia="Times New Roman" w:hAnsi="Times New Roman" w:cs="Times New Roman"/>
          <w:b/>
          <w:bCs/>
          <w:i/>
          <w:iCs/>
          <w:sz w:val="24"/>
          <w:szCs w:val="24"/>
          <w:lang w:eastAsia="en-IN"/>
        </w:rPr>
        <w:t>excavatus</w:t>
      </w:r>
      <w:proofErr w:type="spellEnd"/>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2EB86B03"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p>
    <w:p w14:paraId="7F89A7E3" w14:textId="01FDE4A9" w:rsidR="00E70701" w:rsidRPr="0032200B" w:rsidRDefault="00E70701" w:rsidP="00674CD0">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Reduced Glutathione (GSH)</w:t>
      </w:r>
    </w:p>
    <w:p w14:paraId="1349C5EE" w14:textId="254E8AEF"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GSH levels increased markedly in treated groups, reaching a maximum value in the mixed substrate treatment</w:t>
      </w:r>
      <w:r w:rsidR="00FC1C79">
        <w:rPr>
          <w:rFonts w:ascii="Times New Roman" w:eastAsia="Times New Roman" w:hAnsi="Times New Roman" w:cs="Times New Roman"/>
          <w:sz w:val="24"/>
          <w:szCs w:val="24"/>
          <w:lang w:eastAsia="en-IN"/>
        </w:rPr>
        <w:t xml:space="preserve"> (Figure. 5)</w:t>
      </w:r>
      <w:r w:rsidRPr="004D4046">
        <w:rPr>
          <w:rFonts w:ascii="Times New Roman" w:eastAsia="Times New Roman" w:hAnsi="Times New Roman" w:cs="Times New Roman"/>
          <w:sz w:val="24"/>
          <w:szCs w:val="24"/>
          <w:lang w:eastAsia="en-IN"/>
        </w:rPr>
        <w:t>. Reduced glutathione is a crucial intracellular antioxidant that maintains redox homeostasis and participates in detoxification reactions (Ellman, 1959; Meister &amp; Anderson, 1983).</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The elevation of GSH observed here indicates enhanced cellular </w:t>
      </w:r>
      <w:proofErr w:type="spellStart"/>
      <w:r w:rsidRPr="004D4046">
        <w:rPr>
          <w:rFonts w:ascii="Times New Roman" w:eastAsia="Times New Roman" w:hAnsi="Times New Roman" w:cs="Times New Roman"/>
          <w:sz w:val="24"/>
          <w:szCs w:val="24"/>
          <w:lang w:eastAsia="en-IN"/>
        </w:rPr>
        <w:t>defense</w:t>
      </w:r>
      <w:proofErr w:type="spellEnd"/>
      <w:r w:rsidRPr="004D4046">
        <w:rPr>
          <w:rFonts w:ascii="Times New Roman" w:eastAsia="Times New Roman" w:hAnsi="Times New Roman" w:cs="Times New Roman"/>
          <w:sz w:val="24"/>
          <w:szCs w:val="24"/>
          <w:lang w:eastAsia="en-IN"/>
        </w:rPr>
        <w:t xml:space="preserve"> mechanisms against oxidative stress induced by organic matter decomposition. Previous studies on </w:t>
      </w:r>
      <w:r w:rsidRPr="004D4046">
        <w:rPr>
          <w:rFonts w:ascii="Times New Roman" w:eastAsia="Times New Roman" w:hAnsi="Times New Roman" w:cs="Times New Roman"/>
          <w:i/>
          <w:iCs/>
          <w:sz w:val="24"/>
          <w:szCs w:val="24"/>
          <w:lang w:eastAsia="en-IN"/>
        </w:rPr>
        <w:t xml:space="preserve">Perionyx </w:t>
      </w:r>
      <w:proofErr w:type="spellStart"/>
      <w:r w:rsidRPr="004D4046">
        <w:rPr>
          <w:rFonts w:ascii="Times New Roman" w:eastAsia="Times New Roman" w:hAnsi="Times New Roman" w:cs="Times New Roman"/>
          <w:i/>
          <w:iCs/>
          <w:sz w:val="24"/>
          <w:szCs w:val="24"/>
          <w:lang w:eastAsia="en-IN"/>
        </w:rPr>
        <w:t>excavatus</w:t>
      </w:r>
      <w:proofErr w:type="spellEnd"/>
      <w:r w:rsidRPr="004D4046">
        <w:rPr>
          <w:rFonts w:ascii="Times New Roman" w:eastAsia="Times New Roman" w:hAnsi="Times New Roman" w:cs="Times New Roman"/>
          <w:sz w:val="24"/>
          <w:szCs w:val="24"/>
          <w:lang w:eastAsia="en-IN"/>
        </w:rPr>
        <w:t xml:space="preserve"> and other earthworm species have also reported increased GSH levels in response to nutrient-rich compost environments (Prakash et al., 2008).</w:t>
      </w:r>
    </w:p>
    <w:p w14:paraId="485F3901" w14:textId="081AC76A" w:rsidR="003733A5" w:rsidRPr="0032200B" w:rsidRDefault="003733A5" w:rsidP="003733A5">
      <w:pPr>
        <w:spacing w:after="0" w:line="360" w:lineRule="auto"/>
        <w:jc w:val="both"/>
        <w:rPr>
          <w:rFonts w:ascii="Times New Roman" w:eastAsia="Times New Roman" w:hAnsi="Times New Roman" w:cs="Times New Roman"/>
          <w:sz w:val="24"/>
          <w:szCs w:val="24"/>
          <w:lang w:eastAsia="en-IN"/>
        </w:rPr>
      </w:pPr>
    </w:p>
    <w:p w14:paraId="0660DE24" w14:textId="4D36BA22" w:rsidR="003733A5" w:rsidRPr="0032200B" w:rsidRDefault="003733A5" w:rsidP="003733A5">
      <w:pPr>
        <w:spacing w:after="0" w:line="360" w:lineRule="auto"/>
        <w:jc w:val="both"/>
        <w:rPr>
          <w:rFonts w:ascii="Times New Roman" w:eastAsia="Times New Roman" w:hAnsi="Times New Roman" w:cs="Times New Roman"/>
          <w:sz w:val="24"/>
          <w:szCs w:val="24"/>
          <w:lang w:eastAsia="en-IN"/>
        </w:rPr>
      </w:pPr>
    </w:p>
    <w:p w14:paraId="478F86E3" w14:textId="18B47F86"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lastRenderedPageBreak/>
        <w:drawing>
          <wp:inline distT="0" distB="0" distL="0" distR="0" wp14:anchorId="1191686A" wp14:editId="3D5CA13D">
            <wp:extent cx="4584700" cy="2755900"/>
            <wp:effectExtent l="19050" t="19050" r="2540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65C9CCA1"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5. Reduced glutathione levels (nmol GSH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 xml:space="preserve">Perionyx </w:t>
      </w:r>
      <w:proofErr w:type="spellStart"/>
      <w:r w:rsidRPr="004D4046">
        <w:rPr>
          <w:rFonts w:ascii="Times New Roman" w:eastAsia="Times New Roman" w:hAnsi="Times New Roman" w:cs="Times New Roman"/>
          <w:b/>
          <w:bCs/>
          <w:i/>
          <w:iCs/>
          <w:sz w:val="24"/>
          <w:szCs w:val="24"/>
          <w:lang w:eastAsia="en-IN"/>
        </w:rPr>
        <w:t>excavatus</w:t>
      </w:r>
      <w:proofErr w:type="spellEnd"/>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23113277" w14:textId="77777777" w:rsidR="00674CD0" w:rsidRPr="004D4046" w:rsidRDefault="00674CD0" w:rsidP="00E70701">
      <w:pPr>
        <w:spacing w:after="0" w:line="360" w:lineRule="auto"/>
        <w:jc w:val="both"/>
        <w:rPr>
          <w:rFonts w:ascii="Times New Roman" w:eastAsia="Times New Roman" w:hAnsi="Times New Roman" w:cs="Times New Roman"/>
          <w:sz w:val="24"/>
          <w:szCs w:val="24"/>
          <w:lang w:eastAsia="en-IN"/>
        </w:rPr>
      </w:pPr>
    </w:p>
    <w:p w14:paraId="2C62F0D4" w14:textId="55F97028" w:rsidR="00E70701"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Lipid Peroxidation (MDA)</w:t>
      </w:r>
    </w:p>
    <w:p w14:paraId="56C03452" w14:textId="5A210989"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Lipid peroxidation, measured as MDA, increased moderately in all substrate treatments. The highest values were observed in the horse dung + bagasse treatment</w:t>
      </w:r>
      <w:r w:rsidR="00FC1C79">
        <w:rPr>
          <w:rFonts w:ascii="Times New Roman" w:eastAsia="Times New Roman" w:hAnsi="Times New Roman" w:cs="Times New Roman"/>
          <w:sz w:val="24"/>
          <w:szCs w:val="24"/>
          <w:lang w:eastAsia="en-IN"/>
        </w:rPr>
        <w:t xml:space="preserve"> (Figure. 6)</w:t>
      </w:r>
      <w:r w:rsidRPr="004D4046">
        <w:rPr>
          <w:rFonts w:ascii="Times New Roman" w:eastAsia="Times New Roman" w:hAnsi="Times New Roman" w:cs="Times New Roman"/>
          <w:sz w:val="24"/>
          <w:szCs w:val="24"/>
          <w:lang w:eastAsia="en-IN"/>
        </w:rPr>
        <w:t>. Increased MDA reflects oxidative damage to membrane lipids caused by ROS (</w:t>
      </w:r>
      <w:proofErr w:type="spellStart"/>
      <w:r w:rsidRPr="004D4046">
        <w:rPr>
          <w:rFonts w:ascii="Times New Roman" w:eastAsia="Times New Roman" w:hAnsi="Times New Roman" w:cs="Times New Roman"/>
          <w:sz w:val="24"/>
          <w:szCs w:val="24"/>
          <w:lang w:eastAsia="en-IN"/>
        </w:rPr>
        <w:t>Ohkawa</w:t>
      </w:r>
      <w:proofErr w:type="spellEnd"/>
      <w:r w:rsidRPr="004D4046">
        <w:rPr>
          <w:rFonts w:ascii="Times New Roman" w:eastAsia="Times New Roman" w:hAnsi="Times New Roman" w:cs="Times New Roman"/>
          <w:sz w:val="24"/>
          <w:szCs w:val="24"/>
          <w:lang w:eastAsia="en-IN"/>
        </w:rPr>
        <w:t xml:space="preserve"> et al., 1979; Li et al., 2010).</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However, the mixed substrate exhibited comparatively lower MDA levels despite high metabolic activity, suggesting that enhanced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effectively prevented excessive oxidative damage (</w:t>
      </w:r>
      <w:proofErr w:type="spellStart"/>
      <w:r w:rsidR="00582E37" w:rsidRPr="004D4046">
        <w:rPr>
          <w:rFonts w:ascii="Times New Roman" w:eastAsia="Times New Roman" w:hAnsi="Times New Roman" w:cs="Times New Roman"/>
          <w:sz w:val="24"/>
          <w:szCs w:val="24"/>
          <w:lang w:eastAsia="en-IN"/>
        </w:rPr>
        <w:t>Saleeb</w:t>
      </w:r>
      <w:proofErr w:type="spellEnd"/>
      <w:r w:rsidR="00582E37" w:rsidRPr="004D4046">
        <w:rPr>
          <w:rFonts w:ascii="Times New Roman" w:eastAsia="Times New Roman" w:hAnsi="Times New Roman" w:cs="Times New Roman"/>
          <w:sz w:val="24"/>
          <w:szCs w:val="24"/>
          <w:lang w:eastAsia="en-IN"/>
        </w:rPr>
        <w:t xml:space="preserve"> et al., 2020</w:t>
      </w:r>
      <w:r w:rsidR="00582E37">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Wang et al., 2021).</w:t>
      </w:r>
    </w:p>
    <w:p w14:paraId="61CEE947" w14:textId="59212FE1"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57D742EE" wp14:editId="6F7A1D43">
            <wp:extent cx="4749165" cy="2950845"/>
            <wp:effectExtent l="19050" t="19050" r="13335" b="209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9165" cy="2950845"/>
                    </a:xfrm>
                    <a:prstGeom prst="rect">
                      <a:avLst/>
                    </a:prstGeom>
                    <a:noFill/>
                    <a:ln>
                      <a:solidFill>
                        <a:schemeClr val="tx1"/>
                      </a:solidFill>
                    </a:ln>
                  </pic:spPr>
                </pic:pic>
              </a:graphicData>
            </a:graphic>
          </wp:inline>
        </w:drawing>
      </w:r>
    </w:p>
    <w:p w14:paraId="45079206"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6. Lipid peroxidation levels (nmol MDA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 xml:space="preserve">Perionyx </w:t>
      </w:r>
      <w:proofErr w:type="spellStart"/>
      <w:r w:rsidRPr="004D4046">
        <w:rPr>
          <w:rFonts w:ascii="Times New Roman" w:eastAsia="Times New Roman" w:hAnsi="Times New Roman" w:cs="Times New Roman"/>
          <w:b/>
          <w:bCs/>
          <w:i/>
          <w:iCs/>
          <w:sz w:val="24"/>
          <w:szCs w:val="24"/>
          <w:lang w:eastAsia="en-IN"/>
        </w:rPr>
        <w:t>excavatus</w:t>
      </w:r>
      <w:proofErr w:type="spellEnd"/>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7138D30D" w14:textId="77777777" w:rsidR="00674CD0" w:rsidRPr="0032200B" w:rsidRDefault="00674CD0" w:rsidP="00E70701">
      <w:pPr>
        <w:spacing w:after="0" w:line="360" w:lineRule="auto"/>
        <w:jc w:val="both"/>
        <w:outlineLvl w:val="0"/>
        <w:rPr>
          <w:rFonts w:ascii="Times New Roman" w:eastAsia="Times New Roman" w:hAnsi="Times New Roman" w:cs="Times New Roman"/>
          <w:sz w:val="24"/>
          <w:szCs w:val="24"/>
          <w:lang w:eastAsia="en-IN"/>
        </w:rPr>
      </w:pPr>
    </w:p>
    <w:p w14:paraId="7CF0C6BA" w14:textId="031E45D8" w:rsidR="00E70701" w:rsidRPr="0032200B" w:rsidRDefault="00E70701" w:rsidP="00E70701">
      <w:pPr>
        <w:pStyle w:val="ListParagraph"/>
        <w:numPr>
          <w:ilvl w:val="1"/>
          <w:numId w:val="2"/>
        </w:numPr>
        <w:spacing w:after="0" w:line="360" w:lineRule="auto"/>
        <w:jc w:val="both"/>
        <w:outlineLvl w:val="0"/>
        <w:rPr>
          <w:rFonts w:ascii="Times New Roman" w:eastAsia="Times New Roman" w:hAnsi="Times New Roman" w:cs="Times New Roman"/>
          <w:b/>
          <w:bCs/>
          <w:kern w:val="36"/>
          <w:sz w:val="24"/>
          <w:szCs w:val="24"/>
          <w:lang w:eastAsia="en-IN"/>
        </w:rPr>
      </w:pPr>
      <w:r w:rsidRPr="0032200B">
        <w:rPr>
          <w:rFonts w:ascii="Times New Roman" w:eastAsia="Times New Roman" w:hAnsi="Times New Roman" w:cs="Times New Roman"/>
          <w:b/>
          <w:bCs/>
          <w:kern w:val="36"/>
          <w:sz w:val="24"/>
          <w:szCs w:val="24"/>
          <w:lang w:eastAsia="en-IN"/>
        </w:rPr>
        <w:t xml:space="preserve">DNA Damage </w:t>
      </w:r>
    </w:p>
    <w:tbl>
      <w:tblPr>
        <w:tblStyle w:val="TableGrid"/>
        <w:tblW w:w="0" w:type="auto"/>
        <w:jc w:val="center"/>
        <w:tblLook w:val="04A0" w:firstRow="1" w:lastRow="0" w:firstColumn="1" w:lastColumn="0" w:noHBand="0" w:noVBand="1"/>
      </w:tblPr>
      <w:tblGrid>
        <w:gridCol w:w="2331"/>
        <w:gridCol w:w="1670"/>
        <w:gridCol w:w="1981"/>
        <w:gridCol w:w="2163"/>
      </w:tblGrid>
      <w:tr w:rsidR="00E70701" w:rsidRPr="004D4046" w14:paraId="69FC5BBD" w14:textId="77777777" w:rsidTr="00674CD0">
        <w:trPr>
          <w:jc w:val="center"/>
        </w:trPr>
        <w:tc>
          <w:tcPr>
            <w:tcW w:w="0" w:type="auto"/>
            <w:vAlign w:val="center"/>
            <w:hideMark/>
          </w:tcPr>
          <w:p w14:paraId="3C04CB60"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Treatment</w:t>
            </w:r>
          </w:p>
        </w:tc>
        <w:tc>
          <w:tcPr>
            <w:tcW w:w="0" w:type="auto"/>
            <w:vAlign w:val="center"/>
            <w:hideMark/>
          </w:tcPr>
          <w:p w14:paraId="1EFAFAD1"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Tail DNA (%)</w:t>
            </w:r>
          </w:p>
        </w:tc>
        <w:tc>
          <w:tcPr>
            <w:tcW w:w="0" w:type="auto"/>
            <w:vAlign w:val="center"/>
            <w:hideMark/>
          </w:tcPr>
          <w:p w14:paraId="1D74EEB5"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Tail Length (µm)</w:t>
            </w:r>
          </w:p>
        </w:tc>
        <w:tc>
          <w:tcPr>
            <w:tcW w:w="0" w:type="auto"/>
            <w:vAlign w:val="center"/>
            <w:hideMark/>
          </w:tcPr>
          <w:p w14:paraId="29F653DF"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Olive Tail Moment</w:t>
            </w:r>
          </w:p>
        </w:tc>
      </w:tr>
      <w:tr w:rsidR="00E70701" w:rsidRPr="004D4046" w14:paraId="3589B4F1" w14:textId="77777777" w:rsidTr="00674CD0">
        <w:trPr>
          <w:jc w:val="center"/>
        </w:trPr>
        <w:tc>
          <w:tcPr>
            <w:tcW w:w="0" w:type="auto"/>
            <w:vAlign w:val="center"/>
            <w:hideMark/>
          </w:tcPr>
          <w:p w14:paraId="115857AD"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Control</w:t>
            </w:r>
          </w:p>
        </w:tc>
        <w:tc>
          <w:tcPr>
            <w:tcW w:w="0" w:type="auto"/>
            <w:vAlign w:val="center"/>
            <w:hideMark/>
          </w:tcPr>
          <w:p w14:paraId="05283E8D"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3.2 ± 0.4</w:t>
            </w:r>
          </w:p>
        </w:tc>
        <w:tc>
          <w:tcPr>
            <w:tcW w:w="0" w:type="auto"/>
            <w:vAlign w:val="center"/>
            <w:hideMark/>
          </w:tcPr>
          <w:p w14:paraId="73F44B43"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6.4 ± 0.6</w:t>
            </w:r>
          </w:p>
        </w:tc>
        <w:tc>
          <w:tcPr>
            <w:tcW w:w="0" w:type="auto"/>
            <w:vAlign w:val="center"/>
            <w:hideMark/>
          </w:tcPr>
          <w:p w14:paraId="7DF8315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0.12 ± 0.02</w:t>
            </w:r>
          </w:p>
        </w:tc>
      </w:tr>
      <w:tr w:rsidR="00E70701" w:rsidRPr="004D4046" w14:paraId="4609603B" w14:textId="77777777" w:rsidTr="00674CD0">
        <w:trPr>
          <w:jc w:val="center"/>
        </w:trPr>
        <w:tc>
          <w:tcPr>
            <w:tcW w:w="0" w:type="auto"/>
            <w:vAlign w:val="center"/>
            <w:hideMark/>
          </w:tcPr>
          <w:p w14:paraId="7EEF4F6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Cow dung + bagasse</w:t>
            </w:r>
          </w:p>
        </w:tc>
        <w:tc>
          <w:tcPr>
            <w:tcW w:w="0" w:type="auto"/>
            <w:vAlign w:val="center"/>
            <w:hideMark/>
          </w:tcPr>
          <w:p w14:paraId="3DC5F1B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4.8 ± 0.5</w:t>
            </w:r>
          </w:p>
        </w:tc>
        <w:tc>
          <w:tcPr>
            <w:tcW w:w="0" w:type="auto"/>
            <w:vAlign w:val="center"/>
            <w:hideMark/>
          </w:tcPr>
          <w:p w14:paraId="6DD5F408"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8.5 ± 0.8</w:t>
            </w:r>
          </w:p>
        </w:tc>
        <w:tc>
          <w:tcPr>
            <w:tcW w:w="0" w:type="auto"/>
            <w:vAlign w:val="center"/>
            <w:hideMark/>
          </w:tcPr>
          <w:p w14:paraId="43FFC3DA"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0.21 ± 0.03</w:t>
            </w:r>
          </w:p>
        </w:tc>
      </w:tr>
      <w:tr w:rsidR="00E70701" w:rsidRPr="004D4046" w14:paraId="2F5FD1FD" w14:textId="77777777" w:rsidTr="00674CD0">
        <w:trPr>
          <w:jc w:val="center"/>
        </w:trPr>
        <w:tc>
          <w:tcPr>
            <w:tcW w:w="0" w:type="auto"/>
            <w:vAlign w:val="center"/>
            <w:hideMark/>
          </w:tcPr>
          <w:p w14:paraId="70BD8FB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Horse dung + bagasse</w:t>
            </w:r>
          </w:p>
        </w:tc>
        <w:tc>
          <w:tcPr>
            <w:tcW w:w="0" w:type="auto"/>
            <w:vAlign w:val="center"/>
            <w:hideMark/>
          </w:tcPr>
          <w:p w14:paraId="333E9ED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5.1 ± 0.6</w:t>
            </w:r>
          </w:p>
        </w:tc>
        <w:tc>
          <w:tcPr>
            <w:tcW w:w="0" w:type="auto"/>
            <w:vAlign w:val="center"/>
            <w:hideMark/>
          </w:tcPr>
          <w:p w14:paraId="045F9B3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9.0 ± 0.9</w:t>
            </w:r>
          </w:p>
        </w:tc>
        <w:tc>
          <w:tcPr>
            <w:tcW w:w="0" w:type="auto"/>
            <w:vAlign w:val="center"/>
            <w:hideMark/>
          </w:tcPr>
          <w:p w14:paraId="62D20D94"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0.24 ± 0.03</w:t>
            </w:r>
          </w:p>
        </w:tc>
      </w:tr>
      <w:tr w:rsidR="00E70701" w:rsidRPr="004D4046" w14:paraId="6B79BACB" w14:textId="77777777" w:rsidTr="00674CD0">
        <w:trPr>
          <w:jc w:val="center"/>
        </w:trPr>
        <w:tc>
          <w:tcPr>
            <w:tcW w:w="0" w:type="auto"/>
            <w:vAlign w:val="center"/>
            <w:hideMark/>
          </w:tcPr>
          <w:p w14:paraId="0A07ADFB"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Mixed substrate</w:t>
            </w:r>
          </w:p>
        </w:tc>
        <w:tc>
          <w:tcPr>
            <w:tcW w:w="0" w:type="auto"/>
            <w:vAlign w:val="center"/>
            <w:hideMark/>
          </w:tcPr>
          <w:p w14:paraId="63AA2C34"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0.5</w:t>
            </w:r>
          </w:p>
        </w:tc>
        <w:tc>
          <w:tcPr>
            <w:tcW w:w="0" w:type="auto"/>
            <w:vAlign w:val="center"/>
            <w:hideMark/>
          </w:tcPr>
          <w:p w14:paraId="126EC5AC"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7.2 ± 0.7</w:t>
            </w:r>
          </w:p>
        </w:tc>
        <w:tc>
          <w:tcPr>
            <w:tcW w:w="0" w:type="auto"/>
            <w:vAlign w:val="center"/>
            <w:hideMark/>
          </w:tcPr>
          <w:p w14:paraId="3EA217D9"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0.18 ± 0.03</w:t>
            </w:r>
          </w:p>
        </w:tc>
      </w:tr>
    </w:tbl>
    <w:p w14:paraId="5AF1A9E4" w14:textId="5B2F48F5" w:rsidR="00674CD0" w:rsidRPr="0032200B" w:rsidRDefault="00674CD0" w:rsidP="00674CD0">
      <w:pPr>
        <w:spacing w:after="0"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b/>
          <w:bCs/>
          <w:sz w:val="24"/>
          <w:szCs w:val="24"/>
          <w:lang w:eastAsia="en-IN"/>
        </w:rPr>
        <w:t>Table</w:t>
      </w:r>
      <w:r w:rsidRPr="0032200B">
        <w:rPr>
          <w:rFonts w:ascii="Times New Roman" w:eastAsia="Times New Roman" w:hAnsi="Times New Roman" w:cs="Times New Roman"/>
          <w:b/>
          <w:bCs/>
          <w:sz w:val="24"/>
          <w:szCs w:val="24"/>
          <w:lang w:eastAsia="en-IN"/>
        </w:rPr>
        <w:t>. 1</w:t>
      </w:r>
      <w:r w:rsidRPr="004D4046">
        <w:rPr>
          <w:rFonts w:ascii="Times New Roman" w:eastAsia="Times New Roman" w:hAnsi="Times New Roman" w:cs="Times New Roman"/>
          <w:b/>
          <w:bCs/>
          <w:sz w:val="24"/>
          <w:szCs w:val="24"/>
          <w:lang w:eastAsia="en-IN"/>
        </w:rPr>
        <w:t>. DNA damage parameters after 28 days</w:t>
      </w:r>
    </w:p>
    <w:p w14:paraId="6FEF855A" w14:textId="7321EB10" w:rsidR="00E70701" w:rsidRPr="004D4046"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DNA damage increased slightly in worms exposed to organic substrates, particularly in the horse dung treatment</w:t>
      </w:r>
      <w:r w:rsidR="00FC1C79">
        <w:rPr>
          <w:rFonts w:ascii="Times New Roman" w:eastAsia="Times New Roman" w:hAnsi="Times New Roman" w:cs="Times New Roman"/>
          <w:sz w:val="24"/>
          <w:szCs w:val="24"/>
          <w:lang w:eastAsia="en-IN"/>
        </w:rPr>
        <w:t xml:space="preserve"> </w:t>
      </w:r>
      <w:bookmarkStart w:id="0" w:name="_Hlk224500496"/>
      <w:r w:rsidR="00FC1C79">
        <w:rPr>
          <w:rFonts w:ascii="Times New Roman" w:eastAsia="Times New Roman" w:hAnsi="Times New Roman" w:cs="Times New Roman"/>
          <w:sz w:val="24"/>
          <w:szCs w:val="24"/>
          <w:lang w:eastAsia="en-IN"/>
        </w:rPr>
        <w:t>(Table. 1)</w:t>
      </w:r>
      <w:bookmarkEnd w:id="0"/>
      <w:r w:rsidRPr="004D4046">
        <w:rPr>
          <w:rFonts w:ascii="Times New Roman" w:eastAsia="Times New Roman" w:hAnsi="Times New Roman" w:cs="Times New Roman"/>
          <w:sz w:val="24"/>
          <w:szCs w:val="24"/>
          <w:lang w:eastAsia="en-IN"/>
        </w:rPr>
        <w:t xml:space="preserve">. Oxidative DNA damage is commonly associated with ROS-mediated strand breaks and genotoxic stress (Singh et al., 1988; </w:t>
      </w:r>
      <w:proofErr w:type="spellStart"/>
      <w:r w:rsidRPr="004D4046">
        <w:rPr>
          <w:rFonts w:ascii="Times New Roman" w:eastAsia="Times New Roman" w:hAnsi="Times New Roman" w:cs="Times New Roman"/>
          <w:sz w:val="24"/>
          <w:szCs w:val="24"/>
          <w:lang w:eastAsia="en-IN"/>
        </w:rPr>
        <w:t>Nahmani</w:t>
      </w:r>
      <w:proofErr w:type="spellEnd"/>
      <w:r w:rsidRPr="004D4046">
        <w:rPr>
          <w:rFonts w:ascii="Times New Roman" w:eastAsia="Times New Roman" w:hAnsi="Times New Roman" w:cs="Times New Roman"/>
          <w:sz w:val="24"/>
          <w:szCs w:val="24"/>
          <w:lang w:eastAsia="en-IN"/>
        </w:rPr>
        <w:t xml:space="preserve"> et al., 2007).</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Nevertheless, the mixed substrate showed relatively lower DNA damage levels, supporting the role of enhanced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in protecting cellular integrity.</w:t>
      </w:r>
    </w:p>
    <w:p w14:paraId="559C208B" w14:textId="38AF1287" w:rsidR="00E70701" w:rsidRPr="0032200B" w:rsidRDefault="00E70701" w:rsidP="00674CD0">
      <w:pPr>
        <w:pStyle w:val="ListParagraph"/>
        <w:numPr>
          <w:ilvl w:val="1"/>
          <w:numId w:val="2"/>
        </w:numPr>
        <w:spacing w:after="0" w:line="360" w:lineRule="auto"/>
        <w:jc w:val="both"/>
        <w:outlineLvl w:val="0"/>
        <w:rPr>
          <w:rFonts w:ascii="Times New Roman" w:eastAsia="Times New Roman" w:hAnsi="Times New Roman" w:cs="Times New Roman"/>
          <w:b/>
          <w:bCs/>
          <w:kern w:val="36"/>
          <w:sz w:val="24"/>
          <w:szCs w:val="24"/>
          <w:lang w:eastAsia="en-IN"/>
        </w:rPr>
      </w:pPr>
      <w:r w:rsidRPr="0032200B">
        <w:rPr>
          <w:rFonts w:ascii="Times New Roman" w:eastAsia="Times New Roman" w:hAnsi="Times New Roman" w:cs="Times New Roman"/>
          <w:b/>
          <w:bCs/>
          <w:kern w:val="36"/>
          <w:sz w:val="24"/>
          <w:szCs w:val="24"/>
          <w:lang w:eastAsia="en-IN"/>
        </w:rPr>
        <w:t>Integrated Biomarker Response (IBR)</w:t>
      </w:r>
    </w:p>
    <w:tbl>
      <w:tblPr>
        <w:tblStyle w:val="TableGrid"/>
        <w:tblW w:w="0" w:type="auto"/>
        <w:jc w:val="center"/>
        <w:tblLook w:val="04A0" w:firstRow="1" w:lastRow="0" w:firstColumn="1" w:lastColumn="0" w:noHBand="0" w:noVBand="1"/>
      </w:tblPr>
      <w:tblGrid>
        <w:gridCol w:w="2331"/>
        <w:gridCol w:w="1303"/>
        <w:gridCol w:w="1736"/>
      </w:tblGrid>
      <w:tr w:rsidR="00E70701" w:rsidRPr="004D4046" w14:paraId="0393E0B9" w14:textId="77777777" w:rsidTr="00674CD0">
        <w:trPr>
          <w:jc w:val="center"/>
        </w:trPr>
        <w:tc>
          <w:tcPr>
            <w:tcW w:w="0" w:type="auto"/>
            <w:vAlign w:val="center"/>
            <w:hideMark/>
          </w:tcPr>
          <w:p w14:paraId="61996509"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Treatment</w:t>
            </w:r>
          </w:p>
        </w:tc>
        <w:tc>
          <w:tcPr>
            <w:tcW w:w="0" w:type="auto"/>
            <w:vAlign w:val="center"/>
            <w:hideMark/>
          </w:tcPr>
          <w:p w14:paraId="54C603BA"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IBR Value</w:t>
            </w:r>
          </w:p>
        </w:tc>
        <w:tc>
          <w:tcPr>
            <w:tcW w:w="0" w:type="auto"/>
            <w:vAlign w:val="center"/>
            <w:hideMark/>
          </w:tcPr>
          <w:p w14:paraId="4B89E145"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Stress Level</w:t>
            </w:r>
          </w:p>
        </w:tc>
      </w:tr>
      <w:tr w:rsidR="00E70701" w:rsidRPr="004D4046" w14:paraId="733DD028" w14:textId="77777777" w:rsidTr="00674CD0">
        <w:trPr>
          <w:jc w:val="center"/>
        </w:trPr>
        <w:tc>
          <w:tcPr>
            <w:tcW w:w="0" w:type="auto"/>
            <w:vAlign w:val="center"/>
            <w:hideMark/>
          </w:tcPr>
          <w:p w14:paraId="5B20C5B7"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Control</w:t>
            </w:r>
          </w:p>
        </w:tc>
        <w:tc>
          <w:tcPr>
            <w:tcW w:w="0" w:type="auto"/>
            <w:vAlign w:val="center"/>
            <w:hideMark/>
          </w:tcPr>
          <w:p w14:paraId="134DD347"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1.0 ± 0.1</w:t>
            </w:r>
          </w:p>
        </w:tc>
        <w:tc>
          <w:tcPr>
            <w:tcW w:w="0" w:type="auto"/>
            <w:vAlign w:val="center"/>
            <w:hideMark/>
          </w:tcPr>
          <w:p w14:paraId="2BAEFD7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Low</w:t>
            </w:r>
          </w:p>
        </w:tc>
      </w:tr>
      <w:tr w:rsidR="00E70701" w:rsidRPr="004D4046" w14:paraId="6925FAB1" w14:textId="77777777" w:rsidTr="00674CD0">
        <w:trPr>
          <w:jc w:val="center"/>
        </w:trPr>
        <w:tc>
          <w:tcPr>
            <w:tcW w:w="0" w:type="auto"/>
            <w:vAlign w:val="center"/>
            <w:hideMark/>
          </w:tcPr>
          <w:p w14:paraId="2567954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Cow dung + bagasse</w:t>
            </w:r>
          </w:p>
        </w:tc>
        <w:tc>
          <w:tcPr>
            <w:tcW w:w="0" w:type="auto"/>
            <w:vAlign w:val="center"/>
            <w:hideMark/>
          </w:tcPr>
          <w:p w14:paraId="11D5A8DF"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2.8 ± 0.2</w:t>
            </w:r>
          </w:p>
        </w:tc>
        <w:tc>
          <w:tcPr>
            <w:tcW w:w="0" w:type="auto"/>
            <w:vAlign w:val="center"/>
            <w:hideMark/>
          </w:tcPr>
          <w:p w14:paraId="4CBC26B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Moderate</w:t>
            </w:r>
          </w:p>
        </w:tc>
      </w:tr>
      <w:tr w:rsidR="00E70701" w:rsidRPr="004D4046" w14:paraId="52FB0B64" w14:textId="77777777" w:rsidTr="00674CD0">
        <w:trPr>
          <w:jc w:val="center"/>
        </w:trPr>
        <w:tc>
          <w:tcPr>
            <w:tcW w:w="0" w:type="auto"/>
            <w:vAlign w:val="center"/>
            <w:hideMark/>
          </w:tcPr>
          <w:p w14:paraId="710F4BB0"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Horse dung + bagasse</w:t>
            </w:r>
          </w:p>
        </w:tc>
        <w:tc>
          <w:tcPr>
            <w:tcW w:w="0" w:type="auto"/>
            <w:vAlign w:val="center"/>
            <w:hideMark/>
          </w:tcPr>
          <w:p w14:paraId="72D794A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3.1 ± 0.3</w:t>
            </w:r>
          </w:p>
        </w:tc>
        <w:tc>
          <w:tcPr>
            <w:tcW w:w="0" w:type="auto"/>
            <w:vAlign w:val="center"/>
            <w:hideMark/>
          </w:tcPr>
          <w:p w14:paraId="536E8BEE"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Moderate–High</w:t>
            </w:r>
          </w:p>
        </w:tc>
      </w:tr>
      <w:tr w:rsidR="00E70701" w:rsidRPr="004D4046" w14:paraId="7190D769" w14:textId="77777777" w:rsidTr="00674CD0">
        <w:trPr>
          <w:jc w:val="center"/>
        </w:trPr>
        <w:tc>
          <w:tcPr>
            <w:tcW w:w="0" w:type="auto"/>
            <w:vAlign w:val="center"/>
            <w:hideMark/>
          </w:tcPr>
          <w:p w14:paraId="03F0E4AE"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Mixed substrate</w:t>
            </w:r>
          </w:p>
        </w:tc>
        <w:tc>
          <w:tcPr>
            <w:tcW w:w="0" w:type="auto"/>
            <w:vAlign w:val="center"/>
            <w:hideMark/>
          </w:tcPr>
          <w:p w14:paraId="4B81A98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2.2 ± 0.2</w:t>
            </w:r>
          </w:p>
        </w:tc>
        <w:tc>
          <w:tcPr>
            <w:tcW w:w="0" w:type="auto"/>
            <w:vAlign w:val="center"/>
            <w:hideMark/>
          </w:tcPr>
          <w:p w14:paraId="48514A0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Mild</w:t>
            </w:r>
          </w:p>
        </w:tc>
      </w:tr>
    </w:tbl>
    <w:p w14:paraId="2B46F929" w14:textId="44CAD1FC" w:rsidR="00674CD0" w:rsidRPr="0032200B" w:rsidRDefault="00674CD0" w:rsidP="00674CD0">
      <w:pPr>
        <w:spacing w:after="0"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b/>
          <w:bCs/>
          <w:sz w:val="24"/>
          <w:szCs w:val="24"/>
          <w:lang w:eastAsia="en-IN"/>
        </w:rPr>
        <w:t>Table</w:t>
      </w:r>
      <w:r w:rsidRPr="0032200B">
        <w:rPr>
          <w:rFonts w:ascii="Times New Roman" w:eastAsia="Times New Roman" w:hAnsi="Times New Roman" w:cs="Times New Roman"/>
          <w:b/>
          <w:bCs/>
          <w:sz w:val="24"/>
          <w:szCs w:val="24"/>
          <w:lang w:eastAsia="en-IN"/>
        </w:rPr>
        <w:t>.2</w:t>
      </w:r>
      <w:r w:rsidRPr="004D4046">
        <w:rPr>
          <w:rFonts w:ascii="Times New Roman" w:eastAsia="Times New Roman" w:hAnsi="Times New Roman" w:cs="Times New Roman"/>
          <w:b/>
          <w:bCs/>
          <w:sz w:val="24"/>
          <w:szCs w:val="24"/>
          <w:lang w:eastAsia="en-IN"/>
        </w:rPr>
        <w:t>. Integrated Biomarker Response (IBR) values</w:t>
      </w:r>
    </w:p>
    <w:p w14:paraId="38C6FB99" w14:textId="49A4CF67" w:rsidR="00E70701" w:rsidRPr="004D4046"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 integrated biomarker response analysis revealed that the horse dung + bagasse treatment generated the highest cumulative oxidative stress, whereas the mixed substrate produced a lower stress index despite increased metabolic activity.</w:t>
      </w:r>
      <w:r w:rsidR="00674CD0" w:rsidRPr="0032200B">
        <w:rPr>
          <w:rFonts w:ascii="Times New Roman" w:eastAsia="Times New Roman" w:hAnsi="Times New Roman" w:cs="Times New Roman"/>
          <w:sz w:val="24"/>
          <w:szCs w:val="24"/>
          <w:lang w:eastAsia="en-IN"/>
        </w:rPr>
        <w:t xml:space="preserve"> </w:t>
      </w:r>
      <w:r w:rsidR="00E36BB5" w:rsidRPr="00E36BB5">
        <w:rPr>
          <w:rFonts w:ascii="Times New Roman" w:eastAsia="Times New Roman" w:hAnsi="Times New Roman" w:cs="Times New Roman"/>
          <w:sz w:val="24"/>
          <w:szCs w:val="24"/>
          <w:lang w:eastAsia="en-IN"/>
        </w:rPr>
        <w:t xml:space="preserve">IBR was calculated following the method of </w:t>
      </w:r>
      <w:proofErr w:type="spellStart"/>
      <w:r w:rsidR="00E36BB5" w:rsidRPr="00E36BB5">
        <w:rPr>
          <w:rFonts w:ascii="Times New Roman" w:eastAsia="Times New Roman" w:hAnsi="Times New Roman" w:cs="Times New Roman"/>
          <w:sz w:val="24"/>
          <w:szCs w:val="24"/>
          <w:lang w:eastAsia="en-IN"/>
        </w:rPr>
        <w:t>Beliaeff</w:t>
      </w:r>
      <w:proofErr w:type="spellEnd"/>
      <w:r w:rsidR="00E36BB5" w:rsidRPr="00E36BB5">
        <w:rPr>
          <w:rFonts w:ascii="Times New Roman" w:eastAsia="Times New Roman" w:hAnsi="Times New Roman" w:cs="Times New Roman"/>
          <w:sz w:val="24"/>
          <w:szCs w:val="24"/>
          <w:lang w:eastAsia="en-IN"/>
        </w:rPr>
        <w:t xml:space="preserve"> and </w:t>
      </w:r>
      <w:proofErr w:type="spellStart"/>
      <w:r w:rsidR="00E36BB5" w:rsidRPr="00E36BB5">
        <w:rPr>
          <w:rFonts w:ascii="Times New Roman" w:eastAsia="Times New Roman" w:hAnsi="Times New Roman" w:cs="Times New Roman"/>
          <w:sz w:val="24"/>
          <w:szCs w:val="24"/>
          <w:lang w:eastAsia="en-IN"/>
        </w:rPr>
        <w:t>Burgeot</w:t>
      </w:r>
      <w:proofErr w:type="spellEnd"/>
      <w:r w:rsidR="00E36BB5" w:rsidRPr="00E36BB5">
        <w:rPr>
          <w:rFonts w:ascii="Times New Roman" w:eastAsia="Times New Roman" w:hAnsi="Times New Roman" w:cs="Times New Roman"/>
          <w:sz w:val="24"/>
          <w:szCs w:val="24"/>
          <w:lang w:eastAsia="en-IN"/>
        </w:rPr>
        <w:t xml:space="preserve"> (2002)</w:t>
      </w:r>
      <w:r w:rsidR="00E36BB5">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This result indicates that balanced organic substrates enhance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and maintain redox homeostasis, whereas nutrient imbalance may elevate ROS production (Zhou et al., 2024</w:t>
      </w:r>
      <w:r w:rsidR="009C20E3" w:rsidRPr="0032200B">
        <w:rPr>
          <w:rFonts w:ascii="Times New Roman" w:eastAsia="Times New Roman" w:hAnsi="Times New Roman" w:cs="Times New Roman"/>
          <w:sz w:val="24"/>
          <w:szCs w:val="24"/>
          <w:lang w:eastAsia="en-IN"/>
        </w:rPr>
        <w:t xml:space="preserve">; </w:t>
      </w:r>
      <w:r w:rsidR="009C20E3" w:rsidRPr="0032200B">
        <w:rPr>
          <w:rFonts w:ascii="Times New Roman" w:hAnsi="Times New Roman" w:cs="Times New Roman"/>
          <w:sz w:val="24"/>
          <w:szCs w:val="24"/>
        </w:rPr>
        <w:t xml:space="preserve">Shashank &amp; </w:t>
      </w:r>
      <w:proofErr w:type="spellStart"/>
      <w:r w:rsidR="009C20E3" w:rsidRPr="0032200B">
        <w:rPr>
          <w:rFonts w:ascii="Times New Roman" w:hAnsi="Times New Roman" w:cs="Times New Roman"/>
          <w:sz w:val="24"/>
          <w:szCs w:val="24"/>
        </w:rPr>
        <w:t>Mahadevaswamy</w:t>
      </w:r>
      <w:proofErr w:type="spellEnd"/>
      <w:r w:rsidR="009C20E3" w:rsidRPr="0032200B">
        <w:rPr>
          <w:rFonts w:ascii="Times New Roman" w:hAnsi="Times New Roman" w:cs="Times New Roman"/>
          <w:sz w:val="24"/>
          <w:szCs w:val="24"/>
        </w:rPr>
        <w:t>, 2026</w:t>
      </w:r>
      <w:r w:rsidRPr="004D4046">
        <w:rPr>
          <w:rFonts w:ascii="Times New Roman" w:eastAsia="Times New Roman" w:hAnsi="Times New Roman" w:cs="Times New Roman"/>
          <w:sz w:val="24"/>
          <w:szCs w:val="24"/>
          <w:lang w:eastAsia="en-IN"/>
        </w:rPr>
        <w:t>).</w:t>
      </w:r>
      <w:r w:rsidR="00E36BB5" w:rsidRPr="00E36BB5">
        <w:t xml:space="preserve"> </w:t>
      </w:r>
    </w:p>
    <w:p w14:paraId="44AEE929" w14:textId="77777777"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 xml:space="preserve">Collectively, the findings demonstrate that organic substrate composition strongly influences oxidative stress responses in </w:t>
      </w:r>
      <w:r w:rsidRPr="004D4046">
        <w:rPr>
          <w:rFonts w:ascii="Times New Roman" w:eastAsia="Times New Roman" w:hAnsi="Times New Roman" w:cs="Times New Roman"/>
          <w:i/>
          <w:iCs/>
          <w:sz w:val="24"/>
          <w:szCs w:val="24"/>
          <w:lang w:eastAsia="en-IN"/>
        </w:rPr>
        <w:t xml:space="preserve">Perionyx </w:t>
      </w:r>
      <w:proofErr w:type="spellStart"/>
      <w:r w:rsidRPr="004D4046">
        <w:rPr>
          <w:rFonts w:ascii="Times New Roman" w:eastAsia="Times New Roman" w:hAnsi="Times New Roman" w:cs="Times New Roman"/>
          <w:i/>
          <w:iCs/>
          <w:sz w:val="24"/>
          <w:szCs w:val="24"/>
          <w:lang w:eastAsia="en-IN"/>
        </w:rPr>
        <w:t>excavatus</w:t>
      </w:r>
      <w:proofErr w:type="spellEnd"/>
      <w:r w:rsidRPr="004D4046">
        <w:rPr>
          <w:rFonts w:ascii="Times New Roman" w:eastAsia="Times New Roman" w:hAnsi="Times New Roman" w:cs="Times New Roman"/>
          <w:sz w:val="24"/>
          <w:szCs w:val="24"/>
          <w:lang w:eastAsia="en-IN"/>
        </w:rPr>
        <w:t xml:space="preserve">. The coordinated up-regulation of antioxidant enzymes (SOD, CAT, </w:t>
      </w: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and non-enzymatic antioxidants (GSH) reflects the physiological plasticity of earthworms in coping with ROS generated during organic matter decomposition.</w:t>
      </w:r>
    </w:p>
    <w:p w14:paraId="053395CD" w14:textId="366FBC9E"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lastRenderedPageBreak/>
        <w:t xml:space="preserve">The mixed cow-horse dung + bagasse substrate provided the most balanced oxidative environment, promoting strong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while minimizing lipid peroxidation and DNA damage</w:t>
      </w:r>
      <w:r w:rsidR="00FC1C79">
        <w:rPr>
          <w:rFonts w:ascii="Times New Roman" w:eastAsia="Times New Roman" w:hAnsi="Times New Roman" w:cs="Times New Roman"/>
          <w:sz w:val="24"/>
          <w:szCs w:val="24"/>
          <w:lang w:eastAsia="en-IN"/>
        </w:rPr>
        <w:t xml:space="preserve"> (Table. 2)</w:t>
      </w:r>
      <w:r w:rsidRPr="004D4046">
        <w:rPr>
          <w:rFonts w:ascii="Times New Roman" w:eastAsia="Times New Roman" w:hAnsi="Times New Roman" w:cs="Times New Roman"/>
          <w:sz w:val="24"/>
          <w:szCs w:val="24"/>
          <w:lang w:eastAsia="en-IN"/>
        </w:rPr>
        <w:t>. In contrast, the horse dung + bagasse treatment produced higher oxidative</w:t>
      </w:r>
      <w:r w:rsidRPr="004D4046">
        <w:rPr>
          <w:rFonts w:ascii="Times New Roman" w:eastAsia="Times New Roman" w:hAnsi="Times New Roman" w:cs="Times New Roman"/>
          <w:b/>
          <w:bCs/>
          <w:sz w:val="24"/>
          <w:szCs w:val="24"/>
          <w:lang w:eastAsia="en-IN"/>
        </w:rPr>
        <w:t xml:space="preserve"> stress</w:t>
      </w:r>
      <w:r w:rsidRPr="004D4046">
        <w:rPr>
          <w:rFonts w:ascii="Times New Roman" w:eastAsia="Times New Roman" w:hAnsi="Times New Roman" w:cs="Times New Roman"/>
          <w:sz w:val="24"/>
          <w:szCs w:val="24"/>
          <w:lang w:eastAsia="en-IN"/>
        </w:rPr>
        <w:t>, likely due to increased nitrogen content and accelerated microbial decomposition generating excess ROS (Domínguez et al., 200</w:t>
      </w:r>
      <w:r w:rsidR="00E901F0">
        <w:rPr>
          <w:rFonts w:ascii="Times New Roman" w:eastAsia="Times New Roman" w:hAnsi="Times New Roman" w:cs="Times New Roman"/>
          <w:sz w:val="24"/>
          <w:szCs w:val="24"/>
          <w:lang w:eastAsia="en-IN"/>
        </w:rPr>
        <w:t>9</w:t>
      </w:r>
      <w:r w:rsidRPr="004D4046">
        <w:rPr>
          <w:rFonts w:ascii="Times New Roman" w:eastAsia="Times New Roman" w:hAnsi="Times New Roman" w:cs="Times New Roman"/>
          <w:sz w:val="24"/>
          <w:szCs w:val="24"/>
          <w:lang w:eastAsia="en-IN"/>
        </w:rPr>
        <w:t xml:space="preserve">; </w:t>
      </w:r>
      <w:r w:rsidR="00E901F0">
        <w:rPr>
          <w:rFonts w:ascii="Times New Roman" w:eastAsia="Times New Roman" w:hAnsi="Times New Roman" w:cs="Times New Roman"/>
          <w:sz w:val="24"/>
          <w:szCs w:val="24"/>
          <w:lang w:eastAsia="en-IN"/>
        </w:rPr>
        <w:t>Shi</w:t>
      </w:r>
      <w:r w:rsidRPr="004D4046">
        <w:rPr>
          <w:rFonts w:ascii="Times New Roman" w:eastAsia="Times New Roman" w:hAnsi="Times New Roman" w:cs="Times New Roman"/>
          <w:sz w:val="24"/>
          <w:szCs w:val="24"/>
          <w:lang w:eastAsia="en-IN"/>
        </w:rPr>
        <w:t xml:space="preserve"> et al., 2017).</w:t>
      </w:r>
    </w:p>
    <w:p w14:paraId="7E56A71C" w14:textId="7026B83D" w:rsidR="00674CD0" w:rsidRPr="0032200B" w:rsidRDefault="00E70701" w:rsidP="003733A5">
      <w:pPr>
        <w:spacing w:after="0" w:line="360" w:lineRule="auto"/>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These results highlight the importance of substrate diversity in vermicomposting systems, as balanced organic inputs improve metabolic performance and oxidative stability in earthworms (Edwards et al., 201</w:t>
      </w:r>
      <w:r w:rsidR="00FC190D">
        <w:rPr>
          <w:rFonts w:ascii="Times New Roman" w:eastAsia="Times New Roman" w:hAnsi="Times New Roman" w:cs="Times New Roman"/>
          <w:sz w:val="24"/>
          <w:szCs w:val="24"/>
          <w:lang w:eastAsia="en-IN"/>
        </w:rPr>
        <w:t>0</w:t>
      </w:r>
      <w:r w:rsidRPr="004D4046">
        <w:rPr>
          <w:rFonts w:ascii="Times New Roman" w:eastAsia="Times New Roman" w:hAnsi="Times New Roman" w:cs="Times New Roman"/>
          <w:sz w:val="24"/>
          <w:szCs w:val="24"/>
          <w:lang w:eastAsia="en-IN"/>
        </w:rPr>
        <w:t>).</w:t>
      </w:r>
    </w:p>
    <w:p w14:paraId="20C84FE4" w14:textId="77777777" w:rsidR="00674CD0" w:rsidRPr="004D4046" w:rsidRDefault="00674CD0" w:rsidP="00674CD0">
      <w:pPr>
        <w:spacing w:after="0" w:line="240" w:lineRule="auto"/>
        <w:jc w:val="both"/>
        <w:outlineLvl w:val="0"/>
        <w:rPr>
          <w:rFonts w:ascii="Times New Roman" w:eastAsia="Times New Roman" w:hAnsi="Times New Roman" w:cs="Times New Roman"/>
          <w:b/>
          <w:bCs/>
          <w:kern w:val="36"/>
          <w:sz w:val="24"/>
          <w:szCs w:val="24"/>
          <w:lang w:eastAsia="en-IN"/>
        </w:rPr>
      </w:pPr>
    </w:p>
    <w:tbl>
      <w:tblPr>
        <w:tblStyle w:val="TableGrid"/>
        <w:tblW w:w="0" w:type="auto"/>
        <w:tblLook w:val="04A0" w:firstRow="1" w:lastRow="0" w:firstColumn="1" w:lastColumn="0" w:noHBand="0" w:noVBand="1"/>
      </w:tblPr>
      <w:tblGrid>
        <w:gridCol w:w="2547"/>
        <w:gridCol w:w="1495"/>
        <w:gridCol w:w="1682"/>
        <w:gridCol w:w="1758"/>
        <w:gridCol w:w="1534"/>
      </w:tblGrid>
      <w:tr w:rsidR="00E70701" w:rsidRPr="004D4046" w14:paraId="42886743" w14:textId="77777777" w:rsidTr="00D95C67">
        <w:tc>
          <w:tcPr>
            <w:tcW w:w="2547" w:type="dxa"/>
            <w:vAlign w:val="center"/>
            <w:hideMark/>
          </w:tcPr>
          <w:p w14:paraId="269C088F"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Parameter</w:t>
            </w:r>
          </w:p>
        </w:tc>
        <w:tc>
          <w:tcPr>
            <w:tcW w:w="1495" w:type="dxa"/>
            <w:vAlign w:val="center"/>
            <w:hideMark/>
          </w:tcPr>
          <w:p w14:paraId="4B01248C"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Control</w:t>
            </w:r>
          </w:p>
        </w:tc>
        <w:tc>
          <w:tcPr>
            <w:tcW w:w="0" w:type="auto"/>
            <w:vAlign w:val="center"/>
            <w:hideMark/>
          </w:tcPr>
          <w:p w14:paraId="05E3FD75"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Cow dung + bagasse</w:t>
            </w:r>
          </w:p>
        </w:tc>
        <w:tc>
          <w:tcPr>
            <w:tcW w:w="0" w:type="auto"/>
            <w:vAlign w:val="center"/>
            <w:hideMark/>
          </w:tcPr>
          <w:p w14:paraId="167F28E1"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Horse dung + bagasse</w:t>
            </w:r>
          </w:p>
        </w:tc>
        <w:tc>
          <w:tcPr>
            <w:tcW w:w="0" w:type="auto"/>
            <w:vAlign w:val="center"/>
            <w:hideMark/>
          </w:tcPr>
          <w:p w14:paraId="274FFC22"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Mixed substrate</w:t>
            </w:r>
          </w:p>
        </w:tc>
      </w:tr>
      <w:tr w:rsidR="00E70701" w:rsidRPr="004D4046" w14:paraId="0E567BC5" w14:textId="77777777" w:rsidTr="00D95C67">
        <w:tc>
          <w:tcPr>
            <w:tcW w:w="2547" w:type="dxa"/>
            <w:vAlign w:val="center"/>
            <w:hideMark/>
          </w:tcPr>
          <w:p w14:paraId="05EE570D"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Total protein (mg g⁻¹ FW)</w:t>
            </w:r>
          </w:p>
        </w:tc>
        <w:tc>
          <w:tcPr>
            <w:tcW w:w="1495" w:type="dxa"/>
            <w:vAlign w:val="center"/>
            <w:hideMark/>
          </w:tcPr>
          <w:p w14:paraId="238E3BCE"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7.40 ± 0.21ᶜ</w:t>
            </w:r>
          </w:p>
        </w:tc>
        <w:tc>
          <w:tcPr>
            <w:tcW w:w="0" w:type="auto"/>
            <w:vAlign w:val="center"/>
            <w:hideMark/>
          </w:tcPr>
          <w:p w14:paraId="22991C8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9.50 ± 0.40ᵇ</w:t>
            </w:r>
          </w:p>
        </w:tc>
        <w:tc>
          <w:tcPr>
            <w:tcW w:w="0" w:type="auto"/>
            <w:vAlign w:val="center"/>
            <w:hideMark/>
          </w:tcPr>
          <w:p w14:paraId="66E79CC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8.95 ± 0.45ᵇ</w:t>
            </w:r>
          </w:p>
        </w:tc>
        <w:tc>
          <w:tcPr>
            <w:tcW w:w="0" w:type="auto"/>
            <w:vAlign w:val="center"/>
            <w:hideMark/>
          </w:tcPr>
          <w:p w14:paraId="5E76CAFF"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9.80 ± 0.50ᵃ</w:t>
            </w:r>
          </w:p>
        </w:tc>
      </w:tr>
      <w:tr w:rsidR="00E70701" w:rsidRPr="004D4046" w14:paraId="1EB66951" w14:textId="77777777" w:rsidTr="00D95C67">
        <w:tc>
          <w:tcPr>
            <w:tcW w:w="2547" w:type="dxa"/>
            <w:vAlign w:val="center"/>
            <w:hideMark/>
          </w:tcPr>
          <w:p w14:paraId="26D6F3F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SOD (U mg⁻¹ protein)</w:t>
            </w:r>
          </w:p>
        </w:tc>
        <w:tc>
          <w:tcPr>
            <w:tcW w:w="1495" w:type="dxa"/>
            <w:vAlign w:val="center"/>
            <w:hideMark/>
          </w:tcPr>
          <w:p w14:paraId="1F59CB1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7.5 ± 0.4ᵈ</w:t>
            </w:r>
          </w:p>
        </w:tc>
        <w:tc>
          <w:tcPr>
            <w:tcW w:w="0" w:type="auto"/>
            <w:vAlign w:val="center"/>
            <w:hideMark/>
          </w:tcPr>
          <w:p w14:paraId="52D1A120"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12.6 ± 0.6ᵇ</w:t>
            </w:r>
          </w:p>
        </w:tc>
        <w:tc>
          <w:tcPr>
            <w:tcW w:w="0" w:type="auto"/>
            <w:vAlign w:val="center"/>
            <w:hideMark/>
          </w:tcPr>
          <w:p w14:paraId="4F1F2C0E"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11.2 ± 0.5ᶜ</w:t>
            </w:r>
          </w:p>
        </w:tc>
        <w:tc>
          <w:tcPr>
            <w:tcW w:w="0" w:type="auto"/>
            <w:vAlign w:val="center"/>
            <w:hideMark/>
          </w:tcPr>
          <w:p w14:paraId="79E9F05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13.2 ± 0.7ᵃ</w:t>
            </w:r>
          </w:p>
        </w:tc>
      </w:tr>
      <w:tr w:rsidR="00E70701" w:rsidRPr="004D4046" w14:paraId="50EC025E" w14:textId="77777777" w:rsidTr="00D95C67">
        <w:tc>
          <w:tcPr>
            <w:tcW w:w="2547" w:type="dxa"/>
            <w:vAlign w:val="center"/>
            <w:hideMark/>
          </w:tcPr>
          <w:p w14:paraId="56F2F9F4" w14:textId="77777777" w:rsidR="00E70701" w:rsidRPr="005452AB" w:rsidRDefault="00E70701" w:rsidP="00D95C67">
            <w:pPr>
              <w:jc w:val="center"/>
              <w:rPr>
                <w:rFonts w:ascii="Times New Roman" w:eastAsia="Times New Roman" w:hAnsi="Times New Roman" w:cs="Times New Roman"/>
                <w:sz w:val="24"/>
                <w:szCs w:val="24"/>
                <w:lang w:val="fr-FR" w:eastAsia="en-IN"/>
              </w:rPr>
            </w:pPr>
            <w:r w:rsidRPr="005452AB">
              <w:rPr>
                <w:rFonts w:ascii="Times New Roman" w:eastAsia="Times New Roman" w:hAnsi="Times New Roman" w:cs="Times New Roman"/>
                <w:sz w:val="24"/>
                <w:szCs w:val="24"/>
                <w:lang w:val="fr-FR" w:eastAsia="en-IN"/>
              </w:rPr>
              <w:t xml:space="preserve">CAT (µmol H₂O₂ min⁻¹ mg⁻¹ </w:t>
            </w:r>
            <w:proofErr w:type="spellStart"/>
            <w:r w:rsidRPr="005452AB">
              <w:rPr>
                <w:rFonts w:ascii="Times New Roman" w:eastAsia="Times New Roman" w:hAnsi="Times New Roman" w:cs="Times New Roman"/>
                <w:sz w:val="24"/>
                <w:szCs w:val="24"/>
                <w:lang w:val="fr-FR" w:eastAsia="en-IN"/>
              </w:rPr>
              <w:t>protein</w:t>
            </w:r>
            <w:proofErr w:type="spellEnd"/>
            <w:r w:rsidRPr="005452AB">
              <w:rPr>
                <w:rFonts w:ascii="Times New Roman" w:eastAsia="Times New Roman" w:hAnsi="Times New Roman" w:cs="Times New Roman"/>
                <w:sz w:val="24"/>
                <w:szCs w:val="24"/>
                <w:lang w:val="fr-FR" w:eastAsia="en-IN"/>
              </w:rPr>
              <w:t>)</w:t>
            </w:r>
          </w:p>
        </w:tc>
        <w:tc>
          <w:tcPr>
            <w:tcW w:w="1495" w:type="dxa"/>
            <w:vAlign w:val="center"/>
            <w:hideMark/>
          </w:tcPr>
          <w:p w14:paraId="426BE1F4"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18.4 ± 1.0ᵈ</w:t>
            </w:r>
          </w:p>
        </w:tc>
        <w:tc>
          <w:tcPr>
            <w:tcW w:w="0" w:type="auto"/>
            <w:vAlign w:val="center"/>
            <w:hideMark/>
          </w:tcPr>
          <w:p w14:paraId="3FC81F17"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33.5 ± 1.7ᵇ</w:t>
            </w:r>
          </w:p>
        </w:tc>
        <w:tc>
          <w:tcPr>
            <w:tcW w:w="0" w:type="auto"/>
            <w:vAlign w:val="center"/>
            <w:hideMark/>
          </w:tcPr>
          <w:p w14:paraId="7B5D79D6"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30.0 ± 1.6ᶜ</w:t>
            </w:r>
          </w:p>
        </w:tc>
        <w:tc>
          <w:tcPr>
            <w:tcW w:w="0" w:type="auto"/>
            <w:vAlign w:val="center"/>
            <w:hideMark/>
          </w:tcPr>
          <w:p w14:paraId="4C1807B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35.2 ± 1.8ᵃ</w:t>
            </w:r>
          </w:p>
        </w:tc>
      </w:tr>
      <w:tr w:rsidR="00E70701" w:rsidRPr="004D4046" w14:paraId="26BEEEA5" w14:textId="77777777" w:rsidTr="00D95C67">
        <w:tc>
          <w:tcPr>
            <w:tcW w:w="2547" w:type="dxa"/>
            <w:vAlign w:val="center"/>
            <w:hideMark/>
          </w:tcPr>
          <w:p w14:paraId="0923ADAA" w14:textId="77777777" w:rsidR="00E70701" w:rsidRPr="004D4046" w:rsidRDefault="00E70701" w:rsidP="00D95C67">
            <w:pPr>
              <w:jc w:val="center"/>
              <w:rPr>
                <w:rFonts w:ascii="Times New Roman" w:eastAsia="Times New Roman" w:hAnsi="Times New Roman" w:cs="Times New Roman"/>
                <w:sz w:val="24"/>
                <w:szCs w:val="24"/>
                <w:lang w:eastAsia="en-IN"/>
              </w:rPr>
            </w:pP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(U mg⁻¹ protein)</w:t>
            </w:r>
          </w:p>
        </w:tc>
        <w:tc>
          <w:tcPr>
            <w:tcW w:w="1495" w:type="dxa"/>
            <w:vAlign w:val="center"/>
            <w:hideMark/>
          </w:tcPr>
          <w:p w14:paraId="38C9FA3F"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0.30 ± 0.03ᶜ</w:t>
            </w:r>
          </w:p>
        </w:tc>
        <w:tc>
          <w:tcPr>
            <w:tcW w:w="0" w:type="auto"/>
            <w:vAlign w:val="center"/>
            <w:hideMark/>
          </w:tcPr>
          <w:p w14:paraId="3792122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0.55 ± 0.05ᵇ</w:t>
            </w:r>
          </w:p>
        </w:tc>
        <w:tc>
          <w:tcPr>
            <w:tcW w:w="0" w:type="auto"/>
            <w:vAlign w:val="center"/>
            <w:hideMark/>
          </w:tcPr>
          <w:p w14:paraId="79CF8F7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0.52 ± 0.04ᵇ</w:t>
            </w:r>
          </w:p>
        </w:tc>
        <w:tc>
          <w:tcPr>
            <w:tcW w:w="0" w:type="auto"/>
            <w:vAlign w:val="center"/>
            <w:hideMark/>
          </w:tcPr>
          <w:p w14:paraId="2AC01A5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0.58 ± 0.05ᵃ</w:t>
            </w:r>
          </w:p>
        </w:tc>
      </w:tr>
      <w:tr w:rsidR="00E70701" w:rsidRPr="004D4046" w14:paraId="02F32C78" w14:textId="77777777" w:rsidTr="00D95C67">
        <w:tc>
          <w:tcPr>
            <w:tcW w:w="2547" w:type="dxa"/>
            <w:vAlign w:val="center"/>
            <w:hideMark/>
          </w:tcPr>
          <w:p w14:paraId="05D5F986" w14:textId="77777777" w:rsidR="00E70701" w:rsidRPr="005452AB" w:rsidRDefault="00E70701" w:rsidP="00D95C67">
            <w:pPr>
              <w:jc w:val="center"/>
              <w:rPr>
                <w:rFonts w:ascii="Times New Roman" w:eastAsia="Times New Roman" w:hAnsi="Times New Roman" w:cs="Times New Roman"/>
                <w:sz w:val="24"/>
                <w:szCs w:val="24"/>
                <w:lang w:val="fr-FR" w:eastAsia="en-IN"/>
              </w:rPr>
            </w:pPr>
            <w:r w:rsidRPr="005452AB">
              <w:rPr>
                <w:rFonts w:ascii="Times New Roman" w:eastAsia="Times New Roman" w:hAnsi="Times New Roman" w:cs="Times New Roman"/>
                <w:sz w:val="24"/>
                <w:szCs w:val="24"/>
                <w:lang w:val="fr-FR" w:eastAsia="en-IN"/>
              </w:rPr>
              <w:t xml:space="preserve">GST (µmol </w:t>
            </w:r>
            <w:proofErr w:type="spellStart"/>
            <w:r w:rsidRPr="005452AB">
              <w:rPr>
                <w:rFonts w:ascii="Times New Roman" w:eastAsia="Times New Roman" w:hAnsi="Times New Roman" w:cs="Times New Roman"/>
                <w:sz w:val="24"/>
                <w:szCs w:val="24"/>
                <w:lang w:val="fr-FR" w:eastAsia="en-IN"/>
              </w:rPr>
              <w:t>conjugate</w:t>
            </w:r>
            <w:proofErr w:type="spellEnd"/>
            <w:r w:rsidRPr="005452AB">
              <w:rPr>
                <w:rFonts w:ascii="Times New Roman" w:eastAsia="Times New Roman" w:hAnsi="Times New Roman" w:cs="Times New Roman"/>
                <w:sz w:val="24"/>
                <w:szCs w:val="24"/>
                <w:lang w:val="fr-FR" w:eastAsia="en-IN"/>
              </w:rPr>
              <w:t xml:space="preserve"> min⁻¹ mg⁻¹ </w:t>
            </w:r>
            <w:proofErr w:type="spellStart"/>
            <w:r w:rsidRPr="005452AB">
              <w:rPr>
                <w:rFonts w:ascii="Times New Roman" w:eastAsia="Times New Roman" w:hAnsi="Times New Roman" w:cs="Times New Roman"/>
                <w:sz w:val="24"/>
                <w:szCs w:val="24"/>
                <w:lang w:val="fr-FR" w:eastAsia="en-IN"/>
              </w:rPr>
              <w:t>protein</w:t>
            </w:r>
            <w:proofErr w:type="spellEnd"/>
            <w:r w:rsidRPr="005452AB">
              <w:rPr>
                <w:rFonts w:ascii="Times New Roman" w:eastAsia="Times New Roman" w:hAnsi="Times New Roman" w:cs="Times New Roman"/>
                <w:sz w:val="24"/>
                <w:szCs w:val="24"/>
                <w:lang w:val="fr-FR" w:eastAsia="en-IN"/>
              </w:rPr>
              <w:t>)</w:t>
            </w:r>
          </w:p>
        </w:tc>
        <w:tc>
          <w:tcPr>
            <w:tcW w:w="1495" w:type="dxa"/>
            <w:vAlign w:val="center"/>
            <w:hideMark/>
          </w:tcPr>
          <w:p w14:paraId="7CD24B6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2.3 ± 0.1ᶜ</w:t>
            </w:r>
          </w:p>
        </w:tc>
        <w:tc>
          <w:tcPr>
            <w:tcW w:w="0" w:type="auto"/>
            <w:vAlign w:val="center"/>
            <w:hideMark/>
          </w:tcPr>
          <w:p w14:paraId="2AA320A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4.4 ± 0.2ᵇ</w:t>
            </w:r>
          </w:p>
        </w:tc>
        <w:tc>
          <w:tcPr>
            <w:tcW w:w="0" w:type="auto"/>
            <w:vAlign w:val="center"/>
            <w:hideMark/>
          </w:tcPr>
          <w:p w14:paraId="4F27B0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0.2ᵇ</w:t>
            </w:r>
          </w:p>
        </w:tc>
        <w:tc>
          <w:tcPr>
            <w:tcW w:w="0" w:type="auto"/>
            <w:vAlign w:val="center"/>
            <w:hideMark/>
          </w:tcPr>
          <w:p w14:paraId="40AB33E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4.6 ± 0.2ᵃ</w:t>
            </w:r>
          </w:p>
        </w:tc>
      </w:tr>
      <w:tr w:rsidR="00E70701" w:rsidRPr="004D4046" w14:paraId="134B95A9" w14:textId="77777777" w:rsidTr="00D95C67">
        <w:tc>
          <w:tcPr>
            <w:tcW w:w="2547" w:type="dxa"/>
            <w:vAlign w:val="center"/>
            <w:hideMark/>
          </w:tcPr>
          <w:p w14:paraId="45FD9B4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GSH (nmol mg⁻¹ protein)</w:t>
            </w:r>
          </w:p>
        </w:tc>
        <w:tc>
          <w:tcPr>
            <w:tcW w:w="1495" w:type="dxa"/>
            <w:vAlign w:val="center"/>
            <w:hideMark/>
          </w:tcPr>
          <w:p w14:paraId="2D3A1E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7.1 ± 0.3ᶜ</w:t>
            </w:r>
          </w:p>
        </w:tc>
        <w:tc>
          <w:tcPr>
            <w:tcW w:w="0" w:type="auto"/>
            <w:vAlign w:val="center"/>
            <w:hideMark/>
          </w:tcPr>
          <w:p w14:paraId="29B0F81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9.5 ± 0.5ᵇ</w:t>
            </w:r>
          </w:p>
        </w:tc>
        <w:tc>
          <w:tcPr>
            <w:tcW w:w="0" w:type="auto"/>
            <w:vAlign w:val="center"/>
            <w:hideMark/>
          </w:tcPr>
          <w:p w14:paraId="052A007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9.2 ± 0.4ᵇ</w:t>
            </w:r>
          </w:p>
        </w:tc>
        <w:tc>
          <w:tcPr>
            <w:tcW w:w="0" w:type="auto"/>
            <w:vAlign w:val="center"/>
            <w:hideMark/>
          </w:tcPr>
          <w:p w14:paraId="3760AFF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10.2 ± 0.6ᵃ</w:t>
            </w:r>
          </w:p>
        </w:tc>
      </w:tr>
      <w:tr w:rsidR="00E70701" w:rsidRPr="004D4046" w14:paraId="2AA132F6" w14:textId="77777777" w:rsidTr="00D95C67">
        <w:tc>
          <w:tcPr>
            <w:tcW w:w="2547" w:type="dxa"/>
            <w:vAlign w:val="center"/>
            <w:hideMark/>
          </w:tcPr>
          <w:p w14:paraId="55B942B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MDA (nmol mg⁻¹ protein)</w:t>
            </w:r>
          </w:p>
        </w:tc>
        <w:tc>
          <w:tcPr>
            <w:tcW w:w="1495" w:type="dxa"/>
            <w:vAlign w:val="center"/>
            <w:hideMark/>
          </w:tcPr>
          <w:p w14:paraId="3F40796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1.10 ± 0.06ᵇ</w:t>
            </w:r>
          </w:p>
        </w:tc>
        <w:tc>
          <w:tcPr>
            <w:tcW w:w="0" w:type="auto"/>
            <w:vAlign w:val="center"/>
            <w:hideMark/>
          </w:tcPr>
          <w:p w14:paraId="277D92D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1.35 ± 0.08ᵃ</w:t>
            </w:r>
          </w:p>
        </w:tc>
        <w:tc>
          <w:tcPr>
            <w:tcW w:w="0" w:type="auto"/>
            <w:vAlign w:val="center"/>
            <w:hideMark/>
          </w:tcPr>
          <w:p w14:paraId="1776638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1.38 ± 0.08ᵃ</w:t>
            </w:r>
          </w:p>
        </w:tc>
        <w:tc>
          <w:tcPr>
            <w:tcW w:w="0" w:type="auto"/>
            <w:vAlign w:val="center"/>
            <w:hideMark/>
          </w:tcPr>
          <w:p w14:paraId="33D5C2D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1.30 ± 0.08ᵃᵇ</w:t>
            </w:r>
          </w:p>
        </w:tc>
      </w:tr>
      <w:tr w:rsidR="00E70701" w:rsidRPr="004D4046" w14:paraId="7F9C76A0" w14:textId="77777777" w:rsidTr="00D95C67">
        <w:tc>
          <w:tcPr>
            <w:tcW w:w="2547" w:type="dxa"/>
            <w:vAlign w:val="center"/>
            <w:hideMark/>
          </w:tcPr>
          <w:p w14:paraId="052CD45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Tail DNA (%)</w:t>
            </w:r>
          </w:p>
        </w:tc>
        <w:tc>
          <w:tcPr>
            <w:tcW w:w="1495" w:type="dxa"/>
            <w:vAlign w:val="center"/>
            <w:hideMark/>
          </w:tcPr>
          <w:p w14:paraId="23DA162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3.2 ± 0.4ᶜ</w:t>
            </w:r>
          </w:p>
        </w:tc>
        <w:tc>
          <w:tcPr>
            <w:tcW w:w="0" w:type="auto"/>
            <w:vAlign w:val="center"/>
            <w:hideMark/>
          </w:tcPr>
          <w:p w14:paraId="00915B4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4.8 ± 0.5ᵇ</w:t>
            </w:r>
          </w:p>
        </w:tc>
        <w:tc>
          <w:tcPr>
            <w:tcW w:w="0" w:type="auto"/>
            <w:vAlign w:val="center"/>
            <w:hideMark/>
          </w:tcPr>
          <w:p w14:paraId="636826C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5.1 ± 0.6ᵃ</w:t>
            </w:r>
          </w:p>
        </w:tc>
        <w:tc>
          <w:tcPr>
            <w:tcW w:w="0" w:type="auto"/>
            <w:vAlign w:val="center"/>
            <w:hideMark/>
          </w:tcPr>
          <w:p w14:paraId="2DA3CA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0.5ᵇ</w:t>
            </w:r>
          </w:p>
        </w:tc>
      </w:tr>
    </w:tbl>
    <w:p w14:paraId="307FC812" w14:textId="77777777" w:rsidR="00E70701" w:rsidRPr="004D4046" w:rsidRDefault="00E70701" w:rsidP="00E70701">
      <w:pPr>
        <w:spacing w:after="0" w:line="360" w:lineRule="auto"/>
        <w:jc w:val="both"/>
        <w:rPr>
          <w:rFonts w:ascii="Times New Roman" w:eastAsia="Times New Roman" w:hAnsi="Times New Roman" w:cs="Times New Roman"/>
          <w:sz w:val="20"/>
          <w:szCs w:val="20"/>
          <w:lang w:eastAsia="en-IN"/>
        </w:rPr>
      </w:pPr>
      <w:r w:rsidRPr="004D4046">
        <w:rPr>
          <w:rFonts w:ascii="Times New Roman" w:eastAsia="Times New Roman" w:hAnsi="Times New Roman" w:cs="Times New Roman"/>
          <w:sz w:val="20"/>
          <w:szCs w:val="20"/>
          <w:lang w:eastAsia="en-IN"/>
        </w:rPr>
        <w:t>Different superscript letters indicate significant differences among treatments (Tukey HSD, p &lt; 0.05).</w:t>
      </w:r>
    </w:p>
    <w:p w14:paraId="677FB171" w14:textId="309E0A7D" w:rsidR="00674CD0" w:rsidRPr="0032200B" w:rsidRDefault="00674CD0" w:rsidP="00674CD0">
      <w:pPr>
        <w:spacing w:after="0" w:line="240" w:lineRule="auto"/>
        <w:ind w:firstLine="720"/>
        <w:jc w:val="center"/>
        <w:rPr>
          <w:rFonts w:ascii="Times New Roman" w:eastAsia="Times New Roman" w:hAnsi="Times New Roman" w:cs="Times New Roman"/>
          <w:b/>
          <w:bCs/>
          <w:kern w:val="36"/>
          <w:sz w:val="24"/>
          <w:szCs w:val="24"/>
          <w:lang w:eastAsia="en-IN"/>
        </w:rPr>
      </w:pPr>
      <w:r w:rsidRPr="004D4046">
        <w:rPr>
          <w:rFonts w:ascii="Times New Roman" w:eastAsia="Times New Roman" w:hAnsi="Times New Roman" w:cs="Times New Roman"/>
          <w:b/>
          <w:bCs/>
          <w:kern w:val="36"/>
          <w:sz w:val="24"/>
          <w:szCs w:val="24"/>
          <w:lang w:eastAsia="en-IN"/>
        </w:rPr>
        <w:t>Table</w:t>
      </w:r>
      <w:r w:rsidRPr="0032200B">
        <w:rPr>
          <w:rFonts w:ascii="Times New Roman" w:eastAsia="Times New Roman" w:hAnsi="Times New Roman" w:cs="Times New Roman"/>
          <w:b/>
          <w:bCs/>
          <w:kern w:val="36"/>
          <w:sz w:val="24"/>
          <w:szCs w:val="24"/>
          <w:lang w:eastAsia="en-IN"/>
        </w:rPr>
        <w:t>.3</w:t>
      </w:r>
      <w:r w:rsidRPr="004D4046">
        <w:rPr>
          <w:rFonts w:ascii="Times New Roman" w:eastAsia="Times New Roman" w:hAnsi="Times New Roman" w:cs="Times New Roman"/>
          <w:b/>
          <w:bCs/>
          <w:kern w:val="36"/>
          <w:sz w:val="24"/>
          <w:szCs w:val="24"/>
          <w:lang w:eastAsia="en-IN"/>
        </w:rPr>
        <w:t xml:space="preserve">. Biochemical biomarkers in </w:t>
      </w:r>
      <w:r w:rsidRPr="004D4046">
        <w:rPr>
          <w:rFonts w:ascii="Times New Roman" w:eastAsia="Times New Roman" w:hAnsi="Times New Roman" w:cs="Times New Roman"/>
          <w:b/>
          <w:bCs/>
          <w:i/>
          <w:iCs/>
          <w:kern w:val="36"/>
          <w:sz w:val="24"/>
          <w:szCs w:val="24"/>
          <w:lang w:eastAsia="en-IN"/>
        </w:rPr>
        <w:t xml:space="preserve">Perionyx </w:t>
      </w:r>
      <w:proofErr w:type="spellStart"/>
      <w:r w:rsidRPr="004D4046">
        <w:rPr>
          <w:rFonts w:ascii="Times New Roman" w:eastAsia="Times New Roman" w:hAnsi="Times New Roman" w:cs="Times New Roman"/>
          <w:b/>
          <w:bCs/>
          <w:i/>
          <w:iCs/>
          <w:kern w:val="36"/>
          <w:sz w:val="24"/>
          <w:szCs w:val="24"/>
          <w:lang w:eastAsia="en-IN"/>
        </w:rPr>
        <w:t>excavatus</w:t>
      </w:r>
      <w:proofErr w:type="spellEnd"/>
      <w:r w:rsidRPr="004D4046">
        <w:rPr>
          <w:rFonts w:ascii="Times New Roman" w:eastAsia="Times New Roman" w:hAnsi="Times New Roman" w:cs="Times New Roman"/>
          <w:b/>
          <w:bCs/>
          <w:kern w:val="36"/>
          <w:sz w:val="24"/>
          <w:szCs w:val="24"/>
          <w:lang w:eastAsia="en-IN"/>
        </w:rPr>
        <w:t xml:space="preserve"> after 28 days of exposure to organic substrates (Mean ± SD, n = 5)</w:t>
      </w:r>
    </w:p>
    <w:p w14:paraId="3A053394" w14:textId="77777777" w:rsidR="00674CD0" w:rsidRPr="0032200B" w:rsidRDefault="00674CD0" w:rsidP="00674CD0">
      <w:pPr>
        <w:spacing w:after="0" w:line="240" w:lineRule="auto"/>
        <w:ind w:firstLine="720"/>
        <w:jc w:val="center"/>
        <w:rPr>
          <w:rFonts w:ascii="Times New Roman" w:hAnsi="Times New Roman" w:cs="Times New Roman"/>
          <w:sz w:val="24"/>
          <w:szCs w:val="24"/>
        </w:rPr>
      </w:pPr>
    </w:p>
    <w:p w14:paraId="312B1C67" w14:textId="066D1360" w:rsidR="00E70701" w:rsidRPr="0032200B" w:rsidRDefault="00E70701" w:rsidP="00E70701">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The statistical analysis revealed that biochemical biomarkers in </w:t>
      </w:r>
      <w:r w:rsidRPr="0032200B">
        <w:rPr>
          <w:rStyle w:val="Emphasis"/>
          <w:rFonts w:ascii="Times New Roman" w:hAnsi="Times New Roman" w:cs="Times New Roman"/>
          <w:sz w:val="24"/>
          <w:szCs w:val="24"/>
        </w:rPr>
        <w:t xml:space="preserve">Perionyx </w:t>
      </w:r>
      <w:proofErr w:type="spellStart"/>
      <w:r w:rsidRPr="0032200B">
        <w:rPr>
          <w:rStyle w:val="Emphasis"/>
          <w:rFonts w:ascii="Times New Roman" w:hAnsi="Times New Roman" w:cs="Times New Roman"/>
          <w:sz w:val="24"/>
          <w:szCs w:val="24"/>
        </w:rPr>
        <w:t>excavatus</w:t>
      </w:r>
      <w:proofErr w:type="spellEnd"/>
      <w:r w:rsidRPr="0032200B">
        <w:rPr>
          <w:rFonts w:ascii="Times New Roman" w:hAnsi="Times New Roman" w:cs="Times New Roman"/>
          <w:sz w:val="24"/>
          <w:szCs w:val="24"/>
        </w:rPr>
        <w:t xml:space="preserve"> varied significantly among substrate treatments after 28 days of exposure. One-way ANOVA demonstrated significant differences for all measured parameters, confirming the strong influence of substrate composition on earthworm physiology. Total protein content showed a significant increase among treatments (F = 52.4, p &lt; 0.001), with the mixed substrate treatment recording the highest value (9.80 ± 0.50 mg g⁻¹ FW), indicating enhanced metabolic activity. Antioxidant enzymes also exhibited highly significant variation, including SOD (F = 119.8, p &lt; 0.001), CAT (F = 310.7, p &lt; 0.001), and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xml:space="preserve"> (F = 86.4, p &lt; 0.001). Tukey’s HSD post-hoc test confirmed that the mixed substrate group had significantly higher enzyme activities compared with other treatments, while the control showed the lowest levels. Similarly, detoxification enzyme GST differed significantly (F = 102.5, p &lt; 0.001), with maximum activity in the mixed treatment. Reduced glutathione (GSH) levels also increased significantly </w:t>
      </w:r>
      <w:r w:rsidRPr="0032200B">
        <w:rPr>
          <w:rFonts w:ascii="Times New Roman" w:hAnsi="Times New Roman" w:cs="Times New Roman"/>
          <w:sz w:val="24"/>
          <w:szCs w:val="24"/>
        </w:rPr>
        <w:lastRenderedPageBreak/>
        <w:t>among treatments (F = 122.5, p &lt; 0.001), reflecting enhanced intracellular redox buffering in worms exposed to organic substrates. Oxidative damage markers showed moderate but significant differences, with lipid peroxidation (MDA) varying significantly (F = 13.9, p &lt; 0.01). DNA damage measured as tail DNA percentage also differed significantly among treatments (F = 26.4, p &lt; 0.001), with the highest damage observed in the horse dung + bagasse treatment. Post-hoc comparisons indicated that this treatment differed significantly from the control and mixed substrate groups. The integrated ROS index showed extremely significant variation (F = 1645.7, p &lt; 0.001), confirming large differences in oxidative burden among treatments</w:t>
      </w:r>
      <w:r w:rsidR="00FC1C79">
        <w:rPr>
          <w:rFonts w:ascii="Times New Roman" w:hAnsi="Times New Roman" w:cs="Times New Roman"/>
          <w:sz w:val="24"/>
          <w:szCs w:val="24"/>
        </w:rPr>
        <w:t xml:space="preserve"> </w:t>
      </w:r>
      <w:r w:rsidR="00FC1C79">
        <w:rPr>
          <w:rFonts w:ascii="Times New Roman" w:eastAsia="Times New Roman" w:hAnsi="Times New Roman" w:cs="Times New Roman"/>
          <w:sz w:val="24"/>
          <w:szCs w:val="24"/>
          <w:lang w:eastAsia="en-IN"/>
        </w:rPr>
        <w:t>(</w:t>
      </w:r>
      <w:bookmarkStart w:id="1" w:name="_GoBack"/>
      <w:r w:rsidR="00FC1C79">
        <w:rPr>
          <w:rFonts w:ascii="Times New Roman" w:eastAsia="Times New Roman" w:hAnsi="Times New Roman" w:cs="Times New Roman"/>
          <w:sz w:val="24"/>
          <w:szCs w:val="24"/>
          <w:lang w:eastAsia="en-IN"/>
        </w:rPr>
        <w:t>Table</w:t>
      </w:r>
      <w:bookmarkEnd w:id="1"/>
      <w:r w:rsidR="00FC1C79">
        <w:rPr>
          <w:rFonts w:ascii="Times New Roman" w:eastAsia="Times New Roman" w:hAnsi="Times New Roman" w:cs="Times New Roman"/>
          <w:sz w:val="24"/>
          <w:szCs w:val="24"/>
          <w:lang w:eastAsia="en-IN"/>
        </w:rPr>
        <w:t>. 3)</w:t>
      </w:r>
      <w:r w:rsidRPr="0032200B">
        <w:rPr>
          <w:rFonts w:ascii="Times New Roman" w:hAnsi="Times New Roman" w:cs="Times New Roman"/>
          <w:sz w:val="24"/>
          <w:szCs w:val="24"/>
        </w:rPr>
        <w:t xml:space="preserve">. The horse dung + bagasse treatment exhibited the highest ROS index, whereas the mixed substrate recorded the lowest value. Overall, the statistical evidence indicates that mixed organic substrates significantly enhance antioxidant </w:t>
      </w:r>
      <w:proofErr w:type="spellStart"/>
      <w:r w:rsidRPr="0032200B">
        <w:rPr>
          <w:rFonts w:ascii="Times New Roman" w:hAnsi="Times New Roman" w:cs="Times New Roman"/>
          <w:sz w:val="24"/>
          <w:szCs w:val="24"/>
        </w:rPr>
        <w:t>defenses</w:t>
      </w:r>
      <w:proofErr w:type="spellEnd"/>
      <w:r w:rsidRPr="0032200B">
        <w:rPr>
          <w:rFonts w:ascii="Times New Roman" w:hAnsi="Times New Roman" w:cs="Times New Roman"/>
          <w:sz w:val="24"/>
          <w:szCs w:val="24"/>
        </w:rPr>
        <w:t xml:space="preserve"> while minimizing oxidative damage in </w:t>
      </w:r>
      <w:r w:rsidRPr="0032200B">
        <w:rPr>
          <w:rStyle w:val="Emphasis"/>
          <w:rFonts w:ascii="Times New Roman" w:hAnsi="Times New Roman" w:cs="Times New Roman"/>
          <w:sz w:val="24"/>
          <w:szCs w:val="24"/>
        </w:rPr>
        <w:t xml:space="preserve">P. </w:t>
      </w:r>
      <w:proofErr w:type="spellStart"/>
      <w:r w:rsidRPr="0032200B">
        <w:rPr>
          <w:rStyle w:val="Emphasis"/>
          <w:rFonts w:ascii="Times New Roman" w:hAnsi="Times New Roman" w:cs="Times New Roman"/>
          <w:sz w:val="24"/>
          <w:szCs w:val="24"/>
        </w:rPr>
        <w:t>excavatus</w:t>
      </w:r>
      <w:proofErr w:type="spellEnd"/>
      <w:r w:rsidRPr="0032200B">
        <w:rPr>
          <w:rFonts w:ascii="Times New Roman" w:hAnsi="Times New Roman" w:cs="Times New Roman"/>
          <w:sz w:val="24"/>
          <w:szCs w:val="24"/>
        </w:rPr>
        <w:t>. These results highlight the importance of balanced substrate composition for maintaining oxidative stability and physiological performance during vermicomposting.</w:t>
      </w:r>
    </w:p>
    <w:p w14:paraId="2AAF09F2" w14:textId="0C68187D" w:rsidR="007C5408" w:rsidRPr="0032200B" w:rsidRDefault="007C5408"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 xml:space="preserve">Conclusion </w:t>
      </w:r>
    </w:p>
    <w:p w14:paraId="20BD8A6B" w14:textId="77777777" w:rsidR="000538E9" w:rsidRPr="000538E9" w:rsidRDefault="000538E9" w:rsidP="000538E9">
      <w:pPr>
        <w:spacing w:after="0" w:line="360" w:lineRule="auto"/>
        <w:ind w:firstLine="360"/>
        <w:jc w:val="both"/>
        <w:rPr>
          <w:rFonts w:ascii="Times New Roman" w:hAnsi="Times New Roman" w:cs="Times New Roman"/>
          <w:sz w:val="24"/>
          <w:szCs w:val="24"/>
        </w:rPr>
      </w:pPr>
      <w:r w:rsidRPr="000538E9">
        <w:rPr>
          <w:rFonts w:ascii="Times New Roman" w:hAnsi="Times New Roman" w:cs="Times New Roman"/>
          <w:sz w:val="24"/>
          <w:szCs w:val="24"/>
        </w:rPr>
        <w:t xml:space="preserve">Substrate composition significantly influences oxidative physiology in </w:t>
      </w:r>
      <w:r w:rsidRPr="000538E9">
        <w:rPr>
          <w:rFonts w:ascii="Times New Roman" w:hAnsi="Times New Roman" w:cs="Times New Roman"/>
          <w:i/>
          <w:iCs/>
          <w:sz w:val="24"/>
          <w:szCs w:val="24"/>
        </w:rPr>
        <w:t xml:space="preserve">Perionyx </w:t>
      </w:r>
      <w:proofErr w:type="spellStart"/>
      <w:r w:rsidRPr="000538E9">
        <w:rPr>
          <w:rFonts w:ascii="Times New Roman" w:hAnsi="Times New Roman" w:cs="Times New Roman"/>
          <w:i/>
          <w:iCs/>
          <w:sz w:val="24"/>
          <w:szCs w:val="24"/>
        </w:rPr>
        <w:t>excavatus</w:t>
      </w:r>
      <w:proofErr w:type="spellEnd"/>
      <w:r w:rsidRPr="000538E9">
        <w:rPr>
          <w:rFonts w:ascii="Times New Roman" w:hAnsi="Times New Roman" w:cs="Times New Roman"/>
          <w:sz w:val="24"/>
          <w:szCs w:val="24"/>
        </w:rPr>
        <w:t xml:space="preserve">. The mixed organic substrate (cow dung, horse dung, and sugarcane bagasse) promoted enhanced antioxidant enzyme activity, improved glutathione levels, and reduced oxidative damage, indicating effective redox balance. In contrast, the horse dung–bagasse treatment induced higher oxidative stress. Overall, </w:t>
      </w:r>
      <w:r w:rsidRPr="000538E9">
        <w:rPr>
          <w:rFonts w:ascii="Times New Roman" w:hAnsi="Times New Roman" w:cs="Times New Roman"/>
          <w:i/>
          <w:iCs/>
          <w:sz w:val="24"/>
          <w:szCs w:val="24"/>
        </w:rPr>
        <w:t xml:space="preserve">P. </w:t>
      </w:r>
      <w:proofErr w:type="spellStart"/>
      <w:r w:rsidRPr="000538E9">
        <w:rPr>
          <w:rFonts w:ascii="Times New Roman" w:hAnsi="Times New Roman" w:cs="Times New Roman"/>
          <w:i/>
          <w:iCs/>
          <w:sz w:val="24"/>
          <w:szCs w:val="24"/>
        </w:rPr>
        <w:t>excavatus</w:t>
      </w:r>
      <w:proofErr w:type="spellEnd"/>
      <w:r w:rsidRPr="000538E9">
        <w:rPr>
          <w:rFonts w:ascii="Times New Roman" w:hAnsi="Times New Roman" w:cs="Times New Roman"/>
          <w:sz w:val="24"/>
          <w:szCs w:val="24"/>
        </w:rPr>
        <w:t xml:space="preserve"> proves to be a reliable bioindicator, and mixed substrates offer optimal conditions for sustainable vermicomposting.</w:t>
      </w:r>
    </w:p>
    <w:p w14:paraId="51B4341B" w14:textId="77777777" w:rsidR="0052351A" w:rsidRPr="0032200B" w:rsidRDefault="0052351A" w:rsidP="0090457D">
      <w:pPr>
        <w:spacing w:after="0" w:line="360" w:lineRule="auto"/>
        <w:ind w:firstLine="720"/>
        <w:jc w:val="both"/>
        <w:rPr>
          <w:rFonts w:ascii="Times New Roman" w:hAnsi="Times New Roman" w:cs="Times New Roman"/>
          <w:sz w:val="24"/>
          <w:szCs w:val="24"/>
        </w:rPr>
      </w:pPr>
    </w:p>
    <w:p w14:paraId="141B2B66" w14:textId="38FF6968" w:rsidR="0090457D" w:rsidRPr="0032200B" w:rsidRDefault="0090457D"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Competing Interests</w:t>
      </w:r>
    </w:p>
    <w:p w14:paraId="28EE7F35" w14:textId="77777777" w:rsidR="00E82EFD" w:rsidRDefault="0090457D" w:rsidP="00E82EFD">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The authors declare that there are no competing interests regarding the publication of this paper.</w:t>
      </w:r>
      <w:r w:rsidR="00E82EFD">
        <w:rPr>
          <w:rFonts w:ascii="Times New Roman" w:hAnsi="Times New Roman" w:cs="Times New Roman"/>
          <w:sz w:val="24"/>
          <w:szCs w:val="24"/>
        </w:rPr>
        <w:t xml:space="preserve"> </w:t>
      </w:r>
    </w:p>
    <w:p w14:paraId="00F8B8B2" w14:textId="39B25EDC" w:rsidR="00E82EFD" w:rsidRPr="00E82EFD" w:rsidRDefault="00E82EFD" w:rsidP="00E82EFD">
      <w:pPr>
        <w:pStyle w:val="ListParagraph"/>
        <w:numPr>
          <w:ilvl w:val="0"/>
          <w:numId w:val="2"/>
        </w:numPr>
        <w:spacing w:after="0" w:line="360" w:lineRule="auto"/>
        <w:jc w:val="both"/>
        <w:rPr>
          <w:rFonts w:ascii="Times New Roman" w:hAnsi="Times New Roman" w:cs="Times New Roman"/>
          <w:b/>
          <w:bCs/>
          <w:sz w:val="24"/>
          <w:szCs w:val="24"/>
        </w:rPr>
      </w:pPr>
      <w:r w:rsidRPr="00E82EFD">
        <w:rPr>
          <w:rFonts w:ascii="Times New Roman" w:hAnsi="Times New Roman" w:cs="Times New Roman"/>
          <w:b/>
          <w:bCs/>
          <w:sz w:val="24"/>
          <w:szCs w:val="24"/>
        </w:rPr>
        <w:t>Disclaimer (Artificial intelligence)</w:t>
      </w:r>
    </w:p>
    <w:p w14:paraId="5B078A9E" w14:textId="0AEDEC4D" w:rsidR="005452AB" w:rsidRPr="00E82EFD" w:rsidRDefault="00E82EFD" w:rsidP="00E82EFD">
      <w:pPr>
        <w:spacing w:after="0" w:line="360" w:lineRule="auto"/>
        <w:ind w:firstLine="720"/>
        <w:jc w:val="both"/>
        <w:rPr>
          <w:rFonts w:ascii="Times New Roman" w:hAnsi="Times New Roman" w:cs="Times New Roman"/>
          <w:sz w:val="24"/>
          <w:szCs w:val="24"/>
        </w:rPr>
      </w:pPr>
      <w:r w:rsidRPr="00E82EFD">
        <w:rPr>
          <w:rFonts w:ascii="Times New Roman" w:hAnsi="Times New Roman" w:cs="Times New Roman"/>
          <w:sz w:val="24"/>
          <w:szCs w:val="24"/>
        </w:rPr>
        <w:t>Author(s) hereby declare that NO generative AI technologies such as Large Language Models (</w:t>
      </w:r>
      <w:proofErr w:type="spellStart"/>
      <w:r w:rsidRPr="00E82EFD">
        <w:rPr>
          <w:rFonts w:ascii="Times New Roman" w:hAnsi="Times New Roman" w:cs="Times New Roman"/>
          <w:sz w:val="24"/>
          <w:szCs w:val="24"/>
        </w:rPr>
        <w:t>ChatGPT</w:t>
      </w:r>
      <w:proofErr w:type="spellEnd"/>
      <w:r w:rsidRPr="00E82EFD">
        <w:rPr>
          <w:rFonts w:ascii="Times New Roman" w:hAnsi="Times New Roman" w:cs="Times New Roman"/>
          <w:sz w:val="24"/>
          <w:szCs w:val="24"/>
        </w:rPr>
        <w:t xml:space="preserve">, COPILOT, etc.) and text-to-image generators have been used during the writing or editing of this manuscript. </w:t>
      </w:r>
    </w:p>
    <w:p w14:paraId="1AD15B57" w14:textId="354B47BD" w:rsidR="007C5408" w:rsidRPr="0032200B" w:rsidRDefault="007C5408"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References</w:t>
      </w:r>
    </w:p>
    <w:p w14:paraId="72E48D66"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Aebi</w:t>
      </w:r>
      <w:proofErr w:type="spellEnd"/>
      <w:r w:rsidRPr="0032200B">
        <w:rPr>
          <w:rFonts w:ascii="Times New Roman" w:hAnsi="Times New Roman" w:cs="Times New Roman"/>
          <w:sz w:val="24"/>
          <w:szCs w:val="24"/>
        </w:rPr>
        <w:t>, H. (1984). Catalase in vitro. Methods in Enzymology, 105, 121–126.</w:t>
      </w:r>
    </w:p>
    <w:p w14:paraId="4A12A31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Balamurugan, M., </w:t>
      </w:r>
      <w:proofErr w:type="spellStart"/>
      <w:r w:rsidRPr="0032200B">
        <w:rPr>
          <w:rFonts w:ascii="Times New Roman" w:hAnsi="Times New Roman" w:cs="Times New Roman"/>
          <w:sz w:val="24"/>
          <w:szCs w:val="24"/>
        </w:rPr>
        <w:t>Parthasarathi</w:t>
      </w:r>
      <w:proofErr w:type="spellEnd"/>
      <w:r w:rsidRPr="0032200B">
        <w:rPr>
          <w:rFonts w:ascii="Times New Roman" w:hAnsi="Times New Roman" w:cs="Times New Roman"/>
          <w:sz w:val="24"/>
          <w:szCs w:val="24"/>
        </w:rPr>
        <w:t>, K., Ranganathan, L. S., &amp; Cooper, E. L. (2008). Hypothetical mode of action of earthworm extract with hepatoprotective and antioxidant properties. Journal of Zhejiang University Science B, 9(2), 141-147.</w:t>
      </w:r>
    </w:p>
    <w:p w14:paraId="4806AABA"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lastRenderedPageBreak/>
        <w:t xml:space="preserve">Beauchamp, C., &amp; </w:t>
      </w:r>
      <w:proofErr w:type="spellStart"/>
      <w:r w:rsidRPr="0032200B">
        <w:rPr>
          <w:rFonts w:ascii="Times New Roman" w:hAnsi="Times New Roman" w:cs="Times New Roman"/>
          <w:sz w:val="24"/>
          <w:szCs w:val="24"/>
        </w:rPr>
        <w:t>Fridovich</w:t>
      </w:r>
      <w:proofErr w:type="spellEnd"/>
      <w:r w:rsidRPr="0032200B">
        <w:rPr>
          <w:rFonts w:ascii="Times New Roman" w:hAnsi="Times New Roman" w:cs="Times New Roman"/>
          <w:sz w:val="24"/>
          <w:szCs w:val="24"/>
        </w:rPr>
        <w:t>, I. (1971). Superoxide dismutase: Improved assays and an assay applicable to acrylamide gels. Analytical Biochemistry, 44(1), 276–287.</w:t>
      </w:r>
    </w:p>
    <w:p w14:paraId="7AF2B37B" w14:textId="5EF1CCF3" w:rsidR="00E901F0" w:rsidRPr="0032200B" w:rsidRDefault="00E901F0" w:rsidP="00465419">
      <w:pPr>
        <w:pStyle w:val="ListParagraph"/>
        <w:numPr>
          <w:ilvl w:val="0"/>
          <w:numId w:val="1"/>
        </w:numPr>
        <w:spacing w:after="0" w:line="360" w:lineRule="auto"/>
        <w:jc w:val="both"/>
        <w:rPr>
          <w:rFonts w:ascii="Times New Roman" w:hAnsi="Times New Roman" w:cs="Times New Roman"/>
          <w:sz w:val="24"/>
          <w:szCs w:val="24"/>
        </w:rPr>
      </w:pPr>
      <w:r w:rsidRPr="00E901F0">
        <w:rPr>
          <w:rFonts w:ascii="Times New Roman" w:hAnsi="Times New Roman" w:cs="Times New Roman"/>
          <w:sz w:val="24"/>
          <w:szCs w:val="24"/>
        </w:rPr>
        <w:t xml:space="preserve">Domínguez, J., </w:t>
      </w:r>
      <w:proofErr w:type="spellStart"/>
      <w:r w:rsidRPr="00E901F0">
        <w:rPr>
          <w:rFonts w:ascii="Times New Roman" w:hAnsi="Times New Roman" w:cs="Times New Roman"/>
          <w:sz w:val="24"/>
          <w:szCs w:val="24"/>
        </w:rPr>
        <w:t>Aira</w:t>
      </w:r>
      <w:proofErr w:type="spellEnd"/>
      <w:r w:rsidRPr="00E901F0">
        <w:rPr>
          <w:rFonts w:ascii="Times New Roman" w:hAnsi="Times New Roman" w:cs="Times New Roman"/>
          <w:sz w:val="24"/>
          <w:szCs w:val="24"/>
        </w:rPr>
        <w:t>, M., &amp; Gómez-</w:t>
      </w:r>
      <w:proofErr w:type="spellStart"/>
      <w:r w:rsidRPr="00E901F0">
        <w:rPr>
          <w:rFonts w:ascii="Times New Roman" w:hAnsi="Times New Roman" w:cs="Times New Roman"/>
          <w:sz w:val="24"/>
          <w:szCs w:val="24"/>
        </w:rPr>
        <w:t>Brandón</w:t>
      </w:r>
      <w:proofErr w:type="spellEnd"/>
      <w:r w:rsidRPr="00E901F0">
        <w:rPr>
          <w:rFonts w:ascii="Times New Roman" w:hAnsi="Times New Roman" w:cs="Times New Roman"/>
          <w:sz w:val="24"/>
          <w:szCs w:val="24"/>
        </w:rPr>
        <w:t>, M. (2009). Vermicomposting: earthworms enhance the work of microbes. In Microbes at work: from wastes to resources (pp. 93-114). Berlin, Heidelberg: Springer Berlin Heidelberg.</w:t>
      </w:r>
    </w:p>
    <w:p w14:paraId="649C1596"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Edwards, C. A., &amp; Bohlen, P. J. (1996). Biology and Ecology of Earthworms (3rd ed.). Chapman &amp; Hall.</w:t>
      </w:r>
    </w:p>
    <w:p w14:paraId="4AC0C017" w14:textId="77777777" w:rsidR="00FC190D" w:rsidRDefault="00FC190D" w:rsidP="00465419">
      <w:pPr>
        <w:pStyle w:val="ListParagraph"/>
        <w:numPr>
          <w:ilvl w:val="0"/>
          <w:numId w:val="1"/>
        </w:numPr>
        <w:spacing w:after="0" w:line="360" w:lineRule="auto"/>
        <w:jc w:val="both"/>
        <w:rPr>
          <w:rFonts w:ascii="Times New Roman" w:hAnsi="Times New Roman" w:cs="Times New Roman"/>
          <w:sz w:val="24"/>
          <w:szCs w:val="24"/>
        </w:rPr>
      </w:pPr>
      <w:r w:rsidRPr="00FC190D">
        <w:rPr>
          <w:rFonts w:ascii="Times New Roman" w:hAnsi="Times New Roman" w:cs="Times New Roman"/>
          <w:sz w:val="24"/>
          <w:szCs w:val="24"/>
        </w:rPr>
        <w:t xml:space="preserve">Edwards, C. A., </w:t>
      </w:r>
      <w:proofErr w:type="spellStart"/>
      <w:r w:rsidRPr="00FC190D">
        <w:rPr>
          <w:rFonts w:ascii="Times New Roman" w:hAnsi="Times New Roman" w:cs="Times New Roman"/>
          <w:sz w:val="24"/>
          <w:szCs w:val="24"/>
        </w:rPr>
        <w:t>Arancon</w:t>
      </w:r>
      <w:proofErr w:type="spellEnd"/>
      <w:r w:rsidRPr="00FC190D">
        <w:rPr>
          <w:rFonts w:ascii="Times New Roman" w:hAnsi="Times New Roman" w:cs="Times New Roman"/>
          <w:sz w:val="24"/>
          <w:szCs w:val="24"/>
        </w:rPr>
        <w:t>, N. Q., &amp; Sherman, R. L. (Eds.). (2010). Vermiculture technology: earthworms, organic wastes, and environmental management.</w:t>
      </w:r>
    </w:p>
    <w:p w14:paraId="1B23E7AA" w14:textId="2C8022B8"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Ellman, G. L. (1959). Tissue sulfhydryl groups. Archives of Biochemistry and Biophysics, 82(1), 70–77.</w:t>
      </w:r>
    </w:p>
    <w:p w14:paraId="4B7B28F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5452AB">
        <w:rPr>
          <w:rFonts w:ascii="Times New Roman" w:hAnsi="Times New Roman" w:cs="Times New Roman"/>
          <w:sz w:val="24"/>
          <w:szCs w:val="24"/>
          <w:lang w:val="fr-FR"/>
        </w:rPr>
        <w:t>Flohé</w:t>
      </w:r>
      <w:proofErr w:type="spellEnd"/>
      <w:r w:rsidRPr="005452AB">
        <w:rPr>
          <w:rFonts w:ascii="Times New Roman" w:hAnsi="Times New Roman" w:cs="Times New Roman"/>
          <w:sz w:val="24"/>
          <w:szCs w:val="24"/>
          <w:lang w:val="fr-FR"/>
        </w:rPr>
        <w:t xml:space="preserve">, L., &amp; </w:t>
      </w:r>
      <w:proofErr w:type="spellStart"/>
      <w:r w:rsidRPr="005452AB">
        <w:rPr>
          <w:rFonts w:ascii="Times New Roman" w:hAnsi="Times New Roman" w:cs="Times New Roman"/>
          <w:sz w:val="24"/>
          <w:szCs w:val="24"/>
          <w:lang w:val="fr-FR"/>
        </w:rPr>
        <w:t>Günzler</w:t>
      </w:r>
      <w:proofErr w:type="spellEnd"/>
      <w:r w:rsidRPr="005452AB">
        <w:rPr>
          <w:rFonts w:ascii="Times New Roman" w:hAnsi="Times New Roman" w:cs="Times New Roman"/>
          <w:sz w:val="24"/>
          <w:szCs w:val="24"/>
          <w:lang w:val="fr-FR"/>
        </w:rPr>
        <w:t xml:space="preserve">, W. A. (1984). </w:t>
      </w:r>
      <w:r w:rsidRPr="0032200B">
        <w:rPr>
          <w:rFonts w:ascii="Times New Roman" w:hAnsi="Times New Roman" w:cs="Times New Roman"/>
          <w:sz w:val="24"/>
          <w:szCs w:val="24"/>
        </w:rPr>
        <w:t>Assays of glutathione peroxidase. Methods in Enzymology, 105, 114–121.</w:t>
      </w:r>
    </w:p>
    <w:p w14:paraId="4EDE8AA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Halliwell, B., &amp; </w:t>
      </w:r>
      <w:proofErr w:type="spellStart"/>
      <w:r w:rsidRPr="0032200B">
        <w:rPr>
          <w:rFonts w:ascii="Times New Roman" w:hAnsi="Times New Roman" w:cs="Times New Roman"/>
          <w:sz w:val="24"/>
          <w:szCs w:val="24"/>
        </w:rPr>
        <w:t>Gutteridge</w:t>
      </w:r>
      <w:proofErr w:type="spellEnd"/>
      <w:r w:rsidRPr="0032200B">
        <w:rPr>
          <w:rFonts w:ascii="Times New Roman" w:hAnsi="Times New Roman" w:cs="Times New Roman"/>
          <w:sz w:val="24"/>
          <w:szCs w:val="24"/>
        </w:rPr>
        <w:t>, J. M. C. (2015). Free Radicals in Biology and Medicine (5th ed.). Oxford University Press.</w:t>
      </w:r>
    </w:p>
    <w:p w14:paraId="4A791D9A"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Ifemeje</w:t>
      </w:r>
      <w:proofErr w:type="spellEnd"/>
      <w:r w:rsidRPr="0032200B">
        <w:rPr>
          <w:rFonts w:ascii="Times New Roman" w:hAnsi="Times New Roman" w:cs="Times New Roman"/>
          <w:sz w:val="24"/>
          <w:szCs w:val="24"/>
        </w:rPr>
        <w:t xml:space="preserve">, J. C., </w:t>
      </w:r>
      <w:proofErr w:type="spellStart"/>
      <w:r w:rsidRPr="0032200B">
        <w:rPr>
          <w:rFonts w:ascii="Times New Roman" w:hAnsi="Times New Roman" w:cs="Times New Roman"/>
          <w:sz w:val="24"/>
          <w:szCs w:val="24"/>
        </w:rPr>
        <w:t>Udedi</w:t>
      </w:r>
      <w:proofErr w:type="spellEnd"/>
      <w:r w:rsidRPr="0032200B">
        <w:rPr>
          <w:rFonts w:ascii="Times New Roman" w:hAnsi="Times New Roman" w:cs="Times New Roman"/>
          <w:sz w:val="24"/>
          <w:szCs w:val="24"/>
        </w:rPr>
        <w:t xml:space="preserve">, S. C., </w:t>
      </w:r>
      <w:proofErr w:type="spellStart"/>
      <w:r w:rsidRPr="0032200B">
        <w:rPr>
          <w:rFonts w:ascii="Times New Roman" w:hAnsi="Times New Roman" w:cs="Times New Roman"/>
          <w:sz w:val="24"/>
          <w:szCs w:val="24"/>
        </w:rPr>
        <w:t>Okechukwu</w:t>
      </w:r>
      <w:proofErr w:type="spellEnd"/>
      <w:r w:rsidRPr="0032200B">
        <w:rPr>
          <w:rFonts w:ascii="Times New Roman" w:hAnsi="Times New Roman" w:cs="Times New Roman"/>
          <w:sz w:val="24"/>
          <w:szCs w:val="24"/>
        </w:rPr>
        <w:t xml:space="preserve">, A. U., </w:t>
      </w:r>
      <w:proofErr w:type="spellStart"/>
      <w:r w:rsidRPr="0032200B">
        <w:rPr>
          <w:rFonts w:ascii="Times New Roman" w:hAnsi="Times New Roman" w:cs="Times New Roman"/>
          <w:sz w:val="24"/>
          <w:szCs w:val="24"/>
        </w:rPr>
        <w:t>Nwaka</w:t>
      </w:r>
      <w:proofErr w:type="spellEnd"/>
      <w:r w:rsidRPr="0032200B">
        <w:rPr>
          <w:rFonts w:ascii="Times New Roman" w:hAnsi="Times New Roman" w:cs="Times New Roman"/>
          <w:sz w:val="24"/>
          <w:szCs w:val="24"/>
        </w:rPr>
        <w:t xml:space="preserve">, A. C., </w:t>
      </w:r>
      <w:proofErr w:type="spellStart"/>
      <w:r w:rsidRPr="0032200B">
        <w:rPr>
          <w:rFonts w:ascii="Times New Roman" w:hAnsi="Times New Roman" w:cs="Times New Roman"/>
          <w:sz w:val="24"/>
          <w:szCs w:val="24"/>
        </w:rPr>
        <w:t>Lukong</w:t>
      </w:r>
      <w:proofErr w:type="spellEnd"/>
      <w:r w:rsidRPr="0032200B">
        <w:rPr>
          <w:rFonts w:ascii="Times New Roman" w:hAnsi="Times New Roman" w:cs="Times New Roman"/>
          <w:sz w:val="24"/>
          <w:szCs w:val="24"/>
        </w:rPr>
        <w:t xml:space="preserve">, C. B., </w:t>
      </w:r>
      <w:proofErr w:type="spellStart"/>
      <w:r w:rsidRPr="0032200B">
        <w:rPr>
          <w:rFonts w:ascii="Times New Roman" w:hAnsi="Times New Roman" w:cs="Times New Roman"/>
          <w:sz w:val="24"/>
          <w:szCs w:val="24"/>
        </w:rPr>
        <w:t>Anene</w:t>
      </w:r>
      <w:proofErr w:type="spellEnd"/>
      <w:r w:rsidRPr="0032200B">
        <w:rPr>
          <w:rFonts w:ascii="Times New Roman" w:hAnsi="Times New Roman" w:cs="Times New Roman"/>
          <w:sz w:val="24"/>
          <w:szCs w:val="24"/>
        </w:rPr>
        <w:t xml:space="preserve">, I. N., ... &amp; </w:t>
      </w:r>
      <w:proofErr w:type="spellStart"/>
      <w:r w:rsidRPr="0032200B">
        <w:rPr>
          <w:rFonts w:ascii="Times New Roman" w:hAnsi="Times New Roman" w:cs="Times New Roman"/>
          <w:sz w:val="24"/>
          <w:szCs w:val="24"/>
        </w:rPr>
        <w:t>Ezeude</w:t>
      </w:r>
      <w:proofErr w:type="spellEnd"/>
      <w:r w:rsidRPr="0032200B">
        <w:rPr>
          <w:rFonts w:ascii="Times New Roman" w:hAnsi="Times New Roman" w:cs="Times New Roman"/>
          <w:sz w:val="24"/>
          <w:szCs w:val="24"/>
        </w:rPr>
        <w:t>, I. C. (2015). Determination of total protein, superoxide dismutase, catalase activity and lipid peroxidation in soil macro-fauna (earthworm) from Onitsha municipal open waste dump. Journal of Scientific Research and Reports, 6(5), 394-403.</w:t>
      </w:r>
    </w:p>
    <w:p w14:paraId="304CF045" w14:textId="77777777" w:rsidR="009A0FA3" w:rsidRDefault="009A0FA3" w:rsidP="00465419">
      <w:pPr>
        <w:pStyle w:val="ListParagraph"/>
        <w:numPr>
          <w:ilvl w:val="0"/>
          <w:numId w:val="1"/>
        </w:numPr>
        <w:spacing w:after="0" w:line="360" w:lineRule="auto"/>
        <w:jc w:val="both"/>
        <w:rPr>
          <w:rFonts w:ascii="Times New Roman" w:hAnsi="Times New Roman" w:cs="Times New Roman"/>
          <w:sz w:val="24"/>
          <w:szCs w:val="24"/>
        </w:rPr>
      </w:pPr>
      <w:r w:rsidRPr="009A0FA3">
        <w:rPr>
          <w:rFonts w:ascii="Times New Roman" w:hAnsi="Times New Roman" w:cs="Times New Roman"/>
          <w:sz w:val="24"/>
          <w:szCs w:val="24"/>
        </w:rPr>
        <w:t xml:space="preserve">Lowry, O., </w:t>
      </w:r>
      <w:proofErr w:type="spellStart"/>
      <w:r w:rsidRPr="009A0FA3">
        <w:rPr>
          <w:rFonts w:ascii="Times New Roman" w:hAnsi="Times New Roman" w:cs="Times New Roman"/>
          <w:sz w:val="24"/>
          <w:szCs w:val="24"/>
        </w:rPr>
        <w:t>Rosebrough</w:t>
      </w:r>
      <w:proofErr w:type="spellEnd"/>
      <w:r w:rsidRPr="009A0FA3">
        <w:rPr>
          <w:rFonts w:ascii="Times New Roman" w:hAnsi="Times New Roman" w:cs="Times New Roman"/>
          <w:sz w:val="24"/>
          <w:szCs w:val="24"/>
        </w:rPr>
        <w:t xml:space="preserve">, N., Farr, A. L., &amp; Randall, R. J. (1951). Protein measurement with the </w:t>
      </w:r>
      <w:proofErr w:type="spellStart"/>
      <w:r w:rsidRPr="009A0FA3">
        <w:rPr>
          <w:rFonts w:ascii="Times New Roman" w:hAnsi="Times New Roman" w:cs="Times New Roman"/>
          <w:sz w:val="24"/>
          <w:szCs w:val="24"/>
        </w:rPr>
        <w:t>Folin</w:t>
      </w:r>
      <w:proofErr w:type="spellEnd"/>
      <w:r w:rsidRPr="009A0FA3">
        <w:rPr>
          <w:rFonts w:ascii="Times New Roman" w:hAnsi="Times New Roman" w:cs="Times New Roman"/>
          <w:sz w:val="24"/>
          <w:szCs w:val="24"/>
        </w:rPr>
        <w:t xml:space="preserve"> phenol reagent. J </w:t>
      </w:r>
      <w:proofErr w:type="spellStart"/>
      <w:r w:rsidRPr="009A0FA3">
        <w:rPr>
          <w:rFonts w:ascii="Times New Roman" w:hAnsi="Times New Roman" w:cs="Times New Roman"/>
          <w:sz w:val="24"/>
          <w:szCs w:val="24"/>
        </w:rPr>
        <w:t>biol</w:t>
      </w:r>
      <w:proofErr w:type="spellEnd"/>
      <w:r w:rsidRPr="009A0FA3">
        <w:rPr>
          <w:rFonts w:ascii="Times New Roman" w:hAnsi="Times New Roman" w:cs="Times New Roman"/>
          <w:sz w:val="24"/>
          <w:szCs w:val="24"/>
        </w:rPr>
        <w:t xml:space="preserve"> Chem, 193(1), 265-275.</w:t>
      </w:r>
    </w:p>
    <w:p w14:paraId="06ED1916" w14:textId="0574BCAE" w:rsidR="0038254E" w:rsidRPr="0032200B" w:rsidRDefault="0038254E" w:rsidP="0038254E">
      <w:pPr>
        <w:pStyle w:val="ListParagraph"/>
        <w:numPr>
          <w:ilvl w:val="0"/>
          <w:numId w:val="1"/>
        </w:numPr>
        <w:spacing w:after="0" w:line="360" w:lineRule="auto"/>
        <w:jc w:val="both"/>
        <w:rPr>
          <w:rFonts w:ascii="Times New Roman" w:hAnsi="Times New Roman" w:cs="Times New Roman"/>
          <w:sz w:val="24"/>
          <w:szCs w:val="24"/>
        </w:rPr>
      </w:pPr>
      <w:proofErr w:type="spellStart"/>
      <w:r w:rsidRPr="0038254E">
        <w:rPr>
          <w:rFonts w:ascii="Times New Roman" w:hAnsi="Times New Roman" w:cs="Times New Roman"/>
          <w:sz w:val="24"/>
          <w:szCs w:val="24"/>
        </w:rPr>
        <w:t>Mazumder</w:t>
      </w:r>
      <w:proofErr w:type="spellEnd"/>
      <w:r w:rsidRPr="0038254E">
        <w:rPr>
          <w:rFonts w:ascii="Times New Roman" w:hAnsi="Times New Roman" w:cs="Times New Roman"/>
          <w:sz w:val="24"/>
          <w:szCs w:val="24"/>
        </w:rPr>
        <w:t>, A.</w:t>
      </w:r>
      <w:r>
        <w:rPr>
          <w:rFonts w:ascii="Times New Roman" w:hAnsi="Times New Roman" w:cs="Times New Roman"/>
          <w:sz w:val="24"/>
          <w:szCs w:val="24"/>
        </w:rPr>
        <w:t xml:space="preserve"> &amp;</w:t>
      </w:r>
      <w:r w:rsidRPr="0038254E">
        <w:rPr>
          <w:rFonts w:ascii="Times New Roman" w:hAnsi="Times New Roman" w:cs="Times New Roman"/>
          <w:sz w:val="24"/>
          <w:szCs w:val="24"/>
        </w:rPr>
        <w:t xml:space="preserve"> </w:t>
      </w:r>
      <w:proofErr w:type="spellStart"/>
      <w:r w:rsidRPr="0038254E">
        <w:rPr>
          <w:rFonts w:ascii="Times New Roman" w:hAnsi="Times New Roman" w:cs="Times New Roman"/>
          <w:sz w:val="24"/>
          <w:szCs w:val="24"/>
        </w:rPr>
        <w:t>Diederich</w:t>
      </w:r>
      <w:proofErr w:type="spellEnd"/>
      <w:r w:rsidRPr="0038254E">
        <w:rPr>
          <w:rFonts w:ascii="Times New Roman" w:hAnsi="Times New Roman" w:cs="Times New Roman"/>
          <w:sz w:val="24"/>
          <w:szCs w:val="24"/>
        </w:rPr>
        <w:t xml:space="preserve">, M. </w:t>
      </w:r>
      <w:r>
        <w:rPr>
          <w:rFonts w:ascii="Times New Roman" w:hAnsi="Times New Roman" w:cs="Times New Roman"/>
          <w:sz w:val="24"/>
          <w:szCs w:val="24"/>
        </w:rPr>
        <w:t>(</w:t>
      </w:r>
      <w:r w:rsidRPr="0038254E">
        <w:rPr>
          <w:rFonts w:ascii="Times New Roman" w:hAnsi="Times New Roman" w:cs="Times New Roman"/>
          <w:sz w:val="24"/>
          <w:szCs w:val="24"/>
        </w:rPr>
        <w:t>2016</w:t>
      </w:r>
      <w:r>
        <w:rPr>
          <w:rFonts w:ascii="Times New Roman" w:hAnsi="Times New Roman" w:cs="Times New Roman"/>
          <w:sz w:val="24"/>
          <w:szCs w:val="24"/>
        </w:rPr>
        <w:t xml:space="preserve">). </w:t>
      </w:r>
      <w:r w:rsidRPr="0038254E">
        <w:rPr>
          <w:rFonts w:ascii="Times New Roman" w:hAnsi="Times New Roman" w:cs="Times New Roman"/>
          <w:sz w:val="24"/>
          <w:szCs w:val="24"/>
        </w:rPr>
        <w:t xml:space="preserve">Natural Compound-Generated Oxidative Stress: From Bench to Bedside. In Free Radicals and Diseases; </w:t>
      </w:r>
      <w:proofErr w:type="spellStart"/>
      <w:r w:rsidRPr="0038254E">
        <w:rPr>
          <w:rFonts w:ascii="Times New Roman" w:hAnsi="Times New Roman" w:cs="Times New Roman"/>
          <w:sz w:val="24"/>
          <w:szCs w:val="24"/>
        </w:rPr>
        <w:t>IntechOpen</w:t>
      </w:r>
      <w:proofErr w:type="spellEnd"/>
      <w:r w:rsidRPr="0038254E">
        <w:rPr>
          <w:rFonts w:ascii="Times New Roman" w:hAnsi="Times New Roman" w:cs="Times New Roman"/>
          <w:sz w:val="24"/>
          <w:szCs w:val="24"/>
        </w:rPr>
        <w:t xml:space="preserve">: London, </w:t>
      </w:r>
      <w:proofErr w:type="gramStart"/>
      <w:r w:rsidRPr="0038254E">
        <w:rPr>
          <w:rFonts w:ascii="Times New Roman" w:hAnsi="Times New Roman" w:cs="Times New Roman"/>
          <w:sz w:val="24"/>
          <w:szCs w:val="24"/>
        </w:rPr>
        <w:t>UK,;</w:t>
      </w:r>
      <w:proofErr w:type="gramEnd"/>
      <w:r w:rsidRPr="0038254E">
        <w:rPr>
          <w:rFonts w:ascii="Times New Roman" w:hAnsi="Times New Roman" w:cs="Times New Roman"/>
          <w:sz w:val="24"/>
          <w:szCs w:val="24"/>
        </w:rPr>
        <w:t xml:space="preserve"> pp. 88–112.</w:t>
      </w:r>
    </w:p>
    <w:p w14:paraId="69F9BCB0" w14:textId="1432FE14" w:rsidR="001168CF"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Meister, A., &amp; Anderson, M. E. (1983). Glutathione. Annual Review of Biochemistry, 52(1), 711–760.</w:t>
      </w:r>
    </w:p>
    <w:p w14:paraId="2CC8888D"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Nahmani</w:t>
      </w:r>
      <w:proofErr w:type="spellEnd"/>
      <w:r w:rsidRPr="0032200B">
        <w:rPr>
          <w:rFonts w:ascii="Times New Roman" w:hAnsi="Times New Roman" w:cs="Times New Roman"/>
          <w:sz w:val="24"/>
          <w:szCs w:val="24"/>
        </w:rPr>
        <w:t xml:space="preserve">, J., Hodson, M. E., &amp; Black, S. (2007). Effects of metals on life cycle parameters of the earthworm Eisenia </w:t>
      </w:r>
      <w:proofErr w:type="spellStart"/>
      <w:r w:rsidRPr="0032200B">
        <w:rPr>
          <w:rFonts w:ascii="Times New Roman" w:hAnsi="Times New Roman" w:cs="Times New Roman"/>
          <w:sz w:val="24"/>
          <w:szCs w:val="24"/>
        </w:rPr>
        <w:t>fetida</w:t>
      </w:r>
      <w:proofErr w:type="spellEnd"/>
      <w:r w:rsidRPr="0032200B">
        <w:rPr>
          <w:rFonts w:ascii="Times New Roman" w:hAnsi="Times New Roman" w:cs="Times New Roman"/>
          <w:sz w:val="24"/>
          <w:szCs w:val="24"/>
        </w:rPr>
        <w:t xml:space="preserve"> exposed to field-contaminated soils. Environmental Pollution, 149(1), 44–58.</w:t>
      </w:r>
    </w:p>
    <w:p w14:paraId="242B502F"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5452AB">
        <w:rPr>
          <w:rFonts w:ascii="Times New Roman" w:hAnsi="Times New Roman" w:cs="Times New Roman"/>
          <w:sz w:val="24"/>
          <w:szCs w:val="24"/>
          <w:lang w:val="fr-FR"/>
        </w:rPr>
        <w:t>Nwaka</w:t>
      </w:r>
      <w:proofErr w:type="spellEnd"/>
      <w:r w:rsidRPr="005452AB">
        <w:rPr>
          <w:rFonts w:ascii="Times New Roman" w:hAnsi="Times New Roman" w:cs="Times New Roman"/>
          <w:sz w:val="24"/>
          <w:szCs w:val="24"/>
          <w:lang w:val="fr-FR"/>
        </w:rPr>
        <w:t xml:space="preserve">, A. C., et al. </w:t>
      </w:r>
      <w:r w:rsidRPr="0032200B">
        <w:rPr>
          <w:rFonts w:ascii="Times New Roman" w:hAnsi="Times New Roman" w:cs="Times New Roman"/>
          <w:sz w:val="24"/>
          <w:szCs w:val="24"/>
        </w:rPr>
        <w:t xml:space="preserve">(n.d.). Determination of total protein, superoxide dismutase, catalase activity and lipid peroxidation in soil macro-fauna (earthworm) from Onitsha municipal open waste dump. Retrieved from ResearchGate. </w:t>
      </w:r>
    </w:p>
    <w:p w14:paraId="2CAFCF13"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Ohkawa</w:t>
      </w:r>
      <w:proofErr w:type="spellEnd"/>
      <w:r w:rsidRPr="0032200B">
        <w:rPr>
          <w:rFonts w:ascii="Times New Roman" w:hAnsi="Times New Roman" w:cs="Times New Roman"/>
          <w:sz w:val="24"/>
          <w:szCs w:val="24"/>
        </w:rPr>
        <w:t xml:space="preserve">, H., </w:t>
      </w:r>
      <w:proofErr w:type="spellStart"/>
      <w:r w:rsidRPr="0032200B">
        <w:rPr>
          <w:rFonts w:ascii="Times New Roman" w:hAnsi="Times New Roman" w:cs="Times New Roman"/>
          <w:sz w:val="24"/>
          <w:szCs w:val="24"/>
        </w:rPr>
        <w:t>Ohishi</w:t>
      </w:r>
      <w:proofErr w:type="spellEnd"/>
      <w:r w:rsidRPr="0032200B">
        <w:rPr>
          <w:rFonts w:ascii="Times New Roman" w:hAnsi="Times New Roman" w:cs="Times New Roman"/>
          <w:sz w:val="24"/>
          <w:szCs w:val="24"/>
        </w:rPr>
        <w:t xml:space="preserve">, N., &amp; Yagi, K. (1979). Assay for lipid peroxides in animal tissues by </w:t>
      </w:r>
      <w:proofErr w:type="spellStart"/>
      <w:r w:rsidRPr="0032200B">
        <w:rPr>
          <w:rFonts w:ascii="Times New Roman" w:hAnsi="Times New Roman" w:cs="Times New Roman"/>
          <w:sz w:val="24"/>
          <w:szCs w:val="24"/>
        </w:rPr>
        <w:t>thiobarbituric</w:t>
      </w:r>
      <w:proofErr w:type="spellEnd"/>
      <w:r w:rsidRPr="0032200B">
        <w:rPr>
          <w:rFonts w:ascii="Times New Roman" w:hAnsi="Times New Roman" w:cs="Times New Roman"/>
          <w:sz w:val="24"/>
          <w:szCs w:val="24"/>
        </w:rPr>
        <w:t xml:space="preserve"> acid reaction. Analytical Biochemistry, 95(2), 351–358.</w:t>
      </w:r>
    </w:p>
    <w:p w14:paraId="6FA7E7FD" w14:textId="3504109E"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lastRenderedPageBreak/>
        <w:t>Prakash, M., Gunasekaran, G., &amp; Elumalai, K. (2008). Effect of earthworm powder on antioxidant enzymes in alcohol-induced hepatotoxicity. European Review for Medical and Pharmacological Sciences. Retrieved from https://www.europeanreview.org/wp/wp-content/uploads/503.</w:t>
      </w:r>
    </w:p>
    <w:p w14:paraId="7133B9D1" w14:textId="77777777" w:rsidR="007D007B" w:rsidRDefault="007D007B" w:rsidP="00465419">
      <w:pPr>
        <w:pStyle w:val="ListParagraph"/>
        <w:numPr>
          <w:ilvl w:val="0"/>
          <w:numId w:val="1"/>
        </w:numPr>
        <w:spacing w:after="0" w:line="360" w:lineRule="auto"/>
        <w:jc w:val="both"/>
        <w:rPr>
          <w:rFonts w:ascii="Times New Roman" w:hAnsi="Times New Roman" w:cs="Times New Roman"/>
          <w:sz w:val="24"/>
          <w:szCs w:val="24"/>
        </w:rPr>
      </w:pPr>
      <w:r w:rsidRPr="007D007B">
        <w:rPr>
          <w:rFonts w:ascii="Times New Roman" w:hAnsi="Times New Roman" w:cs="Times New Roman"/>
          <w:sz w:val="24"/>
          <w:szCs w:val="24"/>
        </w:rPr>
        <w:t>Reinecke, S. A., &amp; Reinecke, A. J. (2007). Biomarker response and biomass change of earthworms exposed to chlorpyrifos in microcosms. Ecotoxicology and Environmental Safety, 66(1), 92-101.</w:t>
      </w:r>
    </w:p>
    <w:p w14:paraId="71C0CDDB" w14:textId="5400330A" w:rsidR="00582E37" w:rsidRPr="0032200B" w:rsidRDefault="00582E37"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582E37">
        <w:rPr>
          <w:rFonts w:ascii="Times New Roman" w:hAnsi="Times New Roman" w:cs="Times New Roman"/>
          <w:sz w:val="24"/>
          <w:szCs w:val="24"/>
        </w:rPr>
        <w:t>Saleeb</w:t>
      </w:r>
      <w:proofErr w:type="spellEnd"/>
      <w:r w:rsidRPr="00582E37">
        <w:rPr>
          <w:rFonts w:ascii="Times New Roman" w:hAnsi="Times New Roman" w:cs="Times New Roman"/>
          <w:sz w:val="24"/>
          <w:szCs w:val="24"/>
        </w:rPr>
        <w:t xml:space="preserve">, N., Robinson, B., Cavanagh, J., Ross, J., Munir, K., &amp; </w:t>
      </w:r>
      <w:proofErr w:type="spellStart"/>
      <w:r w:rsidRPr="00582E37">
        <w:rPr>
          <w:rFonts w:ascii="Times New Roman" w:hAnsi="Times New Roman" w:cs="Times New Roman"/>
          <w:sz w:val="24"/>
          <w:szCs w:val="24"/>
        </w:rPr>
        <w:t>Gooneratne</w:t>
      </w:r>
      <w:proofErr w:type="spellEnd"/>
      <w:r w:rsidRPr="00582E37">
        <w:rPr>
          <w:rFonts w:ascii="Times New Roman" w:hAnsi="Times New Roman" w:cs="Times New Roman"/>
          <w:sz w:val="24"/>
          <w:szCs w:val="24"/>
        </w:rPr>
        <w:t xml:space="preserve">, R. (2020). Antioxidant enzyme activity and lipid peroxidation in </w:t>
      </w:r>
      <w:proofErr w:type="spellStart"/>
      <w:r w:rsidRPr="00582E37">
        <w:rPr>
          <w:rFonts w:ascii="Times New Roman" w:hAnsi="Times New Roman" w:cs="Times New Roman"/>
          <w:sz w:val="24"/>
          <w:szCs w:val="24"/>
        </w:rPr>
        <w:t>Aporrectodea</w:t>
      </w:r>
      <w:proofErr w:type="spellEnd"/>
      <w:r w:rsidRPr="00582E37">
        <w:rPr>
          <w:rFonts w:ascii="Times New Roman" w:hAnsi="Times New Roman" w:cs="Times New Roman"/>
          <w:sz w:val="24"/>
          <w:szCs w:val="24"/>
        </w:rPr>
        <w:t xml:space="preserve"> </w:t>
      </w:r>
      <w:proofErr w:type="spellStart"/>
      <w:r w:rsidRPr="00582E37">
        <w:rPr>
          <w:rFonts w:ascii="Times New Roman" w:hAnsi="Times New Roman" w:cs="Times New Roman"/>
          <w:sz w:val="24"/>
          <w:szCs w:val="24"/>
        </w:rPr>
        <w:t>caliginosa</w:t>
      </w:r>
      <w:proofErr w:type="spellEnd"/>
      <w:r w:rsidRPr="00582E37">
        <w:rPr>
          <w:rFonts w:ascii="Times New Roman" w:hAnsi="Times New Roman" w:cs="Times New Roman"/>
          <w:sz w:val="24"/>
          <w:szCs w:val="24"/>
        </w:rPr>
        <w:t xml:space="preserve"> earthworms exposed to silver nanoparticles and silver nitrate in spiked soil. Environmental Toxicology and Chemistry, 39(6), 1257-1266.</w:t>
      </w:r>
    </w:p>
    <w:p w14:paraId="567C8E65"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Shashank, K. R., &amp; </w:t>
      </w:r>
      <w:proofErr w:type="spellStart"/>
      <w:r w:rsidRPr="0032200B">
        <w:rPr>
          <w:rFonts w:ascii="Times New Roman" w:hAnsi="Times New Roman" w:cs="Times New Roman"/>
          <w:sz w:val="24"/>
          <w:szCs w:val="24"/>
        </w:rPr>
        <w:t>Mahadevaswamy</w:t>
      </w:r>
      <w:proofErr w:type="spellEnd"/>
      <w:r w:rsidRPr="0032200B">
        <w:rPr>
          <w:rFonts w:ascii="Times New Roman" w:hAnsi="Times New Roman" w:cs="Times New Roman"/>
          <w:sz w:val="24"/>
          <w:szCs w:val="24"/>
        </w:rPr>
        <w:t xml:space="preserve">, M. (2025). A pathway to enhanced organic waste decomposition by enzymatic response of earthworms in different </w:t>
      </w:r>
      <w:proofErr w:type="spellStart"/>
      <w:r w:rsidRPr="0032200B">
        <w:rPr>
          <w:rFonts w:ascii="Times New Roman" w:hAnsi="Times New Roman" w:cs="Times New Roman"/>
          <w:sz w:val="24"/>
          <w:szCs w:val="24"/>
        </w:rPr>
        <w:t>vermibed</w:t>
      </w:r>
      <w:proofErr w:type="spellEnd"/>
      <w:r w:rsidRPr="0032200B">
        <w:rPr>
          <w:rFonts w:ascii="Times New Roman" w:hAnsi="Times New Roman" w:cs="Times New Roman"/>
          <w:sz w:val="24"/>
          <w:szCs w:val="24"/>
        </w:rPr>
        <w:t xml:space="preserve"> substrates. IJBB, 7(1), 197-202.</w:t>
      </w:r>
    </w:p>
    <w:p w14:paraId="036F8DE4" w14:textId="754B11C3" w:rsidR="001168CF" w:rsidRDefault="001168CF" w:rsidP="00E8142E">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Shashank, K.R. &amp; M. </w:t>
      </w:r>
      <w:proofErr w:type="spellStart"/>
      <w:r w:rsidRPr="0032200B">
        <w:rPr>
          <w:rFonts w:ascii="Times New Roman" w:hAnsi="Times New Roman" w:cs="Times New Roman"/>
          <w:sz w:val="24"/>
          <w:szCs w:val="24"/>
        </w:rPr>
        <w:t>Mahadevaswamy</w:t>
      </w:r>
      <w:proofErr w:type="spellEnd"/>
      <w:r w:rsidRPr="0032200B">
        <w:rPr>
          <w:rFonts w:ascii="Times New Roman" w:hAnsi="Times New Roman" w:cs="Times New Roman"/>
          <w:sz w:val="24"/>
          <w:szCs w:val="24"/>
        </w:rPr>
        <w:t>. (2025). Unveiling the medical properties of earthworms and their role in human health. International Journal of Advanced Research in Medicine, 7(2): 19–23. https://www. doi.org /10.22271/</w:t>
      </w:r>
      <w:proofErr w:type="gramStart"/>
      <w:r w:rsidRPr="0032200B">
        <w:rPr>
          <w:rFonts w:ascii="Times New Roman" w:hAnsi="Times New Roman" w:cs="Times New Roman"/>
          <w:sz w:val="24"/>
          <w:szCs w:val="24"/>
        </w:rPr>
        <w:t>27069567.2025.v</w:t>
      </w:r>
      <w:proofErr w:type="gramEnd"/>
      <w:r w:rsidRPr="0032200B">
        <w:rPr>
          <w:rFonts w:ascii="Times New Roman" w:hAnsi="Times New Roman" w:cs="Times New Roman"/>
          <w:sz w:val="24"/>
          <w:szCs w:val="24"/>
        </w:rPr>
        <w:t>7.12a.619</w:t>
      </w:r>
    </w:p>
    <w:p w14:paraId="69A3137B" w14:textId="77777777" w:rsidR="001168CF" w:rsidRPr="0032200B" w:rsidRDefault="001168CF" w:rsidP="00E8142E">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Shashank, K.R. &amp; M. </w:t>
      </w:r>
      <w:proofErr w:type="spellStart"/>
      <w:r w:rsidRPr="0032200B">
        <w:rPr>
          <w:rFonts w:ascii="Times New Roman" w:hAnsi="Times New Roman" w:cs="Times New Roman"/>
          <w:sz w:val="24"/>
          <w:szCs w:val="24"/>
        </w:rPr>
        <w:t>Mahadevaswamy</w:t>
      </w:r>
      <w:proofErr w:type="spellEnd"/>
      <w:r w:rsidRPr="0032200B">
        <w:rPr>
          <w:rFonts w:ascii="Times New Roman" w:hAnsi="Times New Roman" w:cs="Times New Roman"/>
          <w:sz w:val="24"/>
          <w:szCs w:val="24"/>
        </w:rPr>
        <w:t xml:space="preserve">. (2026). Exploring the Fibrinolytic and Biochemical characteristics of Lumbrokinase enzyme from </w:t>
      </w:r>
      <w:proofErr w:type="spellStart"/>
      <w:r w:rsidRPr="0032200B">
        <w:rPr>
          <w:rFonts w:ascii="Times New Roman" w:hAnsi="Times New Roman" w:cs="Times New Roman"/>
          <w:sz w:val="24"/>
          <w:szCs w:val="24"/>
        </w:rPr>
        <w:t>Eudrilus</w:t>
      </w:r>
      <w:proofErr w:type="spellEnd"/>
      <w:r w:rsidRPr="0032200B">
        <w:rPr>
          <w:rFonts w:ascii="Times New Roman" w:hAnsi="Times New Roman" w:cs="Times New Roman"/>
          <w:sz w:val="24"/>
          <w:szCs w:val="24"/>
        </w:rPr>
        <w:t xml:space="preserve"> </w:t>
      </w:r>
      <w:proofErr w:type="spellStart"/>
      <w:r w:rsidRPr="0032200B">
        <w:rPr>
          <w:rFonts w:ascii="Times New Roman" w:hAnsi="Times New Roman" w:cs="Times New Roman"/>
          <w:sz w:val="24"/>
          <w:szCs w:val="24"/>
        </w:rPr>
        <w:t>eugeniae</w:t>
      </w:r>
      <w:proofErr w:type="spellEnd"/>
      <w:r w:rsidRPr="0032200B">
        <w:rPr>
          <w:rFonts w:ascii="Times New Roman" w:hAnsi="Times New Roman" w:cs="Times New Roman"/>
          <w:sz w:val="24"/>
          <w:szCs w:val="24"/>
        </w:rPr>
        <w:t xml:space="preserve"> for Therapeutic Use, International Journal of Biological and Medical Research 17(1):8297-8301 DOI:10.65048/jbmr.2026.17.1.8297.1001</w:t>
      </w:r>
    </w:p>
    <w:p w14:paraId="302F439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Singh, N. P., McCoy, M. T., Tice, R. R., &amp; Schneider, E. L. (1988). A simple technique for quantitation of low levels of DNA damage in individual cells. Experimental Cell Research, 175(1), 184–191.</w:t>
      </w:r>
    </w:p>
    <w:p w14:paraId="75B2E69D" w14:textId="26A211AF" w:rsidR="00E901F0" w:rsidRPr="0032200B" w:rsidRDefault="00E901F0" w:rsidP="00465419">
      <w:pPr>
        <w:pStyle w:val="ListParagraph"/>
        <w:numPr>
          <w:ilvl w:val="0"/>
          <w:numId w:val="1"/>
        </w:numPr>
        <w:spacing w:after="0" w:line="360" w:lineRule="auto"/>
        <w:jc w:val="both"/>
        <w:rPr>
          <w:rFonts w:ascii="Times New Roman" w:hAnsi="Times New Roman" w:cs="Times New Roman"/>
          <w:sz w:val="24"/>
          <w:szCs w:val="24"/>
        </w:rPr>
      </w:pPr>
      <w:r w:rsidRPr="00E901F0">
        <w:rPr>
          <w:rFonts w:ascii="Times New Roman" w:hAnsi="Times New Roman" w:cs="Times New Roman"/>
          <w:sz w:val="24"/>
          <w:szCs w:val="24"/>
        </w:rPr>
        <w:t>Shi, Z., Tang, Z., &amp; Wang, C. (2017). A brief review and evaluation of earthworm biomarkers in soil pollution assessment. Environmental Science and Pollution Research, 24(15), 13284-13294.</w:t>
      </w:r>
    </w:p>
    <w:p w14:paraId="0B8FCF90" w14:textId="1C21824F" w:rsidR="001168CF"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Wang, Z., et al. (2021). Antioxidant </w:t>
      </w:r>
      <w:proofErr w:type="spellStart"/>
      <w:r w:rsidRPr="0032200B">
        <w:rPr>
          <w:rFonts w:ascii="Times New Roman" w:hAnsi="Times New Roman" w:cs="Times New Roman"/>
          <w:sz w:val="24"/>
          <w:szCs w:val="24"/>
        </w:rPr>
        <w:t>defense</w:t>
      </w:r>
      <w:proofErr w:type="spellEnd"/>
      <w:r w:rsidRPr="0032200B">
        <w:rPr>
          <w:rFonts w:ascii="Times New Roman" w:hAnsi="Times New Roman" w:cs="Times New Roman"/>
          <w:sz w:val="24"/>
          <w:szCs w:val="24"/>
        </w:rPr>
        <w:t xml:space="preserve"> system responses, lysosomal membrane stability and DNA damage in earthworms exposed to PFOA. RSC Advances. </w:t>
      </w:r>
    </w:p>
    <w:p w14:paraId="4C90E3A5" w14:textId="6B07C5AB" w:rsidR="0039411D" w:rsidRPr="0032200B" w:rsidRDefault="0039411D" w:rsidP="00465419">
      <w:pPr>
        <w:pStyle w:val="ListParagraph"/>
        <w:numPr>
          <w:ilvl w:val="0"/>
          <w:numId w:val="1"/>
        </w:numPr>
        <w:spacing w:after="0" w:line="360" w:lineRule="auto"/>
        <w:jc w:val="both"/>
        <w:rPr>
          <w:rFonts w:ascii="Times New Roman" w:hAnsi="Times New Roman" w:cs="Times New Roman"/>
          <w:sz w:val="24"/>
          <w:szCs w:val="24"/>
        </w:rPr>
      </w:pPr>
      <w:r w:rsidRPr="0039411D">
        <w:rPr>
          <w:rFonts w:ascii="Times New Roman" w:hAnsi="Times New Roman" w:cs="Times New Roman"/>
          <w:sz w:val="24"/>
          <w:szCs w:val="24"/>
        </w:rPr>
        <w:t xml:space="preserve">Wang, Z., Li, C., Shao, Y., </w:t>
      </w:r>
      <w:proofErr w:type="spellStart"/>
      <w:r w:rsidRPr="0039411D">
        <w:rPr>
          <w:rFonts w:ascii="Times New Roman" w:hAnsi="Times New Roman" w:cs="Times New Roman"/>
          <w:sz w:val="24"/>
          <w:szCs w:val="24"/>
        </w:rPr>
        <w:t>Xue</w:t>
      </w:r>
      <w:proofErr w:type="spellEnd"/>
      <w:r w:rsidRPr="0039411D">
        <w:rPr>
          <w:rFonts w:ascii="Times New Roman" w:hAnsi="Times New Roman" w:cs="Times New Roman"/>
          <w:sz w:val="24"/>
          <w:szCs w:val="24"/>
        </w:rPr>
        <w:t xml:space="preserve">, W, N., Xu, X., &amp; Zhang, Z. (2021). Antioxidant </w:t>
      </w:r>
      <w:proofErr w:type="spellStart"/>
      <w:r w:rsidRPr="0039411D">
        <w:rPr>
          <w:rFonts w:ascii="Times New Roman" w:hAnsi="Times New Roman" w:cs="Times New Roman"/>
          <w:sz w:val="24"/>
          <w:szCs w:val="24"/>
        </w:rPr>
        <w:t>defense</w:t>
      </w:r>
      <w:proofErr w:type="spellEnd"/>
      <w:r w:rsidRPr="0039411D">
        <w:rPr>
          <w:rFonts w:ascii="Times New Roman" w:hAnsi="Times New Roman" w:cs="Times New Roman"/>
          <w:sz w:val="24"/>
          <w:szCs w:val="24"/>
        </w:rPr>
        <w:t xml:space="preserve"> system responses, lysosomal membrane stability and DNA damage in earthworms (Eisenia </w:t>
      </w:r>
      <w:proofErr w:type="spellStart"/>
      <w:r w:rsidRPr="0039411D">
        <w:rPr>
          <w:rFonts w:ascii="Times New Roman" w:hAnsi="Times New Roman" w:cs="Times New Roman"/>
          <w:sz w:val="24"/>
          <w:szCs w:val="24"/>
        </w:rPr>
        <w:t>fetida</w:t>
      </w:r>
      <w:proofErr w:type="spellEnd"/>
      <w:r w:rsidRPr="0039411D">
        <w:rPr>
          <w:rFonts w:ascii="Times New Roman" w:hAnsi="Times New Roman" w:cs="Times New Roman"/>
          <w:sz w:val="24"/>
          <w:szCs w:val="24"/>
        </w:rPr>
        <w:t>) exposed to perfluorooctanoic acid: an integrated biomarker approach to evaluating toxicity. RSC advances, 11(43), 26481-26492.</w:t>
      </w:r>
    </w:p>
    <w:p w14:paraId="0962B5B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bookmarkStart w:id="2" w:name="_Hlk210622918"/>
      <w:r w:rsidRPr="0032200B">
        <w:rPr>
          <w:rFonts w:ascii="Times New Roman" w:hAnsi="Times New Roman" w:cs="Times New Roman"/>
          <w:sz w:val="24"/>
          <w:szCs w:val="24"/>
        </w:rPr>
        <w:lastRenderedPageBreak/>
        <w:t>Wen,</w:t>
      </w:r>
      <w:bookmarkEnd w:id="2"/>
      <w:r w:rsidRPr="0032200B">
        <w:rPr>
          <w:rFonts w:ascii="Times New Roman" w:hAnsi="Times New Roman" w:cs="Times New Roman"/>
          <w:sz w:val="24"/>
          <w:szCs w:val="24"/>
        </w:rPr>
        <w:t xml:space="preserve"> S., Liu, C., Wang, Y., </w:t>
      </w:r>
      <w:proofErr w:type="spellStart"/>
      <w:r w:rsidRPr="0032200B">
        <w:rPr>
          <w:rFonts w:ascii="Times New Roman" w:hAnsi="Times New Roman" w:cs="Times New Roman"/>
          <w:sz w:val="24"/>
          <w:szCs w:val="24"/>
        </w:rPr>
        <w:t>Xue</w:t>
      </w:r>
      <w:proofErr w:type="spellEnd"/>
      <w:r w:rsidRPr="0032200B">
        <w:rPr>
          <w:rFonts w:ascii="Times New Roman" w:hAnsi="Times New Roman" w:cs="Times New Roman"/>
          <w:sz w:val="24"/>
          <w:szCs w:val="24"/>
        </w:rPr>
        <w:t xml:space="preserve">, Y., Wang, X., Wang, J., ... &amp; Kim, Y. M. (2021). Oxidative stress and DNA damage in earthworm (Eisenia </w:t>
      </w:r>
      <w:proofErr w:type="spellStart"/>
      <w:r w:rsidRPr="0032200B">
        <w:rPr>
          <w:rFonts w:ascii="Times New Roman" w:hAnsi="Times New Roman" w:cs="Times New Roman"/>
          <w:sz w:val="24"/>
          <w:szCs w:val="24"/>
        </w:rPr>
        <w:t>fetida</w:t>
      </w:r>
      <w:proofErr w:type="spellEnd"/>
      <w:r w:rsidRPr="0032200B">
        <w:rPr>
          <w:rFonts w:ascii="Times New Roman" w:hAnsi="Times New Roman" w:cs="Times New Roman"/>
          <w:sz w:val="24"/>
          <w:szCs w:val="24"/>
        </w:rPr>
        <w:t xml:space="preserve">) induced by </w:t>
      </w:r>
      <w:proofErr w:type="spellStart"/>
      <w:r w:rsidRPr="0032200B">
        <w:rPr>
          <w:rFonts w:ascii="Times New Roman" w:hAnsi="Times New Roman" w:cs="Times New Roman"/>
          <w:sz w:val="24"/>
          <w:szCs w:val="24"/>
        </w:rPr>
        <w:t>triflumezopyrim</w:t>
      </w:r>
      <w:proofErr w:type="spellEnd"/>
      <w:r w:rsidRPr="0032200B">
        <w:rPr>
          <w:rFonts w:ascii="Times New Roman" w:hAnsi="Times New Roman" w:cs="Times New Roman"/>
          <w:sz w:val="24"/>
          <w:szCs w:val="24"/>
        </w:rPr>
        <w:t xml:space="preserve"> exposure. Chemosphere, 264, 128499.</w:t>
      </w:r>
    </w:p>
    <w:p w14:paraId="2AE274C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Weydert</w:t>
      </w:r>
      <w:proofErr w:type="spellEnd"/>
      <w:r w:rsidRPr="0032200B">
        <w:rPr>
          <w:rFonts w:ascii="Times New Roman" w:hAnsi="Times New Roman" w:cs="Times New Roman"/>
          <w:sz w:val="24"/>
          <w:szCs w:val="24"/>
        </w:rPr>
        <w:t>, C. J., &amp; Cullen, J. J. (2010). Measurement of superoxide dismutase, catalase, and glutathione peroxidase in cultured cells and tissue. Nature Protocols, 5(1), 51–66.</w:t>
      </w:r>
    </w:p>
    <w:p w14:paraId="47985658" w14:textId="71DBE11E" w:rsidR="009F617B" w:rsidRPr="009F617B" w:rsidRDefault="001168CF" w:rsidP="009F617B">
      <w:pPr>
        <w:pStyle w:val="ListParagraph"/>
        <w:numPr>
          <w:ilvl w:val="0"/>
          <w:numId w:val="1"/>
        </w:numPr>
        <w:spacing w:after="0" w:line="360" w:lineRule="auto"/>
        <w:jc w:val="both"/>
        <w:rPr>
          <w:rStyle w:val="Hyperlink"/>
          <w:rFonts w:ascii="Times New Roman" w:hAnsi="Times New Roman" w:cs="Times New Roman"/>
          <w:color w:val="auto"/>
          <w:sz w:val="24"/>
          <w:szCs w:val="24"/>
          <w:u w:val="none"/>
        </w:rPr>
      </w:pPr>
      <w:r w:rsidRPr="0032200B">
        <w:rPr>
          <w:rFonts w:ascii="Times New Roman" w:hAnsi="Times New Roman" w:cs="Times New Roman"/>
          <w:sz w:val="24"/>
          <w:szCs w:val="24"/>
        </w:rPr>
        <w:t xml:space="preserve">Zhou, H., Jiao, X., &amp; Li, Y. (2024). Exploring the toxicity of oxytetracycline in earthworms (Eisenia </w:t>
      </w:r>
      <w:proofErr w:type="spellStart"/>
      <w:r w:rsidRPr="0032200B">
        <w:rPr>
          <w:rFonts w:ascii="Times New Roman" w:hAnsi="Times New Roman" w:cs="Times New Roman"/>
          <w:sz w:val="24"/>
          <w:szCs w:val="24"/>
        </w:rPr>
        <w:t>fetida</w:t>
      </w:r>
      <w:proofErr w:type="spellEnd"/>
      <w:r w:rsidRPr="0032200B">
        <w:rPr>
          <w:rFonts w:ascii="Times New Roman" w:hAnsi="Times New Roman" w:cs="Times New Roman"/>
          <w:sz w:val="24"/>
          <w:szCs w:val="24"/>
        </w:rPr>
        <w:t xml:space="preserve">) based on the integrated biomarker response method. Toxics, 12(5), 310. </w:t>
      </w:r>
      <w:hyperlink r:id="rId14" w:history="1">
        <w:r w:rsidRPr="0032200B">
          <w:rPr>
            <w:rStyle w:val="Hyperlink"/>
            <w:rFonts w:ascii="Times New Roman" w:hAnsi="Times New Roman" w:cs="Times New Roman"/>
            <w:sz w:val="24"/>
            <w:szCs w:val="24"/>
          </w:rPr>
          <w:t>https://doi.org/10.3390/toxics12050310</w:t>
        </w:r>
      </w:hyperlink>
    </w:p>
    <w:sectPr w:rsidR="009F617B" w:rsidRPr="009F617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71DF4" w14:textId="77777777" w:rsidR="00914832" w:rsidRDefault="00914832" w:rsidP="00C4667F">
      <w:pPr>
        <w:spacing w:after="0" w:line="240" w:lineRule="auto"/>
      </w:pPr>
      <w:r>
        <w:separator/>
      </w:r>
    </w:p>
  </w:endnote>
  <w:endnote w:type="continuationSeparator" w:id="0">
    <w:p w14:paraId="6E07DC7E" w14:textId="77777777" w:rsidR="00914832" w:rsidRDefault="00914832" w:rsidP="00C4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5610" w14:textId="77777777" w:rsidR="00C4667F" w:rsidRDefault="00C46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D03B" w14:textId="77777777" w:rsidR="00C4667F" w:rsidRDefault="00C46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7FAF" w14:textId="77777777" w:rsidR="00C4667F" w:rsidRDefault="00C46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527F" w14:textId="77777777" w:rsidR="00914832" w:rsidRDefault="00914832" w:rsidP="00C4667F">
      <w:pPr>
        <w:spacing w:after="0" w:line="240" w:lineRule="auto"/>
      </w:pPr>
      <w:r>
        <w:separator/>
      </w:r>
    </w:p>
  </w:footnote>
  <w:footnote w:type="continuationSeparator" w:id="0">
    <w:p w14:paraId="75D7AF0C" w14:textId="77777777" w:rsidR="00914832" w:rsidRDefault="00914832" w:rsidP="00C4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94E7" w14:textId="71AA73BD" w:rsidR="00C4667F" w:rsidRDefault="00914832">
    <w:pPr>
      <w:pStyle w:val="Header"/>
    </w:pPr>
    <w:r>
      <w:rPr>
        <w:noProof/>
      </w:rPr>
      <w:pict w14:anchorId="47786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EA8A" w14:textId="194F1559" w:rsidR="00C4667F" w:rsidRDefault="00914832">
    <w:pPr>
      <w:pStyle w:val="Header"/>
    </w:pPr>
    <w:r>
      <w:rPr>
        <w:noProof/>
      </w:rPr>
      <w:pict w14:anchorId="03095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0C2D" w14:textId="0E544DCA" w:rsidR="00C4667F" w:rsidRDefault="00914832">
    <w:pPr>
      <w:pStyle w:val="Header"/>
    </w:pPr>
    <w:r>
      <w:rPr>
        <w:noProof/>
      </w:rPr>
      <w:pict w14:anchorId="184E4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B5ABD"/>
    <w:multiLevelType w:val="multilevel"/>
    <w:tmpl w:val="F9DABA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27180C"/>
    <w:multiLevelType w:val="hybridMultilevel"/>
    <w:tmpl w:val="50CE4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51"/>
    <w:rsid w:val="00003066"/>
    <w:rsid w:val="00030B5D"/>
    <w:rsid w:val="00041EC8"/>
    <w:rsid w:val="000513C0"/>
    <w:rsid w:val="000538E9"/>
    <w:rsid w:val="0006702D"/>
    <w:rsid w:val="00083F4F"/>
    <w:rsid w:val="000B1DF8"/>
    <w:rsid w:val="001168CF"/>
    <w:rsid w:val="00130C35"/>
    <w:rsid w:val="001A02F5"/>
    <w:rsid w:val="001C7FE2"/>
    <w:rsid w:val="001F4FAF"/>
    <w:rsid w:val="00204596"/>
    <w:rsid w:val="0022121E"/>
    <w:rsid w:val="0022756D"/>
    <w:rsid w:val="0025292C"/>
    <w:rsid w:val="0028719E"/>
    <w:rsid w:val="002A2E8F"/>
    <w:rsid w:val="002C50D2"/>
    <w:rsid w:val="00303625"/>
    <w:rsid w:val="00304721"/>
    <w:rsid w:val="0032200B"/>
    <w:rsid w:val="003733A5"/>
    <w:rsid w:val="0038254E"/>
    <w:rsid w:val="0039411D"/>
    <w:rsid w:val="00404EB9"/>
    <w:rsid w:val="00415297"/>
    <w:rsid w:val="00465419"/>
    <w:rsid w:val="0052351A"/>
    <w:rsid w:val="005241FE"/>
    <w:rsid w:val="00535DE4"/>
    <w:rsid w:val="005452AB"/>
    <w:rsid w:val="00561401"/>
    <w:rsid w:val="00582E37"/>
    <w:rsid w:val="00594617"/>
    <w:rsid w:val="005A77C3"/>
    <w:rsid w:val="005B277B"/>
    <w:rsid w:val="00642406"/>
    <w:rsid w:val="00671E56"/>
    <w:rsid w:val="00674CD0"/>
    <w:rsid w:val="006F075F"/>
    <w:rsid w:val="0072250E"/>
    <w:rsid w:val="00761D04"/>
    <w:rsid w:val="007C5408"/>
    <w:rsid w:val="007D007B"/>
    <w:rsid w:val="007E007A"/>
    <w:rsid w:val="00820034"/>
    <w:rsid w:val="00860CAE"/>
    <w:rsid w:val="0087201C"/>
    <w:rsid w:val="00873A61"/>
    <w:rsid w:val="00876EB6"/>
    <w:rsid w:val="008D17CA"/>
    <w:rsid w:val="0090457D"/>
    <w:rsid w:val="0091047A"/>
    <w:rsid w:val="00914832"/>
    <w:rsid w:val="009177EF"/>
    <w:rsid w:val="009218C6"/>
    <w:rsid w:val="00923C10"/>
    <w:rsid w:val="0094236E"/>
    <w:rsid w:val="00970D7F"/>
    <w:rsid w:val="009872E5"/>
    <w:rsid w:val="009A0FA3"/>
    <w:rsid w:val="009C20E3"/>
    <w:rsid w:val="009F617B"/>
    <w:rsid w:val="00A72394"/>
    <w:rsid w:val="00AC45BB"/>
    <w:rsid w:val="00AD3443"/>
    <w:rsid w:val="00BB3D44"/>
    <w:rsid w:val="00BC36E1"/>
    <w:rsid w:val="00BD46DB"/>
    <w:rsid w:val="00BE03B1"/>
    <w:rsid w:val="00BE2424"/>
    <w:rsid w:val="00BE63EF"/>
    <w:rsid w:val="00C4667F"/>
    <w:rsid w:val="00C938CD"/>
    <w:rsid w:val="00CB3578"/>
    <w:rsid w:val="00CD683A"/>
    <w:rsid w:val="00CE5B2E"/>
    <w:rsid w:val="00CE655E"/>
    <w:rsid w:val="00D5131C"/>
    <w:rsid w:val="00DB54B8"/>
    <w:rsid w:val="00DC7DFE"/>
    <w:rsid w:val="00E11C51"/>
    <w:rsid w:val="00E36BB5"/>
    <w:rsid w:val="00E70701"/>
    <w:rsid w:val="00E8142E"/>
    <w:rsid w:val="00E81CA2"/>
    <w:rsid w:val="00E82EFD"/>
    <w:rsid w:val="00E901F0"/>
    <w:rsid w:val="00EA3861"/>
    <w:rsid w:val="00F66D1E"/>
    <w:rsid w:val="00FC190D"/>
    <w:rsid w:val="00FC1C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15DCE"/>
  <w15:chartTrackingRefBased/>
  <w15:docId w15:val="{A19B9F03-84CE-4099-8E76-70B53581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CD0"/>
  </w:style>
  <w:style w:type="paragraph" w:styleId="Heading1">
    <w:name w:val="heading 1"/>
    <w:basedOn w:val="Normal"/>
    <w:next w:val="Normal"/>
    <w:link w:val="Heading1Char"/>
    <w:uiPriority w:val="9"/>
    <w:qFormat/>
    <w:rsid w:val="00252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B357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B357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5408"/>
    <w:rPr>
      <w:i/>
      <w:iCs/>
    </w:rPr>
  </w:style>
  <w:style w:type="paragraph" w:styleId="ListParagraph">
    <w:name w:val="List Paragraph"/>
    <w:basedOn w:val="Normal"/>
    <w:uiPriority w:val="34"/>
    <w:qFormat/>
    <w:rsid w:val="007C5408"/>
    <w:pPr>
      <w:ind w:left="720"/>
      <w:contextualSpacing/>
    </w:pPr>
  </w:style>
  <w:style w:type="table" w:styleId="TableGrid">
    <w:name w:val="Table Grid"/>
    <w:basedOn w:val="TableNormal"/>
    <w:uiPriority w:val="39"/>
    <w:rsid w:val="007C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5408"/>
    <w:rPr>
      <w:b/>
      <w:bCs/>
    </w:rPr>
  </w:style>
  <w:style w:type="paragraph" w:styleId="NormalWeb">
    <w:name w:val="Normal (Web)"/>
    <w:basedOn w:val="Normal"/>
    <w:uiPriority w:val="99"/>
    <w:semiHidden/>
    <w:unhideWhenUsed/>
    <w:rsid w:val="001F4F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CB357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B3578"/>
    <w:rPr>
      <w:rFonts w:ascii="Times New Roman" w:eastAsia="Times New Roman" w:hAnsi="Times New Roman" w:cs="Times New Roman"/>
      <w:b/>
      <w:bCs/>
      <w:sz w:val="27"/>
      <w:szCs w:val="27"/>
      <w:lang w:eastAsia="en-IN"/>
    </w:rPr>
  </w:style>
  <w:style w:type="character" w:customStyle="1" w:styleId="ms-1">
    <w:name w:val="ms-1"/>
    <w:basedOn w:val="DefaultParagraphFont"/>
    <w:rsid w:val="00CB3578"/>
  </w:style>
  <w:style w:type="character" w:customStyle="1" w:styleId="max-w-15ch">
    <w:name w:val="max-w-[15ch]"/>
    <w:basedOn w:val="DefaultParagraphFont"/>
    <w:rsid w:val="00CB3578"/>
  </w:style>
  <w:style w:type="character" w:customStyle="1" w:styleId="-me-1">
    <w:name w:val="-me-1"/>
    <w:basedOn w:val="DefaultParagraphFont"/>
    <w:rsid w:val="00CB3578"/>
  </w:style>
  <w:style w:type="character" w:styleId="Hyperlink">
    <w:name w:val="Hyperlink"/>
    <w:basedOn w:val="DefaultParagraphFont"/>
    <w:uiPriority w:val="99"/>
    <w:unhideWhenUsed/>
    <w:rsid w:val="005241FE"/>
    <w:rPr>
      <w:color w:val="0563C1" w:themeColor="hyperlink"/>
      <w:u w:val="single"/>
    </w:rPr>
  </w:style>
  <w:style w:type="character" w:styleId="UnresolvedMention">
    <w:name w:val="Unresolved Mention"/>
    <w:basedOn w:val="DefaultParagraphFont"/>
    <w:uiPriority w:val="99"/>
    <w:semiHidden/>
    <w:unhideWhenUsed/>
    <w:rsid w:val="005241FE"/>
    <w:rPr>
      <w:color w:val="605E5C"/>
      <w:shd w:val="clear" w:color="auto" w:fill="E1DFDD"/>
    </w:rPr>
  </w:style>
  <w:style w:type="character" w:customStyle="1" w:styleId="Heading1Char">
    <w:name w:val="Heading 1 Char"/>
    <w:basedOn w:val="DefaultParagraphFont"/>
    <w:link w:val="Heading1"/>
    <w:uiPriority w:val="9"/>
    <w:rsid w:val="0025292C"/>
    <w:rPr>
      <w:rFonts w:asciiTheme="majorHAnsi" w:eastAsiaTheme="majorEastAsia" w:hAnsiTheme="majorHAnsi" w:cstheme="majorBidi"/>
      <w:color w:val="2F5496" w:themeColor="accent1" w:themeShade="BF"/>
      <w:sz w:val="32"/>
      <w:szCs w:val="32"/>
    </w:rPr>
  </w:style>
  <w:style w:type="paragraph" w:customStyle="1" w:styleId="gmail-isselectedend">
    <w:name w:val="gmail-isselectedend"/>
    <w:basedOn w:val="Normal"/>
    <w:rsid w:val="009F617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C4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67F"/>
  </w:style>
  <w:style w:type="paragraph" w:styleId="Footer">
    <w:name w:val="footer"/>
    <w:basedOn w:val="Normal"/>
    <w:link w:val="FooterChar"/>
    <w:uiPriority w:val="99"/>
    <w:unhideWhenUsed/>
    <w:rsid w:val="00C4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7212">
      <w:bodyDiv w:val="1"/>
      <w:marLeft w:val="0"/>
      <w:marRight w:val="0"/>
      <w:marTop w:val="0"/>
      <w:marBottom w:val="0"/>
      <w:divBdr>
        <w:top w:val="none" w:sz="0" w:space="0" w:color="auto"/>
        <w:left w:val="none" w:sz="0" w:space="0" w:color="auto"/>
        <w:bottom w:val="none" w:sz="0" w:space="0" w:color="auto"/>
        <w:right w:val="none" w:sz="0" w:space="0" w:color="auto"/>
      </w:divBdr>
    </w:div>
    <w:div w:id="73668214">
      <w:bodyDiv w:val="1"/>
      <w:marLeft w:val="0"/>
      <w:marRight w:val="0"/>
      <w:marTop w:val="0"/>
      <w:marBottom w:val="0"/>
      <w:divBdr>
        <w:top w:val="none" w:sz="0" w:space="0" w:color="auto"/>
        <w:left w:val="none" w:sz="0" w:space="0" w:color="auto"/>
        <w:bottom w:val="none" w:sz="0" w:space="0" w:color="auto"/>
        <w:right w:val="none" w:sz="0" w:space="0" w:color="auto"/>
      </w:divBdr>
    </w:div>
    <w:div w:id="94911227">
      <w:bodyDiv w:val="1"/>
      <w:marLeft w:val="0"/>
      <w:marRight w:val="0"/>
      <w:marTop w:val="0"/>
      <w:marBottom w:val="0"/>
      <w:divBdr>
        <w:top w:val="none" w:sz="0" w:space="0" w:color="auto"/>
        <w:left w:val="none" w:sz="0" w:space="0" w:color="auto"/>
        <w:bottom w:val="none" w:sz="0" w:space="0" w:color="auto"/>
        <w:right w:val="none" w:sz="0" w:space="0" w:color="auto"/>
      </w:divBdr>
    </w:div>
    <w:div w:id="126512485">
      <w:bodyDiv w:val="1"/>
      <w:marLeft w:val="0"/>
      <w:marRight w:val="0"/>
      <w:marTop w:val="0"/>
      <w:marBottom w:val="0"/>
      <w:divBdr>
        <w:top w:val="none" w:sz="0" w:space="0" w:color="auto"/>
        <w:left w:val="none" w:sz="0" w:space="0" w:color="auto"/>
        <w:bottom w:val="none" w:sz="0" w:space="0" w:color="auto"/>
        <w:right w:val="none" w:sz="0" w:space="0" w:color="auto"/>
      </w:divBdr>
    </w:div>
    <w:div w:id="141626447">
      <w:bodyDiv w:val="1"/>
      <w:marLeft w:val="0"/>
      <w:marRight w:val="0"/>
      <w:marTop w:val="0"/>
      <w:marBottom w:val="0"/>
      <w:divBdr>
        <w:top w:val="none" w:sz="0" w:space="0" w:color="auto"/>
        <w:left w:val="none" w:sz="0" w:space="0" w:color="auto"/>
        <w:bottom w:val="none" w:sz="0" w:space="0" w:color="auto"/>
        <w:right w:val="none" w:sz="0" w:space="0" w:color="auto"/>
      </w:divBdr>
    </w:div>
    <w:div w:id="189687520">
      <w:bodyDiv w:val="1"/>
      <w:marLeft w:val="0"/>
      <w:marRight w:val="0"/>
      <w:marTop w:val="0"/>
      <w:marBottom w:val="0"/>
      <w:divBdr>
        <w:top w:val="none" w:sz="0" w:space="0" w:color="auto"/>
        <w:left w:val="none" w:sz="0" w:space="0" w:color="auto"/>
        <w:bottom w:val="none" w:sz="0" w:space="0" w:color="auto"/>
        <w:right w:val="none" w:sz="0" w:space="0" w:color="auto"/>
      </w:divBdr>
      <w:divsChild>
        <w:div w:id="411322230">
          <w:marLeft w:val="0"/>
          <w:marRight w:val="0"/>
          <w:marTop w:val="0"/>
          <w:marBottom w:val="0"/>
          <w:divBdr>
            <w:top w:val="none" w:sz="0" w:space="0" w:color="auto"/>
            <w:left w:val="none" w:sz="0" w:space="0" w:color="auto"/>
            <w:bottom w:val="none" w:sz="0" w:space="0" w:color="auto"/>
            <w:right w:val="none" w:sz="0" w:space="0" w:color="auto"/>
          </w:divBdr>
          <w:divsChild>
            <w:div w:id="838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764">
      <w:bodyDiv w:val="1"/>
      <w:marLeft w:val="0"/>
      <w:marRight w:val="0"/>
      <w:marTop w:val="0"/>
      <w:marBottom w:val="0"/>
      <w:divBdr>
        <w:top w:val="none" w:sz="0" w:space="0" w:color="auto"/>
        <w:left w:val="none" w:sz="0" w:space="0" w:color="auto"/>
        <w:bottom w:val="none" w:sz="0" w:space="0" w:color="auto"/>
        <w:right w:val="none" w:sz="0" w:space="0" w:color="auto"/>
      </w:divBdr>
    </w:div>
    <w:div w:id="200359263">
      <w:bodyDiv w:val="1"/>
      <w:marLeft w:val="0"/>
      <w:marRight w:val="0"/>
      <w:marTop w:val="0"/>
      <w:marBottom w:val="0"/>
      <w:divBdr>
        <w:top w:val="none" w:sz="0" w:space="0" w:color="auto"/>
        <w:left w:val="none" w:sz="0" w:space="0" w:color="auto"/>
        <w:bottom w:val="none" w:sz="0" w:space="0" w:color="auto"/>
        <w:right w:val="none" w:sz="0" w:space="0" w:color="auto"/>
      </w:divBdr>
    </w:div>
    <w:div w:id="200439407">
      <w:bodyDiv w:val="1"/>
      <w:marLeft w:val="0"/>
      <w:marRight w:val="0"/>
      <w:marTop w:val="0"/>
      <w:marBottom w:val="0"/>
      <w:divBdr>
        <w:top w:val="none" w:sz="0" w:space="0" w:color="auto"/>
        <w:left w:val="none" w:sz="0" w:space="0" w:color="auto"/>
        <w:bottom w:val="none" w:sz="0" w:space="0" w:color="auto"/>
        <w:right w:val="none" w:sz="0" w:space="0" w:color="auto"/>
      </w:divBdr>
    </w:div>
    <w:div w:id="211817905">
      <w:bodyDiv w:val="1"/>
      <w:marLeft w:val="0"/>
      <w:marRight w:val="0"/>
      <w:marTop w:val="0"/>
      <w:marBottom w:val="0"/>
      <w:divBdr>
        <w:top w:val="none" w:sz="0" w:space="0" w:color="auto"/>
        <w:left w:val="none" w:sz="0" w:space="0" w:color="auto"/>
        <w:bottom w:val="none" w:sz="0" w:space="0" w:color="auto"/>
        <w:right w:val="none" w:sz="0" w:space="0" w:color="auto"/>
      </w:divBdr>
    </w:div>
    <w:div w:id="334109910">
      <w:bodyDiv w:val="1"/>
      <w:marLeft w:val="0"/>
      <w:marRight w:val="0"/>
      <w:marTop w:val="0"/>
      <w:marBottom w:val="0"/>
      <w:divBdr>
        <w:top w:val="none" w:sz="0" w:space="0" w:color="auto"/>
        <w:left w:val="none" w:sz="0" w:space="0" w:color="auto"/>
        <w:bottom w:val="none" w:sz="0" w:space="0" w:color="auto"/>
        <w:right w:val="none" w:sz="0" w:space="0" w:color="auto"/>
      </w:divBdr>
    </w:div>
    <w:div w:id="344551099">
      <w:bodyDiv w:val="1"/>
      <w:marLeft w:val="0"/>
      <w:marRight w:val="0"/>
      <w:marTop w:val="0"/>
      <w:marBottom w:val="0"/>
      <w:divBdr>
        <w:top w:val="none" w:sz="0" w:space="0" w:color="auto"/>
        <w:left w:val="none" w:sz="0" w:space="0" w:color="auto"/>
        <w:bottom w:val="none" w:sz="0" w:space="0" w:color="auto"/>
        <w:right w:val="none" w:sz="0" w:space="0" w:color="auto"/>
      </w:divBdr>
    </w:div>
    <w:div w:id="356665930">
      <w:bodyDiv w:val="1"/>
      <w:marLeft w:val="0"/>
      <w:marRight w:val="0"/>
      <w:marTop w:val="0"/>
      <w:marBottom w:val="0"/>
      <w:divBdr>
        <w:top w:val="none" w:sz="0" w:space="0" w:color="auto"/>
        <w:left w:val="none" w:sz="0" w:space="0" w:color="auto"/>
        <w:bottom w:val="none" w:sz="0" w:space="0" w:color="auto"/>
        <w:right w:val="none" w:sz="0" w:space="0" w:color="auto"/>
      </w:divBdr>
    </w:div>
    <w:div w:id="362945544">
      <w:bodyDiv w:val="1"/>
      <w:marLeft w:val="0"/>
      <w:marRight w:val="0"/>
      <w:marTop w:val="0"/>
      <w:marBottom w:val="0"/>
      <w:divBdr>
        <w:top w:val="none" w:sz="0" w:space="0" w:color="auto"/>
        <w:left w:val="none" w:sz="0" w:space="0" w:color="auto"/>
        <w:bottom w:val="none" w:sz="0" w:space="0" w:color="auto"/>
        <w:right w:val="none" w:sz="0" w:space="0" w:color="auto"/>
      </w:divBdr>
    </w:div>
    <w:div w:id="367686485">
      <w:bodyDiv w:val="1"/>
      <w:marLeft w:val="0"/>
      <w:marRight w:val="0"/>
      <w:marTop w:val="0"/>
      <w:marBottom w:val="0"/>
      <w:divBdr>
        <w:top w:val="none" w:sz="0" w:space="0" w:color="auto"/>
        <w:left w:val="none" w:sz="0" w:space="0" w:color="auto"/>
        <w:bottom w:val="none" w:sz="0" w:space="0" w:color="auto"/>
        <w:right w:val="none" w:sz="0" w:space="0" w:color="auto"/>
      </w:divBdr>
    </w:div>
    <w:div w:id="371808803">
      <w:bodyDiv w:val="1"/>
      <w:marLeft w:val="0"/>
      <w:marRight w:val="0"/>
      <w:marTop w:val="0"/>
      <w:marBottom w:val="0"/>
      <w:divBdr>
        <w:top w:val="none" w:sz="0" w:space="0" w:color="auto"/>
        <w:left w:val="none" w:sz="0" w:space="0" w:color="auto"/>
        <w:bottom w:val="none" w:sz="0" w:space="0" w:color="auto"/>
        <w:right w:val="none" w:sz="0" w:space="0" w:color="auto"/>
      </w:divBdr>
    </w:div>
    <w:div w:id="433399696">
      <w:bodyDiv w:val="1"/>
      <w:marLeft w:val="0"/>
      <w:marRight w:val="0"/>
      <w:marTop w:val="0"/>
      <w:marBottom w:val="0"/>
      <w:divBdr>
        <w:top w:val="none" w:sz="0" w:space="0" w:color="auto"/>
        <w:left w:val="none" w:sz="0" w:space="0" w:color="auto"/>
        <w:bottom w:val="none" w:sz="0" w:space="0" w:color="auto"/>
        <w:right w:val="none" w:sz="0" w:space="0" w:color="auto"/>
      </w:divBdr>
    </w:div>
    <w:div w:id="450515886">
      <w:bodyDiv w:val="1"/>
      <w:marLeft w:val="0"/>
      <w:marRight w:val="0"/>
      <w:marTop w:val="0"/>
      <w:marBottom w:val="0"/>
      <w:divBdr>
        <w:top w:val="none" w:sz="0" w:space="0" w:color="auto"/>
        <w:left w:val="none" w:sz="0" w:space="0" w:color="auto"/>
        <w:bottom w:val="none" w:sz="0" w:space="0" w:color="auto"/>
        <w:right w:val="none" w:sz="0" w:space="0" w:color="auto"/>
      </w:divBdr>
    </w:div>
    <w:div w:id="567421818">
      <w:bodyDiv w:val="1"/>
      <w:marLeft w:val="0"/>
      <w:marRight w:val="0"/>
      <w:marTop w:val="0"/>
      <w:marBottom w:val="0"/>
      <w:divBdr>
        <w:top w:val="none" w:sz="0" w:space="0" w:color="auto"/>
        <w:left w:val="none" w:sz="0" w:space="0" w:color="auto"/>
        <w:bottom w:val="none" w:sz="0" w:space="0" w:color="auto"/>
        <w:right w:val="none" w:sz="0" w:space="0" w:color="auto"/>
      </w:divBdr>
    </w:div>
    <w:div w:id="569194160">
      <w:bodyDiv w:val="1"/>
      <w:marLeft w:val="0"/>
      <w:marRight w:val="0"/>
      <w:marTop w:val="0"/>
      <w:marBottom w:val="0"/>
      <w:divBdr>
        <w:top w:val="none" w:sz="0" w:space="0" w:color="auto"/>
        <w:left w:val="none" w:sz="0" w:space="0" w:color="auto"/>
        <w:bottom w:val="none" w:sz="0" w:space="0" w:color="auto"/>
        <w:right w:val="none" w:sz="0" w:space="0" w:color="auto"/>
      </w:divBdr>
    </w:div>
    <w:div w:id="706610249">
      <w:bodyDiv w:val="1"/>
      <w:marLeft w:val="0"/>
      <w:marRight w:val="0"/>
      <w:marTop w:val="0"/>
      <w:marBottom w:val="0"/>
      <w:divBdr>
        <w:top w:val="none" w:sz="0" w:space="0" w:color="auto"/>
        <w:left w:val="none" w:sz="0" w:space="0" w:color="auto"/>
        <w:bottom w:val="none" w:sz="0" w:space="0" w:color="auto"/>
        <w:right w:val="none" w:sz="0" w:space="0" w:color="auto"/>
      </w:divBdr>
      <w:divsChild>
        <w:div w:id="441993229">
          <w:marLeft w:val="0"/>
          <w:marRight w:val="0"/>
          <w:marTop w:val="0"/>
          <w:marBottom w:val="0"/>
          <w:divBdr>
            <w:top w:val="none" w:sz="0" w:space="0" w:color="auto"/>
            <w:left w:val="none" w:sz="0" w:space="0" w:color="auto"/>
            <w:bottom w:val="none" w:sz="0" w:space="0" w:color="auto"/>
            <w:right w:val="none" w:sz="0" w:space="0" w:color="auto"/>
          </w:divBdr>
          <w:divsChild>
            <w:div w:id="1810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5079">
      <w:bodyDiv w:val="1"/>
      <w:marLeft w:val="0"/>
      <w:marRight w:val="0"/>
      <w:marTop w:val="0"/>
      <w:marBottom w:val="0"/>
      <w:divBdr>
        <w:top w:val="none" w:sz="0" w:space="0" w:color="auto"/>
        <w:left w:val="none" w:sz="0" w:space="0" w:color="auto"/>
        <w:bottom w:val="none" w:sz="0" w:space="0" w:color="auto"/>
        <w:right w:val="none" w:sz="0" w:space="0" w:color="auto"/>
      </w:divBdr>
    </w:div>
    <w:div w:id="926381340">
      <w:bodyDiv w:val="1"/>
      <w:marLeft w:val="0"/>
      <w:marRight w:val="0"/>
      <w:marTop w:val="0"/>
      <w:marBottom w:val="0"/>
      <w:divBdr>
        <w:top w:val="none" w:sz="0" w:space="0" w:color="auto"/>
        <w:left w:val="none" w:sz="0" w:space="0" w:color="auto"/>
        <w:bottom w:val="none" w:sz="0" w:space="0" w:color="auto"/>
        <w:right w:val="none" w:sz="0" w:space="0" w:color="auto"/>
      </w:divBdr>
    </w:div>
    <w:div w:id="967777991">
      <w:bodyDiv w:val="1"/>
      <w:marLeft w:val="0"/>
      <w:marRight w:val="0"/>
      <w:marTop w:val="0"/>
      <w:marBottom w:val="0"/>
      <w:divBdr>
        <w:top w:val="none" w:sz="0" w:space="0" w:color="auto"/>
        <w:left w:val="none" w:sz="0" w:space="0" w:color="auto"/>
        <w:bottom w:val="none" w:sz="0" w:space="0" w:color="auto"/>
        <w:right w:val="none" w:sz="0" w:space="0" w:color="auto"/>
      </w:divBdr>
    </w:div>
    <w:div w:id="1000356265">
      <w:bodyDiv w:val="1"/>
      <w:marLeft w:val="0"/>
      <w:marRight w:val="0"/>
      <w:marTop w:val="0"/>
      <w:marBottom w:val="0"/>
      <w:divBdr>
        <w:top w:val="none" w:sz="0" w:space="0" w:color="auto"/>
        <w:left w:val="none" w:sz="0" w:space="0" w:color="auto"/>
        <w:bottom w:val="none" w:sz="0" w:space="0" w:color="auto"/>
        <w:right w:val="none" w:sz="0" w:space="0" w:color="auto"/>
      </w:divBdr>
    </w:div>
    <w:div w:id="1024793136">
      <w:bodyDiv w:val="1"/>
      <w:marLeft w:val="0"/>
      <w:marRight w:val="0"/>
      <w:marTop w:val="0"/>
      <w:marBottom w:val="0"/>
      <w:divBdr>
        <w:top w:val="none" w:sz="0" w:space="0" w:color="auto"/>
        <w:left w:val="none" w:sz="0" w:space="0" w:color="auto"/>
        <w:bottom w:val="none" w:sz="0" w:space="0" w:color="auto"/>
        <w:right w:val="none" w:sz="0" w:space="0" w:color="auto"/>
      </w:divBdr>
    </w:div>
    <w:div w:id="1039815656">
      <w:bodyDiv w:val="1"/>
      <w:marLeft w:val="0"/>
      <w:marRight w:val="0"/>
      <w:marTop w:val="0"/>
      <w:marBottom w:val="0"/>
      <w:divBdr>
        <w:top w:val="none" w:sz="0" w:space="0" w:color="auto"/>
        <w:left w:val="none" w:sz="0" w:space="0" w:color="auto"/>
        <w:bottom w:val="none" w:sz="0" w:space="0" w:color="auto"/>
        <w:right w:val="none" w:sz="0" w:space="0" w:color="auto"/>
      </w:divBdr>
    </w:div>
    <w:div w:id="1046105423">
      <w:bodyDiv w:val="1"/>
      <w:marLeft w:val="0"/>
      <w:marRight w:val="0"/>
      <w:marTop w:val="0"/>
      <w:marBottom w:val="0"/>
      <w:divBdr>
        <w:top w:val="none" w:sz="0" w:space="0" w:color="auto"/>
        <w:left w:val="none" w:sz="0" w:space="0" w:color="auto"/>
        <w:bottom w:val="none" w:sz="0" w:space="0" w:color="auto"/>
        <w:right w:val="none" w:sz="0" w:space="0" w:color="auto"/>
      </w:divBdr>
    </w:div>
    <w:div w:id="1048258117">
      <w:bodyDiv w:val="1"/>
      <w:marLeft w:val="0"/>
      <w:marRight w:val="0"/>
      <w:marTop w:val="0"/>
      <w:marBottom w:val="0"/>
      <w:divBdr>
        <w:top w:val="none" w:sz="0" w:space="0" w:color="auto"/>
        <w:left w:val="none" w:sz="0" w:space="0" w:color="auto"/>
        <w:bottom w:val="none" w:sz="0" w:space="0" w:color="auto"/>
        <w:right w:val="none" w:sz="0" w:space="0" w:color="auto"/>
      </w:divBdr>
    </w:div>
    <w:div w:id="1052929133">
      <w:bodyDiv w:val="1"/>
      <w:marLeft w:val="0"/>
      <w:marRight w:val="0"/>
      <w:marTop w:val="0"/>
      <w:marBottom w:val="0"/>
      <w:divBdr>
        <w:top w:val="none" w:sz="0" w:space="0" w:color="auto"/>
        <w:left w:val="none" w:sz="0" w:space="0" w:color="auto"/>
        <w:bottom w:val="none" w:sz="0" w:space="0" w:color="auto"/>
        <w:right w:val="none" w:sz="0" w:space="0" w:color="auto"/>
      </w:divBdr>
    </w:div>
    <w:div w:id="1120958789">
      <w:bodyDiv w:val="1"/>
      <w:marLeft w:val="0"/>
      <w:marRight w:val="0"/>
      <w:marTop w:val="0"/>
      <w:marBottom w:val="0"/>
      <w:divBdr>
        <w:top w:val="none" w:sz="0" w:space="0" w:color="auto"/>
        <w:left w:val="none" w:sz="0" w:space="0" w:color="auto"/>
        <w:bottom w:val="none" w:sz="0" w:space="0" w:color="auto"/>
        <w:right w:val="none" w:sz="0" w:space="0" w:color="auto"/>
      </w:divBdr>
    </w:div>
    <w:div w:id="1179125607">
      <w:bodyDiv w:val="1"/>
      <w:marLeft w:val="0"/>
      <w:marRight w:val="0"/>
      <w:marTop w:val="0"/>
      <w:marBottom w:val="0"/>
      <w:divBdr>
        <w:top w:val="none" w:sz="0" w:space="0" w:color="auto"/>
        <w:left w:val="none" w:sz="0" w:space="0" w:color="auto"/>
        <w:bottom w:val="none" w:sz="0" w:space="0" w:color="auto"/>
        <w:right w:val="none" w:sz="0" w:space="0" w:color="auto"/>
      </w:divBdr>
    </w:div>
    <w:div w:id="1220552362">
      <w:bodyDiv w:val="1"/>
      <w:marLeft w:val="0"/>
      <w:marRight w:val="0"/>
      <w:marTop w:val="0"/>
      <w:marBottom w:val="0"/>
      <w:divBdr>
        <w:top w:val="none" w:sz="0" w:space="0" w:color="auto"/>
        <w:left w:val="none" w:sz="0" w:space="0" w:color="auto"/>
        <w:bottom w:val="none" w:sz="0" w:space="0" w:color="auto"/>
        <w:right w:val="none" w:sz="0" w:space="0" w:color="auto"/>
      </w:divBdr>
    </w:div>
    <w:div w:id="1234850525">
      <w:bodyDiv w:val="1"/>
      <w:marLeft w:val="0"/>
      <w:marRight w:val="0"/>
      <w:marTop w:val="0"/>
      <w:marBottom w:val="0"/>
      <w:divBdr>
        <w:top w:val="none" w:sz="0" w:space="0" w:color="auto"/>
        <w:left w:val="none" w:sz="0" w:space="0" w:color="auto"/>
        <w:bottom w:val="none" w:sz="0" w:space="0" w:color="auto"/>
        <w:right w:val="none" w:sz="0" w:space="0" w:color="auto"/>
      </w:divBdr>
    </w:div>
    <w:div w:id="1257208529">
      <w:bodyDiv w:val="1"/>
      <w:marLeft w:val="0"/>
      <w:marRight w:val="0"/>
      <w:marTop w:val="0"/>
      <w:marBottom w:val="0"/>
      <w:divBdr>
        <w:top w:val="none" w:sz="0" w:space="0" w:color="auto"/>
        <w:left w:val="none" w:sz="0" w:space="0" w:color="auto"/>
        <w:bottom w:val="none" w:sz="0" w:space="0" w:color="auto"/>
        <w:right w:val="none" w:sz="0" w:space="0" w:color="auto"/>
      </w:divBdr>
    </w:div>
    <w:div w:id="1293709608">
      <w:bodyDiv w:val="1"/>
      <w:marLeft w:val="0"/>
      <w:marRight w:val="0"/>
      <w:marTop w:val="0"/>
      <w:marBottom w:val="0"/>
      <w:divBdr>
        <w:top w:val="none" w:sz="0" w:space="0" w:color="auto"/>
        <w:left w:val="none" w:sz="0" w:space="0" w:color="auto"/>
        <w:bottom w:val="none" w:sz="0" w:space="0" w:color="auto"/>
        <w:right w:val="none" w:sz="0" w:space="0" w:color="auto"/>
      </w:divBdr>
    </w:div>
    <w:div w:id="1366908108">
      <w:bodyDiv w:val="1"/>
      <w:marLeft w:val="0"/>
      <w:marRight w:val="0"/>
      <w:marTop w:val="0"/>
      <w:marBottom w:val="0"/>
      <w:divBdr>
        <w:top w:val="none" w:sz="0" w:space="0" w:color="auto"/>
        <w:left w:val="none" w:sz="0" w:space="0" w:color="auto"/>
        <w:bottom w:val="none" w:sz="0" w:space="0" w:color="auto"/>
        <w:right w:val="none" w:sz="0" w:space="0" w:color="auto"/>
      </w:divBdr>
    </w:div>
    <w:div w:id="1451047055">
      <w:bodyDiv w:val="1"/>
      <w:marLeft w:val="0"/>
      <w:marRight w:val="0"/>
      <w:marTop w:val="0"/>
      <w:marBottom w:val="0"/>
      <w:divBdr>
        <w:top w:val="none" w:sz="0" w:space="0" w:color="auto"/>
        <w:left w:val="none" w:sz="0" w:space="0" w:color="auto"/>
        <w:bottom w:val="none" w:sz="0" w:space="0" w:color="auto"/>
        <w:right w:val="none" w:sz="0" w:space="0" w:color="auto"/>
      </w:divBdr>
    </w:div>
    <w:div w:id="1489445267">
      <w:bodyDiv w:val="1"/>
      <w:marLeft w:val="0"/>
      <w:marRight w:val="0"/>
      <w:marTop w:val="0"/>
      <w:marBottom w:val="0"/>
      <w:divBdr>
        <w:top w:val="none" w:sz="0" w:space="0" w:color="auto"/>
        <w:left w:val="none" w:sz="0" w:space="0" w:color="auto"/>
        <w:bottom w:val="none" w:sz="0" w:space="0" w:color="auto"/>
        <w:right w:val="none" w:sz="0" w:space="0" w:color="auto"/>
      </w:divBdr>
    </w:div>
    <w:div w:id="1493638087">
      <w:bodyDiv w:val="1"/>
      <w:marLeft w:val="0"/>
      <w:marRight w:val="0"/>
      <w:marTop w:val="0"/>
      <w:marBottom w:val="0"/>
      <w:divBdr>
        <w:top w:val="none" w:sz="0" w:space="0" w:color="auto"/>
        <w:left w:val="none" w:sz="0" w:space="0" w:color="auto"/>
        <w:bottom w:val="none" w:sz="0" w:space="0" w:color="auto"/>
        <w:right w:val="none" w:sz="0" w:space="0" w:color="auto"/>
      </w:divBdr>
    </w:div>
    <w:div w:id="1540043730">
      <w:bodyDiv w:val="1"/>
      <w:marLeft w:val="0"/>
      <w:marRight w:val="0"/>
      <w:marTop w:val="0"/>
      <w:marBottom w:val="0"/>
      <w:divBdr>
        <w:top w:val="none" w:sz="0" w:space="0" w:color="auto"/>
        <w:left w:val="none" w:sz="0" w:space="0" w:color="auto"/>
        <w:bottom w:val="none" w:sz="0" w:space="0" w:color="auto"/>
        <w:right w:val="none" w:sz="0" w:space="0" w:color="auto"/>
      </w:divBdr>
    </w:div>
    <w:div w:id="1542401205">
      <w:bodyDiv w:val="1"/>
      <w:marLeft w:val="0"/>
      <w:marRight w:val="0"/>
      <w:marTop w:val="0"/>
      <w:marBottom w:val="0"/>
      <w:divBdr>
        <w:top w:val="none" w:sz="0" w:space="0" w:color="auto"/>
        <w:left w:val="none" w:sz="0" w:space="0" w:color="auto"/>
        <w:bottom w:val="none" w:sz="0" w:space="0" w:color="auto"/>
        <w:right w:val="none" w:sz="0" w:space="0" w:color="auto"/>
      </w:divBdr>
    </w:div>
    <w:div w:id="1591886896">
      <w:bodyDiv w:val="1"/>
      <w:marLeft w:val="0"/>
      <w:marRight w:val="0"/>
      <w:marTop w:val="0"/>
      <w:marBottom w:val="0"/>
      <w:divBdr>
        <w:top w:val="none" w:sz="0" w:space="0" w:color="auto"/>
        <w:left w:val="none" w:sz="0" w:space="0" w:color="auto"/>
        <w:bottom w:val="none" w:sz="0" w:space="0" w:color="auto"/>
        <w:right w:val="none" w:sz="0" w:space="0" w:color="auto"/>
      </w:divBdr>
    </w:div>
    <w:div w:id="1597787264">
      <w:bodyDiv w:val="1"/>
      <w:marLeft w:val="0"/>
      <w:marRight w:val="0"/>
      <w:marTop w:val="0"/>
      <w:marBottom w:val="0"/>
      <w:divBdr>
        <w:top w:val="none" w:sz="0" w:space="0" w:color="auto"/>
        <w:left w:val="none" w:sz="0" w:space="0" w:color="auto"/>
        <w:bottom w:val="none" w:sz="0" w:space="0" w:color="auto"/>
        <w:right w:val="none" w:sz="0" w:space="0" w:color="auto"/>
      </w:divBdr>
    </w:div>
    <w:div w:id="1683777280">
      <w:bodyDiv w:val="1"/>
      <w:marLeft w:val="0"/>
      <w:marRight w:val="0"/>
      <w:marTop w:val="0"/>
      <w:marBottom w:val="0"/>
      <w:divBdr>
        <w:top w:val="none" w:sz="0" w:space="0" w:color="auto"/>
        <w:left w:val="none" w:sz="0" w:space="0" w:color="auto"/>
        <w:bottom w:val="none" w:sz="0" w:space="0" w:color="auto"/>
        <w:right w:val="none" w:sz="0" w:space="0" w:color="auto"/>
      </w:divBdr>
    </w:div>
    <w:div w:id="1687749797">
      <w:bodyDiv w:val="1"/>
      <w:marLeft w:val="0"/>
      <w:marRight w:val="0"/>
      <w:marTop w:val="0"/>
      <w:marBottom w:val="0"/>
      <w:divBdr>
        <w:top w:val="none" w:sz="0" w:space="0" w:color="auto"/>
        <w:left w:val="none" w:sz="0" w:space="0" w:color="auto"/>
        <w:bottom w:val="none" w:sz="0" w:space="0" w:color="auto"/>
        <w:right w:val="none" w:sz="0" w:space="0" w:color="auto"/>
      </w:divBdr>
    </w:div>
    <w:div w:id="1760515824">
      <w:bodyDiv w:val="1"/>
      <w:marLeft w:val="0"/>
      <w:marRight w:val="0"/>
      <w:marTop w:val="0"/>
      <w:marBottom w:val="0"/>
      <w:divBdr>
        <w:top w:val="none" w:sz="0" w:space="0" w:color="auto"/>
        <w:left w:val="none" w:sz="0" w:space="0" w:color="auto"/>
        <w:bottom w:val="none" w:sz="0" w:space="0" w:color="auto"/>
        <w:right w:val="none" w:sz="0" w:space="0" w:color="auto"/>
      </w:divBdr>
    </w:div>
    <w:div w:id="1761833168">
      <w:bodyDiv w:val="1"/>
      <w:marLeft w:val="0"/>
      <w:marRight w:val="0"/>
      <w:marTop w:val="0"/>
      <w:marBottom w:val="0"/>
      <w:divBdr>
        <w:top w:val="none" w:sz="0" w:space="0" w:color="auto"/>
        <w:left w:val="none" w:sz="0" w:space="0" w:color="auto"/>
        <w:bottom w:val="none" w:sz="0" w:space="0" w:color="auto"/>
        <w:right w:val="none" w:sz="0" w:space="0" w:color="auto"/>
      </w:divBdr>
    </w:div>
    <w:div w:id="1868370877">
      <w:bodyDiv w:val="1"/>
      <w:marLeft w:val="0"/>
      <w:marRight w:val="0"/>
      <w:marTop w:val="0"/>
      <w:marBottom w:val="0"/>
      <w:divBdr>
        <w:top w:val="none" w:sz="0" w:space="0" w:color="auto"/>
        <w:left w:val="none" w:sz="0" w:space="0" w:color="auto"/>
        <w:bottom w:val="none" w:sz="0" w:space="0" w:color="auto"/>
        <w:right w:val="none" w:sz="0" w:space="0" w:color="auto"/>
      </w:divBdr>
    </w:div>
    <w:div w:id="1959724364">
      <w:bodyDiv w:val="1"/>
      <w:marLeft w:val="0"/>
      <w:marRight w:val="0"/>
      <w:marTop w:val="0"/>
      <w:marBottom w:val="0"/>
      <w:divBdr>
        <w:top w:val="none" w:sz="0" w:space="0" w:color="auto"/>
        <w:left w:val="none" w:sz="0" w:space="0" w:color="auto"/>
        <w:bottom w:val="none" w:sz="0" w:space="0" w:color="auto"/>
        <w:right w:val="none" w:sz="0" w:space="0" w:color="auto"/>
      </w:divBdr>
    </w:div>
    <w:div w:id="1972595223">
      <w:bodyDiv w:val="1"/>
      <w:marLeft w:val="0"/>
      <w:marRight w:val="0"/>
      <w:marTop w:val="0"/>
      <w:marBottom w:val="0"/>
      <w:divBdr>
        <w:top w:val="none" w:sz="0" w:space="0" w:color="auto"/>
        <w:left w:val="none" w:sz="0" w:space="0" w:color="auto"/>
        <w:bottom w:val="none" w:sz="0" w:space="0" w:color="auto"/>
        <w:right w:val="none" w:sz="0" w:space="0" w:color="auto"/>
      </w:divBdr>
    </w:div>
    <w:div w:id="1972977981">
      <w:bodyDiv w:val="1"/>
      <w:marLeft w:val="0"/>
      <w:marRight w:val="0"/>
      <w:marTop w:val="0"/>
      <w:marBottom w:val="0"/>
      <w:divBdr>
        <w:top w:val="none" w:sz="0" w:space="0" w:color="auto"/>
        <w:left w:val="none" w:sz="0" w:space="0" w:color="auto"/>
        <w:bottom w:val="none" w:sz="0" w:space="0" w:color="auto"/>
        <w:right w:val="none" w:sz="0" w:space="0" w:color="auto"/>
      </w:divBdr>
    </w:div>
    <w:div w:id="1995062027">
      <w:bodyDiv w:val="1"/>
      <w:marLeft w:val="0"/>
      <w:marRight w:val="0"/>
      <w:marTop w:val="0"/>
      <w:marBottom w:val="0"/>
      <w:divBdr>
        <w:top w:val="none" w:sz="0" w:space="0" w:color="auto"/>
        <w:left w:val="none" w:sz="0" w:space="0" w:color="auto"/>
        <w:bottom w:val="none" w:sz="0" w:space="0" w:color="auto"/>
        <w:right w:val="none" w:sz="0" w:space="0" w:color="auto"/>
      </w:divBdr>
    </w:div>
    <w:div w:id="2080397961">
      <w:bodyDiv w:val="1"/>
      <w:marLeft w:val="0"/>
      <w:marRight w:val="0"/>
      <w:marTop w:val="0"/>
      <w:marBottom w:val="0"/>
      <w:divBdr>
        <w:top w:val="none" w:sz="0" w:space="0" w:color="auto"/>
        <w:left w:val="none" w:sz="0" w:space="0" w:color="auto"/>
        <w:bottom w:val="none" w:sz="0" w:space="0" w:color="auto"/>
        <w:right w:val="none" w:sz="0" w:space="0" w:color="auto"/>
      </w:divBdr>
    </w:div>
    <w:div w:id="2083018879">
      <w:bodyDiv w:val="1"/>
      <w:marLeft w:val="0"/>
      <w:marRight w:val="0"/>
      <w:marTop w:val="0"/>
      <w:marBottom w:val="0"/>
      <w:divBdr>
        <w:top w:val="none" w:sz="0" w:space="0" w:color="auto"/>
        <w:left w:val="none" w:sz="0" w:space="0" w:color="auto"/>
        <w:bottom w:val="none" w:sz="0" w:space="0" w:color="auto"/>
        <w:right w:val="none" w:sz="0" w:space="0" w:color="auto"/>
      </w:divBdr>
    </w:div>
    <w:div w:id="2108228814">
      <w:bodyDiv w:val="1"/>
      <w:marLeft w:val="0"/>
      <w:marRight w:val="0"/>
      <w:marTop w:val="0"/>
      <w:marBottom w:val="0"/>
      <w:divBdr>
        <w:top w:val="none" w:sz="0" w:space="0" w:color="auto"/>
        <w:left w:val="none" w:sz="0" w:space="0" w:color="auto"/>
        <w:bottom w:val="none" w:sz="0" w:space="0" w:color="auto"/>
        <w:right w:val="none" w:sz="0" w:space="0" w:color="auto"/>
      </w:divBdr>
      <w:divsChild>
        <w:div w:id="390346649">
          <w:marLeft w:val="0"/>
          <w:marRight w:val="0"/>
          <w:marTop w:val="0"/>
          <w:marBottom w:val="0"/>
          <w:divBdr>
            <w:top w:val="none" w:sz="0" w:space="0" w:color="auto"/>
            <w:left w:val="none" w:sz="0" w:space="0" w:color="auto"/>
            <w:bottom w:val="none" w:sz="0" w:space="0" w:color="auto"/>
            <w:right w:val="none" w:sz="0" w:space="0" w:color="auto"/>
          </w:divBdr>
          <w:divsChild>
            <w:div w:id="275257526">
              <w:marLeft w:val="0"/>
              <w:marRight w:val="0"/>
              <w:marTop w:val="0"/>
              <w:marBottom w:val="0"/>
              <w:divBdr>
                <w:top w:val="none" w:sz="0" w:space="0" w:color="auto"/>
                <w:left w:val="none" w:sz="0" w:space="0" w:color="auto"/>
                <w:bottom w:val="none" w:sz="0" w:space="0" w:color="auto"/>
                <w:right w:val="none" w:sz="0" w:space="0" w:color="auto"/>
              </w:divBdr>
              <w:divsChild>
                <w:div w:id="358287047">
                  <w:marLeft w:val="0"/>
                  <w:marRight w:val="0"/>
                  <w:marTop w:val="0"/>
                  <w:marBottom w:val="0"/>
                  <w:divBdr>
                    <w:top w:val="none" w:sz="0" w:space="0" w:color="auto"/>
                    <w:left w:val="none" w:sz="0" w:space="0" w:color="auto"/>
                    <w:bottom w:val="none" w:sz="0" w:space="0" w:color="auto"/>
                    <w:right w:val="none" w:sz="0" w:space="0" w:color="auto"/>
                  </w:divBdr>
                  <w:divsChild>
                    <w:div w:id="993527849">
                      <w:marLeft w:val="0"/>
                      <w:marRight w:val="0"/>
                      <w:marTop w:val="0"/>
                      <w:marBottom w:val="0"/>
                      <w:divBdr>
                        <w:top w:val="none" w:sz="0" w:space="0" w:color="auto"/>
                        <w:left w:val="none" w:sz="0" w:space="0" w:color="auto"/>
                        <w:bottom w:val="none" w:sz="0" w:space="0" w:color="auto"/>
                        <w:right w:val="none" w:sz="0" w:space="0" w:color="auto"/>
                      </w:divBdr>
                      <w:divsChild>
                        <w:div w:id="874006501">
                          <w:marLeft w:val="0"/>
                          <w:marRight w:val="0"/>
                          <w:marTop w:val="0"/>
                          <w:marBottom w:val="0"/>
                          <w:divBdr>
                            <w:top w:val="none" w:sz="0" w:space="0" w:color="auto"/>
                            <w:left w:val="none" w:sz="0" w:space="0" w:color="auto"/>
                            <w:bottom w:val="none" w:sz="0" w:space="0" w:color="auto"/>
                            <w:right w:val="none" w:sz="0" w:space="0" w:color="auto"/>
                          </w:divBdr>
                          <w:divsChild>
                            <w:div w:id="12106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029617">
          <w:marLeft w:val="0"/>
          <w:marRight w:val="0"/>
          <w:marTop w:val="0"/>
          <w:marBottom w:val="0"/>
          <w:divBdr>
            <w:top w:val="none" w:sz="0" w:space="0" w:color="auto"/>
            <w:left w:val="none" w:sz="0" w:space="0" w:color="auto"/>
            <w:bottom w:val="none" w:sz="0" w:space="0" w:color="auto"/>
            <w:right w:val="none" w:sz="0" w:space="0" w:color="auto"/>
          </w:divBdr>
          <w:divsChild>
            <w:div w:id="943344652">
              <w:marLeft w:val="0"/>
              <w:marRight w:val="0"/>
              <w:marTop w:val="0"/>
              <w:marBottom w:val="0"/>
              <w:divBdr>
                <w:top w:val="none" w:sz="0" w:space="0" w:color="auto"/>
                <w:left w:val="none" w:sz="0" w:space="0" w:color="auto"/>
                <w:bottom w:val="none" w:sz="0" w:space="0" w:color="auto"/>
                <w:right w:val="none" w:sz="0" w:space="0" w:color="auto"/>
              </w:divBdr>
              <w:divsChild>
                <w:div w:id="84421957">
                  <w:marLeft w:val="0"/>
                  <w:marRight w:val="0"/>
                  <w:marTop w:val="0"/>
                  <w:marBottom w:val="0"/>
                  <w:divBdr>
                    <w:top w:val="none" w:sz="0" w:space="0" w:color="auto"/>
                    <w:left w:val="none" w:sz="0" w:space="0" w:color="auto"/>
                    <w:bottom w:val="none" w:sz="0" w:space="0" w:color="auto"/>
                    <w:right w:val="none" w:sz="0" w:space="0" w:color="auto"/>
                  </w:divBdr>
                  <w:divsChild>
                    <w:div w:id="898900484">
                      <w:marLeft w:val="0"/>
                      <w:marRight w:val="0"/>
                      <w:marTop w:val="0"/>
                      <w:marBottom w:val="0"/>
                      <w:divBdr>
                        <w:top w:val="none" w:sz="0" w:space="0" w:color="auto"/>
                        <w:left w:val="none" w:sz="0" w:space="0" w:color="auto"/>
                        <w:bottom w:val="none" w:sz="0" w:space="0" w:color="auto"/>
                        <w:right w:val="none" w:sz="0" w:space="0" w:color="auto"/>
                      </w:divBdr>
                      <w:divsChild>
                        <w:div w:id="760025080">
                          <w:marLeft w:val="0"/>
                          <w:marRight w:val="0"/>
                          <w:marTop w:val="0"/>
                          <w:marBottom w:val="0"/>
                          <w:divBdr>
                            <w:top w:val="none" w:sz="0" w:space="0" w:color="auto"/>
                            <w:left w:val="none" w:sz="0" w:space="0" w:color="auto"/>
                            <w:bottom w:val="none" w:sz="0" w:space="0" w:color="auto"/>
                            <w:right w:val="none" w:sz="0" w:space="0" w:color="auto"/>
                          </w:divBdr>
                          <w:divsChild>
                            <w:div w:id="1628849972">
                              <w:marLeft w:val="0"/>
                              <w:marRight w:val="0"/>
                              <w:marTop w:val="0"/>
                              <w:marBottom w:val="0"/>
                              <w:divBdr>
                                <w:top w:val="none" w:sz="0" w:space="0" w:color="auto"/>
                                <w:left w:val="none" w:sz="0" w:space="0" w:color="auto"/>
                                <w:bottom w:val="none" w:sz="0" w:space="0" w:color="auto"/>
                                <w:right w:val="none" w:sz="0" w:space="0" w:color="auto"/>
                              </w:divBdr>
                              <w:divsChild>
                                <w:div w:id="20731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050611">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206727242">
                  <w:marLeft w:val="0"/>
                  <w:marRight w:val="0"/>
                  <w:marTop w:val="0"/>
                  <w:marBottom w:val="0"/>
                  <w:divBdr>
                    <w:top w:val="none" w:sz="0" w:space="0" w:color="auto"/>
                    <w:left w:val="none" w:sz="0" w:space="0" w:color="auto"/>
                    <w:bottom w:val="none" w:sz="0" w:space="0" w:color="auto"/>
                    <w:right w:val="none" w:sz="0" w:space="0" w:color="auto"/>
                  </w:divBdr>
                  <w:divsChild>
                    <w:div w:id="1442530970">
                      <w:marLeft w:val="0"/>
                      <w:marRight w:val="0"/>
                      <w:marTop w:val="0"/>
                      <w:marBottom w:val="0"/>
                      <w:divBdr>
                        <w:top w:val="none" w:sz="0" w:space="0" w:color="auto"/>
                        <w:left w:val="none" w:sz="0" w:space="0" w:color="auto"/>
                        <w:bottom w:val="none" w:sz="0" w:space="0" w:color="auto"/>
                        <w:right w:val="none" w:sz="0" w:space="0" w:color="auto"/>
                      </w:divBdr>
                      <w:divsChild>
                        <w:div w:id="728191130">
                          <w:marLeft w:val="0"/>
                          <w:marRight w:val="0"/>
                          <w:marTop w:val="0"/>
                          <w:marBottom w:val="0"/>
                          <w:divBdr>
                            <w:top w:val="none" w:sz="0" w:space="0" w:color="auto"/>
                            <w:left w:val="none" w:sz="0" w:space="0" w:color="auto"/>
                            <w:bottom w:val="none" w:sz="0" w:space="0" w:color="auto"/>
                            <w:right w:val="none" w:sz="0" w:space="0" w:color="auto"/>
                          </w:divBdr>
                          <w:divsChild>
                            <w:div w:id="2406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toxics120503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5062</Words>
  <Characters>28856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22</cp:revision>
  <dcterms:created xsi:type="dcterms:W3CDTF">2026-03-15T15:38:00Z</dcterms:created>
  <dcterms:modified xsi:type="dcterms:W3CDTF">2026-03-25T08:18:00Z</dcterms:modified>
</cp:coreProperties>
</file>