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488" w:rsidRDefault="008B0488" w:rsidP="00141A5D">
      <w:pPr>
        <w:spacing w:after="0" w:line="360" w:lineRule="auto"/>
        <w:jc w:val="center"/>
        <w:rPr>
          <w:rFonts w:ascii="Times New Roman" w:hAnsi="Times New Roman" w:cs="Times New Roman"/>
          <w:b/>
          <w:bCs/>
          <w:sz w:val="24"/>
          <w:szCs w:val="24"/>
        </w:rPr>
      </w:pPr>
      <w:bookmarkStart w:id="0" w:name="_Hlk164031202"/>
      <w:r w:rsidRPr="008B0488">
        <w:rPr>
          <w:rFonts w:ascii="Times New Roman" w:hAnsi="Times New Roman" w:cs="Times New Roman"/>
          <w:b/>
          <w:bCs/>
          <w:sz w:val="24"/>
          <w:szCs w:val="24"/>
        </w:rPr>
        <w:t>Behavioural Characteristics of Paddy Growers Influencing Adoption of Recommended Bio</w:t>
      </w:r>
      <w:r w:rsidR="004C7723">
        <w:rPr>
          <w:rFonts w:ascii="Times New Roman" w:hAnsi="Times New Roman" w:cs="Times New Roman"/>
          <w:b/>
          <w:bCs/>
          <w:sz w:val="24"/>
          <w:szCs w:val="24"/>
        </w:rPr>
        <w:t>-</w:t>
      </w:r>
      <w:r w:rsidRPr="008B0488">
        <w:rPr>
          <w:rFonts w:ascii="Times New Roman" w:hAnsi="Times New Roman" w:cs="Times New Roman"/>
          <w:b/>
          <w:bCs/>
          <w:sz w:val="24"/>
          <w:szCs w:val="24"/>
        </w:rPr>
        <w:t>fertilizer</w:t>
      </w:r>
      <w:r w:rsidR="004C7723">
        <w:rPr>
          <w:rFonts w:ascii="Times New Roman" w:hAnsi="Times New Roman" w:cs="Times New Roman"/>
          <w:b/>
          <w:bCs/>
          <w:sz w:val="24"/>
          <w:szCs w:val="24"/>
        </w:rPr>
        <w:t>s</w:t>
      </w:r>
      <w:r w:rsidRPr="008B0488">
        <w:rPr>
          <w:rFonts w:ascii="Times New Roman" w:hAnsi="Times New Roman" w:cs="Times New Roman"/>
          <w:b/>
          <w:bCs/>
          <w:sz w:val="24"/>
          <w:szCs w:val="24"/>
        </w:rPr>
        <w:t xml:space="preserve"> Practices in Vellore District, Tamil Nadu</w:t>
      </w:r>
      <w:r w:rsidR="008F4D09">
        <w:rPr>
          <w:rFonts w:ascii="Times New Roman" w:hAnsi="Times New Roman" w:cs="Times New Roman"/>
          <w:b/>
          <w:bCs/>
          <w:sz w:val="24"/>
          <w:szCs w:val="24"/>
        </w:rPr>
        <w:t>, India</w:t>
      </w:r>
    </w:p>
    <w:bookmarkEnd w:id="0"/>
    <w:p w:rsidR="00F343E8" w:rsidRDefault="00360CC8" w:rsidP="00342E50">
      <w:pPr>
        <w:tabs>
          <w:tab w:val="left" w:pos="5492"/>
        </w:tabs>
        <w:rPr>
          <w:rFonts w:ascii="Times New Roman" w:hAnsi="Times New Roman" w:cs="Times New Roman"/>
          <w:b/>
          <w:bCs/>
          <w:sz w:val="24"/>
          <w:szCs w:val="24"/>
          <w:lang w:val="en-GB"/>
        </w:rPr>
      </w:pPr>
      <w:r>
        <w:rPr>
          <w:rFonts w:ascii="Times New Roman" w:hAnsi="Times New Roman" w:cs="Times New Roman"/>
          <w:b/>
          <w:bCs/>
          <w:sz w:val="24"/>
          <w:szCs w:val="24"/>
          <w:lang w:val="en-GB"/>
        </w:rPr>
        <w:t>Abstract</w:t>
      </w:r>
      <w:r w:rsidR="00342E50">
        <w:rPr>
          <w:rFonts w:ascii="Times New Roman" w:hAnsi="Times New Roman" w:cs="Times New Roman"/>
          <w:b/>
          <w:bCs/>
          <w:sz w:val="24"/>
          <w:szCs w:val="24"/>
          <w:lang w:val="en-GB"/>
        </w:rPr>
        <w:tab/>
      </w:r>
    </w:p>
    <w:p w:rsidR="00F343E8" w:rsidRDefault="001F08B5" w:rsidP="001F08B5">
      <w:pPr>
        <w:spacing w:line="360" w:lineRule="auto"/>
        <w:ind w:firstLine="720"/>
        <w:jc w:val="both"/>
        <w:rPr>
          <w:rFonts w:ascii="Times New Roman" w:hAnsi="Times New Roman" w:cs="Times New Roman"/>
          <w:sz w:val="24"/>
          <w:szCs w:val="24"/>
          <w:lang w:val="en-US"/>
        </w:rPr>
      </w:pPr>
      <w:r w:rsidRPr="001F08B5">
        <w:rPr>
          <w:rFonts w:ascii="Times New Roman" w:hAnsi="Times New Roman" w:cs="Times New Roman"/>
          <w:sz w:val="24"/>
          <w:szCs w:val="24"/>
        </w:rPr>
        <w:t>Th</w:t>
      </w:r>
      <w:r w:rsidR="00D9728F">
        <w:rPr>
          <w:rFonts w:ascii="Times New Roman" w:hAnsi="Times New Roman" w:cs="Times New Roman"/>
          <w:sz w:val="24"/>
          <w:szCs w:val="24"/>
        </w:rPr>
        <w:t>is</w:t>
      </w:r>
      <w:r w:rsidRPr="001F08B5">
        <w:rPr>
          <w:rFonts w:ascii="Times New Roman" w:hAnsi="Times New Roman" w:cs="Times New Roman"/>
          <w:sz w:val="24"/>
          <w:szCs w:val="24"/>
        </w:rPr>
        <w:t xml:space="preserve"> study aimed to assess the innovativeness</w:t>
      </w:r>
      <w:r w:rsidR="009A3B12">
        <w:rPr>
          <w:rFonts w:ascii="Times New Roman" w:hAnsi="Times New Roman" w:cs="Times New Roman"/>
          <w:sz w:val="24"/>
          <w:szCs w:val="24"/>
        </w:rPr>
        <w:t xml:space="preserve">, </w:t>
      </w:r>
      <w:r w:rsidRPr="001F08B5">
        <w:rPr>
          <w:rFonts w:ascii="Times New Roman" w:hAnsi="Times New Roman" w:cs="Times New Roman"/>
          <w:sz w:val="24"/>
          <w:szCs w:val="24"/>
        </w:rPr>
        <w:t>risk orientation</w:t>
      </w:r>
      <w:r w:rsidR="009A3B12">
        <w:rPr>
          <w:rFonts w:ascii="Times New Roman" w:hAnsi="Times New Roman" w:cs="Times New Roman"/>
          <w:sz w:val="24"/>
          <w:szCs w:val="24"/>
        </w:rPr>
        <w:t xml:space="preserve"> and information source utilization</w:t>
      </w:r>
      <w:r w:rsidRPr="001F08B5">
        <w:rPr>
          <w:rFonts w:ascii="Times New Roman" w:hAnsi="Times New Roman" w:cs="Times New Roman"/>
          <w:sz w:val="24"/>
          <w:szCs w:val="24"/>
        </w:rPr>
        <w:t xml:space="preserve"> of paddy growers regarding the recommended biofertilizer practices in selected </w:t>
      </w:r>
      <w:r w:rsidR="009A3B12" w:rsidRPr="001F08B5">
        <w:rPr>
          <w:rFonts w:ascii="Times New Roman" w:hAnsi="Times New Roman" w:cs="Times New Roman"/>
          <w:sz w:val="24"/>
          <w:szCs w:val="24"/>
        </w:rPr>
        <w:t xml:space="preserve">six </w:t>
      </w:r>
      <w:r w:rsidRPr="001F08B5">
        <w:rPr>
          <w:rFonts w:ascii="Times New Roman" w:hAnsi="Times New Roman" w:cs="Times New Roman"/>
          <w:sz w:val="24"/>
          <w:szCs w:val="24"/>
        </w:rPr>
        <w:t xml:space="preserve">villages </w:t>
      </w:r>
      <w:r w:rsidR="00D9728F">
        <w:rPr>
          <w:rFonts w:ascii="Times New Roman" w:hAnsi="Times New Roman" w:cs="Times New Roman"/>
          <w:sz w:val="24"/>
          <w:szCs w:val="24"/>
        </w:rPr>
        <w:t>at</w:t>
      </w:r>
      <w:r w:rsidRPr="001F08B5">
        <w:rPr>
          <w:rFonts w:ascii="Times New Roman" w:hAnsi="Times New Roman" w:cs="Times New Roman"/>
          <w:sz w:val="24"/>
          <w:szCs w:val="24"/>
        </w:rPr>
        <w:t xml:space="preserve"> Gudiyattam taluk </w:t>
      </w:r>
      <w:r w:rsidR="00D9728F">
        <w:rPr>
          <w:rFonts w:ascii="Times New Roman" w:hAnsi="Times New Roman" w:cs="Times New Roman"/>
          <w:sz w:val="24"/>
          <w:szCs w:val="24"/>
        </w:rPr>
        <w:t xml:space="preserve">in </w:t>
      </w:r>
      <w:r w:rsidRPr="001F08B5">
        <w:rPr>
          <w:rFonts w:ascii="Times New Roman" w:hAnsi="Times New Roman" w:cs="Times New Roman"/>
          <w:sz w:val="24"/>
          <w:szCs w:val="24"/>
        </w:rPr>
        <w:t>Vellore District</w:t>
      </w:r>
      <w:r w:rsidR="00D9728F">
        <w:rPr>
          <w:rFonts w:ascii="Times New Roman" w:hAnsi="Times New Roman" w:cs="Times New Roman"/>
          <w:sz w:val="24"/>
          <w:szCs w:val="24"/>
        </w:rPr>
        <w:t xml:space="preserve"> of Tamil Nadu</w:t>
      </w:r>
      <w:r w:rsidRPr="001F08B5">
        <w:rPr>
          <w:rFonts w:ascii="Times New Roman" w:hAnsi="Times New Roman" w:cs="Times New Roman"/>
          <w:sz w:val="24"/>
          <w:szCs w:val="24"/>
        </w:rPr>
        <w:t>. The sample size of 120 was determined using a proportionate random sampling method, considering time and resource constraints. Data were collected through a well-structured interview schedule, with the researcher conducting face-to-face interviews with the respondents. The collected data were then analysed and tabulated for statistical analysis. The results revealed that 57.50</w:t>
      </w:r>
      <w:r>
        <w:rPr>
          <w:rFonts w:ascii="Times New Roman" w:hAnsi="Times New Roman" w:cs="Times New Roman"/>
          <w:sz w:val="24"/>
          <w:szCs w:val="24"/>
        </w:rPr>
        <w:t xml:space="preserve"> per cent</w:t>
      </w:r>
      <w:r w:rsidRPr="001F08B5">
        <w:rPr>
          <w:rFonts w:ascii="Times New Roman" w:hAnsi="Times New Roman" w:cs="Times New Roman"/>
          <w:sz w:val="24"/>
          <w:szCs w:val="24"/>
        </w:rPr>
        <w:t xml:space="preserve"> of the respondents exhibited a medium level of innovativeness, followed by a low level (22.50</w:t>
      </w:r>
      <w:r>
        <w:rPr>
          <w:rFonts w:ascii="Times New Roman" w:hAnsi="Times New Roman" w:cs="Times New Roman"/>
          <w:sz w:val="24"/>
          <w:szCs w:val="24"/>
        </w:rPr>
        <w:t xml:space="preserve"> </w:t>
      </w:r>
      <w:r w:rsidRPr="001F08B5">
        <w:rPr>
          <w:rFonts w:ascii="Times New Roman" w:hAnsi="Times New Roman" w:cs="Times New Roman"/>
          <w:sz w:val="24"/>
          <w:szCs w:val="24"/>
        </w:rPr>
        <w:t>%) and a high level (20.00</w:t>
      </w:r>
      <w:r>
        <w:rPr>
          <w:rFonts w:ascii="Times New Roman" w:hAnsi="Times New Roman" w:cs="Times New Roman"/>
          <w:sz w:val="24"/>
          <w:szCs w:val="24"/>
        </w:rPr>
        <w:t xml:space="preserve"> </w:t>
      </w:r>
      <w:r w:rsidRPr="001F08B5">
        <w:rPr>
          <w:rFonts w:ascii="Times New Roman" w:hAnsi="Times New Roman" w:cs="Times New Roman"/>
          <w:sz w:val="24"/>
          <w:szCs w:val="24"/>
        </w:rPr>
        <w:t>%). Regarding risk orientation, slightly more than half of the respondents (55.84</w:t>
      </w:r>
      <w:r>
        <w:rPr>
          <w:rFonts w:ascii="Times New Roman" w:hAnsi="Times New Roman" w:cs="Times New Roman"/>
          <w:sz w:val="24"/>
          <w:szCs w:val="24"/>
        </w:rPr>
        <w:t> </w:t>
      </w:r>
      <w:r w:rsidRPr="001F08B5">
        <w:rPr>
          <w:rFonts w:ascii="Times New Roman" w:hAnsi="Times New Roman" w:cs="Times New Roman"/>
          <w:sz w:val="24"/>
          <w:szCs w:val="24"/>
        </w:rPr>
        <w:t>%) showed a medium level of risk orientation, followed by a low level (30.00</w:t>
      </w:r>
      <w:r>
        <w:rPr>
          <w:rFonts w:ascii="Times New Roman" w:hAnsi="Times New Roman" w:cs="Times New Roman"/>
          <w:sz w:val="24"/>
          <w:szCs w:val="24"/>
        </w:rPr>
        <w:t> </w:t>
      </w:r>
      <w:r w:rsidRPr="001F08B5">
        <w:rPr>
          <w:rFonts w:ascii="Times New Roman" w:hAnsi="Times New Roman" w:cs="Times New Roman"/>
          <w:sz w:val="24"/>
          <w:szCs w:val="24"/>
        </w:rPr>
        <w:t>%)</w:t>
      </w:r>
      <w:r>
        <w:rPr>
          <w:rFonts w:ascii="Times New Roman" w:hAnsi="Times New Roman" w:cs="Times New Roman"/>
          <w:sz w:val="24"/>
          <w:szCs w:val="24"/>
        </w:rPr>
        <w:t xml:space="preserve"> </w:t>
      </w:r>
      <w:r w:rsidRPr="001F08B5">
        <w:rPr>
          <w:rFonts w:ascii="Times New Roman" w:hAnsi="Times New Roman" w:cs="Times New Roman"/>
          <w:sz w:val="24"/>
          <w:szCs w:val="24"/>
        </w:rPr>
        <w:t>and only 14.16</w:t>
      </w:r>
      <w:r w:rsidR="0022414E">
        <w:rPr>
          <w:rFonts w:ascii="Times New Roman" w:hAnsi="Times New Roman" w:cs="Times New Roman"/>
          <w:sz w:val="24"/>
          <w:szCs w:val="24"/>
        </w:rPr>
        <w:t xml:space="preserve"> per cent</w:t>
      </w:r>
      <w:r w:rsidRPr="001F08B5">
        <w:rPr>
          <w:rFonts w:ascii="Times New Roman" w:hAnsi="Times New Roman" w:cs="Times New Roman"/>
          <w:sz w:val="24"/>
          <w:szCs w:val="24"/>
        </w:rPr>
        <w:t xml:space="preserve"> demonstrated a high level of risk orientation.</w:t>
      </w:r>
      <w:r w:rsidR="00B7491C">
        <w:rPr>
          <w:rFonts w:ascii="Times New Roman" w:hAnsi="Times New Roman" w:cs="Times New Roman"/>
          <w:sz w:val="24"/>
          <w:szCs w:val="24"/>
        </w:rPr>
        <w:t xml:space="preserve"> A little </w:t>
      </w:r>
      <w:r w:rsidR="00B7491C" w:rsidRPr="002C3D0C">
        <w:rPr>
          <w:rFonts w:ascii="Times New Roman" w:hAnsi="Times New Roman" w:cs="Times New Roman"/>
          <w:sz w:val="24"/>
          <w:szCs w:val="24"/>
          <w:lang w:val="en-US"/>
        </w:rPr>
        <w:t>more than</w:t>
      </w:r>
      <w:r w:rsidR="009A3B12">
        <w:rPr>
          <w:rFonts w:ascii="Times New Roman" w:hAnsi="Times New Roman" w:cs="Times New Roman"/>
          <w:sz w:val="24"/>
          <w:szCs w:val="24"/>
          <w:lang w:val="en-US"/>
        </w:rPr>
        <w:t> </w:t>
      </w:r>
      <w:r w:rsidR="00B7491C" w:rsidRPr="002C3D0C">
        <w:rPr>
          <w:rFonts w:ascii="Times New Roman" w:hAnsi="Times New Roman" w:cs="Times New Roman"/>
          <w:sz w:val="24"/>
          <w:szCs w:val="24"/>
          <w:lang w:val="en-US"/>
        </w:rPr>
        <w:t>half</w:t>
      </w:r>
      <w:r w:rsidR="009A3B12">
        <w:rPr>
          <w:rFonts w:ascii="Times New Roman" w:hAnsi="Times New Roman" w:cs="Times New Roman"/>
          <w:sz w:val="24"/>
          <w:szCs w:val="24"/>
          <w:lang w:val="en-US"/>
        </w:rPr>
        <w:t xml:space="preserve"> </w:t>
      </w:r>
      <w:r w:rsidR="00B7491C" w:rsidRPr="002C3D0C">
        <w:rPr>
          <w:rFonts w:ascii="Times New Roman" w:hAnsi="Times New Roman" w:cs="Times New Roman"/>
          <w:sz w:val="24"/>
          <w:szCs w:val="24"/>
          <w:lang w:val="en-US"/>
        </w:rPr>
        <w:t>(55.00 per cent) of the respondents had medium level of information source utilization followed by low level (35.83</w:t>
      </w:r>
      <w:r w:rsidR="00B7491C">
        <w:rPr>
          <w:rFonts w:ascii="Times New Roman" w:hAnsi="Times New Roman" w:cs="Times New Roman"/>
          <w:sz w:val="24"/>
          <w:szCs w:val="24"/>
          <w:lang w:val="en-US"/>
        </w:rPr>
        <w:t xml:space="preserve"> %</w:t>
      </w:r>
      <w:r w:rsidR="00B7491C" w:rsidRPr="002C3D0C">
        <w:rPr>
          <w:rFonts w:ascii="Times New Roman" w:hAnsi="Times New Roman" w:cs="Times New Roman"/>
          <w:sz w:val="24"/>
          <w:szCs w:val="24"/>
          <w:lang w:val="en-US"/>
        </w:rPr>
        <w:t xml:space="preserve">) and high level (09.17 </w:t>
      </w:r>
      <w:r w:rsidR="00B7491C">
        <w:rPr>
          <w:rFonts w:ascii="Times New Roman" w:hAnsi="Times New Roman" w:cs="Times New Roman"/>
          <w:sz w:val="24"/>
          <w:szCs w:val="24"/>
          <w:lang w:val="en-US"/>
        </w:rPr>
        <w:t>%</w:t>
      </w:r>
      <w:r w:rsidR="00B7491C" w:rsidRPr="002C3D0C">
        <w:rPr>
          <w:rFonts w:ascii="Times New Roman" w:hAnsi="Times New Roman" w:cs="Times New Roman"/>
          <w:sz w:val="24"/>
          <w:szCs w:val="24"/>
          <w:lang w:val="en-US"/>
        </w:rPr>
        <w:t>)</w:t>
      </w:r>
      <w:r w:rsidR="00B7491C">
        <w:rPr>
          <w:rFonts w:ascii="Times New Roman" w:hAnsi="Times New Roman" w:cs="Times New Roman"/>
          <w:sz w:val="24"/>
          <w:szCs w:val="24"/>
          <w:lang w:val="en-US"/>
        </w:rPr>
        <w:t>.</w:t>
      </w:r>
    </w:p>
    <w:p w:rsidR="008F4D09" w:rsidRDefault="008F4D09" w:rsidP="001F08B5">
      <w:pPr>
        <w:spacing w:line="360" w:lineRule="auto"/>
        <w:ind w:firstLine="720"/>
        <w:jc w:val="both"/>
        <w:rPr>
          <w:rFonts w:ascii="Times New Roman" w:hAnsi="Times New Roman" w:cs="Times New Roman"/>
          <w:sz w:val="24"/>
          <w:szCs w:val="24"/>
        </w:rPr>
      </w:pPr>
    </w:p>
    <w:p w:rsidR="008F4D09" w:rsidRDefault="008F4D09" w:rsidP="001F08B5">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Keywords :</w:t>
      </w:r>
      <w:proofErr w:type="gramEnd"/>
      <w:r>
        <w:rPr>
          <w:rFonts w:ascii="Times New Roman" w:hAnsi="Times New Roman" w:cs="Times New Roman"/>
          <w:sz w:val="24"/>
          <w:szCs w:val="24"/>
        </w:rPr>
        <w:t xml:space="preserve"> </w:t>
      </w:r>
      <w:r w:rsidRPr="008F4D09">
        <w:rPr>
          <w:rFonts w:ascii="Times New Roman" w:hAnsi="Times New Roman" w:cs="Times New Roman"/>
          <w:sz w:val="24"/>
          <w:szCs w:val="24"/>
        </w:rPr>
        <w:t>Bio-fertilizers</w:t>
      </w:r>
      <w:r>
        <w:rPr>
          <w:rFonts w:ascii="Times New Roman" w:hAnsi="Times New Roman" w:cs="Times New Roman"/>
          <w:sz w:val="24"/>
          <w:szCs w:val="24"/>
        </w:rPr>
        <w:t>,</w:t>
      </w:r>
      <w:r w:rsidRPr="008F4D09">
        <w:t xml:space="preserve"> </w:t>
      </w:r>
      <w:r w:rsidRPr="008F4D09">
        <w:rPr>
          <w:rFonts w:ascii="Times New Roman" w:hAnsi="Times New Roman" w:cs="Times New Roman"/>
          <w:sz w:val="24"/>
          <w:szCs w:val="24"/>
        </w:rPr>
        <w:t>Paddy Growers</w:t>
      </w:r>
      <w:r>
        <w:rPr>
          <w:rFonts w:ascii="Times New Roman" w:hAnsi="Times New Roman" w:cs="Times New Roman"/>
          <w:sz w:val="24"/>
          <w:szCs w:val="24"/>
        </w:rPr>
        <w:t>,</w:t>
      </w:r>
      <w:r w:rsidRPr="008F4D09">
        <w:t xml:space="preserve"> </w:t>
      </w:r>
      <w:r w:rsidRPr="008F4D09">
        <w:rPr>
          <w:rFonts w:ascii="Times New Roman" w:hAnsi="Times New Roman" w:cs="Times New Roman"/>
          <w:sz w:val="24"/>
          <w:szCs w:val="24"/>
        </w:rPr>
        <w:t>Adoption</w:t>
      </w:r>
      <w:r>
        <w:rPr>
          <w:rFonts w:ascii="Times New Roman" w:hAnsi="Times New Roman" w:cs="Times New Roman"/>
          <w:sz w:val="24"/>
          <w:szCs w:val="24"/>
        </w:rPr>
        <w:t>,</w:t>
      </w:r>
      <w:r w:rsidRPr="008F4D09">
        <w:t xml:space="preserve"> </w:t>
      </w:r>
      <w:r w:rsidRPr="008F4D09">
        <w:rPr>
          <w:rFonts w:ascii="Times New Roman" w:hAnsi="Times New Roman" w:cs="Times New Roman"/>
          <w:sz w:val="24"/>
          <w:szCs w:val="24"/>
        </w:rPr>
        <w:t>Paddy</w:t>
      </w:r>
      <w:r>
        <w:rPr>
          <w:rFonts w:ascii="Times New Roman" w:hAnsi="Times New Roman" w:cs="Times New Roman"/>
          <w:sz w:val="24"/>
          <w:szCs w:val="24"/>
        </w:rPr>
        <w:t>,</w:t>
      </w:r>
    </w:p>
    <w:p w:rsidR="00360CC8" w:rsidRPr="00360CC8" w:rsidRDefault="00360CC8" w:rsidP="00360CC8">
      <w:pPr>
        <w:spacing w:line="360" w:lineRule="auto"/>
        <w:jc w:val="both"/>
        <w:rPr>
          <w:rFonts w:ascii="Times New Roman" w:hAnsi="Times New Roman" w:cs="Times New Roman"/>
          <w:b/>
          <w:bCs/>
          <w:sz w:val="24"/>
          <w:szCs w:val="24"/>
          <w:lang w:val="en-GB"/>
        </w:rPr>
      </w:pPr>
      <w:r w:rsidRPr="00360CC8">
        <w:rPr>
          <w:rFonts w:ascii="Times New Roman" w:hAnsi="Times New Roman" w:cs="Times New Roman"/>
          <w:b/>
          <w:bCs/>
          <w:sz w:val="24"/>
          <w:szCs w:val="24"/>
          <w:lang w:val="en-GB"/>
        </w:rPr>
        <w:t>Introduction</w:t>
      </w:r>
    </w:p>
    <w:p w:rsidR="001D0493" w:rsidRDefault="00360CC8" w:rsidP="001D0493">
      <w:pPr>
        <w:spacing w:line="360" w:lineRule="auto"/>
        <w:ind w:firstLine="720"/>
        <w:jc w:val="both"/>
        <w:rPr>
          <w:rFonts w:ascii="Times New Roman" w:eastAsia="Times New Roman" w:hAnsi="Times New Roman" w:cs="Times New Roman"/>
          <w:kern w:val="0"/>
          <w:sz w:val="24"/>
          <w:szCs w:val="24"/>
          <w:lang w:val="en-US" w:bidi="ta-IN"/>
        </w:rPr>
      </w:pPr>
      <w:r w:rsidRPr="00360CC8">
        <w:rPr>
          <w:rFonts w:ascii="Times New Roman" w:hAnsi="Times New Roman" w:cs="Times New Roman"/>
          <w:sz w:val="24"/>
          <w:szCs w:val="24"/>
          <w:lang w:val="en-GB"/>
        </w:rPr>
        <w:t>Paddy is one of the most essential cereals for ensuring global food security, feeding over half of the world’s population. Currently, there are around 200 million rice-growing farms worldwide, most of which are smaller than one hectare, with cultivation being widespread in Asia for thousands of years. Asia is a net exporter of rice to other regions and accounts for nearly half of the world's rice production and consumption. India, ranking second after China in the development of hybrid rice technology for commercial use, is the largest cultivator of paddy and the second-largest producer and consumer of rice globally. Over the past 40 years, India has transformed into a major rice exporter, driven by scientifically advanced technological developments and growth-focused initiatives that have enabled sustained self-sufficiency in paddy cultivation. The paddy and food production landscape in India has evolved more rapidly in the recent era of agricultural history than ever before.</w:t>
      </w:r>
      <w:r w:rsidR="001D0493">
        <w:rPr>
          <w:rFonts w:ascii="Times New Roman" w:hAnsi="Times New Roman" w:cs="Times New Roman"/>
          <w:sz w:val="24"/>
          <w:szCs w:val="24"/>
          <w:lang w:val="en-GB"/>
        </w:rPr>
        <w:t xml:space="preserve"> </w:t>
      </w:r>
      <w:r w:rsidR="001D0493" w:rsidRPr="001D0493">
        <w:rPr>
          <w:rFonts w:ascii="Times New Roman" w:eastAsia="Times New Roman" w:hAnsi="Times New Roman" w:cs="Times New Roman"/>
          <w:kern w:val="0"/>
          <w:sz w:val="24"/>
          <w:szCs w:val="24"/>
          <w:lang w:val="en-US" w:bidi="ta-IN"/>
        </w:rPr>
        <w:t xml:space="preserve">Improvements in crop types, irrigation, and agricultural technology have led to a steady rise in rice output worldwide in recent decades. Asia accounted for approximately </w:t>
      </w:r>
      <w:r w:rsidR="001D0493" w:rsidRPr="001D0493">
        <w:rPr>
          <w:rFonts w:ascii="Times New Roman" w:eastAsia="Times New Roman" w:hAnsi="Times New Roman" w:cs="Times New Roman"/>
          <w:kern w:val="0"/>
          <w:sz w:val="24"/>
          <w:szCs w:val="24"/>
          <w:lang w:val="en-US" w:bidi="ta-IN"/>
        </w:rPr>
        <w:lastRenderedPageBreak/>
        <w:t>90% of the world's rice output, which hit 780 million tons in 2023, according to latest agricultural figures. Approximately 20% of the world's dietary energy comes from rice, which is still the major staple meal for over half of the world's population. India is a significant producer and exporter of rice worldwide. The nation is the second-largest producer of rice after China, growing it on around 44 million hectares and producing more than 135 million tons annually. Population growth is driving up demand for rice, necessitating sustainable farming methods that boost output without harming the environment.</w:t>
      </w:r>
    </w:p>
    <w:p w:rsidR="002C23E9" w:rsidRDefault="001D0493" w:rsidP="001D0493">
      <w:pPr>
        <w:spacing w:line="360" w:lineRule="auto"/>
        <w:ind w:firstLine="720"/>
        <w:jc w:val="both"/>
        <w:rPr>
          <w:rFonts w:ascii="Times New Roman" w:hAnsi="Times New Roman" w:cs="Times New Roman"/>
          <w:sz w:val="24"/>
          <w:szCs w:val="24"/>
          <w:lang w:val="en-US"/>
        </w:rPr>
      </w:pPr>
      <w:r w:rsidRPr="001D0493">
        <w:rPr>
          <w:rFonts w:ascii="Times New Roman" w:hAnsi="Times New Roman" w:cs="Times New Roman"/>
          <w:sz w:val="24"/>
          <w:szCs w:val="24"/>
          <w:lang w:val="en-US"/>
        </w:rPr>
        <w:t>Concerns about the deterioration of soil health and environmental contamination brought on by overuse of chemical fertilizers have grown dramatically in recent years. In many agricultural areas, continuous chemical fertilizer application has led to nutritional imbalance, decreased soil microbial activity, and decreasing soil fertility. As a result, sustainable farming methods like integrated nutrient management and the application of bio</w:t>
      </w:r>
      <w:r>
        <w:rPr>
          <w:rFonts w:ascii="Times New Roman" w:hAnsi="Times New Roman" w:cs="Times New Roman"/>
          <w:sz w:val="24"/>
          <w:szCs w:val="24"/>
          <w:lang w:val="en-US"/>
        </w:rPr>
        <w:t>-</w:t>
      </w:r>
      <w:r w:rsidRPr="001D0493">
        <w:rPr>
          <w:rFonts w:ascii="Times New Roman" w:hAnsi="Times New Roman" w:cs="Times New Roman"/>
          <w:sz w:val="24"/>
          <w:szCs w:val="24"/>
          <w:lang w:val="en-US"/>
        </w:rPr>
        <w:t>fertilizers have become increasingly significant. Beneficial microorganisms included in bio</w:t>
      </w:r>
      <w:r>
        <w:rPr>
          <w:rFonts w:ascii="Times New Roman" w:hAnsi="Times New Roman" w:cs="Times New Roman"/>
          <w:sz w:val="24"/>
          <w:szCs w:val="24"/>
          <w:lang w:val="en-US"/>
        </w:rPr>
        <w:t>-</w:t>
      </w:r>
      <w:r w:rsidRPr="001D0493">
        <w:rPr>
          <w:rFonts w:ascii="Times New Roman" w:hAnsi="Times New Roman" w:cs="Times New Roman"/>
          <w:sz w:val="24"/>
          <w:szCs w:val="24"/>
          <w:lang w:val="en-US"/>
        </w:rPr>
        <w:t>fertilizers improve plant nutrient availability through biological pr</w:t>
      </w:r>
      <w:r>
        <w:rPr>
          <w:rFonts w:ascii="Times New Roman" w:hAnsi="Times New Roman" w:cs="Times New Roman"/>
          <w:sz w:val="24"/>
          <w:szCs w:val="24"/>
          <w:lang w:val="en-US"/>
        </w:rPr>
        <w:t>ocesses such phosphate solubiliz</w:t>
      </w:r>
      <w:r w:rsidRPr="001D0493">
        <w:rPr>
          <w:rFonts w:ascii="Times New Roman" w:hAnsi="Times New Roman" w:cs="Times New Roman"/>
          <w:sz w:val="24"/>
          <w:szCs w:val="24"/>
          <w:lang w:val="en-US"/>
        </w:rPr>
        <w:t>ation, nitrogen fixation, and the creation of growth-promoting compounds.</w:t>
      </w:r>
      <w:r>
        <w:rPr>
          <w:rFonts w:ascii="Times New Roman" w:hAnsi="Times New Roman" w:cs="Times New Roman"/>
          <w:sz w:val="24"/>
          <w:szCs w:val="24"/>
          <w:lang w:val="en-US"/>
        </w:rPr>
        <w:t xml:space="preserve"> </w:t>
      </w:r>
    </w:p>
    <w:p w:rsidR="009F6E66" w:rsidRPr="001D0493" w:rsidRDefault="00360CC8" w:rsidP="001D0493">
      <w:pPr>
        <w:spacing w:line="360" w:lineRule="auto"/>
        <w:ind w:firstLine="720"/>
        <w:jc w:val="both"/>
        <w:rPr>
          <w:rFonts w:ascii="Times New Roman" w:hAnsi="Times New Roman" w:cs="Times New Roman"/>
          <w:sz w:val="24"/>
          <w:szCs w:val="24"/>
          <w:lang w:val="en-US"/>
        </w:rPr>
      </w:pPr>
      <w:r w:rsidRPr="00360CC8">
        <w:rPr>
          <w:rFonts w:ascii="Times New Roman" w:hAnsi="Times New Roman" w:cs="Times New Roman"/>
          <w:sz w:val="24"/>
          <w:szCs w:val="24"/>
          <w:lang w:val="en-GB"/>
        </w:rPr>
        <w:t>Bio</w:t>
      </w:r>
      <w:r w:rsidR="001D0493">
        <w:rPr>
          <w:rFonts w:ascii="Times New Roman" w:hAnsi="Times New Roman" w:cs="Times New Roman"/>
          <w:sz w:val="24"/>
          <w:szCs w:val="24"/>
          <w:lang w:val="en-GB"/>
        </w:rPr>
        <w:t>-</w:t>
      </w:r>
      <w:r w:rsidRPr="00360CC8">
        <w:rPr>
          <w:rFonts w:ascii="Times New Roman" w:hAnsi="Times New Roman" w:cs="Times New Roman"/>
          <w:sz w:val="24"/>
          <w:szCs w:val="24"/>
          <w:lang w:val="en-GB"/>
        </w:rPr>
        <w:t xml:space="preserve">fertilizers are crucial in promoting sustainable agriculture by fixing nitrogen, enhancing crop growth through the production of growth-promoting substances, and improving nutrient absorption in crops. Commonly used biofertilizers in paddy cultivation include beneficial bacterial genera such as </w:t>
      </w:r>
      <w:proofErr w:type="spellStart"/>
      <w:r w:rsidRPr="00360CC8">
        <w:rPr>
          <w:rFonts w:ascii="Times New Roman" w:hAnsi="Times New Roman" w:cs="Times New Roman"/>
          <w:i/>
          <w:iCs/>
          <w:sz w:val="24"/>
          <w:szCs w:val="24"/>
          <w:lang w:val="en-GB"/>
        </w:rPr>
        <w:t>Azolla</w:t>
      </w:r>
      <w:proofErr w:type="spellEnd"/>
      <w:r w:rsidRPr="00360CC8">
        <w:rPr>
          <w:rFonts w:ascii="Times New Roman" w:hAnsi="Times New Roman" w:cs="Times New Roman"/>
          <w:i/>
          <w:iCs/>
          <w:sz w:val="24"/>
          <w:szCs w:val="24"/>
          <w:lang w:val="en-GB"/>
        </w:rPr>
        <w:t xml:space="preserve">, </w:t>
      </w:r>
      <w:proofErr w:type="spellStart"/>
      <w:r w:rsidRPr="00360CC8">
        <w:rPr>
          <w:rFonts w:ascii="Times New Roman" w:hAnsi="Times New Roman" w:cs="Times New Roman"/>
          <w:i/>
          <w:iCs/>
          <w:sz w:val="24"/>
          <w:szCs w:val="24"/>
          <w:lang w:val="en-GB"/>
        </w:rPr>
        <w:t>Azospirillum</w:t>
      </w:r>
      <w:proofErr w:type="spellEnd"/>
      <w:r w:rsidRPr="00360CC8">
        <w:rPr>
          <w:rFonts w:ascii="Times New Roman" w:hAnsi="Times New Roman" w:cs="Times New Roman"/>
          <w:i/>
          <w:iCs/>
          <w:sz w:val="24"/>
          <w:szCs w:val="24"/>
          <w:lang w:val="en-GB"/>
        </w:rPr>
        <w:t xml:space="preserve">, </w:t>
      </w:r>
      <w:proofErr w:type="spellStart"/>
      <w:r w:rsidRPr="00360CC8">
        <w:rPr>
          <w:rFonts w:ascii="Times New Roman" w:hAnsi="Times New Roman" w:cs="Times New Roman"/>
          <w:i/>
          <w:iCs/>
          <w:sz w:val="24"/>
          <w:szCs w:val="24"/>
          <w:lang w:val="en-GB"/>
        </w:rPr>
        <w:t>Phosphobacteria</w:t>
      </w:r>
      <w:proofErr w:type="spellEnd"/>
      <w:r w:rsidRPr="00360CC8">
        <w:rPr>
          <w:rFonts w:ascii="Times New Roman" w:hAnsi="Times New Roman" w:cs="Times New Roman"/>
          <w:i/>
          <w:iCs/>
          <w:sz w:val="24"/>
          <w:szCs w:val="24"/>
          <w:lang w:val="en-GB"/>
        </w:rPr>
        <w:t>, Cyanobacteria</w:t>
      </w:r>
      <w:r w:rsidRPr="00360CC8">
        <w:rPr>
          <w:rFonts w:ascii="Times New Roman" w:hAnsi="Times New Roman" w:cs="Times New Roman"/>
          <w:sz w:val="24"/>
          <w:szCs w:val="24"/>
          <w:lang w:val="en-GB"/>
        </w:rPr>
        <w:t xml:space="preserve">, and </w:t>
      </w:r>
      <w:r w:rsidRPr="00360CC8">
        <w:rPr>
          <w:rFonts w:ascii="Times New Roman" w:hAnsi="Times New Roman" w:cs="Times New Roman"/>
          <w:i/>
          <w:iCs/>
          <w:sz w:val="24"/>
          <w:szCs w:val="24"/>
          <w:lang w:val="en-GB"/>
        </w:rPr>
        <w:t>Pseudomonas fluorescens</w:t>
      </w:r>
      <w:r w:rsidRPr="00360CC8">
        <w:rPr>
          <w:rFonts w:ascii="Times New Roman" w:hAnsi="Times New Roman" w:cs="Times New Roman"/>
          <w:sz w:val="24"/>
          <w:szCs w:val="24"/>
          <w:lang w:val="en-GB"/>
        </w:rPr>
        <w:t xml:space="preserve">. Additionally, </w:t>
      </w:r>
      <w:r w:rsidRPr="00360CC8">
        <w:rPr>
          <w:rFonts w:ascii="Times New Roman" w:hAnsi="Times New Roman" w:cs="Times New Roman"/>
          <w:i/>
          <w:iCs/>
          <w:sz w:val="24"/>
          <w:szCs w:val="24"/>
          <w:lang w:val="en-GB"/>
        </w:rPr>
        <w:t>Vesicular Arbuscular Mycorrhiza</w:t>
      </w:r>
      <w:r w:rsidRPr="00360CC8">
        <w:rPr>
          <w:rFonts w:ascii="Times New Roman" w:hAnsi="Times New Roman" w:cs="Times New Roman"/>
          <w:sz w:val="24"/>
          <w:szCs w:val="24"/>
          <w:lang w:val="en-GB"/>
        </w:rPr>
        <w:t xml:space="preserve"> (VAM), a fungus that mobilizes phosphate, is also widely used as a biofertilizer.</w:t>
      </w:r>
      <w:r w:rsidR="000B4DFC">
        <w:rPr>
          <w:rFonts w:ascii="Times New Roman" w:hAnsi="Times New Roman" w:cs="Times New Roman"/>
          <w:sz w:val="24"/>
          <w:szCs w:val="24"/>
          <w:lang w:val="en-GB"/>
        </w:rPr>
        <w:t xml:space="preserve"> </w:t>
      </w:r>
      <w:r w:rsidR="009F6E66" w:rsidRPr="009F6E66">
        <w:rPr>
          <w:rFonts w:ascii="Times New Roman" w:hAnsi="Times New Roman" w:cs="Times New Roman"/>
          <w:sz w:val="24"/>
          <w:szCs w:val="24"/>
          <w:lang w:val="en-US"/>
        </w:rPr>
        <w:t xml:space="preserve">India is one of the important countries in biofertilizer production and consumption in the world. At present, there are about sixty biofertilizer production units in India. Among the different states, the maximum production capacity is in Tamil Nadu followed by Madhya Pradesh, Uttar Pradesh, Gujarat and Maharashtra. At present, the State Government of Tamil Nadu owns six production units located in the districts of </w:t>
      </w:r>
      <w:proofErr w:type="spellStart"/>
      <w:r w:rsidR="009F6E66" w:rsidRPr="009F6E66">
        <w:rPr>
          <w:rFonts w:ascii="Times New Roman" w:hAnsi="Times New Roman" w:cs="Times New Roman"/>
          <w:sz w:val="24"/>
          <w:szCs w:val="24"/>
          <w:lang w:val="en-US"/>
        </w:rPr>
        <w:t>Cuddalore</w:t>
      </w:r>
      <w:proofErr w:type="spellEnd"/>
      <w:r w:rsidR="009F6E66" w:rsidRPr="009F6E66">
        <w:rPr>
          <w:rFonts w:ascii="Times New Roman" w:hAnsi="Times New Roman" w:cs="Times New Roman"/>
          <w:sz w:val="24"/>
          <w:szCs w:val="24"/>
          <w:lang w:val="en-US"/>
        </w:rPr>
        <w:t xml:space="preserve">, Salem, Trichy, Tanjore, Pudukkottai and </w:t>
      </w:r>
      <w:proofErr w:type="spellStart"/>
      <w:r w:rsidR="009F6E66" w:rsidRPr="009F6E66">
        <w:rPr>
          <w:rFonts w:ascii="Times New Roman" w:hAnsi="Times New Roman" w:cs="Times New Roman"/>
          <w:sz w:val="24"/>
          <w:szCs w:val="24"/>
          <w:lang w:val="en-US"/>
        </w:rPr>
        <w:t>Ramanathapuram</w:t>
      </w:r>
      <w:proofErr w:type="spellEnd"/>
      <w:r w:rsidR="009F6E66" w:rsidRPr="009F6E66">
        <w:rPr>
          <w:rFonts w:ascii="Times New Roman" w:hAnsi="Times New Roman" w:cs="Times New Roman"/>
          <w:sz w:val="24"/>
          <w:szCs w:val="24"/>
          <w:lang w:val="en-US"/>
        </w:rPr>
        <w:t xml:space="preserve"> with a total production capacity of 200 tons per annum.</w:t>
      </w:r>
    </w:p>
    <w:p w:rsidR="009F6E66" w:rsidRDefault="009F6E66" w:rsidP="00627216">
      <w:pPr>
        <w:spacing w:line="360" w:lineRule="auto"/>
        <w:ind w:firstLine="720"/>
        <w:jc w:val="both"/>
        <w:rPr>
          <w:rFonts w:ascii="Times New Roman" w:hAnsi="Times New Roman" w:cs="Times New Roman"/>
          <w:sz w:val="24"/>
          <w:szCs w:val="24"/>
          <w:lang w:val="en-US"/>
        </w:rPr>
      </w:pPr>
      <w:r w:rsidRPr="009F6E66">
        <w:rPr>
          <w:rFonts w:ascii="Times New Roman" w:hAnsi="Times New Roman" w:cs="Times New Roman"/>
          <w:sz w:val="24"/>
          <w:szCs w:val="24"/>
          <w:lang w:val="en-US"/>
        </w:rPr>
        <w:t xml:space="preserve">In Vellore district, one Liquid Bio-Fertilizer Production Unit was established in Natham village of Gudiyattam Block under the NADP scheme during August 2017. The unit produces Liquid Bio-Fertilizers of </w:t>
      </w:r>
      <w:proofErr w:type="spellStart"/>
      <w:r w:rsidRPr="009F6E66">
        <w:rPr>
          <w:rFonts w:ascii="Times New Roman" w:hAnsi="Times New Roman" w:cs="Times New Roman"/>
          <w:i/>
          <w:iCs/>
          <w:sz w:val="24"/>
          <w:szCs w:val="24"/>
          <w:lang w:val="en-US"/>
        </w:rPr>
        <w:t>Phosphobacteria</w:t>
      </w:r>
      <w:proofErr w:type="spellEnd"/>
      <w:r w:rsidRPr="009F6E66">
        <w:rPr>
          <w:rFonts w:ascii="Times New Roman" w:hAnsi="Times New Roman" w:cs="Times New Roman"/>
          <w:i/>
          <w:iCs/>
          <w:sz w:val="24"/>
          <w:szCs w:val="24"/>
          <w:lang w:val="en-US"/>
        </w:rPr>
        <w:t xml:space="preserve">, </w:t>
      </w:r>
      <w:proofErr w:type="spellStart"/>
      <w:r w:rsidRPr="009F6E66">
        <w:rPr>
          <w:rFonts w:ascii="Times New Roman" w:hAnsi="Times New Roman" w:cs="Times New Roman"/>
          <w:i/>
          <w:iCs/>
          <w:sz w:val="24"/>
          <w:szCs w:val="24"/>
          <w:lang w:val="en-US"/>
        </w:rPr>
        <w:t>Azospirillum</w:t>
      </w:r>
      <w:proofErr w:type="spellEnd"/>
      <w:r w:rsidRPr="009F6E66">
        <w:rPr>
          <w:rFonts w:ascii="Times New Roman" w:hAnsi="Times New Roman" w:cs="Times New Roman"/>
          <w:sz w:val="24"/>
          <w:szCs w:val="24"/>
          <w:lang w:val="en-US"/>
        </w:rPr>
        <w:t xml:space="preserve"> for paddy and other crops, </w:t>
      </w:r>
      <w:r w:rsidRPr="009F6E66">
        <w:rPr>
          <w:rFonts w:ascii="Times New Roman" w:hAnsi="Times New Roman" w:cs="Times New Roman"/>
          <w:i/>
          <w:iCs/>
          <w:sz w:val="24"/>
          <w:szCs w:val="24"/>
          <w:lang w:val="en-US"/>
        </w:rPr>
        <w:t xml:space="preserve">Rhizobium </w:t>
      </w:r>
      <w:r w:rsidRPr="009F6E66">
        <w:rPr>
          <w:rFonts w:ascii="Times New Roman" w:hAnsi="Times New Roman" w:cs="Times New Roman"/>
          <w:sz w:val="24"/>
          <w:szCs w:val="24"/>
          <w:lang w:val="en-US"/>
        </w:rPr>
        <w:t xml:space="preserve">for pulses and distributes the same to Vellore and </w:t>
      </w:r>
      <w:proofErr w:type="spellStart"/>
      <w:r w:rsidRPr="009F6E66">
        <w:rPr>
          <w:rFonts w:ascii="Times New Roman" w:hAnsi="Times New Roman" w:cs="Times New Roman"/>
          <w:sz w:val="24"/>
          <w:szCs w:val="24"/>
          <w:lang w:val="en-US"/>
        </w:rPr>
        <w:t>Thiruvannamalai</w:t>
      </w:r>
      <w:proofErr w:type="spellEnd"/>
      <w:r w:rsidRPr="009F6E66">
        <w:rPr>
          <w:rFonts w:ascii="Times New Roman" w:hAnsi="Times New Roman" w:cs="Times New Roman"/>
          <w:sz w:val="24"/>
          <w:szCs w:val="24"/>
          <w:lang w:val="en-US"/>
        </w:rPr>
        <w:t xml:space="preserve"> Districts. </w:t>
      </w:r>
      <w:r w:rsidRPr="009F6E66">
        <w:rPr>
          <w:rFonts w:ascii="Times New Roman" w:hAnsi="Times New Roman" w:cs="Times New Roman"/>
          <w:sz w:val="24"/>
          <w:szCs w:val="24"/>
          <w:lang w:val="en-US"/>
        </w:rPr>
        <w:lastRenderedPageBreak/>
        <w:t xml:space="preserve">Private liquid biofertilizer </w:t>
      </w:r>
      <w:r w:rsidR="00627216" w:rsidRPr="009F6E66">
        <w:rPr>
          <w:rFonts w:ascii="Times New Roman" w:hAnsi="Times New Roman" w:cs="Times New Roman"/>
          <w:sz w:val="24"/>
          <w:szCs w:val="24"/>
          <w:lang w:val="en-US"/>
        </w:rPr>
        <w:t>called</w:t>
      </w:r>
      <w:r w:rsidRPr="009F6E66">
        <w:rPr>
          <w:rFonts w:ascii="Times New Roman" w:hAnsi="Times New Roman" w:cs="Times New Roman"/>
          <w:sz w:val="24"/>
          <w:szCs w:val="24"/>
          <w:lang w:val="en-US"/>
        </w:rPr>
        <w:t xml:space="preserve"> OK Biosystems are also present in </w:t>
      </w:r>
      <w:proofErr w:type="spellStart"/>
      <w:r w:rsidRPr="009F6E66">
        <w:rPr>
          <w:rFonts w:ascii="Times New Roman" w:hAnsi="Times New Roman" w:cs="Times New Roman"/>
          <w:sz w:val="24"/>
          <w:szCs w:val="24"/>
          <w:lang w:val="en-US"/>
        </w:rPr>
        <w:t>Kochalur</w:t>
      </w:r>
      <w:proofErr w:type="spellEnd"/>
      <w:r w:rsidRPr="009F6E66">
        <w:rPr>
          <w:rFonts w:ascii="Times New Roman" w:hAnsi="Times New Roman" w:cs="Times New Roman"/>
          <w:sz w:val="24"/>
          <w:szCs w:val="24"/>
          <w:lang w:val="en-US"/>
        </w:rPr>
        <w:t xml:space="preserve">, Gudiyattam, Vellore district. </w:t>
      </w:r>
    </w:p>
    <w:p w:rsidR="002C23E9" w:rsidRPr="009F6E66" w:rsidRDefault="002C23E9" w:rsidP="002C23E9">
      <w:pPr>
        <w:spacing w:line="360" w:lineRule="auto"/>
        <w:ind w:firstLine="720"/>
        <w:jc w:val="both"/>
        <w:rPr>
          <w:rFonts w:ascii="Times New Roman" w:hAnsi="Times New Roman" w:cs="Times New Roman"/>
          <w:sz w:val="24"/>
          <w:szCs w:val="24"/>
          <w:lang w:val="en-US"/>
        </w:rPr>
      </w:pPr>
      <w:r w:rsidRPr="002C23E9">
        <w:rPr>
          <w:rFonts w:ascii="Times New Roman" w:hAnsi="Times New Roman" w:cs="Times New Roman"/>
          <w:sz w:val="24"/>
          <w:szCs w:val="24"/>
          <w:lang w:val="en-US"/>
        </w:rPr>
        <w:t>Farmers' use of bio</w:t>
      </w:r>
      <w:r>
        <w:rPr>
          <w:rFonts w:ascii="Times New Roman" w:hAnsi="Times New Roman" w:cs="Times New Roman"/>
          <w:sz w:val="24"/>
          <w:szCs w:val="24"/>
          <w:lang w:val="en-US"/>
        </w:rPr>
        <w:t>-</w:t>
      </w:r>
      <w:r w:rsidRPr="002C23E9">
        <w:rPr>
          <w:rFonts w:ascii="Times New Roman" w:hAnsi="Times New Roman" w:cs="Times New Roman"/>
          <w:sz w:val="24"/>
          <w:szCs w:val="24"/>
          <w:lang w:val="en-US"/>
        </w:rPr>
        <w:t>fertilizers is still very low in many areas, despite its accessibility and established advantages. Adoption of agricultural technologies is impacted by farmers' behavioral and psychological traits in addition to economic reasons. Farmers' readiness to accept new technology is influenced by a number of characteristics, including innovativeness, risk orientation, and information source use. Designing successful extension tactics that support sustainable farming practices requires an understanding of these behavioral traits.</w:t>
      </w:r>
    </w:p>
    <w:p w:rsidR="00F343E8" w:rsidRPr="00063CC8" w:rsidRDefault="00010EC9" w:rsidP="00063CC8">
      <w:pPr>
        <w:spacing w:line="360" w:lineRule="auto"/>
        <w:jc w:val="both"/>
        <w:rPr>
          <w:rFonts w:ascii="Times New Roman" w:hAnsi="Times New Roman" w:cs="Times New Roman"/>
          <w:bCs/>
          <w:sz w:val="24"/>
          <w:szCs w:val="24"/>
        </w:rPr>
      </w:pPr>
      <w:r w:rsidRPr="00A121D8">
        <w:rPr>
          <w:rFonts w:ascii="Times New Roman" w:hAnsi="Times New Roman" w:cs="Times New Roman"/>
          <w:b/>
          <w:sz w:val="24"/>
          <w:szCs w:val="24"/>
        </w:rPr>
        <w:t xml:space="preserve">Key words: </w:t>
      </w:r>
      <w:r>
        <w:rPr>
          <w:rFonts w:ascii="Times New Roman" w:hAnsi="Times New Roman" w:cs="Times New Roman"/>
          <w:bCs/>
          <w:sz w:val="24"/>
          <w:szCs w:val="24"/>
        </w:rPr>
        <w:t>Innovativeness</w:t>
      </w:r>
      <w:r w:rsidRPr="00A121D8">
        <w:rPr>
          <w:rFonts w:ascii="Times New Roman" w:hAnsi="Times New Roman" w:cs="Times New Roman"/>
          <w:bCs/>
          <w:sz w:val="24"/>
          <w:szCs w:val="24"/>
        </w:rPr>
        <w:t xml:space="preserve">, </w:t>
      </w:r>
      <w:r>
        <w:rPr>
          <w:rFonts w:ascii="Times New Roman" w:hAnsi="Times New Roman" w:cs="Times New Roman"/>
          <w:bCs/>
          <w:sz w:val="24"/>
          <w:szCs w:val="24"/>
        </w:rPr>
        <w:t xml:space="preserve">Risk </w:t>
      </w:r>
      <w:r w:rsidR="00825CD2">
        <w:rPr>
          <w:rFonts w:ascii="Times New Roman" w:hAnsi="Times New Roman" w:cs="Times New Roman"/>
          <w:bCs/>
          <w:sz w:val="24"/>
          <w:szCs w:val="24"/>
        </w:rPr>
        <w:t>orientation, Information</w:t>
      </w:r>
      <w:r w:rsidR="00D9728F">
        <w:rPr>
          <w:rFonts w:ascii="Times New Roman" w:hAnsi="Times New Roman" w:cs="Times New Roman"/>
          <w:bCs/>
          <w:sz w:val="24"/>
          <w:szCs w:val="24"/>
        </w:rPr>
        <w:t xml:space="preserve"> Source Utilization, </w:t>
      </w:r>
      <w:r w:rsidRPr="00A121D8">
        <w:rPr>
          <w:rFonts w:ascii="Times New Roman" w:hAnsi="Times New Roman" w:cs="Times New Roman"/>
          <w:bCs/>
          <w:sz w:val="24"/>
          <w:szCs w:val="24"/>
        </w:rPr>
        <w:t xml:space="preserve">Paddy </w:t>
      </w:r>
      <w:r>
        <w:rPr>
          <w:rFonts w:ascii="Times New Roman" w:hAnsi="Times New Roman" w:cs="Times New Roman"/>
          <w:bCs/>
          <w:sz w:val="24"/>
          <w:szCs w:val="24"/>
        </w:rPr>
        <w:t>growers</w:t>
      </w:r>
      <w:r w:rsidRPr="00A121D8">
        <w:rPr>
          <w:rFonts w:ascii="Times New Roman" w:hAnsi="Times New Roman" w:cs="Times New Roman"/>
          <w:bCs/>
          <w:sz w:val="24"/>
          <w:szCs w:val="24"/>
        </w:rPr>
        <w:t xml:space="preserve">, Paddy Cultivation, Biofertilizers </w:t>
      </w:r>
      <w:r>
        <w:rPr>
          <w:rFonts w:ascii="Times New Roman" w:hAnsi="Times New Roman" w:cs="Times New Roman"/>
          <w:bCs/>
          <w:sz w:val="24"/>
          <w:szCs w:val="24"/>
        </w:rPr>
        <w:t>practices.</w:t>
      </w:r>
    </w:p>
    <w:p w:rsidR="00F343E8" w:rsidRDefault="00F343E8" w:rsidP="00F343E8">
      <w:pPr>
        <w:rPr>
          <w:rFonts w:ascii="Times New Roman" w:hAnsi="Times New Roman" w:cs="Times New Roman"/>
          <w:b/>
          <w:bCs/>
          <w:sz w:val="24"/>
          <w:szCs w:val="24"/>
          <w:lang w:val="en-GB"/>
        </w:rPr>
      </w:pPr>
      <w:r w:rsidRPr="00F343E8">
        <w:rPr>
          <w:rFonts w:ascii="Times New Roman" w:hAnsi="Times New Roman" w:cs="Times New Roman"/>
          <w:b/>
          <w:bCs/>
          <w:sz w:val="24"/>
          <w:szCs w:val="24"/>
          <w:lang w:val="en-GB"/>
        </w:rPr>
        <w:t>Materials and Methods</w:t>
      </w:r>
    </w:p>
    <w:p w:rsidR="00063CC8" w:rsidRPr="002C23E9" w:rsidRDefault="00063CC8" w:rsidP="002C23E9">
      <w:pPr>
        <w:spacing w:line="360" w:lineRule="auto"/>
        <w:ind w:firstLine="720"/>
        <w:jc w:val="both"/>
        <w:rPr>
          <w:rFonts w:ascii="Times New Roman" w:hAnsi="Times New Roman" w:cs="Times New Roman"/>
          <w:sz w:val="24"/>
          <w:szCs w:val="24"/>
          <w:lang w:val="en-US"/>
        </w:rPr>
      </w:pPr>
      <w:r w:rsidRPr="00063CC8">
        <w:rPr>
          <w:rFonts w:ascii="Times New Roman" w:hAnsi="Times New Roman" w:cs="Times New Roman"/>
          <w:sz w:val="24"/>
          <w:szCs w:val="24"/>
          <w:lang w:val="en-GB"/>
        </w:rPr>
        <w:t xml:space="preserve">The study involved a sample of 120 respondents selected from six villages in Gudiyattam taluk, Vellore District, Tamil Nadu, using proportionate random sampling, which was deemed appropriate for the research. An ex post facto research design was employed, and data were collected using a structured interview schedule that covered five biofertilizers and eleven related practices. </w:t>
      </w:r>
      <w:r w:rsidR="002C23E9" w:rsidRPr="002C23E9">
        <w:rPr>
          <w:rFonts w:ascii="Times New Roman" w:hAnsi="Times New Roman" w:cs="Times New Roman"/>
          <w:sz w:val="24"/>
          <w:szCs w:val="24"/>
          <w:lang w:val="en-US"/>
        </w:rPr>
        <w:t>In order to comprehend the respondents' backgrounds, a number of socioeconomic factors, including age, education, farm size, farming experience, and extension contact, were taken into consideration during the interview in addition to the behavioral variables taken into consideration in this study. These traits frequently affect how farmers make decisions and embrace agricultural advancements. To guarantee correctness and dependability in statistical analysis, the gathered data was properly coded and tabulated.</w:t>
      </w:r>
      <w:r w:rsidR="002C23E9">
        <w:rPr>
          <w:rFonts w:ascii="Times New Roman" w:hAnsi="Times New Roman" w:cs="Times New Roman"/>
          <w:sz w:val="24"/>
          <w:szCs w:val="24"/>
          <w:lang w:val="en-US"/>
        </w:rPr>
        <w:t xml:space="preserve"> </w:t>
      </w:r>
      <w:r w:rsidRPr="00063CC8">
        <w:rPr>
          <w:rFonts w:ascii="Times New Roman" w:hAnsi="Times New Roman" w:cs="Times New Roman"/>
          <w:sz w:val="24"/>
          <w:szCs w:val="24"/>
          <w:lang w:val="en-GB"/>
        </w:rPr>
        <w:t>The interview schedule was initially prepared in English and pre-tested in a non-sample area to identify and resolve any inconsistencies before finalization. The student researcher conducted the interviews in Tamil. Data collection took place from February to March 2021, followed by data processing, coding, and statistical analysis.</w:t>
      </w:r>
      <w:r>
        <w:rPr>
          <w:rFonts w:ascii="Times New Roman" w:hAnsi="Times New Roman" w:cs="Times New Roman"/>
          <w:sz w:val="24"/>
          <w:szCs w:val="24"/>
          <w:lang w:val="en-GB"/>
        </w:rPr>
        <w:t xml:space="preserve"> In this paper, I had discussed about the innovativeness</w:t>
      </w:r>
      <w:r w:rsidR="002A74F2">
        <w:rPr>
          <w:rFonts w:ascii="Times New Roman" w:hAnsi="Times New Roman" w:cs="Times New Roman"/>
          <w:sz w:val="24"/>
          <w:szCs w:val="24"/>
          <w:lang w:val="en-GB"/>
        </w:rPr>
        <w:t>,</w:t>
      </w:r>
      <w:r>
        <w:rPr>
          <w:rFonts w:ascii="Times New Roman" w:hAnsi="Times New Roman" w:cs="Times New Roman"/>
          <w:sz w:val="24"/>
          <w:szCs w:val="24"/>
          <w:lang w:val="en-GB"/>
        </w:rPr>
        <w:t xml:space="preserve"> risk orientation</w:t>
      </w:r>
      <w:r w:rsidR="002A74F2">
        <w:rPr>
          <w:rFonts w:ascii="Times New Roman" w:hAnsi="Times New Roman" w:cs="Times New Roman"/>
          <w:sz w:val="24"/>
          <w:szCs w:val="24"/>
          <w:lang w:val="en-GB"/>
        </w:rPr>
        <w:t xml:space="preserve"> and information source utilization</w:t>
      </w:r>
      <w:r>
        <w:rPr>
          <w:rFonts w:ascii="Times New Roman" w:hAnsi="Times New Roman" w:cs="Times New Roman"/>
          <w:sz w:val="24"/>
          <w:szCs w:val="24"/>
          <w:lang w:val="en-GB"/>
        </w:rPr>
        <w:t xml:space="preserve"> level</w:t>
      </w:r>
      <w:r w:rsidR="002A74F2">
        <w:rPr>
          <w:rFonts w:ascii="Times New Roman" w:hAnsi="Times New Roman" w:cs="Times New Roman"/>
          <w:sz w:val="24"/>
          <w:szCs w:val="24"/>
          <w:lang w:val="en-GB"/>
        </w:rPr>
        <w:t>s</w:t>
      </w:r>
      <w:r>
        <w:rPr>
          <w:rFonts w:ascii="Times New Roman" w:hAnsi="Times New Roman" w:cs="Times New Roman"/>
          <w:sz w:val="24"/>
          <w:szCs w:val="24"/>
          <w:lang w:val="en-GB"/>
        </w:rPr>
        <w:t xml:space="preserve"> of the paddy growers</w:t>
      </w:r>
      <w:r w:rsidR="00283F50">
        <w:rPr>
          <w:rFonts w:ascii="Times New Roman" w:hAnsi="Times New Roman" w:cs="Times New Roman"/>
          <w:sz w:val="24"/>
          <w:szCs w:val="24"/>
          <w:lang w:val="en-GB"/>
        </w:rPr>
        <w:t xml:space="preserve"> using the procedure followed by </w:t>
      </w:r>
      <w:proofErr w:type="spellStart"/>
      <w:r w:rsidR="00283F50">
        <w:rPr>
          <w:rFonts w:ascii="Times New Roman" w:hAnsi="Times New Roman" w:cs="Times New Roman"/>
          <w:sz w:val="24"/>
          <w:szCs w:val="24"/>
          <w:lang w:val="en-GB"/>
        </w:rPr>
        <w:t>Kasidurai</w:t>
      </w:r>
      <w:proofErr w:type="spellEnd"/>
      <w:r w:rsidR="00283F50">
        <w:rPr>
          <w:rFonts w:ascii="Times New Roman" w:hAnsi="Times New Roman" w:cs="Times New Roman"/>
          <w:sz w:val="24"/>
          <w:szCs w:val="24"/>
          <w:lang w:val="en-GB"/>
        </w:rPr>
        <w:t xml:space="preserve"> (2017)</w:t>
      </w:r>
      <w:r>
        <w:rPr>
          <w:rFonts w:ascii="Times New Roman" w:hAnsi="Times New Roman" w:cs="Times New Roman"/>
          <w:sz w:val="24"/>
          <w:szCs w:val="24"/>
          <w:lang w:val="en-GB"/>
        </w:rPr>
        <w:t xml:space="preserve"> </w:t>
      </w:r>
      <w:r w:rsidR="002A74F2">
        <w:rPr>
          <w:rFonts w:ascii="Times New Roman" w:hAnsi="Times New Roman" w:cs="Times New Roman"/>
          <w:sz w:val="24"/>
          <w:szCs w:val="24"/>
          <w:lang w:val="en-GB"/>
        </w:rPr>
        <w:t xml:space="preserve">and </w:t>
      </w:r>
      <w:r w:rsidR="002A74F2" w:rsidRPr="00F83819">
        <w:rPr>
          <w:rFonts w:ascii="Times New Roman" w:hAnsi="Times New Roman" w:cs="Times New Roman"/>
          <w:sz w:val="24"/>
          <w:szCs w:val="24"/>
          <w:lang w:val="en-US"/>
        </w:rPr>
        <w:t xml:space="preserve">Balu (2018) </w:t>
      </w:r>
      <w:r>
        <w:rPr>
          <w:rFonts w:ascii="Times New Roman" w:hAnsi="Times New Roman" w:cs="Times New Roman"/>
          <w:sz w:val="24"/>
          <w:szCs w:val="24"/>
          <w:lang w:val="en-GB"/>
        </w:rPr>
        <w:t>regarding the recommended biofertilizers practices.</w:t>
      </w:r>
    </w:p>
    <w:p w:rsidR="00F343E8" w:rsidRPr="005B4384" w:rsidRDefault="00F343E8" w:rsidP="00F343E8">
      <w:pPr>
        <w:spacing w:line="360" w:lineRule="auto"/>
        <w:jc w:val="both"/>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Innovativeness</w:t>
      </w:r>
    </w:p>
    <w:p w:rsidR="002A74F2" w:rsidRPr="00627216" w:rsidRDefault="00F343E8" w:rsidP="00627216">
      <w:pPr>
        <w:spacing w:line="360" w:lineRule="auto"/>
        <w:ind w:firstLine="720"/>
        <w:jc w:val="both"/>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 xml:space="preserve">Innovativeness was operationalized as the degree to which an individual is relatively earlier in adopting new ideas. The scoring procedure developed by </w:t>
      </w:r>
      <w:proofErr w:type="spellStart"/>
      <w:r w:rsidRPr="005B4384">
        <w:rPr>
          <w:rFonts w:ascii="Times New Roman" w:hAnsi="Times New Roman" w:cs="Times New Roman"/>
          <w:color w:val="000000" w:themeColor="text1"/>
          <w:sz w:val="24"/>
          <w:szCs w:val="24"/>
        </w:rPr>
        <w:t>Kasidurai</w:t>
      </w:r>
      <w:proofErr w:type="spellEnd"/>
      <w:r w:rsidRPr="005B4384">
        <w:rPr>
          <w:rFonts w:ascii="Times New Roman" w:hAnsi="Times New Roman" w:cs="Times New Roman"/>
          <w:color w:val="000000" w:themeColor="text1"/>
          <w:sz w:val="24"/>
          <w:szCs w:val="24"/>
        </w:rPr>
        <w:t xml:space="preserve"> (2017) was used in this study to measure the innovativeness.</w:t>
      </w:r>
    </w:p>
    <w:p w:rsidR="00F343E8" w:rsidRPr="005B4384" w:rsidRDefault="00F343E8" w:rsidP="00F343E8">
      <w:pPr>
        <w:spacing w:line="360" w:lineRule="auto"/>
        <w:jc w:val="both"/>
        <w:rPr>
          <w:rFonts w:ascii="Times New Roman" w:hAnsi="Times New Roman" w:cs="Times New Roman"/>
          <w:b/>
          <w:color w:val="000000" w:themeColor="text1"/>
          <w:sz w:val="24"/>
          <w:szCs w:val="24"/>
        </w:rPr>
      </w:pPr>
      <w:r w:rsidRPr="005B4384">
        <w:rPr>
          <w:rFonts w:ascii="Times New Roman" w:hAnsi="Times New Roman" w:cs="Times New Roman"/>
          <w:b/>
          <w:color w:val="000000" w:themeColor="text1"/>
          <w:sz w:val="24"/>
          <w:szCs w:val="24"/>
        </w:rPr>
        <w:lastRenderedPageBreak/>
        <w:t>Q: when would you prefer to adopt an innovation?</w:t>
      </w:r>
    </w:p>
    <w:tbl>
      <w:tblPr>
        <w:tblStyle w:val="TableGrid"/>
        <w:tblW w:w="0" w:type="auto"/>
        <w:tblLook w:val="04A0" w:firstRow="1" w:lastRow="0" w:firstColumn="1" w:lastColumn="0" w:noHBand="0" w:noVBand="1"/>
      </w:tblPr>
      <w:tblGrid>
        <w:gridCol w:w="961"/>
        <w:gridCol w:w="6823"/>
        <w:gridCol w:w="1232"/>
      </w:tblGrid>
      <w:tr w:rsidR="00F343E8" w:rsidRPr="005B4384" w:rsidTr="00F343E8">
        <w:tc>
          <w:tcPr>
            <w:tcW w:w="961" w:type="dxa"/>
          </w:tcPr>
          <w:p w:rsidR="00F343E8" w:rsidRPr="005B4384" w:rsidRDefault="00F343E8" w:rsidP="00212DA4">
            <w:pPr>
              <w:spacing w:line="360" w:lineRule="auto"/>
              <w:jc w:val="center"/>
              <w:rPr>
                <w:rFonts w:ascii="Times New Roman" w:hAnsi="Times New Roman" w:cs="Times New Roman"/>
                <w:b/>
                <w:color w:val="000000" w:themeColor="text1"/>
                <w:sz w:val="24"/>
                <w:szCs w:val="24"/>
              </w:rPr>
            </w:pPr>
            <w:r w:rsidRPr="005B4384">
              <w:rPr>
                <w:rFonts w:ascii="Times New Roman" w:hAnsi="Times New Roman" w:cs="Times New Roman"/>
                <w:b/>
                <w:color w:val="000000" w:themeColor="text1"/>
                <w:sz w:val="24"/>
                <w:szCs w:val="24"/>
              </w:rPr>
              <w:t>S. No</w:t>
            </w:r>
          </w:p>
        </w:tc>
        <w:tc>
          <w:tcPr>
            <w:tcW w:w="6823" w:type="dxa"/>
          </w:tcPr>
          <w:p w:rsidR="00F343E8" w:rsidRPr="005B4384" w:rsidRDefault="00F343E8" w:rsidP="00212DA4">
            <w:pPr>
              <w:spacing w:line="360" w:lineRule="auto"/>
              <w:jc w:val="center"/>
              <w:rPr>
                <w:rFonts w:ascii="Times New Roman" w:hAnsi="Times New Roman" w:cs="Times New Roman"/>
                <w:b/>
                <w:color w:val="000000" w:themeColor="text1"/>
                <w:sz w:val="24"/>
                <w:szCs w:val="24"/>
              </w:rPr>
            </w:pPr>
            <w:r w:rsidRPr="005B4384">
              <w:rPr>
                <w:rFonts w:ascii="Times New Roman" w:hAnsi="Times New Roman" w:cs="Times New Roman"/>
                <w:b/>
                <w:color w:val="000000" w:themeColor="text1"/>
                <w:sz w:val="24"/>
                <w:szCs w:val="24"/>
              </w:rPr>
              <w:t>Purpose</w:t>
            </w:r>
          </w:p>
        </w:tc>
        <w:tc>
          <w:tcPr>
            <w:tcW w:w="1232" w:type="dxa"/>
          </w:tcPr>
          <w:p w:rsidR="00F343E8" w:rsidRPr="005B4384" w:rsidRDefault="00F343E8" w:rsidP="00212DA4">
            <w:pPr>
              <w:spacing w:line="360" w:lineRule="auto"/>
              <w:jc w:val="center"/>
              <w:rPr>
                <w:rFonts w:ascii="Times New Roman" w:hAnsi="Times New Roman" w:cs="Times New Roman"/>
                <w:b/>
                <w:color w:val="000000" w:themeColor="text1"/>
                <w:sz w:val="24"/>
                <w:szCs w:val="24"/>
              </w:rPr>
            </w:pPr>
            <w:r w:rsidRPr="005B4384">
              <w:rPr>
                <w:rFonts w:ascii="Times New Roman" w:hAnsi="Times New Roman" w:cs="Times New Roman"/>
                <w:b/>
                <w:color w:val="000000" w:themeColor="text1"/>
                <w:sz w:val="24"/>
                <w:szCs w:val="24"/>
              </w:rPr>
              <w:t>Score</w:t>
            </w:r>
          </w:p>
        </w:tc>
      </w:tr>
      <w:tr w:rsidR="00F343E8" w:rsidRPr="005B4384" w:rsidTr="00F343E8">
        <w:tc>
          <w:tcPr>
            <w:tcW w:w="961" w:type="dxa"/>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c>
          <w:tcPr>
            <w:tcW w:w="6823" w:type="dxa"/>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As soon as it is brought to my knowledge</w:t>
            </w:r>
          </w:p>
        </w:tc>
        <w:tc>
          <w:tcPr>
            <w:tcW w:w="1232" w:type="dxa"/>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r>
      <w:tr w:rsidR="00F343E8" w:rsidRPr="005B4384" w:rsidTr="00F343E8">
        <w:tc>
          <w:tcPr>
            <w:tcW w:w="961" w:type="dxa"/>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c>
          <w:tcPr>
            <w:tcW w:w="6823" w:type="dxa"/>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After seeing other farmers have done it successfully</w:t>
            </w:r>
          </w:p>
        </w:tc>
        <w:tc>
          <w:tcPr>
            <w:tcW w:w="1232" w:type="dxa"/>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r>
      <w:tr w:rsidR="00F343E8" w:rsidRPr="005B4384" w:rsidTr="00F343E8">
        <w:tc>
          <w:tcPr>
            <w:tcW w:w="961" w:type="dxa"/>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c>
          <w:tcPr>
            <w:tcW w:w="6823" w:type="dxa"/>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I prefer to wait and take my own time.</w:t>
            </w:r>
          </w:p>
        </w:tc>
        <w:tc>
          <w:tcPr>
            <w:tcW w:w="1232" w:type="dxa"/>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r>
    </w:tbl>
    <w:p w:rsidR="003E592A" w:rsidRPr="005B4384" w:rsidRDefault="004B0FA3" w:rsidP="003E592A">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List 1-</w:t>
      </w:r>
      <w:r w:rsidR="003E592A">
        <w:rPr>
          <w:rFonts w:ascii="Times New Roman" w:hAnsi="Times New Roman" w:cs="Times New Roman"/>
          <w:color w:val="000000" w:themeColor="text1"/>
          <w:sz w:val="24"/>
          <w:szCs w:val="24"/>
        </w:rPr>
        <w:t xml:space="preserve"> </w:t>
      </w:r>
      <w:r w:rsidR="003E592A" w:rsidRPr="005B4384">
        <w:rPr>
          <w:rFonts w:ascii="Times New Roman" w:hAnsi="Times New Roman" w:cs="Times New Roman"/>
          <w:b/>
          <w:bCs/>
          <w:color w:val="000000" w:themeColor="text1"/>
          <w:sz w:val="24"/>
          <w:szCs w:val="24"/>
        </w:rPr>
        <w:t>Innovativeness</w:t>
      </w:r>
      <w:r w:rsidR="003E592A">
        <w:rPr>
          <w:rFonts w:ascii="Times New Roman" w:hAnsi="Times New Roman" w:cs="Times New Roman"/>
          <w:b/>
          <w:bCs/>
          <w:color w:val="000000" w:themeColor="text1"/>
          <w:sz w:val="24"/>
          <w:szCs w:val="24"/>
        </w:rPr>
        <w:t xml:space="preserve"> measured by </w:t>
      </w:r>
      <w:r w:rsidR="00A40CF0">
        <w:rPr>
          <w:rFonts w:ascii="Times New Roman" w:hAnsi="Times New Roman" w:cs="Times New Roman"/>
          <w:b/>
          <w:bCs/>
          <w:color w:val="000000" w:themeColor="text1"/>
          <w:sz w:val="24"/>
          <w:szCs w:val="24"/>
        </w:rPr>
        <w:t>the</w:t>
      </w:r>
      <w:r w:rsidR="003E592A" w:rsidRPr="003E592A">
        <w:rPr>
          <w:rFonts w:ascii="Times New Roman" w:hAnsi="Times New Roman" w:cs="Times New Roman"/>
          <w:b/>
          <w:bCs/>
          <w:color w:val="000000" w:themeColor="text1"/>
          <w:sz w:val="24"/>
          <w:szCs w:val="24"/>
        </w:rPr>
        <w:t xml:space="preserve"> scoring procedure</w:t>
      </w:r>
      <w:r w:rsidR="003E592A" w:rsidRPr="005B4384">
        <w:rPr>
          <w:rFonts w:ascii="Times New Roman" w:hAnsi="Times New Roman" w:cs="Times New Roman"/>
          <w:color w:val="000000" w:themeColor="text1"/>
          <w:sz w:val="24"/>
          <w:szCs w:val="24"/>
        </w:rPr>
        <w:t xml:space="preserve"> </w:t>
      </w:r>
    </w:p>
    <w:p w:rsidR="004B0FA3" w:rsidRDefault="004B0FA3" w:rsidP="002F4C72">
      <w:pPr>
        <w:spacing w:line="360" w:lineRule="auto"/>
        <w:ind w:firstLine="720"/>
        <w:jc w:val="both"/>
        <w:rPr>
          <w:rFonts w:ascii="Times New Roman" w:hAnsi="Times New Roman" w:cs="Times New Roman"/>
          <w:color w:val="000000" w:themeColor="text1"/>
          <w:sz w:val="24"/>
          <w:szCs w:val="24"/>
        </w:rPr>
      </w:pPr>
    </w:p>
    <w:p w:rsidR="00141A5D" w:rsidRDefault="00F343E8" w:rsidP="002F4C72">
      <w:pPr>
        <w:spacing w:line="360" w:lineRule="auto"/>
        <w:ind w:firstLine="720"/>
        <w:jc w:val="both"/>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 xml:space="preserve">The respondents’ </w:t>
      </w:r>
      <w:r>
        <w:rPr>
          <w:rFonts w:ascii="Times New Roman" w:hAnsi="Times New Roman" w:cs="Times New Roman"/>
          <w:color w:val="000000" w:themeColor="text1"/>
          <w:sz w:val="24"/>
          <w:szCs w:val="24"/>
        </w:rPr>
        <w:t>innovativeness</w:t>
      </w:r>
      <w:r w:rsidRPr="005B4384">
        <w:rPr>
          <w:rFonts w:ascii="Times New Roman" w:hAnsi="Times New Roman" w:cs="Times New Roman"/>
          <w:color w:val="000000" w:themeColor="text1"/>
          <w:sz w:val="24"/>
          <w:szCs w:val="24"/>
        </w:rPr>
        <w:t xml:space="preserve"> was classified as high, medium and low by using cumulative frequency method</w:t>
      </w:r>
    </w:p>
    <w:p w:rsidR="00F343E8" w:rsidRPr="005B4384" w:rsidRDefault="00F343E8" w:rsidP="00141A5D">
      <w:pPr>
        <w:spacing w:line="360" w:lineRule="auto"/>
        <w:jc w:val="both"/>
        <w:rPr>
          <w:rFonts w:ascii="Times New Roman" w:hAnsi="Times New Roman" w:cs="Times New Roman"/>
          <w:color w:val="000000" w:themeColor="text1"/>
          <w:sz w:val="24"/>
          <w:szCs w:val="24"/>
        </w:rPr>
      </w:pPr>
      <w:r w:rsidRPr="005B4384">
        <w:rPr>
          <w:rFonts w:ascii="Times New Roman" w:hAnsi="Times New Roman" w:cs="Times New Roman"/>
          <w:b/>
          <w:bCs/>
          <w:color w:val="000000" w:themeColor="text1"/>
          <w:sz w:val="24"/>
          <w:szCs w:val="24"/>
        </w:rPr>
        <w:t>Risk orientation</w:t>
      </w:r>
    </w:p>
    <w:p w:rsidR="00F343E8" w:rsidRDefault="00F343E8" w:rsidP="00F343E8">
      <w:pPr>
        <w:spacing w:line="360" w:lineRule="auto"/>
        <w:ind w:firstLine="720"/>
        <w:jc w:val="both"/>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 xml:space="preserve">Risk orientation was operationalized as the degree to which the respondent was oriented towards risk and uncertainty and has courage to face the problem in adopting the new ideas. The scale developed by Supe (1969) and adopted by </w:t>
      </w:r>
      <w:proofErr w:type="spellStart"/>
      <w:r w:rsidRPr="005B4384">
        <w:rPr>
          <w:rFonts w:ascii="Times New Roman" w:hAnsi="Times New Roman" w:cs="Times New Roman"/>
          <w:color w:val="000000" w:themeColor="text1"/>
          <w:sz w:val="24"/>
          <w:szCs w:val="24"/>
        </w:rPr>
        <w:t>Kasidurai</w:t>
      </w:r>
      <w:proofErr w:type="spellEnd"/>
      <w:r w:rsidRPr="005B4384">
        <w:rPr>
          <w:rFonts w:ascii="Times New Roman" w:hAnsi="Times New Roman" w:cs="Times New Roman"/>
          <w:color w:val="000000" w:themeColor="text1"/>
          <w:sz w:val="24"/>
          <w:szCs w:val="24"/>
        </w:rPr>
        <w:t xml:space="preserve"> (2017) was followed. The scale consisted of six statements of which the first and fifth were negative and rest were positive. The scoring was done as given under.</w:t>
      </w:r>
    </w:p>
    <w:p w:rsidR="004B0FA3" w:rsidRPr="005B4384" w:rsidRDefault="004B0FA3" w:rsidP="00F343E8">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List 2-</w:t>
      </w:r>
      <w:r w:rsidR="00A40CF0">
        <w:rPr>
          <w:rFonts w:ascii="Times New Roman" w:hAnsi="Times New Roman" w:cs="Times New Roman"/>
          <w:color w:val="000000" w:themeColor="text1"/>
          <w:sz w:val="24"/>
          <w:szCs w:val="24"/>
        </w:rPr>
        <w:t xml:space="preserve"> </w:t>
      </w:r>
      <w:r w:rsidR="00A40CF0" w:rsidRPr="005D2CF4">
        <w:rPr>
          <w:rFonts w:ascii="Times New Roman" w:hAnsi="Times New Roman" w:cs="Times New Roman"/>
          <w:b/>
          <w:bCs/>
          <w:color w:val="000000" w:themeColor="text1"/>
          <w:sz w:val="24"/>
          <w:szCs w:val="24"/>
        </w:rPr>
        <w:t>Respondent’s Risk Orientation Score Estimation</w:t>
      </w:r>
      <w:r w:rsidR="00A40CF0" w:rsidRPr="005B4384">
        <w:rPr>
          <w:rFonts w:ascii="Times New Roman" w:hAnsi="Times New Roman" w:cs="Times New Roman"/>
          <w:color w:val="000000" w:themeColor="text1"/>
          <w:sz w:val="24"/>
          <w:szCs w:val="24"/>
        </w:rPr>
        <w:t xml:space="preserve"> </w:t>
      </w:r>
    </w:p>
    <w:tbl>
      <w:tblPr>
        <w:tblStyle w:val="TableGrid"/>
        <w:tblW w:w="0" w:type="auto"/>
        <w:tblLook w:val="04A0" w:firstRow="1" w:lastRow="0" w:firstColumn="1" w:lastColumn="0" w:noHBand="0" w:noVBand="1"/>
      </w:tblPr>
      <w:tblGrid>
        <w:gridCol w:w="2376"/>
        <w:gridCol w:w="1290"/>
        <w:gridCol w:w="1342"/>
        <w:gridCol w:w="1428"/>
        <w:gridCol w:w="1450"/>
        <w:gridCol w:w="1356"/>
      </w:tblGrid>
      <w:tr w:rsidR="00F343E8" w:rsidRPr="005B4384" w:rsidTr="00B37A49">
        <w:trPr>
          <w:trHeight w:val="737"/>
        </w:trPr>
        <w:tc>
          <w:tcPr>
            <w:tcW w:w="2386" w:type="dxa"/>
            <w:vAlign w:val="center"/>
          </w:tcPr>
          <w:p w:rsidR="00F343E8" w:rsidRPr="005B4384" w:rsidRDefault="00F343E8" w:rsidP="00B37A49">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Response</w:t>
            </w:r>
          </w:p>
        </w:tc>
        <w:tc>
          <w:tcPr>
            <w:tcW w:w="1292" w:type="dxa"/>
          </w:tcPr>
          <w:p w:rsidR="00F343E8" w:rsidRPr="005B4384" w:rsidRDefault="00F343E8" w:rsidP="00212DA4">
            <w:pPr>
              <w:spacing w:line="360" w:lineRule="auto"/>
              <w:jc w:val="both"/>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Strongly agree</w:t>
            </w:r>
          </w:p>
        </w:tc>
        <w:tc>
          <w:tcPr>
            <w:tcW w:w="1347" w:type="dxa"/>
          </w:tcPr>
          <w:p w:rsidR="00F343E8" w:rsidRPr="005B4384" w:rsidRDefault="00F343E8" w:rsidP="00212DA4">
            <w:pPr>
              <w:spacing w:line="360" w:lineRule="auto"/>
              <w:jc w:val="both"/>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 xml:space="preserve"> Agree </w:t>
            </w:r>
          </w:p>
        </w:tc>
        <w:tc>
          <w:tcPr>
            <w:tcW w:w="1429" w:type="dxa"/>
          </w:tcPr>
          <w:p w:rsidR="00F343E8" w:rsidRPr="005B4384" w:rsidRDefault="00F343E8" w:rsidP="00212DA4">
            <w:pPr>
              <w:spacing w:line="360" w:lineRule="auto"/>
              <w:jc w:val="both"/>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 xml:space="preserve">Undecided </w:t>
            </w:r>
          </w:p>
        </w:tc>
        <w:tc>
          <w:tcPr>
            <w:tcW w:w="1453" w:type="dxa"/>
          </w:tcPr>
          <w:p w:rsidR="00F343E8" w:rsidRPr="005B4384" w:rsidRDefault="00F343E8" w:rsidP="00212DA4">
            <w:pPr>
              <w:spacing w:line="360" w:lineRule="auto"/>
              <w:jc w:val="both"/>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 xml:space="preserve">Disagree </w:t>
            </w:r>
          </w:p>
        </w:tc>
        <w:tc>
          <w:tcPr>
            <w:tcW w:w="1358" w:type="dxa"/>
          </w:tcPr>
          <w:p w:rsidR="00F343E8" w:rsidRPr="005B4384" w:rsidRDefault="00F343E8" w:rsidP="00212DA4">
            <w:pPr>
              <w:spacing w:line="360" w:lineRule="auto"/>
              <w:jc w:val="both"/>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Strongly disagree</w:t>
            </w:r>
          </w:p>
        </w:tc>
      </w:tr>
      <w:tr w:rsidR="00F343E8" w:rsidRPr="005B4384" w:rsidTr="00212DA4">
        <w:tc>
          <w:tcPr>
            <w:tcW w:w="2386" w:type="dxa"/>
          </w:tcPr>
          <w:p w:rsidR="00F343E8" w:rsidRPr="005B4384" w:rsidRDefault="00F343E8" w:rsidP="00212DA4">
            <w:pPr>
              <w:spacing w:line="360" w:lineRule="auto"/>
              <w:jc w:val="both"/>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Score for positive statement</w:t>
            </w:r>
          </w:p>
        </w:tc>
        <w:tc>
          <w:tcPr>
            <w:tcW w:w="1292" w:type="dxa"/>
            <w:vAlign w:val="center"/>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7</w:t>
            </w:r>
          </w:p>
        </w:tc>
        <w:tc>
          <w:tcPr>
            <w:tcW w:w="1347" w:type="dxa"/>
            <w:vAlign w:val="center"/>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5</w:t>
            </w:r>
          </w:p>
        </w:tc>
        <w:tc>
          <w:tcPr>
            <w:tcW w:w="1429" w:type="dxa"/>
            <w:vAlign w:val="center"/>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4</w:t>
            </w:r>
          </w:p>
        </w:tc>
        <w:tc>
          <w:tcPr>
            <w:tcW w:w="1453" w:type="dxa"/>
            <w:vAlign w:val="center"/>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c>
          <w:tcPr>
            <w:tcW w:w="1358" w:type="dxa"/>
            <w:vAlign w:val="center"/>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r>
      <w:tr w:rsidR="00F343E8" w:rsidRPr="005B4384" w:rsidTr="00212DA4">
        <w:trPr>
          <w:trHeight w:val="80"/>
        </w:trPr>
        <w:tc>
          <w:tcPr>
            <w:tcW w:w="2386" w:type="dxa"/>
          </w:tcPr>
          <w:p w:rsidR="00F343E8" w:rsidRPr="005B4384" w:rsidRDefault="00F343E8" w:rsidP="00212DA4">
            <w:pPr>
              <w:spacing w:line="360" w:lineRule="auto"/>
              <w:jc w:val="both"/>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Score for negative statement</w:t>
            </w:r>
          </w:p>
        </w:tc>
        <w:tc>
          <w:tcPr>
            <w:tcW w:w="1292" w:type="dxa"/>
            <w:vAlign w:val="center"/>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c>
          <w:tcPr>
            <w:tcW w:w="1347" w:type="dxa"/>
            <w:vAlign w:val="center"/>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c>
          <w:tcPr>
            <w:tcW w:w="1429" w:type="dxa"/>
            <w:vAlign w:val="center"/>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4</w:t>
            </w:r>
          </w:p>
        </w:tc>
        <w:tc>
          <w:tcPr>
            <w:tcW w:w="1453" w:type="dxa"/>
            <w:vAlign w:val="center"/>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5</w:t>
            </w:r>
          </w:p>
        </w:tc>
        <w:tc>
          <w:tcPr>
            <w:tcW w:w="1358" w:type="dxa"/>
            <w:vAlign w:val="center"/>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7</w:t>
            </w:r>
          </w:p>
        </w:tc>
      </w:tr>
    </w:tbl>
    <w:p w:rsidR="00F343E8" w:rsidRPr="005B4384" w:rsidRDefault="00F343E8" w:rsidP="00F343E8">
      <w:pPr>
        <w:spacing w:line="360" w:lineRule="auto"/>
        <w:jc w:val="both"/>
        <w:rPr>
          <w:rFonts w:ascii="Times New Roman" w:hAnsi="Times New Roman" w:cs="Times New Roman"/>
          <w:color w:val="000000" w:themeColor="text1"/>
          <w:sz w:val="24"/>
          <w:szCs w:val="24"/>
        </w:rPr>
      </w:pPr>
    </w:p>
    <w:p w:rsidR="002C23E9" w:rsidRPr="00645410" w:rsidRDefault="00F343E8" w:rsidP="00645410">
      <w:pPr>
        <w:spacing w:line="360" w:lineRule="auto"/>
        <w:ind w:firstLine="720"/>
        <w:jc w:val="both"/>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The scores obtained for each were summed up to get the individual respondent’s risk orientation score. The respondents’ risk orientation was classified as high, medium and low by using cumulative frequency method.</w:t>
      </w:r>
    </w:p>
    <w:p w:rsidR="002C3D0C" w:rsidRPr="00F83819" w:rsidRDefault="002C3D0C" w:rsidP="002C3D0C">
      <w:pPr>
        <w:spacing w:line="360" w:lineRule="auto"/>
        <w:jc w:val="both"/>
        <w:rPr>
          <w:rFonts w:ascii="Times New Roman" w:hAnsi="Times New Roman" w:cs="Times New Roman"/>
          <w:b/>
          <w:bCs/>
          <w:sz w:val="24"/>
          <w:szCs w:val="24"/>
          <w:lang w:val="en-US"/>
        </w:rPr>
      </w:pPr>
      <w:r w:rsidRPr="00F83819">
        <w:rPr>
          <w:rFonts w:ascii="Times New Roman" w:hAnsi="Times New Roman" w:cs="Times New Roman"/>
          <w:b/>
          <w:bCs/>
          <w:sz w:val="24"/>
          <w:szCs w:val="24"/>
          <w:lang w:val="en-US"/>
        </w:rPr>
        <w:t>Information source utilization</w:t>
      </w:r>
    </w:p>
    <w:p w:rsidR="00F04B2F" w:rsidRPr="002C3D0C" w:rsidRDefault="002C3D0C" w:rsidP="002C3D0C">
      <w:pPr>
        <w:spacing w:line="360" w:lineRule="auto"/>
        <w:jc w:val="both"/>
        <w:rPr>
          <w:rFonts w:ascii="Times New Roman" w:hAnsi="Times New Roman" w:cs="Times New Roman"/>
          <w:sz w:val="24"/>
          <w:szCs w:val="24"/>
          <w:lang w:val="en-US"/>
        </w:rPr>
      </w:pPr>
      <w:r w:rsidRPr="00F83819">
        <w:rPr>
          <w:rFonts w:ascii="Times New Roman" w:hAnsi="Times New Roman" w:cs="Times New Roman"/>
          <w:b/>
          <w:bCs/>
          <w:sz w:val="24"/>
          <w:szCs w:val="24"/>
          <w:lang w:val="en-US"/>
        </w:rPr>
        <w:tab/>
      </w:r>
      <w:r w:rsidRPr="00F83819">
        <w:rPr>
          <w:rFonts w:ascii="Times New Roman" w:hAnsi="Times New Roman" w:cs="Times New Roman"/>
          <w:sz w:val="24"/>
          <w:szCs w:val="24"/>
          <w:lang w:val="en-US"/>
        </w:rPr>
        <w:t xml:space="preserve">Information source utilization in this study referred to the frequency of utilization of three major sources viz., </w:t>
      </w:r>
      <w:proofErr w:type="spellStart"/>
      <w:r w:rsidRPr="00F83819">
        <w:rPr>
          <w:rFonts w:ascii="Times New Roman" w:hAnsi="Times New Roman" w:cs="Times New Roman"/>
          <w:sz w:val="24"/>
          <w:szCs w:val="24"/>
          <w:lang w:val="en-US"/>
        </w:rPr>
        <w:t>i</w:t>
      </w:r>
      <w:proofErr w:type="spellEnd"/>
      <w:r w:rsidRPr="00F83819">
        <w:rPr>
          <w:rFonts w:ascii="Times New Roman" w:hAnsi="Times New Roman" w:cs="Times New Roman"/>
          <w:sz w:val="24"/>
          <w:szCs w:val="24"/>
          <w:lang w:val="en-US"/>
        </w:rPr>
        <w:t>.</w:t>
      </w:r>
      <w:r>
        <w:rPr>
          <w:rFonts w:ascii="Times New Roman" w:hAnsi="Times New Roman" w:cs="Times New Roman"/>
          <w:sz w:val="24"/>
          <w:szCs w:val="24"/>
          <w:lang w:val="en-US"/>
        </w:rPr>
        <w:t>)</w:t>
      </w:r>
      <w:r w:rsidRPr="00F83819">
        <w:rPr>
          <w:rFonts w:ascii="Times New Roman" w:hAnsi="Times New Roman" w:cs="Times New Roman"/>
          <w:sz w:val="24"/>
          <w:szCs w:val="24"/>
          <w:lang w:val="en-US"/>
        </w:rPr>
        <w:t xml:space="preserve"> Personal cosmopolite, ii.</w:t>
      </w:r>
      <w:r>
        <w:rPr>
          <w:rFonts w:ascii="Times New Roman" w:hAnsi="Times New Roman" w:cs="Times New Roman"/>
          <w:sz w:val="24"/>
          <w:szCs w:val="24"/>
          <w:lang w:val="en-US"/>
        </w:rPr>
        <w:t>)</w:t>
      </w:r>
      <w:r w:rsidRPr="00F83819">
        <w:rPr>
          <w:rFonts w:ascii="Times New Roman" w:hAnsi="Times New Roman" w:cs="Times New Roman"/>
          <w:sz w:val="24"/>
          <w:szCs w:val="24"/>
          <w:lang w:val="en-US"/>
        </w:rPr>
        <w:t xml:space="preserve"> Personal localite and iii.</w:t>
      </w:r>
      <w:r>
        <w:rPr>
          <w:rFonts w:ascii="Times New Roman" w:hAnsi="Times New Roman" w:cs="Times New Roman"/>
          <w:sz w:val="24"/>
          <w:szCs w:val="24"/>
          <w:lang w:val="en-US"/>
        </w:rPr>
        <w:t>)</w:t>
      </w:r>
      <w:r w:rsidRPr="00F83819">
        <w:rPr>
          <w:rFonts w:ascii="Times New Roman" w:hAnsi="Times New Roman" w:cs="Times New Roman"/>
          <w:sz w:val="24"/>
          <w:szCs w:val="24"/>
          <w:lang w:val="en-US"/>
        </w:rPr>
        <w:t xml:space="preserve"> Impersonal </w:t>
      </w:r>
      <w:r w:rsidRPr="00F83819">
        <w:rPr>
          <w:rFonts w:ascii="Times New Roman" w:hAnsi="Times New Roman" w:cs="Times New Roman"/>
          <w:sz w:val="24"/>
          <w:szCs w:val="24"/>
          <w:lang w:val="en-US"/>
        </w:rPr>
        <w:lastRenderedPageBreak/>
        <w:t>cosmopolite sources by the respondents. The scoring procedure followed by Balu (2018) was adopted, the scores of 3, 2 and 1 were given for the respondents such as frequently, sometimes and never respectively. The summation of scores against all the sources yielded the information source utilization score for an individual.</w:t>
      </w:r>
    </w:p>
    <w:p w:rsidR="00144DE2" w:rsidRPr="00232167" w:rsidRDefault="00144DE2" w:rsidP="00144DE2">
      <w:pPr>
        <w:spacing w:line="360" w:lineRule="auto"/>
        <w:jc w:val="both"/>
        <w:rPr>
          <w:rFonts w:ascii="Times New Roman" w:hAnsi="Times New Roman" w:cs="Times New Roman"/>
          <w:b/>
          <w:bCs/>
          <w:color w:val="000000" w:themeColor="text1"/>
          <w:sz w:val="24"/>
          <w:szCs w:val="24"/>
        </w:rPr>
      </w:pPr>
      <w:r w:rsidRPr="00232167">
        <w:rPr>
          <w:rFonts w:ascii="Times New Roman" w:hAnsi="Times New Roman" w:cs="Times New Roman"/>
          <w:b/>
          <w:bCs/>
          <w:color w:val="000000" w:themeColor="text1"/>
          <w:sz w:val="24"/>
          <w:szCs w:val="24"/>
        </w:rPr>
        <w:t>Results and Discussion</w:t>
      </w:r>
    </w:p>
    <w:p w:rsidR="006575D2" w:rsidRDefault="00232167" w:rsidP="006575D2">
      <w:pPr>
        <w:spacing w:after="0" w:line="360" w:lineRule="auto"/>
        <w:jc w:val="both"/>
        <w:rPr>
          <w:rFonts w:ascii="Times New Roman" w:hAnsi="Times New Roman" w:cs="Times New Roman"/>
          <w:b/>
          <w:bCs/>
          <w:sz w:val="24"/>
          <w:szCs w:val="24"/>
        </w:rPr>
      </w:pPr>
      <w:r w:rsidRPr="006F788F">
        <w:rPr>
          <w:rFonts w:ascii="Times New Roman" w:hAnsi="Times New Roman" w:cs="Times New Roman"/>
          <w:b/>
          <w:bCs/>
          <w:sz w:val="24"/>
          <w:szCs w:val="24"/>
        </w:rPr>
        <w:t>Innovativeness</w:t>
      </w:r>
    </w:p>
    <w:p w:rsidR="002C3D0C" w:rsidRDefault="00232167" w:rsidP="00F04B2F">
      <w:pPr>
        <w:spacing w:after="0" w:line="360" w:lineRule="auto"/>
        <w:ind w:firstLine="720"/>
        <w:jc w:val="both"/>
        <w:rPr>
          <w:rFonts w:ascii="Times New Roman" w:hAnsi="Times New Roman" w:cs="Times New Roman"/>
          <w:b/>
          <w:bCs/>
          <w:sz w:val="24"/>
          <w:szCs w:val="24"/>
        </w:rPr>
      </w:pPr>
      <w:r w:rsidRPr="006F788F">
        <w:rPr>
          <w:rFonts w:ascii="Times New Roman" w:hAnsi="Times New Roman" w:cs="Times New Roman"/>
          <w:sz w:val="24"/>
          <w:szCs w:val="24"/>
        </w:rPr>
        <w:t>The innovativeness of the respondents was me</w:t>
      </w:r>
      <w:r>
        <w:rPr>
          <w:rFonts w:ascii="Times New Roman" w:hAnsi="Times New Roman" w:cs="Times New Roman"/>
          <w:sz w:val="24"/>
          <w:szCs w:val="24"/>
        </w:rPr>
        <w:t>asured and shown in the Table 1</w:t>
      </w:r>
      <w:r w:rsidRPr="006F788F">
        <w:rPr>
          <w:rFonts w:ascii="Times New Roman" w:hAnsi="Times New Roman" w:cs="Times New Roman"/>
          <w:sz w:val="24"/>
          <w:szCs w:val="24"/>
        </w:rPr>
        <w:t>.</w:t>
      </w:r>
    </w:p>
    <w:p w:rsidR="002C3D0C" w:rsidRDefault="002C3D0C" w:rsidP="006575D2">
      <w:pPr>
        <w:spacing w:after="0" w:line="240" w:lineRule="auto"/>
        <w:jc w:val="both"/>
        <w:rPr>
          <w:rFonts w:ascii="Times New Roman" w:hAnsi="Times New Roman" w:cs="Times New Roman"/>
          <w:b/>
          <w:bCs/>
          <w:sz w:val="24"/>
          <w:szCs w:val="24"/>
        </w:rPr>
      </w:pPr>
    </w:p>
    <w:p w:rsidR="00232167" w:rsidRDefault="00232167" w:rsidP="006575D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1</w:t>
      </w:r>
      <w:r w:rsidRPr="006F788F">
        <w:rPr>
          <w:rFonts w:ascii="Times New Roman" w:hAnsi="Times New Roman" w:cs="Times New Roman"/>
          <w:b/>
          <w:bCs/>
          <w:sz w:val="24"/>
          <w:szCs w:val="24"/>
        </w:rPr>
        <w:t>. Distribution of respondents according t</w:t>
      </w:r>
      <w:r>
        <w:rPr>
          <w:rFonts w:ascii="Times New Roman" w:hAnsi="Times New Roman" w:cs="Times New Roman"/>
          <w:b/>
          <w:bCs/>
          <w:sz w:val="24"/>
          <w:szCs w:val="24"/>
        </w:rPr>
        <w:t>o their level of Innovativeness</w:t>
      </w:r>
    </w:p>
    <w:p w:rsidR="00232167" w:rsidRPr="006F788F" w:rsidRDefault="00232167" w:rsidP="00232167">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6F788F">
        <w:rPr>
          <w:rFonts w:ascii="Times New Roman" w:hAnsi="Times New Roman" w:cs="Times New Roman"/>
          <w:b/>
          <w:bCs/>
          <w:sz w:val="24"/>
          <w:szCs w:val="24"/>
        </w:rPr>
        <w:t>(n=120)</w:t>
      </w:r>
    </w:p>
    <w:tbl>
      <w:tblPr>
        <w:tblStyle w:val="TableGrid"/>
        <w:tblW w:w="0" w:type="auto"/>
        <w:tblInd w:w="-5" w:type="dxa"/>
        <w:tblLayout w:type="fixed"/>
        <w:tblLook w:val="04A0" w:firstRow="1" w:lastRow="0" w:firstColumn="1" w:lastColumn="0" w:noHBand="0" w:noVBand="1"/>
      </w:tblPr>
      <w:tblGrid>
        <w:gridCol w:w="1013"/>
        <w:gridCol w:w="3098"/>
        <w:gridCol w:w="2835"/>
        <w:gridCol w:w="1985"/>
      </w:tblGrid>
      <w:tr w:rsidR="00232167" w:rsidRPr="006F788F" w:rsidTr="00AC77C3">
        <w:trPr>
          <w:trHeight w:val="726"/>
        </w:trPr>
        <w:tc>
          <w:tcPr>
            <w:tcW w:w="1013" w:type="dxa"/>
            <w:tcBorders>
              <w:top w:val="single" w:sz="4" w:space="0" w:color="auto"/>
              <w:left w:val="single" w:sz="4" w:space="0" w:color="auto"/>
              <w:bottom w:val="single" w:sz="4" w:space="0" w:color="auto"/>
              <w:right w:val="single" w:sz="4" w:space="0" w:color="auto"/>
            </w:tcBorders>
            <w:vAlign w:val="center"/>
            <w:hideMark/>
          </w:tcPr>
          <w:p w:rsidR="00232167" w:rsidRPr="006F788F" w:rsidRDefault="00232167"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3098" w:type="dxa"/>
            <w:tcBorders>
              <w:top w:val="single" w:sz="4" w:space="0" w:color="auto"/>
              <w:left w:val="single" w:sz="4" w:space="0" w:color="auto"/>
              <w:bottom w:val="single" w:sz="4" w:space="0" w:color="auto"/>
              <w:right w:val="single" w:sz="4" w:space="0" w:color="auto"/>
            </w:tcBorders>
            <w:vAlign w:val="center"/>
            <w:hideMark/>
          </w:tcPr>
          <w:p w:rsidR="00232167" w:rsidRPr="006F788F" w:rsidRDefault="00232167"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835"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1985"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12DA4">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232167" w:rsidRPr="006F788F" w:rsidTr="00AC77C3">
        <w:trPr>
          <w:trHeight w:val="718"/>
        </w:trPr>
        <w:tc>
          <w:tcPr>
            <w:tcW w:w="1013"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32167">
            <w:pPr>
              <w:pStyle w:val="ListParagraph"/>
              <w:numPr>
                <w:ilvl w:val="0"/>
                <w:numId w:val="2"/>
              </w:numPr>
              <w:spacing w:line="360" w:lineRule="auto"/>
              <w:jc w:val="center"/>
              <w:rPr>
                <w:rFonts w:ascii="Times New Roman" w:hAnsi="Times New Roman" w:cs="Times New Roman"/>
                <w:sz w:val="24"/>
                <w:szCs w:val="24"/>
              </w:rPr>
            </w:pPr>
          </w:p>
        </w:tc>
        <w:tc>
          <w:tcPr>
            <w:tcW w:w="3098" w:type="dxa"/>
            <w:tcBorders>
              <w:top w:val="single" w:sz="4" w:space="0" w:color="auto"/>
              <w:left w:val="single" w:sz="4" w:space="0" w:color="auto"/>
              <w:bottom w:val="single" w:sz="4" w:space="0" w:color="auto"/>
              <w:right w:val="single" w:sz="4" w:space="0" w:color="auto"/>
            </w:tcBorders>
            <w:vAlign w:val="center"/>
            <w:hideMark/>
          </w:tcPr>
          <w:p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Low</w:t>
            </w:r>
          </w:p>
        </w:tc>
        <w:tc>
          <w:tcPr>
            <w:tcW w:w="2835"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1985"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22.5</w:t>
            </w:r>
            <w:r w:rsidRPr="006F788F">
              <w:rPr>
                <w:rFonts w:ascii="Times New Roman" w:hAnsi="Times New Roman" w:cs="Times New Roman"/>
                <w:sz w:val="24"/>
                <w:szCs w:val="24"/>
              </w:rPr>
              <w:t>0</w:t>
            </w:r>
          </w:p>
        </w:tc>
      </w:tr>
      <w:tr w:rsidR="00232167" w:rsidRPr="006F788F" w:rsidTr="00AC77C3">
        <w:trPr>
          <w:trHeight w:val="738"/>
        </w:trPr>
        <w:tc>
          <w:tcPr>
            <w:tcW w:w="1013"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32167">
            <w:pPr>
              <w:pStyle w:val="ListParagraph"/>
              <w:numPr>
                <w:ilvl w:val="0"/>
                <w:numId w:val="2"/>
              </w:numPr>
              <w:spacing w:line="360" w:lineRule="auto"/>
              <w:jc w:val="center"/>
              <w:rPr>
                <w:rFonts w:ascii="Times New Roman" w:hAnsi="Times New Roman" w:cs="Times New Roman"/>
                <w:sz w:val="24"/>
                <w:szCs w:val="24"/>
              </w:rPr>
            </w:pPr>
          </w:p>
        </w:tc>
        <w:tc>
          <w:tcPr>
            <w:tcW w:w="3098" w:type="dxa"/>
            <w:tcBorders>
              <w:top w:val="single" w:sz="4" w:space="0" w:color="auto"/>
              <w:left w:val="single" w:sz="4" w:space="0" w:color="auto"/>
              <w:bottom w:val="single" w:sz="4" w:space="0" w:color="auto"/>
              <w:right w:val="single" w:sz="4" w:space="0" w:color="auto"/>
            </w:tcBorders>
            <w:vAlign w:val="center"/>
            <w:hideMark/>
          </w:tcPr>
          <w:p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Medium</w:t>
            </w:r>
          </w:p>
        </w:tc>
        <w:tc>
          <w:tcPr>
            <w:tcW w:w="2835"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69</w:t>
            </w:r>
          </w:p>
        </w:tc>
        <w:tc>
          <w:tcPr>
            <w:tcW w:w="1985"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57</w:t>
            </w:r>
            <w:r w:rsidRPr="006F788F">
              <w:rPr>
                <w:rFonts w:ascii="Times New Roman" w:hAnsi="Times New Roman" w:cs="Times New Roman"/>
                <w:sz w:val="24"/>
                <w:szCs w:val="24"/>
              </w:rPr>
              <w:t>.50</w:t>
            </w:r>
          </w:p>
        </w:tc>
      </w:tr>
      <w:tr w:rsidR="00232167" w:rsidRPr="006F788F" w:rsidTr="00AC77C3">
        <w:trPr>
          <w:trHeight w:val="644"/>
        </w:trPr>
        <w:tc>
          <w:tcPr>
            <w:tcW w:w="1013"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32167">
            <w:pPr>
              <w:pStyle w:val="ListParagraph"/>
              <w:numPr>
                <w:ilvl w:val="0"/>
                <w:numId w:val="2"/>
              </w:numPr>
              <w:spacing w:line="360" w:lineRule="auto"/>
              <w:jc w:val="center"/>
              <w:rPr>
                <w:rFonts w:ascii="Times New Roman" w:hAnsi="Times New Roman" w:cs="Times New Roman"/>
                <w:sz w:val="24"/>
                <w:szCs w:val="24"/>
              </w:rPr>
            </w:pPr>
          </w:p>
        </w:tc>
        <w:tc>
          <w:tcPr>
            <w:tcW w:w="3098" w:type="dxa"/>
            <w:tcBorders>
              <w:top w:val="single" w:sz="4" w:space="0" w:color="auto"/>
              <w:left w:val="single" w:sz="4" w:space="0" w:color="auto"/>
              <w:bottom w:val="single" w:sz="4" w:space="0" w:color="auto"/>
              <w:right w:val="single" w:sz="4" w:space="0" w:color="auto"/>
            </w:tcBorders>
            <w:vAlign w:val="center"/>
            <w:hideMark/>
          </w:tcPr>
          <w:p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High</w:t>
            </w:r>
          </w:p>
        </w:tc>
        <w:tc>
          <w:tcPr>
            <w:tcW w:w="2835"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1985"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20.00</w:t>
            </w:r>
          </w:p>
        </w:tc>
      </w:tr>
      <w:tr w:rsidR="00232167" w:rsidRPr="006F788F" w:rsidTr="006575D2">
        <w:trPr>
          <w:trHeight w:val="70"/>
        </w:trPr>
        <w:tc>
          <w:tcPr>
            <w:tcW w:w="4111" w:type="dxa"/>
            <w:gridSpan w:val="2"/>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 xml:space="preserve">Total </w:t>
            </w:r>
          </w:p>
        </w:tc>
        <w:tc>
          <w:tcPr>
            <w:tcW w:w="2835"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1985"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AC77C3">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rsidR="00B37A49" w:rsidRDefault="006B2377" w:rsidP="00A725BE">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bidi="ta-IN"/>
        </w:rPr>
        <w:drawing>
          <wp:anchor distT="0" distB="0" distL="114300" distR="114300" simplePos="0" relativeHeight="251658240" behindDoc="1" locked="0" layoutInCell="1" allowOverlap="1">
            <wp:simplePos x="0" y="0"/>
            <wp:positionH relativeFrom="margin">
              <wp:posOffset>-76200</wp:posOffset>
            </wp:positionH>
            <wp:positionV relativeFrom="paragraph">
              <wp:posOffset>266065</wp:posOffset>
            </wp:positionV>
            <wp:extent cx="5719445" cy="3324225"/>
            <wp:effectExtent l="0" t="0" r="14605" b="9525"/>
            <wp:wrapTight wrapText="bothSides">
              <wp:wrapPolygon edited="0">
                <wp:start x="0" y="0"/>
                <wp:lineTo x="0" y="21538"/>
                <wp:lineTo x="21583" y="21538"/>
                <wp:lineTo x="21583" y="0"/>
                <wp:lineTo x="0" y="0"/>
              </wp:wrapPolygon>
            </wp:wrapTight>
            <wp:docPr id="200528945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B37A49" w:rsidRDefault="000D15B2" w:rsidP="00AC77C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Rectangle 2" o:spid="_x0000_s1026" style="position:absolute;left:0;text-align:left;margin-left:-7.5pt;margin-top:6.75pt;width:451.85pt;height:43.6pt;z-index:2516592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5rhVQIAAPcEAAAOAAAAZHJzL2Uyb0RvYy54bWysVMFu2zAMvQ/YPwi6L07SZG2DOkXQosOA&#10;oA2WDj0rstQYk0WNUmJnXz9Kdtysy2nYRZZEPlJ8fPTNbVMZtlfoS7A5Hw2GnCkroSjta86/Pz98&#10;uuLMB2ELYcCqnB+U57fzjx9uajdTY9iCKRQyCmL9rHY534bgZlnm5VZVwg/AKUtGDViJQEd8zQoU&#10;NUWvTDYeDj9nNWDhEKTynm7vWyOfp/haKxmetPYqMJNzeltIK6Z1E9dsfiNmryjctpTdM8Q/vKIS&#10;paWkfah7EQTbYflXqKqUCB50GEioMtC6lCrVQNWMhu+qWW+FU6kWIse7nib//8LKx/3arZBoqJ2f&#10;edrGKhqNVfzS+1iTyDr0ZKkmMEmX08uLq8n1lDNJtun04nKc2Mze0A59+KKgYnGTc6RmJI7EfukD&#10;ZSTXowsd3vKnXTgYFZ9g7DelWVlQxnFCJ2moO4NsL6ipQkplwzQ2kuIl7wjTpTE9cHQOaMKoA3W+&#10;EaaSZHrg8Bzwz4w9ImUFG3pwVVrAcwGKH33m1v9YfVtzLD80m6bryQaKwwoZQqtd7+RDSXwuhQ8r&#10;gSRWkjUNYHiiRRuocw7djrMt4K9z99GfNERWzmoSf879z51AxZn5akld16PJJE5LOkymsbUMTy2b&#10;U4vdVXdArRjRqDuZttE/mONWI1QvNKeLmJVMwkrKnXMZ8Hi4C+1Q0qRLtVgkN5oQJ8LSrp2MwSPB&#10;US/PzYtA14kqkBwf4TgoYvZOW61vRFpY7ALoMgkvUtzy2lFP05X00/0J4vienpPX2/9q/hsAAP//&#10;AwBQSwMEFAAGAAgAAAAhANpNwa3jAAAACwEAAA8AAABkcnMvZG93bnJldi54bWxMj0FLw0AQhe+C&#10;/2EZwVu7SaU1xmyKVAQLopgWtLdtdppEs7Mxu23iv3c86XGYx/fely1H24oT9r5xpCCeRiCQSmca&#10;qhRsNw+TBIQPmoxuHaGCb/SwzM/PMp0aN9ArnopQCYaQT7WCOoQuldKXNVrtp65D4t/B9VYHPvtK&#10;ml4PDLetnEXRQlrdEDfUusNVjeVncbQK5s+DfFl9FTf14fH9fv22W9unj51Slxfj3S2IgGP4C8Pv&#10;fJ4OOW/auyMZL1oFk3jOLoFhsyt24ESSJNcg9goWcRyBzDP53yH/AQAA//8DAFBLAQItABQABgAI&#10;AAAAIQC2gziS/gAAAOEBAAATAAAAAAAAAAAAAAAAAAAAAABbQ29udGVudF9UeXBlc10ueG1sUEsB&#10;Ai0AFAAGAAgAAAAhADj9If/WAAAAlAEAAAsAAAAAAAAAAAAAAAAALwEAAF9yZWxzLy5yZWxzUEsB&#10;Ai0AFAAGAAgAAAAhAO03muFVAgAA9wQAAA4AAAAAAAAAAAAAAAAALgIAAGRycy9lMm9Eb2MueG1s&#10;UEsBAi0AFAAGAAgAAAAhANpNwa3jAAAACwEAAA8AAAAAAAAAAAAAAAAArwQAAGRycy9kb3ducmV2&#10;LnhtbFBLBQYAAAAABAAEAPMAAAC/BQAAAAA=&#10;" fillcolor="white [3201]" strokecolor="#a02b93 [3208]" strokeweight="1pt">
            <v:textbox>
              <w:txbxContent>
                <w:p w:rsidR="00AC77C3" w:rsidRPr="00AC77C3" w:rsidRDefault="00AC77C3" w:rsidP="00AC77C3">
                  <w:pPr>
                    <w:spacing w:line="276" w:lineRule="auto"/>
                    <w:jc w:val="center"/>
                    <w:rPr>
                      <w:rFonts w:ascii="Times New Roman" w:hAnsi="Times New Roman" w:cs="Times New Roman"/>
                      <w:b/>
                      <w:bCs/>
                      <w:color w:val="FF0000"/>
                      <w:sz w:val="28"/>
                      <w:szCs w:val="28"/>
                    </w:rPr>
                  </w:pPr>
                  <w:r w:rsidRPr="00AC77C3">
                    <w:rPr>
                      <w:rFonts w:ascii="Times New Roman" w:hAnsi="Times New Roman" w:cs="Times New Roman"/>
                      <w:b/>
                      <w:bCs/>
                      <w:color w:val="FF0000"/>
                      <w:sz w:val="28"/>
                      <w:szCs w:val="28"/>
                    </w:rPr>
                    <w:t>Fig 1. It shows th</w:t>
                  </w:r>
                  <w:r w:rsidR="00106ECF">
                    <w:rPr>
                      <w:rFonts w:ascii="Times New Roman" w:hAnsi="Times New Roman" w:cs="Times New Roman"/>
                      <w:b/>
                      <w:bCs/>
                      <w:color w:val="FF0000"/>
                      <w:sz w:val="28"/>
                      <w:szCs w:val="28"/>
                    </w:rPr>
                    <w:t>e</w:t>
                  </w:r>
                  <w:r w:rsidRPr="00AC77C3">
                    <w:rPr>
                      <w:rFonts w:ascii="Times New Roman" w:hAnsi="Times New Roman" w:cs="Times New Roman"/>
                      <w:b/>
                      <w:bCs/>
                      <w:color w:val="FF0000"/>
                      <w:sz w:val="28"/>
                      <w:szCs w:val="28"/>
                    </w:rPr>
                    <w:t xml:space="preserve"> innovativeness level of the paddy growers regarding recommended biofertilizers practices</w:t>
                  </w:r>
                </w:p>
                <w:p w:rsidR="00AC77C3" w:rsidRDefault="00AC77C3" w:rsidP="00AC77C3">
                  <w:pPr>
                    <w:jc w:val="center"/>
                  </w:pPr>
                </w:p>
              </w:txbxContent>
            </v:textbox>
            <w10:wrap anchorx="margin"/>
          </v:rect>
        </w:pict>
      </w:r>
    </w:p>
    <w:p w:rsidR="006B2377" w:rsidRDefault="006B2377" w:rsidP="00627216">
      <w:pPr>
        <w:spacing w:line="360" w:lineRule="auto"/>
        <w:jc w:val="both"/>
        <w:rPr>
          <w:rFonts w:ascii="Times New Roman" w:hAnsi="Times New Roman" w:cs="Times New Roman"/>
          <w:sz w:val="24"/>
          <w:szCs w:val="24"/>
        </w:rPr>
      </w:pPr>
    </w:p>
    <w:p w:rsidR="00B37A49" w:rsidRDefault="00232167" w:rsidP="00D8158E">
      <w:pPr>
        <w:spacing w:line="360" w:lineRule="auto"/>
        <w:ind w:firstLine="720"/>
        <w:jc w:val="both"/>
        <w:rPr>
          <w:rFonts w:ascii="Times New Roman" w:hAnsi="Times New Roman" w:cs="Times New Roman"/>
          <w:b/>
          <w:bCs/>
          <w:sz w:val="24"/>
          <w:szCs w:val="24"/>
        </w:rPr>
      </w:pPr>
      <w:r w:rsidRPr="006F788F">
        <w:rPr>
          <w:rFonts w:ascii="Times New Roman" w:hAnsi="Times New Roman" w:cs="Times New Roman"/>
          <w:sz w:val="24"/>
          <w:szCs w:val="24"/>
        </w:rPr>
        <w:t>It</w:t>
      </w:r>
      <w:r>
        <w:rPr>
          <w:rFonts w:ascii="Times New Roman" w:hAnsi="Times New Roman" w:cs="Times New Roman"/>
          <w:sz w:val="24"/>
          <w:szCs w:val="24"/>
        </w:rPr>
        <w:t xml:space="preserve"> could be inferred from Table 1</w:t>
      </w:r>
      <w:r w:rsidR="00AC77C3">
        <w:rPr>
          <w:rFonts w:ascii="Times New Roman" w:hAnsi="Times New Roman" w:cs="Times New Roman"/>
          <w:sz w:val="24"/>
          <w:szCs w:val="24"/>
        </w:rPr>
        <w:t xml:space="preserve"> and Figure 1</w:t>
      </w:r>
      <w:r w:rsidRPr="006F788F">
        <w:rPr>
          <w:rFonts w:ascii="Times New Roman" w:hAnsi="Times New Roman" w:cs="Times New Roman"/>
          <w:sz w:val="24"/>
          <w:szCs w:val="24"/>
        </w:rPr>
        <w:t>,</w:t>
      </w:r>
      <w:r w:rsidR="00496C4A">
        <w:rPr>
          <w:rFonts w:ascii="Times New Roman" w:hAnsi="Times New Roman" w:cs="Times New Roman"/>
          <w:sz w:val="24"/>
          <w:szCs w:val="24"/>
        </w:rPr>
        <w:t xml:space="preserve"> slightly</w:t>
      </w:r>
      <w:r w:rsidRPr="006F788F">
        <w:rPr>
          <w:rFonts w:ascii="Times New Roman" w:hAnsi="Times New Roman" w:cs="Times New Roman"/>
          <w:sz w:val="24"/>
          <w:szCs w:val="24"/>
        </w:rPr>
        <w:t xml:space="preserve"> more tha</w:t>
      </w:r>
      <w:r>
        <w:rPr>
          <w:rFonts w:ascii="Times New Roman" w:hAnsi="Times New Roman" w:cs="Times New Roman"/>
          <w:sz w:val="24"/>
          <w:szCs w:val="24"/>
        </w:rPr>
        <w:t xml:space="preserve">n half of the respondents (57.50 %) had medium level of innovativeness followed by low level (22.50 %) and only 20.00 per cent of the respondents had high level of innovativeness. </w:t>
      </w:r>
      <w:r w:rsidRPr="007B264B">
        <w:rPr>
          <w:rFonts w:ascii="Times New Roman" w:hAnsi="Times New Roman" w:cs="Times New Roman"/>
          <w:sz w:val="24"/>
          <w:szCs w:val="24"/>
        </w:rPr>
        <w:t xml:space="preserve">The formal education of the respondents coupled with their medium level of social participation, extension agency </w:t>
      </w:r>
      <w:r w:rsidR="00F04B2F" w:rsidRPr="007B264B">
        <w:rPr>
          <w:rFonts w:ascii="Times New Roman" w:hAnsi="Times New Roman" w:cs="Times New Roman"/>
          <w:sz w:val="24"/>
          <w:szCs w:val="24"/>
        </w:rPr>
        <w:t>contact,</w:t>
      </w:r>
      <w:r w:rsidR="00213DB0">
        <w:rPr>
          <w:rFonts w:ascii="Times New Roman" w:hAnsi="Times New Roman" w:cs="Times New Roman"/>
          <w:sz w:val="24"/>
          <w:szCs w:val="24"/>
        </w:rPr>
        <w:t xml:space="preserve"> </w:t>
      </w:r>
      <w:r w:rsidRPr="007B264B">
        <w:rPr>
          <w:rFonts w:ascii="Times New Roman" w:hAnsi="Times New Roman" w:cs="Times New Roman"/>
          <w:sz w:val="24"/>
          <w:szCs w:val="24"/>
        </w:rPr>
        <w:t>and mass media exposure would have resulted in medium level of innovativeness among the respondents.</w:t>
      </w:r>
      <w:r w:rsidRPr="006F788F">
        <w:rPr>
          <w:rFonts w:ascii="Times New Roman" w:hAnsi="Times New Roman" w:cs="Times New Roman"/>
          <w:sz w:val="24"/>
          <w:szCs w:val="24"/>
        </w:rPr>
        <w:t xml:space="preserve"> The above finding was in line with the findings </w:t>
      </w:r>
      <w:r>
        <w:rPr>
          <w:rFonts w:ascii="Times New Roman" w:hAnsi="Times New Roman" w:cs="Times New Roman"/>
          <w:sz w:val="24"/>
          <w:szCs w:val="24"/>
        </w:rPr>
        <w:t>of Sudhira (2009</w:t>
      </w:r>
      <w:r w:rsidRPr="006F788F">
        <w:rPr>
          <w:rFonts w:ascii="Times New Roman" w:hAnsi="Times New Roman" w:cs="Times New Roman"/>
          <w:sz w:val="24"/>
          <w:szCs w:val="24"/>
        </w:rPr>
        <w:t>).</w:t>
      </w:r>
      <w:r>
        <w:rPr>
          <w:rFonts w:ascii="Times New Roman" w:hAnsi="Times New Roman" w:cs="Times New Roman"/>
          <w:b/>
          <w:bCs/>
          <w:sz w:val="24"/>
          <w:szCs w:val="24"/>
        </w:rPr>
        <w:tab/>
      </w:r>
    </w:p>
    <w:p w:rsidR="008135D8" w:rsidRPr="00244F58" w:rsidRDefault="008135D8" w:rsidP="00244F58">
      <w:pPr>
        <w:spacing w:after="0" w:line="360" w:lineRule="auto"/>
        <w:jc w:val="both"/>
        <w:rPr>
          <w:rFonts w:ascii="Times New Roman" w:eastAsia="Times New Roman" w:hAnsi="Times New Roman" w:cs="Times New Roman"/>
          <w:kern w:val="0"/>
          <w:sz w:val="24"/>
          <w:szCs w:val="24"/>
          <w:lang w:val="en-US" w:bidi="ta-IN"/>
        </w:rPr>
      </w:pPr>
      <w:r w:rsidRPr="008135D8">
        <w:rPr>
          <w:rFonts w:ascii="Times New Roman" w:eastAsia="Times New Roman" w:hAnsi="Times New Roman" w:cs="Times New Roman"/>
          <w:kern w:val="0"/>
          <w:sz w:val="24"/>
          <w:szCs w:val="24"/>
          <w:lang w:val="en-US" w:bidi="ta-IN"/>
        </w:rPr>
        <w:t>Farmers prefer to embrace new agricultural methods only after witnessing other farmers successfully execute them, according to the prevalence of medium innovativeness among farmers. In traditional agricultural communities, where farmers rely on peer experiences and social learning before embracing new technology, this behavior is frequently seen. Due of the uncertainties surrounding new technology, farmers frequently choose to accept innovations gradually, according to similar findings documented in a number of a</w:t>
      </w:r>
      <w:r>
        <w:rPr>
          <w:rFonts w:ascii="Times New Roman" w:eastAsia="Times New Roman" w:hAnsi="Times New Roman" w:cs="Times New Roman"/>
          <w:kern w:val="0"/>
          <w:sz w:val="24"/>
          <w:szCs w:val="24"/>
          <w:lang w:val="en-US" w:bidi="ta-IN"/>
        </w:rPr>
        <w:t xml:space="preserve">gricultural extension studies. </w:t>
      </w:r>
      <w:r w:rsidRPr="008135D8">
        <w:rPr>
          <w:rFonts w:ascii="Times New Roman" w:eastAsia="Times New Roman" w:hAnsi="Times New Roman" w:cs="Times New Roman"/>
          <w:kern w:val="0"/>
          <w:sz w:val="24"/>
          <w:szCs w:val="24"/>
          <w:lang w:val="en-US" w:bidi="ta-IN"/>
        </w:rPr>
        <w:t>Access to agricultural knowledge, involvement in farmer groups, exposure to extension services, and educational attainment all have an impact on farmers' inventiveness. Regular interaction between farmers and agricultural organizations and extension agents increases the likelihood of creative behavior and early adoption of better agricultural techniques.</w:t>
      </w:r>
    </w:p>
    <w:p w:rsidR="00144DE2" w:rsidRPr="006F788F" w:rsidRDefault="00144DE2" w:rsidP="00144DE2">
      <w:pPr>
        <w:spacing w:line="360" w:lineRule="auto"/>
        <w:jc w:val="both"/>
        <w:rPr>
          <w:rFonts w:ascii="Times New Roman" w:hAnsi="Times New Roman" w:cs="Times New Roman"/>
          <w:b/>
          <w:bCs/>
          <w:sz w:val="24"/>
          <w:szCs w:val="24"/>
        </w:rPr>
      </w:pPr>
      <w:r w:rsidRPr="006F788F">
        <w:rPr>
          <w:rFonts w:ascii="Times New Roman" w:hAnsi="Times New Roman" w:cs="Times New Roman"/>
          <w:b/>
          <w:bCs/>
          <w:sz w:val="24"/>
          <w:szCs w:val="24"/>
        </w:rPr>
        <w:t>Risk orientation</w:t>
      </w:r>
    </w:p>
    <w:p w:rsidR="00627216" w:rsidRPr="006F788F" w:rsidRDefault="00144DE2" w:rsidP="00144DE2">
      <w:pPr>
        <w:spacing w:line="360" w:lineRule="auto"/>
        <w:jc w:val="both"/>
        <w:rPr>
          <w:rFonts w:ascii="Times New Roman" w:hAnsi="Times New Roman" w:cs="Times New Roman"/>
          <w:sz w:val="24"/>
          <w:szCs w:val="24"/>
        </w:rPr>
      </w:pPr>
      <w:r w:rsidRPr="006F788F">
        <w:rPr>
          <w:rFonts w:ascii="Times New Roman" w:hAnsi="Times New Roman" w:cs="Times New Roman"/>
          <w:sz w:val="24"/>
          <w:szCs w:val="24"/>
        </w:rPr>
        <w:tab/>
        <w:t>The results on distribution of the respondents according to their level risk orien</w:t>
      </w:r>
      <w:r>
        <w:rPr>
          <w:rFonts w:ascii="Times New Roman" w:hAnsi="Times New Roman" w:cs="Times New Roman"/>
          <w:sz w:val="24"/>
          <w:szCs w:val="24"/>
        </w:rPr>
        <w:t>tation are presented in the Table 2</w:t>
      </w:r>
      <w:r w:rsidRPr="006F788F">
        <w:rPr>
          <w:rFonts w:ascii="Times New Roman" w:hAnsi="Times New Roman" w:cs="Times New Roman"/>
          <w:sz w:val="24"/>
          <w:szCs w:val="24"/>
        </w:rPr>
        <w:t xml:space="preserve">. </w:t>
      </w:r>
    </w:p>
    <w:p w:rsidR="00144DE2" w:rsidRDefault="00144DE2" w:rsidP="00141A5D">
      <w:pPr>
        <w:spacing w:line="276" w:lineRule="auto"/>
        <w:rPr>
          <w:rFonts w:ascii="Times New Roman" w:hAnsi="Times New Roman" w:cs="Times New Roman"/>
          <w:b/>
          <w:bCs/>
          <w:sz w:val="24"/>
          <w:szCs w:val="24"/>
        </w:rPr>
      </w:pPr>
      <w:r>
        <w:rPr>
          <w:rFonts w:ascii="Times New Roman" w:hAnsi="Times New Roman" w:cs="Times New Roman"/>
          <w:b/>
          <w:bCs/>
          <w:sz w:val="24"/>
          <w:szCs w:val="24"/>
        </w:rPr>
        <w:t>Table 2</w:t>
      </w:r>
      <w:r w:rsidRPr="006F788F">
        <w:rPr>
          <w:rFonts w:ascii="Times New Roman" w:hAnsi="Times New Roman" w:cs="Times New Roman"/>
          <w:b/>
          <w:bCs/>
          <w:sz w:val="24"/>
          <w:szCs w:val="24"/>
        </w:rPr>
        <w:t>. Distribution of respondents according to their level o</w:t>
      </w:r>
      <w:r>
        <w:rPr>
          <w:rFonts w:ascii="Times New Roman" w:hAnsi="Times New Roman" w:cs="Times New Roman"/>
          <w:b/>
          <w:bCs/>
          <w:sz w:val="24"/>
          <w:szCs w:val="24"/>
        </w:rPr>
        <w:t xml:space="preserve">f Risk orientation            </w:t>
      </w:r>
    </w:p>
    <w:p w:rsidR="00144DE2" w:rsidRPr="006F788F" w:rsidRDefault="00144DE2" w:rsidP="00144DE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23216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6F788F">
        <w:rPr>
          <w:rFonts w:ascii="Times New Roman" w:hAnsi="Times New Roman" w:cs="Times New Roman"/>
          <w:b/>
          <w:bCs/>
          <w:sz w:val="24"/>
          <w:szCs w:val="24"/>
        </w:rPr>
        <w:t>(n=120)</w:t>
      </w:r>
    </w:p>
    <w:tbl>
      <w:tblPr>
        <w:tblStyle w:val="TableGrid"/>
        <w:tblW w:w="9072" w:type="dxa"/>
        <w:tblInd w:w="-5" w:type="dxa"/>
        <w:tblLook w:val="04A0" w:firstRow="1" w:lastRow="0" w:firstColumn="1" w:lastColumn="0" w:noHBand="0" w:noVBand="1"/>
      </w:tblPr>
      <w:tblGrid>
        <w:gridCol w:w="1276"/>
        <w:gridCol w:w="2500"/>
        <w:gridCol w:w="2745"/>
        <w:gridCol w:w="2551"/>
      </w:tblGrid>
      <w:tr w:rsidR="00144DE2" w:rsidRPr="006F788F" w:rsidTr="00141A5D">
        <w:tc>
          <w:tcPr>
            <w:tcW w:w="1276" w:type="dxa"/>
            <w:tcBorders>
              <w:top w:val="single" w:sz="4" w:space="0" w:color="auto"/>
              <w:left w:val="single" w:sz="4" w:space="0" w:color="auto"/>
              <w:bottom w:val="single" w:sz="4" w:space="0" w:color="auto"/>
              <w:right w:val="single" w:sz="4" w:space="0" w:color="auto"/>
            </w:tcBorders>
            <w:vAlign w:val="center"/>
            <w:hideMark/>
          </w:tcPr>
          <w:p w:rsidR="00144DE2" w:rsidRPr="006F788F" w:rsidRDefault="00144DE2"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2500" w:type="dxa"/>
            <w:tcBorders>
              <w:top w:val="single" w:sz="4" w:space="0" w:color="auto"/>
              <w:left w:val="single" w:sz="4" w:space="0" w:color="auto"/>
              <w:bottom w:val="single" w:sz="4" w:space="0" w:color="auto"/>
              <w:right w:val="single" w:sz="4" w:space="0" w:color="auto"/>
            </w:tcBorders>
            <w:vAlign w:val="center"/>
            <w:hideMark/>
          </w:tcPr>
          <w:p w:rsidR="00144DE2" w:rsidRPr="006F788F" w:rsidRDefault="00144DE2"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745" w:type="dxa"/>
            <w:tcBorders>
              <w:top w:val="single" w:sz="4" w:space="0" w:color="auto"/>
              <w:left w:val="single" w:sz="4" w:space="0" w:color="auto"/>
              <w:bottom w:val="single" w:sz="4" w:space="0" w:color="auto"/>
              <w:right w:val="single" w:sz="4" w:space="0" w:color="auto"/>
            </w:tcBorders>
            <w:vAlign w:val="center"/>
            <w:hideMark/>
          </w:tcPr>
          <w:p w:rsidR="00144DE2" w:rsidRPr="006F788F" w:rsidRDefault="00144DE2"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2551" w:type="dxa"/>
            <w:tcBorders>
              <w:top w:val="single" w:sz="4" w:space="0" w:color="auto"/>
              <w:left w:val="single" w:sz="4" w:space="0" w:color="auto"/>
              <w:bottom w:val="single" w:sz="4" w:space="0" w:color="auto"/>
              <w:right w:val="single" w:sz="4" w:space="0" w:color="auto"/>
            </w:tcBorders>
            <w:vAlign w:val="center"/>
          </w:tcPr>
          <w:p w:rsidR="00144DE2" w:rsidRPr="006F788F" w:rsidRDefault="00144DE2" w:rsidP="00212DA4">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144DE2" w:rsidRPr="006F788F" w:rsidTr="00D8158E">
        <w:trPr>
          <w:trHeight w:val="487"/>
        </w:trPr>
        <w:tc>
          <w:tcPr>
            <w:tcW w:w="1276" w:type="dxa"/>
            <w:tcBorders>
              <w:top w:val="single" w:sz="4" w:space="0" w:color="auto"/>
              <w:left w:val="single" w:sz="4" w:space="0" w:color="auto"/>
              <w:bottom w:val="single" w:sz="4" w:space="0" w:color="auto"/>
              <w:right w:val="single" w:sz="4" w:space="0" w:color="auto"/>
            </w:tcBorders>
            <w:vAlign w:val="center"/>
          </w:tcPr>
          <w:p w:rsidR="00144DE2" w:rsidRPr="006F788F" w:rsidRDefault="00144DE2" w:rsidP="00144DE2">
            <w:pPr>
              <w:pStyle w:val="ListParagraph"/>
              <w:numPr>
                <w:ilvl w:val="0"/>
                <w:numId w:val="1"/>
              </w:numPr>
              <w:spacing w:line="360" w:lineRule="auto"/>
              <w:jc w:val="center"/>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hideMark/>
          </w:tcPr>
          <w:p w:rsidR="00144DE2" w:rsidRPr="006F788F" w:rsidRDefault="00144DE2" w:rsidP="00212DA4">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Low</w:t>
            </w:r>
          </w:p>
        </w:tc>
        <w:tc>
          <w:tcPr>
            <w:tcW w:w="2745" w:type="dxa"/>
            <w:tcBorders>
              <w:top w:val="single" w:sz="4" w:space="0" w:color="auto"/>
              <w:left w:val="single" w:sz="4" w:space="0" w:color="auto"/>
              <w:bottom w:val="single" w:sz="4" w:space="0" w:color="auto"/>
              <w:right w:val="single" w:sz="4" w:space="0" w:color="auto"/>
            </w:tcBorders>
            <w:vAlign w:val="center"/>
            <w:hideMark/>
          </w:tcPr>
          <w:p w:rsidR="00144DE2" w:rsidRPr="006F788F" w:rsidRDefault="00144DE2"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36</w:t>
            </w:r>
          </w:p>
        </w:tc>
        <w:tc>
          <w:tcPr>
            <w:tcW w:w="2551" w:type="dxa"/>
            <w:tcBorders>
              <w:top w:val="single" w:sz="4" w:space="0" w:color="auto"/>
              <w:left w:val="single" w:sz="4" w:space="0" w:color="auto"/>
              <w:bottom w:val="single" w:sz="4" w:space="0" w:color="auto"/>
              <w:right w:val="single" w:sz="4" w:space="0" w:color="auto"/>
            </w:tcBorders>
            <w:vAlign w:val="bottom"/>
          </w:tcPr>
          <w:p w:rsidR="00144DE2" w:rsidRPr="006F788F" w:rsidRDefault="00144DE2"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30.00</w:t>
            </w:r>
          </w:p>
        </w:tc>
      </w:tr>
      <w:tr w:rsidR="00144DE2" w:rsidRPr="006F788F" w:rsidTr="00D8158E">
        <w:trPr>
          <w:trHeight w:val="493"/>
        </w:trPr>
        <w:tc>
          <w:tcPr>
            <w:tcW w:w="1276" w:type="dxa"/>
            <w:tcBorders>
              <w:top w:val="single" w:sz="4" w:space="0" w:color="auto"/>
              <w:left w:val="single" w:sz="4" w:space="0" w:color="auto"/>
              <w:bottom w:val="single" w:sz="4" w:space="0" w:color="auto"/>
              <w:right w:val="single" w:sz="4" w:space="0" w:color="auto"/>
            </w:tcBorders>
            <w:vAlign w:val="center"/>
          </w:tcPr>
          <w:p w:rsidR="00144DE2" w:rsidRPr="006F788F" w:rsidRDefault="00144DE2" w:rsidP="00144DE2">
            <w:pPr>
              <w:pStyle w:val="ListParagraph"/>
              <w:numPr>
                <w:ilvl w:val="0"/>
                <w:numId w:val="1"/>
              </w:numPr>
              <w:spacing w:line="360" w:lineRule="auto"/>
              <w:jc w:val="center"/>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hideMark/>
          </w:tcPr>
          <w:p w:rsidR="00144DE2" w:rsidRPr="006F788F" w:rsidRDefault="00144DE2" w:rsidP="00212DA4">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Medium</w:t>
            </w:r>
          </w:p>
        </w:tc>
        <w:tc>
          <w:tcPr>
            <w:tcW w:w="2745" w:type="dxa"/>
            <w:tcBorders>
              <w:top w:val="single" w:sz="4" w:space="0" w:color="auto"/>
              <w:left w:val="single" w:sz="4" w:space="0" w:color="auto"/>
              <w:bottom w:val="single" w:sz="4" w:space="0" w:color="auto"/>
              <w:right w:val="single" w:sz="4" w:space="0" w:color="auto"/>
            </w:tcBorders>
            <w:vAlign w:val="center"/>
            <w:hideMark/>
          </w:tcPr>
          <w:p w:rsidR="00144DE2" w:rsidRPr="006F788F" w:rsidRDefault="00144DE2"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67</w:t>
            </w:r>
          </w:p>
        </w:tc>
        <w:tc>
          <w:tcPr>
            <w:tcW w:w="2551" w:type="dxa"/>
            <w:tcBorders>
              <w:top w:val="single" w:sz="4" w:space="0" w:color="auto"/>
              <w:left w:val="single" w:sz="4" w:space="0" w:color="auto"/>
              <w:bottom w:val="single" w:sz="4" w:space="0" w:color="auto"/>
              <w:right w:val="single" w:sz="4" w:space="0" w:color="auto"/>
            </w:tcBorders>
            <w:vAlign w:val="bottom"/>
          </w:tcPr>
          <w:p w:rsidR="00144DE2" w:rsidRPr="006F788F" w:rsidRDefault="00144DE2"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55.84</w:t>
            </w:r>
          </w:p>
        </w:tc>
      </w:tr>
      <w:tr w:rsidR="00144DE2" w:rsidRPr="006F788F" w:rsidTr="00141A5D">
        <w:trPr>
          <w:trHeight w:val="70"/>
        </w:trPr>
        <w:tc>
          <w:tcPr>
            <w:tcW w:w="1276" w:type="dxa"/>
            <w:tcBorders>
              <w:top w:val="single" w:sz="4" w:space="0" w:color="auto"/>
              <w:left w:val="single" w:sz="4" w:space="0" w:color="auto"/>
              <w:bottom w:val="single" w:sz="4" w:space="0" w:color="auto"/>
              <w:right w:val="single" w:sz="4" w:space="0" w:color="auto"/>
            </w:tcBorders>
            <w:vAlign w:val="center"/>
          </w:tcPr>
          <w:p w:rsidR="00144DE2" w:rsidRPr="006F788F" w:rsidRDefault="00144DE2" w:rsidP="00144DE2">
            <w:pPr>
              <w:pStyle w:val="ListParagraph"/>
              <w:numPr>
                <w:ilvl w:val="0"/>
                <w:numId w:val="1"/>
              </w:numPr>
              <w:spacing w:line="360" w:lineRule="auto"/>
              <w:jc w:val="center"/>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hideMark/>
          </w:tcPr>
          <w:p w:rsidR="00144DE2" w:rsidRPr="006F788F" w:rsidRDefault="00144DE2" w:rsidP="00212DA4">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High</w:t>
            </w:r>
          </w:p>
        </w:tc>
        <w:tc>
          <w:tcPr>
            <w:tcW w:w="2745" w:type="dxa"/>
            <w:tcBorders>
              <w:top w:val="single" w:sz="4" w:space="0" w:color="auto"/>
              <w:left w:val="single" w:sz="4" w:space="0" w:color="auto"/>
              <w:bottom w:val="single" w:sz="4" w:space="0" w:color="auto"/>
              <w:right w:val="single" w:sz="4" w:space="0" w:color="auto"/>
            </w:tcBorders>
            <w:vAlign w:val="center"/>
            <w:hideMark/>
          </w:tcPr>
          <w:p w:rsidR="00144DE2" w:rsidRPr="006F788F" w:rsidRDefault="00144DE2"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vAlign w:val="bottom"/>
          </w:tcPr>
          <w:p w:rsidR="00144DE2" w:rsidRPr="006F788F" w:rsidRDefault="00144DE2"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14.16</w:t>
            </w:r>
          </w:p>
        </w:tc>
      </w:tr>
      <w:tr w:rsidR="00144DE2" w:rsidRPr="006F788F" w:rsidTr="00D8158E">
        <w:trPr>
          <w:trHeight w:val="490"/>
        </w:trPr>
        <w:tc>
          <w:tcPr>
            <w:tcW w:w="3776" w:type="dxa"/>
            <w:gridSpan w:val="2"/>
            <w:tcBorders>
              <w:top w:val="single" w:sz="4" w:space="0" w:color="auto"/>
              <w:left w:val="single" w:sz="4" w:space="0" w:color="auto"/>
              <w:bottom w:val="single" w:sz="4" w:space="0" w:color="auto"/>
              <w:right w:val="single" w:sz="4" w:space="0" w:color="auto"/>
            </w:tcBorders>
            <w:vAlign w:val="center"/>
          </w:tcPr>
          <w:p w:rsidR="00144DE2" w:rsidRPr="006F788F" w:rsidRDefault="00144DE2"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Total</w:t>
            </w:r>
          </w:p>
        </w:tc>
        <w:tc>
          <w:tcPr>
            <w:tcW w:w="2745" w:type="dxa"/>
            <w:tcBorders>
              <w:top w:val="single" w:sz="4" w:space="0" w:color="auto"/>
              <w:left w:val="single" w:sz="4" w:space="0" w:color="auto"/>
              <w:bottom w:val="single" w:sz="4" w:space="0" w:color="auto"/>
              <w:right w:val="single" w:sz="4" w:space="0" w:color="auto"/>
            </w:tcBorders>
            <w:vAlign w:val="center"/>
            <w:hideMark/>
          </w:tcPr>
          <w:p w:rsidR="00144DE2" w:rsidRPr="006F788F" w:rsidRDefault="00144DE2"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2551" w:type="dxa"/>
            <w:tcBorders>
              <w:top w:val="single" w:sz="4" w:space="0" w:color="auto"/>
              <w:left w:val="single" w:sz="4" w:space="0" w:color="auto"/>
              <w:bottom w:val="single" w:sz="4" w:space="0" w:color="auto"/>
              <w:right w:val="single" w:sz="4" w:space="0" w:color="auto"/>
            </w:tcBorders>
            <w:vAlign w:val="center"/>
          </w:tcPr>
          <w:p w:rsidR="00144DE2" w:rsidRPr="006F788F" w:rsidRDefault="00144DE2" w:rsidP="00D8158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rsidR="00144DE2" w:rsidRDefault="000D15B2" w:rsidP="0023216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rect id="_x0000_s1027" style="position:absolute;left:0;text-align:left;margin-left:-.2pt;margin-top:262.1pt;width:451.9pt;height:44.45pt;z-index:251661312;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7X5VgIAAP4EAAAOAAAAZHJzL2Uyb0RvYy54bWysVMtu2zAQvBfoPxC8N7JcOw/DcmAkSFEg&#10;SIImRc40RdpCKS67pC25X98lJctp6lPRC0Vyd/bFGc2v29qwnUJfgS14fjbiTFkJZWXXBf/+cvfp&#10;kjMfhC2FAasKvleeXy8+fpg3bqbGsAFTKmQUxPpZ4wq+CcHNsszLjaqFPwOnLBk1YC0CHXGdlSga&#10;il6bbDwanWcNYOkQpPKebm87I1+k+ForGR619iowU3CqLaQV07qKa7aYi9kahdtUsi9D/EMVtags&#10;JR1C3Yog2Barv0LVlUTwoMOZhDoDrSupUg/UTT56183zRjiVeqHheDeMyf+/sPJh9+yekMbQOD/z&#10;tI1dtBrr+KX6WJuGtR+GpdrAJF1OLz5fXuZXnEmyTc8n49EkTjM7oh368EVBzeKm4EiPkWYkdvc+&#10;dK4HF8Id86dd2BsVSzD2m9KsKinjOKETNdSNQbYT9KhCSmXDtE+dvCNMV8YMwPwU0IS8B/W+EaYS&#10;ZQbg6BTwz4wDImUFGwZwXVnAUwHKH0Pmzv/QfddzbD+0q5aaJkXFGuPNCsr9EzKEjsLeybuKxnov&#10;fHgSSJwldpMOwyMt2kBTcOh3nG0Af526j/5EJbJy1pAGCu5/bgUqzsxXSyS7yieTKJp0mEwvxnTA&#10;t5bVW4vd1jdAL5KT4p1M2+gfzGGrEepXkusyZiWTsJJyF1wGPBxuQqdNErxUy2VyI6E4Ee7ts5Mx&#10;eJxzpM1L+yrQ9dwKxMoHOOhFzN5RrPONSAvLbQBdJf4d59q/AIksMbj/IUQVvz0nr+Nva/EbAAD/&#10;/wMAUEsDBBQABgAIAAAAIQBYdvFX4gAAAAkBAAAPAAAAZHJzL2Rvd25yZXYueG1sTI/BSsNAEIbv&#10;gu+wjOCt3SStxcZsilQEC1IxCtrbNjtNotnZmN028e0dT3qc+X+++SZbjbYVJ+x940hBPI1AIJXO&#10;NFQpeH25n1yD8EGT0a0jVPCNHlb5+VmmU+MGesZTESrBEPKpVlCH0KVS+rJGq/3UdUicHVxvdeCx&#10;r6Tp9cBw28okihbS6ob4Qq07XNdYfhZHq+BqO8in9VexrA8P73ebt93GPn7slLq8GG9vQAQcw18Z&#10;fvVZHXJ22rsjGS9aBZM5FxmVzBMQnC+jGW/2ChbxLAaZZ/L/B/kPAAAA//8DAFBLAQItABQABgAI&#10;AAAAIQC2gziS/gAAAOEBAAATAAAAAAAAAAAAAAAAAAAAAABbQ29udGVudF9UeXBlc10ueG1sUEsB&#10;Ai0AFAAGAAgAAAAhADj9If/WAAAAlAEAAAsAAAAAAAAAAAAAAAAALwEAAF9yZWxzLy5yZWxzUEsB&#10;Ai0AFAAGAAgAAAAhALa/tflWAgAA/gQAAA4AAAAAAAAAAAAAAAAALgIAAGRycy9lMm9Eb2MueG1s&#10;UEsBAi0AFAAGAAgAAAAhAFh28VfiAAAACQEAAA8AAAAAAAAAAAAAAAAAsAQAAGRycy9kb3ducmV2&#10;LnhtbFBLBQYAAAAABAAEAPMAAAC/BQAAAAA=&#10;" fillcolor="white [3201]" strokecolor="#a02b93 [3208]" strokeweight="1pt">
            <v:textbox style="mso-next-textbox:#_x0000_s1027">
              <w:txbxContent>
                <w:p w:rsidR="00106ECF" w:rsidRPr="00AC77C3" w:rsidRDefault="00106ECF" w:rsidP="00106ECF">
                  <w:pPr>
                    <w:spacing w:line="276" w:lineRule="auto"/>
                    <w:jc w:val="center"/>
                    <w:rPr>
                      <w:rFonts w:ascii="Times New Roman" w:hAnsi="Times New Roman" w:cs="Times New Roman"/>
                      <w:b/>
                      <w:bCs/>
                      <w:color w:val="FF0000"/>
                      <w:sz w:val="28"/>
                      <w:szCs w:val="28"/>
                    </w:rPr>
                  </w:pPr>
                  <w:r w:rsidRPr="00AC77C3">
                    <w:rPr>
                      <w:rFonts w:ascii="Times New Roman" w:hAnsi="Times New Roman" w:cs="Times New Roman"/>
                      <w:b/>
                      <w:bCs/>
                      <w:color w:val="FF0000"/>
                      <w:sz w:val="28"/>
                      <w:szCs w:val="28"/>
                    </w:rPr>
                    <w:t>Fig</w:t>
                  </w:r>
                  <w:r w:rsidR="00244F58">
                    <w:rPr>
                      <w:rFonts w:ascii="Times New Roman" w:hAnsi="Times New Roman" w:cs="Times New Roman"/>
                      <w:b/>
                      <w:bCs/>
                      <w:color w:val="FF0000"/>
                      <w:sz w:val="28"/>
                      <w:szCs w:val="28"/>
                    </w:rPr>
                    <w:t>.</w:t>
                  </w:r>
                  <w:r w:rsidRPr="00AC77C3">
                    <w:rPr>
                      <w:rFonts w:ascii="Times New Roman" w:hAnsi="Times New Roman" w:cs="Times New Roman"/>
                      <w:b/>
                      <w:bCs/>
                      <w:color w:val="FF0000"/>
                      <w:sz w:val="28"/>
                      <w:szCs w:val="28"/>
                    </w:rPr>
                    <w:t xml:space="preserve"> </w:t>
                  </w:r>
                  <w:r>
                    <w:rPr>
                      <w:rFonts w:ascii="Times New Roman" w:hAnsi="Times New Roman" w:cs="Times New Roman"/>
                      <w:b/>
                      <w:bCs/>
                      <w:color w:val="FF0000"/>
                      <w:sz w:val="28"/>
                      <w:szCs w:val="28"/>
                    </w:rPr>
                    <w:t>2</w:t>
                  </w:r>
                  <w:r w:rsidRPr="00AC77C3">
                    <w:rPr>
                      <w:rFonts w:ascii="Times New Roman" w:hAnsi="Times New Roman" w:cs="Times New Roman"/>
                      <w:b/>
                      <w:bCs/>
                      <w:color w:val="FF0000"/>
                      <w:sz w:val="28"/>
                      <w:szCs w:val="28"/>
                    </w:rPr>
                    <w:t>. It shows</w:t>
                  </w:r>
                  <w:r>
                    <w:rPr>
                      <w:rFonts w:ascii="Times New Roman" w:hAnsi="Times New Roman" w:cs="Times New Roman"/>
                      <w:b/>
                      <w:bCs/>
                      <w:color w:val="FF0000"/>
                      <w:sz w:val="28"/>
                      <w:szCs w:val="28"/>
                    </w:rPr>
                    <w:t xml:space="preserve"> the</w:t>
                  </w:r>
                  <w:r w:rsidRPr="00AC77C3">
                    <w:rPr>
                      <w:rFonts w:ascii="Times New Roman" w:hAnsi="Times New Roman" w:cs="Times New Roman"/>
                      <w:b/>
                      <w:bCs/>
                      <w:color w:val="FF0000"/>
                      <w:sz w:val="28"/>
                      <w:szCs w:val="28"/>
                    </w:rPr>
                    <w:t xml:space="preserve"> </w:t>
                  </w:r>
                  <w:r>
                    <w:rPr>
                      <w:rFonts w:ascii="Times New Roman" w:hAnsi="Times New Roman" w:cs="Times New Roman"/>
                      <w:b/>
                      <w:bCs/>
                      <w:color w:val="FF0000"/>
                      <w:sz w:val="28"/>
                      <w:szCs w:val="28"/>
                    </w:rPr>
                    <w:t xml:space="preserve">level </w:t>
                  </w:r>
                  <w:r w:rsidRPr="00AC77C3">
                    <w:rPr>
                      <w:rFonts w:ascii="Times New Roman" w:hAnsi="Times New Roman" w:cs="Times New Roman"/>
                      <w:b/>
                      <w:bCs/>
                      <w:color w:val="FF0000"/>
                      <w:sz w:val="28"/>
                      <w:szCs w:val="28"/>
                    </w:rPr>
                    <w:t>of</w:t>
                  </w:r>
                  <w:r>
                    <w:rPr>
                      <w:rFonts w:ascii="Times New Roman" w:hAnsi="Times New Roman" w:cs="Times New Roman"/>
                      <w:b/>
                      <w:bCs/>
                      <w:color w:val="FF0000"/>
                      <w:sz w:val="28"/>
                      <w:szCs w:val="28"/>
                    </w:rPr>
                    <w:t xml:space="preserve"> risk orientation</w:t>
                  </w:r>
                  <w:r w:rsidRPr="00AC77C3">
                    <w:rPr>
                      <w:rFonts w:ascii="Times New Roman" w:hAnsi="Times New Roman" w:cs="Times New Roman"/>
                      <w:b/>
                      <w:bCs/>
                      <w:color w:val="FF0000"/>
                      <w:sz w:val="28"/>
                      <w:szCs w:val="28"/>
                    </w:rPr>
                    <w:t xml:space="preserve"> </w:t>
                  </w:r>
                  <w:r>
                    <w:rPr>
                      <w:rFonts w:ascii="Times New Roman" w:hAnsi="Times New Roman" w:cs="Times New Roman"/>
                      <w:b/>
                      <w:bCs/>
                      <w:color w:val="FF0000"/>
                      <w:sz w:val="28"/>
                      <w:szCs w:val="28"/>
                    </w:rPr>
                    <w:t>possessed by the</w:t>
                  </w:r>
                  <w:r w:rsidRPr="00AC77C3">
                    <w:rPr>
                      <w:rFonts w:ascii="Times New Roman" w:hAnsi="Times New Roman" w:cs="Times New Roman"/>
                      <w:b/>
                      <w:bCs/>
                      <w:color w:val="FF0000"/>
                      <w:sz w:val="28"/>
                      <w:szCs w:val="28"/>
                    </w:rPr>
                    <w:t xml:space="preserve"> paddy growers regarding recommended biofertilizers practices</w:t>
                  </w:r>
                </w:p>
                <w:p w:rsidR="00106ECF" w:rsidRDefault="00106ECF" w:rsidP="00106ECF">
                  <w:pPr>
                    <w:jc w:val="center"/>
                  </w:pPr>
                </w:p>
              </w:txbxContent>
            </v:textbox>
            <w10:wrap anchorx="margin"/>
          </v:rect>
        </w:pict>
      </w:r>
      <w:r w:rsidR="00496C4A">
        <w:rPr>
          <w:rFonts w:ascii="Times New Roman" w:hAnsi="Times New Roman" w:cs="Times New Roman"/>
          <w:noProof/>
          <w:sz w:val="24"/>
          <w:szCs w:val="24"/>
          <w:lang w:val="en-US" w:bidi="ta-IN"/>
        </w:rPr>
        <w:drawing>
          <wp:inline distT="0" distB="0" distL="0" distR="0">
            <wp:extent cx="5719445" cy="3362325"/>
            <wp:effectExtent l="0" t="0" r="14605" b="9525"/>
            <wp:docPr id="154707774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67967" w:rsidRDefault="00067967" w:rsidP="00067967">
      <w:pPr>
        <w:spacing w:line="360" w:lineRule="auto"/>
        <w:jc w:val="both"/>
        <w:rPr>
          <w:rFonts w:ascii="Times New Roman" w:hAnsi="Times New Roman" w:cs="Times New Roman"/>
          <w:sz w:val="24"/>
          <w:szCs w:val="24"/>
        </w:rPr>
      </w:pPr>
    </w:p>
    <w:p w:rsidR="00213DB0" w:rsidRDefault="00144DE2" w:rsidP="00067967">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It could be seen from the Table 2</w:t>
      </w:r>
      <w:r w:rsidR="00496C4A">
        <w:rPr>
          <w:rFonts w:ascii="Times New Roman" w:hAnsi="Times New Roman" w:cs="Times New Roman"/>
          <w:sz w:val="24"/>
          <w:szCs w:val="24"/>
        </w:rPr>
        <w:t xml:space="preserve"> and Figure 2</w:t>
      </w:r>
      <w:r>
        <w:rPr>
          <w:rFonts w:ascii="Times New Roman" w:hAnsi="Times New Roman" w:cs="Times New Roman"/>
          <w:sz w:val="24"/>
          <w:szCs w:val="24"/>
        </w:rPr>
        <w:t>, A little more the half of the respondents (55.84 %)</w:t>
      </w:r>
      <w:r w:rsidRPr="006F788F">
        <w:rPr>
          <w:rFonts w:ascii="Times New Roman" w:hAnsi="Times New Roman" w:cs="Times New Roman"/>
          <w:sz w:val="24"/>
          <w:szCs w:val="24"/>
        </w:rPr>
        <w:t xml:space="preserve"> had medium level of risk </w:t>
      </w:r>
      <w:r>
        <w:rPr>
          <w:rFonts w:ascii="Times New Roman" w:hAnsi="Times New Roman" w:cs="Times New Roman"/>
          <w:sz w:val="24"/>
          <w:szCs w:val="24"/>
        </w:rPr>
        <w:t>orientation followed by low level (30.00</w:t>
      </w:r>
      <w:r w:rsidRPr="006F788F">
        <w:rPr>
          <w:rFonts w:ascii="Times New Roman" w:hAnsi="Times New Roman" w:cs="Times New Roman"/>
          <w:sz w:val="24"/>
          <w:szCs w:val="24"/>
        </w:rPr>
        <w:t xml:space="preserve"> </w:t>
      </w:r>
      <w:r>
        <w:rPr>
          <w:rFonts w:ascii="Times New Roman" w:hAnsi="Times New Roman" w:cs="Times New Roman"/>
          <w:sz w:val="24"/>
          <w:szCs w:val="24"/>
        </w:rPr>
        <w:t>%</w:t>
      </w:r>
      <w:r w:rsidRPr="006F788F">
        <w:rPr>
          <w:rFonts w:ascii="Times New Roman" w:hAnsi="Times New Roman" w:cs="Times New Roman"/>
          <w:sz w:val="24"/>
          <w:szCs w:val="24"/>
        </w:rPr>
        <w:t xml:space="preserve">) </w:t>
      </w:r>
      <w:r>
        <w:rPr>
          <w:rFonts w:ascii="Times New Roman" w:hAnsi="Times New Roman" w:cs="Times New Roman"/>
          <w:sz w:val="24"/>
          <w:szCs w:val="24"/>
        </w:rPr>
        <w:t>and high level (14.16 %)</w:t>
      </w:r>
      <w:r w:rsidRPr="006F788F">
        <w:rPr>
          <w:rFonts w:ascii="Times New Roman" w:hAnsi="Times New Roman" w:cs="Times New Roman"/>
          <w:sz w:val="24"/>
          <w:szCs w:val="24"/>
        </w:rPr>
        <w:t xml:space="preserve"> of risk orientation.</w:t>
      </w:r>
      <w:r>
        <w:rPr>
          <w:rFonts w:ascii="Times New Roman" w:hAnsi="Times New Roman" w:cs="Times New Roman"/>
          <w:sz w:val="24"/>
          <w:szCs w:val="24"/>
        </w:rPr>
        <w:t xml:space="preserve"> The probable reason for this might be the low to medium level of extension agency contact and</w:t>
      </w:r>
      <w:r w:rsidR="005264B9">
        <w:rPr>
          <w:rFonts w:ascii="Times New Roman" w:hAnsi="Times New Roman" w:cs="Times New Roman"/>
          <w:sz w:val="24"/>
          <w:szCs w:val="24"/>
        </w:rPr>
        <w:t xml:space="preserve"> majority of them were</w:t>
      </w:r>
      <w:r>
        <w:rPr>
          <w:rFonts w:ascii="Times New Roman" w:hAnsi="Times New Roman" w:cs="Times New Roman"/>
          <w:sz w:val="24"/>
          <w:szCs w:val="24"/>
        </w:rPr>
        <w:t xml:space="preserve"> small farmers.</w:t>
      </w:r>
      <w:r w:rsidRPr="006F788F">
        <w:rPr>
          <w:rFonts w:ascii="Times New Roman" w:hAnsi="Times New Roman" w:cs="Times New Roman"/>
          <w:sz w:val="24"/>
          <w:szCs w:val="24"/>
        </w:rPr>
        <w:t xml:space="preserve"> This finding derives </w:t>
      </w:r>
      <w:r>
        <w:rPr>
          <w:rFonts w:ascii="Times New Roman" w:hAnsi="Times New Roman" w:cs="Times New Roman"/>
          <w:sz w:val="24"/>
          <w:szCs w:val="24"/>
        </w:rPr>
        <w:t xml:space="preserve">support from the findings of </w:t>
      </w:r>
      <w:proofErr w:type="spellStart"/>
      <w:r>
        <w:rPr>
          <w:rFonts w:ascii="Times New Roman" w:hAnsi="Times New Roman" w:cs="Times New Roman"/>
          <w:sz w:val="24"/>
          <w:szCs w:val="24"/>
        </w:rPr>
        <w:t>Aitochopi</w:t>
      </w:r>
      <w:proofErr w:type="spellEnd"/>
      <w:r>
        <w:rPr>
          <w:rFonts w:ascii="Times New Roman" w:hAnsi="Times New Roman" w:cs="Times New Roman"/>
          <w:sz w:val="24"/>
          <w:szCs w:val="24"/>
        </w:rPr>
        <w:t xml:space="preserve"> (2016)</w:t>
      </w:r>
      <w:r w:rsidRPr="006F788F">
        <w:rPr>
          <w:rFonts w:ascii="Times New Roman" w:hAnsi="Times New Roman" w:cs="Times New Roman"/>
          <w:sz w:val="24"/>
          <w:szCs w:val="24"/>
        </w:rPr>
        <w:t>.</w:t>
      </w:r>
      <w:r w:rsidRPr="008F2491">
        <w:rPr>
          <w:rFonts w:ascii="Times New Roman" w:hAnsi="Times New Roman" w:cs="Times New Roman"/>
          <w:b/>
          <w:bCs/>
          <w:sz w:val="24"/>
          <w:szCs w:val="24"/>
        </w:rPr>
        <w:t xml:space="preserve"> </w:t>
      </w:r>
    </w:p>
    <w:p w:rsidR="008135D8" w:rsidRPr="008135D8" w:rsidRDefault="008135D8" w:rsidP="008135D8">
      <w:pPr>
        <w:spacing w:after="0" w:line="360" w:lineRule="auto"/>
        <w:jc w:val="both"/>
        <w:rPr>
          <w:rFonts w:ascii="Times New Roman" w:eastAsia="Times New Roman" w:hAnsi="Times New Roman" w:cs="Times New Roman"/>
          <w:kern w:val="0"/>
          <w:sz w:val="24"/>
          <w:szCs w:val="24"/>
          <w:lang w:val="en-US" w:bidi="ta-IN"/>
        </w:rPr>
      </w:pPr>
      <w:r w:rsidRPr="008135D8">
        <w:rPr>
          <w:rFonts w:ascii="Times New Roman" w:eastAsia="Times New Roman" w:hAnsi="Times New Roman" w:cs="Times New Roman"/>
          <w:kern w:val="0"/>
          <w:sz w:val="24"/>
          <w:szCs w:val="24"/>
          <w:lang w:val="en-US" w:bidi="ta-IN"/>
        </w:rPr>
        <w:t>When farmers are making decisions about whether to implement agricultural advances, risk orientation is a critical factor. A number of variables, including price variations, insect prevalence, weather unpredictability, and input availability, are intrinsically linked to agricultural productivity. Because of this, a lot of farmers have a tendency to be cautious when thinking about new technology that may be risky.</w:t>
      </w:r>
      <w:r w:rsidRPr="008135D8">
        <w:rPr>
          <w:rFonts w:ascii="Times New Roman" w:eastAsia="Times New Roman" w:hAnsi="Times New Roman" w:cs="Times New Roman"/>
          <w:kern w:val="0"/>
          <w:sz w:val="24"/>
          <w:szCs w:val="24"/>
          <w:lang w:val="en-US" w:bidi="ta-IN"/>
        </w:rPr>
        <w:br/>
      </w:r>
      <w:r w:rsidRPr="008135D8">
        <w:rPr>
          <w:rFonts w:ascii="Times New Roman" w:eastAsia="Times New Roman" w:hAnsi="Times New Roman" w:cs="Times New Roman"/>
          <w:kern w:val="0"/>
          <w:sz w:val="24"/>
          <w:szCs w:val="24"/>
          <w:lang w:val="en-US" w:bidi="ta-IN"/>
        </w:rPr>
        <w:br/>
        <w:t>Farmers are prepared to take measured risks but are cautious when implementing new procedures, according to the respondents' moderate degree of risk orientation. By offering hands-on experience with new technology, extension interventions like field demos, training courses, and farmer field schools can help lower perceived risks. Farmers get much more confident in implementing bio</w:t>
      </w:r>
      <w:r>
        <w:rPr>
          <w:rFonts w:ascii="Times New Roman" w:eastAsia="Times New Roman" w:hAnsi="Times New Roman" w:cs="Times New Roman"/>
          <w:kern w:val="0"/>
          <w:sz w:val="24"/>
          <w:szCs w:val="24"/>
          <w:lang w:val="en-US" w:bidi="ta-IN"/>
        </w:rPr>
        <w:t xml:space="preserve">-fertilizers </w:t>
      </w:r>
      <w:r w:rsidRPr="008135D8">
        <w:rPr>
          <w:rFonts w:ascii="Times New Roman" w:eastAsia="Times New Roman" w:hAnsi="Times New Roman" w:cs="Times New Roman"/>
          <w:kern w:val="0"/>
          <w:sz w:val="24"/>
          <w:szCs w:val="24"/>
          <w:lang w:val="en-US" w:bidi="ta-IN"/>
        </w:rPr>
        <w:t>techniques when they see how well they work in demonstration plots.</w:t>
      </w:r>
    </w:p>
    <w:p w:rsidR="004D6E34" w:rsidRDefault="004D6E34" w:rsidP="002C3D0C">
      <w:pPr>
        <w:spacing w:line="360" w:lineRule="auto"/>
        <w:jc w:val="both"/>
        <w:rPr>
          <w:rFonts w:ascii="Times New Roman" w:hAnsi="Times New Roman" w:cs="Times New Roman"/>
          <w:b/>
          <w:bCs/>
          <w:sz w:val="24"/>
          <w:szCs w:val="24"/>
          <w:lang w:val="en-US"/>
        </w:rPr>
      </w:pPr>
    </w:p>
    <w:p w:rsidR="002C3D0C" w:rsidRDefault="002C3D0C" w:rsidP="002C3D0C">
      <w:pPr>
        <w:spacing w:line="360" w:lineRule="auto"/>
        <w:jc w:val="both"/>
        <w:rPr>
          <w:rFonts w:ascii="Times New Roman" w:hAnsi="Times New Roman" w:cs="Times New Roman"/>
          <w:b/>
          <w:bCs/>
          <w:sz w:val="24"/>
          <w:szCs w:val="24"/>
          <w:lang w:val="en-US"/>
        </w:rPr>
      </w:pPr>
      <w:r w:rsidRPr="002C3D0C">
        <w:rPr>
          <w:rFonts w:ascii="Times New Roman" w:hAnsi="Times New Roman" w:cs="Times New Roman"/>
          <w:b/>
          <w:bCs/>
          <w:sz w:val="24"/>
          <w:szCs w:val="24"/>
          <w:lang w:val="en-US"/>
        </w:rPr>
        <w:lastRenderedPageBreak/>
        <w:t>Information source utilization</w:t>
      </w:r>
    </w:p>
    <w:p w:rsidR="002C3D0C" w:rsidRPr="002C3D0C" w:rsidRDefault="002C3D0C" w:rsidP="00C00041">
      <w:pPr>
        <w:spacing w:line="360" w:lineRule="auto"/>
        <w:ind w:firstLine="720"/>
        <w:jc w:val="both"/>
        <w:rPr>
          <w:rFonts w:ascii="Times New Roman" w:hAnsi="Times New Roman" w:cs="Times New Roman"/>
          <w:sz w:val="24"/>
          <w:szCs w:val="24"/>
        </w:rPr>
      </w:pPr>
      <w:r w:rsidRPr="006F788F">
        <w:rPr>
          <w:rFonts w:ascii="Times New Roman" w:hAnsi="Times New Roman" w:cs="Times New Roman"/>
          <w:sz w:val="24"/>
          <w:szCs w:val="24"/>
        </w:rPr>
        <w:t>The results on distribution of the respondents according to their leve</w:t>
      </w:r>
      <w:r>
        <w:rPr>
          <w:rFonts w:ascii="Times New Roman" w:hAnsi="Times New Roman" w:cs="Times New Roman"/>
          <w:sz w:val="24"/>
          <w:szCs w:val="24"/>
        </w:rPr>
        <w:t>l of information source utilization are presented in the Table 3</w:t>
      </w:r>
      <w:r w:rsidRPr="006F788F">
        <w:rPr>
          <w:rFonts w:ascii="Times New Roman" w:hAnsi="Times New Roman" w:cs="Times New Roman"/>
          <w:sz w:val="24"/>
          <w:szCs w:val="24"/>
        </w:rPr>
        <w:t xml:space="preserve">. </w:t>
      </w:r>
    </w:p>
    <w:p w:rsidR="002C3D0C" w:rsidRPr="002C3D0C" w:rsidRDefault="002C3D0C" w:rsidP="00067967">
      <w:pPr>
        <w:spacing w:line="360" w:lineRule="auto"/>
        <w:jc w:val="both"/>
        <w:rPr>
          <w:rFonts w:ascii="Times New Roman" w:hAnsi="Times New Roman" w:cs="Times New Roman"/>
          <w:b/>
          <w:bCs/>
          <w:sz w:val="24"/>
          <w:szCs w:val="24"/>
          <w:lang w:val="en-US"/>
        </w:rPr>
      </w:pPr>
      <w:r w:rsidRPr="002C3D0C">
        <w:rPr>
          <w:rFonts w:ascii="Times New Roman" w:hAnsi="Times New Roman" w:cs="Times New Roman"/>
          <w:b/>
          <w:bCs/>
          <w:sz w:val="24"/>
          <w:szCs w:val="24"/>
          <w:lang w:val="en-US"/>
        </w:rPr>
        <w:t xml:space="preserve">Table </w:t>
      </w:r>
      <w:r>
        <w:rPr>
          <w:rFonts w:ascii="Times New Roman" w:hAnsi="Times New Roman" w:cs="Times New Roman"/>
          <w:b/>
          <w:bCs/>
          <w:sz w:val="24"/>
          <w:szCs w:val="24"/>
          <w:lang w:val="en-US"/>
        </w:rPr>
        <w:t>3</w:t>
      </w:r>
      <w:r w:rsidRPr="002C3D0C">
        <w:rPr>
          <w:rFonts w:ascii="Times New Roman" w:hAnsi="Times New Roman" w:cs="Times New Roman"/>
          <w:b/>
          <w:bCs/>
          <w:sz w:val="24"/>
          <w:szCs w:val="24"/>
          <w:lang w:val="en-US"/>
        </w:rPr>
        <w:t>. Distribution of respondents according to their level of Information</w:t>
      </w:r>
      <w:r w:rsidR="00C00041">
        <w:rPr>
          <w:rFonts w:ascii="Times New Roman" w:hAnsi="Times New Roman" w:cs="Times New Roman"/>
          <w:b/>
          <w:bCs/>
          <w:sz w:val="24"/>
          <w:szCs w:val="24"/>
          <w:lang w:val="en-US"/>
        </w:rPr>
        <w:t xml:space="preserve"> </w:t>
      </w:r>
      <w:r w:rsidRPr="002C3D0C">
        <w:rPr>
          <w:rFonts w:ascii="Times New Roman" w:hAnsi="Times New Roman" w:cs="Times New Roman"/>
          <w:b/>
          <w:bCs/>
          <w:sz w:val="24"/>
          <w:szCs w:val="24"/>
          <w:lang w:val="en-US"/>
        </w:rPr>
        <w:t xml:space="preserve">Source utilization                                                                      </w:t>
      </w:r>
      <w:r>
        <w:rPr>
          <w:rFonts w:ascii="Times New Roman" w:hAnsi="Times New Roman" w:cs="Times New Roman"/>
          <w:b/>
          <w:bCs/>
          <w:sz w:val="24"/>
          <w:szCs w:val="24"/>
          <w:lang w:val="en-US"/>
        </w:rPr>
        <w:t xml:space="preserve"> </w:t>
      </w:r>
      <w:r w:rsidR="00C0004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w:t>
      </w:r>
      <w:r w:rsidR="00E209FE">
        <w:rPr>
          <w:rFonts w:ascii="Times New Roman" w:hAnsi="Times New Roman" w:cs="Times New Roman"/>
          <w:b/>
          <w:bCs/>
          <w:sz w:val="24"/>
          <w:szCs w:val="24"/>
          <w:lang w:val="en-US"/>
        </w:rPr>
        <w:t xml:space="preserve">  (</w:t>
      </w:r>
      <w:r w:rsidRPr="002C3D0C">
        <w:rPr>
          <w:rFonts w:ascii="Times New Roman" w:hAnsi="Times New Roman" w:cs="Times New Roman"/>
          <w:b/>
          <w:bCs/>
          <w:sz w:val="24"/>
          <w:szCs w:val="24"/>
          <w:lang w:val="en-US"/>
        </w:rPr>
        <w:t>n=120)</w:t>
      </w:r>
    </w:p>
    <w:tbl>
      <w:tblPr>
        <w:tblStyle w:val="TableGrid"/>
        <w:tblW w:w="9143" w:type="dxa"/>
        <w:tblInd w:w="-5" w:type="dxa"/>
        <w:tblLook w:val="04A0" w:firstRow="1" w:lastRow="0" w:firstColumn="1" w:lastColumn="0" w:noHBand="0" w:noVBand="1"/>
      </w:tblPr>
      <w:tblGrid>
        <w:gridCol w:w="1369"/>
        <w:gridCol w:w="2332"/>
        <w:gridCol w:w="3206"/>
        <w:gridCol w:w="2236"/>
      </w:tblGrid>
      <w:tr w:rsidR="002C3D0C" w:rsidRPr="002C3D0C" w:rsidTr="00B90173">
        <w:trPr>
          <w:trHeight w:val="564"/>
        </w:trPr>
        <w:tc>
          <w:tcPr>
            <w:tcW w:w="1369"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b/>
                <w:bCs/>
                <w:sz w:val="24"/>
                <w:szCs w:val="24"/>
              </w:rPr>
            </w:pPr>
            <w:r w:rsidRPr="002C3D0C">
              <w:rPr>
                <w:rFonts w:ascii="Times New Roman" w:hAnsi="Times New Roman" w:cs="Times New Roman"/>
                <w:b/>
                <w:bCs/>
                <w:sz w:val="24"/>
                <w:szCs w:val="24"/>
              </w:rPr>
              <w:t>Sl. No.</w:t>
            </w:r>
          </w:p>
        </w:tc>
        <w:tc>
          <w:tcPr>
            <w:tcW w:w="2332"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b/>
                <w:bCs/>
                <w:sz w:val="24"/>
                <w:szCs w:val="24"/>
              </w:rPr>
            </w:pPr>
            <w:r w:rsidRPr="002C3D0C">
              <w:rPr>
                <w:rFonts w:ascii="Times New Roman" w:hAnsi="Times New Roman" w:cs="Times New Roman"/>
                <w:b/>
                <w:bCs/>
                <w:sz w:val="24"/>
                <w:szCs w:val="24"/>
              </w:rPr>
              <w:t>Category</w:t>
            </w:r>
          </w:p>
        </w:tc>
        <w:tc>
          <w:tcPr>
            <w:tcW w:w="3206"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b/>
                <w:bCs/>
                <w:sz w:val="24"/>
                <w:szCs w:val="24"/>
              </w:rPr>
            </w:pPr>
            <w:r w:rsidRPr="002C3D0C">
              <w:rPr>
                <w:rFonts w:ascii="Times New Roman" w:hAnsi="Times New Roman" w:cs="Times New Roman"/>
                <w:b/>
                <w:bCs/>
                <w:sz w:val="24"/>
                <w:szCs w:val="24"/>
              </w:rPr>
              <w:t>No. of respondents</w:t>
            </w:r>
          </w:p>
        </w:tc>
        <w:tc>
          <w:tcPr>
            <w:tcW w:w="2236"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b/>
                <w:bCs/>
                <w:sz w:val="24"/>
                <w:szCs w:val="24"/>
              </w:rPr>
            </w:pPr>
            <w:r w:rsidRPr="002C3D0C">
              <w:rPr>
                <w:rFonts w:ascii="Times New Roman" w:hAnsi="Times New Roman" w:cs="Times New Roman"/>
                <w:b/>
                <w:bCs/>
                <w:sz w:val="24"/>
                <w:szCs w:val="24"/>
              </w:rPr>
              <w:t>Per cent</w:t>
            </w:r>
          </w:p>
        </w:tc>
      </w:tr>
      <w:tr w:rsidR="002C3D0C" w:rsidRPr="002C3D0C" w:rsidTr="00B90173">
        <w:trPr>
          <w:trHeight w:val="564"/>
        </w:trPr>
        <w:tc>
          <w:tcPr>
            <w:tcW w:w="1369" w:type="dxa"/>
            <w:tcBorders>
              <w:top w:val="single" w:sz="4" w:space="0" w:color="auto"/>
              <w:left w:val="single" w:sz="4" w:space="0" w:color="auto"/>
              <w:bottom w:val="single" w:sz="4" w:space="0" w:color="auto"/>
              <w:right w:val="single" w:sz="4" w:space="0" w:color="auto"/>
            </w:tcBorders>
          </w:tcPr>
          <w:p w:rsidR="002C3D0C" w:rsidRPr="002C3D0C" w:rsidRDefault="002C3D0C" w:rsidP="00B90173">
            <w:pPr>
              <w:numPr>
                <w:ilvl w:val="0"/>
                <w:numId w:val="3"/>
              </w:numPr>
              <w:spacing w:after="160" w:line="360" w:lineRule="auto"/>
              <w:jc w:val="center"/>
              <w:rPr>
                <w:rFonts w:ascii="Times New Roman" w:hAnsi="Times New Roman" w:cs="Times New Roman"/>
                <w:sz w:val="24"/>
                <w:szCs w:val="24"/>
              </w:rPr>
            </w:pPr>
          </w:p>
        </w:tc>
        <w:tc>
          <w:tcPr>
            <w:tcW w:w="2332"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Low</w:t>
            </w:r>
          </w:p>
        </w:tc>
        <w:tc>
          <w:tcPr>
            <w:tcW w:w="3206"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43</w:t>
            </w:r>
          </w:p>
        </w:tc>
        <w:tc>
          <w:tcPr>
            <w:tcW w:w="2236"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35.83</w:t>
            </w:r>
          </w:p>
        </w:tc>
      </w:tr>
      <w:tr w:rsidR="002C3D0C" w:rsidRPr="002C3D0C" w:rsidTr="00B90173">
        <w:trPr>
          <w:trHeight w:val="564"/>
        </w:trPr>
        <w:tc>
          <w:tcPr>
            <w:tcW w:w="1369" w:type="dxa"/>
            <w:tcBorders>
              <w:top w:val="single" w:sz="4" w:space="0" w:color="auto"/>
              <w:left w:val="single" w:sz="4" w:space="0" w:color="auto"/>
              <w:bottom w:val="single" w:sz="4" w:space="0" w:color="auto"/>
              <w:right w:val="single" w:sz="4" w:space="0" w:color="auto"/>
            </w:tcBorders>
          </w:tcPr>
          <w:p w:rsidR="002C3D0C" w:rsidRPr="002C3D0C" w:rsidRDefault="002C3D0C" w:rsidP="00B90173">
            <w:pPr>
              <w:numPr>
                <w:ilvl w:val="0"/>
                <w:numId w:val="3"/>
              </w:numPr>
              <w:spacing w:after="160" w:line="360" w:lineRule="auto"/>
              <w:jc w:val="center"/>
              <w:rPr>
                <w:rFonts w:ascii="Times New Roman" w:hAnsi="Times New Roman" w:cs="Times New Roman"/>
                <w:sz w:val="24"/>
                <w:szCs w:val="24"/>
              </w:rPr>
            </w:pPr>
          </w:p>
        </w:tc>
        <w:tc>
          <w:tcPr>
            <w:tcW w:w="2332"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Medium</w:t>
            </w:r>
          </w:p>
        </w:tc>
        <w:tc>
          <w:tcPr>
            <w:tcW w:w="3206"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66</w:t>
            </w:r>
          </w:p>
        </w:tc>
        <w:tc>
          <w:tcPr>
            <w:tcW w:w="2236"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55.00</w:t>
            </w:r>
          </w:p>
        </w:tc>
      </w:tr>
      <w:tr w:rsidR="002C3D0C" w:rsidRPr="002C3D0C" w:rsidTr="00B90173">
        <w:trPr>
          <w:trHeight w:val="275"/>
        </w:trPr>
        <w:tc>
          <w:tcPr>
            <w:tcW w:w="1369" w:type="dxa"/>
            <w:tcBorders>
              <w:top w:val="single" w:sz="4" w:space="0" w:color="auto"/>
              <w:left w:val="single" w:sz="4" w:space="0" w:color="auto"/>
              <w:bottom w:val="single" w:sz="4" w:space="0" w:color="auto"/>
              <w:right w:val="single" w:sz="4" w:space="0" w:color="auto"/>
            </w:tcBorders>
          </w:tcPr>
          <w:p w:rsidR="002C3D0C" w:rsidRPr="002C3D0C" w:rsidRDefault="002C3D0C" w:rsidP="00B90173">
            <w:pPr>
              <w:numPr>
                <w:ilvl w:val="0"/>
                <w:numId w:val="3"/>
              </w:numPr>
              <w:spacing w:after="160" w:line="360" w:lineRule="auto"/>
              <w:jc w:val="center"/>
              <w:rPr>
                <w:rFonts w:ascii="Times New Roman" w:hAnsi="Times New Roman" w:cs="Times New Roman"/>
                <w:sz w:val="24"/>
                <w:szCs w:val="24"/>
              </w:rPr>
            </w:pPr>
          </w:p>
        </w:tc>
        <w:tc>
          <w:tcPr>
            <w:tcW w:w="2332"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High</w:t>
            </w:r>
          </w:p>
        </w:tc>
        <w:tc>
          <w:tcPr>
            <w:tcW w:w="3206"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11</w:t>
            </w:r>
          </w:p>
        </w:tc>
        <w:tc>
          <w:tcPr>
            <w:tcW w:w="2236"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09.17</w:t>
            </w:r>
          </w:p>
        </w:tc>
      </w:tr>
      <w:tr w:rsidR="002C3D0C" w:rsidRPr="002C3D0C" w:rsidTr="00B90173">
        <w:trPr>
          <w:trHeight w:val="275"/>
        </w:trPr>
        <w:tc>
          <w:tcPr>
            <w:tcW w:w="3701" w:type="dxa"/>
            <w:gridSpan w:val="2"/>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b/>
                <w:bCs/>
                <w:sz w:val="24"/>
                <w:szCs w:val="24"/>
              </w:rPr>
            </w:pPr>
            <w:r w:rsidRPr="002C3D0C">
              <w:rPr>
                <w:rFonts w:ascii="Times New Roman" w:hAnsi="Times New Roman" w:cs="Times New Roman"/>
                <w:b/>
                <w:bCs/>
                <w:sz w:val="24"/>
                <w:szCs w:val="24"/>
              </w:rPr>
              <w:t>Total</w:t>
            </w:r>
          </w:p>
        </w:tc>
        <w:tc>
          <w:tcPr>
            <w:tcW w:w="3206"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b/>
                <w:bCs/>
                <w:sz w:val="24"/>
                <w:szCs w:val="24"/>
              </w:rPr>
            </w:pPr>
            <w:r w:rsidRPr="002C3D0C">
              <w:rPr>
                <w:rFonts w:ascii="Times New Roman" w:hAnsi="Times New Roman" w:cs="Times New Roman"/>
                <w:b/>
                <w:bCs/>
                <w:sz w:val="24"/>
                <w:szCs w:val="24"/>
              </w:rPr>
              <w:t>120</w:t>
            </w:r>
          </w:p>
        </w:tc>
        <w:tc>
          <w:tcPr>
            <w:tcW w:w="2236"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b/>
                <w:bCs/>
                <w:sz w:val="24"/>
                <w:szCs w:val="24"/>
              </w:rPr>
            </w:pPr>
            <w:r w:rsidRPr="002C3D0C">
              <w:rPr>
                <w:rFonts w:ascii="Times New Roman" w:hAnsi="Times New Roman" w:cs="Times New Roman"/>
                <w:b/>
                <w:bCs/>
                <w:sz w:val="24"/>
                <w:szCs w:val="24"/>
              </w:rPr>
              <w:t>100.00</w:t>
            </w:r>
          </w:p>
        </w:tc>
      </w:tr>
    </w:tbl>
    <w:p w:rsidR="002C3D0C" w:rsidRPr="002C3D0C" w:rsidRDefault="002C3D0C" w:rsidP="002C3D0C">
      <w:pPr>
        <w:spacing w:line="360" w:lineRule="auto"/>
        <w:jc w:val="both"/>
        <w:rPr>
          <w:rFonts w:ascii="Times New Roman" w:hAnsi="Times New Roman" w:cs="Times New Roman"/>
          <w:sz w:val="24"/>
          <w:szCs w:val="24"/>
          <w:lang w:val="en-US"/>
        </w:rPr>
      </w:pPr>
    </w:p>
    <w:p w:rsidR="00E209FE" w:rsidRDefault="000D15B2" w:rsidP="002C3D0C">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rPr>
        <w:pict>
          <v:rect id="_x0000_s1028" style="position:absolute;left:0;text-align:left;margin-left:0;margin-top:258.75pt;width:451.9pt;height:44.45pt;z-index:25166336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y0WAIAAP4EAAAOAAAAZHJzL2Uyb0RvYy54bWysVE1v2zAMvQ/YfxB0Xx1nST+COkXQosOA&#10;og3WDj0rspQYk0WNUmJnv36U7Dhdl9Owi0yJfKRIvefrm7Y2bKfQV2ALnp+NOFNWQlnZdcG/v9x/&#10;uuTMB2FLYcCqgu+V5zfzjx+uGzdTY9iAKRUySmL9rHEF34TgZlnm5UbVwp+BU5acGrAWgba4zkoU&#10;DWWvTTYejc6zBrB0CFJ5T6d3nZPPU36tlQxPWnsVmCk43S2kFdO6ims2vxazNQq3qWR/DfEPt6hF&#10;ZanokOpOBMG2WP2Vqq4kggcdziTUGWhdSZV6oG7y0btunjfCqdQLDce7YUz+/6WVj7tnt0QaQ+P8&#10;zJMZu2g11vFL92NtGtZ+GJZqA5N0OL34fHmZX3EmyTc9n4xHkzjN7Ih26MMXBTWLRsGRHiPNSOwe&#10;fOhCDyGEO9ZPVtgbFa9g7DelWVVSxXFCJ2qoW4NsJ+hRhZTKhmlfOkVHmK6MGYD5KaAJeQ/qYyNM&#10;JcoMwNEp4J8VB0SqCjYM4LqygKcSlD+Gyl38ofuu59h+aFctNR177p9mBeV+iQyho7B38r6isT4I&#10;H5YCibPEbtJheKJFG2gKDr3F2Qbw16nzGE9UIi9nDWmg4P7nVqDizHy1RLKrfDKJokmbyfRiTBt8&#10;61m99dhtfQv0Ijkp3slkxvhgDqZGqF9JrotYlVzCSqpdcBnwsLkNnTZJ8FItFimMhOJEeLDPTsbk&#10;cc6RNi/tq0DXcysQKx/hoBcxe0exLjYiLSy2AXSV+Bcn3c21fwESWWJw/0OIKn67T1HH39b8NwAA&#10;AP//AwBQSwMEFAAGAAgAAAAhABdXccDhAAAACAEAAA8AAABkcnMvZG93bnJldi54bWxMj0FLw0AQ&#10;he+C/2EZwZvdrdpoYzZFKoKFohgF7W2bTLPR7GzMbpv47x1Pehze8L3vZYvRteKAfWg8aZhOFAik&#10;0lcN1RpeX+7PrkGEaKgyrSfU8I0BFvnxUWbSyg/0jIci1oIhFFKjwcbYpVKG0qIzYeI7JM52vncm&#10;8tnXsurNwHDXynOlEulMQ9xgTYdLi+VnsXcaZo+DfFp+FXO7e3i/W71tVm79sdH69GS8vQERcYx/&#10;z/Crz+qQs9PW76kKotXAQyKTplczEBzP1QUv2WpIVHIJMs/k/wH5DwAAAP//AwBQSwECLQAUAAYA&#10;CAAAACEAtoM4kv4AAADhAQAAEwAAAAAAAAAAAAAAAAAAAAAAW0NvbnRlbnRfVHlwZXNdLnhtbFBL&#10;AQItABQABgAIAAAAIQA4/SH/1gAAAJQBAAALAAAAAAAAAAAAAAAAAC8BAABfcmVscy8ucmVsc1BL&#10;AQItABQABgAIAAAAIQCNHpy0WAIAAP4EAAAOAAAAAAAAAAAAAAAAAC4CAABkcnMvZTJvRG9jLnht&#10;bFBLAQItABQABgAIAAAAIQAXV3HA4QAAAAgBAAAPAAAAAAAAAAAAAAAAALIEAABkcnMvZG93bnJl&#10;di54bWxQSwUGAAAAAAQABADzAAAAwAUAAAAA&#10;" fillcolor="white [3201]" strokecolor="#a02b93 [3208]" strokeweight="1pt">
            <v:textbox>
              <w:txbxContent>
                <w:p w:rsidR="00A8755B" w:rsidRPr="00AC77C3" w:rsidRDefault="00A8755B" w:rsidP="00A8755B">
                  <w:pPr>
                    <w:spacing w:line="276" w:lineRule="auto"/>
                    <w:jc w:val="center"/>
                    <w:rPr>
                      <w:rFonts w:ascii="Times New Roman" w:hAnsi="Times New Roman" w:cs="Times New Roman"/>
                      <w:b/>
                      <w:bCs/>
                      <w:color w:val="FF0000"/>
                      <w:sz w:val="28"/>
                      <w:szCs w:val="28"/>
                    </w:rPr>
                  </w:pPr>
                  <w:r w:rsidRPr="00AC77C3">
                    <w:rPr>
                      <w:rFonts w:ascii="Times New Roman" w:hAnsi="Times New Roman" w:cs="Times New Roman"/>
                      <w:b/>
                      <w:bCs/>
                      <w:color w:val="FF0000"/>
                      <w:sz w:val="28"/>
                      <w:szCs w:val="28"/>
                    </w:rPr>
                    <w:t xml:space="preserve">Fig </w:t>
                  </w:r>
                  <w:r w:rsidR="003A5761">
                    <w:rPr>
                      <w:rFonts w:ascii="Times New Roman" w:hAnsi="Times New Roman" w:cs="Times New Roman"/>
                      <w:b/>
                      <w:bCs/>
                      <w:color w:val="FF0000"/>
                      <w:sz w:val="28"/>
                      <w:szCs w:val="28"/>
                    </w:rPr>
                    <w:t>3</w:t>
                  </w:r>
                  <w:r w:rsidRPr="00AC77C3">
                    <w:rPr>
                      <w:rFonts w:ascii="Times New Roman" w:hAnsi="Times New Roman" w:cs="Times New Roman"/>
                      <w:b/>
                      <w:bCs/>
                      <w:color w:val="FF0000"/>
                      <w:sz w:val="28"/>
                      <w:szCs w:val="28"/>
                    </w:rPr>
                    <w:t>. It shows</w:t>
                  </w:r>
                  <w:r>
                    <w:rPr>
                      <w:rFonts w:ascii="Times New Roman" w:hAnsi="Times New Roman" w:cs="Times New Roman"/>
                      <w:b/>
                      <w:bCs/>
                      <w:color w:val="FF0000"/>
                      <w:sz w:val="28"/>
                      <w:szCs w:val="28"/>
                    </w:rPr>
                    <w:t xml:space="preserve"> the</w:t>
                  </w:r>
                  <w:r w:rsidRPr="00AC77C3">
                    <w:rPr>
                      <w:rFonts w:ascii="Times New Roman" w:hAnsi="Times New Roman" w:cs="Times New Roman"/>
                      <w:b/>
                      <w:bCs/>
                      <w:color w:val="FF0000"/>
                      <w:sz w:val="28"/>
                      <w:szCs w:val="28"/>
                    </w:rPr>
                    <w:t xml:space="preserve"> </w:t>
                  </w:r>
                  <w:r>
                    <w:rPr>
                      <w:rFonts w:ascii="Times New Roman" w:hAnsi="Times New Roman" w:cs="Times New Roman"/>
                      <w:b/>
                      <w:bCs/>
                      <w:color w:val="FF0000"/>
                      <w:sz w:val="28"/>
                      <w:szCs w:val="28"/>
                    </w:rPr>
                    <w:t xml:space="preserve">level </w:t>
                  </w:r>
                  <w:r w:rsidRPr="00AC77C3">
                    <w:rPr>
                      <w:rFonts w:ascii="Times New Roman" w:hAnsi="Times New Roman" w:cs="Times New Roman"/>
                      <w:b/>
                      <w:bCs/>
                      <w:color w:val="FF0000"/>
                      <w:sz w:val="28"/>
                      <w:szCs w:val="28"/>
                    </w:rPr>
                    <w:t>of</w:t>
                  </w:r>
                  <w:r>
                    <w:rPr>
                      <w:rFonts w:ascii="Times New Roman" w:hAnsi="Times New Roman" w:cs="Times New Roman"/>
                      <w:b/>
                      <w:bCs/>
                      <w:color w:val="FF0000"/>
                      <w:sz w:val="28"/>
                      <w:szCs w:val="28"/>
                    </w:rPr>
                    <w:t xml:space="preserve"> information source utilization possessed by the</w:t>
                  </w:r>
                  <w:r w:rsidRPr="00AC77C3">
                    <w:rPr>
                      <w:rFonts w:ascii="Times New Roman" w:hAnsi="Times New Roman" w:cs="Times New Roman"/>
                      <w:b/>
                      <w:bCs/>
                      <w:color w:val="FF0000"/>
                      <w:sz w:val="28"/>
                      <w:szCs w:val="28"/>
                    </w:rPr>
                    <w:t xml:space="preserve"> paddy growers regarding recommended biofertilizers practices</w:t>
                  </w:r>
                </w:p>
                <w:p w:rsidR="00A8755B" w:rsidRDefault="00A8755B" w:rsidP="00A8755B">
                  <w:pPr>
                    <w:jc w:val="center"/>
                  </w:pPr>
                </w:p>
              </w:txbxContent>
            </v:textbox>
            <w10:wrap anchorx="margin"/>
          </v:rect>
        </w:pict>
      </w:r>
      <w:r w:rsidR="00E209FE">
        <w:rPr>
          <w:rFonts w:ascii="Times New Roman" w:hAnsi="Times New Roman" w:cs="Times New Roman"/>
          <w:noProof/>
          <w:sz w:val="24"/>
          <w:szCs w:val="24"/>
          <w:lang w:val="en-US" w:bidi="ta-IN"/>
        </w:rPr>
        <w:drawing>
          <wp:inline distT="0" distB="0" distL="0" distR="0">
            <wp:extent cx="5719445" cy="3362325"/>
            <wp:effectExtent l="0" t="0" r="14605" b="9525"/>
            <wp:docPr id="131592160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B4DFC" w:rsidRDefault="000B4DFC" w:rsidP="00067967">
      <w:pPr>
        <w:spacing w:line="360" w:lineRule="auto"/>
        <w:ind w:firstLine="720"/>
        <w:jc w:val="both"/>
        <w:rPr>
          <w:rFonts w:ascii="Times New Roman" w:hAnsi="Times New Roman" w:cs="Times New Roman"/>
          <w:sz w:val="24"/>
          <w:szCs w:val="24"/>
          <w:lang w:val="en-US"/>
        </w:rPr>
      </w:pPr>
    </w:p>
    <w:p w:rsidR="00627216" w:rsidRDefault="002C3D0C" w:rsidP="000B4DFC">
      <w:pPr>
        <w:spacing w:line="360" w:lineRule="auto"/>
        <w:ind w:firstLine="720"/>
        <w:jc w:val="both"/>
        <w:rPr>
          <w:rFonts w:ascii="Times New Roman" w:hAnsi="Times New Roman" w:cs="Times New Roman"/>
          <w:sz w:val="24"/>
          <w:szCs w:val="24"/>
          <w:lang w:val="en-US"/>
        </w:rPr>
      </w:pPr>
      <w:r w:rsidRPr="002C3D0C">
        <w:rPr>
          <w:rFonts w:ascii="Times New Roman" w:hAnsi="Times New Roman" w:cs="Times New Roman"/>
          <w:sz w:val="24"/>
          <w:szCs w:val="24"/>
          <w:lang w:val="en-US"/>
        </w:rPr>
        <w:t xml:space="preserve">It could be inferred from </w:t>
      </w:r>
      <w:r w:rsidR="00E209FE">
        <w:rPr>
          <w:rFonts w:ascii="Times New Roman" w:hAnsi="Times New Roman" w:cs="Times New Roman"/>
          <w:sz w:val="24"/>
          <w:szCs w:val="24"/>
          <w:lang w:val="en-US"/>
        </w:rPr>
        <w:t xml:space="preserve">above </w:t>
      </w:r>
      <w:r w:rsidR="00C00041" w:rsidRPr="002C3D0C">
        <w:rPr>
          <w:rFonts w:ascii="Times New Roman" w:hAnsi="Times New Roman" w:cs="Times New Roman"/>
          <w:sz w:val="24"/>
          <w:szCs w:val="24"/>
          <w:lang w:val="en-US"/>
        </w:rPr>
        <w:t>Table</w:t>
      </w:r>
      <w:r w:rsidRPr="002C3D0C">
        <w:rPr>
          <w:rFonts w:ascii="Times New Roman" w:hAnsi="Times New Roman" w:cs="Times New Roman"/>
          <w:sz w:val="24"/>
          <w:szCs w:val="24"/>
          <w:lang w:val="en-US"/>
        </w:rPr>
        <w:t xml:space="preserve"> </w:t>
      </w:r>
      <w:r w:rsidR="00E209FE">
        <w:rPr>
          <w:rFonts w:ascii="Times New Roman" w:hAnsi="Times New Roman" w:cs="Times New Roman"/>
          <w:sz w:val="24"/>
          <w:szCs w:val="24"/>
          <w:lang w:val="en-US"/>
        </w:rPr>
        <w:t>3 and Fig. 3</w:t>
      </w:r>
      <w:r w:rsidRPr="002C3D0C">
        <w:rPr>
          <w:rFonts w:ascii="Times New Roman" w:hAnsi="Times New Roman" w:cs="Times New Roman"/>
          <w:sz w:val="24"/>
          <w:szCs w:val="24"/>
          <w:lang w:val="en-US"/>
        </w:rPr>
        <w:t>, that</w:t>
      </w:r>
      <w:r w:rsidR="00E209FE">
        <w:rPr>
          <w:rFonts w:ascii="Times New Roman" w:hAnsi="Times New Roman" w:cs="Times New Roman"/>
          <w:sz w:val="24"/>
          <w:szCs w:val="24"/>
          <w:lang w:val="en-US"/>
        </w:rPr>
        <w:t xml:space="preserve"> little</w:t>
      </w:r>
      <w:r w:rsidRPr="002C3D0C">
        <w:rPr>
          <w:rFonts w:ascii="Times New Roman" w:hAnsi="Times New Roman" w:cs="Times New Roman"/>
          <w:sz w:val="24"/>
          <w:szCs w:val="24"/>
          <w:lang w:val="en-US"/>
        </w:rPr>
        <w:t xml:space="preserve"> more than half </w:t>
      </w:r>
      <w:r w:rsidR="00B7491C">
        <w:rPr>
          <w:rFonts w:ascii="Times New Roman" w:hAnsi="Times New Roman" w:cs="Times New Roman"/>
          <w:sz w:val="24"/>
          <w:szCs w:val="24"/>
          <w:lang w:val="en-US"/>
        </w:rPr>
        <w:br/>
      </w:r>
      <w:r w:rsidRPr="002C3D0C">
        <w:rPr>
          <w:rFonts w:ascii="Times New Roman" w:hAnsi="Times New Roman" w:cs="Times New Roman"/>
          <w:sz w:val="24"/>
          <w:szCs w:val="24"/>
          <w:lang w:val="en-US"/>
        </w:rPr>
        <w:t xml:space="preserve">(55.00 per cent) of the respondents had medium level of information source utilization followed by low level (35.83 percent) and high level (09.17 per cent) of information source utilization. The information gained can be shared only if the person </w:t>
      </w:r>
      <w:r w:rsidR="00C00041" w:rsidRPr="002C3D0C">
        <w:rPr>
          <w:rFonts w:ascii="Times New Roman" w:hAnsi="Times New Roman" w:cs="Times New Roman"/>
          <w:sz w:val="24"/>
          <w:szCs w:val="24"/>
          <w:lang w:val="en-US"/>
        </w:rPr>
        <w:t>can</w:t>
      </w:r>
      <w:r w:rsidRPr="002C3D0C">
        <w:rPr>
          <w:rFonts w:ascii="Times New Roman" w:hAnsi="Times New Roman" w:cs="Times New Roman"/>
          <w:sz w:val="24"/>
          <w:szCs w:val="24"/>
          <w:lang w:val="en-US"/>
        </w:rPr>
        <w:t xml:space="preserve"> understand and </w:t>
      </w:r>
      <w:r w:rsidRPr="002C3D0C">
        <w:rPr>
          <w:rFonts w:ascii="Times New Roman" w:hAnsi="Times New Roman" w:cs="Times New Roman"/>
          <w:sz w:val="24"/>
          <w:szCs w:val="24"/>
          <w:lang w:val="en-US"/>
        </w:rPr>
        <w:lastRenderedPageBreak/>
        <w:t xml:space="preserve">express it. Hence, the knowledge and ability to share </w:t>
      </w:r>
      <w:r w:rsidR="00C00041" w:rsidRPr="002C3D0C">
        <w:rPr>
          <w:rFonts w:ascii="Times New Roman" w:hAnsi="Times New Roman" w:cs="Times New Roman"/>
          <w:sz w:val="24"/>
          <w:szCs w:val="24"/>
          <w:lang w:val="en-US"/>
        </w:rPr>
        <w:t>information</w:t>
      </w:r>
      <w:r w:rsidRPr="002C3D0C">
        <w:rPr>
          <w:rFonts w:ascii="Times New Roman" w:hAnsi="Times New Roman" w:cs="Times New Roman"/>
          <w:sz w:val="24"/>
          <w:szCs w:val="24"/>
          <w:lang w:val="en-US"/>
        </w:rPr>
        <w:t xml:space="preserve"> may be the probable reasons for such medium level of information sharing </w:t>
      </w:r>
      <w:r w:rsidR="00C00041" w:rsidRPr="002C3D0C">
        <w:rPr>
          <w:rFonts w:ascii="Times New Roman" w:hAnsi="Times New Roman" w:cs="Times New Roman"/>
          <w:sz w:val="24"/>
          <w:szCs w:val="24"/>
          <w:lang w:val="en-US"/>
        </w:rPr>
        <w:t>behavior</w:t>
      </w:r>
      <w:r w:rsidRPr="002C3D0C">
        <w:rPr>
          <w:rFonts w:ascii="Times New Roman" w:hAnsi="Times New Roman" w:cs="Times New Roman"/>
          <w:sz w:val="24"/>
          <w:szCs w:val="24"/>
          <w:lang w:val="en-US"/>
        </w:rPr>
        <w:t>. The above findings were in line with the findings of Vasanthakumar (2014)</w:t>
      </w:r>
      <w:r w:rsidR="000B4DFC">
        <w:rPr>
          <w:rFonts w:ascii="Times New Roman" w:hAnsi="Times New Roman" w:cs="Times New Roman"/>
          <w:sz w:val="24"/>
          <w:szCs w:val="24"/>
          <w:lang w:val="en-US"/>
        </w:rPr>
        <w:t>.</w:t>
      </w:r>
    </w:p>
    <w:p w:rsidR="008135D8" w:rsidRPr="008135D8" w:rsidRDefault="008135D8" w:rsidP="008135D8">
      <w:pPr>
        <w:spacing w:after="0" w:line="360" w:lineRule="auto"/>
        <w:jc w:val="both"/>
        <w:rPr>
          <w:rFonts w:ascii="Times New Roman" w:eastAsia="Times New Roman" w:hAnsi="Times New Roman" w:cs="Times New Roman"/>
          <w:kern w:val="0"/>
          <w:sz w:val="24"/>
          <w:szCs w:val="24"/>
          <w:lang w:val="en-US" w:bidi="ta-IN"/>
        </w:rPr>
      </w:pPr>
      <w:r w:rsidRPr="008135D8">
        <w:rPr>
          <w:rFonts w:ascii="Times New Roman" w:eastAsia="Times New Roman" w:hAnsi="Times New Roman" w:cs="Times New Roman"/>
          <w:kern w:val="0"/>
          <w:sz w:val="24"/>
          <w:szCs w:val="24"/>
          <w:lang w:val="en-US" w:bidi="ta-IN"/>
        </w:rPr>
        <w:t>Extension agents, other farmers, input dealers, the media, and digital communication platforms are just a few of the official and informal channels from which farmers get information. Farmers rely on a small number of information channels to make agricultural decisions, as evidenced by the study's modest deg</w:t>
      </w:r>
      <w:r w:rsidR="004D6E34">
        <w:rPr>
          <w:rFonts w:ascii="Times New Roman" w:eastAsia="Times New Roman" w:hAnsi="Times New Roman" w:cs="Times New Roman"/>
          <w:kern w:val="0"/>
          <w:sz w:val="24"/>
          <w:szCs w:val="24"/>
          <w:lang w:val="en-US" w:bidi="ta-IN"/>
        </w:rPr>
        <w:t>ree of information source use.</w:t>
      </w:r>
      <w:r w:rsidR="004D6E34">
        <w:rPr>
          <w:rFonts w:ascii="Times New Roman" w:eastAsia="Times New Roman" w:hAnsi="Times New Roman" w:cs="Times New Roman"/>
          <w:kern w:val="0"/>
          <w:sz w:val="24"/>
          <w:szCs w:val="24"/>
          <w:lang w:val="en-US" w:bidi="ta-IN"/>
        </w:rPr>
        <w:br/>
      </w:r>
      <w:r w:rsidRPr="008135D8">
        <w:rPr>
          <w:rFonts w:ascii="Times New Roman" w:eastAsia="Times New Roman" w:hAnsi="Times New Roman" w:cs="Times New Roman"/>
          <w:kern w:val="0"/>
          <w:sz w:val="24"/>
          <w:szCs w:val="24"/>
          <w:lang w:val="en-US" w:bidi="ta-IN"/>
        </w:rPr>
        <w:t>Online information platforms and mobile-based advising services are becoming significant sources of agricultural knowledge due to the quick development of digital technology in the field. However, farmers' access to communication infrastructure, digital proficiency, and literacy levels all affect how well they use these information sources. Farmers' understanding of bio</w:t>
      </w:r>
      <w:r>
        <w:rPr>
          <w:rFonts w:ascii="Times New Roman" w:eastAsia="Times New Roman" w:hAnsi="Times New Roman" w:cs="Times New Roman"/>
          <w:kern w:val="0"/>
          <w:sz w:val="24"/>
          <w:szCs w:val="24"/>
          <w:lang w:val="en-US" w:bidi="ta-IN"/>
        </w:rPr>
        <w:t>-</w:t>
      </w:r>
      <w:r w:rsidRPr="008135D8">
        <w:rPr>
          <w:rFonts w:ascii="Times New Roman" w:eastAsia="Times New Roman" w:hAnsi="Times New Roman" w:cs="Times New Roman"/>
          <w:kern w:val="0"/>
          <w:sz w:val="24"/>
          <w:szCs w:val="24"/>
          <w:lang w:val="en-US" w:bidi="ta-IN"/>
        </w:rPr>
        <w:t>fertilizer technology may be greatly increased by bolstering information distribution through a variety of channels, including farmer training programs, agricultural extension campaigns, and digital advisory services.</w:t>
      </w:r>
    </w:p>
    <w:p w:rsidR="008135D8" w:rsidRPr="000B4DFC" w:rsidRDefault="008135D8" w:rsidP="000B4DFC">
      <w:pPr>
        <w:spacing w:line="360" w:lineRule="auto"/>
        <w:ind w:firstLine="720"/>
        <w:jc w:val="both"/>
        <w:rPr>
          <w:rFonts w:ascii="Times New Roman" w:hAnsi="Times New Roman" w:cs="Times New Roman"/>
          <w:sz w:val="24"/>
          <w:szCs w:val="24"/>
          <w:lang w:val="en-US"/>
        </w:rPr>
      </w:pPr>
    </w:p>
    <w:p w:rsidR="00F343E8" w:rsidRDefault="008F2491" w:rsidP="00F343E8">
      <w:pPr>
        <w:rPr>
          <w:rFonts w:ascii="Times New Roman" w:hAnsi="Times New Roman" w:cs="Times New Roman"/>
          <w:b/>
          <w:bCs/>
          <w:sz w:val="24"/>
          <w:szCs w:val="24"/>
        </w:rPr>
      </w:pPr>
      <w:r w:rsidRPr="008F2491">
        <w:rPr>
          <w:rFonts w:ascii="Times New Roman" w:hAnsi="Times New Roman" w:cs="Times New Roman"/>
          <w:b/>
          <w:bCs/>
          <w:sz w:val="24"/>
          <w:szCs w:val="24"/>
        </w:rPr>
        <w:t>Conclusion</w:t>
      </w:r>
    </w:p>
    <w:p w:rsidR="0097183C" w:rsidRPr="0097183C" w:rsidRDefault="0097183C" w:rsidP="0097183C">
      <w:pPr>
        <w:spacing w:after="0" w:line="360" w:lineRule="auto"/>
        <w:ind w:firstLine="720"/>
        <w:jc w:val="both"/>
        <w:rPr>
          <w:rFonts w:ascii="Times New Roman" w:eastAsia="Times New Roman" w:hAnsi="Times New Roman" w:cs="Times New Roman"/>
          <w:kern w:val="0"/>
          <w:sz w:val="24"/>
          <w:szCs w:val="24"/>
          <w:lang w:val="en-US" w:bidi="ta-IN"/>
        </w:rPr>
      </w:pPr>
      <w:r w:rsidRPr="0097183C">
        <w:rPr>
          <w:rFonts w:ascii="Times New Roman" w:eastAsia="Times New Roman" w:hAnsi="Times New Roman" w:cs="Times New Roman"/>
          <w:kern w:val="0"/>
          <w:sz w:val="24"/>
          <w:szCs w:val="24"/>
          <w:lang w:val="en-US" w:bidi="ta-IN"/>
        </w:rPr>
        <w:t>Regarding recommended bio</w:t>
      </w:r>
      <w:r>
        <w:rPr>
          <w:rFonts w:ascii="Times New Roman" w:eastAsia="Times New Roman" w:hAnsi="Times New Roman" w:cs="Times New Roman"/>
          <w:kern w:val="0"/>
          <w:sz w:val="24"/>
          <w:szCs w:val="24"/>
          <w:lang w:val="en-US" w:bidi="ta-IN"/>
        </w:rPr>
        <w:t>-</w:t>
      </w:r>
      <w:r w:rsidRPr="0097183C">
        <w:rPr>
          <w:rFonts w:ascii="Times New Roman" w:eastAsia="Times New Roman" w:hAnsi="Times New Roman" w:cs="Times New Roman"/>
          <w:kern w:val="0"/>
          <w:sz w:val="24"/>
          <w:szCs w:val="24"/>
          <w:lang w:val="en-US" w:bidi="ta-IN"/>
        </w:rPr>
        <w:t>fertilizer</w:t>
      </w:r>
      <w:r>
        <w:rPr>
          <w:rFonts w:ascii="Times New Roman" w:eastAsia="Times New Roman" w:hAnsi="Times New Roman" w:cs="Times New Roman"/>
          <w:kern w:val="0"/>
          <w:sz w:val="24"/>
          <w:szCs w:val="24"/>
          <w:lang w:val="en-US" w:bidi="ta-IN"/>
        </w:rPr>
        <w:t>s</w:t>
      </w:r>
      <w:r w:rsidRPr="0097183C">
        <w:rPr>
          <w:rFonts w:ascii="Times New Roman" w:eastAsia="Times New Roman" w:hAnsi="Times New Roman" w:cs="Times New Roman"/>
          <w:kern w:val="0"/>
          <w:sz w:val="24"/>
          <w:szCs w:val="24"/>
          <w:lang w:val="en-US" w:bidi="ta-IN"/>
        </w:rPr>
        <w:t xml:space="preserve"> techniques, </w:t>
      </w:r>
      <w:r>
        <w:rPr>
          <w:rFonts w:ascii="Times New Roman" w:eastAsia="Times New Roman" w:hAnsi="Times New Roman" w:cs="Times New Roman"/>
          <w:kern w:val="0"/>
          <w:sz w:val="24"/>
          <w:szCs w:val="24"/>
          <w:lang w:val="en-US" w:bidi="ta-IN"/>
        </w:rPr>
        <w:t xml:space="preserve">it was found that the variables such as </w:t>
      </w:r>
      <w:r w:rsidRPr="0097183C">
        <w:rPr>
          <w:rFonts w:ascii="Times New Roman" w:eastAsia="Times New Roman" w:hAnsi="Times New Roman" w:cs="Times New Roman"/>
          <w:kern w:val="0"/>
          <w:sz w:val="24"/>
          <w:szCs w:val="24"/>
          <w:lang w:val="en-US" w:bidi="ta-IN"/>
        </w:rPr>
        <w:t>innovativeness, risk orientation, and information source utilization—were primarily at moderate levels among paddy growers. This suggests that there is room for development through focused extension interventions such exposure visits, farm and home visits, and method and result demonstrations. It is possible to increase farmers' willingness to take risks and promote the adoption of new methods by strengthening persuasive communication, cultivating positive attitudes, and making sure extension staff provide accurate and thorough information. In order to create more successful extension tactics, a thorough examination of these behavioral characteristics over a larger geographic area is advised.</w:t>
      </w:r>
    </w:p>
    <w:p w:rsidR="0097183C" w:rsidRPr="0097183C" w:rsidRDefault="0097183C" w:rsidP="0097183C">
      <w:pPr>
        <w:spacing w:after="0" w:line="360" w:lineRule="auto"/>
        <w:ind w:firstLine="720"/>
        <w:jc w:val="both"/>
        <w:rPr>
          <w:rFonts w:ascii="Times New Roman" w:eastAsia="Times New Roman" w:hAnsi="Times New Roman" w:cs="Times New Roman"/>
          <w:kern w:val="0"/>
          <w:sz w:val="24"/>
          <w:szCs w:val="24"/>
          <w:lang w:val="en-US" w:bidi="ta-IN"/>
        </w:rPr>
      </w:pPr>
      <w:r w:rsidRPr="0097183C">
        <w:rPr>
          <w:rFonts w:ascii="Times New Roman" w:eastAsia="Times New Roman" w:hAnsi="Times New Roman" w:cs="Times New Roman"/>
          <w:kern w:val="0"/>
          <w:sz w:val="24"/>
          <w:szCs w:val="24"/>
          <w:lang w:val="en-US" w:bidi="ta-IN"/>
        </w:rPr>
        <w:t>Additionally, improving relationships between farming communities, extension organizations, and research institutions can greatly increase the effectiveness of agricultural technology transfer. Knowledge exchange and capacity building can be facilitated by supporting collective platforms like farmer interest groups, self-help groups, and farmer producer associations. Adoption of bio</w:t>
      </w:r>
      <w:r w:rsidR="00905661">
        <w:rPr>
          <w:rFonts w:ascii="Times New Roman" w:eastAsia="Times New Roman" w:hAnsi="Times New Roman" w:cs="Times New Roman"/>
          <w:kern w:val="0"/>
          <w:sz w:val="24"/>
          <w:szCs w:val="24"/>
          <w:lang w:val="en-US" w:bidi="ta-IN"/>
        </w:rPr>
        <w:t xml:space="preserve">-fertilizers </w:t>
      </w:r>
      <w:r w:rsidRPr="0097183C">
        <w:rPr>
          <w:rFonts w:ascii="Times New Roman" w:eastAsia="Times New Roman" w:hAnsi="Times New Roman" w:cs="Times New Roman"/>
          <w:kern w:val="0"/>
          <w:sz w:val="24"/>
          <w:szCs w:val="24"/>
          <w:lang w:val="en-US" w:bidi="ta-IN"/>
        </w:rPr>
        <w:t>techniques supports long-term soil health and environmental preservation in addition to sustainable agricultural productivity. In order to achieve sustainable agricultural development and guarantee future food security, it is crucial to promote environmentally friendly agricultural technologies.</w:t>
      </w:r>
    </w:p>
    <w:p w:rsidR="008F4D09" w:rsidRPr="008F4D09" w:rsidRDefault="008F4D09" w:rsidP="008F4D09">
      <w:pPr>
        <w:spacing w:after="0" w:line="360" w:lineRule="auto"/>
        <w:jc w:val="both"/>
        <w:rPr>
          <w:rFonts w:ascii="Times New Roman" w:eastAsia="Times New Roman" w:hAnsi="Times New Roman" w:cs="Times New Roman"/>
          <w:kern w:val="0"/>
          <w:sz w:val="24"/>
          <w:szCs w:val="24"/>
          <w:lang w:val="en-US" w:bidi="ta-IN"/>
        </w:rPr>
      </w:pPr>
      <w:r w:rsidRPr="008F4D09">
        <w:rPr>
          <w:rFonts w:ascii="Times New Roman" w:eastAsia="Times New Roman" w:hAnsi="Times New Roman" w:cs="Times New Roman"/>
          <w:kern w:val="0"/>
          <w:sz w:val="24"/>
          <w:szCs w:val="24"/>
          <w:lang w:val="en-US" w:bidi="ta-IN"/>
        </w:rPr>
        <w:lastRenderedPageBreak/>
        <w:t xml:space="preserve">Consent </w:t>
      </w:r>
    </w:p>
    <w:p w:rsidR="00F3048C" w:rsidRDefault="008F4D09" w:rsidP="008F4D09">
      <w:pPr>
        <w:spacing w:after="0" w:line="360" w:lineRule="auto"/>
        <w:jc w:val="both"/>
        <w:rPr>
          <w:rFonts w:ascii="Times New Roman" w:eastAsia="Times New Roman" w:hAnsi="Times New Roman" w:cs="Times New Roman"/>
          <w:kern w:val="0"/>
          <w:sz w:val="24"/>
          <w:szCs w:val="24"/>
          <w:lang w:val="en-US" w:bidi="ta-IN"/>
        </w:rPr>
      </w:pPr>
      <w:r w:rsidRPr="008F4D09">
        <w:rPr>
          <w:rFonts w:ascii="Times New Roman" w:eastAsia="Times New Roman" w:hAnsi="Times New Roman" w:cs="Times New Roman"/>
          <w:kern w:val="0"/>
          <w:sz w:val="24"/>
          <w:szCs w:val="24"/>
          <w:lang w:val="en-US" w:bidi="ta-IN"/>
        </w:rPr>
        <w:t>As per international standards or university standards, respondents’ written consent has been collected and preserved by the author(s).</w:t>
      </w:r>
    </w:p>
    <w:p w:rsidR="008F4D09" w:rsidRDefault="008F4D09" w:rsidP="008F4D09">
      <w:pPr>
        <w:spacing w:after="0" w:line="360" w:lineRule="auto"/>
        <w:jc w:val="both"/>
        <w:rPr>
          <w:rFonts w:ascii="Times New Roman" w:eastAsia="Times New Roman" w:hAnsi="Times New Roman" w:cs="Times New Roman"/>
          <w:kern w:val="0"/>
          <w:sz w:val="24"/>
          <w:szCs w:val="24"/>
          <w:lang w:val="en-US" w:bidi="ta-IN"/>
        </w:rPr>
      </w:pPr>
      <w:bookmarkStart w:id="1" w:name="_GoBack"/>
      <w:bookmarkEnd w:id="1"/>
    </w:p>
    <w:p w:rsidR="00F3048C" w:rsidRPr="00DE6965" w:rsidRDefault="00F3048C" w:rsidP="00F3048C">
      <w:pPr>
        <w:pStyle w:val="NoSpacing"/>
        <w:rPr>
          <w:rFonts w:ascii="Times New Roman" w:hAnsi="Times New Roman" w:cs="Times New Roman"/>
          <w:b/>
          <w:bCs/>
          <w:sz w:val="24"/>
          <w:szCs w:val="24"/>
        </w:rPr>
      </w:pPr>
      <w:bookmarkStart w:id="2" w:name="_Hlk198031404"/>
      <w:r w:rsidRPr="00DE6965">
        <w:rPr>
          <w:rFonts w:ascii="Times New Roman" w:hAnsi="Times New Roman" w:cs="Times New Roman"/>
          <w:b/>
          <w:bCs/>
          <w:sz w:val="24"/>
          <w:szCs w:val="24"/>
        </w:rPr>
        <w:t>Disclaimer (Artificial intelligence)</w:t>
      </w:r>
    </w:p>
    <w:p w:rsidR="00F3048C" w:rsidRPr="00DE6965" w:rsidRDefault="00F3048C" w:rsidP="00F3048C">
      <w:pPr>
        <w:pStyle w:val="NoSpacing"/>
        <w:rPr>
          <w:rFonts w:ascii="Times New Roman" w:hAnsi="Times New Roman" w:cs="Times New Roman"/>
          <w:sz w:val="24"/>
          <w:szCs w:val="24"/>
        </w:rPr>
      </w:pPr>
    </w:p>
    <w:p w:rsidR="00F3048C" w:rsidRPr="00DE6965" w:rsidRDefault="00F3048C" w:rsidP="00DE6965">
      <w:pPr>
        <w:pStyle w:val="NoSpacing"/>
        <w:spacing w:line="360" w:lineRule="auto"/>
        <w:ind w:firstLine="720"/>
        <w:rPr>
          <w:rFonts w:ascii="Times New Roman" w:hAnsi="Times New Roman" w:cs="Times New Roman"/>
          <w:sz w:val="24"/>
          <w:szCs w:val="24"/>
        </w:rPr>
      </w:pPr>
      <w:r w:rsidRPr="00DE6965">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bookmarkEnd w:id="2"/>
    <w:p w:rsidR="00F3048C" w:rsidRDefault="00F3048C" w:rsidP="00F3048C">
      <w:pPr>
        <w:pStyle w:val="NoSpacing"/>
        <w:rPr>
          <w:rFonts w:ascii="Arial" w:hAnsi="Arial" w:cs="Arial"/>
        </w:rPr>
      </w:pPr>
    </w:p>
    <w:p w:rsidR="00F3048C" w:rsidRDefault="00F3048C" w:rsidP="00F3048C">
      <w:pPr>
        <w:pStyle w:val="NoSpacing"/>
        <w:rPr>
          <w:rFonts w:ascii="Arial" w:hAnsi="Arial" w:cs="Arial"/>
        </w:rPr>
      </w:pPr>
    </w:p>
    <w:p w:rsidR="00F3048C" w:rsidRPr="00005ED1" w:rsidRDefault="00F3048C" w:rsidP="00F3048C">
      <w:pPr>
        <w:pStyle w:val="NoSpacing"/>
        <w:rPr>
          <w:rFonts w:ascii="Arial" w:hAnsi="Arial" w:cs="Arial"/>
        </w:rPr>
      </w:pPr>
    </w:p>
    <w:p w:rsidR="00F3048C" w:rsidRDefault="00F3048C" w:rsidP="004D6E34">
      <w:pPr>
        <w:spacing w:after="0" w:line="360" w:lineRule="auto"/>
        <w:jc w:val="both"/>
        <w:rPr>
          <w:rFonts w:ascii="Times New Roman" w:eastAsia="Times New Roman" w:hAnsi="Times New Roman" w:cs="Times New Roman"/>
          <w:kern w:val="0"/>
          <w:sz w:val="24"/>
          <w:szCs w:val="24"/>
          <w:lang w:val="en-US" w:bidi="ta-IN"/>
        </w:rPr>
      </w:pPr>
    </w:p>
    <w:p w:rsidR="00F3048C" w:rsidRDefault="00F3048C" w:rsidP="004D6E34">
      <w:pPr>
        <w:spacing w:after="0" w:line="360" w:lineRule="auto"/>
        <w:jc w:val="both"/>
        <w:rPr>
          <w:rFonts w:ascii="Times New Roman" w:eastAsia="Times New Roman" w:hAnsi="Times New Roman" w:cs="Times New Roman"/>
          <w:kern w:val="0"/>
          <w:sz w:val="24"/>
          <w:szCs w:val="24"/>
          <w:lang w:val="en-US" w:bidi="ta-IN"/>
        </w:rPr>
      </w:pPr>
    </w:p>
    <w:p w:rsidR="00F3048C" w:rsidRDefault="00F3048C" w:rsidP="004D6E34">
      <w:pPr>
        <w:spacing w:after="0" w:line="360" w:lineRule="auto"/>
        <w:jc w:val="both"/>
        <w:rPr>
          <w:rFonts w:ascii="Times New Roman" w:eastAsia="Times New Roman" w:hAnsi="Times New Roman" w:cs="Times New Roman"/>
          <w:kern w:val="0"/>
          <w:sz w:val="24"/>
          <w:szCs w:val="24"/>
          <w:lang w:val="en-US" w:bidi="ta-IN"/>
        </w:rPr>
      </w:pPr>
    </w:p>
    <w:p w:rsidR="00F3048C" w:rsidRPr="004D6E34" w:rsidRDefault="00F3048C" w:rsidP="004D6E34">
      <w:pPr>
        <w:spacing w:after="0" w:line="360" w:lineRule="auto"/>
        <w:jc w:val="both"/>
        <w:rPr>
          <w:rFonts w:ascii="Times New Roman" w:eastAsia="Times New Roman" w:hAnsi="Times New Roman" w:cs="Times New Roman"/>
          <w:kern w:val="0"/>
          <w:sz w:val="24"/>
          <w:szCs w:val="24"/>
          <w:lang w:val="en-US" w:bidi="ta-IN"/>
        </w:rPr>
      </w:pPr>
    </w:p>
    <w:p w:rsidR="004D6E34" w:rsidRDefault="004D6E34" w:rsidP="00213DB0">
      <w:pPr>
        <w:spacing w:line="360" w:lineRule="auto"/>
        <w:jc w:val="both"/>
        <w:rPr>
          <w:rFonts w:ascii="Times New Roman" w:hAnsi="Times New Roman" w:cs="Times New Roman"/>
          <w:b/>
          <w:bCs/>
          <w:sz w:val="24"/>
          <w:szCs w:val="24"/>
        </w:rPr>
      </w:pPr>
    </w:p>
    <w:p w:rsidR="00EE62C8" w:rsidRDefault="00EE62C8" w:rsidP="00213DB0">
      <w:pPr>
        <w:spacing w:line="360" w:lineRule="auto"/>
        <w:jc w:val="both"/>
        <w:rPr>
          <w:rFonts w:ascii="Times New Roman" w:hAnsi="Times New Roman" w:cs="Times New Roman"/>
          <w:b/>
          <w:bCs/>
          <w:sz w:val="24"/>
          <w:szCs w:val="24"/>
        </w:rPr>
      </w:pPr>
    </w:p>
    <w:p w:rsidR="00853BFD" w:rsidRDefault="00213DB0" w:rsidP="00213DB0">
      <w:pPr>
        <w:spacing w:line="360" w:lineRule="auto"/>
        <w:jc w:val="both"/>
        <w:rPr>
          <w:rFonts w:ascii="Times New Roman" w:hAnsi="Times New Roman" w:cs="Times New Roman"/>
          <w:b/>
          <w:bCs/>
          <w:sz w:val="24"/>
          <w:szCs w:val="24"/>
        </w:rPr>
      </w:pPr>
      <w:r w:rsidRPr="00213DB0">
        <w:rPr>
          <w:rFonts w:ascii="Times New Roman" w:hAnsi="Times New Roman" w:cs="Times New Roman"/>
          <w:b/>
          <w:bCs/>
          <w:sz w:val="24"/>
          <w:szCs w:val="24"/>
        </w:rPr>
        <w:t>References</w:t>
      </w:r>
    </w:p>
    <w:p w:rsidR="00BF2B69" w:rsidRDefault="005A0321" w:rsidP="00BF2B69">
      <w:pPr>
        <w:spacing w:before="24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Aitochop</w:t>
      </w:r>
      <w:r w:rsidR="00BF2B69" w:rsidRPr="00C9059E">
        <w:rPr>
          <w:rFonts w:ascii="Times New Roman" w:hAnsi="Times New Roman" w:cs="Times New Roman"/>
          <w:sz w:val="24"/>
          <w:szCs w:val="24"/>
        </w:rPr>
        <w:t>i</w:t>
      </w:r>
      <w:proofErr w:type="spellEnd"/>
      <w:r w:rsidR="00BF2B69" w:rsidRPr="00C9059E">
        <w:rPr>
          <w:rFonts w:ascii="Times New Roman" w:hAnsi="Times New Roman" w:cs="Times New Roman"/>
          <w:sz w:val="24"/>
          <w:szCs w:val="24"/>
        </w:rPr>
        <w:t xml:space="preserve">, K. </w:t>
      </w:r>
      <w:r>
        <w:rPr>
          <w:rFonts w:ascii="Times New Roman" w:hAnsi="Times New Roman" w:cs="Times New Roman"/>
          <w:sz w:val="24"/>
          <w:szCs w:val="24"/>
        </w:rPr>
        <w:t>(</w:t>
      </w:r>
      <w:r w:rsidR="00BF2B69" w:rsidRPr="00C9059E">
        <w:rPr>
          <w:rFonts w:ascii="Times New Roman" w:hAnsi="Times New Roman" w:cs="Times New Roman"/>
          <w:sz w:val="24"/>
          <w:szCs w:val="24"/>
        </w:rPr>
        <w:t>2016</w:t>
      </w:r>
      <w:r>
        <w:rPr>
          <w:rFonts w:ascii="Times New Roman" w:hAnsi="Times New Roman" w:cs="Times New Roman"/>
          <w:sz w:val="24"/>
          <w:szCs w:val="24"/>
        </w:rPr>
        <w:t>)</w:t>
      </w:r>
      <w:r w:rsidR="00BF2B69" w:rsidRPr="00C9059E">
        <w:rPr>
          <w:rFonts w:ascii="Times New Roman" w:hAnsi="Times New Roman" w:cs="Times New Roman"/>
          <w:sz w:val="24"/>
          <w:szCs w:val="24"/>
        </w:rPr>
        <w:t xml:space="preserve">. A Study of knowledge and adoption of Rubber Growers in Dimapur District of Nagaland, </w:t>
      </w:r>
      <w:r w:rsidR="00BF2B69" w:rsidRPr="00C9059E">
        <w:rPr>
          <w:rFonts w:ascii="Times New Roman" w:hAnsi="Times New Roman" w:cs="Times New Roman"/>
          <w:b/>
          <w:sz w:val="24"/>
          <w:szCs w:val="24"/>
        </w:rPr>
        <w:t>Unpublished M.Sc. (Ag.) Thesis</w:t>
      </w:r>
      <w:r w:rsidR="00BF2B69" w:rsidRPr="00C9059E">
        <w:rPr>
          <w:rFonts w:ascii="Times New Roman" w:hAnsi="Times New Roman" w:cs="Times New Roman"/>
          <w:sz w:val="24"/>
          <w:szCs w:val="24"/>
        </w:rPr>
        <w:t>, Annamalai University, Annamalai Nagar.</w:t>
      </w:r>
    </w:p>
    <w:p w:rsidR="00E209FE" w:rsidRPr="00E209FE" w:rsidRDefault="00E209FE" w:rsidP="00E209FE">
      <w:pPr>
        <w:spacing w:before="240" w:line="360" w:lineRule="auto"/>
        <w:ind w:left="720" w:hanging="720"/>
        <w:jc w:val="both"/>
        <w:rPr>
          <w:rFonts w:ascii="Times New Roman" w:hAnsi="Times New Roman" w:cs="Times New Roman"/>
          <w:sz w:val="24"/>
          <w:szCs w:val="24"/>
          <w:lang w:val="en-US"/>
        </w:rPr>
      </w:pPr>
      <w:r w:rsidRPr="00E209FE">
        <w:rPr>
          <w:rFonts w:ascii="Times New Roman" w:hAnsi="Times New Roman" w:cs="Times New Roman"/>
          <w:sz w:val="24"/>
          <w:szCs w:val="24"/>
          <w:lang w:val="en-US"/>
        </w:rPr>
        <w:t xml:space="preserve">Balu, D. </w:t>
      </w:r>
      <w:r w:rsidR="005A0321">
        <w:rPr>
          <w:rFonts w:ascii="Times New Roman" w:hAnsi="Times New Roman" w:cs="Times New Roman"/>
          <w:sz w:val="24"/>
          <w:szCs w:val="24"/>
          <w:lang w:val="en-US"/>
        </w:rPr>
        <w:t>(</w:t>
      </w:r>
      <w:r w:rsidRPr="00E209FE">
        <w:rPr>
          <w:rFonts w:ascii="Times New Roman" w:hAnsi="Times New Roman" w:cs="Times New Roman"/>
          <w:sz w:val="24"/>
          <w:szCs w:val="24"/>
          <w:lang w:val="en-US"/>
        </w:rPr>
        <w:t>2018</w:t>
      </w:r>
      <w:r w:rsidR="005A0321">
        <w:rPr>
          <w:rFonts w:ascii="Times New Roman" w:hAnsi="Times New Roman" w:cs="Times New Roman"/>
          <w:sz w:val="24"/>
          <w:szCs w:val="24"/>
          <w:lang w:val="en-US"/>
        </w:rPr>
        <w:t>)</w:t>
      </w:r>
      <w:r w:rsidRPr="00E209FE">
        <w:rPr>
          <w:rFonts w:ascii="Times New Roman" w:hAnsi="Times New Roman" w:cs="Times New Roman"/>
          <w:sz w:val="24"/>
          <w:szCs w:val="24"/>
          <w:lang w:val="en-US"/>
        </w:rPr>
        <w:t xml:space="preserve">. An Analysis on </w:t>
      </w:r>
      <w:proofErr w:type="spellStart"/>
      <w:r w:rsidRPr="00E209FE">
        <w:rPr>
          <w:rFonts w:ascii="Times New Roman" w:hAnsi="Times New Roman" w:cs="Times New Roman"/>
          <w:sz w:val="24"/>
          <w:szCs w:val="24"/>
          <w:lang w:val="en-US"/>
        </w:rPr>
        <w:t>Utilisation</w:t>
      </w:r>
      <w:proofErr w:type="spellEnd"/>
      <w:r w:rsidRPr="00E209FE">
        <w:rPr>
          <w:rFonts w:ascii="Times New Roman" w:hAnsi="Times New Roman" w:cs="Times New Roman"/>
          <w:sz w:val="24"/>
          <w:szCs w:val="24"/>
          <w:lang w:val="en-US"/>
        </w:rPr>
        <w:t xml:space="preserve"> of Information and Communication Technologies (ICTs) among Farm Youth of Tiruvannamalai District, </w:t>
      </w:r>
      <w:r w:rsidRPr="00E209FE">
        <w:rPr>
          <w:rFonts w:ascii="Times New Roman" w:hAnsi="Times New Roman" w:cs="Times New Roman"/>
          <w:b/>
          <w:sz w:val="24"/>
          <w:szCs w:val="24"/>
          <w:lang w:val="en-US"/>
        </w:rPr>
        <w:t xml:space="preserve">Unpublished M.Sc. (Ag.) Thesis, </w:t>
      </w:r>
      <w:r w:rsidRPr="00E209FE">
        <w:rPr>
          <w:rFonts w:ascii="Times New Roman" w:hAnsi="Times New Roman" w:cs="Times New Roman"/>
          <w:sz w:val="24"/>
          <w:szCs w:val="24"/>
          <w:lang w:val="en-US"/>
        </w:rPr>
        <w:t>Annamalai University, Annamalai Nagar.</w:t>
      </w:r>
    </w:p>
    <w:p w:rsidR="00E209FE" w:rsidRPr="00E209FE" w:rsidRDefault="00E209FE" w:rsidP="00E209FE">
      <w:pPr>
        <w:spacing w:before="240" w:line="360" w:lineRule="auto"/>
        <w:ind w:left="720" w:hanging="720"/>
        <w:jc w:val="both"/>
        <w:rPr>
          <w:rFonts w:ascii="Times New Roman" w:hAnsi="Times New Roman" w:cs="Times New Roman"/>
          <w:sz w:val="24"/>
          <w:szCs w:val="24"/>
          <w:lang w:val="en-US"/>
        </w:rPr>
      </w:pPr>
      <w:bookmarkStart w:id="3" w:name="_Hlk176025288"/>
      <w:r w:rsidRPr="00E209FE">
        <w:rPr>
          <w:rFonts w:ascii="Times New Roman" w:hAnsi="Times New Roman" w:cs="Times New Roman"/>
          <w:sz w:val="24"/>
          <w:szCs w:val="24"/>
          <w:lang w:val="en-US"/>
        </w:rPr>
        <w:t xml:space="preserve">Bloom, B.S., Hardt, M. E., </w:t>
      </w:r>
      <w:r w:rsidR="00D31640" w:rsidRPr="00D31640">
        <w:rPr>
          <w:rFonts w:ascii="Times New Roman" w:eastAsia="PMingLiU" w:hAnsi="Times New Roman" w:cs="Times New Roman"/>
          <w:iCs/>
          <w:sz w:val="24"/>
          <w:szCs w:val="24"/>
          <w:lang w:eastAsia="zh-TW"/>
        </w:rPr>
        <w:t>Furst</w:t>
      </w:r>
      <w:r w:rsidRPr="00E209FE">
        <w:rPr>
          <w:rFonts w:ascii="Times New Roman" w:hAnsi="Times New Roman" w:cs="Times New Roman"/>
          <w:sz w:val="24"/>
          <w:szCs w:val="24"/>
          <w:lang w:val="en-US"/>
        </w:rPr>
        <w:t xml:space="preserve">, F., Hill, W. and D. R. </w:t>
      </w:r>
      <w:proofErr w:type="spellStart"/>
      <w:r w:rsidRPr="00E209FE">
        <w:rPr>
          <w:rFonts w:ascii="Times New Roman" w:hAnsi="Times New Roman" w:cs="Times New Roman"/>
          <w:sz w:val="24"/>
          <w:szCs w:val="24"/>
          <w:lang w:val="en-US"/>
        </w:rPr>
        <w:t>Krathwol</w:t>
      </w:r>
      <w:proofErr w:type="spellEnd"/>
      <w:r w:rsidRPr="00E209FE">
        <w:rPr>
          <w:rFonts w:ascii="Times New Roman" w:hAnsi="Times New Roman" w:cs="Times New Roman"/>
          <w:sz w:val="24"/>
          <w:szCs w:val="24"/>
          <w:lang w:val="en-US"/>
        </w:rPr>
        <w:t xml:space="preserve">. </w:t>
      </w:r>
      <w:r w:rsidR="005A0321">
        <w:rPr>
          <w:rFonts w:ascii="Times New Roman" w:hAnsi="Times New Roman" w:cs="Times New Roman"/>
          <w:sz w:val="24"/>
          <w:szCs w:val="24"/>
          <w:lang w:val="en-US"/>
        </w:rPr>
        <w:t>(</w:t>
      </w:r>
      <w:r w:rsidRPr="00E209FE">
        <w:rPr>
          <w:rFonts w:ascii="Times New Roman" w:hAnsi="Times New Roman" w:cs="Times New Roman"/>
          <w:sz w:val="24"/>
          <w:szCs w:val="24"/>
          <w:lang w:val="en-US"/>
        </w:rPr>
        <w:t>1956</w:t>
      </w:r>
      <w:r w:rsidR="005A0321">
        <w:rPr>
          <w:rFonts w:ascii="Times New Roman" w:hAnsi="Times New Roman" w:cs="Times New Roman"/>
          <w:sz w:val="24"/>
          <w:szCs w:val="24"/>
          <w:lang w:val="en-US"/>
        </w:rPr>
        <w:t>)</w:t>
      </w:r>
      <w:r w:rsidRPr="00E209FE">
        <w:rPr>
          <w:rFonts w:ascii="Times New Roman" w:hAnsi="Times New Roman" w:cs="Times New Roman"/>
          <w:sz w:val="24"/>
          <w:szCs w:val="24"/>
          <w:lang w:val="en-US"/>
        </w:rPr>
        <w:t xml:space="preserve">. Taxonomy of Educational Objectives – </w:t>
      </w:r>
      <w:r w:rsidRPr="00E209FE">
        <w:rPr>
          <w:rFonts w:ascii="Times New Roman" w:hAnsi="Times New Roman" w:cs="Times New Roman"/>
          <w:b/>
          <w:sz w:val="24"/>
          <w:szCs w:val="24"/>
          <w:lang w:val="en-US"/>
        </w:rPr>
        <w:t>The Cognitive Domain, New York, Longmans Green</w:t>
      </w:r>
      <w:r w:rsidRPr="00E209FE">
        <w:rPr>
          <w:rFonts w:ascii="Times New Roman" w:hAnsi="Times New Roman" w:cs="Times New Roman"/>
          <w:sz w:val="24"/>
          <w:szCs w:val="24"/>
          <w:lang w:val="en-US"/>
        </w:rPr>
        <w:t>: 258.</w:t>
      </w:r>
      <w:bookmarkEnd w:id="3"/>
    </w:p>
    <w:p w:rsidR="005A0321" w:rsidRDefault="005A0321" w:rsidP="00FA622C">
      <w:pPr>
        <w:spacing w:before="240" w:line="360" w:lineRule="auto"/>
        <w:ind w:left="720" w:hanging="720"/>
        <w:jc w:val="both"/>
        <w:rPr>
          <w:rFonts w:ascii="Times New Roman" w:hAnsi="Times New Roman" w:cs="Times New Roman"/>
          <w:sz w:val="24"/>
          <w:szCs w:val="24"/>
        </w:rPr>
      </w:pPr>
      <w:r w:rsidRPr="005A0321">
        <w:rPr>
          <w:rFonts w:ascii="Times New Roman" w:hAnsi="Times New Roman" w:cs="Times New Roman"/>
          <w:sz w:val="24"/>
          <w:szCs w:val="24"/>
          <w:lang w:val="en-US"/>
        </w:rPr>
        <w:t xml:space="preserve">Dinesh Kumar, M. (2016). </w:t>
      </w:r>
      <w:r w:rsidRPr="005A0321">
        <w:rPr>
          <w:rFonts w:ascii="Times New Roman" w:hAnsi="Times New Roman" w:cs="Times New Roman"/>
          <w:i/>
          <w:iCs/>
          <w:sz w:val="24"/>
          <w:szCs w:val="24"/>
          <w:lang w:val="en-US"/>
        </w:rPr>
        <w:t>Knowledge and adoption of recommended cotton cultivation practices in Dharmapuri district</w:t>
      </w:r>
      <w:r w:rsidRPr="005A0321">
        <w:rPr>
          <w:rFonts w:ascii="Times New Roman" w:hAnsi="Times New Roman" w:cs="Times New Roman"/>
          <w:sz w:val="24"/>
          <w:szCs w:val="24"/>
          <w:lang w:val="en-US"/>
        </w:rPr>
        <w:t xml:space="preserve">. Unpublished M.Sc. (Agriculture) thesis, Annamalai University, </w:t>
      </w:r>
      <w:proofErr w:type="spellStart"/>
      <w:r w:rsidRPr="005A0321">
        <w:rPr>
          <w:rFonts w:ascii="Times New Roman" w:hAnsi="Times New Roman" w:cs="Times New Roman"/>
          <w:sz w:val="24"/>
          <w:szCs w:val="24"/>
          <w:lang w:val="en-US"/>
        </w:rPr>
        <w:t>Annamalainagar</w:t>
      </w:r>
      <w:proofErr w:type="spellEnd"/>
      <w:r w:rsidRPr="005A0321">
        <w:rPr>
          <w:rFonts w:ascii="Times New Roman" w:hAnsi="Times New Roman" w:cs="Times New Roman"/>
          <w:sz w:val="24"/>
          <w:szCs w:val="24"/>
          <w:lang w:val="en-US"/>
        </w:rPr>
        <w:t>.</w:t>
      </w:r>
    </w:p>
    <w:p w:rsidR="00BF2B69" w:rsidRDefault="00BF2B69" w:rsidP="00FA622C">
      <w:pPr>
        <w:spacing w:before="240" w:line="360" w:lineRule="auto"/>
        <w:ind w:left="720" w:hanging="720"/>
        <w:jc w:val="both"/>
        <w:rPr>
          <w:rFonts w:ascii="Times New Roman" w:hAnsi="Times New Roman" w:cs="Times New Roman"/>
          <w:sz w:val="24"/>
          <w:szCs w:val="24"/>
        </w:rPr>
      </w:pPr>
      <w:r w:rsidRPr="00C9059E">
        <w:rPr>
          <w:rFonts w:ascii="Times New Roman" w:hAnsi="Times New Roman" w:cs="Times New Roman"/>
          <w:sz w:val="24"/>
          <w:szCs w:val="24"/>
        </w:rPr>
        <w:lastRenderedPageBreak/>
        <w:t>Guna</w:t>
      </w:r>
      <w:r>
        <w:rPr>
          <w:rFonts w:ascii="Times New Roman" w:hAnsi="Times New Roman" w:cs="Times New Roman"/>
          <w:sz w:val="24"/>
          <w:szCs w:val="24"/>
        </w:rPr>
        <w:t xml:space="preserve"> </w:t>
      </w:r>
      <w:r w:rsidRPr="00C9059E">
        <w:rPr>
          <w:rFonts w:ascii="Times New Roman" w:hAnsi="Times New Roman" w:cs="Times New Roman"/>
          <w:sz w:val="24"/>
          <w:szCs w:val="24"/>
        </w:rPr>
        <w:t>B</w:t>
      </w:r>
      <w:r>
        <w:rPr>
          <w:rFonts w:ascii="Times New Roman" w:hAnsi="Times New Roman" w:cs="Times New Roman"/>
          <w:sz w:val="24"/>
          <w:szCs w:val="24"/>
        </w:rPr>
        <w:t>,</w:t>
      </w:r>
      <w:r w:rsidRPr="00C9059E">
        <w:rPr>
          <w:rFonts w:ascii="Times New Roman" w:hAnsi="Times New Roman" w:cs="Times New Roman"/>
          <w:sz w:val="24"/>
          <w:szCs w:val="24"/>
        </w:rPr>
        <w:t xml:space="preserve"> </w:t>
      </w:r>
      <w:r w:rsidR="005A0321">
        <w:rPr>
          <w:rFonts w:ascii="Times New Roman" w:hAnsi="Times New Roman" w:cs="Times New Roman"/>
          <w:sz w:val="24"/>
          <w:szCs w:val="24"/>
        </w:rPr>
        <w:t>(</w:t>
      </w:r>
      <w:r w:rsidR="005A0321" w:rsidRPr="00C9059E">
        <w:rPr>
          <w:rFonts w:ascii="Times New Roman" w:hAnsi="Times New Roman" w:cs="Times New Roman"/>
          <w:sz w:val="24"/>
          <w:szCs w:val="24"/>
        </w:rPr>
        <w:t>2013</w:t>
      </w:r>
      <w:r w:rsidR="005A0321">
        <w:rPr>
          <w:rFonts w:ascii="Times New Roman" w:hAnsi="Times New Roman" w:cs="Times New Roman"/>
          <w:sz w:val="24"/>
          <w:szCs w:val="24"/>
        </w:rPr>
        <w:t>).</w:t>
      </w:r>
      <w:r w:rsidRPr="00C9059E">
        <w:rPr>
          <w:rFonts w:ascii="Times New Roman" w:hAnsi="Times New Roman" w:cs="Times New Roman"/>
          <w:sz w:val="24"/>
          <w:szCs w:val="24"/>
        </w:rPr>
        <w:t xml:space="preserve">A study on knowledge and adoption of eco-friendly practices in rice at </w:t>
      </w:r>
      <w:proofErr w:type="spellStart"/>
      <w:r w:rsidRPr="00C9059E">
        <w:rPr>
          <w:rFonts w:ascii="Times New Roman" w:hAnsi="Times New Roman" w:cs="Times New Roman"/>
          <w:sz w:val="24"/>
          <w:szCs w:val="24"/>
        </w:rPr>
        <w:t>Sirkazhi</w:t>
      </w:r>
      <w:proofErr w:type="spellEnd"/>
      <w:r w:rsidRPr="00C9059E">
        <w:rPr>
          <w:rFonts w:ascii="Times New Roman" w:hAnsi="Times New Roman" w:cs="Times New Roman"/>
          <w:sz w:val="24"/>
          <w:szCs w:val="24"/>
        </w:rPr>
        <w:t xml:space="preserve"> Taluk. </w:t>
      </w:r>
      <w:proofErr w:type="spellStart"/>
      <w:r w:rsidRPr="00501E47">
        <w:rPr>
          <w:rFonts w:ascii="Times New Roman" w:hAnsi="Times New Roman" w:cs="Times New Roman"/>
          <w:bCs/>
          <w:sz w:val="24"/>
          <w:szCs w:val="24"/>
        </w:rPr>
        <w:t>Unpub</w:t>
      </w:r>
      <w:proofErr w:type="spellEnd"/>
      <w:r w:rsidRPr="00501E47">
        <w:rPr>
          <w:rFonts w:ascii="Times New Roman" w:hAnsi="Times New Roman" w:cs="Times New Roman"/>
          <w:bCs/>
          <w:sz w:val="24"/>
          <w:szCs w:val="24"/>
        </w:rPr>
        <w:t>. M. Sc. (Ag.) Thesis</w:t>
      </w:r>
      <w:r w:rsidRPr="00C9059E">
        <w:rPr>
          <w:rFonts w:ascii="Times New Roman" w:hAnsi="Times New Roman" w:cs="Times New Roman"/>
          <w:sz w:val="24"/>
          <w:szCs w:val="24"/>
        </w:rPr>
        <w:t>, Annamalai University, Annamalai Nagar.</w:t>
      </w:r>
      <w:r>
        <w:rPr>
          <w:rFonts w:ascii="Times New Roman" w:hAnsi="Times New Roman" w:cs="Times New Roman"/>
          <w:sz w:val="24"/>
          <w:szCs w:val="24"/>
        </w:rPr>
        <w:t xml:space="preserve"> </w:t>
      </w:r>
    </w:p>
    <w:p w:rsidR="005A0321" w:rsidRPr="005A0321" w:rsidRDefault="005A0321" w:rsidP="005A0321">
      <w:pPr>
        <w:spacing w:before="240" w:line="360" w:lineRule="auto"/>
        <w:ind w:left="720" w:hanging="720"/>
        <w:jc w:val="both"/>
        <w:rPr>
          <w:rFonts w:ascii="Times New Roman" w:hAnsi="Times New Roman" w:cs="Times New Roman"/>
          <w:sz w:val="24"/>
          <w:szCs w:val="24"/>
          <w:lang w:val="en-US"/>
        </w:rPr>
      </w:pPr>
      <w:r w:rsidRPr="005A0321">
        <w:rPr>
          <w:rFonts w:ascii="Times New Roman" w:hAnsi="Times New Roman" w:cs="Times New Roman"/>
          <w:sz w:val="24"/>
          <w:szCs w:val="24"/>
          <w:lang w:val="en-US"/>
        </w:rPr>
        <w:t xml:space="preserve">Jaganathan, D., Bahal, R., Burman, R.R., &amp; Lenin, V. (2012). Knowledge level of farmers on organic farming in Tamil Nadu. </w:t>
      </w:r>
      <w:r w:rsidRPr="005A0321">
        <w:rPr>
          <w:rFonts w:ascii="Times New Roman" w:hAnsi="Times New Roman" w:cs="Times New Roman"/>
          <w:i/>
          <w:iCs/>
          <w:sz w:val="24"/>
          <w:szCs w:val="24"/>
          <w:lang w:val="en-US"/>
        </w:rPr>
        <w:t>Journal of Extension Education</w:t>
      </w:r>
      <w:r w:rsidRPr="005A0321">
        <w:rPr>
          <w:rFonts w:ascii="Times New Roman" w:hAnsi="Times New Roman" w:cs="Times New Roman"/>
          <w:sz w:val="24"/>
          <w:szCs w:val="24"/>
          <w:lang w:val="en-US"/>
        </w:rPr>
        <w:t>, 12(3), 70–73.</w:t>
      </w:r>
    </w:p>
    <w:p w:rsidR="0013532D" w:rsidRDefault="0013532D" w:rsidP="0013532D">
      <w:pPr>
        <w:spacing w:before="240" w:line="360" w:lineRule="auto"/>
        <w:ind w:left="720" w:hanging="720"/>
        <w:jc w:val="both"/>
        <w:rPr>
          <w:rFonts w:ascii="Times New Roman" w:hAnsi="Times New Roman" w:cs="Times New Roman"/>
          <w:sz w:val="24"/>
          <w:szCs w:val="24"/>
          <w:lang w:val="en-US"/>
        </w:rPr>
      </w:pPr>
      <w:r w:rsidRPr="0013532D">
        <w:rPr>
          <w:rFonts w:ascii="Times New Roman" w:hAnsi="Times New Roman" w:cs="Times New Roman"/>
          <w:sz w:val="24"/>
          <w:szCs w:val="24"/>
          <w:lang w:val="en-US"/>
        </w:rPr>
        <w:t xml:space="preserve">FAO. </w:t>
      </w:r>
      <w:r w:rsidR="005A0321">
        <w:rPr>
          <w:rFonts w:ascii="Times New Roman" w:hAnsi="Times New Roman" w:cs="Times New Roman"/>
          <w:sz w:val="24"/>
          <w:szCs w:val="24"/>
          <w:lang w:val="en-US"/>
        </w:rPr>
        <w:t>(</w:t>
      </w:r>
      <w:r w:rsidRPr="0013532D">
        <w:rPr>
          <w:rFonts w:ascii="Times New Roman" w:hAnsi="Times New Roman" w:cs="Times New Roman"/>
          <w:sz w:val="24"/>
          <w:szCs w:val="24"/>
          <w:lang w:val="en-US"/>
        </w:rPr>
        <w:t>2023</w:t>
      </w:r>
      <w:r w:rsidR="005A0321">
        <w:rPr>
          <w:rFonts w:ascii="Times New Roman" w:hAnsi="Times New Roman" w:cs="Times New Roman"/>
          <w:sz w:val="24"/>
          <w:szCs w:val="24"/>
          <w:lang w:val="en-US"/>
        </w:rPr>
        <w:t>)</w:t>
      </w:r>
      <w:r w:rsidRPr="0013532D">
        <w:rPr>
          <w:rFonts w:ascii="Times New Roman" w:hAnsi="Times New Roman" w:cs="Times New Roman"/>
          <w:sz w:val="24"/>
          <w:szCs w:val="24"/>
          <w:lang w:val="en-US"/>
        </w:rPr>
        <w:t>. Rice Market Monitor. Food and Agriculture Organization of the United Nations, Rome.</w:t>
      </w:r>
    </w:p>
    <w:p w:rsidR="00D858F1" w:rsidRPr="0013532D" w:rsidRDefault="00D858F1" w:rsidP="0013532D">
      <w:pPr>
        <w:spacing w:before="240" w:line="360" w:lineRule="auto"/>
        <w:ind w:left="720" w:hanging="720"/>
        <w:jc w:val="both"/>
        <w:rPr>
          <w:rFonts w:ascii="Times New Roman" w:hAnsi="Times New Roman" w:cs="Times New Roman"/>
          <w:sz w:val="24"/>
          <w:szCs w:val="24"/>
          <w:lang w:val="en-US"/>
        </w:rPr>
      </w:pPr>
      <w:r w:rsidRPr="00D858F1">
        <w:rPr>
          <w:rFonts w:ascii="Times New Roman" w:hAnsi="Times New Roman" w:cs="Times New Roman"/>
          <w:bCs/>
          <w:sz w:val="24"/>
          <w:szCs w:val="24"/>
          <w:lang w:val="en-GB"/>
        </w:rPr>
        <w:t xml:space="preserve">Helder B. E. Sales, Adriano De S. Carolino, Ronald Z. De A. Nunes, Célio M. A. Macalia, Camila M. </w:t>
      </w:r>
      <w:proofErr w:type="spellStart"/>
      <w:r w:rsidRPr="00D858F1">
        <w:rPr>
          <w:rFonts w:ascii="Times New Roman" w:hAnsi="Times New Roman" w:cs="Times New Roman"/>
          <w:bCs/>
          <w:sz w:val="24"/>
          <w:szCs w:val="24"/>
          <w:lang w:val="en-GB"/>
        </w:rPr>
        <w:t>Ruzo</w:t>
      </w:r>
      <w:proofErr w:type="spellEnd"/>
      <w:r w:rsidRPr="00D858F1">
        <w:rPr>
          <w:rFonts w:ascii="Times New Roman" w:hAnsi="Times New Roman" w:cs="Times New Roman"/>
          <w:bCs/>
          <w:sz w:val="24"/>
          <w:szCs w:val="24"/>
          <w:lang w:val="en-GB"/>
        </w:rPr>
        <w:t xml:space="preserve">, Camila Da C. Pinto, Jaqueline De A. Bezerra, Pedro H. Campelo, Ștefan Țălu, Luiz K. C. De Souza, Edgar A. Sanches, Advances in Agricultural Technology: A Review of Slow-Release </w:t>
      </w:r>
      <w:proofErr w:type="spellStart"/>
      <w:r w:rsidRPr="00D858F1">
        <w:rPr>
          <w:rFonts w:ascii="Times New Roman" w:hAnsi="Times New Roman" w:cs="Times New Roman"/>
          <w:bCs/>
          <w:sz w:val="24"/>
          <w:szCs w:val="24"/>
          <w:lang w:val="en-GB"/>
        </w:rPr>
        <w:t>Nanofertilizers</w:t>
      </w:r>
      <w:proofErr w:type="spellEnd"/>
      <w:r w:rsidRPr="00D858F1">
        <w:rPr>
          <w:rFonts w:ascii="Times New Roman" w:hAnsi="Times New Roman" w:cs="Times New Roman"/>
          <w:bCs/>
          <w:sz w:val="24"/>
          <w:szCs w:val="24"/>
          <w:lang w:val="en-GB"/>
        </w:rPr>
        <w:t xml:space="preserve"> and Innovative Carriers.   Communications in Soil Science and Plant Analysis, vol. 55, issue 12, p. 1849–1882, 2024. DOI: 10.1080/00103624.2024.2326145.</w:t>
      </w:r>
    </w:p>
    <w:p w:rsidR="0013532D" w:rsidRPr="0013532D" w:rsidRDefault="0013532D" w:rsidP="0013532D">
      <w:pPr>
        <w:spacing w:before="240" w:line="360" w:lineRule="auto"/>
        <w:ind w:left="720" w:hanging="720"/>
        <w:jc w:val="both"/>
        <w:rPr>
          <w:rFonts w:ascii="Times New Roman" w:hAnsi="Times New Roman" w:cs="Times New Roman"/>
          <w:sz w:val="24"/>
          <w:szCs w:val="24"/>
          <w:lang w:val="en-US"/>
        </w:rPr>
      </w:pPr>
      <w:r w:rsidRPr="0013532D">
        <w:rPr>
          <w:rFonts w:ascii="Times New Roman" w:hAnsi="Times New Roman" w:cs="Times New Roman"/>
          <w:sz w:val="24"/>
          <w:szCs w:val="24"/>
          <w:lang w:val="en-US"/>
        </w:rPr>
        <w:t xml:space="preserve">Ladha, J.K., Tirol-Padre, A., Reddy, C.K., Cassman, K.G., Verma, S., </w:t>
      </w:r>
      <w:proofErr w:type="spellStart"/>
      <w:r w:rsidRPr="0013532D">
        <w:rPr>
          <w:rFonts w:ascii="Times New Roman" w:hAnsi="Times New Roman" w:cs="Times New Roman"/>
          <w:sz w:val="24"/>
          <w:szCs w:val="24"/>
          <w:lang w:val="en-US"/>
        </w:rPr>
        <w:t>Powlson</w:t>
      </w:r>
      <w:proofErr w:type="spellEnd"/>
      <w:r w:rsidRPr="0013532D">
        <w:rPr>
          <w:rFonts w:ascii="Times New Roman" w:hAnsi="Times New Roman" w:cs="Times New Roman"/>
          <w:sz w:val="24"/>
          <w:szCs w:val="24"/>
          <w:lang w:val="en-US"/>
        </w:rPr>
        <w:t xml:space="preserve">, D.S. and Pathak, H. </w:t>
      </w:r>
      <w:r w:rsidR="005A0321">
        <w:rPr>
          <w:rFonts w:ascii="Times New Roman" w:hAnsi="Times New Roman" w:cs="Times New Roman"/>
          <w:sz w:val="24"/>
          <w:szCs w:val="24"/>
          <w:lang w:val="en-US"/>
        </w:rPr>
        <w:t>(</w:t>
      </w:r>
      <w:r w:rsidRPr="0013532D">
        <w:rPr>
          <w:rFonts w:ascii="Times New Roman" w:hAnsi="Times New Roman" w:cs="Times New Roman"/>
          <w:sz w:val="24"/>
          <w:szCs w:val="24"/>
          <w:lang w:val="en-US"/>
        </w:rPr>
        <w:t>2022</w:t>
      </w:r>
      <w:r w:rsidR="005A0321">
        <w:rPr>
          <w:rFonts w:ascii="Times New Roman" w:hAnsi="Times New Roman" w:cs="Times New Roman"/>
          <w:sz w:val="24"/>
          <w:szCs w:val="24"/>
          <w:lang w:val="en-US"/>
        </w:rPr>
        <w:t>)</w:t>
      </w:r>
      <w:r w:rsidRPr="0013532D">
        <w:rPr>
          <w:rFonts w:ascii="Times New Roman" w:hAnsi="Times New Roman" w:cs="Times New Roman"/>
          <w:sz w:val="24"/>
          <w:szCs w:val="24"/>
          <w:lang w:val="en-US"/>
        </w:rPr>
        <w:t xml:space="preserve">. Global nitrogen budgets in cereals: A 50-year assessment for sustainable intensification. </w:t>
      </w:r>
      <w:r w:rsidRPr="0013532D">
        <w:rPr>
          <w:rFonts w:ascii="Times New Roman" w:hAnsi="Times New Roman" w:cs="Times New Roman"/>
          <w:i/>
          <w:iCs/>
          <w:sz w:val="24"/>
          <w:szCs w:val="24"/>
          <w:lang w:val="en-US"/>
        </w:rPr>
        <w:t>Agriculture, Ecosystems and Environment</w:t>
      </w:r>
      <w:r w:rsidRPr="0013532D">
        <w:rPr>
          <w:rFonts w:ascii="Times New Roman" w:hAnsi="Times New Roman" w:cs="Times New Roman"/>
          <w:sz w:val="24"/>
          <w:szCs w:val="24"/>
          <w:lang w:val="en-US"/>
        </w:rPr>
        <w:t>, 331: 107911.</w:t>
      </w:r>
    </w:p>
    <w:p w:rsidR="0013532D" w:rsidRPr="0013532D" w:rsidRDefault="0013532D" w:rsidP="0013532D">
      <w:pPr>
        <w:spacing w:before="240" w:line="360" w:lineRule="auto"/>
        <w:ind w:left="720" w:hanging="720"/>
        <w:jc w:val="both"/>
        <w:rPr>
          <w:rFonts w:ascii="Times New Roman" w:hAnsi="Times New Roman" w:cs="Times New Roman"/>
          <w:sz w:val="24"/>
          <w:szCs w:val="24"/>
          <w:lang w:val="en-US"/>
        </w:rPr>
      </w:pPr>
      <w:proofErr w:type="spellStart"/>
      <w:r w:rsidRPr="0013532D">
        <w:rPr>
          <w:rFonts w:ascii="Times New Roman" w:hAnsi="Times New Roman" w:cs="Times New Roman"/>
          <w:sz w:val="24"/>
          <w:szCs w:val="24"/>
          <w:lang w:val="en-US"/>
        </w:rPr>
        <w:t>Mahanty</w:t>
      </w:r>
      <w:proofErr w:type="spellEnd"/>
      <w:r w:rsidRPr="0013532D">
        <w:rPr>
          <w:rFonts w:ascii="Times New Roman" w:hAnsi="Times New Roman" w:cs="Times New Roman"/>
          <w:sz w:val="24"/>
          <w:szCs w:val="24"/>
          <w:lang w:val="en-US"/>
        </w:rPr>
        <w:t xml:space="preserve">, T., Bhattacharjee, S., Goswami, M., Bhattacharyya, P., Das, B., Ghosh, A. and </w:t>
      </w:r>
      <w:proofErr w:type="spellStart"/>
      <w:r w:rsidRPr="0013532D">
        <w:rPr>
          <w:rFonts w:ascii="Times New Roman" w:hAnsi="Times New Roman" w:cs="Times New Roman"/>
          <w:sz w:val="24"/>
          <w:szCs w:val="24"/>
          <w:lang w:val="en-US"/>
        </w:rPr>
        <w:t>Tribedi</w:t>
      </w:r>
      <w:proofErr w:type="spellEnd"/>
      <w:r w:rsidRPr="0013532D">
        <w:rPr>
          <w:rFonts w:ascii="Times New Roman" w:hAnsi="Times New Roman" w:cs="Times New Roman"/>
          <w:sz w:val="24"/>
          <w:szCs w:val="24"/>
          <w:lang w:val="en-US"/>
        </w:rPr>
        <w:t xml:space="preserve">, P. </w:t>
      </w:r>
      <w:r w:rsidR="005A0321">
        <w:rPr>
          <w:rFonts w:ascii="Times New Roman" w:hAnsi="Times New Roman" w:cs="Times New Roman"/>
          <w:sz w:val="24"/>
          <w:szCs w:val="24"/>
          <w:lang w:val="en-US"/>
        </w:rPr>
        <w:t>(</w:t>
      </w:r>
      <w:r w:rsidRPr="0013532D">
        <w:rPr>
          <w:rFonts w:ascii="Times New Roman" w:hAnsi="Times New Roman" w:cs="Times New Roman"/>
          <w:sz w:val="24"/>
          <w:szCs w:val="24"/>
          <w:lang w:val="en-US"/>
        </w:rPr>
        <w:t>2017</w:t>
      </w:r>
      <w:r w:rsidR="005A0321">
        <w:rPr>
          <w:rFonts w:ascii="Times New Roman" w:hAnsi="Times New Roman" w:cs="Times New Roman"/>
          <w:sz w:val="24"/>
          <w:szCs w:val="24"/>
          <w:lang w:val="en-US"/>
        </w:rPr>
        <w:t>)</w:t>
      </w:r>
      <w:r w:rsidRPr="0013532D">
        <w:rPr>
          <w:rFonts w:ascii="Times New Roman" w:hAnsi="Times New Roman" w:cs="Times New Roman"/>
          <w:sz w:val="24"/>
          <w:szCs w:val="24"/>
          <w:lang w:val="en-US"/>
        </w:rPr>
        <w:t xml:space="preserve">. Biofertilizers: A potential approach for sustainable agriculture development. </w:t>
      </w:r>
      <w:r w:rsidRPr="0013532D">
        <w:rPr>
          <w:rFonts w:ascii="Times New Roman" w:hAnsi="Times New Roman" w:cs="Times New Roman"/>
          <w:i/>
          <w:iCs/>
          <w:sz w:val="24"/>
          <w:szCs w:val="24"/>
          <w:lang w:val="en-US"/>
        </w:rPr>
        <w:t>Environmental Science and Pollution Research</w:t>
      </w:r>
      <w:r w:rsidRPr="0013532D">
        <w:rPr>
          <w:rFonts w:ascii="Times New Roman" w:hAnsi="Times New Roman" w:cs="Times New Roman"/>
          <w:sz w:val="24"/>
          <w:szCs w:val="24"/>
          <w:lang w:val="en-US"/>
        </w:rPr>
        <w:t>, 24: 3315-3335.</w:t>
      </w:r>
    </w:p>
    <w:p w:rsidR="0013532D" w:rsidRPr="00D858F1" w:rsidRDefault="0013532D" w:rsidP="00D858F1">
      <w:pPr>
        <w:spacing w:before="240" w:line="360" w:lineRule="auto"/>
        <w:ind w:left="720" w:hanging="720"/>
        <w:jc w:val="both"/>
        <w:rPr>
          <w:rFonts w:ascii="Times New Roman" w:hAnsi="Times New Roman" w:cs="Times New Roman"/>
          <w:sz w:val="24"/>
          <w:szCs w:val="24"/>
          <w:lang w:val="en-US"/>
        </w:rPr>
      </w:pPr>
      <w:r w:rsidRPr="0013532D">
        <w:rPr>
          <w:rFonts w:ascii="Times New Roman" w:hAnsi="Times New Roman" w:cs="Times New Roman"/>
          <w:sz w:val="24"/>
          <w:szCs w:val="24"/>
          <w:lang w:val="en-US"/>
        </w:rPr>
        <w:t xml:space="preserve">Singh, J.S., Kumar, A., Rai, A.N. and Singh, D.P. </w:t>
      </w:r>
      <w:r w:rsidR="005A0321">
        <w:rPr>
          <w:rFonts w:ascii="Times New Roman" w:hAnsi="Times New Roman" w:cs="Times New Roman"/>
          <w:sz w:val="24"/>
          <w:szCs w:val="24"/>
          <w:lang w:val="en-US"/>
        </w:rPr>
        <w:t>(</w:t>
      </w:r>
      <w:r w:rsidRPr="0013532D">
        <w:rPr>
          <w:rFonts w:ascii="Times New Roman" w:hAnsi="Times New Roman" w:cs="Times New Roman"/>
          <w:sz w:val="24"/>
          <w:szCs w:val="24"/>
          <w:lang w:val="en-US"/>
        </w:rPr>
        <w:t>2021</w:t>
      </w:r>
      <w:r w:rsidR="005A0321">
        <w:rPr>
          <w:rFonts w:ascii="Times New Roman" w:hAnsi="Times New Roman" w:cs="Times New Roman"/>
          <w:sz w:val="24"/>
          <w:szCs w:val="24"/>
          <w:lang w:val="en-US"/>
        </w:rPr>
        <w:t>)</w:t>
      </w:r>
      <w:r w:rsidRPr="0013532D">
        <w:rPr>
          <w:rFonts w:ascii="Times New Roman" w:hAnsi="Times New Roman" w:cs="Times New Roman"/>
          <w:sz w:val="24"/>
          <w:szCs w:val="24"/>
          <w:lang w:val="en-US"/>
        </w:rPr>
        <w:t xml:space="preserve">. Cyanobacteria as biofertilizers in rice agriculture. </w:t>
      </w:r>
      <w:r w:rsidRPr="0013532D">
        <w:rPr>
          <w:rFonts w:ascii="Times New Roman" w:hAnsi="Times New Roman" w:cs="Times New Roman"/>
          <w:i/>
          <w:iCs/>
          <w:sz w:val="24"/>
          <w:szCs w:val="24"/>
          <w:lang w:val="en-US"/>
        </w:rPr>
        <w:t>Frontiers in Plant Science</w:t>
      </w:r>
      <w:r w:rsidRPr="0013532D">
        <w:rPr>
          <w:rFonts w:ascii="Times New Roman" w:hAnsi="Times New Roman" w:cs="Times New Roman"/>
          <w:sz w:val="24"/>
          <w:szCs w:val="24"/>
          <w:lang w:val="en-US"/>
        </w:rPr>
        <w:t>, 12: 701665.</w:t>
      </w:r>
    </w:p>
    <w:p w:rsidR="005A0321" w:rsidRPr="005A0321" w:rsidRDefault="005A0321" w:rsidP="005A0321">
      <w:pPr>
        <w:spacing w:before="240" w:line="360" w:lineRule="auto"/>
        <w:ind w:left="720" w:hanging="720"/>
        <w:jc w:val="both"/>
        <w:rPr>
          <w:rFonts w:ascii="Times New Roman" w:hAnsi="Times New Roman" w:cs="Times New Roman"/>
          <w:sz w:val="24"/>
          <w:szCs w:val="24"/>
          <w:lang w:val="en-US"/>
        </w:rPr>
      </w:pPr>
      <w:proofErr w:type="spellStart"/>
      <w:r w:rsidRPr="005A0321">
        <w:rPr>
          <w:rFonts w:ascii="Times New Roman" w:hAnsi="Times New Roman" w:cs="Times New Roman"/>
          <w:sz w:val="24"/>
          <w:szCs w:val="24"/>
          <w:lang w:val="en-US"/>
        </w:rPr>
        <w:t>Kasidurai</w:t>
      </w:r>
      <w:proofErr w:type="spellEnd"/>
      <w:r w:rsidRPr="005A0321">
        <w:rPr>
          <w:rFonts w:ascii="Times New Roman" w:hAnsi="Times New Roman" w:cs="Times New Roman"/>
          <w:sz w:val="24"/>
          <w:szCs w:val="24"/>
          <w:lang w:val="en-US"/>
        </w:rPr>
        <w:t xml:space="preserve">, S. (2017). </w:t>
      </w:r>
      <w:r w:rsidRPr="005A0321">
        <w:rPr>
          <w:rFonts w:ascii="Times New Roman" w:hAnsi="Times New Roman" w:cs="Times New Roman"/>
          <w:i/>
          <w:iCs/>
          <w:sz w:val="24"/>
          <w:szCs w:val="24"/>
          <w:lang w:val="en-US"/>
        </w:rPr>
        <w:t xml:space="preserve">Information management </w:t>
      </w:r>
      <w:proofErr w:type="spellStart"/>
      <w:r w:rsidRPr="005A0321">
        <w:rPr>
          <w:rFonts w:ascii="Times New Roman" w:hAnsi="Times New Roman" w:cs="Times New Roman"/>
          <w:i/>
          <w:iCs/>
          <w:sz w:val="24"/>
          <w:szCs w:val="24"/>
          <w:lang w:val="en-US"/>
        </w:rPr>
        <w:t>behaviour</w:t>
      </w:r>
      <w:proofErr w:type="spellEnd"/>
      <w:r w:rsidRPr="005A0321">
        <w:rPr>
          <w:rFonts w:ascii="Times New Roman" w:hAnsi="Times New Roman" w:cs="Times New Roman"/>
          <w:i/>
          <w:iCs/>
          <w:sz w:val="24"/>
          <w:szCs w:val="24"/>
          <w:lang w:val="en-US"/>
        </w:rPr>
        <w:t xml:space="preserve"> of maize growers in </w:t>
      </w:r>
      <w:proofErr w:type="spellStart"/>
      <w:r w:rsidRPr="005A0321">
        <w:rPr>
          <w:rFonts w:ascii="Times New Roman" w:hAnsi="Times New Roman" w:cs="Times New Roman"/>
          <w:i/>
          <w:iCs/>
          <w:sz w:val="24"/>
          <w:szCs w:val="24"/>
          <w:lang w:val="en-US"/>
        </w:rPr>
        <w:t>Perambalur</w:t>
      </w:r>
      <w:proofErr w:type="spellEnd"/>
      <w:r w:rsidRPr="005A0321">
        <w:rPr>
          <w:rFonts w:ascii="Times New Roman" w:hAnsi="Times New Roman" w:cs="Times New Roman"/>
          <w:i/>
          <w:iCs/>
          <w:sz w:val="24"/>
          <w:szCs w:val="24"/>
          <w:lang w:val="en-US"/>
        </w:rPr>
        <w:t xml:space="preserve"> district</w:t>
      </w:r>
      <w:r w:rsidRPr="005A0321">
        <w:rPr>
          <w:rFonts w:ascii="Times New Roman" w:hAnsi="Times New Roman" w:cs="Times New Roman"/>
          <w:sz w:val="24"/>
          <w:szCs w:val="24"/>
          <w:lang w:val="en-US"/>
        </w:rPr>
        <w:t xml:space="preserve">. Unpublished M.Sc. (Agriculture) thesis, Annamalai University, </w:t>
      </w:r>
      <w:proofErr w:type="spellStart"/>
      <w:r w:rsidRPr="005A0321">
        <w:rPr>
          <w:rFonts w:ascii="Times New Roman" w:hAnsi="Times New Roman" w:cs="Times New Roman"/>
          <w:sz w:val="24"/>
          <w:szCs w:val="24"/>
          <w:lang w:val="en-US"/>
        </w:rPr>
        <w:t>Annamalainagar</w:t>
      </w:r>
      <w:proofErr w:type="spellEnd"/>
      <w:r w:rsidRPr="005A0321">
        <w:rPr>
          <w:rFonts w:ascii="Times New Roman" w:hAnsi="Times New Roman" w:cs="Times New Roman"/>
          <w:sz w:val="24"/>
          <w:szCs w:val="24"/>
          <w:lang w:val="en-US"/>
        </w:rPr>
        <w:t>.</w:t>
      </w:r>
    </w:p>
    <w:p w:rsidR="00BF2B69" w:rsidRDefault="00BF2B69" w:rsidP="00213DB0">
      <w:pPr>
        <w:spacing w:before="240" w:line="360" w:lineRule="auto"/>
        <w:ind w:left="720" w:hanging="720"/>
        <w:jc w:val="both"/>
        <w:rPr>
          <w:rFonts w:ascii="Times New Roman" w:hAnsi="Times New Roman" w:cs="Times New Roman"/>
          <w:sz w:val="24"/>
          <w:szCs w:val="24"/>
        </w:rPr>
      </w:pPr>
      <w:proofErr w:type="spellStart"/>
      <w:r w:rsidRPr="000A1E7F">
        <w:rPr>
          <w:rFonts w:ascii="Times New Roman" w:hAnsi="Times New Roman" w:cs="Times New Roman"/>
          <w:sz w:val="24"/>
          <w:szCs w:val="24"/>
        </w:rPr>
        <w:t>Simrijit</w:t>
      </w:r>
      <w:proofErr w:type="spellEnd"/>
      <w:r w:rsidRPr="000A1E7F">
        <w:rPr>
          <w:rFonts w:ascii="Times New Roman" w:hAnsi="Times New Roman" w:cs="Times New Roman"/>
          <w:sz w:val="24"/>
          <w:szCs w:val="24"/>
        </w:rPr>
        <w:t xml:space="preserve"> Kaur and Gurvinder Singh.</w:t>
      </w:r>
      <w:r w:rsidR="001B3DBF">
        <w:rPr>
          <w:rFonts w:ascii="Times New Roman" w:hAnsi="Times New Roman" w:cs="Times New Roman"/>
          <w:sz w:val="24"/>
          <w:szCs w:val="24"/>
        </w:rPr>
        <w:t xml:space="preserve"> </w:t>
      </w:r>
      <w:r w:rsidR="005A0321">
        <w:rPr>
          <w:rFonts w:ascii="Times New Roman" w:hAnsi="Times New Roman" w:cs="Times New Roman"/>
          <w:sz w:val="24"/>
          <w:szCs w:val="24"/>
        </w:rPr>
        <w:t>(</w:t>
      </w:r>
      <w:r w:rsidR="001B3DBF" w:rsidRPr="000A1E7F">
        <w:rPr>
          <w:rFonts w:ascii="Times New Roman" w:hAnsi="Times New Roman" w:cs="Times New Roman"/>
          <w:sz w:val="24"/>
          <w:szCs w:val="24"/>
        </w:rPr>
        <w:t>2019</w:t>
      </w:r>
      <w:r w:rsidR="005A0321">
        <w:rPr>
          <w:rFonts w:ascii="Times New Roman" w:hAnsi="Times New Roman" w:cs="Times New Roman"/>
          <w:sz w:val="24"/>
          <w:szCs w:val="24"/>
        </w:rPr>
        <w:t>)</w:t>
      </w:r>
      <w:r w:rsidR="001B3DBF">
        <w:rPr>
          <w:rFonts w:ascii="Times New Roman" w:hAnsi="Times New Roman" w:cs="Times New Roman"/>
          <w:sz w:val="24"/>
          <w:szCs w:val="24"/>
        </w:rPr>
        <w:t>.</w:t>
      </w:r>
      <w:r w:rsidRPr="000A1E7F">
        <w:rPr>
          <w:rFonts w:ascii="Times New Roman" w:hAnsi="Times New Roman" w:cs="Times New Roman"/>
          <w:sz w:val="24"/>
          <w:szCs w:val="24"/>
        </w:rPr>
        <w:t xml:space="preserve"> An overview of knowledge level of the farmers about recommended cultural practices for vegetable production in North India</w:t>
      </w:r>
      <w:r>
        <w:rPr>
          <w:rFonts w:ascii="Times New Roman" w:hAnsi="Times New Roman" w:cs="Times New Roman"/>
          <w:sz w:val="24"/>
          <w:szCs w:val="24"/>
        </w:rPr>
        <w:t xml:space="preserve">. </w:t>
      </w:r>
      <w:r w:rsidR="001B3DBF" w:rsidRPr="001B3DBF">
        <w:rPr>
          <w:rFonts w:ascii="Times New Roman" w:hAnsi="Times New Roman" w:cs="Times New Roman"/>
          <w:i/>
          <w:iCs/>
          <w:sz w:val="24"/>
          <w:szCs w:val="24"/>
        </w:rPr>
        <w:t>Asian J. Agric. Ext. Econ. Soc</w:t>
      </w:r>
      <w:r w:rsidR="001B3DBF" w:rsidRPr="001B3DBF">
        <w:rPr>
          <w:rFonts w:ascii="Times New Roman" w:hAnsi="Times New Roman" w:cs="Times New Roman"/>
          <w:sz w:val="24"/>
          <w:szCs w:val="24"/>
        </w:rPr>
        <w:t>.,</w:t>
      </w:r>
      <w:r w:rsidR="001B3DBF">
        <w:rPr>
          <w:rFonts w:ascii="Times New Roman" w:hAnsi="Times New Roman" w:cs="Times New Roman"/>
          <w:sz w:val="24"/>
          <w:szCs w:val="24"/>
        </w:rPr>
        <w:t xml:space="preserve"> </w:t>
      </w:r>
      <w:r w:rsidRPr="000A1E7F">
        <w:rPr>
          <w:rFonts w:ascii="Times New Roman" w:hAnsi="Times New Roman" w:cs="Times New Roman"/>
          <w:sz w:val="24"/>
          <w:szCs w:val="24"/>
        </w:rPr>
        <w:t>36</w:t>
      </w:r>
      <w:r w:rsidR="001B3DBF">
        <w:rPr>
          <w:rFonts w:ascii="Times New Roman" w:hAnsi="Times New Roman" w:cs="Times New Roman"/>
          <w:sz w:val="24"/>
          <w:szCs w:val="24"/>
        </w:rPr>
        <w:t xml:space="preserve"> </w:t>
      </w:r>
      <w:r w:rsidRPr="00A86CF7">
        <w:rPr>
          <w:rFonts w:ascii="Times New Roman" w:hAnsi="Times New Roman" w:cs="Times New Roman"/>
          <w:sz w:val="24"/>
          <w:szCs w:val="24"/>
        </w:rPr>
        <w:t>(2):</w:t>
      </w:r>
      <w:r w:rsidRPr="000A1E7F">
        <w:rPr>
          <w:rFonts w:ascii="Times New Roman" w:hAnsi="Times New Roman" w:cs="Times New Roman"/>
          <w:sz w:val="24"/>
          <w:szCs w:val="24"/>
        </w:rPr>
        <w:t>1-5</w:t>
      </w:r>
      <w:r>
        <w:rPr>
          <w:rFonts w:ascii="Times New Roman" w:hAnsi="Times New Roman" w:cs="Times New Roman"/>
          <w:sz w:val="24"/>
          <w:szCs w:val="24"/>
        </w:rPr>
        <w:t>.</w:t>
      </w:r>
    </w:p>
    <w:p w:rsidR="00BF2B69" w:rsidRDefault="00BF2B69" w:rsidP="00853BFD">
      <w:pPr>
        <w:spacing w:line="360" w:lineRule="auto"/>
        <w:ind w:left="720" w:hanging="720"/>
        <w:jc w:val="both"/>
        <w:rPr>
          <w:rFonts w:ascii="Times New Roman" w:hAnsi="Times New Roman" w:cs="Times New Roman"/>
          <w:sz w:val="24"/>
          <w:szCs w:val="24"/>
        </w:rPr>
      </w:pPr>
      <w:r w:rsidRPr="00C9059E">
        <w:rPr>
          <w:rFonts w:ascii="Times New Roman" w:hAnsi="Times New Roman" w:cs="Times New Roman"/>
          <w:sz w:val="24"/>
          <w:szCs w:val="24"/>
        </w:rPr>
        <w:t>Supe, S.</w:t>
      </w:r>
      <w:r>
        <w:rPr>
          <w:rFonts w:ascii="Times New Roman" w:hAnsi="Times New Roman" w:cs="Times New Roman"/>
          <w:sz w:val="24"/>
          <w:szCs w:val="24"/>
        </w:rPr>
        <w:t xml:space="preserve"> </w:t>
      </w:r>
      <w:r w:rsidRPr="00C9059E">
        <w:rPr>
          <w:rFonts w:ascii="Times New Roman" w:hAnsi="Times New Roman" w:cs="Times New Roman"/>
          <w:sz w:val="24"/>
          <w:szCs w:val="24"/>
        </w:rPr>
        <w:t xml:space="preserve">V. </w:t>
      </w:r>
      <w:r w:rsidR="005A0321">
        <w:rPr>
          <w:rFonts w:ascii="Times New Roman" w:hAnsi="Times New Roman" w:cs="Times New Roman"/>
          <w:sz w:val="24"/>
          <w:szCs w:val="24"/>
        </w:rPr>
        <w:t>(</w:t>
      </w:r>
      <w:r w:rsidRPr="00C9059E">
        <w:rPr>
          <w:rFonts w:ascii="Times New Roman" w:hAnsi="Times New Roman" w:cs="Times New Roman"/>
          <w:sz w:val="24"/>
          <w:szCs w:val="24"/>
        </w:rPr>
        <w:t>1969</w:t>
      </w:r>
      <w:r w:rsidR="005A0321">
        <w:rPr>
          <w:rFonts w:ascii="Times New Roman" w:hAnsi="Times New Roman" w:cs="Times New Roman"/>
          <w:sz w:val="24"/>
          <w:szCs w:val="24"/>
        </w:rPr>
        <w:t>)</w:t>
      </w:r>
      <w:r w:rsidRPr="00C9059E">
        <w:rPr>
          <w:rFonts w:ascii="Times New Roman" w:hAnsi="Times New Roman" w:cs="Times New Roman"/>
          <w:sz w:val="24"/>
          <w:szCs w:val="24"/>
        </w:rPr>
        <w:t xml:space="preserve">. Factors Related to Different Degrees of Rationality in Decision Making among Farmers, </w:t>
      </w:r>
      <w:r w:rsidRPr="00C9059E">
        <w:rPr>
          <w:rFonts w:ascii="Times New Roman" w:hAnsi="Times New Roman" w:cs="Times New Roman"/>
          <w:b/>
          <w:bCs/>
          <w:sz w:val="24"/>
          <w:szCs w:val="24"/>
        </w:rPr>
        <w:t>Unpublished Ph.D. Thesis</w:t>
      </w:r>
      <w:r w:rsidRPr="00C9059E">
        <w:rPr>
          <w:rFonts w:ascii="Times New Roman" w:hAnsi="Times New Roman" w:cs="Times New Roman"/>
          <w:sz w:val="24"/>
          <w:szCs w:val="24"/>
        </w:rPr>
        <w:t>, Division of Agricultural Research Institute, New Delhi.</w:t>
      </w:r>
    </w:p>
    <w:p w:rsidR="00BF2B69" w:rsidRDefault="00BF2B69" w:rsidP="00213DB0">
      <w:pPr>
        <w:spacing w:before="240" w:line="360" w:lineRule="auto"/>
        <w:ind w:left="720" w:hanging="720"/>
        <w:jc w:val="both"/>
        <w:rPr>
          <w:rFonts w:ascii="Times New Roman" w:hAnsi="Times New Roman" w:cs="Times New Roman"/>
          <w:sz w:val="24"/>
          <w:szCs w:val="24"/>
        </w:rPr>
      </w:pPr>
      <w:r w:rsidRPr="00C9059E">
        <w:rPr>
          <w:rFonts w:ascii="Times New Roman" w:hAnsi="Times New Roman" w:cs="Times New Roman"/>
          <w:sz w:val="24"/>
          <w:szCs w:val="24"/>
        </w:rPr>
        <w:lastRenderedPageBreak/>
        <w:t>Suresh Kumar</w:t>
      </w:r>
      <w:r>
        <w:rPr>
          <w:rFonts w:ascii="Times New Roman" w:hAnsi="Times New Roman" w:cs="Times New Roman"/>
          <w:sz w:val="24"/>
          <w:szCs w:val="24"/>
        </w:rPr>
        <w:t xml:space="preserve"> </w:t>
      </w:r>
      <w:r w:rsidRPr="00C9059E">
        <w:rPr>
          <w:rFonts w:ascii="Times New Roman" w:hAnsi="Times New Roman" w:cs="Times New Roman"/>
          <w:sz w:val="24"/>
          <w:szCs w:val="24"/>
        </w:rPr>
        <w:t>K</w:t>
      </w:r>
      <w:r>
        <w:rPr>
          <w:rFonts w:ascii="Times New Roman" w:hAnsi="Times New Roman" w:cs="Times New Roman"/>
          <w:sz w:val="24"/>
          <w:szCs w:val="24"/>
        </w:rPr>
        <w:t xml:space="preserve">, </w:t>
      </w:r>
      <w:r w:rsidR="005A0321">
        <w:rPr>
          <w:rFonts w:ascii="Times New Roman" w:hAnsi="Times New Roman" w:cs="Times New Roman"/>
          <w:sz w:val="24"/>
          <w:szCs w:val="24"/>
        </w:rPr>
        <w:t>(</w:t>
      </w:r>
      <w:r w:rsidR="005A0321" w:rsidRPr="00C9059E">
        <w:rPr>
          <w:rFonts w:ascii="Times New Roman" w:hAnsi="Times New Roman" w:cs="Times New Roman"/>
          <w:sz w:val="24"/>
          <w:szCs w:val="24"/>
        </w:rPr>
        <w:t>2015</w:t>
      </w:r>
      <w:r w:rsidR="005A0321">
        <w:rPr>
          <w:rFonts w:ascii="Times New Roman" w:hAnsi="Times New Roman" w:cs="Times New Roman"/>
          <w:sz w:val="24"/>
          <w:szCs w:val="24"/>
        </w:rPr>
        <w:t>).</w:t>
      </w:r>
      <w:r w:rsidRPr="00C9059E">
        <w:rPr>
          <w:rFonts w:ascii="Times New Roman" w:hAnsi="Times New Roman" w:cs="Times New Roman"/>
          <w:sz w:val="24"/>
          <w:szCs w:val="24"/>
        </w:rPr>
        <w:t>A study on knowledge and adoption of recommended technologies in paddy among the farmers in Tiruvannamalai District</w:t>
      </w:r>
      <w:r>
        <w:rPr>
          <w:rFonts w:ascii="Times New Roman" w:hAnsi="Times New Roman" w:cs="Times New Roman"/>
          <w:sz w:val="24"/>
          <w:szCs w:val="24"/>
        </w:rPr>
        <w:t>.</w:t>
      </w:r>
      <w:r w:rsidRPr="00C9059E">
        <w:rPr>
          <w:rFonts w:ascii="Times New Roman" w:hAnsi="Times New Roman" w:cs="Times New Roman"/>
          <w:sz w:val="24"/>
          <w:szCs w:val="24"/>
        </w:rPr>
        <w:t xml:space="preserve"> </w:t>
      </w:r>
      <w:proofErr w:type="spellStart"/>
      <w:r w:rsidRPr="00501E47">
        <w:rPr>
          <w:rFonts w:ascii="Times New Roman" w:hAnsi="Times New Roman" w:cs="Times New Roman"/>
          <w:bCs/>
          <w:sz w:val="24"/>
          <w:szCs w:val="24"/>
        </w:rPr>
        <w:t>Unpub</w:t>
      </w:r>
      <w:proofErr w:type="spellEnd"/>
      <w:r w:rsidRPr="00501E47">
        <w:rPr>
          <w:rFonts w:ascii="Times New Roman" w:hAnsi="Times New Roman" w:cs="Times New Roman"/>
          <w:bCs/>
          <w:sz w:val="24"/>
          <w:szCs w:val="24"/>
        </w:rPr>
        <w:t xml:space="preserve">. M. Sc. (Ag.) Thesis, </w:t>
      </w:r>
      <w:r w:rsidRPr="00C9059E">
        <w:rPr>
          <w:rFonts w:ascii="Times New Roman" w:hAnsi="Times New Roman" w:cs="Times New Roman"/>
          <w:sz w:val="24"/>
          <w:szCs w:val="24"/>
        </w:rPr>
        <w:t>Annamalai University, Annamalai</w:t>
      </w:r>
      <w:r>
        <w:rPr>
          <w:rFonts w:ascii="Times New Roman" w:hAnsi="Times New Roman" w:cs="Times New Roman"/>
          <w:sz w:val="24"/>
          <w:szCs w:val="24"/>
        </w:rPr>
        <w:t xml:space="preserve"> N</w:t>
      </w:r>
      <w:r w:rsidRPr="00C9059E">
        <w:rPr>
          <w:rFonts w:ascii="Times New Roman" w:hAnsi="Times New Roman" w:cs="Times New Roman"/>
          <w:sz w:val="24"/>
          <w:szCs w:val="24"/>
        </w:rPr>
        <w:t>agar.</w:t>
      </w:r>
      <w:r>
        <w:rPr>
          <w:rFonts w:ascii="Times New Roman" w:hAnsi="Times New Roman" w:cs="Times New Roman"/>
          <w:sz w:val="24"/>
          <w:szCs w:val="24"/>
        </w:rPr>
        <w:t xml:space="preserve"> </w:t>
      </w:r>
    </w:p>
    <w:p w:rsidR="006F0155" w:rsidRDefault="006F0155" w:rsidP="006F0155">
      <w:pPr>
        <w:spacing w:before="240" w:line="360" w:lineRule="auto"/>
        <w:ind w:left="720" w:hanging="720"/>
        <w:jc w:val="both"/>
        <w:rPr>
          <w:rFonts w:ascii="Times New Roman" w:hAnsi="Times New Roman" w:cs="Times New Roman"/>
          <w:sz w:val="24"/>
          <w:szCs w:val="24"/>
        </w:rPr>
      </w:pPr>
      <w:r w:rsidRPr="00C9059E">
        <w:rPr>
          <w:rFonts w:ascii="Times New Roman" w:hAnsi="Times New Roman" w:cs="Times New Roman"/>
          <w:sz w:val="24"/>
          <w:szCs w:val="24"/>
        </w:rPr>
        <w:t>Su</w:t>
      </w:r>
      <w:r>
        <w:rPr>
          <w:rFonts w:ascii="Times New Roman" w:hAnsi="Times New Roman" w:cs="Times New Roman"/>
          <w:sz w:val="24"/>
          <w:szCs w:val="24"/>
        </w:rPr>
        <w:t>dhir</w:t>
      </w:r>
      <w:r w:rsidRPr="00C9059E">
        <w:rPr>
          <w:rFonts w:ascii="Times New Roman" w:hAnsi="Times New Roman" w:cs="Times New Roman"/>
          <w:sz w:val="24"/>
          <w:szCs w:val="24"/>
        </w:rPr>
        <w:t xml:space="preserve">a, P. 2009. A study on adoption of pest management technologies by tomato growers in </w:t>
      </w:r>
      <w:proofErr w:type="spellStart"/>
      <w:r w:rsidRPr="00C9059E">
        <w:rPr>
          <w:rFonts w:ascii="Times New Roman" w:hAnsi="Times New Roman" w:cs="Times New Roman"/>
          <w:sz w:val="24"/>
          <w:szCs w:val="24"/>
        </w:rPr>
        <w:t>Mettur</w:t>
      </w:r>
      <w:proofErr w:type="spellEnd"/>
      <w:r w:rsidRPr="00C9059E">
        <w:rPr>
          <w:rFonts w:ascii="Times New Roman" w:hAnsi="Times New Roman" w:cs="Times New Roman"/>
          <w:sz w:val="24"/>
          <w:szCs w:val="24"/>
        </w:rPr>
        <w:t xml:space="preserve"> taluk of Salem district, </w:t>
      </w:r>
      <w:r w:rsidRPr="00C9059E">
        <w:rPr>
          <w:rFonts w:ascii="Times New Roman" w:hAnsi="Times New Roman" w:cs="Times New Roman"/>
          <w:b/>
          <w:sz w:val="24"/>
          <w:szCs w:val="24"/>
        </w:rPr>
        <w:t>Unpublished M.Sc. (Ag) Thesis</w:t>
      </w:r>
      <w:r w:rsidRPr="00C9059E">
        <w:rPr>
          <w:rFonts w:ascii="Times New Roman" w:hAnsi="Times New Roman" w:cs="Times New Roman"/>
          <w:sz w:val="24"/>
          <w:szCs w:val="24"/>
        </w:rPr>
        <w:t>, Annamalai University, Annamalai Nagar.</w:t>
      </w:r>
    </w:p>
    <w:p w:rsidR="00BF2B69" w:rsidRDefault="00BF2B69" w:rsidP="00853BFD">
      <w:pPr>
        <w:spacing w:before="240" w:line="360" w:lineRule="auto"/>
        <w:ind w:left="720" w:hanging="720"/>
        <w:jc w:val="both"/>
        <w:rPr>
          <w:rFonts w:ascii="Times New Roman" w:hAnsi="Times New Roman" w:cs="Times New Roman"/>
          <w:sz w:val="24"/>
          <w:szCs w:val="24"/>
        </w:rPr>
      </w:pPr>
      <w:r w:rsidRPr="00C9059E">
        <w:rPr>
          <w:rFonts w:ascii="Times New Roman" w:hAnsi="Times New Roman" w:cs="Times New Roman"/>
          <w:sz w:val="24"/>
          <w:szCs w:val="24"/>
        </w:rPr>
        <w:t xml:space="preserve">Vasanthakumar, R. </w:t>
      </w:r>
      <w:r w:rsidR="005A0321">
        <w:rPr>
          <w:rFonts w:ascii="Times New Roman" w:hAnsi="Times New Roman" w:cs="Times New Roman"/>
          <w:sz w:val="24"/>
          <w:szCs w:val="24"/>
        </w:rPr>
        <w:t>(</w:t>
      </w:r>
      <w:r w:rsidRPr="00C9059E">
        <w:rPr>
          <w:rFonts w:ascii="Times New Roman" w:hAnsi="Times New Roman" w:cs="Times New Roman"/>
          <w:sz w:val="24"/>
          <w:szCs w:val="24"/>
        </w:rPr>
        <w:t>2012</w:t>
      </w:r>
      <w:r w:rsidR="005A0321">
        <w:rPr>
          <w:rFonts w:ascii="Times New Roman" w:hAnsi="Times New Roman" w:cs="Times New Roman"/>
          <w:sz w:val="24"/>
          <w:szCs w:val="24"/>
        </w:rPr>
        <w:t>)</w:t>
      </w:r>
      <w:r w:rsidRPr="00C9059E">
        <w:rPr>
          <w:rFonts w:ascii="Times New Roman" w:hAnsi="Times New Roman" w:cs="Times New Roman"/>
          <w:sz w:val="24"/>
          <w:szCs w:val="24"/>
        </w:rPr>
        <w:t xml:space="preserve">.  A Study on Knowledge and adoption of Precision Farming practices in Sugarcane, </w:t>
      </w:r>
      <w:r w:rsidRPr="00C9059E">
        <w:rPr>
          <w:rFonts w:ascii="Times New Roman" w:hAnsi="Times New Roman" w:cs="Times New Roman"/>
          <w:b/>
          <w:sz w:val="24"/>
          <w:szCs w:val="24"/>
        </w:rPr>
        <w:t>Unpublished M. Sc. (Ag) Thesis</w:t>
      </w:r>
      <w:r w:rsidRPr="00C9059E">
        <w:rPr>
          <w:rFonts w:ascii="Times New Roman" w:hAnsi="Times New Roman" w:cs="Times New Roman"/>
          <w:sz w:val="24"/>
          <w:szCs w:val="24"/>
        </w:rPr>
        <w:t>,</w:t>
      </w:r>
      <w:r>
        <w:rPr>
          <w:rFonts w:ascii="Times New Roman" w:hAnsi="Times New Roman" w:cs="Times New Roman"/>
          <w:sz w:val="24"/>
          <w:szCs w:val="24"/>
        </w:rPr>
        <w:t xml:space="preserve"> </w:t>
      </w:r>
      <w:r w:rsidRPr="00C9059E">
        <w:rPr>
          <w:rFonts w:ascii="Times New Roman" w:hAnsi="Times New Roman" w:cs="Times New Roman"/>
          <w:sz w:val="24"/>
          <w:szCs w:val="24"/>
        </w:rPr>
        <w:t>Annamalai University, Annamalai Nagar.</w:t>
      </w:r>
    </w:p>
    <w:p w:rsidR="006F0155" w:rsidRPr="006F0155" w:rsidRDefault="006F0155" w:rsidP="006F0155">
      <w:pPr>
        <w:spacing w:before="240" w:line="360" w:lineRule="auto"/>
        <w:ind w:left="720" w:hanging="720"/>
        <w:jc w:val="both"/>
        <w:rPr>
          <w:rFonts w:ascii="Times New Roman" w:hAnsi="Times New Roman" w:cs="Times New Roman"/>
          <w:sz w:val="24"/>
          <w:szCs w:val="24"/>
          <w:lang w:val="en-US"/>
        </w:rPr>
      </w:pPr>
      <w:bookmarkStart w:id="4" w:name="_Hlk176025764"/>
      <w:r w:rsidRPr="00E209FE">
        <w:rPr>
          <w:rFonts w:ascii="Times New Roman" w:hAnsi="Times New Roman" w:cs="Times New Roman"/>
          <w:sz w:val="24"/>
          <w:szCs w:val="24"/>
          <w:lang w:val="en-US"/>
        </w:rPr>
        <w:t xml:space="preserve">Vasanthakumar, K. 2014.  Training needs floriculture farmers of </w:t>
      </w:r>
      <w:proofErr w:type="spellStart"/>
      <w:r w:rsidRPr="00E209FE">
        <w:rPr>
          <w:rFonts w:ascii="Times New Roman" w:hAnsi="Times New Roman" w:cs="Times New Roman"/>
          <w:sz w:val="24"/>
          <w:szCs w:val="24"/>
          <w:lang w:val="en-US"/>
        </w:rPr>
        <w:t>Cuddalore</w:t>
      </w:r>
      <w:proofErr w:type="spellEnd"/>
      <w:r w:rsidRPr="00E209FE">
        <w:rPr>
          <w:rFonts w:ascii="Times New Roman" w:hAnsi="Times New Roman" w:cs="Times New Roman"/>
          <w:sz w:val="24"/>
          <w:szCs w:val="24"/>
          <w:lang w:val="en-US"/>
        </w:rPr>
        <w:t xml:space="preserve"> District, </w:t>
      </w:r>
      <w:r w:rsidRPr="00E209FE">
        <w:rPr>
          <w:rFonts w:ascii="Times New Roman" w:hAnsi="Times New Roman" w:cs="Times New Roman"/>
          <w:b/>
          <w:sz w:val="24"/>
          <w:szCs w:val="24"/>
          <w:lang w:val="en-US"/>
        </w:rPr>
        <w:t>Unpublished M.Sc. (Ag) Thesis</w:t>
      </w:r>
      <w:r w:rsidRPr="00E209FE">
        <w:rPr>
          <w:rFonts w:ascii="Times New Roman" w:hAnsi="Times New Roman" w:cs="Times New Roman"/>
          <w:sz w:val="24"/>
          <w:szCs w:val="24"/>
          <w:lang w:val="en-US"/>
        </w:rPr>
        <w:t>, Annamalai University, Annamalai Nagar.</w:t>
      </w:r>
      <w:bookmarkEnd w:id="4"/>
    </w:p>
    <w:p w:rsidR="00BF2B69" w:rsidRDefault="00BF2B69" w:rsidP="00853BFD">
      <w:pPr>
        <w:spacing w:before="240" w:line="360" w:lineRule="auto"/>
        <w:ind w:left="720" w:hanging="720"/>
        <w:jc w:val="both"/>
        <w:rPr>
          <w:rFonts w:ascii="Times New Roman" w:hAnsi="Times New Roman" w:cs="Times New Roman"/>
          <w:sz w:val="24"/>
          <w:szCs w:val="24"/>
        </w:rPr>
      </w:pPr>
      <w:proofErr w:type="spellStart"/>
      <w:r w:rsidRPr="00C9059E">
        <w:rPr>
          <w:rFonts w:ascii="Times New Roman" w:hAnsi="Times New Roman" w:cs="Times New Roman"/>
          <w:sz w:val="24"/>
          <w:szCs w:val="24"/>
        </w:rPr>
        <w:t>Veerasami</w:t>
      </w:r>
      <w:proofErr w:type="spellEnd"/>
      <w:r w:rsidRPr="00C9059E">
        <w:rPr>
          <w:rFonts w:ascii="Times New Roman" w:hAnsi="Times New Roman" w:cs="Times New Roman"/>
          <w:sz w:val="24"/>
          <w:szCs w:val="24"/>
        </w:rPr>
        <w:t xml:space="preserve">, S. </w:t>
      </w:r>
      <w:r w:rsidR="005A0321">
        <w:rPr>
          <w:rFonts w:ascii="Times New Roman" w:hAnsi="Times New Roman" w:cs="Times New Roman"/>
          <w:sz w:val="24"/>
          <w:szCs w:val="24"/>
        </w:rPr>
        <w:t>(</w:t>
      </w:r>
      <w:r w:rsidRPr="00C9059E">
        <w:rPr>
          <w:rFonts w:ascii="Times New Roman" w:hAnsi="Times New Roman" w:cs="Times New Roman"/>
          <w:sz w:val="24"/>
          <w:szCs w:val="24"/>
        </w:rPr>
        <w:t>2009</w:t>
      </w:r>
      <w:r w:rsidR="005A0321">
        <w:rPr>
          <w:rFonts w:ascii="Times New Roman" w:hAnsi="Times New Roman" w:cs="Times New Roman"/>
          <w:sz w:val="24"/>
          <w:szCs w:val="24"/>
        </w:rPr>
        <w:t>)</w:t>
      </w:r>
      <w:r w:rsidRPr="00C9059E">
        <w:rPr>
          <w:rFonts w:ascii="Times New Roman" w:hAnsi="Times New Roman" w:cs="Times New Roman"/>
          <w:sz w:val="24"/>
          <w:szCs w:val="24"/>
        </w:rPr>
        <w:t xml:space="preserve">. An Analysis on Knowledge and adoption behaviour of Banana growers, </w:t>
      </w:r>
      <w:r w:rsidRPr="00C9059E">
        <w:rPr>
          <w:rFonts w:ascii="Times New Roman" w:hAnsi="Times New Roman" w:cs="Times New Roman"/>
          <w:b/>
          <w:sz w:val="24"/>
          <w:szCs w:val="24"/>
        </w:rPr>
        <w:t>Unpublished M.Sc. (Ag) Thesis</w:t>
      </w:r>
      <w:r w:rsidRPr="00C9059E">
        <w:rPr>
          <w:rFonts w:ascii="Times New Roman" w:hAnsi="Times New Roman" w:cs="Times New Roman"/>
          <w:sz w:val="24"/>
          <w:szCs w:val="24"/>
        </w:rPr>
        <w:t>, Annamalai University, Annamalai Nagar.</w:t>
      </w:r>
    </w:p>
    <w:p w:rsidR="00BF2B69" w:rsidRDefault="00BF2B69" w:rsidP="00853BFD">
      <w:pPr>
        <w:spacing w:before="240" w:line="360" w:lineRule="auto"/>
        <w:ind w:left="720" w:hanging="720"/>
        <w:jc w:val="both"/>
        <w:rPr>
          <w:rFonts w:ascii="Times New Roman" w:hAnsi="Times New Roman" w:cs="Times New Roman"/>
          <w:sz w:val="24"/>
          <w:szCs w:val="24"/>
        </w:rPr>
      </w:pPr>
      <w:r w:rsidRPr="00C9059E">
        <w:rPr>
          <w:rFonts w:ascii="Times New Roman" w:hAnsi="Times New Roman" w:cs="Times New Roman"/>
          <w:sz w:val="24"/>
          <w:szCs w:val="24"/>
        </w:rPr>
        <w:t>Vijaykumar, P.</w:t>
      </w:r>
      <w:r w:rsidR="00D23197">
        <w:rPr>
          <w:rFonts w:ascii="Times New Roman" w:hAnsi="Times New Roman" w:cs="Times New Roman"/>
          <w:sz w:val="24"/>
          <w:szCs w:val="24"/>
        </w:rPr>
        <w:t xml:space="preserve"> </w:t>
      </w:r>
      <w:r w:rsidRPr="00C9059E">
        <w:rPr>
          <w:rFonts w:ascii="Times New Roman" w:hAnsi="Times New Roman" w:cs="Times New Roman"/>
          <w:sz w:val="24"/>
          <w:szCs w:val="24"/>
        </w:rPr>
        <w:t xml:space="preserve">G., </w:t>
      </w:r>
      <w:proofErr w:type="spellStart"/>
      <w:r w:rsidRPr="00C9059E">
        <w:rPr>
          <w:rFonts w:ascii="Times New Roman" w:hAnsi="Times New Roman" w:cs="Times New Roman"/>
          <w:sz w:val="24"/>
          <w:szCs w:val="24"/>
        </w:rPr>
        <w:t>Khalache</w:t>
      </w:r>
      <w:proofErr w:type="spellEnd"/>
      <w:r w:rsidRPr="00C9059E">
        <w:rPr>
          <w:rFonts w:ascii="Times New Roman" w:hAnsi="Times New Roman" w:cs="Times New Roman"/>
          <w:sz w:val="24"/>
          <w:szCs w:val="24"/>
        </w:rPr>
        <w:t xml:space="preserve"> and J.H. Gaikwad. </w:t>
      </w:r>
      <w:r w:rsidR="005A0321">
        <w:rPr>
          <w:rFonts w:ascii="Times New Roman" w:hAnsi="Times New Roman" w:cs="Times New Roman"/>
          <w:sz w:val="24"/>
          <w:szCs w:val="24"/>
        </w:rPr>
        <w:t>(</w:t>
      </w:r>
      <w:r w:rsidRPr="00C9059E">
        <w:rPr>
          <w:rFonts w:ascii="Times New Roman" w:hAnsi="Times New Roman" w:cs="Times New Roman"/>
          <w:sz w:val="24"/>
          <w:szCs w:val="24"/>
        </w:rPr>
        <w:t>2008</w:t>
      </w:r>
      <w:r w:rsidR="005A0321">
        <w:rPr>
          <w:rFonts w:ascii="Times New Roman" w:hAnsi="Times New Roman" w:cs="Times New Roman"/>
          <w:sz w:val="24"/>
          <w:szCs w:val="24"/>
        </w:rPr>
        <w:t>)</w:t>
      </w:r>
      <w:r w:rsidRPr="00C9059E">
        <w:rPr>
          <w:rFonts w:ascii="Times New Roman" w:hAnsi="Times New Roman" w:cs="Times New Roman"/>
          <w:sz w:val="24"/>
          <w:szCs w:val="24"/>
        </w:rPr>
        <w:t xml:space="preserve">. A study of relationship between selected characteristics of the respondent’s technological gap in paddy cultivation of Sitamarhi district. </w:t>
      </w:r>
      <w:r w:rsidRPr="00C9059E">
        <w:rPr>
          <w:rFonts w:ascii="Times New Roman" w:hAnsi="Times New Roman" w:cs="Times New Roman"/>
          <w:b/>
          <w:sz w:val="24"/>
          <w:szCs w:val="24"/>
        </w:rPr>
        <w:t>Agriculture update</w:t>
      </w:r>
      <w:r w:rsidRPr="00C9059E">
        <w:rPr>
          <w:rFonts w:ascii="Times New Roman" w:hAnsi="Times New Roman" w:cs="Times New Roman"/>
          <w:sz w:val="24"/>
          <w:szCs w:val="24"/>
        </w:rPr>
        <w:t>, 3</w:t>
      </w:r>
      <w:r>
        <w:rPr>
          <w:rFonts w:ascii="Times New Roman" w:hAnsi="Times New Roman" w:cs="Times New Roman"/>
          <w:sz w:val="24"/>
          <w:szCs w:val="24"/>
        </w:rPr>
        <w:t xml:space="preserve"> </w:t>
      </w:r>
      <w:r w:rsidRPr="00C9059E">
        <w:rPr>
          <w:rFonts w:ascii="Times New Roman" w:hAnsi="Times New Roman" w:cs="Times New Roman"/>
          <w:sz w:val="24"/>
          <w:szCs w:val="24"/>
        </w:rPr>
        <w:t>(3): 339-341.</w:t>
      </w:r>
    </w:p>
    <w:p w:rsidR="0013532D" w:rsidRPr="00C9059E" w:rsidRDefault="0013532D" w:rsidP="00853BFD">
      <w:pPr>
        <w:spacing w:before="240" w:line="360" w:lineRule="auto"/>
        <w:ind w:left="720" w:hanging="720"/>
        <w:jc w:val="both"/>
        <w:rPr>
          <w:rFonts w:ascii="Times New Roman" w:hAnsi="Times New Roman" w:cs="Times New Roman"/>
          <w:sz w:val="24"/>
          <w:szCs w:val="24"/>
        </w:rPr>
      </w:pPr>
      <w:r w:rsidRPr="0013532D">
        <w:rPr>
          <w:rFonts w:ascii="Times New Roman" w:hAnsi="Times New Roman" w:cs="Times New Roman"/>
          <w:sz w:val="24"/>
          <w:szCs w:val="24"/>
        </w:rPr>
        <w:t>Yadav, A.</w:t>
      </w:r>
      <w:r w:rsidR="00D23197">
        <w:rPr>
          <w:rFonts w:ascii="Times New Roman" w:hAnsi="Times New Roman" w:cs="Times New Roman"/>
          <w:sz w:val="24"/>
          <w:szCs w:val="24"/>
        </w:rPr>
        <w:t xml:space="preserve"> </w:t>
      </w:r>
      <w:r w:rsidRPr="0013532D">
        <w:rPr>
          <w:rFonts w:ascii="Times New Roman" w:hAnsi="Times New Roman" w:cs="Times New Roman"/>
          <w:sz w:val="24"/>
          <w:szCs w:val="24"/>
        </w:rPr>
        <w:t>N., Verma, P., Singh, B. and Chauhan, V.</w:t>
      </w:r>
      <w:r w:rsidR="00D23197">
        <w:rPr>
          <w:rFonts w:ascii="Times New Roman" w:hAnsi="Times New Roman" w:cs="Times New Roman"/>
          <w:sz w:val="24"/>
          <w:szCs w:val="24"/>
        </w:rPr>
        <w:t xml:space="preserve"> </w:t>
      </w:r>
      <w:r w:rsidRPr="0013532D">
        <w:rPr>
          <w:rFonts w:ascii="Times New Roman" w:hAnsi="Times New Roman" w:cs="Times New Roman"/>
          <w:sz w:val="24"/>
          <w:szCs w:val="24"/>
        </w:rPr>
        <w:t xml:space="preserve">S. </w:t>
      </w:r>
      <w:r w:rsidR="005A0321">
        <w:rPr>
          <w:rFonts w:ascii="Times New Roman" w:hAnsi="Times New Roman" w:cs="Times New Roman"/>
          <w:sz w:val="24"/>
          <w:szCs w:val="24"/>
        </w:rPr>
        <w:t>(</w:t>
      </w:r>
      <w:r w:rsidRPr="0013532D">
        <w:rPr>
          <w:rFonts w:ascii="Times New Roman" w:hAnsi="Times New Roman" w:cs="Times New Roman"/>
          <w:sz w:val="24"/>
          <w:szCs w:val="24"/>
        </w:rPr>
        <w:t>2020</w:t>
      </w:r>
      <w:r w:rsidR="005A0321">
        <w:rPr>
          <w:rFonts w:ascii="Times New Roman" w:hAnsi="Times New Roman" w:cs="Times New Roman"/>
          <w:sz w:val="24"/>
          <w:szCs w:val="24"/>
        </w:rPr>
        <w:t>)</w:t>
      </w:r>
      <w:r w:rsidRPr="0013532D">
        <w:rPr>
          <w:rFonts w:ascii="Times New Roman" w:hAnsi="Times New Roman" w:cs="Times New Roman"/>
          <w:sz w:val="24"/>
          <w:szCs w:val="24"/>
        </w:rPr>
        <w:t xml:space="preserve">. Plant growth promoting microorganisms for sustainable agriculture. </w:t>
      </w:r>
      <w:r w:rsidRPr="0013532D">
        <w:rPr>
          <w:rFonts w:ascii="Times New Roman" w:hAnsi="Times New Roman" w:cs="Times New Roman"/>
          <w:i/>
          <w:iCs/>
          <w:sz w:val="24"/>
          <w:szCs w:val="24"/>
        </w:rPr>
        <w:t>Environmental Sustainability</w:t>
      </w:r>
      <w:r w:rsidRPr="0013532D">
        <w:rPr>
          <w:rFonts w:ascii="Times New Roman" w:hAnsi="Times New Roman" w:cs="Times New Roman"/>
          <w:sz w:val="24"/>
          <w:szCs w:val="24"/>
        </w:rPr>
        <w:t>, 3: 1-15.</w:t>
      </w:r>
    </w:p>
    <w:sectPr w:rsidR="0013532D" w:rsidRPr="00C9059E" w:rsidSect="007D15D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5B2" w:rsidRDefault="000D15B2" w:rsidP="006122E3">
      <w:pPr>
        <w:spacing w:after="0" w:line="240" w:lineRule="auto"/>
      </w:pPr>
      <w:r>
        <w:separator/>
      </w:r>
    </w:p>
  </w:endnote>
  <w:endnote w:type="continuationSeparator" w:id="0">
    <w:p w:rsidR="000D15B2" w:rsidRDefault="000D15B2" w:rsidP="00612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2E3" w:rsidRDefault="00612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2E3" w:rsidRDefault="006122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2E3" w:rsidRDefault="00612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5B2" w:rsidRDefault="000D15B2" w:rsidP="006122E3">
      <w:pPr>
        <w:spacing w:after="0" w:line="240" w:lineRule="auto"/>
      </w:pPr>
      <w:r>
        <w:separator/>
      </w:r>
    </w:p>
  </w:footnote>
  <w:footnote w:type="continuationSeparator" w:id="0">
    <w:p w:rsidR="000D15B2" w:rsidRDefault="000D15B2" w:rsidP="00612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2E3" w:rsidRDefault="000D15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7076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2E3" w:rsidRDefault="000D15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7076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2E3" w:rsidRDefault="000D15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7076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B2882"/>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51EC1817"/>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53547A9A"/>
    <w:multiLevelType w:val="hybridMultilevel"/>
    <w:tmpl w:val="43DCCA3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0NDa2sLQ0MzYyNTJS0lEKTi0uzszPAykwrAUAXodGXywAAAA="/>
  </w:docVars>
  <w:rsids>
    <w:rsidRoot w:val="00260A01"/>
    <w:rsid w:val="00010EC9"/>
    <w:rsid w:val="000235BC"/>
    <w:rsid w:val="000347C4"/>
    <w:rsid w:val="00063CC8"/>
    <w:rsid w:val="00067967"/>
    <w:rsid w:val="00077429"/>
    <w:rsid w:val="000A779F"/>
    <w:rsid w:val="000B4DFC"/>
    <w:rsid w:val="000D15B2"/>
    <w:rsid w:val="000F5C2C"/>
    <w:rsid w:val="00106ECF"/>
    <w:rsid w:val="0013532D"/>
    <w:rsid w:val="00141A5D"/>
    <w:rsid w:val="00144DE2"/>
    <w:rsid w:val="001B14D5"/>
    <w:rsid w:val="001B1CDE"/>
    <w:rsid w:val="001B3DBF"/>
    <w:rsid w:val="001D0493"/>
    <w:rsid w:val="001F08B5"/>
    <w:rsid w:val="00213DB0"/>
    <w:rsid w:val="0022414E"/>
    <w:rsid w:val="00232167"/>
    <w:rsid w:val="00244F58"/>
    <w:rsid w:val="00257CBB"/>
    <w:rsid w:val="00260A01"/>
    <w:rsid w:val="00283F50"/>
    <w:rsid w:val="002A74F2"/>
    <w:rsid w:val="002C0CC2"/>
    <w:rsid w:val="002C23E9"/>
    <w:rsid w:val="002C3D0C"/>
    <w:rsid w:val="002C6CA7"/>
    <w:rsid w:val="002E3364"/>
    <w:rsid w:val="002F4C72"/>
    <w:rsid w:val="00342E50"/>
    <w:rsid w:val="00360CC8"/>
    <w:rsid w:val="003A5761"/>
    <w:rsid w:val="003E592A"/>
    <w:rsid w:val="003E778B"/>
    <w:rsid w:val="00406565"/>
    <w:rsid w:val="00424319"/>
    <w:rsid w:val="004822CA"/>
    <w:rsid w:val="00496C4A"/>
    <w:rsid w:val="004B0FA3"/>
    <w:rsid w:val="004C2CA2"/>
    <w:rsid w:val="004C7723"/>
    <w:rsid w:val="004D5E1F"/>
    <w:rsid w:val="004D6E34"/>
    <w:rsid w:val="004F3D06"/>
    <w:rsid w:val="00516079"/>
    <w:rsid w:val="005264B9"/>
    <w:rsid w:val="00587F8B"/>
    <w:rsid w:val="005A0321"/>
    <w:rsid w:val="005D2CF4"/>
    <w:rsid w:val="005E265A"/>
    <w:rsid w:val="006122E3"/>
    <w:rsid w:val="00613D7D"/>
    <w:rsid w:val="00627216"/>
    <w:rsid w:val="00640C3C"/>
    <w:rsid w:val="00645410"/>
    <w:rsid w:val="006575D2"/>
    <w:rsid w:val="006811FE"/>
    <w:rsid w:val="006933CB"/>
    <w:rsid w:val="006B2377"/>
    <w:rsid w:val="006C7AC0"/>
    <w:rsid w:val="006F0155"/>
    <w:rsid w:val="007034BC"/>
    <w:rsid w:val="00753AD9"/>
    <w:rsid w:val="0077776B"/>
    <w:rsid w:val="007B2B1A"/>
    <w:rsid w:val="007D15D5"/>
    <w:rsid w:val="008135D8"/>
    <w:rsid w:val="00825CD2"/>
    <w:rsid w:val="00841CA8"/>
    <w:rsid w:val="00853BFD"/>
    <w:rsid w:val="008A016A"/>
    <w:rsid w:val="008B0488"/>
    <w:rsid w:val="008B1EEA"/>
    <w:rsid w:val="008D6497"/>
    <w:rsid w:val="008F2491"/>
    <w:rsid w:val="008F4D09"/>
    <w:rsid w:val="00905661"/>
    <w:rsid w:val="0097183C"/>
    <w:rsid w:val="00977605"/>
    <w:rsid w:val="00980A28"/>
    <w:rsid w:val="00986157"/>
    <w:rsid w:val="00990C1E"/>
    <w:rsid w:val="009A3B12"/>
    <w:rsid w:val="009F6E66"/>
    <w:rsid w:val="00A05A69"/>
    <w:rsid w:val="00A2074A"/>
    <w:rsid w:val="00A40CF0"/>
    <w:rsid w:val="00A533CF"/>
    <w:rsid w:val="00A66D96"/>
    <w:rsid w:val="00A725BE"/>
    <w:rsid w:val="00A8755B"/>
    <w:rsid w:val="00AA7245"/>
    <w:rsid w:val="00AC77C3"/>
    <w:rsid w:val="00AE297C"/>
    <w:rsid w:val="00B25174"/>
    <w:rsid w:val="00B37A49"/>
    <w:rsid w:val="00B7491C"/>
    <w:rsid w:val="00B90173"/>
    <w:rsid w:val="00BD3E56"/>
    <w:rsid w:val="00BF2B69"/>
    <w:rsid w:val="00BF7D25"/>
    <w:rsid w:val="00C00041"/>
    <w:rsid w:val="00C07A93"/>
    <w:rsid w:val="00C17E14"/>
    <w:rsid w:val="00C44126"/>
    <w:rsid w:val="00C607F2"/>
    <w:rsid w:val="00CC1F17"/>
    <w:rsid w:val="00CD795C"/>
    <w:rsid w:val="00D0317D"/>
    <w:rsid w:val="00D142EF"/>
    <w:rsid w:val="00D15253"/>
    <w:rsid w:val="00D23197"/>
    <w:rsid w:val="00D31640"/>
    <w:rsid w:val="00D528B4"/>
    <w:rsid w:val="00D8158E"/>
    <w:rsid w:val="00D858F1"/>
    <w:rsid w:val="00D92AC2"/>
    <w:rsid w:val="00D9728F"/>
    <w:rsid w:val="00DB3566"/>
    <w:rsid w:val="00DE6965"/>
    <w:rsid w:val="00E209FE"/>
    <w:rsid w:val="00E23A33"/>
    <w:rsid w:val="00EA50EF"/>
    <w:rsid w:val="00EE62C8"/>
    <w:rsid w:val="00F04B2F"/>
    <w:rsid w:val="00F21D46"/>
    <w:rsid w:val="00F3048C"/>
    <w:rsid w:val="00F343E8"/>
    <w:rsid w:val="00F47783"/>
    <w:rsid w:val="00F83819"/>
    <w:rsid w:val="00FA622C"/>
    <w:rsid w:val="00FB2DCF"/>
    <w:rsid w:val="00FB6641"/>
    <w:rsid w:val="00FE439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3A3922"/>
  <w15:docId w15:val="{7B595FF8-6CC4-4BC4-A2C6-91100A76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592A"/>
  </w:style>
  <w:style w:type="paragraph" w:styleId="Heading1">
    <w:name w:val="heading 1"/>
    <w:basedOn w:val="Normal"/>
    <w:next w:val="Normal"/>
    <w:link w:val="Heading1Char"/>
    <w:uiPriority w:val="9"/>
    <w:qFormat/>
    <w:rsid w:val="00260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A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A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A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A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A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A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A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A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A01"/>
    <w:rPr>
      <w:rFonts w:eastAsiaTheme="majorEastAsia" w:cstheme="majorBidi"/>
      <w:color w:val="272727" w:themeColor="text1" w:themeTint="D8"/>
    </w:rPr>
  </w:style>
  <w:style w:type="paragraph" w:styleId="Title">
    <w:name w:val="Title"/>
    <w:basedOn w:val="Normal"/>
    <w:next w:val="Normal"/>
    <w:link w:val="TitleChar"/>
    <w:uiPriority w:val="10"/>
    <w:qFormat/>
    <w:rsid w:val="00260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A01"/>
    <w:pPr>
      <w:spacing w:before="160"/>
      <w:jc w:val="center"/>
    </w:pPr>
    <w:rPr>
      <w:i/>
      <w:iCs/>
      <w:color w:val="404040" w:themeColor="text1" w:themeTint="BF"/>
    </w:rPr>
  </w:style>
  <w:style w:type="character" w:customStyle="1" w:styleId="QuoteChar">
    <w:name w:val="Quote Char"/>
    <w:basedOn w:val="DefaultParagraphFont"/>
    <w:link w:val="Quote"/>
    <w:uiPriority w:val="29"/>
    <w:rsid w:val="00260A01"/>
    <w:rPr>
      <w:i/>
      <w:iCs/>
      <w:color w:val="404040" w:themeColor="text1" w:themeTint="BF"/>
    </w:rPr>
  </w:style>
  <w:style w:type="paragraph" w:styleId="ListParagraph">
    <w:name w:val="List Paragraph"/>
    <w:basedOn w:val="Normal"/>
    <w:uiPriority w:val="34"/>
    <w:qFormat/>
    <w:rsid w:val="00260A01"/>
    <w:pPr>
      <w:ind w:left="720"/>
      <w:contextualSpacing/>
    </w:pPr>
  </w:style>
  <w:style w:type="character" w:styleId="IntenseEmphasis">
    <w:name w:val="Intense Emphasis"/>
    <w:basedOn w:val="DefaultParagraphFont"/>
    <w:uiPriority w:val="21"/>
    <w:qFormat/>
    <w:rsid w:val="00260A01"/>
    <w:rPr>
      <w:i/>
      <w:iCs/>
      <w:color w:val="0F4761" w:themeColor="accent1" w:themeShade="BF"/>
    </w:rPr>
  </w:style>
  <w:style w:type="paragraph" w:styleId="IntenseQuote">
    <w:name w:val="Intense Quote"/>
    <w:basedOn w:val="Normal"/>
    <w:next w:val="Normal"/>
    <w:link w:val="IntenseQuoteChar"/>
    <w:uiPriority w:val="30"/>
    <w:qFormat/>
    <w:rsid w:val="00260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A01"/>
    <w:rPr>
      <w:i/>
      <w:iCs/>
      <w:color w:val="0F4761" w:themeColor="accent1" w:themeShade="BF"/>
    </w:rPr>
  </w:style>
  <w:style w:type="character" w:styleId="IntenseReference">
    <w:name w:val="Intense Reference"/>
    <w:basedOn w:val="DefaultParagraphFont"/>
    <w:uiPriority w:val="32"/>
    <w:qFormat/>
    <w:rsid w:val="00260A01"/>
    <w:rPr>
      <w:b/>
      <w:bCs/>
      <w:smallCaps/>
      <w:color w:val="0F4761" w:themeColor="accent1" w:themeShade="BF"/>
      <w:spacing w:val="5"/>
    </w:rPr>
  </w:style>
  <w:style w:type="table" w:styleId="TableGrid">
    <w:name w:val="Table Grid"/>
    <w:basedOn w:val="TableNormal"/>
    <w:uiPriority w:val="39"/>
    <w:rsid w:val="00F343E8"/>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D25"/>
    <w:rPr>
      <w:rFonts w:ascii="Tahoma" w:hAnsi="Tahoma" w:cs="Tahoma"/>
      <w:sz w:val="16"/>
      <w:szCs w:val="16"/>
    </w:rPr>
  </w:style>
  <w:style w:type="character" w:styleId="Hyperlink">
    <w:name w:val="Hyperlink"/>
    <w:basedOn w:val="DefaultParagraphFont"/>
    <w:uiPriority w:val="99"/>
    <w:unhideWhenUsed/>
    <w:rsid w:val="00841CA8"/>
    <w:rPr>
      <w:color w:val="467886" w:themeColor="hyperlink"/>
      <w:u w:val="single"/>
    </w:rPr>
  </w:style>
  <w:style w:type="character" w:customStyle="1" w:styleId="UnresolvedMention1">
    <w:name w:val="Unresolved Mention1"/>
    <w:basedOn w:val="DefaultParagraphFont"/>
    <w:uiPriority w:val="99"/>
    <w:semiHidden/>
    <w:unhideWhenUsed/>
    <w:rsid w:val="00990C1E"/>
    <w:rPr>
      <w:color w:val="605E5C"/>
      <w:shd w:val="clear" w:color="auto" w:fill="E1DFDD"/>
    </w:rPr>
  </w:style>
  <w:style w:type="paragraph" w:styleId="Header">
    <w:name w:val="header"/>
    <w:basedOn w:val="Normal"/>
    <w:link w:val="HeaderChar"/>
    <w:uiPriority w:val="99"/>
    <w:unhideWhenUsed/>
    <w:rsid w:val="00612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2E3"/>
  </w:style>
  <w:style w:type="paragraph" w:styleId="Footer">
    <w:name w:val="footer"/>
    <w:basedOn w:val="Normal"/>
    <w:link w:val="FooterChar"/>
    <w:uiPriority w:val="99"/>
    <w:unhideWhenUsed/>
    <w:rsid w:val="00612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2E3"/>
  </w:style>
  <w:style w:type="paragraph" w:styleId="NoSpacing">
    <w:name w:val="No Spacing"/>
    <w:uiPriority w:val="1"/>
    <w:qFormat/>
    <w:rsid w:val="00F3048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5813">
      <w:bodyDiv w:val="1"/>
      <w:marLeft w:val="0"/>
      <w:marRight w:val="0"/>
      <w:marTop w:val="0"/>
      <w:marBottom w:val="0"/>
      <w:divBdr>
        <w:top w:val="none" w:sz="0" w:space="0" w:color="auto"/>
        <w:left w:val="none" w:sz="0" w:space="0" w:color="auto"/>
        <w:bottom w:val="none" w:sz="0" w:space="0" w:color="auto"/>
        <w:right w:val="none" w:sz="0" w:space="0" w:color="auto"/>
      </w:divBdr>
    </w:div>
    <w:div w:id="214977679">
      <w:bodyDiv w:val="1"/>
      <w:marLeft w:val="0"/>
      <w:marRight w:val="0"/>
      <w:marTop w:val="0"/>
      <w:marBottom w:val="0"/>
      <w:divBdr>
        <w:top w:val="none" w:sz="0" w:space="0" w:color="auto"/>
        <w:left w:val="none" w:sz="0" w:space="0" w:color="auto"/>
        <w:bottom w:val="none" w:sz="0" w:space="0" w:color="auto"/>
        <w:right w:val="none" w:sz="0" w:space="0" w:color="auto"/>
      </w:divBdr>
    </w:div>
    <w:div w:id="268896464">
      <w:bodyDiv w:val="1"/>
      <w:marLeft w:val="0"/>
      <w:marRight w:val="0"/>
      <w:marTop w:val="0"/>
      <w:marBottom w:val="0"/>
      <w:divBdr>
        <w:top w:val="none" w:sz="0" w:space="0" w:color="auto"/>
        <w:left w:val="none" w:sz="0" w:space="0" w:color="auto"/>
        <w:bottom w:val="none" w:sz="0" w:space="0" w:color="auto"/>
        <w:right w:val="none" w:sz="0" w:space="0" w:color="auto"/>
      </w:divBdr>
    </w:div>
    <w:div w:id="307515756">
      <w:bodyDiv w:val="1"/>
      <w:marLeft w:val="0"/>
      <w:marRight w:val="0"/>
      <w:marTop w:val="0"/>
      <w:marBottom w:val="0"/>
      <w:divBdr>
        <w:top w:val="none" w:sz="0" w:space="0" w:color="auto"/>
        <w:left w:val="none" w:sz="0" w:space="0" w:color="auto"/>
        <w:bottom w:val="none" w:sz="0" w:space="0" w:color="auto"/>
        <w:right w:val="none" w:sz="0" w:space="0" w:color="auto"/>
      </w:divBdr>
    </w:div>
    <w:div w:id="324626447">
      <w:bodyDiv w:val="1"/>
      <w:marLeft w:val="0"/>
      <w:marRight w:val="0"/>
      <w:marTop w:val="0"/>
      <w:marBottom w:val="0"/>
      <w:divBdr>
        <w:top w:val="none" w:sz="0" w:space="0" w:color="auto"/>
        <w:left w:val="none" w:sz="0" w:space="0" w:color="auto"/>
        <w:bottom w:val="none" w:sz="0" w:space="0" w:color="auto"/>
        <w:right w:val="none" w:sz="0" w:space="0" w:color="auto"/>
      </w:divBdr>
    </w:div>
    <w:div w:id="355499922">
      <w:bodyDiv w:val="1"/>
      <w:marLeft w:val="0"/>
      <w:marRight w:val="0"/>
      <w:marTop w:val="0"/>
      <w:marBottom w:val="0"/>
      <w:divBdr>
        <w:top w:val="none" w:sz="0" w:space="0" w:color="auto"/>
        <w:left w:val="none" w:sz="0" w:space="0" w:color="auto"/>
        <w:bottom w:val="none" w:sz="0" w:space="0" w:color="auto"/>
        <w:right w:val="none" w:sz="0" w:space="0" w:color="auto"/>
      </w:divBdr>
    </w:div>
    <w:div w:id="662465369">
      <w:bodyDiv w:val="1"/>
      <w:marLeft w:val="0"/>
      <w:marRight w:val="0"/>
      <w:marTop w:val="0"/>
      <w:marBottom w:val="0"/>
      <w:divBdr>
        <w:top w:val="none" w:sz="0" w:space="0" w:color="auto"/>
        <w:left w:val="none" w:sz="0" w:space="0" w:color="auto"/>
        <w:bottom w:val="none" w:sz="0" w:space="0" w:color="auto"/>
        <w:right w:val="none" w:sz="0" w:space="0" w:color="auto"/>
      </w:divBdr>
    </w:div>
    <w:div w:id="685978602">
      <w:bodyDiv w:val="1"/>
      <w:marLeft w:val="0"/>
      <w:marRight w:val="0"/>
      <w:marTop w:val="0"/>
      <w:marBottom w:val="0"/>
      <w:divBdr>
        <w:top w:val="none" w:sz="0" w:space="0" w:color="auto"/>
        <w:left w:val="none" w:sz="0" w:space="0" w:color="auto"/>
        <w:bottom w:val="none" w:sz="0" w:space="0" w:color="auto"/>
        <w:right w:val="none" w:sz="0" w:space="0" w:color="auto"/>
      </w:divBdr>
    </w:div>
    <w:div w:id="939684771">
      <w:bodyDiv w:val="1"/>
      <w:marLeft w:val="0"/>
      <w:marRight w:val="0"/>
      <w:marTop w:val="0"/>
      <w:marBottom w:val="0"/>
      <w:divBdr>
        <w:top w:val="none" w:sz="0" w:space="0" w:color="auto"/>
        <w:left w:val="none" w:sz="0" w:space="0" w:color="auto"/>
        <w:bottom w:val="none" w:sz="0" w:space="0" w:color="auto"/>
        <w:right w:val="none" w:sz="0" w:space="0" w:color="auto"/>
      </w:divBdr>
    </w:div>
    <w:div w:id="1041638659">
      <w:bodyDiv w:val="1"/>
      <w:marLeft w:val="0"/>
      <w:marRight w:val="0"/>
      <w:marTop w:val="0"/>
      <w:marBottom w:val="0"/>
      <w:divBdr>
        <w:top w:val="none" w:sz="0" w:space="0" w:color="auto"/>
        <w:left w:val="none" w:sz="0" w:space="0" w:color="auto"/>
        <w:bottom w:val="none" w:sz="0" w:space="0" w:color="auto"/>
        <w:right w:val="none" w:sz="0" w:space="0" w:color="auto"/>
      </w:divBdr>
    </w:div>
    <w:div w:id="1050300108">
      <w:bodyDiv w:val="1"/>
      <w:marLeft w:val="0"/>
      <w:marRight w:val="0"/>
      <w:marTop w:val="0"/>
      <w:marBottom w:val="0"/>
      <w:divBdr>
        <w:top w:val="none" w:sz="0" w:space="0" w:color="auto"/>
        <w:left w:val="none" w:sz="0" w:space="0" w:color="auto"/>
        <w:bottom w:val="none" w:sz="0" w:space="0" w:color="auto"/>
        <w:right w:val="none" w:sz="0" w:space="0" w:color="auto"/>
      </w:divBdr>
    </w:div>
    <w:div w:id="1090857520">
      <w:bodyDiv w:val="1"/>
      <w:marLeft w:val="0"/>
      <w:marRight w:val="0"/>
      <w:marTop w:val="0"/>
      <w:marBottom w:val="0"/>
      <w:divBdr>
        <w:top w:val="none" w:sz="0" w:space="0" w:color="auto"/>
        <w:left w:val="none" w:sz="0" w:space="0" w:color="auto"/>
        <w:bottom w:val="none" w:sz="0" w:space="0" w:color="auto"/>
        <w:right w:val="none" w:sz="0" w:space="0" w:color="auto"/>
      </w:divBdr>
    </w:div>
    <w:div w:id="1155147559">
      <w:bodyDiv w:val="1"/>
      <w:marLeft w:val="0"/>
      <w:marRight w:val="0"/>
      <w:marTop w:val="0"/>
      <w:marBottom w:val="0"/>
      <w:divBdr>
        <w:top w:val="none" w:sz="0" w:space="0" w:color="auto"/>
        <w:left w:val="none" w:sz="0" w:space="0" w:color="auto"/>
        <w:bottom w:val="none" w:sz="0" w:space="0" w:color="auto"/>
        <w:right w:val="none" w:sz="0" w:space="0" w:color="auto"/>
      </w:divBdr>
    </w:div>
    <w:div w:id="1273702739">
      <w:bodyDiv w:val="1"/>
      <w:marLeft w:val="0"/>
      <w:marRight w:val="0"/>
      <w:marTop w:val="0"/>
      <w:marBottom w:val="0"/>
      <w:divBdr>
        <w:top w:val="none" w:sz="0" w:space="0" w:color="auto"/>
        <w:left w:val="none" w:sz="0" w:space="0" w:color="auto"/>
        <w:bottom w:val="none" w:sz="0" w:space="0" w:color="auto"/>
        <w:right w:val="none" w:sz="0" w:space="0" w:color="auto"/>
      </w:divBdr>
    </w:div>
    <w:div w:id="1309431342">
      <w:bodyDiv w:val="1"/>
      <w:marLeft w:val="0"/>
      <w:marRight w:val="0"/>
      <w:marTop w:val="0"/>
      <w:marBottom w:val="0"/>
      <w:divBdr>
        <w:top w:val="none" w:sz="0" w:space="0" w:color="auto"/>
        <w:left w:val="none" w:sz="0" w:space="0" w:color="auto"/>
        <w:bottom w:val="none" w:sz="0" w:space="0" w:color="auto"/>
        <w:right w:val="none" w:sz="0" w:space="0" w:color="auto"/>
      </w:divBdr>
    </w:div>
    <w:div w:id="1343162243">
      <w:bodyDiv w:val="1"/>
      <w:marLeft w:val="0"/>
      <w:marRight w:val="0"/>
      <w:marTop w:val="0"/>
      <w:marBottom w:val="0"/>
      <w:divBdr>
        <w:top w:val="none" w:sz="0" w:space="0" w:color="auto"/>
        <w:left w:val="none" w:sz="0" w:space="0" w:color="auto"/>
        <w:bottom w:val="none" w:sz="0" w:space="0" w:color="auto"/>
        <w:right w:val="none" w:sz="0" w:space="0" w:color="auto"/>
      </w:divBdr>
    </w:div>
    <w:div w:id="1465851767">
      <w:bodyDiv w:val="1"/>
      <w:marLeft w:val="0"/>
      <w:marRight w:val="0"/>
      <w:marTop w:val="0"/>
      <w:marBottom w:val="0"/>
      <w:divBdr>
        <w:top w:val="none" w:sz="0" w:space="0" w:color="auto"/>
        <w:left w:val="none" w:sz="0" w:space="0" w:color="auto"/>
        <w:bottom w:val="none" w:sz="0" w:space="0" w:color="auto"/>
        <w:right w:val="none" w:sz="0" w:space="0" w:color="auto"/>
      </w:divBdr>
    </w:div>
    <w:div w:id="1475680171">
      <w:bodyDiv w:val="1"/>
      <w:marLeft w:val="0"/>
      <w:marRight w:val="0"/>
      <w:marTop w:val="0"/>
      <w:marBottom w:val="0"/>
      <w:divBdr>
        <w:top w:val="none" w:sz="0" w:space="0" w:color="auto"/>
        <w:left w:val="none" w:sz="0" w:space="0" w:color="auto"/>
        <w:bottom w:val="none" w:sz="0" w:space="0" w:color="auto"/>
        <w:right w:val="none" w:sz="0" w:space="0" w:color="auto"/>
      </w:divBdr>
    </w:div>
    <w:div w:id="1515920442">
      <w:bodyDiv w:val="1"/>
      <w:marLeft w:val="0"/>
      <w:marRight w:val="0"/>
      <w:marTop w:val="0"/>
      <w:marBottom w:val="0"/>
      <w:divBdr>
        <w:top w:val="none" w:sz="0" w:space="0" w:color="auto"/>
        <w:left w:val="none" w:sz="0" w:space="0" w:color="auto"/>
        <w:bottom w:val="none" w:sz="0" w:space="0" w:color="auto"/>
        <w:right w:val="none" w:sz="0" w:space="0" w:color="auto"/>
      </w:divBdr>
    </w:div>
    <w:div w:id="1651251763">
      <w:bodyDiv w:val="1"/>
      <w:marLeft w:val="0"/>
      <w:marRight w:val="0"/>
      <w:marTop w:val="0"/>
      <w:marBottom w:val="0"/>
      <w:divBdr>
        <w:top w:val="none" w:sz="0" w:space="0" w:color="auto"/>
        <w:left w:val="none" w:sz="0" w:space="0" w:color="auto"/>
        <w:bottom w:val="none" w:sz="0" w:space="0" w:color="auto"/>
        <w:right w:val="none" w:sz="0" w:space="0" w:color="auto"/>
      </w:divBdr>
    </w:div>
    <w:div w:id="1700937151">
      <w:bodyDiv w:val="1"/>
      <w:marLeft w:val="0"/>
      <w:marRight w:val="0"/>
      <w:marTop w:val="0"/>
      <w:marBottom w:val="0"/>
      <w:divBdr>
        <w:top w:val="none" w:sz="0" w:space="0" w:color="auto"/>
        <w:left w:val="none" w:sz="0" w:space="0" w:color="auto"/>
        <w:bottom w:val="none" w:sz="0" w:space="0" w:color="auto"/>
        <w:right w:val="none" w:sz="0" w:space="0" w:color="auto"/>
      </w:divBdr>
    </w:div>
    <w:div w:id="1731004491">
      <w:bodyDiv w:val="1"/>
      <w:marLeft w:val="0"/>
      <w:marRight w:val="0"/>
      <w:marTop w:val="0"/>
      <w:marBottom w:val="0"/>
      <w:divBdr>
        <w:top w:val="none" w:sz="0" w:space="0" w:color="auto"/>
        <w:left w:val="none" w:sz="0" w:space="0" w:color="auto"/>
        <w:bottom w:val="none" w:sz="0" w:space="0" w:color="auto"/>
        <w:right w:val="none" w:sz="0" w:space="0" w:color="auto"/>
      </w:divBdr>
    </w:div>
    <w:div w:id="1759057131">
      <w:bodyDiv w:val="1"/>
      <w:marLeft w:val="0"/>
      <w:marRight w:val="0"/>
      <w:marTop w:val="0"/>
      <w:marBottom w:val="0"/>
      <w:divBdr>
        <w:top w:val="none" w:sz="0" w:space="0" w:color="auto"/>
        <w:left w:val="none" w:sz="0" w:space="0" w:color="auto"/>
        <w:bottom w:val="none" w:sz="0" w:space="0" w:color="auto"/>
        <w:right w:val="none" w:sz="0" w:space="0" w:color="auto"/>
      </w:divBdr>
    </w:div>
    <w:div w:id="1766874845">
      <w:bodyDiv w:val="1"/>
      <w:marLeft w:val="0"/>
      <w:marRight w:val="0"/>
      <w:marTop w:val="0"/>
      <w:marBottom w:val="0"/>
      <w:divBdr>
        <w:top w:val="none" w:sz="0" w:space="0" w:color="auto"/>
        <w:left w:val="none" w:sz="0" w:space="0" w:color="auto"/>
        <w:bottom w:val="none" w:sz="0" w:space="0" w:color="auto"/>
        <w:right w:val="none" w:sz="0" w:space="0" w:color="auto"/>
      </w:divBdr>
    </w:div>
    <w:div w:id="1837108872">
      <w:bodyDiv w:val="1"/>
      <w:marLeft w:val="0"/>
      <w:marRight w:val="0"/>
      <w:marTop w:val="0"/>
      <w:marBottom w:val="0"/>
      <w:divBdr>
        <w:top w:val="none" w:sz="0" w:space="0" w:color="auto"/>
        <w:left w:val="none" w:sz="0" w:space="0" w:color="auto"/>
        <w:bottom w:val="none" w:sz="0" w:space="0" w:color="auto"/>
        <w:right w:val="none" w:sz="0" w:space="0" w:color="auto"/>
      </w:divBdr>
    </w:div>
    <w:div w:id="1844975735">
      <w:bodyDiv w:val="1"/>
      <w:marLeft w:val="0"/>
      <w:marRight w:val="0"/>
      <w:marTop w:val="0"/>
      <w:marBottom w:val="0"/>
      <w:divBdr>
        <w:top w:val="none" w:sz="0" w:space="0" w:color="auto"/>
        <w:left w:val="none" w:sz="0" w:space="0" w:color="auto"/>
        <w:bottom w:val="none" w:sz="0" w:space="0" w:color="auto"/>
        <w:right w:val="none" w:sz="0" w:space="0" w:color="auto"/>
      </w:divBdr>
    </w:div>
    <w:div w:id="205484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IN"/>
              <a:t>Innovativeness</a:t>
            </a:r>
          </a:p>
        </c:rich>
      </c:tx>
      <c:overlay val="0"/>
      <c:spPr>
        <a:noFill/>
        <a:ln>
          <a:noFill/>
        </a:ln>
        <a:effectLst/>
      </c:spPr>
    </c:title>
    <c:autoTitleDeleted val="0"/>
    <c:plotArea>
      <c:layout/>
      <c:pieChart>
        <c:varyColors val="1"/>
        <c:ser>
          <c:idx val="0"/>
          <c:order val="0"/>
          <c:tx>
            <c:strRef>
              <c:f>Sheet1!$B$1</c:f>
              <c:strCache>
                <c:ptCount val="1"/>
                <c:pt idx="0">
                  <c:v>Column1</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2-617D-4FE8-BD4C-430B14BBAF77}"/>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0702-4454-A9C3-3B2AF30B5134}"/>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0702-4454-A9C3-3B2AF30B5134}"/>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high</c:v>
                </c:pt>
                <c:pt idx="1">
                  <c:v>medium</c:v>
                </c:pt>
                <c:pt idx="2">
                  <c:v>low</c:v>
                </c:pt>
              </c:strCache>
            </c:strRef>
          </c:cat>
          <c:val>
            <c:numRef>
              <c:f>Sheet1!$B$2:$B$4</c:f>
              <c:numCache>
                <c:formatCode>General</c:formatCode>
                <c:ptCount val="3"/>
                <c:pt idx="0">
                  <c:v>20</c:v>
                </c:pt>
                <c:pt idx="1">
                  <c:v>57.5</c:v>
                </c:pt>
                <c:pt idx="2">
                  <c:v>22.5</c:v>
                </c:pt>
              </c:numCache>
            </c:numRef>
          </c:val>
          <c:extLst>
            <c:ext xmlns:c16="http://schemas.microsoft.com/office/drawing/2014/chart" uri="{C3380CC4-5D6E-409C-BE32-E72D297353CC}">
              <c16:uniqueId val="{00000000-617D-4FE8-BD4C-430B14BBAF77}"/>
            </c:ext>
          </c:extLst>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400" b="0" i="0" u="none" strike="noStrike" kern="1200" baseline="0">
                <a:solidFill>
                  <a:schemeClr val="dk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400" b="0" i="0" u="none" strike="noStrike" kern="1200" baseline="0">
                <a:solidFill>
                  <a:schemeClr val="dk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1400" b="0" i="0" u="none" strike="noStrike" kern="1200" baseline="0">
                <a:solidFill>
                  <a:schemeClr val="dk1">
                    <a:lumMod val="65000"/>
                    <a:lumOff val="35000"/>
                  </a:schemeClr>
                </a:solidFill>
                <a:latin typeface="+mn-lt"/>
                <a:ea typeface="+mn-ea"/>
                <a:cs typeface="+mn-cs"/>
              </a:defRPr>
            </a:pPr>
            <a:endParaRPr lang="en-US"/>
          </a:p>
        </c:txPr>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Risk Orientation</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9190-41E3-8D65-5BA8D787A1CE}"/>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9190-41E3-8D65-5BA8D787A1CE}"/>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9190-41E3-8D65-5BA8D787A1CE}"/>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Low</c:v>
                </c:pt>
                <c:pt idx="1">
                  <c:v>Medium</c:v>
                </c:pt>
                <c:pt idx="2">
                  <c:v>High</c:v>
                </c:pt>
              </c:strCache>
            </c:strRef>
          </c:cat>
          <c:val>
            <c:numRef>
              <c:f>Sheet1!$B$2:$B$4</c:f>
              <c:numCache>
                <c:formatCode>General</c:formatCode>
                <c:ptCount val="3"/>
                <c:pt idx="0">
                  <c:v>30</c:v>
                </c:pt>
                <c:pt idx="1">
                  <c:v>55.84</c:v>
                </c:pt>
                <c:pt idx="2">
                  <c:v>14.16</c:v>
                </c:pt>
              </c:numCache>
            </c:numRef>
          </c:val>
          <c:extLst>
            <c:ext xmlns:c16="http://schemas.microsoft.com/office/drawing/2014/chart" uri="{C3380CC4-5D6E-409C-BE32-E72D297353CC}">
              <c16:uniqueId val="{00000000-FF1C-4B31-9F1E-D46F02CEDC5A}"/>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14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IN"/>
              <a:t>Information</a:t>
            </a:r>
            <a:r>
              <a:rPr lang="en-IN" baseline="0"/>
              <a:t> Source Utilization</a:t>
            </a:r>
            <a:endParaRPr lang="en-IN"/>
          </a:p>
        </c:rich>
      </c:tx>
      <c:overlay val="0"/>
      <c:spPr>
        <a:noFill/>
        <a:ln>
          <a:noFill/>
        </a:ln>
        <a:effectLst/>
      </c:spPr>
    </c:title>
    <c:autoTitleDeleted val="0"/>
    <c:plotArea>
      <c:layout/>
      <c:pieChart>
        <c:varyColors val="1"/>
        <c:ser>
          <c:idx val="0"/>
          <c:order val="0"/>
          <c:tx>
            <c:strRef>
              <c:f>Sheet1!$B$1</c:f>
              <c:strCache>
                <c:ptCount val="1"/>
                <c:pt idx="0">
                  <c:v>Risk Orientation</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73B-4E96-AA50-64C797FB0C07}"/>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73B-4E96-AA50-64C797FB0C07}"/>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C73B-4E96-AA50-64C797FB0C07}"/>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Low</c:v>
                </c:pt>
                <c:pt idx="1">
                  <c:v>Medium</c:v>
                </c:pt>
                <c:pt idx="2">
                  <c:v>High</c:v>
                </c:pt>
              </c:strCache>
            </c:strRef>
          </c:cat>
          <c:val>
            <c:numRef>
              <c:f>Sheet1!$B$2:$B$4</c:f>
              <c:numCache>
                <c:formatCode>0.00</c:formatCode>
                <c:ptCount val="3"/>
                <c:pt idx="0" formatCode="General">
                  <c:v>9.17</c:v>
                </c:pt>
                <c:pt idx="1">
                  <c:v>55</c:v>
                </c:pt>
                <c:pt idx="2" formatCode="General">
                  <c:v>35.83</c:v>
                </c:pt>
              </c:numCache>
            </c:numRef>
          </c:val>
          <c:extLst>
            <c:ext xmlns:c16="http://schemas.microsoft.com/office/drawing/2014/chart" uri="{C3380CC4-5D6E-409C-BE32-E72D297353CC}">
              <c16:uniqueId val="{00000006-C73B-4E96-AA50-64C797FB0C07}"/>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14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12</Pages>
  <Words>3185</Words>
  <Characters>18161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ActSoftware</dc:creator>
  <cp:keywords/>
  <dc:description/>
  <cp:lastModifiedBy>SDI 1089</cp:lastModifiedBy>
  <cp:revision>144</cp:revision>
  <dcterms:created xsi:type="dcterms:W3CDTF">2024-09-06T05:16:00Z</dcterms:created>
  <dcterms:modified xsi:type="dcterms:W3CDTF">2026-03-25T08:02:00Z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4dbaf761-b462-4c2b-9292-5484367746f4</vt:lpwstr>
  </property>
</Properties>
</file>