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A60" w:rsidRDefault="008E635F" w:rsidP="00A54647">
      <w:pPr>
        <w:spacing w:before="240" w:line="276" w:lineRule="auto"/>
        <w:jc w:val="center"/>
        <w:rPr>
          <w:rFonts w:ascii="Times New Roman" w:hAnsi="Times New Roman" w:cs="Times New Roman"/>
          <w:b/>
        </w:rPr>
      </w:pPr>
      <w:bookmarkStart w:id="0" w:name="modeling_the_impact_of_disaggrega_fe6569"/>
      <w:r w:rsidRPr="008E635F">
        <w:rPr>
          <w:rFonts w:ascii="Times New Roman" w:hAnsi="Times New Roman" w:cs="Times New Roman"/>
          <w:b/>
        </w:rPr>
        <w:t>Original Research Article</w:t>
      </w:r>
    </w:p>
    <w:bookmarkEnd w:id="0"/>
    <w:p w:rsidR="00155896" w:rsidRDefault="00155896" w:rsidP="00A54647">
      <w:pPr>
        <w:spacing w:before="240" w:line="276" w:lineRule="auto"/>
        <w:jc w:val="center"/>
        <w:rPr>
          <w:rFonts w:ascii="Times New Roman" w:hAnsi="Times New Roman" w:cs="Times New Roman"/>
          <w:b/>
          <w:bCs/>
        </w:rPr>
      </w:pPr>
      <w:r w:rsidRPr="00155896">
        <w:rPr>
          <w:rFonts w:ascii="Times New Roman" w:hAnsi="Times New Roman" w:cs="Times New Roman"/>
          <w:b/>
          <w:bCs/>
        </w:rPr>
        <w:t>Disaggregated Agricultural Output and Economic Growth in Nigeria: Evidence from Distributional Regression Models</w:t>
      </w:r>
    </w:p>
    <w:p w:rsidR="00484F0C" w:rsidRDefault="00484F0C" w:rsidP="00E11B49">
      <w:pPr>
        <w:jc w:val="both"/>
        <w:rPr>
          <w:rFonts w:ascii="Times New Roman" w:hAnsi="Times New Roman" w:cs="Times New Roman"/>
          <w:b/>
          <w:bCs/>
        </w:rPr>
      </w:pPr>
    </w:p>
    <w:p w:rsidR="00774387" w:rsidRPr="006B1209" w:rsidRDefault="00774387" w:rsidP="00E11B49">
      <w:pPr>
        <w:jc w:val="both"/>
        <w:rPr>
          <w:rFonts w:ascii="Times New Roman" w:hAnsi="Times New Roman" w:cs="Times New Roman"/>
          <w:b/>
          <w:bCs/>
        </w:rPr>
      </w:pPr>
      <w:r w:rsidRPr="006B1209">
        <w:rPr>
          <w:rFonts w:ascii="Times New Roman" w:hAnsi="Times New Roman" w:cs="Times New Roman"/>
          <w:b/>
          <w:bCs/>
        </w:rPr>
        <w:t>Abstract</w:t>
      </w:r>
    </w:p>
    <w:p w:rsidR="00A53DD1" w:rsidRPr="00A53DD1" w:rsidRDefault="00754E04" w:rsidP="00A53DD1">
      <w:pPr>
        <w:jc w:val="both"/>
        <w:rPr>
          <w:rFonts w:ascii="Times New Roman" w:eastAsia="Times New Roman" w:hAnsi="Times New Roman" w:cs="Times New Roman"/>
        </w:rPr>
      </w:pPr>
      <w:r>
        <w:rPr>
          <w:rFonts w:ascii="Times New Roman" w:hAnsi="Times New Roman" w:cs="Times New Roman"/>
        </w:rPr>
        <w:t>T</w:t>
      </w:r>
      <w:r w:rsidR="00774387" w:rsidRPr="00380A42">
        <w:rPr>
          <w:rFonts w:ascii="Times New Roman" w:hAnsi="Times New Roman" w:cs="Times New Roman"/>
        </w:rPr>
        <w:t xml:space="preserve">he role of agriculture in spurring economic growth </w:t>
      </w:r>
      <w:r w:rsidR="00E40FA3">
        <w:rPr>
          <w:rFonts w:ascii="Times New Roman" w:hAnsi="Times New Roman" w:cs="Times New Roman"/>
        </w:rPr>
        <w:t>is often treated as</w:t>
      </w:r>
      <w:r w:rsidR="00774387" w:rsidRPr="00380A42">
        <w:rPr>
          <w:rFonts w:ascii="Times New Roman" w:hAnsi="Times New Roman" w:cs="Times New Roman"/>
        </w:rPr>
        <w:t xml:space="preserve"> a homogenous industry and modeled under limiting Gaussian conditions. These strategies blur heterogeneity in sub sectors of agriculture and do not reflect the asymmetric and volatile character of growth in resource-dependent economies such as Nigeria. Th</w:t>
      </w:r>
      <w:r>
        <w:rPr>
          <w:rFonts w:ascii="Times New Roman" w:hAnsi="Times New Roman" w:cs="Times New Roman"/>
        </w:rPr>
        <w:t>is</w:t>
      </w:r>
      <w:r w:rsidR="00774387" w:rsidRPr="00380A42">
        <w:rPr>
          <w:rFonts w:ascii="Times New Roman" w:hAnsi="Times New Roman" w:cs="Times New Roman"/>
        </w:rPr>
        <w:t xml:space="preserve"> paper analyzes the impacts of disaggregated agricultural subsector output on the economic growth of Nigeria, and evaluates the ability of both the flexible distributional regression and the traditional normal multiple regression to make better inferences. The study </w:t>
      </w:r>
      <w:r w:rsidR="00AB6E8C">
        <w:rPr>
          <w:rFonts w:ascii="Times New Roman" w:hAnsi="Times New Roman" w:cs="Times New Roman"/>
        </w:rPr>
        <w:t>models</w:t>
      </w:r>
      <w:r w:rsidR="00774387" w:rsidRPr="00380A42">
        <w:rPr>
          <w:rFonts w:ascii="Times New Roman" w:hAnsi="Times New Roman" w:cs="Times New Roman"/>
        </w:rPr>
        <w:t xml:space="preserve"> the real GDP using </w:t>
      </w:r>
      <w:r>
        <w:rPr>
          <w:rFonts w:ascii="Times New Roman" w:hAnsi="Times New Roman" w:cs="Times New Roman"/>
        </w:rPr>
        <w:t xml:space="preserve">60 </w:t>
      </w:r>
      <w:r w:rsidR="00774387" w:rsidRPr="00380A42">
        <w:rPr>
          <w:rFonts w:ascii="Times New Roman" w:hAnsi="Times New Roman" w:cs="Times New Roman"/>
        </w:rPr>
        <w:t xml:space="preserve">quarterly data between 2010 and 2024 to determine </w:t>
      </w:r>
      <w:r w:rsidR="00AB6E8C">
        <w:rPr>
          <w:rFonts w:ascii="Times New Roman" w:hAnsi="Times New Roman" w:cs="Times New Roman"/>
        </w:rPr>
        <w:t>its</w:t>
      </w:r>
      <w:r w:rsidR="00774387" w:rsidRPr="00380A42">
        <w:rPr>
          <w:rFonts w:ascii="Times New Roman" w:hAnsi="Times New Roman" w:cs="Times New Roman"/>
        </w:rPr>
        <w:t xml:space="preserve"> relationship between crop, livestock, forestry, and fisheries output.</w:t>
      </w:r>
      <w:r w:rsidR="00AB6E8C">
        <w:rPr>
          <w:rFonts w:ascii="Times New Roman" w:hAnsi="Times New Roman" w:cs="Times New Roman"/>
        </w:rPr>
        <w:t xml:space="preserve"> </w:t>
      </w:r>
      <w:r w:rsidR="00774387" w:rsidRPr="00380A42">
        <w:rPr>
          <w:rFonts w:ascii="Times New Roman" w:hAnsi="Times New Roman" w:cs="Times New Roman"/>
        </w:rPr>
        <w:t xml:space="preserve">A Generalized Additive Model of Location, Scale and Shape (GAMLSS) is utilized to enable agricultural subsectors to not only influence the conditional mean of the growth, but the variance of the growth and the distributional shape. The performance of the models is compared to a reference Gaussian regression with the information criteria and diagnostic tests. The findings indicate that </w:t>
      </w:r>
      <w:r w:rsidR="00E40FA3">
        <w:rPr>
          <w:rFonts w:ascii="Times New Roman" w:hAnsi="Times New Roman" w:cs="Times New Roman"/>
        </w:rPr>
        <w:t>p</w:t>
      </w:r>
      <w:r w:rsidR="00774387" w:rsidRPr="00380A42">
        <w:rPr>
          <w:rFonts w:ascii="Times New Roman" w:hAnsi="Times New Roman" w:cs="Times New Roman"/>
        </w:rPr>
        <w:t xml:space="preserve">roduction of crops </w:t>
      </w:r>
      <w:r w:rsidR="00E40FA3">
        <w:rPr>
          <w:rFonts w:ascii="Times New Roman" w:hAnsi="Times New Roman" w:cs="Times New Roman"/>
        </w:rPr>
        <w:t>is</w:t>
      </w:r>
      <w:r w:rsidR="00774387" w:rsidRPr="00380A42">
        <w:rPr>
          <w:rFonts w:ascii="Times New Roman" w:hAnsi="Times New Roman" w:cs="Times New Roman"/>
        </w:rPr>
        <w:t xml:space="preserve"> </w:t>
      </w:r>
      <w:r w:rsidR="00D7767E">
        <w:rPr>
          <w:rFonts w:ascii="Times New Roman" w:hAnsi="Times New Roman" w:cs="Times New Roman"/>
        </w:rPr>
        <w:t>an</w:t>
      </w:r>
      <w:r w:rsidR="00774387" w:rsidRPr="00380A42">
        <w:rPr>
          <w:rFonts w:ascii="Times New Roman" w:hAnsi="Times New Roman" w:cs="Times New Roman"/>
        </w:rPr>
        <w:t xml:space="preserve"> important driver of growth followed by forestry with a minor contribution. There are weak relations</w:t>
      </w:r>
      <w:r w:rsidR="00D7767E">
        <w:rPr>
          <w:rFonts w:ascii="Times New Roman" w:hAnsi="Times New Roman" w:cs="Times New Roman"/>
        </w:rPr>
        <w:t>hips</w:t>
      </w:r>
      <w:r w:rsidR="00774387" w:rsidRPr="00380A42">
        <w:rPr>
          <w:rFonts w:ascii="Times New Roman" w:hAnsi="Times New Roman" w:cs="Times New Roman"/>
        </w:rPr>
        <w:t xml:space="preserve"> between livestock and fisheries and aggregate output. The heterogeneous models that use heavy-tailed and asymmetric distributions perform better in comparison to the Gaussian specification, which </w:t>
      </w:r>
      <w:r w:rsidR="00AB6E8C">
        <w:rPr>
          <w:rFonts w:ascii="Times New Roman" w:hAnsi="Times New Roman" w:cs="Times New Roman"/>
        </w:rPr>
        <w:t>indicates</w:t>
      </w:r>
      <w:r w:rsidR="00774387" w:rsidRPr="00380A42">
        <w:rPr>
          <w:rFonts w:ascii="Times New Roman" w:hAnsi="Times New Roman" w:cs="Times New Roman"/>
        </w:rPr>
        <w:t xml:space="preserve"> that the growth process in Nigeria is volatile and asymmetric.</w:t>
      </w:r>
      <w:r w:rsidR="00A53DD1">
        <w:rPr>
          <w:rFonts w:ascii="Times New Roman" w:hAnsi="Times New Roman" w:cs="Times New Roman"/>
        </w:rPr>
        <w:t xml:space="preserve"> </w:t>
      </w:r>
      <w:r w:rsidR="00A53DD1" w:rsidRPr="00A53DD1">
        <w:rPr>
          <w:rFonts w:ascii="Times New Roman" w:eastAsia="Times New Roman" w:hAnsi="Times New Roman" w:cs="Times New Roman"/>
        </w:rPr>
        <w:t>The study recommends renewed policy efforts targeted at agricultural modernization, infrastructural development, and sectoral stabilization to enhance agriculture’s contribution to economic growth.</w:t>
      </w:r>
    </w:p>
    <w:p w:rsidR="00A53DD1" w:rsidRDefault="00A53DD1" w:rsidP="00E11B49">
      <w:pPr>
        <w:jc w:val="both"/>
        <w:rPr>
          <w:rFonts w:ascii="Times New Roman" w:hAnsi="Times New Roman" w:cs="Times New Roman"/>
        </w:rPr>
      </w:pPr>
    </w:p>
    <w:p w:rsidR="00774387" w:rsidRPr="00380A42" w:rsidRDefault="00774387" w:rsidP="00E11B49">
      <w:pPr>
        <w:jc w:val="both"/>
        <w:rPr>
          <w:rFonts w:ascii="Times New Roman" w:hAnsi="Times New Roman" w:cs="Times New Roman"/>
        </w:rPr>
      </w:pPr>
      <w:r w:rsidRPr="00B248FA">
        <w:rPr>
          <w:rFonts w:ascii="Times New Roman" w:hAnsi="Times New Roman" w:cs="Times New Roman"/>
          <w:b/>
          <w:bCs/>
        </w:rPr>
        <w:t>Keywords</w:t>
      </w:r>
      <w:r w:rsidRPr="00380A42">
        <w:rPr>
          <w:rFonts w:ascii="Times New Roman" w:hAnsi="Times New Roman" w:cs="Times New Roman"/>
        </w:rPr>
        <w:t>: Agriculture output, Distributional shape, Economic growth, Flexible regression, Volatility.</w:t>
      </w:r>
    </w:p>
    <w:p w:rsidR="00774387" w:rsidRPr="00380A42" w:rsidRDefault="00774387" w:rsidP="00E11B49">
      <w:pPr>
        <w:jc w:val="both"/>
        <w:rPr>
          <w:rFonts w:ascii="Times New Roman" w:hAnsi="Times New Roman" w:cs="Times New Roman"/>
        </w:rPr>
      </w:pPr>
    </w:p>
    <w:p w:rsidR="00774387" w:rsidRPr="00B248FA" w:rsidRDefault="00774387" w:rsidP="00E11B49">
      <w:pPr>
        <w:jc w:val="both"/>
        <w:rPr>
          <w:rFonts w:ascii="Times New Roman" w:hAnsi="Times New Roman" w:cs="Times New Roman"/>
          <w:b/>
          <w:bCs/>
        </w:rPr>
      </w:pPr>
      <w:r w:rsidRPr="00B248FA">
        <w:rPr>
          <w:rFonts w:ascii="Times New Roman" w:hAnsi="Times New Roman" w:cs="Times New Roman"/>
          <w:b/>
          <w:bCs/>
        </w:rPr>
        <w:t>Introduction</w:t>
      </w:r>
    </w:p>
    <w:p w:rsidR="00774387" w:rsidRPr="00380A42" w:rsidRDefault="00774387" w:rsidP="00E11B49">
      <w:pPr>
        <w:jc w:val="both"/>
        <w:rPr>
          <w:rFonts w:ascii="Times New Roman" w:hAnsi="Times New Roman" w:cs="Times New Roman"/>
        </w:rPr>
      </w:pPr>
      <w:r w:rsidRPr="00380A42">
        <w:rPr>
          <w:rFonts w:ascii="Times New Roman" w:hAnsi="Times New Roman" w:cs="Times New Roman"/>
        </w:rPr>
        <w:t xml:space="preserve">The issue of agriculture remains a major economic growth determinant especially in the low- and middle-income economies, which feature a significant portion of the working population, source of revenue, and food provision. </w:t>
      </w:r>
      <w:r w:rsidR="00043D83" w:rsidRPr="00043D83">
        <w:rPr>
          <w:rFonts w:ascii="Times New Roman" w:hAnsi="Times New Roman" w:cs="Times New Roman"/>
          <w:bCs/>
        </w:rPr>
        <w:t xml:space="preserve">Globally, over </w:t>
      </w:r>
      <m:oMath>
        <m:r>
          <w:rPr>
            <w:rFonts w:ascii="Cambria Math" w:hAnsi="Cambria Math" w:cs="Times New Roman"/>
          </w:rPr>
          <m:t>26%</m:t>
        </m:r>
      </m:oMath>
      <w:r w:rsidR="00043D83" w:rsidRPr="00043D83">
        <w:rPr>
          <w:rFonts w:ascii="Times New Roman" w:hAnsi="Times New Roman" w:cs="Times New Roman"/>
          <w:bCs/>
        </w:rPr>
        <w:t xml:space="preserve"> of the world’s labor force engage in agriculture which contributes around </w:t>
      </w:r>
      <m:oMath>
        <m:r>
          <w:rPr>
            <w:rFonts w:ascii="Cambria Math" w:hAnsi="Cambria Math" w:cs="Times New Roman"/>
          </w:rPr>
          <m:t>4%</m:t>
        </m:r>
      </m:oMath>
      <w:r w:rsidR="00043D83" w:rsidRPr="00043D83">
        <w:rPr>
          <w:rFonts w:ascii="Times New Roman" w:hAnsi="Times New Roman" w:cs="Times New Roman"/>
          <w:bCs/>
        </w:rPr>
        <w:t xml:space="preserve"> of the global GDP, </w:t>
      </w:r>
      <w:r w:rsidR="00043D83" w:rsidRPr="00043D83">
        <w:rPr>
          <w:rFonts w:ascii="Times New Roman" w:hAnsi="Times New Roman" w:cs="Times New Roman"/>
        </w:rPr>
        <w:t>and the proportion is increasing drastically in developing countries</w:t>
      </w:r>
      <w:r w:rsidR="00043D83" w:rsidRPr="00043D83">
        <w:rPr>
          <w:rFonts w:ascii="Times New Roman" w:hAnsi="Times New Roman" w:cs="Times New Roman"/>
          <w:bCs/>
        </w:rPr>
        <w:t xml:space="preserve"> (World Bank, 2024).</w:t>
      </w:r>
      <w:r w:rsidR="00043D83" w:rsidRPr="00C61471">
        <w:rPr>
          <w:bCs/>
        </w:rPr>
        <w:t xml:space="preserve"> </w:t>
      </w:r>
      <w:r w:rsidRPr="00380A42">
        <w:rPr>
          <w:rFonts w:ascii="Times New Roman" w:hAnsi="Times New Roman" w:cs="Times New Roman"/>
        </w:rPr>
        <w:t xml:space="preserve">In addition to its direct role in output, agriculture has the effect of affecting macroeconomic stability in terms of food prices, agricultural incomes, and </w:t>
      </w:r>
      <w:r w:rsidRPr="00380A42">
        <w:rPr>
          <w:rFonts w:ascii="Times New Roman" w:hAnsi="Times New Roman" w:cs="Times New Roman"/>
        </w:rPr>
        <w:lastRenderedPageBreak/>
        <w:t>the intersectoral relationships. Agriculture in sub-Saharan Africa is still structurally central although the economic diversification is still taking place. The industry has over half of the total number of employed people and provides 15-35 percent of the GDP in various countries based on resource endowment and structural transformation agendas (FAO, 2025). Empirical studies are becoming prolific in proving that agricultural performance influences not just the long-run growth but in addition growth volatility particularly in the economies that are vulnerable to climate shocks and commodity price changes (Barrios et al., 2010). Nigeria is an illustration of such dynamics. In the first quarter of 2025, agriculture occupies about one-third of the labor force and is 23.33% contribution to the aggregate GDP in real terms, a declined of the previous 64% in the 1960s, less than the contribution of agriculture in the first quarter of 2024 which is 24.04% and 28.68% of the same, respectively (NBS, 2024). Over 85 percent of the agricultural value added consists of crop production, with livestock, forestry, and fisheries still being relatively undeveloped and poorly integrated into the value chain (NBS, 2024). Such structural characteristics imply that aggregate agricultural indicators can hide significant sub-sectoral variations in growth transmission.</w:t>
      </w:r>
    </w:p>
    <w:p w:rsidR="00774387" w:rsidRPr="00380A42" w:rsidRDefault="00774387" w:rsidP="00E11B49">
      <w:pPr>
        <w:jc w:val="both"/>
        <w:rPr>
          <w:rFonts w:ascii="Times New Roman" w:hAnsi="Times New Roman" w:cs="Times New Roman"/>
        </w:rPr>
      </w:pPr>
      <w:r w:rsidRPr="00380A42">
        <w:rPr>
          <w:rFonts w:ascii="Times New Roman" w:hAnsi="Times New Roman" w:cs="Times New Roman"/>
        </w:rPr>
        <w:t>There is an increasing amount of literature that underlines the necessity to divide agriculture into subsectors. Research in both Africa and Asia has repeatedly determined that crop production has the largest growth impacts because of its magnitude, level of employment, and price connections (</w:t>
      </w:r>
      <w:proofErr w:type="spellStart"/>
      <w:r w:rsidRPr="00380A42">
        <w:rPr>
          <w:rFonts w:ascii="Times New Roman" w:hAnsi="Times New Roman" w:cs="Times New Roman"/>
        </w:rPr>
        <w:t>Diao</w:t>
      </w:r>
      <w:proofErr w:type="spellEnd"/>
      <w:r w:rsidRPr="00380A42">
        <w:rPr>
          <w:rFonts w:ascii="Times New Roman" w:hAnsi="Times New Roman" w:cs="Times New Roman"/>
        </w:rPr>
        <w:t xml:space="preserve"> et al., 2010). In comparison, the growth effects of livestock and fisheries are usually weak because they are not highly commercialized and integrated into the value-chain (Tiffin and </w:t>
      </w:r>
      <w:proofErr w:type="spellStart"/>
      <w:r w:rsidRPr="00380A42">
        <w:rPr>
          <w:rFonts w:ascii="Times New Roman" w:hAnsi="Times New Roman" w:cs="Times New Roman"/>
        </w:rPr>
        <w:t>Irz</w:t>
      </w:r>
      <w:proofErr w:type="spellEnd"/>
      <w:r w:rsidRPr="00380A42">
        <w:rPr>
          <w:rFonts w:ascii="Times New Roman" w:hAnsi="Times New Roman" w:cs="Times New Roman"/>
        </w:rPr>
        <w:t>, 2006). In Nigeria, other patterns can be seen in the empirical evidence. The disaggregated results indicate that crop output Granger-causes economic growth, whereas livestock and fisheries impacts are statistically poor or unstable (</w:t>
      </w:r>
      <w:r w:rsidR="00595609">
        <w:rPr>
          <w:rFonts w:ascii="Times New Roman" w:hAnsi="Times New Roman" w:cs="Times New Roman"/>
        </w:rPr>
        <w:t>Gabriel</w:t>
      </w:r>
      <w:r w:rsidRPr="00380A42">
        <w:rPr>
          <w:rFonts w:ascii="Times New Roman" w:hAnsi="Times New Roman" w:cs="Times New Roman"/>
        </w:rPr>
        <w:t xml:space="preserve"> et al., 2022; </w:t>
      </w:r>
      <w:proofErr w:type="spellStart"/>
      <w:r w:rsidRPr="00380A42">
        <w:rPr>
          <w:rFonts w:ascii="Times New Roman" w:hAnsi="Times New Roman" w:cs="Times New Roman"/>
        </w:rPr>
        <w:t>Ehighebolo</w:t>
      </w:r>
      <w:proofErr w:type="spellEnd"/>
      <w:r w:rsidRPr="00380A42">
        <w:rPr>
          <w:rFonts w:ascii="Times New Roman" w:hAnsi="Times New Roman" w:cs="Times New Roman"/>
        </w:rPr>
        <w:t xml:space="preserve">, 2023; </w:t>
      </w:r>
      <w:proofErr w:type="spellStart"/>
      <w:r w:rsidRPr="00380A42">
        <w:rPr>
          <w:rFonts w:ascii="Times New Roman" w:hAnsi="Times New Roman" w:cs="Times New Roman"/>
        </w:rPr>
        <w:t>Onunwo</w:t>
      </w:r>
      <w:proofErr w:type="spellEnd"/>
      <w:r w:rsidRPr="00380A42">
        <w:rPr>
          <w:rFonts w:ascii="Times New Roman" w:hAnsi="Times New Roman" w:cs="Times New Roman"/>
        </w:rPr>
        <w:t xml:space="preserve"> &amp; </w:t>
      </w:r>
      <w:proofErr w:type="spellStart"/>
      <w:r w:rsidRPr="00380A42">
        <w:rPr>
          <w:rFonts w:ascii="Times New Roman" w:hAnsi="Times New Roman" w:cs="Times New Roman"/>
        </w:rPr>
        <w:t>Amadi</w:t>
      </w:r>
      <w:proofErr w:type="spellEnd"/>
      <w:r w:rsidRPr="00380A42">
        <w:rPr>
          <w:rFonts w:ascii="Times New Roman" w:hAnsi="Times New Roman" w:cs="Times New Roman"/>
        </w:rPr>
        <w:t>-Robert, 2022;</w:t>
      </w:r>
      <w:r w:rsidR="00387F18">
        <w:rPr>
          <w:rFonts w:ascii="Times New Roman" w:hAnsi="Times New Roman" w:cs="Times New Roman"/>
        </w:rPr>
        <w:t xml:space="preserve"> </w:t>
      </w:r>
      <w:r w:rsidR="00387F18" w:rsidRPr="00387F18">
        <w:rPr>
          <w:rFonts w:ascii="Times New Roman" w:hAnsi="Times New Roman" w:cs="Times New Roman"/>
          <w:bCs/>
        </w:rPr>
        <w:t>Chukwu</w:t>
      </w:r>
      <w:r w:rsidR="00387F18">
        <w:rPr>
          <w:rFonts w:ascii="Times New Roman" w:hAnsi="Times New Roman" w:cs="Times New Roman"/>
          <w:bCs/>
        </w:rPr>
        <w:t>, 2023;</w:t>
      </w:r>
      <w:r w:rsidRPr="00380A42">
        <w:rPr>
          <w:rFonts w:ascii="Times New Roman" w:hAnsi="Times New Roman" w:cs="Times New Roman"/>
        </w:rPr>
        <w:t xml:space="preserve"> </w:t>
      </w:r>
      <w:proofErr w:type="spellStart"/>
      <w:r w:rsidRPr="00380A42">
        <w:rPr>
          <w:rFonts w:ascii="Times New Roman" w:hAnsi="Times New Roman" w:cs="Times New Roman"/>
        </w:rPr>
        <w:t>Bodam</w:t>
      </w:r>
      <w:proofErr w:type="spellEnd"/>
      <w:r w:rsidRPr="00380A42">
        <w:rPr>
          <w:rFonts w:ascii="Times New Roman" w:hAnsi="Times New Roman" w:cs="Times New Roman"/>
        </w:rPr>
        <w:t xml:space="preserve"> et al., 2025). Yet, such studies are primarily based on linear ARDL or VAR models, which can only allow making inferences about average effects and ignore distributional dynamics. The use of econometrics is increasingly being questioned in approach by methodological advances that question the sufficiency of Gaussian growth models. Growth distributions that are empirical often have skewness, excess kurtosis and time dependent volatility especially in shock prone economies (</w:t>
      </w:r>
      <w:proofErr w:type="spellStart"/>
      <w:r w:rsidRPr="00380A42">
        <w:rPr>
          <w:rFonts w:ascii="Times New Roman" w:hAnsi="Times New Roman" w:cs="Times New Roman"/>
        </w:rPr>
        <w:t>Cuaresma</w:t>
      </w:r>
      <w:proofErr w:type="spellEnd"/>
      <w:r w:rsidRPr="00380A42">
        <w:rPr>
          <w:rFonts w:ascii="Times New Roman" w:hAnsi="Times New Roman" w:cs="Times New Roman"/>
        </w:rPr>
        <w:t xml:space="preserve"> et al., 2014). The higher moments of outcome distribution can be influenced by covariates with the use of nonlinear and distributional models, including smooth transition regressions and GAMLSS (Rigby and Stasinopoulos, 2005). </w:t>
      </w:r>
    </w:p>
    <w:p w:rsidR="00774387" w:rsidRPr="00380A42" w:rsidRDefault="00774387" w:rsidP="00E11B49">
      <w:pPr>
        <w:jc w:val="both"/>
        <w:rPr>
          <w:rFonts w:ascii="Times New Roman" w:hAnsi="Times New Roman" w:cs="Times New Roman"/>
        </w:rPr>
      </w:pPr>
      <w:r w:rsidRPr="00380A42">
        <w:rPr>
          <w:rFonts w:ascii="Times New Roman" w:hAnsi="Times New Roman" w:cs="Times New Roman"/>
        </w:rPr>
        <w:t xml:space="preserve">However, the distributional regression methods have not been exploited in agricultural macroeconomics particularly in Africa even though they have its benefits. There is a growing body of topical empirical research on the use of nonlinear and distribution sensitive modeling of agricultural growth processes. </w:t>
      </w:r>
      <w:r w:rsidR="004A2211" w:rsidRPr="004A2211">
        <w:rPr>
          <w:rFonts w:ascii="Times New Roman" w:hAnsi="Times New Roman" w:cs="Times New Roman"/>
          <w:bCs/>
        </w:rPr>
        <w:t>Aminu</w:t>
      </w:r>
      <w:r w:rsidRPr="00380A42">
        <w:rPr>
          <w:rFonts w:ascii="Times New Roman" w:hAnsi="Times New Roman" w:cs="Times New Roman"/>
        </w:rPr>
        <w:t xml:space="preserve"> et al. (202</w:t>
      </w:r>
      <w:r w:rsidR="004A2211">
        <w:rPr>
          <w:rFonts w:ascii="Times New Roman" w:hAnsi="Times New Roman" w:cs="Times New Roman"/>
        </w:rPr>
        <w:t>4</w:t>
      </w:r>
      <w:r w:rsidRPr="00380A42">
        <w:rPr>
          <w:rFonts w:ascii="Times New Roman" w:hAnsi="Times New Roman" w:cs="Times New Roman"/>
        </w:rPr>
        <w:t>) demonstrate</w:t>
      </w:r>
      <w:r w:rsidR="004A2211">
        <w:rPr>
          <w:rFonts w:ascii="Times New Roman" w:hAnsi="Times New Roman" w:cs="Times New Roman"/>
        </w:rPr>
        <w:t>d</w:t>
      </w:r>
      <w:r w:rsidRPr="00380A42">
        <w:rPr>
          <w:rFonts w:ascii="Times New Roman" w:hAnsi="Times New Roman" w:cs="Times New Roman"/>
        </w:rPr>
        <w:t xml:space="preserve"> that asymmetric macroeconomic impacts of agricultural productivity shocks are evident in the developing economies. The macroeconomic growth stability and poverty reduction has been associated with agricultural structural transformation and productivity growth (Jayne et al., 201</w:t>
      </w:r>
      <w:r w:rsidR="00707802">
        <w:rPr>
          <w:rFonts w:ascii="Times New Roman" w:hAnsi="Times New Roman" w:cs="Times New Roman"/>
        </w:rPr>
        <w:t>4</w:t>
      </w:r>
      <w:r w:rsidRPr="00380A42">
        <w:rPr>
          <w:rFonts w:ascii="Times New Roman" w:hAnsi="Times New Roman" w:cs="Times New Roman"/>
        </w:rPr>
        <w:t xml:space="preserve">; McArthur and McCord, 2023). All these studies emphasize the need to embrace econometric frameworks that have the potential of capturing nonlinear and distributional features of agriculture-growth relationship. </w:t>
      </w:r>
      <w:r w:rsidRPr="00380A42">
        <w:rPr>
          <w:rFonts w:ascii="Times New Roman" w:hAnsi="Times New Roman" w:cs="Times New Roman"/>
        </w:rPr>
        <w:lastRenderedPageBreak/>
        <w:t xml:space="preserve">Non-Gaussian outcomes and heteroskedastic processes are common features of macroeconomic and agricultural data, which have been increasingly appreciated in applied economics through flexible regression models like GAMLSS that can be used to model them (Rigby and Stasinopoulos, 2005). </w:t>
      </w:r>
    </w:p>
    <w:p w:rsidR="00774387" w:rsidRDefault="00774387" w:rsidP="00E11B49">
      <w:pPr>
        <w:jc w:val="both"/>
        <w:rPr>
          <w:rFonts w:ascii="Times New Roman" w:hAnsi="Times New Roman" w:cs="Times New Roman"/>
        </w:rPr>
      </w:pPr>
      <w:r w:rsidRPr="00380A42">
        <w:rPr>
          <w:rFonts w:ascii="Times New Roman" w:hAnsi="Times New Roman" w:cs="Times New Roman"/>
        </w:rPr>
        <w:t>The recent development in applied econometrics focuses on the fact that the growth processes of developing economies tend to be asymmetric and heavy-tailed, meaning that the mean-based models present incomplete inference (</w:t>
      </w:r>
      <w:r w:rsidR="00E942E9" w:rsidRPr="009473D6">
        <w:rPr>
          <w:rFonts w:ascii="Times New Roman" w:hAnsi="Times New Roman" w:cs="Times New Roman"/>
        </w:rPr>
        <w:t>Fagiolo</w:t>
      </w:r>
      <w:r w:rsidR="00E942E9">
        <w:rPr>
          <w:rFonts w:ascii="Times New Roman" w:hAnsi="Times New Roman" w:cs="Times New Roman"/>
        </w:rPr>
        <w:t xml:space="preserve"> et al.</w:t>
      </w:r>
      <w:r w:rsidRPr="00380A42">
        <w:rPr>
          <w:rFonts w:ascii="Times New Roman" w:hAnsi="Times New Roman" w:cs="Times New Roman"/>
        </w:rPr>
        <w:t>, 20</w:t>
      </w:r>
      <w:r w:rsidR="00E942E9">
        <w:rPr>
          <w:rFonts w:ascii="Times New Roman" w:hAnsi="Times New Roman" w:cs="Times New Roman"/>
        </w:rPr>
        <w:t>08</w:t>
      </w:r>
      <w:r w:rsidRPr="00380A42">
        <w:rPr>
          <w:rFonts w:ascii="Times New Roman" w:hAnsi="Times New Roman" w:cs="Times New Roman"/>
        </w:rPr>
        <w:t>). Distributional regression models enable explanatory factors to affect both the mean growth and its volatility and tail behavior through which they provide deeper understanding of macroeconomic vulnerability and resilience. The macroeconomic variation in commodity-dependent economies can be transmitted via agricultural output variations, and therefore distribution-sensitive econometric models are of specific interest (McArthur and McCord, 2023). Th</w:t>
      </w:r>
      <w:r w:rsidR="00261854">
        <w:rPr>
          <w:rFonts w:ascii="Times New Roman" w:hAnsi="Times New Roman" w:cs="Times New Roman"/>
        </w:rPr>
        <w:t>is</w:t>
      </w:r>
      <w:r w:rsidRPr="00380A42">
        <w:rPr>
          <w:rFonts w:ascii="Times New Roman" w:hAnsi="Times New Roman" w:cs="Times New Roman"/>
        </w:rPr>
        <w:t xml:space="preserve"> research fills these gaps by estimating the effects of the disaggregated agricultural subsector production outputs</w:t>
      </w:r>
      <w:r w:rsidR="00261854">
        <w:rPr>
          <w:rFonts w:ascii="Times New Roman" w:hAnsi="Times New Roman" w:cs="Times New Roman"/>
        </w:rPr>
        <w:t>-</w:t>
      </w:r>
      <w:r w:rsidRPr="00380A42">
        <w:rPr>
          <w:rFonts w:ascii="Times New Roman" w:hAnsi="Times New Roman" w:cs="Times New Roman"/>
        </w:rPr>
        <w:t xml:space="preserve"> crop production, livestock, forestry, and fisheries</w:t>
      </w:r>
      <w:r w:rsidR="00261854">
        <w:rPr>
          <w:rFonts w:ascii="Times New Roman" w:hAnsi="Times New Roman" w:cs="Times New Roman"/>
        </w:rPr>
        <w:t>-</w:t>
      </w:r>
      <w:r w:rsidRPr="00380A42">
        <w:rPr>
          <w:rFonts w:ascii="Times New Roman" w:hAnsi="Times New Roman" w:cs="Times New Roman"/>
        </w:rPr>
        <w:t xml:space="preserve"> on the economic growth of Nigeria using GAMLSS. Based on the quarterly data of 2010 to 2024, the paper tests the hypothesis of whether flexible distributional regressions (Generalized Gamma, Weibull and </w:t>
      </w:r>
      <w:r w:rsidR="0080647C" w:rsidRPr="00380A42">
        <w:rPr>
          <w:rFonts w:ascii="Times New Roman" w:hAnsi="Times New Roman" w:cs="Times New Roman"/>
        </w:rPr>
        <w:t>Student-t</w:t>
      </w:r>
      <w:r w:rsidRPr="00380A42">
        <w:rPr>
          <w:rFonts w:ascii="Times New Roman" w:hAnsi="Times New Roman" w:cs="Times New Roman"/>
        </w:rPr>
        <w:t>) are more effective than the traditional normal multiple regression.</w:t>
      </w:r>
    </w:p>
    <w:p w:rsidR="0080647C" w:rsidRDefault="0080647C" w:rsidP="00261854">
      <w:pPr>
        <w:spacing w:before="240" w:line="276" w:lineRule="auto"/>
        <w:jc w:val="both"/>
        <w:rPr>
          <w:rFonts w:ascii="Times New Roman" w:hAnsi="Times New Roman" w:cs="Times New Roman"/>
          <w:b/>
        </w:rPr>
      </w:pPr>
      <w:bookmarkStart w:id="1" w:name="bm_4_data_and_methodology"/>
    </w:p>
    <w:p w:rsidR="00261854" w:rsidRPr="00261854" w:rsidRDefault="00261854" w:rsidP="00261854">
      <w:pPr>
        <w:spacing w:before="240" w:line="276" w:lineRule="auto"/>
        <w:jc w:val="both"/>
        <w:rPr>
          <w:rFonts w:ascii="Times New Roman" w:hAnsi="Times New Roman" w:cs="Times New Roman"/>
          <w:b/>
        </w:rPr>
      </w:pPr>
      <w:r w:rsidRPr="00261854">
        <w:rPr>
          <w:rFonts w:ascii="Times New Roman" w:hAnsi="Times New Roman" w:cs="Times New Roman"/>
          <w:b/>
        </w:rPr>
        <w:t>2. Method</w:t>
      </w:r>
      <w:bookmarkEnd w:id="1"/>
      <w:r w:rsidRPr="00261854">
        <w:rPr>
          <w:rFonts w:ascii="Times New Roman" w:hAnsi="Times New Roman" w:cs="Times New Roman"/>
          <w:b/>
        </w:rPr>
        <w:t>s</w:t>
      </w:r>
    </w:p>
    <w:p w:rsidR="00774387" w:rsidRPr="00380A42" w:rsidRDefault="00261854" w:rsidP="00E11B49">
      <w:pPr>
        <w:jc w:val="both"/>
        <w:rPr>
          <w:rFonts w:ascii="Times New Roman" w:hAnsi="Times New Roman" w:cs="Times New Roman"/>
        </w:rPr>
      </w:pPr>
      <w:r w:rsidRPr="00261854">
        <w:rPr>
          <w:rFonts w:ascii="Times New Roman" w:hAnsi="Times New Roman" w:cs="Times New Roman"/>
          <w:b/>
          <w:bCs/>
        </w:rPr>
        <w:t xml:space="preserve">2.1 </w:t>
      </w:r>
      <w:r w:rsidR="00774387" w:rsidRPr="00261854">
        <w:rPr>
          <w:rFonts w:ascii="Times New Roman" w:hAnsi="Times New Roman" w:cs="Times New Roman"/>
          <w:b/>
          <w:bCs/>
        </w:rPr>
        <w:t>Sources of Data and Construction of Variables</w:t>
      </w:r>
    </w:p>
    <w:p w:rsidR="00774387" w:rsidRDefault="00774387" w:rsidP="00E11B49">
      <w:pPr>
        <w:jc w:val="both"/>
        <w:rPr>
          <w:rFonts w:ascii="Times New Roman" w:hAnsi="Times New Roman" w:cs="Times New Roman"/>
        </w:rPr>
      </w:pPr>
      <w:r w:rsidRPr="00380A42">
        <w:rPr>
          <w:rFonts w:ascii="Times New Roman" w:hAnsi="Times New Roman" w:cs="Times New Roman"/>
        </w:rPr>
        <w:t>The research employs quarterly time-series data on Nigeria (</w:t>
      </w:r>
      <m:oMath>
        <m:r>
          <w:rPr>
            <w:rFonts w:ascii="Cambria Math" w:hAnsi="Cambria Math"/>
          </w:rPr>
          <m:t xml:space="preserve">2010 </m:t>
        </m:r>
        <m:sSub>
          <m:sSubPr>
            <m:ctrlPr>
              <w:rPr>
                <w:rFonts w:ascii="Cambria Math" w:hAnsi="Cambria Math"/>
                <w:bCs/>
                <w:i/>
              </w:rPr>
            </m:ctrlPr>
          </m:sSubPr>
          <m:e>
            <m:r>
              <w:rPr>
                <w:rFonts w:ascii="Cambria Math" w:hAnsi="Cambria Math"/>
              </w:rPr>
              <m:t>Q</m:t>
            </m:r>
          </m:e>
          <m:sub>
            <m:r>
              <w:rPr>
                <w:rFonts w:ascii="Cambria Math" w:hAnsi="Cambria Math"/>
              </w:rPr>
              <m:t>1</m:t>
            </m:r>
          </m:sub>
        </m:sSub>
        <m:r>
          <w:rPr>
            <w:rFonts w:ascii="Cambria Math" w:hAnsi="Cambria Math"/>
          </w:rPr>
          <m:t>-2024</m:t>
        </m:r>
        <m:sSub>
          <m:sSubPr>
            <m:ctrlPr>
              <w:rPr>
                <w:rFonts w:ascii="Cambria Math" w:hAnsi="Cambria Math"/>
                <w:bCs/>
                <w:i/>
              </w:rPr>
            </m:ctrlPr>
          </m:sSubPr>
          <m:e>
            <m:r>
              <w:rPr>
                <w:rFonts w:ascii="Cambria Math" w:hAnsi="Cambria Math"/>
              </w:rPr>
              <m:t xml:space="preserve"> Q</m:t>
            </m:r>
          </m:e>
          <m:sub>
            <m:r>
              <w:rPr>
                <w:rFonts w:ascii="Cambria Math" w:hAnsi="Cambria Math"/>
              </w:rPr>
              <m:t>4</m:t>
            </m:r>
          </m:sub>
        </m:sSub>
      </m:oMath>
      <w:r w:rsidR="00261854">
        <w:rPr>
          <w:rFonts w:ascii="Times New Roman" w:hAnsi="Times New Roman" w:cs="Times New Roman"/>
        </w:rPr>
        <w:t>)</w:t>
      </w:r>
      <w:r w:rsidRPr="00380A42">
        <w:rPr>
          <w:rFonts w:ascii="Times New Roman" w:hAnsi="Times New Roman" w:cs="Times New Roman"/>
        </w:rPr>
        <w:t xml:space="preserve"> which represents the post-GDP rebasing improvement of measurements and significant areas of agricultural and macroeconomic policy changes. Quarterly frequency is used to reflect short-run variations and distributional changes in the growth dynamics that are hidden in annual data. The real GDP (proxy of the economic growth) was obtained by the Central Bank of Nigeria (CBN) Statistical Bulletin and Disaggregated agricultural products (Crop production (</w:t>
      </w:r>
      <m:oMath>
        <m:sSub>
          <m:sSubPr>
            <m:ctrlPr>
              <w:rPr>
                <w:rFonts w:ascii="Cambria Math" w:hAnsi="Cambria Math"/>
                <w:bCs/>
              </w:rPr>
            </m:ctrlPr>
          </m:sSubPr>
          <m:e>
            <m:r>
              <w:rPr>
                <w:rFonts w:ascii="Cambria Math" w:hAnsi="Cambria Math"/>
              </w:rPr>
              <m:t>C</m:t>
            </m:r>
          </m:e>
          <m:sub>
            <m:r>
              <w:rPr>
                <w:rFonts w:ascii="Cambria Math" w:hAnsi="Cambria Math"/>
              </w:rPr>
              <m:t>t</m:t>
            </m:r>
          </m:sub>
        </m:sSub>
      </m:oMath>
      <w:r w:rsidRPr="00380A42">
        <w:rPr>
          <w:rFonts w:ascii="Times New Roman" w:hAnsi="Times New Roman" w:cs="Times New Roman"/>
        </w:rPr>
        <w:t>), Livestock (</w:t>
      </w:r>
      <m:oMath>
        <m:sSub>
          <m:sSubPr>
            <m:ctrlPr>
              <w:rPr>
                <w:rFonts w:ascii="Cambria Math" w:hAnsi="Cambria Math"/>
                <w:bCs/>
              </w:rPr>
            </m:ctrlPr>
          </m:sSubPr>
          <m:e>
            <m:r>
              <w:rPr>
                <w:rFonts w:ascii="Cambria Math" w:hAnsi="Cambria Math"/>
              </w:rPr>
              <m:t>L</m:t>
            </m:r>
          </m:e>
          <m:sub>
            <m:r>
              <w:rPr>
                <w:rFonts w:ascii="Cambria Math" w:hAnsi="Cambria Math"/>
              </w:rPr>
              <m:t>t</m:t>
            </m:r>
          </m:sub>
        </m:sSub>
      </m:oMath>
      <w:r w:rsidRPr="00380A42">
        <w:rPr>
          <w:rFonts w:ascii="Times New Roman" w:hAnsi="Times New Roman" w:cs="Times New Roman"/>
        </w:rPr>
        <w:t>), Forestry (</w:t>
      </w:r>
      <m:oMath>
        <m:sSub>
          <m:sSubPr>
            <m:ctrlPr>
              <w:rPr>
                <w:rFonts w:ascii="Cambria Math" w:hAnsi="Cambria Math"/>
                <w:bCs/>
              </w:rPr>
            </m:ctrlPr>
          </m:sSubPr>
          <m:e>
            <m:r>
              <w:rPr>
                <w:rFonts w:ascii="Cambria Math" w:hAnsi="Cambria Math"/>
              </w:rPr>
              <m:t>F</m:t>
            </m:r>
          </m:e>
          <m:sub>
            <m:r>
              <w:rPr>
                <w:rFonts w:ascii="Cambria Math" w:hAnsi="Cambria Math"/>
              </w:rPr>
              <m:t>t</m:t>
            </m:r>
          </m:sub>
        </m:sSub>
      </m:oMath>
      <w:r w:rsidRPr="00380A42">
        <w:rPr>
          <w:rFonts w:ascii="Times New Roman" w:hAnsi="Times New Roman" w:cs="Times New Roman"/>
        </w:rPr>
        <w:t>), Fisheries (</w:t>
      </w:r>
      <m:oMath>
        <m:sSub>
          <m:sSubPr>
            <m:ctrlPr>
              <w:rPr>
                <w:rFonts w:ascii="Cambria Math" w:hAnsi="Cambria Math"/>
                <w:bCs/>
              </w:rPr>
            </m:ctrlPr>
          </m:sSubPr>
          <m:e>
            <m:r>
              <w:rPr>
                <w:rFonts w:ascii="Cambria Math" w:hAnsi="Cambria Math"/>
              </w:rPr>
              <m:t>S</m:t>
            </m:r>
          </m:e>
          <m:sub>
            <m:r>
              <w:rPr>
                <w:rFonts w:ascii="Cambria Math" w:hAnsi="Cambria Math"/>
              </w:rPr>
              <m:t>t</m:t>
            </m:r>
          </m:sub>
        </m:sSub>
      </m:oMath>
      <w:r w:rsidRPr="00380A42">
        <w:rPr>
          <w:rFonts w:ascii="Times New Roman" w:hAnsi="Times New Roman" w:cs="Times New Roman"/>
        </w:rPr>
        <w:t>)). The research uses deterministic sampling model with the complete population of available macroeconomic data (quarterly). The effective sample size is T = 60 quarters, representing a sufficient sample size in using distributional regression under GAMLSS that is made to assume moderate sample sizes with complicated parameter structure. The GAMLSS framework enables agricultural subsectors to moderate both location and magnitude of economic development that can accept heteroskedasticity, skewness</w:t>
      </w:r>
      <w:r w:rsidR="001E521D">
        <w:rPr>
          <w:rFonts w:ascii="Times New Roman" w:hAnsi="Times New Roman" w:cs="Times New Roman"/>
        </w:rPr>
        <w:t>,</w:t>
      </w:r>
      <w:r w:rsidRPr="00380A42">
        <w:rPr>
          <w:rFonts w:ascii="Times New Roman" w:hAnsi="Times New Roman" w:cs="Times New Roman"/>
        </w:rPr>
        <w:t xml:space="preserve"> as well as heavy tails. The empirical strategy has two steps. A traditional normal multiple regression is run as the benchmark. Second, GAMLSS are fitted when using other conditional distributions (Normal, Student-t, Weibull, Generalized Gamma). The criteria of information and diagnostic tools are used to assess model performance.</w:t>
      </w:r>
    </w:p>
    <w:p w:rsidR="001E521D" w:rsidRPr="00380A42" w:rsidRDefault="001E521D" w:rsidP="00E11B49">
      <w:pPr>
        <w:jc w:val="both"/>
        <w:rPr>
          <w:rFonts w:ascii="Times New Roman" w:hAnsi="Times New Roman" w:cs="Times New Roman"/>
        </w:rPr>
      </w:pPr>
    </w:p>
    <w:p w:rsidR="00774387" w:rsidRPr="001E521D" w:rsidRDefault="00774387" w:rsidP="00E11B49">
      <w:pPr>
        <w:jc w:val="both"/>
        <w:rPr>
          <w:rFonts w:ascii="Times New Roman" w:hAnsi="Times New Roman" w:cs="Times New Roman"/>
          <w:b/>
          <w:bCs/>
        </w:rPr>
      </w:pPr>
      <w:r w:rsidRPr="001E521D">
        <w:rPr>
          <w:rFonts w:ascii="Times New Roman" w:hAnsi="Times New Roman" w:cs="Times New Roman"/>
          <w:b/>
          <w:bCs/>
        </w:rPr>
        <w:lastRenderedPageBreak/>
        <w:t>2.2 Flexible Regression using GAMLSS.</w:t>
      </w:r>
    </w:p>
    <w:p w:rsidR="00774387" w:rsidRPr="00380A42" w:rsidRDefault="00774387" w:rsidP="00E11B49">
      <w:pPr>
        <w:jc w:val="both"/>
        <w:rPr>
          <w:rFonts w:ascii="Times New Roman" w:hAnsi="Times New Roman" w:cs="Times New Roman"/>
        </w:rPr>
      </w:pPr>
      <w:r w:rsidRPr="00380A42">
        <w:rPr>
          <w:rFonts w:ascii="Times New Roman" w:hAnsi="Times New Roman" w:cs="Times New Roman"/>
        </w:rPr>
        <w:t xml:space="preserve">The multiple regression model </w:t>
      </w:r>
      <w:proofErr w:type="gramStart"/>
      <w:r w:rsidRPr="00380A42">
        <w:rPr>
          <w:rFonts w:ascii="Times New Roman" w:hAnsi="Times New Roman" w:cs="Times New Roman"/>
        </w:rPr>
        <w:t>is based on the assumption</w:t>
      </w:r>
      <w:proofErr w:type="gramEnd"/>
      <w:r w:rsidRPr="00380A42">
        <w:rPr>
          <w:rFonts w:ascii="Times New Roman" w:hAnsi="Times New Roman" w:cs="Times New Roman"/>
        </w:rPr>
        <w:t xml:space="preserve"> of normally distributed errors that have constant variance and respond in a symmetric manner. Nevertheless, the distribution of quarterly GDP growth in Nigeria is asymmetric, heavy-tailed, and time-varying volatile, especially when oil prices collapse and when there is a climate shock. These characteristics do not hold the Gaussian assumptions and are the reasons that prompt a distributional regression model in which not only the mean, but also the variance and shapes parameters are dependent on explanatory variables.</w:t>
      </w:r>
    </w:p>
    <w:p w:rsidR="001E521D" w:rsidRPr="001E521D" w:rsidRDefault="001E521D" w:rsidP="001E521D">
      <w:pPr>
        <w:spacing w:before="240" w:line="276" w:lineRule="auto"/>
        <w:jc w:val="both"/>
        <w:rPr>
          <w:rFonts w:ascii="Times New Roman" w:hAnsi="Times New Roman" w:cs="Times New Roman"/>
          <w:bCs/>
        </w:rPr>
      </w:pPr>
      <w:bookmarkStart w:id="2" w:name="gamlss_framework"/>
      <w:r w:rsidRPr="001E521D">
        <w:rPr>
          <w:rFonts w:ascii="Times New Roman" w:hAnsi="Times New Roman" w:cs="Times New Roman"/>
          <w:bCs/>
        </w:rPr>
        <w:t>GAMLSS Framework</w:t>
      </w:r>
      <w:bookmarkEnd w:id="2"/>
    </w:p>
    <w:p w:rsidR="001E521D" w:rsidRPr="001E521D" w:rsidRDefault="001E521D" w:rsidP="001E521D">
      <w:pPr>
        <w:spacing w:after="240" w:line="276" w:lineRule="auto"/>
        <w:jc w:val="both"/>
        <w:rPr>
          <w:rFonts w:ascii="Times New Roman" w:hAnsi="Times New Roman" w:cs="Times New Roman"/>
          <w:bCs/>
        </w:rPr>
      </w:pPr>
      <w:r w:rsidRPr="001E521D">
        <w:rPr>
          <w:rFonts w:ascii="Times New Roman" w:hAnsi="Times New Roman" w:cs="Times New Roman"/>
          <w:bCs/>
        </w:rPr>
        <w:t xml:space="preserve">Let </w:t>
      </w:r>
      <m:oMath>
        <m:sSub>
          <m:sSubPr>
            <m:ctrlPr>
              <w:rPr>
                <w:rFonts w:ascii="Cambria Math" w:hAnsi="Cambria Math" w:cs="Times New Roman"/>
                <w:bCs/>
              </w:rPr>
            </m:ctrlPr>
          </m:sSubPr>
          <m:e>
            <m:r>
              <w:rPr>
                <w:rFonts w:ascii="Cambria Math" w:hAnsi="Cambria Math" w:cs="Times New Roman"/>
              </w:rPr>
              <m:t>G</m:t>
            </m:r>
          </m:e>
          <m:sub>
            <m:r>
              <w:rPr>
                <w:rFonts w:ascii="Cambria Math" w:hAnsi="Cambria Math" w:cs="Times New Roman"/>
              </w:rPr>
              <m:t>t</m:t>
            </m:r>
          </m:sub>
        </m:sSub>
        <m:r>
          <m:rPr>
            <m:sty m:val="p"/>
          </m:rPr>
          <w:rPr>
            <w:rFonts w:ascii="Cambria Math" w:hAnsi="Cambria Math" w:cs="Times New Roman"/>
          </w:rPr>
          <m:t>=ln⁡(</m:t>
        </m:r>
        <m:sSub>
          <m:sSubPr>
            <m:ctrlPr>
              <w:rPr>
                <w:rFonts w:ascii="Cambria Math" w:hAnsi="Cambria Math" w:cs="Times New Roman"/>
                <w:bCs/>
              </w:rPr>
            </m:ctrlPr>
          </m:sSubPr>
          <m:e>
            <m:r>
              <m:rPr>
                <m:nor/>
              </m:rPr>
              <w:rPr>
                <w:rFonts w:ascii="Times New Roman" w:hAnsi="Times New Roman" w:cs="Times New Roman"/>
                <w:bCs/>
              </w:rPr>
              <m:t>Real GDP</m:t>
            </m:r>
          </m:e>
          <m:sub>
            <m:r>
              <w:rPr>
                <w:rFonts w:ascii="Cambria Math" w:hAnsi="Cambria Math" w:cs="Times New Roman"/>
              </w:rPr>
              <m:t>t</m:t>
            </m:r>
          </m:sub>
        </m:sSub>
        <m:r>
          <m:rPr>
            <m:sty m:val="p"/>
          </m:rPr>
          <w:rPr>
            <w:rFonts w:ascii="Cambria Math" w:hAnsi="Cambria Math" w:cs="Times New Roman"/>
          </w:rPr>
          <m:t>)</m:t>
        </m:r>
      </m:oMath>
      <w:r w:rsidRPr="001E521D">
        <w:rPr>
          <w:rFonts w:ascii="Times New Roman" w:hAnsi="Times New Roman" w:cs="Times New Roman"/>
          <w:bCs/>
        </w:rPr>
        <w:t>. In the GAMLSS framework:</w:t>
      </w:r>
    </w:p>
    <w:p w:rsidR="001E521D" w:rsidRPr="001E521D" w:rsidRDefault="00027DA8" w:rsidP="001E521D">
      <w:pPr>
        <w:spacing w:after="240" w:line="276" w:lineRule="auto"/>
        <w:jc w:val="both"/>
        <w:rPr>
          <w:rFonts w:ascii="Times New Roman" w:hAnsi="Times New Roman" w:cs="Times New Roman"/>
          <w:bCs/>
        </w:rPr>
      </w:pPr>
      <m:oMathPara>
        <m:oMath>
          <m:sSub>
            <m:sSubPr>
              <m:ctrlPr>
                <w:rPr>
                  <w:rFonts w:ascii="Cambria Math" w:hAnsi="Cambria Math" w:cs="Times New Roman"/>
                  <w:bCs/>
                </w:rPr>
              </m:ctrlPr>
            </m:sSubPr>
            <m:e>
              <m:r>
                <w:rPr>
                  <w:rFonts w:ascii="Cambria Math" w:hAnsi="Cambria Math" w:cs="Times New Roman"/>
                </w:rPr>
                <m:t>G</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μ</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σ</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ν</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τ</m:t>
              </m:r>
            </m:e>
            <m:sub>
              <m:r>
                <w:rPr>
                  <w:rFonts w:ascii="Cambria Math" w:hAnsi="Cambria Math" w:cs="Times New Roman"/>
                </w:rPr>
                <m:t>t</m:t>
              </m:r>
            </m:sub>
          </m:sSub>
          <m:r>
            <m:rPr>
              <m:sty m:val="p"/>
            </m:rPr>
            <w:rPr>
              <w:rFonts w:ascii="Cambria Math" w:hAnsi="Cambria Math" w:cs="Times New Roman"/>
            </w:rPr>
            <m:t>),</m:t>
          </m:r>
        </m:oMath>
      </m:oMathPara>
    </w:p>
    <w:p w:rsidR="001E521D" w:rsidRPr="001E521D" w:rsidRDefault="001E521D" w:rsidP="001E521D">
      <w:pPr>
        <w:spacing w:after="240" w:line="276" w:lineRule="auto"/>
        <w:jc w:val="both"/>
        <w:rPr>
          <w:rFonts w:ascii="Times New Roman" w:hAnsi="Times New Roman" w:cs="Times New Roman"/>
          <w:bCs/>
        </w:rPr>
      </w:pPr>
      <w:r w:rsidRPr="001E521D">
        <w:rPr>
          <w:rFonts w:ascii="Times New Roman" w:hAnsi="Times New Roman" w:cs="Times New Roman"/>
          <w:bCs/>
        </w:rPr>
        <w:t xml:space="preserve">where </w:t>
      </w:r>
      <w:proofErr w:type="gramStart"/>
      <w:r w:rsidRPr="001E521D">
        <w:rPr>
          <w:rFonts w:ascii="Times New Roman" w:hAnsi="Times New Roman" w:cs="Times New Roman"/>
          <w:bCs/>
        </w:rPr>
        <w:t>D(</w:t>
      </w:r>
      <w:proofErr w:type="gramEnd"/>
      <m:oMath>
        <m:r>
          <m:rPr>
            <m:sty m:val="p"/>
          </m:rPr>
          <w:rPr>
            <w:rFonts w:ascii="Cambria Math" w:hAnsi="Cambria Math" w:cs="Times New Roman"/>
          </w:rPr>
          <m:t>⋅</m:t>
        </m:r>
      </m:oMath>
      <w:r w:rsidRPr="001E521D">
        <w:rPr>
          <w:rFonts w:ascii="Times New Roman" w:hAnsi="Times New Roman" w:cs="Times New Roman"/>
          <w:bCs/>
        </w:rPr>
        <w:t>) denotes a parametric distribution characterized by:</w:t>
      </w:r>
    </w:p>
    <w:p w:rsidR="001E521D" w:rsidRPr="001E521D" w:rsidRDefault="001E521D" w:rsidP="001E521D">
      <w:pPr>
        <w:numPr>
          <w:ilvl w:val="0"/>
          <w:numId w:val="1"/>
        </w:numPr>
        <w:spacing w:after="120" w:line="276" w:lineRule="auto"/>
        <w:jc w:val="both"/>
        <w:rPr>
          <w:rFonts w:ascii="Times New Roman" w:hAnsi="Times New Roman" w:cs="Times New Roman"/>
          <w:bCs/>
        </w:rPr>
      </w:pPr>
      <w:r w:rsidRPr="001E521D">
        <w:rPr>
          <w:rFonts w:ascii="Times New Roman" w:hAnsi="Times New Roman" w:cs="Times New Roman"/>
          <w:bCs/>
        </w:rPr>
        <w:t>location parameter (</w:t>
      </w:r>
      <m:oMath>
        <m:sSub>
          <m:sSubPr>
            <m:ctrlPr>
              <w:rPr>
                <w:rFonts w:ascii="Cambria Math" w:hAnsi="Cambria Math" w:cs="Times New Roman"/>
                <w:bCs/>
              </w:rPr>
            </m:ctrlPr>
          </m:sSubPr>
          <m:e>
            <m:r>
              <w:rPr>
                <w:rFonts w:ascii="Cambria Math" w:hAnsi="Cambria Math" w:cs="Times New Roman"/>
              </w:rPr>
              <m:t>μ</m:t>
            </m:r>
          </m:e>
          <m:sub>
            <m:r>
              <w:rPr>
                <w:rFonts w:ascii="Cambria Math" w:hAnsi="Cambria Math" w:cs="Times New Roman"/>
              </w:rPr>
              <m:t>t</m:t>
            </m:r>
          </m:sub>
        </m:sSub>
      </m:oMath>
      <w:r w:rsidRPr="001E521D">
        <w:rPr>
          <w:rFonts w:ascii="Times New Roman" w:hAnsi="Times New Roman" w:cs="Times New Roman"/>
          <w:bCs/>
        </w:rPr>
        <w:t>),</w:t>
      </w:r>
    </w:p>
    <w:p w:rsidR="001E521D" w:rsidRPr="001E521D" w:rsidRDefault="001E521D" w:rsidP="001E521D">
      <w:pPr>
        <w:numPr>
          <w:ilvl w:val="0"/>
          <w:numId w:val="1"/>
        </w:numPr>
        <w:spacing w:after="120" w:line="276" w:lineRule="auto"/>
        <w:jc w:val="both"/>
        <w:rPr>
          <w:rFonts w:ascii="Times New Roman" w:hAnsi="Times New Roman" w:cs="Times New Roman"/>
          <w:bCs/>
        </w:rPr>
      </w:pPr>
      <w:r w:rsidRPr="001E521D">
        <w:rPr>
          <w:rFonts w:ascii="Times New Roman" w:hAnsi="Times New Roman" w:cs="Times New Roman"/>
          <w:bCs/>
        </w:rPr>
        <w:t>scale parameter (</w:t>
      </w:r>
      <m:oMath>
        <m:sSub>
          <m:sSubPr>
            <m:ctrlPr>
              <w:rPr>
                <w:rFonts w:ascii="Cambria Math" w:hAnsi="Cambria Math" w:cs="Times New Roman"/>
                <w:bCs/>
              </w:rPr>
            </m:ctrlPr>
          </m:sSubPr>
          <m:e>
            <m:r>
              <w:rPr>
                <w:rFonts w:ascii="Cambria Math" w:hAnsi="Cambria Math" w:cs="Times New Roman"/>
              </w:rPr>
              <m:t>σ</m:t>
            </m:r>
          </m:e>
          <m:sub>
            <m:r>
              <w:rPr>
                <w:rFonts w:ascii="Cambria Math" w:hAnsi="Cambria Math" w:cs="Times New Roman"/>
              </w:rPr>
              <m:t>t</m:t>
            </m:r>
          </m:sub>
        </m:sSub>
      </m:oMath>
      <w:r w:rsidRPr="001E521D">
        <w:rPr>
          <w:rFonts w:ascii="Times New Roman" w:hAnsi="Times New Roman" w:cs="Times New Roman"/>
          <w:bCs/>
        </w:rPr>
        <w:t>),</w:t>
      </w:r>
    </w:p>
    <w:p w:rsidR="001E521D" w:rsidRPr="001E521D" w:rsidRDefault="001E521D" w:rsidP="001E521D">
      <w:pPr>
        <w:numPr>
          <w:ilvl w:val="0"/>
          <w:numId w:val="1"/>
        </w:numPr>
        <w:spacing w:after="120" w:line="276" w:lineRule="auto"/>
        <w:jc w:val="both"/>
        <w:rPr>
          <w:rFonts w:ascii="Times New Roman" w:hAnsi="Times New Roman" w:cs="Times New Roman"/>
          <w:bCs/>
        </w:rPr>
      </w:pPr>
      <w:r w:rsidRPr="001E521D">
        <w:rPr>
          <w:rFonts w:ascii="Times New Roman" w:hAnsi="Times New Roman" w:cs="Times New Roman"/>
          <w:bCs/>
        </w:rPr>
        <w:t>shape parameters (</w:t>
      </w:r>
      <m:oMath>
        <m:sSub>
          <m:sSubPr>
            <m:ctrlPr>
              <w:rPr>
                <w:rFonts w:ascii="Cambria Math" w:hAnsi="Cambria Math" w:cs="Times New Roman"/>
                <w:bCs/>
              </w:rPr>
            </m:ctrlPr>
          </m:sSubPr>
          <m:e>
            <m:r>
              <w:rPr>
                <w:rFonts w:ascii="Cambria Math" w:hAnsi="Cambria Math" w:cs="Times New Roman"/>
              </w:rPr>
              <m:t>ν</m:t>
            </m:r>
          </m:e>
          <m:sub>
            <m:r>
              <w:rPr>
                <w:rFonts w:ascii="Cambria Math" w:hAnsi="Cambria Math" w:cs="Times New Roman"/>
              </w:rPr>
              <m:t>t</m:t>
            </m:r>
          </m:sub>
        </m:sSub>
      </m:oMath>
      <w:r w:rsidRPr="001E521D">
        <w:rPr>
          <w:rFonts w:ascii="Times New Roman" w:hAnsi="Times New Roman" w:cs="Times New Roman"/>
          <w:bCs/>
        </w:rPr>
        <w:t>) and (</w:t>
      </w:r>
      <m:oMath>
        <m:sSub>
          <m:sSubPr>
            <m:ctrlPr>
              <w:rPr>
                <w:rFonts w:ascii="Cambria Math" w:hAnsi="Cambria Math" w:cs="Times New Roman"/>
                <w:bCs/>
              </w:rPr>
            </m:ctrlPr>
          </m:sSubPr>
          <m:e>
            <m:r>
              <w:rPr>
                <w:rFonts w:ascii="Cambria Math" w:hAnsi="Cambria Math" w:cs="Times New Roman"/>
              </w:rPr>
              <m:t>τ</m:t>
            </m:r>
          </m:e>
          <m:sub>
            <m:r>
              <w:rPr>
                <w:rFonts w:ascii="Cambria Math" w:hAnsi="Cambria Math" w:cs="Times New Roman"/>
              </w:rPr>
              <m:t>t</m:t>
            </m:r>
          </m:sub>
        </m:sSub>
      </m:oMath>
      <w:r w:rsidRPr="001E521D">
        <w:rPr>
          <w:rFonts w:ascii="Times New Roman" w:hAnsi="Times New Roman" w:cs="Times New Roman"/>
          <w:bCs/>
        </w:rPr>
        <w:t>) (skewness and kurtosis).</w:t>
      </w:r>
    </w:p>
    <w:p w:rsidR="001E521D" w:rsidRPr="001E521D" w:rsidRDefault="001E521D" w:rsidP="001E521D">
      <w:pPr>
        <w:spacing w:after="240" w:line="276" w:lineRule="auto"/>
        <w:jc w:val="both"/>
        <w:rPr>
          <w:rFonts w:ascii="Times New Roman" w:hAnsi="Times New Roman" w:cs="Times New Roman"/>
          <w:bCs/>
        </w:rPr>
      </w:pPr>
      <w:r w:rsidRPr="001E521D">
        <w:rPr>
          <w:rFonts w:ascii="Times New Roman" w:hAnsi="Times New Roman" w:cs="Times New Roman"/>
          <w:bCs/>
        </w:rPr>
        <w:t>Each parameter is linked to covariates through link functions:</w:t>
      </w:r>
    </w:p>
    <w:p w:rsidR="001E521D" w:rsidRPr="001E521D" w:rsidRDefault="001E521D" w:rsidP="001E521D">
      <w:pPr>
        <w:spacing w:after="240" w:line="276" w:lineRule="auto"/>
        <w:jc w:val="both"/>
        <w:rPr>
          <w:rFonts w:ascii="Times New Roman" w:eastAsiaTheme="minorEastAsia" w:hAnsi="Times New Roman" w:cs="Times New Roman"/>
          <w:bCs/>
        </w:rPr>
      </w:pPr>
      <w:r w:rsidRPr="001E521D">
        <w:rPr>
          <w:rFonts w:ascii="Times New Roman" w:hAnsi="Times New Roman" w:cs="Times New Roman"/>
          <w:bCs/>
        </w:rPr>
        <w:br/>
      </w:r>
      <m:oMathPara>
        <m:oMath>
          <m:m>
            <m:mPr>
              <m:plcHide m:val="1"/>
              <m:cGpRule m:val="4"/>
              <m:mcs>
                <m:mc>
                  <m:mcPr>
                    <m:count m:val="1"/>
                    <m:mcJc m:val="right"/>
                  </m:mcPr>
                </m:mc>
                <m:mc>
                  <m:mcPr>
                    <m:count m:val="1"/>
                    <m:mcJc m:val="left"/>
                  </m:mcPr>
                </m:mc>
                <m:mc>
                  <m:mcPr>
                    <m:count m:val="1"/>
                    <m:mcJc m:val="center"/>
                  </m:mcPr>
                </m:mc>
                <m:mc>
                  <m:mcPr>
                    <m:count m:val="1"/>
                    <m:mcJc m:val="right"/>
                  </m:mcPr>
                </m:mc>
                <m:mc>
                  <m:mcPr>
                    <m:count m:val="1"/>
                    <m:mcJc m:val="left"/>
                  </m:mcPr>
                </m:mc>
                <m:mc>
                  <m:mcPr>
                    <m:count m:val="2"/>
                    <m:mcJc m:val="center"/>
                  </m:mcPr>
                </m:mc>
              </m:mcs>
              <m:ctrlPr>
                <w:rPr>
                  <w:rFonts w:ascii="Cambria Math" w:hAnsi="Cambria Math" w:cs="Times New Roman"/>
                  <w:bCs/>
                  <w:i/>
                </w:rPr>
              </m:ctrlPr>
            </m:mPr>
            <m:mr>
              <m:e>
                <m:sSub>
                  <m:sSubPr>
                    <m:ctrlPr>
                      <w:rPr>
                        <w:rFonts w:ascii="Cambria Math" w:hAnsi="Cambria Math" w:cs="Times New Roman"/>
                        <w:bCs/>
                      </w:rPr>
                    </m:ctrlPr>
                  </m:sSubPr>
                  <m:e>
                    <m:r>
                      <w:rPr>
                        <w:rFonts w:ascii="Cambria Math" w:hAnsi="Cambria Math" w:cs="Times New Roman"/>
                      </w:rPr>
                      <m:t>g</m:t>
                    </m:r>
                  </m:e>
                  <m:sub>
                    <m:r>
                      <m:rPr>
                        <m:sty m:val="p"/>
                      </m:rPr>
                      <w:rPr>
                        <w:rFonts w:ascii="Cambria Math" w:hAnsi="Cambria Math" w:cs="Times New Roman"/>
                      </w:rPr>
                      <m:t>1</m:t>
                    </m:r>
                  </m:sub>
                </m:sSub>
                <m:d>
                  <m:dPr>
                    <m:ctrlPr>
                      <w:rPr>
                        <w:rFonts w:ascii="Cambria Math" w:hAnsi="Cambria Math" w:cs="Times New Roman"/>
                        <w:bCs/>
                      </w:rPr>
                    </m:ctrlPr>
                  </m:dPr>
                  <m:e>
                    <m:sSub>
                      <m:sSubPr>
                        <m:ctrlPr>
                          <w:rPr>
                            <w:rFonts w:ascii="Cambria Math" w:hAnsi="Cambria Math" w:cs="Times New Roman"/>
                            <w:bCs/>
                          </w:rPr>
                        </m:ctrlPr>
                      </m:sSubPr>
                      <m:e>
                        <m:r>
                          <w:rPr>
                            <w:rFonts w:ascii="Cambria Math" w:hAnsi="Cambria Math" w:cs="Times New Roman"/>
                          </w:rPr>
                          <m:t>μ</m:t>
                        </m:r>
                      </m:e>
                      <m:sub>
                        <m:r>
                          <w:rPr>
                            <w:rFonts w:ascii="Cambria Math" w:hAnsi="Cambria Math" w:cs="Times New Roman"/>
                          </w:rPr>
                          <m:t>t</m:t>
                        </m:r>
                      </m:sub>
                    </m:sSub>
                  </m:e>
                </m:d>
              </m:e>
              <m:e>
                <m:r>
                  <w:rPr>
                    <w:rFonts w:ascii="Cambria Math" w:hAnsi="Cambria Math" w:cs="Times New Roman"/>
                  </w:rPr>
                  <m:t xml:space="preserve"> </m:t>
                </m:r>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α</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α</m:t>
                    </m:r>
                  </m:e>
                  <m:sub>
                    <m:r>
                      <m:rPr>
                        <m:sty m:val="p"/>
                      </m:rPr>
                      <w:rPr>
                        <w:rFonts w:ascii="Cambria Math" w:hAnsi="Cambria Math" w:cs="Times New Roman"/>
                      </w:rPr>
                      <m:t>1</m:t>
                    </m:r>
                  </m:sub>
                </m:sSub>
                <m:sSub>
                  <m:sSubPr>
                    <m:ctrlPr>
                      <w:rPr>
                        <w:rFonts w:ascii="Cambria Math" w:hAnsi="Cambria Math" w:cs="Times New Roman"/>
                        <w:bCs/>
                      </w:rPr>
                    </m:ctrlPr>
                  </m:sSubPr>
                  <m:e>
                    <m:r>
                      <m:rPr>
                        <m:sty m:val="p"/>
                      </m:rPr>
                      <w:rPr>
                        <w:rFonts w:ascii="Cambria Math" w:hAnsi="Cambria Math" w:cs="Times New Roman"/>
                      </w:rPr>
                      <m:t>C</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bCs/>
                      </w:rPr>
                    </m:ctrlPr>
                  </m:sSubPr>
                  <m:e>
                    <m:r>
                      <m:rPr>
                        <m:sty m:val="p"/>
                      </m:rPr>
                      <w:rPr>
                        <w:rFonts w:ascii="Cambria Math" w:hAnsi="Cambria Math" w:cs="Times New Roman"/>
                      </w:rPr>
                      <m:t>L</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α</m:t>
                    </m:r>
                  </m:e>
                  <m:sub>
                    <m:r>
                      <m:rPr>
                        <m:sty m:val="p"/>
                      </m:rPr>
                      <w:rPr>
                        <w:rFonts w:ascii="Cambria Math" w:hAnsi="Cambria Math" w:cs="Times New Roman"/>
                      </w:rPr>
                      <m:t>3</m:t>
                    </m:r>
                  </m:sub>
                </m:sSub>
                <m:sSub>
                  <m:sSubPr>
                    <m:ctrlPr>
                      <w:rPr>
                        <w:rFonts w:ascii="Cambria Math" w:hAnsi="Cambria Math" w:cs="Times New Roman"/>
                        <w:bCs/>
                      </w:rPr>
                    </m:ctrlPr>
                  </m:sSubPr>
                  <m:e>
                    <m:r>
                      <m:rPr>
                        <m:sty m:val="p"/>
                      </m:rPr>
                      <w:rPr>
                        <w:rFonts w:ascii="Cambria Math" w:hAnsi="Cambria Math" w:cs="Times New Roman"/>
                      </w:rPr>
                      <m:t>F</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α</m:t>
                    </m:r>
                  </m:e>
                  <m:sub>
                    <m:r>
                      <m:rPr>
                        <m:sty m:val="p"/>
                      </m:rPr>
                      <w:rPr>
                        <w:rFonts w:ascii="Cambria Math" w:hAnsi="Cambria Math" w:cs="Times New Roman"/>
                      </w:rPr>
                      <m:t>4</m:t>
                    </m:r>
                  </m:sub>
                </m:sSub>
                <m:sSub>
                  <m:sSubPr>
                    <m:ctrlPr>
                      <w:rPr>
                        <w:rFonts w:ascii="Cambria Math" w:hAnsi="Cambria Math" w:cs="Times New Roman"/>
                        <w:bCs/>
                      </w:rPr>
                    </m:ctrlPr>
                  </m:sSubPr>
                  <m:e>
                    <m:r>
                      <m:rPr>
                        <m:sty m:val="p"/>
                      </m:rPr>
                      <w:rPr>
                        <w:rFonts w:ascii="Cambria Math" w:hAnsi="Cambria Math" w:cs="Times New Roman"/>
                      </w:rPr>
                      <m:t>S</m:t>
                    </m:r>
                  </m:e>
                  <m:sub>
                    <m:r>
                      <m:rPr>
                        <m:sty m:val="p"/>
                      </m:rPr>
                      <w:rPr>
                        <w:rFonts w:ascii="Cambria Math" w:hAnsi="Cambria Math" w:cs="Times New Roman"/>
                      </w:rPr>
                      <m:t>t</m:t>
                    </m:r>
                  </m:sub>
                </m:sSub>
                <m:r>
                  <m:rPr>
                    <m:sty m:val="p"/>
                  </m:rPr>
                  <w:rPr>
                    <w:rFonts w:ascii="Cambria Math" w:hAnsi="Cambria Math" w:cs="Times New Roman"/>
                  </w:rPr>
                  <m:t>+</m:t>
                </m:r>
                <m:sSup>
                  <m:sSupPr>
                    <m:ctrlPr>
                      <w:rPr>
                        <w:rFonts w:ascii="Cambria Math" w:hAnsi="Cambria Math" w:cs="Times New Roman"/>
                        <w:bCs/>
                      </w:rPr>
                    </m:ctrlPr>
                  </m:sSupPr>
                  <m:e>
                    <m:r>
                      <w:rPr>
                        <w:rFonts w:ascii="Cambria Math" w:hAnsi="Cambria Math" w:cs="Times New Roman"/>
                      </w:rPr>
                      <m:t>γ</m:t>
                    </m:r>
                  </m:e>
                  <m:sup>
                    <m:r>
                      <m:rPr>
                        <m:sty m:val="p"/>
                      </m:rPr>
                      <w:rPr>
                        <w:rFonts w:ascii="Cambria Math" w:hAnsi="Cambria Math" w:cs="Times New Roman"/>
                      </w:rPr>
                      <m:t>'</m:t>
                    </m:r>
                  </m:sup>
                </m:sSup>
                <m:sSub>
                  <m:sSubPr>
                    <m:ctrlPr>
                      <w:rPr>
                        <w:rFonts w:ascii="Cambria Math" w:hAnsi="Cambria Math" w:cs="Times New Roman"/>
                        <w:bCs/>
                      </w:rPr>
                    </m:ctrlPr>
                  </m:sSubPr>
                  <m:e>
                    <m:r>
                      <w:rPr>
                        <w:rFonts w:ascii="Cambria Math" w:hAnsi="Cambria Math" w:cs="Times New Roman"/>
                      </w:rPr>
                      <m:t>Z</m:t>
                    </m:r>
                  </m:e>
                  <m:sub>
                    <m:r>
                      <w:rPr>
                        <w:rFonts w:ascii="Cambria Math" w:hAnsi="Cambria Math" w:cs="Times New Roman"/>
                      </w:rPr>
                      <m:t>t</m:t>
                    </m:r>
                  </m:sub>
                </m:sSub>
                <m:r>
                  <m:rPr>
                    <m:sty m:val="p"/>
                  </m:rPr>
                  <w:rPr>
                    <w:rFonts w:ascii="Cambria Math" w:hAnsi="Cambria Math" w:cs="Times New Roman"/>
                  </w:rPr>
                  <m:t>,</m:t>
                </m:r>
              </m:e>
              <m:e>
                <m:r>
                  <w:rPr>
                    <w:rFonts w:ascii="Cambria Math" w:hAnsi="Cambria Math" w:cs="Times New Roman"/>
                  </w:rPr>
                  <m:t xml:space="preserve">         </m:t>
                </m:r>
              </m:e>
              <m:e>
                <m:r>
                  <w:rPr>
                    <w:rFonts w:ascii="Cambria Math" w:hAnsi="Cambria Math" w:cs="Times New Roman"/>
                  </w:rPr>
                  <m:t xml:space="preserve"> </m:t>
                </m:r>
              </m:e>
              <m:e>
                <m:r>
                  <w:rPr>
                    <w:rFonts w:ascii="Cambria Math" w:hAnsi="Cambria Math" w:cs="Times New Roman"/>
                  </w:rPr>
                  <m:t xml:space="preserve"> </m:t>
                </m:r>
              </m:e>
              <m:e>
                <m:r>
                  <w:rPr>
                    <w:rFonts w:ascii="Cambria Math" w:hAnsi="Cambria Math" w:cs="Times New Roman"/>
                  </w:rPr>
                  <m:t xml:space="preserve">        </m:t>
                </m:r>
              </m:e>
              <m:e/>
            </m:mr>
          </m:m>
        </m:oMath>
      </m:oMathPara>
    </w:p>
    <w:p w:rsidR="001E521D" w:rsidRPr="001E521D" w:rsidRDefault="00027DA8" w:rsidP="001E521D">
      <w:pPr>
        <w:spacing w:after="240" w:line="276" w:lineRule="auto"/>
        <w:jc w:val="both"/>
        <w:rPr>
          <w:rFonts w:ascii="Times New Roman" w:eastAsiaTheme="minorEastAsia" w:hAnsi="Times New Roman" w:cs="Times New Roman"/>
          <w:bCs/>
        </w:rPr>
      </w:pPr>
      <m:oMathPara>
        <m:oMath>
          <m:sSub>
            <m:sSubPr>
              <m:ctrlPr>
                <w:rPr>
                  <w:rFonts w:ascii="Cambria Math" w:hAnsi="Cambria Math" w:cs="Times New Roman"/>
                  <w:bCs/>
                </w:rPr>
              </m:ctrlPr>
            </m:sSubPr>
            <m:e>
              <m:r>
                <w:rPr>
                  <w:rFonts w:ascii="Cambria Math" w:hAnsi="Cambria Math" w:cs="Times New Roman"/>
                </w:rPr>
                <m:t>g</m:t>
              </m:r>
            </m:e>
            <m:sub>
              <m:r>
                <m:rPr>
                  <m:sty m:val="p"/>
                </m:rPr>
                <w:rPr>
                  <w:rFonts w:ascii="Cambria Math" w:hAnsi="Cambria Math" w:cs="Times New Roman"/>
                </w:rPr>
                <m:t>2</m:t>
              </m:r>
            </m:sub>
          </m:sSub>
          <m:d>
            <m:dPr>
              <m:ctrlPr>
                <w:rPr>
                  <w:rFonts w:ascii="Cambria Math" w:hAnsi="Cambria Math" w:cs="Times New Roman"/>
                  <w:bCs/>
                </w:rPr>
              </m:ctrlPr>
            </m:dPr>
            <m:e>
              <m:sSub>
                <m:sSubPr>
                  <m:ctrlPr>
                    <w:rPr>
                      <w:rFonts w:ascii="Cambria Math" w:hAnsi="Cambria Math" w:cs="Times New Roman"/>
                      <w:bCs/>
                    </w:rPr>
                  </m:ctrlPr>
                </m:sSubPr>
                <m:e>
                  <m:r>
                    <w:rPr>
                      <w:rFonts w:ascii="Cambria Math" w:hAnsi="Cambria Math" w:cs="Times New Roman"/>
                    </w:rPr>
                    <m:t>σ</m:t>
                  </m:r>
                </m:e>
                <m:sub>
                  <m:r>
                    <w:rPr>
                      <w:rFonts w:ascii="Cambria Math" w:hAnsi="Cambria Math" w:cs="Times New Roman"/>
                    </w:rPr>
                    <m:t>t</m:t>
                  </m:r>
                </m:sub>
              </m:sSub>
            </m:e>
          </m:d>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δ</m:t>
              </m:r>
            </m:e>
            <m:sub>
              <m:r>
                <m:rPr>
                  <m:sty m:val="p"/>
                </m:rPr>
                <w:rPr>
                  <w:rFonts w:ascii="Cambria Math" w:hAnsi="Cambria Math" w:cs="Times New Roman"/>
                </w:rPr>
                <m:t>0</m:t>
              </m:r>
            </m:sub>
          </m:sSub>
          <m:r>
            <m:rPr>
              <m:sty m:val="p"/>
            </m:rPr>
            <w:rPr>
              <w:rFonts w:ascii="Cambria Math" w:hAnsi="Cambria Math" w:cs="Times New Roman"/>
            </w:rPr>
            <m:t>+</m:t>
          </m:r>
          <m:sSup>
            <m:sSupPr>
              <m:ctrlPr>
                <w:rPr>
                  <w:rFonts w:ascii="Cambria Math" w:hAnsi="Cambria Math" w:cs="Times New Roman"/>
                  <w:bCs/>
                </w:rPr>
              </m:ctrlPr>
            </m:sSupPr>
            <m:e>
              <m:r>
                <w:rPr>
                  <w:rFonts w:ascii="Cambria Math" w:hAnsi="Cambria Math" w:cs="Times New Roman"/>
                </w:rPr>
                <m:t>δ</m:t>
              </m:r>
            </m:e>
            <m:sup>
              <m:r>
                <m:rPr>
                  <m:sty m:val="p"/>
                </m:rPr>
                <w:rPr>
                  <w:rFonts w:ascii="Cambria Math" w:hAnsi="Cambria Math" w:cs="Times New Roman"/>
                </w:rPr>
                <m:t>'</m:t>
              </m:r>
            </m:sup>
          </m:sSup>
          <m:sSub>
            <m:sSubPr>
              <m:ctrlPr>
                <w:rPr>
                  <w:rFonts w:ascii="Cambria Math" w:hAnsi="Cambria Math" w:cs="Times New Roman"/>
                  <w:bCs/>
                </w:rPr>
              </m:ctrlPr>
            </m:sSubPr>
            <m:e>
              <m:r>
                <w:rPr>
                  <w:rFonts w:ascii="Cambria Math" w:hAnsi="Cambria Math" w:cs="Times New Roman"/>
                </w:rPr>
                <m:t>W</m:t>
              </m:r>
            </m:e>
            <m:sub>
              <m:r>
                <w:rPr>
                  <w:rFonts w:ascii="Cambria Math" w:hAnsi="Cambria Math" w:cs="Times New Roman"/>
                </w:rPr>
                <m:t>t</m:t>
              </m:r>
            </m:sub>
          </m:sSub>
          <m:r>
            <m:rPr>
              <m:sty m:val="p"/>
            </m:rPr>
            <w:rPr>
              <w:rFonts w:ascii="Cambria Math" w:hAnsi="Cambria Math" w:cs="Times New Roman"/>
            </w:rPr>
            <m:t>,</m:t>
          </m:r>
          <m:r>
            <m:rPr>
              <m:nor/>
            </m:rPr>
            <w:rPr>
              <w:rFonts w:ascii="Times New Roman" w:hAnsi="Times New Roman" w:cs="Times New Roman"/>
              <w:bCs/>
            </w:rPr>
            <m:t xml:space="preserve"> </m:t>
          </m:r>
        </m:oMath>
      </m:oMathPara>
    </w:p>
    <w:p w:rsidR="001E521D" w:rsidRPr="001E521D" w:rsidRDefault="00027DA8" w:rsidP="001E521D">
      <w:pPr>
        <w:spacing w:after="240" w:line="276" w:lineRule="auto"/>
        <w:jc w:val="both"/>
        <w:rPr>
          <w:rFonts w:ascii="Times New Roman" w:eastAsiaTheme="minorEastAsia" w:hAnsi="Times New Roman" w:cs="Times New Roman"/>
          <w:bCs/>
        </w:rPr>
      </w:pPr>
      <m:oMathPara>
        <m:oMath>
          <m:sSub>
            <m:sSubPr>
              <m:ctrlPr>
                <w:rPr>
                  <w:rFonts w:ascii="Cambria Math" w:hAnsi="Cambria Math" w:cs="Times New Roman"/>
                  <w:bCs/>
                </w:rPr>
              </m:ctrlPr>
            </m:sSubPr>
            <m:e>
              <m:r>
                <w:rPr>
                  <w:rFonts w:ascii="Cambria Math" w:hAnsi="Cambria Math" w:cs="Times New Roman"/>
                </w:rPr>
                <m:t>g</m:t>
              </m:r>
            </m:e>
            <m:sub>
              <m:r>
                <m:rPr>
                  <m:sty m:val="p"/>
                </m:rPr>
                <w:rPr>
                  <w:rFonts w:ascii="Cambria Math" w:hAnsi="Cambria Math" w:cs="Times New Roman"/>
                </w:rPr>
                <m:t>3</m:t>
              </m:r>
            </m:sub>
          </m:sSub>
          <m:d>
            <m:dPr>
              <m:ctrlPr>
                <w:rPr>
                  <w:rFonts w:ascii="Cambria Math" w:hAnsi="Cambria Math" w:cs="Times New Roman"/>
                  <w:bCs/>
                </w:rPr>
              </m:ctrlPr>
            </m:dPr>
            <m:e>
              <m:sSub>
                <m:sSubPr>
                  <m:ctrlPr>
                    <w:rPr>
                      <w:rFonts w:ascii="Cambria Math" w:hAnsi="Cambria Math" w:cs="Times New Roman"/>
                      <w:bCs/>
                    </w:rPr>
                  </m:ctrlPr>
                </m:sSubPr>
                <m:e>
                  <m:r>
                    <w:rPr>
                      <w:rFonts w:ascii="Cambria Math" w:hAnsi="Cambria Math" w:cs="Times New Roman"/>
                    </w:rPr>
                    <m:t>ν</m:t>
                  </m:r>
                </m:e>
                <m:sub>
                  <m:r>
                    <w:rPr>
                      <w:rFonts w:ascii="Cambria Math" w:hAnsi="Cambria Math" w:cs="Times New Roman"/>
                    </w:rPr>
                    <m:t>t</m:t>
                  </m:r>
                </m:sub>
              </m:sSub>
            </m:e>
          </m:d>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η</m:t>
              </m:r>
            </m:e>
            <m:sub>
              <m:r>
                <m:rPr>
                  <m:sty m:val="p"/>
                </m:rPr>
                <w:rPr>
                  <w:rFonts w:ascii="Cambria Math" w:hAnsi="Cambria Math" w:cs="Times New Roman"/>
                </w:rPr>
                <m:t>0</m:t>
              </m:r>
            </m:sub>
          </m:sSub>
          <m:r>
            <m:rPr>
              <m:sty m:val="p"/>
            </m:rPr>
            <w:rPr>
              <w:rFonts w:ascii="Cambria Math" w:hAnsi="Cambria Math" w:cs="Times New Roman"/>
            </w:rPr>
            <m:t>,</m:t>
          </m:r>
          <m:r>
            <m:rPr>
              <m:nor/>
            </m:rPr>
            <w:rPr>
              <w:rFonts w:ascii="Times New Roman" w:hAnsi="Times New Roman" w:cs="Times New Roman"/>
              <w:bCs/>
            </w:rPr>
            <m:t xml:space="preserve"> </m:t>
          </m:r>
        </m:oMath>
      </m:oMathPara>
    </w:p>
    <w:p w:rsidR="001E521D" w:rsidRPr="001E521D" w:rsidRDefault="00027DA8" w:rsidP="001E521D">
      <w:pPr>
        <w:spacing w:after="240" w:line="276" w:lineRule="auto"/>
        <w:jc w:val="both"/>
        <w:rPr>
          <w:rFonts w:ascii="Times New Roman" w:hAnsi="Times New Roman" w:cs="Times New Roman"/>
          <w:bCs/>
        </w:rPr>
      </w:pPr>
      <m:oMathPara>
        <m:oMath>
          <m:sSub>
            <m:sSubPr>
              <m:ctrlPr>
                <w:rPr>
                  <w:rFonts w:ascii="Cambria Math" w:hAnsi="Cambria Math" w:cs="Times New Roman"/>
                  <w:bCs/>
                </w:rPr>
              </m:ctrlPr>
            </m:sSubPr>
            <m:e>
              <m:r>
                <w:rPr>
                  <w:rFonts w:ascii="Cambria Math" w:hAnsi="Cambria Math" w:cs="Times New Roman"/>
                </w:rPr>
                <m:t>g</m:t>
              </m:r>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τ</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 xml:space="preserve"> </m:t>
          </m:r>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ξ</m:t>
              </m:r>
            </m:e>
            <m:sub>
              <m:r>
                <m:rPr>
                  <m:sty m:val="p"/>
                </m:rPr>
                <w:rPr>
                  <w:rFonts w:ascii="Cambria Math" w:hAnsi="Cambria Math" w:cs="Times New Roman"/>
                </w:rPr>
                <m:t>0</m:t>
              </m:r>
            </m:sub>
          </m:sSub>
          <m:r>
            <m:rPr>
              <m:sty m:val="p"/>
            </m:rPr>
            <w:rPr>
              <w:rFonts w:ascii="Cambria Math" w:hAnsi="Cambria Math" w:cs="Times New Roman"/>
            </w:rPr>
            <m:t>,</m:t>
          </m:r>
        </m:oMath>
      </m:oMathPara>
    </w:p>
    <w:p w:rsidR="00774387" w:rsidRPr="00380A42" w:rsidRDefault="00774387" w:rsidP="00E11B49">
      <w:pPr>
        <w:jc w:val="both"/>
        <w:rPr>
          <w:rFonts w:ascii="Times New Roman" w:hAnsi="Times New Roman" w:cs="Times New Roman"/>
        </w:rPr>
      </w:pPr>
    </w:p>
    <w:p w:rsidR="00774387" w:rsidRPr="00380A42" w:rsidRDefault="00774387" w:rsidP="00E11B49">
      <w:pPr>
        <w:jc w:val="both"/>
        <w:rPr>
          <w:rFonts w:ascii="Times New Roman" w:hAnsi="Times New Roman" w:cs="Times New Roman"/>
        </w:rPr>
      </w:pPr>
      <w:r w:rsidRPr="00380A42">
        <w:rPr>
          <w:rFonts w:ascii="Times New Roman" w:hAnsi="Times New Roman" w:cs="Times New Roman"/>
        </w:rPr>
        <w:t xml:space="preserve">where </w:t>
      </w:r>
      <m:oMath>
        <m:r>
          <w:rPr>
            <w:rFonts w:ascii="Cambria Math" w:eastAsia="Times New Roman" w:hAnsi="Cambria Math" w:cs="Times New Roman"/>
          </w:rPr>
          <m:t>(</m:t>
        </m:r>
        <m:sSub>
          <m:sSubPr>
            <m:ctrlPr>
              <w:rPr>
                <w:rFonts w:ascii="Cambria Math" w:eastAsia="Times New Roman" w:hAnsi="Cambria Math" w:cs="Times New Roman"/>
                <w:bCs/>
                <w:i/>
              </w:rPr>
            </m:ctrlPr>
          </m:sSubPr>
          <m:e>
            <m:r>
              <w:rPr>
                <w:rFonts w:ascii="Cambria Math" w:eastAsia="Times New Roman" w:hAnsi="Cambria Math" w:cs="Times New Roman"/>
              </w:rPr>
              <m:t>Z</m:t>
            </m:r>
          </m:e>
          <m:sub>
            <m:r>
              <w:rPr>
                <w:rFonts w:ascii="Cambria Math" w:eastAsia="Times New Roman" w:hAnsi="Cambria Math" w:cs="Times New Roman"/>
              </w:rPr>
              <m:t>t</m:t>
            </m:r>
          </m:sub>
        </m:sSub>
        <m:r>
          <w:rPr>
            <w:rFonts w:ascii="Cambria Math" w:eastAsia="Times New Roman" w:hAnsi="Cambria Math" w:cs="Times New Roman"/>
          </w:rPr>
          <m:t>)</m:t>
        </m:r>
      </m:oMath>
      <w:r w:rsidR="007C59F4" w:rsidRPr="00C61471">
        <w:rPr>
          <w:rFonts w:eastAsia="Times New Roman" w:hAnsi="Times New Roman" w:cs="Times New Roman"/>
          <w:bCs/>
        </w:rPr>
        <w:t xml:space="preserve"> </w:t>
      </w:r>
      <w:r w:rsidRPr="00380A42">
        <w:rPr>
          <w:rFonts w:ascii="Times New Roman" w:hAnsi="Times New Roman" w:cs="Times New Roman"/>
        </w:rPr>
        <w:t xml:space="preserve">refers to the macroeconomic controls, and </w:t>
      </w:r>
      <m:oMath>
        <m:r>
          <w:rPr>
            <w:rFonts w:ascii="Cambria Math" w:eastAsia="Times New Roman" w:hAnsi="Cambria Math" w:cs="Times New Roman"/>
          </w:rPr>
          <m:t>(</m:t>
        </m:r>
        <m:sSub>
          <m:sSubPr>
            <m:ctrlPr>
              <w:rPr>
                <w:rFonts w:ascii="Cambria Math" w:eastAsia="Times New Roman" w:hAnsi="Cambria Math" w:cs="Times New Roman"/>
                <w:bCs/>
                <w:i/>
              </w:rPr>
            </m:ctrlPr>
          </m:sSubPr>
          <m:e>
            <m:r>
              <w:rPr>
                <w:rFonts w:ascii="Cambria Math" w:eastAsia="Times New Roman" w:hAnsi="Cambria Math" w:cs="Times New Roman"/>
              </w:rPr>
              <m:t>W</m:t>
            </m:r>
          </m:e>
          <m:sub>
            <m:r>
              <w:rPr>
                <w:rFonts w:ascii="Cambria Math" w:eastAsia="Times New Roman" w:hAnsi="Cambria Math" w:cs="Times New Roman"/>
              </w:rPr>
              <m:t>t</m:t>
            </m:r>
          </m:sub>
        </m:sSub>
        <m:r>
          <w:rPr>
            <w:rFonts w:ascii="Cambria Math" w:eastAsia="Times New Roman" w:hAnsi="Cambria Math" w:cs="Times New Roman"/>
          </w:rPr>
          <m:t>)</m:t>
        </m:r>
      </m:oMath>
      <w:r w:rsidR="007C59F4">
        <w:rPr>
          <w:rFonts w:ascii="Times New Roman" w:eastAsiaTheme="minorEastAsia" w:hAnsi="Times New Roman" w:cs="Times New Roman"/>
        </w:rPr>
        <w:t xml:space="preserve"> </w:t>
      </w:r>
      <w:r w:rsidRPr="00380A42">
        <w:rPr>
          <w:rFonts w:ascii="Times New Roman" w:hAnsi="Times New Roman" w:cs="Times New Roman"/>
        </w:rPr>
        <w:t>can include either lagged growth or proxies of volatility. Appropriate use of log and identity links is used to make sure that there are parameter constraints.</w:t>
      </w:r>
      <w:r w:rsidR="007C59F4">
        <w:rPr>
          <w:rFonts w:ascii="Times New Roman" w:hAnsi="Times New Roman" w:cs="Times New Roman"/>
        </w:rPr>
        <w:t xml:space="preserve"> </w:t>
      </w:r>
      <w:r w:rsidRPr="00380A42">
        <w:rPr>
          <w:rFonts w:ascii="Times New Roman" w:hAnsi="Times New Roman" w:cs="Times New Roman"/>
        </w:rPr>
        <w:t>It is a formulation that allows agricultural subsectors to not only affect the anticipated amount of economic expansion, but also its volatility and distributional asymmetry</w:t>
      </w:r>
      <w:r w:rsidR="007C59F4">
        <w:rPr>
          <w:rFonts w:ascii="Times New Roman" w:hAnsi="Times New Roman" w:cs="Times New Roman"/>
        </w:rPr>
        <w:t>,</w:t>
      </w:r>
      <w:r w:rsidRPr="00380A42">
        <w:rPr>
          <w:rFonts w:ascii="Times New Roman" w:hAnsi="Times New Roman" w:cs="Times New Roman"/>
        </w:rPr>
        <w:t xml:space="preserve"> a key aspect to economies vulnerable to frequent shocks. To this end, four distributions that are usually successful in modelling macroeconomic growth are approximated. Normal (NO) as standard symmetric, Student-t (TF) - heavy-tailed, Weibull (WEI) - flexible to model asymmetric growth, and Generalized Gamma (GG) - model asymmetric growth. A full GAMLSS regression is fitted using the same covariate structures in every distribution.</w:t>
      </w:r>
    </w:p>
    <w:p w:rsidR="00774387" w:rsidRDefault="00774387" w:rsidP="00E11B49">
      <w:pPr>
        <w:jc w:val="both"/>
        <w:rPr>
          <w:rFonts w:ascii="Times New Roman" w:hAnsi="Times New Roman" w:cs="Times New Roman"/>
        </w:rPr>
      </w:pPr>
      <w:r w:rsidRPr="00380A42">
        <w:rPr>
          <w:rFonts w:ascii="Times New Roman" w:hAnsi="Times New Roman" w:cs="Times New Roman"/>
        </w:rPr>
        <w:lastRenderedPageBreak/>
        <w:t xml:space="preserve">The Akaike Information Criterion (AIC), Bayesian Information Criterion (BIC), Global deviance and </w:t>
      </w:r>
      <m:oMath>
        <m:sSup>
          <m:sSupPr>
            <m:ctrlPr>
              <w:rPr>
                <w:rFonts w:ascii="Cambria Math" w:hAnsi="Cambria Math"/>
                <w:bCs/>
                <w:i/>
              </w:rPr>
            </m:ctrlPr>
          </m:sSupPr>
          <m:e>
            <m:r>
              <w:rPr>
                <w:rFonts w:ascii="Cambria Math" w:hAnsi="Cambria Math"/>
              </w:rPr>
              <m:t>R</m:t>
            </m:r>
          </m:e>
          <m:sup>
            <m:r>
              <w:rPr>
                <w:rFonts w:ascii="Cambria Math" w:hAnsi="Cambria Math"/>
              </w:rPr>
              <m:t>2</m:t>
            </m:r>
          </m:sup>
        </m:sSup>
      </m:oMath>
      <w:r w:rsidR="008D0381">
        <w:rPr>
          <w:bCs/>
        </w:rPr>
        <w:t xml:space="preserve"> </w:t>
      </w:r>
      <w:r w:rsidRPr="00380A42">
        <w:rPr>
          <w:rFonts w:ascii="Times New Roman" w:hAnsi="Times New Roman" w:cs="Times New Roman"/>
        </w:rPr>
        <w:t xml:space="preserve">are used to select the </w:t>
      </w:r>
      <w:r w:rsidR="008D0381">
        <w:rPr>
          <w:rFonts w:ascii="Times New Roman" w:hAnsi="Times New Roman" w:cs="Times New Roman"/>
        </w:rPr>
        <w:t xml:space="preserve">best fitted </w:t>
      </w:r>
      <w:r w:rsidRPr="00380A42">
        <w:rPr>
          <w:rFonts w:ascii="Times New Roman" w:hAnsi="Times New Roman" w:cs="Times New Roman"/>
        </w:rPr>
        <w:t xml:space="preserve">model. The estimation is done on all models in R version 4.3 with Package </w:t>
      </w:r>
      <w:proofErr w:type="spellStart"/>
      <w:r w:rsidRPr="00380A42">
        <w:rPr>
          <w:rFonts w:ascii="Times New Roman" w:hAnsi="Times New Roman" w:cs="Times New Roman"/>
        </w:rPr>
        <w:t>gamlss</w:t>
      </w:r>
      <w:proofErr w:type="spellEnd"/>
      <w:r w:rsidRPr="00380A42">
        <w:rPr>
          <w:rFonts w:ascii="Times New Roman" w:hAnsi="Times New Roman" w:cs="Times New Roman"/>
        </w:rPr>
        <w:t xml:space="preserve"> and </w:t>
      </w:r>
      <w:proofErr w:type="spellStart"/>
      <w:r w:rsidRPr="00380A42">
        <w:rPr>
          <w:rFonts w:ascii="Times New Roman" w:hAnsi="Times New Roman" w:cs="Times New Roman"/>
        </w:rPr>
        <w:t>gamlss.dist</w:t>
      </w:r>
      <w:proofErr w:type="spellEnd"/>
      <w:r w:rsidRPr="00380A42">
        <w:rPr>
          <w:rFonts w:ascii="Times New Roman" w:hAnsi="Times New Roman" w:cs="Times New Roman"/>
        </w:rPr>
        <w:t xml:space="preserve">. </w:t>
      </w:r>
    </w:p>
    <w:p w:rsidR="008D0381" w:rsidRDefault="008D0381" w:rsidP="00E11B49">
      <w:pPr>
        <w:jc w:val="both"/>
        <w:rPr>
          <w:rFonts w:ascii="Times New Roman" w:hAnsi="Times New Roman" w:cs="Times New Roman"/>
        </w:rPr>
      </w:pPr>
    </w:p>
    <w:p w:rsidR="008D0381" w:rsidRPr="008D0381" w:rsidRDefault="008D0381" w:rsidP="008D0381">
      <w:pPr>
        <w:spacing w:before="240" w:line="276" w:lineRule="auto"/>
        <w:jc w:val="both"/>
        <w:rPr>
          <w:rFonts w:ascii="Times New Roman" w:hAnsi="Times New Roman" w:cs="Times New Roman"/>
          <w:sz w:val="8"/>
          <w:szCs w:val="6"/>
        </w:rPr>
      </w:pPr>
      <w:bookmarkStart w:id="3" w:name="bm_3_0_results"/>
      <w:r w:rsidRPr="008D0381">
        <w:rPr>
          <w:rFonts w:ascii="Times New Roman" w:hAnsi="Times New Roman" w:cs="Times New Roman"/>
          <w:b/>
          <w:szCs w:val="6"/>
        </w:rPr>
        <w:t>3.0 Results</w:t>
      </w:r>
      <w:bookmarkEnd w:id="3"/>
    </w:p>
    <w:p w:rsidR="008D0381" w:rsidRPr="008D0381" w:rsidRDefault="008D0381" w:rsidP="008D0381">
      <w:pPr>
        <w:spacing w:line="276" w:lineRule="auto"/>
        <w:rPr>
          <w:rFonts w:ascii="Times New Roman" w:hAnsi="Times New Roman" w:cs="Times New Roman"/>
          <w:bCs/>
          <w:szCs w:val="12"/>
        </w:rPr>
      </w:pPr>
      <w:bookmarkStart w:id="4" w:name="descriptive_statistics_table"/>
      <w:r w:rsidRPr="008D0381">
        <w:rPr>
          <w:rFonts w:ascii="Times New Roman" w:hAnsi="Times New Roman" w:cs="Times New Roman"/>
          <w:bCs/>
          <w:szCs w:val="12"/>
        </w:rPr>
        <w:t xml:space="preserve">Table 1: Descriptive Statistics </w:t>
      </w:r>
      <w:bookmarkEnd w:id="4"/>
      <w:r w:rsidRPr="008D0381">
        <w:rPr>
          <w:rFonts w:ascii="Times New Roman" w:hAnsi="Times New Roman" w:cs="Times New Roman"/>
          <w:bCs/>
          <w:szCs w:val="12"/>
        </w:rPr>
        <w:t>and Distributional Properties of the Variables</w:t>
      </w:r>
    </w:p>
    <w:tbl>
      <w:tblPr>
        <w:tblStyle w:val="TableGrid"/>
        <w:tblW w:w="8917" w:type="dxa"/>
        <w:tblInd w:w="-5" w:type="dxa"/>
        <w:tblLook w:val="04A0" w:firstRow="1" w:lastRow="0" w:firstColumn="1" w:lastColumn="0" w:noHBand="0" w:noVBand="1"/>
      </w:tblPr>
      <w:tblGrid>
        <w:gridCol w:w="1285"/>
        <w:gridCol w:w="931"/>
        <w:gridCol w:w="931"/>
        <w:gridCol w:w="931"/>
        <w:gridCol w:w="931"/>
        <w:gridCol w:w="931"/>
        <w:gridCol w:w="931"/>
        <w:gridCol w:w="1084"/>
        <w:gridCol w:w="962"/>
      </w:tblGrid>
      <w:tr w:rsidR="008D0381" w:rsidRPr="008D0381" w:rsidTr="00492056">
        <w:trPr>
          <w:trHeight w:hRule="exact" w:val="496"/>
        </w:trPr>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Variable</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Min</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027DA8" w:rsidP="008D0381">
            <w:pPr>
              <w:spacing w:after="120" w:line="276" w:lineRule="auto"/>
              <w:jc w:val="center"/>
              <w:rPr>
                <w:rFonts w:hAnsi="Times New Roman" w:cs="Times New Roman"/>
                <w:bCs/>
                <w:sz w:val="22"/>
              </w:rPr>
            </w:pPr>
            <m:oMathPara>
              <m:oMath>
                <m:sSub>
                  <m:sSubPr>
                    <m:ctrlPr>
                      <w:rPr>
                        <w:rFonts w:ascii="Cambria Math" w:hAnsi="Cambria Math" w:cs="Times New Roman"/>
                        <w:bCs/>
                        <w:i/>
                        <w:sz w:val="22"/>
                      </w:rPr>
                    </m:ctrlPr>
                  </m:sSubPr>
                  <m:e>
                    <m:r>
                      <w:rPr>
                        <w:rFonts w:ascii="Cambria Math" w:hAnsi="Cambria Math" w:cs="Times New Roman"/>
                        <w:sz w:val="22"/>
                      </w:rPr>
                      <m:t>Q</m:t>
                    </m:r>
                  </m:e>
                  <m:sub>
                    <m:r>
                      <w:rPr>
                        <w:rFonts w:ascii="Cambria Math" w:hAnsi="Cambria Math" w:cs="Times New Roman"/>
                        <w:sz w:val="22"/>
                      </w:rPr>
                      <m:t>1</m:t>
                    </m:r>
                  </m:sub>
                </m:sSub>
              </m:oMath>
            </m:oMathPara>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Mean</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Median</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027DA8" w:rsidP="008D0381">
            <w:pPr>
              <w:spacing w:after="120" w:line="276" w:lineRule="auto"/>
              <w:jc w:val="center"/>
              <w:rPr>
                <w:rFonts w:hAnsi="Times New Roman" w:cs="Times New Roman"/>
                <w:bCs/>
                <w:sz w:val="22"/>
              </w:rPr>
            </w:pPr>
            <m:oMathPara>
              <m:oMath>
                <m:sSub>
                  <m:sSubPr>
                    <m:ctrlPr>
                      <w:rPr>
                        <w:rFonts w:ascii="Cambria Math" w:hAnsi="Cambria Math" w:cs="Times New Roman"/>
                        <w:bCs/>
                        <w:i/>
                        <w:sz w:val="22"/>
                      </w:rPr>
                    </m:ctrlPr>
                  </m:sSubPr>
                  <m:e>
                    <m:r>
                      <w:rPr>
                        <w:rFonts w:ascii="Cambria Math" w:hAnsi="Cambria Math" w:cs="Times New Roman"/>
                        <w:sz w:val="22"/>
                      </w:rPr>
                      <m:t>Q</m:t>
                    </m:r>
                  </m:e>
                  <m:sub>
                    <m:r>
                      <w:rPr>
                        <w:rFonts w:ascii="Cambria Math" w:hAnsi="Cambria Math" w:cs="Times New Roman"/>
                        <w:sz w:val="22"/>
                      </w:rPr>
                      <m:t>3</m:t>
                    </m:r>
                  </m:sub>
                </m:sSub>
              </m:oMath>
            </m:oMathPara>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Max</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Skewness</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Kurtosis</w:t>
            </w:r>
          </w:p>
        </w:tc>
      </w:tr>
      <w:tr w:rsidR="008D0381" w:rsidRPr="008D0381" w:rsidTr="00492056">
        <w:trPr>
          <w:trHeight w:hRule="exact" w:val="496"/>
        </w:trPr>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GDP</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12583.5</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20391.0</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32721.2</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28803.8</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40902.0</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68908.3</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0.80</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-0.40</w:t>
            </w:r>
          </w:p>
        </w:tc>
      </w:tr>
      <w:tr w:rsidR="008D0381" w:rsidRPr="008D0381" w:rsidTr="008D0381">
        <w:trPr>
          <w:trHeight w:hRule="exact" w:val="613"/>
        </w:trPr>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Crop Production</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2262.18</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3128.00</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3773.56</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3627.80</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4514.00</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5332.95</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0.25</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-1.12</w:t>
            </w:r>
          </w:p>
        </w:tc>
      </w:tr>
      <w:tr w:rsidR="008D0381" w:rsidRPr="008D0381" w:rsidTr="00492056">
        <w:trPr>
          <w:trHeight w:hRule="exact" w:val="496"/>
        </w:trPr>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Livestock</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169.62</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258.10</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282.95</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283.97</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302.00</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349.86</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-0.34</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0.04</w:t>
            </w:r>
          </w:p>
        </w:tc>
      </w:tr>
      <w:tr w:rsidR="008D0381" w:rsidRPr="008D0381" w:rsidTr="00492056">
        <w:trPr>
          <w:trHeight w:hRule="exact" w:val="496"/>
        </w:trPr>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Forestry</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30.16</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38.77</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43.52</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43.44</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49.15</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54.85</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-0.15</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-0.91</w:t>
            </w:r>
          </w:p>
        </w:tc>
      </w:tr>
      <w:tr w:rsidR="008D0381" w:rsidRPr="008D0381" w:rsidTr="00492056">
        <w:trPr>
          <w:trHeight w:hRule="exact" w:val="496"/>
        </w:trPr>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Fishing</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58.21</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74.29</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86.65</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83.94</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98.72</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125.46</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0.54</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-0.47</w:t>
            </w:r>
          </w:p>
        </w:tc>
      </w:tr>
    </w:tbl>
    <w:p w:rsidR="008D0381" w:rsidRPr="008D0381" w:rsidRDefault="008D0381" w:rsidP="008D0381">
      <w:pPr>
        <w:spacing w:line="276" w:lineRule="auto"/>
        <w:jc w:val="both"/>
        <w:rPr>
          <w:rFonts w:ascii="Times New Roman" w:hAnsi="Times New Roman" w:cs="Times New Roman"/>
          <w:bCs/>
          <w:szCs w:val="12"/>
        </w:rPr>
      </w:pPr>
    </w:p>
    <w:p w:rsidR="00774387" w:rsidRPr="00380A42" w:rsidRDefault="00774387" w:rsidP="00E11B49">
      <w:pPr>
        <w:jc w:val="both"/>
        <w:rPr>
          <w:rFonts w:ascii="Times New Roman" w:hAnsi="Times New Roman" w:cs="Times New Roman"/>
        </w:rPr>
      </w:pPr>
      <w:r w:rsidRPr="00380A42">
        <w:rPr>
          <w:rFonts w:ascii="Times New Roman" w:hAnsi="Times New Roman" w:cs="Times New Roman"/>
        </w:rPr>
        <w:t>Table 1 displays the descriptive statistics of GDP and the agricultural sub-sectors (Crop Production, Livestock, Forestry, and Fishing) in the study period. The findings indicate that there is a tremendous fluctuation in the GDP with the lowest and highest values of 12,583.48 and 68,908.26 respectively and a mean of 32,721.17. The average is greater than the median (28,803.83)</w:t>
      </w:r>
      <w:r w:rsidR="003E438F">
        <w:rPr>
          <w:rFonts w:ascii="Times New Roman" w:hAnsi="Times New Roman" w:cs="Times New Roman"/>
        </w:rPr>
        <w:t>. T</w:t>
      </w:r>
      <w:r w:rsidRPr="00380A42">
        <w:rPr>
          <w:rFonts w:ascii="Times New Roman" w:hAnsi="Times New Roman" w:cs="Times New Roman"/>
        </w:rPr>
        <w:t>he positive skewness value (0.80) indicates the presence of a right skewed distribution. The value of kurtosis (-0.40) is a slight negative value indicating that the distribution is slightly platykurtic meaning that the peak is flatter than the normal distribution. The Crop Production has a mean of 3, 773.56 and a median of 3, 627.80 with fairly mild positive skew</w:t>
      </w:r>
      <w:r w:rsidR="006050C8">
        <w:rPr>
          <w:rFonts w:ascii="Times New Roman" w:hAnsi="Times New Roman" w:cs="Times New Roman"/>
        </w:rPr>
        <w:t>ness</w:t>
      </w:r>
      <w:r w:rsidRPr="00380A42">
        <w:rPr>
          <w:rFonts w:ascii="Times New Roman" w:hAnsi="Times New Roman" w:cs="Times New Roman"/>
        </w:rPr>
        <w:t xml:space="preserve"> (0.25). The kurtosis (-1.12) however indicates a relatively flat distribution meaning. The livestock production has a mean of 282.95, median of 283.97 and skewness is slightly negative (-0.34), which means it has a weak left-tail behavior. It has a kurtosis (0.04) that is approximately </w:t>
      </w:r>
      <w:proofErr w:type="spellStart"/>
      <w:r w:rsidRPr="00380A42">
        <w:rPr>
          <w:rFonts w:ascii="Times New Roman" w:hAnsi="Times New Roman" w:cs="Times New Roman"/>
        </w:rPr>
        <w:t>mesokurtic</w:t>
      </w:r>
      <w:proofErr w:type="spellEnd"/>
      <w:r w:rsidRPr="00380A42">
        <w:rPr>
          <w:rFonts w:ascii="Times New Roman" w:hAnsi="Times New Roman" w:cs="Times New Roman"/>
        </w:rPr>
        <w:t xml:space="preserve"> implying that it is nearly normally distributed. Forestry and Fishing have moderate variation as compared to GDP and Crop Production. Forestry is indicated to be almost symmetrical (skewness = -0.15) as well as platykurtic (-0.91) whereas Fishing has moderately positive skewness (0.54), as there are occasional positive high output values. A flatter than normal distribution can also be seen by the kurtosis of Fishing (-0.47).</w:t>
      </w:r>
    </w:p>
    <w:p w:rsidR="003E438F" w:rsidRPr="00B71429" w:rsidRDefault="003E438F" w:rsidP="003E438F">
      <w:pPr>
        <w:spacing w:line="276" w:lineRule="auto"/>
        <w:jc w:val="both"/>
        <w:rPr>
          <w:bCs/>
          <w:szCs w:val="12"/>
        </w:rPr>
      </w:pPr>
    </w:p>
    <w:p w:rsidR="003E438F" w:rsidRDefault="003E438F" w:rsidP="003E438F">
      <w:pPr>
        <w:spacing w:line="276" w:lineRule="auto"/>
        <w:jc w:val="center"/>
        <w:rPr>
          <w:bCs/>
        </w:rPr>
      </w:pPr>
      <w:r w:rsidRPr="003C2C2B">
        <w:rPr>
          <w:noProof/>
        </w:rPr>
        <w:lastRenderedPageBreak/>
        <w:drawing>
          <wp:inline distT="0" distB="0" distL="0" distR="0" wp14:anchorId="33E2BD92" wp14:editId="1C8F648E">
            <wp:extent cx="4937760" cy="2286000"/>
            <wp:effectExtent l="0" t="0" r="0" b="0"/>
            <wp:docPr id="2089503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03808" name=""/>
                    <pic:cNvPicPr/>
                  </pic:nvPicPr>
                  <pic:blipFill rotWithShape="1">
                    <a:blip r:embed="rId7"/>
                    <a:srcRect l="1325" t="6440" r="493" b="17803"/>
                    <a:stretch>
                      <a:fillRect/>
                    </a:stretch>
                  </pic:blipFill>
                  <pic:spPr bwMode="auto">
                    <a:xfrm>
                      <a:off x="0" y="0"/>
                      <a:ext cx="4937760" cy="2286000"/>
                    </a:xfrm>
                    <a:prstGeom prst="rect">
                      <a:avLst/>
                    </a:prstGeom>
                    <a:ln>
                      <a:noFill/>
                    </a:ln>
                    <a:extLst>
                      <a:ext uri="{53640926-AAD7-44D8-BBD7-CCE9431645EC}">
                        <a14:shadowObscured xmlns:a14="http://schemas.microsoft.com/office/drawing/2010/main"/>
                      </a:ext>
                    </a:extLst>
                  </pic:spPr>
                </pic:pic>
              </a:graphicData>
            </a:graphic>
          </wp:inline>
        </w:drawing>
      </w:r>
    </w:p>
    <w:p w:rsidR="003E438F" w:rsidRPr="00252119" w:rsidRDefault="003E438F" w:rsidP="003E438F">
      <w:pPr>
        <w:spacing w:line="276" w:lineRule="auto"/>
        <w:jc w:val="center"/>
      </w:pPr>
      <w:r w:rsidRPr="00252119">
        <w:rPr>
          <w:b/>
        </w:rPr>
        <w:t>Figure 1</w:t>
      </w:r>
      <w:r>
        <w:rPr>
          <w:bCs/>
        </w:rPr>
        <w:t xml:space="preserve">: </w:t>
      </w:r>
      <w:r w:rsidRPr="00252119">
        <w:t>Boxplot of Real GDP (2010 Constant Basic Prices)</w:t>
      </w:r>
    </w:p>
    <w:p w:rsidR="003E438F" w:rsidRPr="00252119" w:rsidRDefault="003E438F" w:rsidP="003E438F">
      <w:pPr>
        <w:spacing w:line="276" w:lineRule="auto"/>
        <w:jc w:val="both"/>
        <w:rPr>
          <w:b/>
        </w:rPr>
      </w:pPr>
    </w:p>
    <w:p w:rsidR="003E438F" w:rsidRPr="003E438F" w:rsidRDefault="003E438F" w:rsidP="003E438F">
      <w:pPr>
        <w:spacing w:line="276" w:lineRule="auto"/>
        <w:jc w:val="both"/>
        <w:rPr>
          <w:rFonts w:ascii="Times New Roman" w:hAnsi="Times New Roman" w:cs="Times New Roman"/>
          <w:bCs/>
        </w:rPr>
      </w:pPr>
      <w:r w:rsidRPr="003E438F">
        <w:rPr>
          <w:rFonts w:ascii="Times New Roman" w:hAnsi="Times New Roman" w:cs="Times New Roman"/>
          <w:bCs/>
        </w:rPr>
        <w:t>Figure 1 illustrates the distributional characteristics of Real GDP over the study period. The median GDP is positioned slightly below the center of the box, indicating a mild positive (right) skewness in the distribution. This observation is consistent with the earlier descriptive statistics, where the mean exceeded the median and the skewness coefficient was positive.</w:t>
      </w:r>
    </w:p>
    <w:p w:rsidR="003E438F" w:rsidRDefault="003E438F" w:rsidP="003E438F">
      <w:pPr>
        <w:spacing w:line="276" w:lineRule="auto"/>
        <w:jc w:val="center"/>
        <w:rPr>
          <w:bCs/>
        </w:rPr>
      </w:pPr>
      <w:r w:rsidRPr="003C2C2B">
        <w:rPr>
          <w:noProof/>
        </w:rPr>
        <w:drawing>
          <wp:inline distT="0" distB="0" distL="0" distR="0" wp14:anchorId="44115F3F" wp14:editId="697FCE8C">
            <wp:extent cx="4981575" cy="3200400"/>
            <wp:effectExtent l="0" t="0" r="9525" b="0"/>
            <wp:docPr id="789272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72779" name=""/>
                    <pic:cNvPicPr/>
                  </pic:nvPicPr>
                  <pic:blipFill>
                    <a:blip r:embed="rId8"/>
                    <a:stretch>
                      <a:fillRect/>
                    </a:stretch>
                  </pic:blipFill>
                  <pic:spPr>
                    <a:xfrm>
                      <a:off x="0" y="0"/>
                      <a:ext cx="4981575" cy="3200400"/>
                    </a:xfrm>
                    <a:prstGeom prst="rect">
                      <a:avLst/>
                    </a:prstGeom>
                  </pic:spPr>
                </pic:pic>
              </a:graphicData>
            </a:graphic>
          </wp:inline>
        </w:drawing>
      </w:r>
    </w:p>
    <w:p w:rsidR="003E438F" w:rsidRPr="00584D49" w:rsidRDefault="003E438F" w:rsidP="003E438F">
      <w:pPr>
        <w:spacing w:line="276" w:lineRule="auto"/>
        <w:jc w:val="center"/>
        <w:rPr>
          <w:rFonts w:ascii="Times New Roman" w:hAnsi="Times New Roman" w:cs="Times New Roman"/>
          <w:bCs/>
        </w:rPr>
      </w:pPr>
      <w:bookmarkStart w:id="5" w:name="correlation_analysis_of_gdp_and_a_b1a02e"/>
      <w:r w:rsidRPr="00584D49">
        <w:rPr>
          <w:rFonts w:ascii="Times New Roman" w:hAnsi="Times New Roman" w:cs="Times New Roman"/>
          <w:b/>
          <w:bCs/>
        </w:rPr>
        <w:t xml:space="preserve">Figure 2: </w:t>
      </w:r>
      <w:r w:rsidRPr="00584D49">
        <w:rPr>
          <w:rFonts w:ascii="Times New Roman" w:hAnsi="Times New Roman" w:cs="Times New Roman"/>
        </w:rPr>
        <w:t>Correlation Analysis of GDP and Agricultural Sub-Sectors</w:t>
      </w:r>
      <w:bookmarkEnd w:id="5"/>
    </w:p>
    <w:p w:rsidR="00774387" w:rsidRPr="00380A42" w:rsidRDefault="00774387" w:rsidP="00E11B49">
      <w:pPr>
        <w:jc w:val="both"/>
        <w:rPr>
          <w:rFonts w:ascii="Times New Roman" w:hAnsi="Times New Roman" w:cs="Times New Roman"/>
        </w:rPr>
      </w:pPr>
    </w:p>
    <w:p w:rsidR="00774387" w:rsidRPr="00380A42" w:rsidRDefault="00774387" w:rsidP="00E11B49">
      <w:pPr>
        <w:jc w:val="both"/>
        <w:rPr>
          <w:rFonts w:ascii="Times New Roman" w:hAnsi="Times New Roman" w:cs="Times New Roman"/>
        </w:rPr>
      </w:pPr>
      <w:r w:rsidRPr="00380A42">
        <w:rPr>
          <w:rFonts w:ascii="Times New Roman" w:hAnsi="Times New Roman" w:cs="Times New Roman"/>
        </w:rPr>
        <w:lastRenderedPageBreak/>
        <w:t xml:space="preserve">Figure 2 shows the Pearson correlation of the GDP with the agricultural sub-sectors. The findings show that </w:t>
      </w:r>
      <w:r w:rsidR="006B3901">
        <w:rPr>
          <w:rFonts w:ascii="Times New Roman" w:hAnsi="Times New Roman" w:cs="Times New Roman"/>
        </w:rPr>
        <w:t>each of the</w:t>
      </w:r>
      <w:r w:rsidRPr="00380A42">
        <w:rPr>
          <w:rFonts w:ascii="Times New Roman" w:hAnsi="Times New Roman" w:cs="Times New Roman"/>
        </w:rPr>
        <w:t xml:space="preserve"> agricultural sub-sector are </w:t>
      </w:r>
      <w:r w:rsidR="006B3901">
        <w:rPr>
          <w:rFonts w:ascii="Times New Roman" w:hAnsi="Times New Roman" w:cs="Times New Roman"/>
        </w:rPr>
        <w:t>posi</w:t>
      </w:r>
      <w:r w:rsidRPr="00380A42">
        <w:rPr>
          <w:rFonts w:ascii="Times New Roman" w:hAnsi="Times New Roman" w:cs="Times New Roman"/>
        </w:rPr>
        <w:t xml:space="preserve">tively correlated with </w:t>
      </w:r>
      <w:r w:rsidR="006B3901">
        <w:rPr>
          <w:rFonts w:ascii="Times New Roman" w:hAnsi="Times New Roman" w:cs="Times New Roman"/>
        </w:rPr>
        <w:t>the GDP</w:t>
      </w:r>
      <w:r w:rsidRPr="00380A42">
        <w:rPr>
          <w:rFonts w:ascii="Times New Roman" w:hAnsi="Times New Roman" w:cs="Times New Roman"/>
        </w:rPr>
        <w:t xml:space="preserve"> implying that a rise in agricultural sub-sector outputs leads to a rise in the GDP in the period of study. Forestry has the closest relationship with GDP </w:t>
      </w:r>
      <m:oMath>
        <m:r>
          <w:rPr>
            <w:rFonts w:ascii="Cambria Math" w:hAnsi="Cambria Math" w:cs="Times New Roman"/>
          </w:rPr>
          <m:t xml:space="preserve">( </m:t>
        </m:r>
        <m:r>
          <w:rPr>
            <w:rFonts w:ascii="Cambria Math" w:hAnsi="Cambria Math"/>
          </w:rPr>
          <m:t>r = 0.82</m:t>
        </m:r>
        <m:r>
          <w:rPr>
            <w:rFonts w:ascii="Cambria Math" w:hAnsi="Cambria Math" w:cs="Times New Roman"/>
          </w:rPr>
          <m:t>)</m:t>
        </m:r>
      </m:oMath>
      <w:r w:rsidR="00CD12A1">
        <w:rPr>
          <w:rFonts w:ascii="Times New Roman" w:eastAsiaTheme="minorEastAsia" w:hAnsi="Times New Roman" w:cs="Times New Roman"/>
        </w:rPr>
        <w:t xml:space="preserve"> </w:t>
      </w:r>
      <w:r w:rsidR="00CD12A1">
        <w:rPr>
          <w:rFonts w:ascii="Times New Roman" w:hAnsi="Times New Roman" w:cs="Times New Roman"/>
        </w:rPr>
        <w:t xml:space="preserve">and </w:t>
      </w:r>
      <w:r w:rsidRPr="00380A42">
        <w:rPr>
          <w:rFonts w:ascii="Times New Roman" w:hAnsi="Times New Roman" w:cs="Times New Roman"/>
        </w:rPr>
        <w:t>Crop Production is also positively correlated with GDP (r = 0.62)</w:t>
      </w:r>
      <w:r w:rsidR="00CD12A1">
        <w:rPr>
          <w:rFonts w:ascii="Times New Roman" w:hAnsi="Times New Roman" w:cs="Times New Roman"/>
        </w:rPr>
        <w:t xml:space="preserve">. These </w:t>
      </w:r>
      <w:r w:rsidRPr="00380A42">
        <w:rPr>
          <w:rFonts w:ascii="Times New Roman" w:hAnsi="Times New Roman" w:cs="Times New Roman"/>
        </w:rPr>
        <w:t>means that the</w:t>
      </w:r>
      <w:r w:rsidR="00CD12A1">
        <w:rPr>
          <w:rFonts w:ascii="Times New Roman" w:hAnsi="Times New Roman" w:cs="Times New Roman"/>
        </w:rPr>
        <w:t xml:space="preserve"> forestry and</w:t>
      </w:r>
      <w:r w:rsidRPr="00380A42">
        <w:rPr>
          <w:rFonts w:ascii="Times New Roman" w:hAnsi="Times New Roman" w:cs="Times New Roman"/>
        </w:rPr>
        <w:t xml:space="preserve"> production of crop ha</w:t>
      </w:r>
      <w:r w:rsidR="00CD12A1">
        <w:rPr>
          <w:rFonts w:ascii="Times New Roman" w:hAnsi="Times New Roman" w:cs="Times New Roman"/>
        </w:rPr>
        <w:t>ve</w:t>
      </w:r>
      <w:r w:rsidRPr="00380A42">
        <w:rPr>
          <w:rFonts w:ascii="Times New Roman" w:hAnsi="Times New Roman" w:cs="Times New Roman"/>
        </w:rPr>
        <w:t xml:space="preserve"> significant contribution to the aggregate economic growth. Fishing (r = 0.45) and Livestock (r = 0.39) have moderate, positive correlation with GDP, indicating that these </w:t>
      </w:r>
      <w:r w:rsidR="006B3901">
        <w:rPr>
          <w:rFonts w:ascii="Times New Roman" w:hAnsi="Times New Roman" w:cs="Times New Roman"/>
        </w:rPr>
        <w:t>sectors</w:t>
      </w:r>
      <w:r w:rsidRPr="00380A42">
        <w:rPr>
          <w:rFonts w:ascii="Times New Roman" w:hAnsi="Times New Roman" w:cs="Times New Roman"/>
        </w:rPr>
        <w:t xml:space="preserve"> do not </w:t>
      </w:r>
      <w:r w:rsidR="006B3901">
        <w:rPr>
          <w:rFonts w:ascii="Times New Roman" w:hAnsi="Times New Roman" w:cs="Times New Roman"/>
        </w:rPr>
        <w:t xml:space="preserve">really </w:t>
      </w:r>
      <w:r w:rsidRPr="00380A42">
        <w:rPr>
          <w:rFonts w:ascii="Times New Roman" w:hAnsi="Times New Roman" w:cs="Times New Roman"/>
        </w:rPr>
        <w:t>affect the economic performance, but the association is relatively low compared to Forestry and Crop Production.</w:t>
      </w:r>
      <w:r w:rsidR="00B45A62">
        <w:rPr>
          <w:rFonts w:ascii="Times New Roman" w:hAnsi="Times New Roman" w:cs="Times New Roman"/>
        </w:rPr>
        <w:t xml:space="preserve"> </w:t>
      </w:r>
      <w:r w:rsidRPr="00380A42">
        <w:rPr>
          <w:rFonts w:ascii="Times New Roman" w:hAnsi="Times New Roman" w:cs="Times New Roman"/>
        </w:rPr>
        <w:t xml:space="preserve">Correlations among the sectors are also remarkable. </w:t>
      </w:r>
      <w:r w:rsidR="00421A1E" w:rsidRPr="00421A1E">
        <w:rPr>
          <w:rFonts w:ascii="Times New Roman" w:hAnsi="Times New Roman" w:cs="Times New Roman"/>
          <w:bCs/>
        </w:rPr>
        <w:t>Crop Production is strongly related with Forestry (r = 0.64) and Livestock (r = 0.60), while Livestock and Forestry exhibit a relatively strong relationship (r = 0.66).</w:t>
      </w:r>
      <w:r w:rsidR="00421A1E" w:rsidRPr="00B71429">
        <w:rPr>
          <w:bCs/>
        </w:rPr>
        <w:t xml:space="preserve"> </w:t>
      </w:r>
      <w:r w:rsidRPr="00380A42">
        <w:rPr>
          <w:rFonts w:ascii="Times New Roman" w:hAnsi="Times New Roman" w:cs="Times New Roman"/>
        </w:rPr>
        <w:t xml:space="preserve">Fishing has moderate correlations with the other sub-sectors (0.36 to 0.44), as it is likely to be affected by factors that are slightly different yet related. Econometrically, the statistically significant correlations of the explanatory variables especially between Forestry, Livestock and Crop Production indicate that there may exist multicollinearity in the regression model. </w:t>
      </w:r>
    </w:p>
    <w:p w:rsidR="00774387" w:rsidRPr="00380A42" w:rsidRDefault="00774387" w:rsidP="00E11B49">
      <w:pPr>
        <w:jc w:val="both"/>
        <w:rPr>
          <w:rFonts w:ascii="Times New Roman" w:hAnsi="Times New Roman" w:cs="Times New Roman"/>
        </w:rPr>
      </w:pPr>
      <w:r w:rsidRPr="00380A42">
        <w:rPr>
          <w:rFonts w:ascii="Times New Roman" w:hAnsi="Times New Roman" w:cs="Times New Roman"/>
        </w:rPr>
        <w:t>The increased dispersion and the positive skewness of the GDP and the somewhat high correlations of the explanatory variables especially among Forestry, Livestock and Crop Production which may indicate the possibility of multicollinearity in regression model, justify the implementation of the flexible distributional regressions.</w:t>
      </w:r>
    </w:p>
    <w:p w:rsidR="000D52C9" w:rsidRPr="000D52C9" w:rsidRDefault="000D52C9" w:rsidP="000D52C9">
      <w:pPr>
        <w:spacing w:line="276" w:lineRule="auto"/>
        <w:jc w:val="both"/>
        <w:rPr>
          <w:rFonts w:ascii="Times New Roman" w:hAnsi="Times New Roman" w:cs="Times New Roman"/>
        </w:rPr>
      </w:pPr>
      <w:bookmarkStart w:id="6" w:name="table_comparative_parameter_estim_cad760"/>
      <w:r w:rsidRPr="000D52C9">
        <w:rPr>
          <w:rFonts w:ascii="Times New Roman" w:hAnsi="Times New Roman" w:cs="Times New Roman"/>
          <w:b/>
          <w:bCs/>
        </w:rPr>
        <w:t xml:space="preserve">Table 2: </w:t>
      </w:r>
      <w:r w:rsidRPr="000D52C9">
        <w:rPr>
          <w:rFonts w:ascii="Times New Roman" w:hAnsi="Times New Roman" w:cs="Times New Roman"/>
        </w:rPr>
        <w:t>Comparative Parameter Estimates Across GAMLSS Models</w:t>
      </w:r>
      <w:bookmarkEnd w:id="6"/>
    </w:p>
    <w:tbl>
      <w:tblPr>
        <w:tblStyle w:val="TableGrid"/>
        <w:tblW w:w="9523" w:type="dxa"/>
        <w:tblInd w:w="-185" w:type="dxa"/>
        <w:tblLook w:val="04A0" w:firstRow="1" w:lastRow="0" w:firstColumn="1" w:lastColumn="0" w:noHBand="0" w:noVBand="1"/>
      </w:tblPr>
      <w:tblGrid>
        <w:gridCol w:w="1092"/>
        <w:gridCol w:w="1184"/>
        <w:gridCol w:w="998"/>
        <w:gridCol w:w="1183"/>
        <w:gridCol w:w="1048"/>
        <w:gridCol w:w="1011"/>
        <w:gridCol w:w="998"/>
        <w:gridCol w:w="1011"/>
        <w:gridCol w:w="998"/>
      </w:tblGrid>
      <w:tr w:rsidR="000D52C9" w:rsidRPr="000D52C9" w:rsidTr="00492056">
        <w:trPr>
          <w:trHeight w:hRule="exact" w:val="557"/>
        </w:trPr>
        <w:tc>
          <w:tcPr>
            <w:tcW w:w="0" w:type="auto"/>
            <w:tcBorders>
              <w:top w:val="single" w:sz="4" w:space="0" w:color="auto"/>
              <w:left w:val="single" w:sz="4" w:space="0" w:color="auto"/>
              <w:bottom w:val="single" w:sz="4" w:space="0" w:color="auto"/>
              <w:right w:val="single" w:sz="4" w:space="0" w:color="auto"/>
            </w:tcBorders>
          </w:tcPr>
          <w:p w:rsidR="000D52C9" w:rsidRPr="000D52C9" w:rsidRDefault="000D52C9" w:rsidP="00492056">
            <w:pPr>
              <w:spacing w:after="120" w:line="276" w:lineRule="auto"/>
              <w:jc w:val="both"/>
              <w:rPr>
                <w:rFonts w:hAnsi="Times New Roman" w:cs="Times New Roman"/>
                <w:bCs/>
                <w:sz w:val="22"/>
              </w:rPr>
            </w:pPr>
          </w:p>
        </w:tc>
        <w:tc>
          <w:tcPr>
            <w:tcW w:w="0" w:type="auto"/>
            <w:gridSpan w:val="2"/>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GG Model</w:t>
            </w:r>
          </w:p>
        </w:tc>
        <w:tc>
          <w:tcPr>
            <w:tcW w:w="0" w:type="auto"/>
            <w:gridSpan w:val="2"/>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WEI Model</w:t>
            </w:r>
          </w:p>
        </w:tc>
        <w:tc>
          <w:tcPr>
            <w:tcW w:w="0" w:type="auto"/>
            <w:gridSpan w:val="2"/>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NO Model</w:t>
            </w:r>
          </w:p>
        </w:tc>
        <w:tc>
          <w:tcPr>
            <w:tcW w:w="0" w:type="auto"/>
            <w:gridSpan w:val="2"/>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TF Model</w:t>
            </w:r>
          </w:p>
        </w:tc>
      </w:tr>
      <w:tr w:rsidR="000D52C9" w:rsidRPr="000D52C9" w:rsidTr="00492056">
        <w:trPr>
          <w:trHeight w:hRule="exact" w:val="557"/>
        </w:trPr>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Variable</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Estimate</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p-value</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Estimate</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p-value</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Estimate</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p-value</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Estimate</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p-value</w:t>
            </w:r>
          </w:p>
        </w:tc>
      </w:tr>
      <w:tr w:rsidR="000D52C9" w:rsidRPr="000D52C9" w:rsidTr="00492056">
        <w:trPr>
          <w:trHeight w:hRule="exact" w:val="557"/>
        </w:trPr>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Intercept</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7.593e+00</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&lt;2e-16</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7.615e+00</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&lt;2e-16</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-44818.8</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1.08e-11</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-45201.1</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1.62e-07</w:t>
            </w:r>
          </w:p>
        </w:tc>
      </w:tr>
      <w:tr w:rsidR="000D52C9" w:rsidRPr="000D52C9" w:rsidTr="00492056">
        <w:trPr>
          <w:trHeight w:hRule="exact" w:val="557"/>
        </w:trPr>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Crop</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2.296e-04</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4.33e-09</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2.337e-04</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4.00e-07</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7.780</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5.79e-06</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7.493</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1.43e-05</w:t>
            </w:r>
          </w:p>
        </w:tc>
      </w:tr>
      <w:tr w:rsidR="000D52C9" w:rsidRPr="000D52C9" w:rsidTr="00492056">
        <w:trPr>
          <w:trHeight w:hRule="exact" w:val="557"/>
        </w:trPr>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Livestock</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-4.735e-03</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2.69e-09</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-3.892e-03</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0.000174</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-187.207</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3.77e-07</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-177.86</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2.23e-06</w:t>
            </w:r>
          </w:p>
        </w:tc>
      </w:tr>
      <w:tr w:rsidR="000D52C9" w:rsidRPr="000D52C9" w:rsidTr="00492056">
        <w:trPr>
          <w:trHeight w:hRule="exact" w:val="557"/>
        </w:trPr>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Forestry</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4.966e-02</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1.75e-10</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5.032e-02</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5.87e-14</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1749.93</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4.31e-10</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1617.60</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1.89e-06</w:t>
            </w:r>
          </w:p>
        </w:tc>
      </w:tr>
      <w:tr w:rsidR="000D52C9" w:rsidRPr="000D52C9" w:rsidTr="00492056">
        <w:trPr>
          <w:trHeight w:hRule="exact" w:val="557"/>
        </w:trPr>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Fishing</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1.084e-02</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9.24e-09</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9.004e-03</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2.16e-07</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288.51</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6.23e-05</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332.18</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0.00028</w:t>
            </w:r>
          </w:p>
        </w:tc>
      </w:tr>
    </w:tbl>
    <w:p w:rsidR="00774387" w:rsidRPr="000D52C9" w:rsidRDefault="00774387" w:rsidP="00E11B49">
      <w:pPr>
        <w:jc w:val="both"/>
        <w:rPr>
          <w:rFonts w:ascii="Times New Roman" w:hAnsi="Times New Roman" w:cs="Times New Roman"/>
        </w:rPr>
      </w:pPr>
    </w:p>
    <w:p w:rsidR="00F00D85" w:rsidRPr="00380A42" w:rsidRDefault="00F00D85" w:rsidP="00E11B49">
      <w:pPr>
        <w:jc w:val="both"/>
        <w:rPr>
          <w:rFonts w:ascii="Times New Roman" w:hAnsi="Times New Roman" w:cs="Times New Roman"/>
        </w:rPr>
      </w:pPr>
      <w:r w:rsidRPr="00380A42">
        <w:rPr>
          <w:rFonts w:ascii="Times New Roman" w:hAnsi="Times New Roman" w:cs="Times New Roman"/>
        </w:rPr>
        <w:t xml:space="preserve">Table 2 shows the estimated Crop Production, Livestock, Forestry and Fishing coefficients considering four different distributional assumptions: Generalized Gamma (GG), Weibull (WEI), Normal (NO) and Student-t (TF). In all four models, the Crop Production, Forestry, and Fishing have a positive and significant impact on the GDP, but the coefficient of Livestock has a negative and significant impact. The test values of the 1 percent level of significance of the models show </w:t>
      </w:r>
      <w:r w:rsidRPr="00380A42">
        <w:rPr>
          <w:rFonts w:ascii="Times New Roman" w:hAnsi="Times New Roman" w:cs="Times New Roman"/>
        </w:rPr>
        <w:lastRenderedPageBreak/>
        <w:t>high and consistent correlations between agricultural sub-sectors and GDP, irrespective of the distribution assumed.</w:t>
      </w:r>
    </w:p>
    <w:p w:rsidR="00F00D85" w:rsidRPr="00380A42" w:rsidRDefault="00F00D85" w:rsidP="00E11B49">
      <w:pPr>
        <w:jc w:val="both"/>
        <w:rPr>
          <w:rFonts w:ascii="Times New Roman" w:hAnsi="Times New Roman" w:cs="Times New Roman"/>
        </w:rPr>
      </w:pPr>
      <w:r w:rsidRPr="00380A42">
        <w:rPr>
          <w:rFonts w:ascii="Times New Roman" w:hAnsi="Times New Roman" w:cs="Times New Roman"/>
        </w:rPr>
        <w:t>All the explanatory variables under GG model are significant. It is especially interesting that the coefficient of Forestry is positive, which means that the output of forestry has a significant contribution to the growth of the GDP. On the same note, Fishing and Crop Production have a positive effect on GDP, whereas Livestock has a</w:t>
      </w:r>
      <w:r w:rsidR="009E60E2">
        <w:rPr>
          <w:rFonts w:ascii="Times New Roman" w:hAnsi="Times New Roman" w:cs="Times New Roman"/>
        </w:rPr>
        <w:t xml:space="preserve"> significant</w:t>
      </w:r>
      <w:r w:rsidRPr="00380A42">
        <w:rPr>
          <w:rFonts w:ascii="Times New Roman" w:hAnsi="Times New Roman" w:cs="Times New Roman"/>
        </w:rPr>
        <w:t xml:space="preserve"> negative effect. The coefficients of WEI model have similar signs and significance levels albeit the magnitude is a little lower than GG. This implies a lower level of statistical power in comparison to the GG specification. The directional relationships of NO and TF models are the same. They have however significantly large negative intercepts owing to variation in scale and distributional assumptions. The predictors are also statistically significant, but the standard errors are usually larger than in the GG model, which indicates that they are not as efficient in estimating the parameters. Generally, the similarity in the signs of the coefficients in all the models shows the strength of the structural association between the GDP and the agricultural sub-sectors. Nevertheless, variation in standard errors and test statistics indicates that model choice has an impact on the efficiency of estimation.</w:t>
      </w:r>
    </w:p>
    <w:p w:rsidR="0088599D" w:rsidRPr="0088599D" w:rsidRDefault="0088599D" w:rsidP="0088599D">
      <w:pPr>
        <w:spacing w:line="276" w:lineRule="auto"/>
        <w:ind w:firstLine="720"/>
        <w:jc w:val="both"/>
        <w:rPr>
          <w:rFonts w:ascii="Times New Roman" w:hAnsi="Times New Roman" w:cs="Times New Roman"/>
          <w:bCs/>
        </w:rPr>
      </w:pPr>
      <w:bookmarkStart w:id="7" w:name="table_2_model_comparison_criteria"/>
      <w:r w:rsidRPr="0088599D">
        <w:rPr>
          <w:rFonts w:ascii="Times New Roman" w:hAnsi="Times New Roman" w:cs="Times New Roman"/>
          <w:b/>
          <w:bCs/>
        </w:rPr>
        <w:t xml:space="preserve">Table 3: </w:t>
      </w:r>
      <w:r w:rsidRPr="0088599D">
        <w:rPr>
          <w:rFonts w:ascii="Times New Roman" w:hAnsi="Times New Roman" w:cs="Times New Roman"/>
        </w:rPr>
        <w:t>Model Comparison Criteria</w:t>
      </w:r>
      <w:bookmarkEnd w:id="7"/>
    </w:p>
    <w:tbl>
      <w:tblPr>
        <w:tblStyle w:val="TableGrid"/>
        <w:tblW w:w="7518" w:type="dxa"/>
        <w:jc w:val="center"/>
        <w:tblLook w:val="04A0" w:firstRow="1" w:lastRow="0" w:firstColumn="1" w:lastColumn="0" w:noHBand="0" w:noVBand="1"/>
      </w:tblPr>
      <w:tblGrid>
        <w:gridCol w:w="1944"/>
        <w:gridCol w:w="2070"/>
        <w:gridCol w:w="1258"/>
        <w:gridCol w:w="1258"/>
        <w:gridCol w:w="988"/>
      </w:tblGrid>
      <w:tr w:rsidR="0088599D" w:rsidRPr="0088599D" w:rsidTr="00492056">
        <w:trPr>
          <w:trHeight w:val="295"/>
          <w:jc w:val="center"/>
        </w:trPr>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Model</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Global Deviance</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AIC</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SBC</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R²</w:t>
            </w:r>
          </w:p>
        </w:tc>
      </w:tr>
      <w:tr w:rsidR="0088599D" w:rsidRPr="0088599D" w:rsidTr="00492056">
        <w:trPr>
          <w:trHeight w:val="295"/>
          <w:jc w:val="center"/>
        </w:trPr>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GAMLSS-GG</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1172.545</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1193.545</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1201.206</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0.9039</w:t>
            </w:r>
          </w:p>
        </w:tc>
      </w:tr>
      <w:tr w:rsidR="0088599D" w:rsidRPr="0088599D" w:rsidTr="00492056">
        <w:trPr>
          <w:trHeight w:val="295"/>
          <w:jc w:val="center"/>
        </w:trPr>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GAMLSS-WEI</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1193.450</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1211.450</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1218.016</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0.8803</w:t>
            </w:r>
          </w:p>
        </w:tc>
      </w:tr>
      <w:tr w:rsidR="0088599D" w:rsidRPr="0088599D" w:rsidTr="00492056">
        <w:trPr>
          <w:trHeight w:val="295"/>
          <w:jc w:val="center"/>
        </w:trPr>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GAMLSS-NO</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1229.658</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1247.658</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1254.224</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0.8097</w:t>
            </w:r>
          </w:p>
        </w:tc>
      </w:tr>
      <w:tr w:rsidR="0088599D" w:rsidRPr="0088599D" w:rsidTr="00492056">
        <w:trPr>
          <w:trHeight w:val="295"/>
          <w:jc w:val="center"/>
        </w:trPr>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GAMLSS-TF</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1229.446</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1250.446</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1258.106</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0.8103</w:t>
            </w:r>
          </w:p>
        </w:tc>
      </w:tr>
    </w:tbl>
    <w:p w:rsidR="00F00D85" w:rsidRPr="00380A42" w:rsidRDefault="00F00D85" w:rsidP="00E11B49">
      <w:pPr>
        <w:jc w:val="both"/>
        <w:rPr>
          <w:rFonts w:ascii="Times New Roman" w:hAnsi="Times New Roman" w:cs="Times New Roman"/>
        </w:rPr>
      </w:pPr>
    </w:p>
    <w:p w:rsidR="00F00D85" w:rsidRDefault="00F00D85" w:rsidP="00E11B49">
      <w:pPr>
        <w:jc w:val="both"/>
        <w:rPr>
          <w:rFonts w:ascii="Times New Roman" w:hAnsi="Times New Roman" w:cs="Times New Roman"/>
        </w:rPr>
      </w:pPr>
      <w:r w:rsidRPr="00380A42">
        <w:rPr>
          <w:rFonts w:ascii="Times New Roman" w:hAnsi="Times New Roman" w:cs="Times New Roman"/>
        </w:rPr>
        <w:t>Table 3 shows the performance of the four GAMLSS specifications. The GG model provides the best Global Deviance (1172.545), AIC (1193.545), and SBC (1201.206), which means that it is the distribution with the best goodness-of-fit compared to the competing ones. Also, the GG model has the largest coefficient of determination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 0.9039</m:t>
        </m:r>
      </m:oMath>
      <w:r w:rsidRPr="00380A42">
        <w:rPr>
          <w:rFonts w:ascii="Times New Roman" w:hAnsi="Times New Roman" w:cs="Times New Roman"/>
        </w:rPr>
        <w:t xml:space="preserve">), which indicates that about </w:t>
      </w:r>
      <m:oMath>
        <m:r>
          <w:rPr>
            <w:rFonts w:ascii="Cambria Math" w:hAnsi="Cambria Math" w:cs="Times New Roman"/>
          </w:rPr>
          <m:t>90.4%</m:t>
        </m:r>
      </m:oMath>
      <w:r w:rsidRPr="00380A42">
        <w:rPr>
          <w:rFonts w:ascii="Times New Roman" w:hAnsi="Times New Roman" w:cs="Times New Roman"/>
        </w:rPr>
        <w:t xml:space="preserve"> of changes in GDP is accounted by the sub-sectors of agriculture. The Weibull analysis is averagely valid and it is obviously overtaken by the GG analysis in information requirements and explanatory strength. Normal model and Student-t model have greater deviance and information criteria values and lesser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Pr="00380A42">
        <w:rPr>
          <w:rFonts w:ascii="Times New Roman" w:hAnsi="Times New Roman" w:cs="Times New Roman"/>
        </w:rPr>
        <w:t xml:space="preserve"> values </w:t>
      </w:r>
      <m:oMath>
        <m:r>
          <w:rPr>
            <w:rFonts w:ascii="Cambria Math" w:hAnsi="Cambria Math" w:cs="Times New Roman"/>
          </w:rPr>
          <m:t>(≈ 0.81)</m:t>
        </m:r>
      </m:oMath>
      <w:r w:rsidRPr="00380A42">
        <w:rPr>
          <w:rFonts w:ascii="Times New Roman" w:hAnsi="Times New Roman" w:cs="Times New Roman"/>
        </w:rPr>
        <w:t>, which implies that they fit relatively poorly. The findings are highly indicative that the Generalized Gamma distribution is the best functional form to use in the modeling of GDP in the GAMLSS framework. This suggests the GDP distribution is asymmetric and tailed, and fits better with the flexible shape parameters of the Generalized Gamma as opposed to the symmetric and heavier-tailed t distributions.</w:t>
      </w:r>
    </w:p>
    <w:p w:rsidR="001463B5" w:rsidRPr="001463B5" w:rsidRDefault="001463B5" w:rsidP="001463B5">
      <w:pPr>
        <w:spacing w:before="240" w:line="288" w:lineRule="auto"/>
        <w:jc w:val="both"/>
        <w:rPr>
          <w:rFonts w:ascii="Times New Roman" w:hAnsi="Times New Roman" w:cs="Times New Roman"/>
          <w:sz w:val="8"/>
          <w:szCs w:val="8"/>
        </w:rPr>
      </w:pPr>
      <w:bookmarkStart w:id="8" w:name="table_summary_of_quantile_residua_404a10"/>
      <w:r w:rsidRPr="001463B5">
        <w:rPr>
          <w:rFonts w:ascii="Times New Roman" w:hAnsi="Times New Roman" w:cs="Times New Roman"/>
          <w:b/>
          <w:szCs w:val="8"/>
        </w:rPr>
        <w:t>Table</w:t>
      </w:r>
      <w:r>
        <w:rPr>
          <w:rFonts w:ascii="Times New Roman" w:hAnsi="Times New Roman" w:cs="Times New Roman"/>
          <w:b/>
          <w:szCs w:val="8"/>
        </w:rPr>
        <w:t xml:space="preserve"> 4</w:t>
      </w:r>
      <w:r w:rsidRPr="001463B5">
        <w:rPr>
          <w:rFonts w:ascii="Times New Roman" w:hAnsi="Times New Roman" w:cs="Times New Roman"/>
          <w:b/>
          <w:szCs w:val="8"/>
        </w:rPr>
        <w:t xml:space="preserve">: </w:t>
      </w:r>
      <w:r w:rsidRPr="001463B5">
        <w:rPr>
          <w:rFonts w:ascii="Times New Roman" w:hAnsi="Times New Roman" w:cs="Times New Roman"/>
          <w:bCs/>
          <w:szCs w:val="8"/>
        </w:rPr>
        <w:t>Summary of Quantile Residual Diagnostics</w:t>
      </w:r>
      <w:bookmarkEnd w:id="8"/>
    </w:p>
    <w:tbl>
      <w:tblPr>
        <w:tblStyle w:val="TableGrid"/>
        <w:tblW w:w="0" w:type="auto"/>
        <w:tblLook w:val="04A0" w:firstRow="1" w:lastRow="0" w:firstColumn="1" w:lastColumn="0" w:noHBand="0" w:noVBand="1"/>
      </w:tblPr>
      <w:tblGrid>
        <w:gridCol w:w="1763"/>
        <w:gridCol w:w="1663"/>
        <w:gridCol w:w="1083"/>
        <w:gridCol w:w="1163"/>
        <w:gridCol w:w="1030"/>
        <w:gridCol w:w="2116"/>
      </w:tblGrid>
      <w:tr w:rsidR="001463B5" w:rsidTr="00492056">
        <w:tc>
          <w:tcPr>
            <w:tcW w:w="0" w:type="auto"/>
          </w:tcPr>
          <w:p w:rsidR="001463B5" w:rsidRDefault="001463B5" w:rsidP="00492056">
            <w:pPr>
              <w:jc w:val="both"/>
            </w:pPr>
            <w:r>
              <w:lastRenderedPageBreak/>
              <w:t>Model</w:t>
            </w:r>
          </w:p>
        </w:tc>
        <w:tc>
          <w:tcPr>
            <w:tcW w:w="0" w:type="auto"/>
          </w:tcPr>
          <w:p w:rsidR="001463B5" w:rsidRDefault="001463B5" w:rsidP="00492056">
            <w:pPr>
              <w:jc w:val="both"/>
            </w:pPr>
            <w:r>
              <w:t>Mean Residual</w:t>
            </w:r>
          </w:p>
        </w:tc>
        <w:tc>
          <w:tcPr>
            <w:tcW w:w="0" w:type="auto"/>
          </w:tcPr>
          <w:p w:rsidR="001463B5" w:rsidRDefault="001463B5" w:rsidP="00492056">
            <w:pPr>
              <w:jc w:val="both"/>
            </w:pPr>
            <w:r>
              <w:t>Variance</w:t>
            </w:r>
          </w:p>
        </w:tc>
        <w:tc>
          <w:tcPr>
            <w:tcW w:w="0" w:type="auto"/>
          </w:tcPr>
          <w:p w:rsidR="001463B5" w:rsidRDefault="001463B5" w:rsidP="00492056">
            <w:pPr>
              <w:jc w:val="both"/>
            </w:pPr>
            <w:r>
              <w:t>Skewness</w:t>
            </w:r>
          </w:p>
        </w:tc>
        <w:tc>
          <w:tcPr>
            <w:tcW w:w="0" w:type="auto"/>
          </w:tcPr>
          <w:p w:rsidR="001463B5" w:rsidRDefault="001463B5" w:rsidP="00492056">
            <w:pPr>
              <w:jc w:val="both"/>
            </w:pPr>
            <w:r>
              <w:t>Kurtosis</w:t>
            </w:r>
          </w:p>
        </w:tc>
        <w:tc>
          <w:tcPr>
            <w:tcW w:w="0" w:type="auto"/>
          </w:tcPr>
          <w:p w:rsidR="001463B5" w:rsidRDefault="001463B5" w:rsidP="00492056">
            <w:pPr>
              <w:jc w:val="both"/>
            </w:pPr>
            <w:proofErr w:type="spellStart"/>
            <w:r>
              <w:t>Filliben</w:t>
            </w:r>
            <w:proofErr w:type="spellEnd"/>
            <w:r>
              <w:t xml:space="preserve"> Correlation</w:t>
            </w:r>
          </w:p>
        </w:tc>
      </w:tr>
      <w:tr w:rsidR="001463B5" w:rsidTr="00492056">
        <w:tc>
          <w:tcPr>
            <w:tcW w:w="0" w:type="auto"/>
          </w:tcPr>
          <w:p w:rsidR="001463B5" w:rsidRDefault="001463B5" w:rsidP="00492056">
            <w:pPr>
              <w:jc w:val="both"/>
            </w:pPr>
            <w:r>
              <w:rPr>
                <w:rFonts w:eastAsia="Times New Roman" w:hAnsi="Times New Roman" w:cs="Times New Roman"/>
              </w:rPr>
              <w:t>GAMLSS–GG</w:t>
            </w:r>
          </w:p>
        </w:tc>
        <w:tc>
          <w:tcPr>
            <w:tcW w:w="0" w:type="auto"/>
          </w:tcPr>
          <w:p w:rsidR="001463B5" w:rsidRDefault="001463B5" w:rsidP="00492056">
            <w:pPr>
              <w:jc w:val="both"/>
            </w:pPr>
            <w:r>
              <w:t>-0.00183</w:t>
            </w:r>
          </w:p>
        </w:tc>
        <w:tc>
          <w:tcPr>
            <w:tcW w:w="0" w:type="auto"/>
          </w:tcPr>
          <w:p w:rsidR="001463B5" w:rsidRDefault="001463B5" w:rsidP="00492056">
            <w:pPr>
              <w:jc w:val="both"/>
            </w:pPr>
            <w:r>
              <w:t>1.01260</w:t>
            </w:r>
          </w:p>
        </w:tc>
        <w:tc>
          <w:tcPr>
            <w:tcW w:w="0" w:type="auto"/>
          </w:tcPr>
          <w:p w:rsidR="001463B5" w:rsidRDefault="001463B5" w:rsidP="00492056">
            <w:pPr>
              <w:jc w:val="both"/>
            </w:pPr>
            <w:r>
              <w:t>-0.03192</w:t>
            </w:r>
          </w:p>
        </w:tc>
        <w:tc>
          <w:tcPr>
            <w:tcW w:w="0" w:type="auto"/>
          </w:tcPr>
          <w:p w:rsidR="001463B5" w:rsidRDefault="001463B5" w:rsidP="00492056">
            <w:pPr>
              <w:jc w:val="both"/>
            </w:pPr>
            <w:r>
              <w:t>2.23393</w:t>
            </w:r>
          </w:p>
        </w:tc>
        <w:tc>
          <w:tcPr>
            <w:tcW w:w="0" w:type="auto"/>
          </w:tcPr>
          <w:p w:rsidR="001463B5" w:rsidRDefault="001463B5" w:rsidP="00492056">
            <w:pPr>
              <w:jc w:val="both"/>
            </w:pPr>
            <w:r>
              <w:t>0.99527</w:t>
            </w:r>
          </w:p>
        </w:tc>
      </w:tr>
      <w:tr w:rsidR="001463B5" w:rsidTr="00492056">
        <w:tc>
          <w:tcPr>
            <w:tcW w:w="0" w:type="auto"/>
          </w:tcPr>
          <w:p w:rsidR="001463B5" w:rsidRDefault="001463B5" w:rsidP="00492056">
            <w:pPr>
              <w:jc w:val="both"/>
            </w:pPr>
            <w:r>
              <w:rPr>
                <w:rFonts w:eastAsia="Times New Roman" w:hAnsi="Times New Roman" w:cs="Times New Roman"/>
              </w:rPr>
              <w:t>GAMLSS–NO</w:t>
            </w:r>
          </w:p>
        </w:tc>
        <w:tc>
          <w:tcPr>
            <w:tcW w:w="0" w:type="auto"/>
          </w:tcPr>
          <w:p w:rsidR="001463B5" w:rsidRDefault="001463B5" w:rsidP="00492056">
            <w:pPr>
              <w:jc w:val="both"/>
            </w:pPr>
            <w:r>
              <w:t>-1.49e-15</w:t>
            </w:r>
          </w:p>
        </w:tc>
        <w:tc>
          <w:tcPr>
            <w:tcW w:w="0" w:type="auto"/>
          </w:tcPr>
          <w:p w:rsidR="001463B5" w:rsidRDefault="001463B5" w:rsidP="00492056">
            <w:pPr>
              <w:jc w:val="both"/>
            </w:pPr>
            <w:r>
              <w:t>1.01695</w:t>
            </w:r>
          </w:p>
        </w:tc>
        <w:tc>
          <w:tcPr>
            <w:tcW w:w="0" w:type="auto"/>
          </w:tcPr>
          <w:p w:rsidR="001463B5" w:rsidRDefault="001463B5" w:rsidP="00492056">
            <w:pPr>
              <w:jc w:val="both"/>
            </w:pPr>
            <w:r>
              <w:t>0.84087</w:t>
            </w:r>
          </w:p>
        </w:tc>
        <w:tc>
          <w:tcPr>
            <w:tcW w:w="0" w:type="auto"/>
          </w:tcPr>
          <w:p w:rsidR="001463B5" w:rsidRDefault="001463B5" w:rsidP="00492056">
            <w:pPr>
              <w:jc w:val="both"/>
            </w:pPr>
            <w:r>
              <w:t>2.90785</w:t>
            </w:r>
          </w:p>
        </w:tc>
        <w:tc>
          <w:tcPr>
            <w:tcW w:w="0" w:type="auto"/>
          </w:tcPr>
          <w:p w:rsidR="001463B5" w:rsidRDefault="001463B5" w:rsidP="00492056">
            <w:pPr>
              <w:jc w:val="both"/>
            </w:pPr>
            <w:r>
              <w:t>0.96181</w:t>
            </w:r>
          </w:p>
        </w:tc>
      </w:tr>
      <w:tr w:rsidR="001463B5" w:rsidTr="00492056">
        <w:tc>
          <w:tcPr>
            <w:tcW w:w="0" w:type="auto"/>
          </w:tcPr>
          <w:p w:rsidR="001463B5" w:rsidRDefault="001463B5" w:rsidP="00492056">
            <w:pPr>
              <w:jc w:val="both"/>
            </w:pPr>
            <w:r>
              <w:rPr>
                <w:rFonts w:eastAsia="Times New Roman" w:hAnsi="Times New Roman" w:cs="Times New Roman"/>
              </w:rPr>
              <w:t>GAMLSS–WEI</w:t>
            </w:r>
          </w:p>
        </w:tc>
        <w:tc>
          <w:tcPr>
            <w:tcW w:w="0" w:type="auto"/>
          </w:tcPr>
          <w:p w:rsidR="001463B5" w:rsidRDefault="001463B5" w:rsidP="00492056">
            <w:pPr>
              <w:jc w:val="both"/>
            </w:pPr>
            <w:r>
              <w:t>0.01630</w:t>
            </w:r>
          </w:p>
        </w:tc>
        <w:tc>
          <w:tcPr>
            <w:tcW w:w="0" w:type="auto"/>
          </w:tcPr>
          <w:p w:rsidR="001463B5" w:rsidRDefault="001463B5" w:rsidP="00492056">
            <w:pPr>
              <w:jc w:val="both"/>
            </w:pPr>
            <w:r>
              <w:t>0.87325</w:t>
            </w:r>
          </w:p>
        </w:tc>
        <w:tc>
          <w:tcPr>
            <w:tcW w:w="0" w:type="auto"/>
          </w:tcPr>
          <w:p w:rsidR="001463B5" w:rsidRDefault="001463B5" w:rsidP="00492056">
            <w:pPr>
              <w:jc w:val="both"/>
            </w:pPr>
            <w:r>
              <w:t>1.01379</w:t>
            </w:r>
          </w:p>
        </w:tc>
        <w:tc>
          <w:tcPr>
            <w:tcW w:w="0" w:type="auto"/>
          </w:tcPr>
          <w:p w:rsidR="001463B5" w:rsidRDefault="001463B5" w:rsidP="00492056">
            <w:pPr>
              <w:jc w:val="both"/>
            </w:pPr>
            <w:r>
              <w:t>3.35596</w:t>
            </w:r>
          </w:p>
        </w:tc>
        <w:tc>
          <w:tcPr>
            <w:tcW w:w="0" w:type="auto"/>
          </w:tcPr>
          <w:p w:rsidR="001463B5" w:rsidRDefault="001463B5" w:rsidP="00492056">
            <w:pPr>
              <w:jc w:val="both"/>
            </w:pPr>
            <w:r>
              <w:t>0.95474</w:t>
            </w:r>
          </w:p>
        </w:tc>
      </w:tr>
      <w:tr w:rsidR="001463B5" w:rsidTr="00492056">
        <w:tc>
          <w:tcPr>
            <w:tcW w:w="0" w:type="auto"/>
          </w:tcPr>
          <w:p w:rsidR="001463B5" w:rsidRDefault="001463B5" w:rsidP="00492056">
            <w:pPr>
              <w:jc w:val="both"/>
            </w:pPr>
            <w:r>
              <w:rPr>
                <w:rFonts w:eastAsia="Times New Roman" w:hAnsi="Times New Roman" w:cs="Times New Roman"/>
              </w:rPr>
              <w:t>GAMLSS–TF</w:t>
            </w:r>
          </w:p>
        </w:tc>
        <w:tc>
          <w:tcPr>
            <w:tcW w:w="0" w:type="auto"/>
          </w:tcPr>
          <w:p w:rsidR="001463B5" w:rsidRDefault="001463B5" w:rsidP="00492056">
            <w:pPr>
              <w:jc w:val="both"/>
            </w:pPr>
            <w:r>
              <w:t>0.08378</w:t>
            </w:r>
          </w:p>
        </w:tc>
        <w:tc>
          <w:tcPr>
            <w:tcW w:w="0" w:type="auto"/>
          </w:tcPr>
          <w:p w:rsidR="001463B5" w:rsidRDefault="001463B5" w:rsidP="00492056">
            <w:pPr>
              <w:jc w:val="both"/>
            </w:pPr>
            <w:r>
              <w:t>1.00659</w:t>
            </w:r>
          </w:p>
        </w:tc>
        <w:tc>
          <w:tcPr>
            <w:tcW w:w="0" w:type="auto"/>
          </w:tcPr>
          <w:p w:rsidR="001463B5" w:rsidRDefault="001463B5" w:rsidP="00492056">
            <w:pPr>
              <w:jc w:val="both"/>
            </w:pPr>
            <w:r>
              <w:t>0.72195</w:t>
            </w:r>
          </w:p>
        </w:tc>
        <w:tc>
          <w:tcPr>
            <w:tcW w:w="0" w:type="auto"/>
          </w:tcPr>
          <w:p w:rsidR="001463B5" w:rsidRDefault="001463B5" w:rsidP="00492056">
            <w:pPr>
              <w:jc w:val="both"/>
            </w:pPr>
            <w:r>
              <w:t>2.63680</w:t>
            </w:r>
          </w:p>
        </w:tc>
        <w:tc>
          <w:tcPr>
            <w:tcW w:w="0" w:type="auto"/>
          </w:tcPr>
          <w:p w:rsidR="001463B5" w:rsidRDefault="001463B5" w:rsidP="00492056">
            <w:pPr>
              <w:jc w:val="both"/>
            </w:pPr>
            <w:r>
              <w:t>0.96859</w:t>
            </w:r>
          </w:p>
        </w:tc>
      </w:tr>
    </w:tbl>
    <w:p w:rsidR="001463B5" w:rsidRDefault="001463B5" w:rsidP="00E11B49">
      <w:pPr>
        <w:jc w:val="both"/>
        <w:rPr>
          <w:rFonts w:ascii="Times New Roman" w:hAnsi="Times New Roman" w:cs="Times New Roman"/>
        </w:rPr>
      </w:pPr>
    </w:p>
    <w:p w:rsidR="00C162BD" w:rsidRPr="001F3BE0" w:rsidRDefault="00C162BD" w:rsidP="001F3BE0">
      <w:pPr>
        <w:jc w:val="both"/>
        <w:rPr>
          <w:rFonts w:ascii="Times New Roman" w:hAnsi="Times New Roman" w:cs="Times New Roman"/>
        </w:rPr>
      </w:pPr>
      <w:r w:rsidRPr="00C162BD">
        <w:rPr>
          <w:rFonts w:ascii="Times New Roman" w:hAnsi="Times New Roman" w:cs="Times New Roman"/>
        </w:rPr>
        <w:t>Table 4 reveals th</w:t>
      </w:r>
      <w:r w:rsidR="003F1E1B">
        <w:rPr>
          <w:rFonts w:ascii="Times New Roman" w:hAnsi="Times New Roman" w:cs="Times New Roman"/>
        </w:rPr>
        <w:t>e fitness of</w:t>
      </w:r>
      <w:r w:rsidRPr="00C162BD">
        <w:rPr>
          <w:rFonts w:ascii="Times New Roman" w:hAnsi="Times New Roman" w:cs="Times New Roman"/>
        </w:rPr>
        <w:t xml:space="preserve"> GAMLSS-GG model as the quantile residuals are nearest to the theoretical normal distribution with the mean and variance close to the expected value, skewness is negligible and the </w:t>
      </w:r>
      <w:proofErr w:type="spellStart"/>
      <w:r w:rsidRPr="00C162BD">
        <w:rPr>
          <w:rFonts w:ascii="Times New Roman" w:hAnsi="Times New Roman" w:cs="Times New Roman"/>
        </w:rPr>
        <w:t>filliben</w:t>
      </w:r>
      <w:proofErr w:type="spellEnd"/>
      <w:r w:rsidRPr="00C162BD">
        <w:rPr>
          <w:rFonts w:ascii="Times New Roman" w:hAnsi="Times New Roman" w:cs="Times New Roman"/>
        </w:rPr>
        <w:t xml:space="preserve"> correlation is highest (0.99527). Conversely, the Normal (NO) model has significant positive skewness and the Weibull (WEI) with the worst performance with significant skewness, variance distortion and excess kurtosis which signifies misspecification. Student-t (TF) model is more effective than normal model but has a significant asymmetry as well. Comprehensively, the findings validate that the Generalized Gamma specification best describes distributional characteristics of GDP, being superior to the other models.</w:t>
      </w:r>
    </w:p>
    <w:p w:rsidR="001F3BE0" w:rsidRPr="00380A42" w:rsidRDefault="001F3BE0" w:rsidP="00E11B49">
      <w:pPr>
        <w:jc w:val="both"/>
        <w:rPr>
          <w:rFonts w:ascii="Times New Roman" w:hAnsi="Times New Roman" w:cs="Times New Roman"/>
        </w:rPr>
      </w:pPr>
    </w:p>
    <w:p w:rsidR="00F00D85" w:rsidRPr="00380A42" w:rsidRDefault="0088599D" w:rsidP="0088599D">
      <w:pPr>
        <w:jc w:val="center"/>
        <w:rPr>
          <w:rFonts w:ascii="Times New Roman" w:hAnsi="Times New Roman" w:cs="Times New Roman"/>
        </w:rPr>
      </w:pPr>
      <w:r>
        <w:rPr>
          <w:noProof/>
        </w:rPr>
        <w:drawing>
          <wp:inline distT="0" distB="0" distL="0" distR="0" wp14:anchorId="7AA895C3" wp14:editId="3086479C">
            <wp:extent cx="4171950" cy="2667000"/>
            <wp:effectExtent l="0" t="0" r="0" b="0"/>
            <wp:docPr id="1837226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226137" name="Picture 1"/>
                    <pic:cNvPicPr>
                      <a:picLocks noChangeAspect="1"/>
                    </pic:cNvPicPr>
                  </pic:nvPicPr>
                  <pic:blipFill>
                    <a:blip r:embed="rId9"/>
                    <a:stretch>
                      <a:fillRect/>
                    </a:stretch>
                  </pic:blipFill>
                  <pic:spPr>
                    <a:xfrm>
                      <a:off x="0" y="0"/>
                      <a:ext cx="4171950" cy="2667000"/>
                    </a:xfrm>
                    <a:prstGeom prst="rect">
                      <a:avLst/>
                    </a:prstGeom>
                  </pic:spPr>
                </pic:pic>
              </a:graphicData>
            </a:graphic>
          </wp:inline>
        </w:drawing>
      </w:r>
    </w:p>
    <w:p w:rsidR="00F00D85" w:rsidRPr="00380A42" w:rsidRDefault="00F00D85" w:rsidP="0088599D">
      <w:pPr>
        <w:jc w:val="center"/>
        <w:rPr>
          <w:rFonts w:ascii="Times New Roman" w:hAnsi="Times New Roman" w:cs="Times New Roman"/>
        </w:rPr>
      </w:pPr>
      <w:r w:rsidRPr="0088599D">
        <w:rPr>
          <w:rFonts w:ascii="Times New Roman" w:hAnsi="Times New Roman" w:cs="Times New Roman"/>
          <w:b/>
          <w:bCs/>
        </w:rPr>
        <w:t>Figure 3</w:t>
      </w:r>
      <w:r w:rsidRPr="00380A42">
        <w:rPr>
          <w:rFonts w:ascii="Times New Roman" w:hAnsi="Times New Roman" w:cs="Times New Roman"/>
        </w:rPr>
        <w:t>: Generalized Gamma (GG) model Residual Diagnostic Plots.</w:t>
      </w:r>
    </w:p>
    <w:p w:rsidR="00F00D85" w:rsidRPr="00380A42" w:rsidRDefault="00F00D85" w:rsidP="00E11B49">
      <w:pPr>
        <w:jc w:val="both"/>
        <w:rPr>
          <w:rFonts w:ascii="Times New Roman" w:hAnsi="Times New Roman" w:cs="Times New Roman"/>
        </w:rPr>
      </w:pPr>
      <w:r w:rsidRPr="00380A42">
        <w:rPr>
          <w:rFonts w:ascii="Times New Roman" w:hAnsi="Times New Roman" w:cs="Times New Roman"/>
        </w:rPr>
        <w:t xml:space="preserve">The residual diagnostic plots give a visual confirmation of the sufficiency of the chosen GG model. The quantile residual verses fitted value plot indicates that the points are randomly distributed and no systematic distribution or </w:t>
      </w:r>
      <w:r w:rsidR="0088599D" w:rsidRPr="00380A42">
        <w:rPr>
          <w:rFonts w:ascii="Times New Roman" w:hAnsi="Times New Roman" w:cs="Times New Roman"/>
        </w:rPr>
        <w:t>funnel-like</w:t>
      </w:r>
      <w:r w:rsidRPr="00380A42">
        <w:rPr>
          <w:rFonts w:ascii="Times New Roman" w:hAnsi="Times New Roman" w:cs="Times New Roman"/>
        </w:rPr>
        <w:t xml:space="preserve"> shape can be observed. This implies that heteroscedasticity is not present and that the dispersion of the residual values is not very different as the fitted values of GDP vary around. Equally, the plot of the residuals versus the index of observation does not show any obscured trend or cycle. The residuals are found to vary randomly about zero over the sample period, and this indicates that the serial dependence, structural misspecification is not very high. The quantile residual density curve is estimated to be a bell-shaped curve of a standard normal distribution. Its distribution looks like a symmetric distribution </w:t>
      </w:r>
      <w:r w:rsidRPr="00380A42">
        <w:rPr>
          <w:rFonts w:ascii="Times New Roman" w:hAnsi="Times New Roman" w:cs="Times New Roman"/>
        </w:rPr>
        <w:lastRenderedPageBreak/>
        <w:t xml:space="preserve">around zero with no eminent skewness or heavy tails. This graphical data is consistent with the previous numerical findings, in which the residual mean was close to zero and the skewness was close to zero in the GG model. Above all, the Normal QQ plot indicates the existence of a very small distance between the values of the residuals and the 45-degree reference line, with minor exceptions at the far tails. This high linear correlation attests to the fact that quantile residuals assiduously adhere to the theoretical standard normal distribution, which confirms the high </w:t>
      </w:r>
      <w:proofErr w:type="spellStart"/>
      <w:r w:rsidRPr="00380A42">
        <w:rPr>
          <w:rFonts w:ascii="Times New Roman" w:hAnsi="Times New Roman" w:cs="Times New Roman"/>
        </w:rPr>
        <w:t>Filliben</w:t>
      </w:r>
      <w:proofErr w:type="spellEnd"/>
      <w:r w:rsidRPr="00380A42">
        <w:rPr>
          <w:rFonts w:ascii="Times New Roman" w:hAnsi="Times New Roman" w:cs="Times New Roman"/>
        </w:rPr>
        <w:t xml:space="preserve"> correlation coefficient that was reported earlier (0.9953)</w:t>
      </w:r>
      <w:r w:rsidR="001463B5">
        <w:rPr>
          <w:rFonts w:ascii="Times New Roman" w:hAnsi="Times New Roman" w:cs="Times New Roman"/>
        </w:rPr>
        <w:t xml:space="preserve"> in Table 4</w:t>
      </w:r>
      <w:r w:rsidRPr="00380A42">
        <w:rPr>
          <w:rFonts w:ascii="Times New Roman" w:hAnsi="Times New Roman" w:cs="Times New Roman"/>
        </w:rPr>
        <w:t>. In finite samples, it is normal to have minor deviation of tails and it does not imply severe misspecification.</w:t>
      </w:r>
    </w:p>
    <w:p w:rsidR="00F00D85" w:rsidRPr="00380A42" w:rsidRDefault="00F00D85" w:rsidP="00E11B49">
      <w:pPr>
        <w:jc w:val="both"/>
        <w:rPr>
          <w:rFonts w:ascii="Times New Roman" w:hAnsi="Times New Roman" w:cs="Times New Roman"/>
        </w:rPr>
      </w:pPr>
    </w:p>
    <w:p w:rsidR="00F00D85" w:rsidRPr="001463B5" w:rsidRDefault="001463B5" w:rsidP="00E11B49">
      <w:pPr>
        <w:jc w:val="both"/>
        <w:rPr>
          <w:rFonts w:ascii="Times New Roman" w:hAnsi="Times New Roman" w:cs="Times New Roman"/>
          <w:b/>
          <w:bCs/>
        </w:rPr>
      </w:pPr>
      <w:r w:rsidRPr="001463B5">
        <w:rPr>
          <w:rFonts w:ascii="Times New Roman" w:hAnsi="Times New Roman" w:cs="Times New Roman"/>
          <w:b/>
          <w:bCs/>
        </w:rPr>
        <w:t xml:space="preserve">4. </w:t>
      </w:r>
      <w:r w:rsidR="00F00D85" w:rsidRPr="001463B5">
        <w:rPr>
          <w:rFonts w:ascii="Times New Roman" w:hAnsi="Times New Roman" w:cs="Times New Roman"/>
          <w:b/>
          <w:bCs/>
        </w:rPr>
        <w:t>Discussion</w:t>
      </w:r>
    </w:p>
    <w:p w:rsidR="00F00D85" w:rsidRPr="00380A42" w:rsidRDefault="00F00D85" w:rsidP="00E11B49">
      <w:pPr>
        <w:jc w:val="both"/>
        <w:rPr>
          <w:rFonts w:ascii="Times New Roman" w:hAnsi="Times New Roman" w:cs="Times New Roman"/>
        </w:rPr>
      </w:pPr>
      <w:r w:rsidRPr="00380A42">
        <w:rPr>
          <w:rFonts w:ascii="Times New Roman" w:hAnsi="Times New Roman" w:cs="Times New Roman"/>
        </w:rPr>
        <w:t xml:space="preserve">The GDP is characterized by high dispersion and skewness. These distributional properties will be significant in econometric modeling especially in establishing the appropriateness of linear </w:t>
      </w:r>
      <w:r w:rsidR="00697777" w:rsidRPr="00380A42">
        <w:rPr>
          <w:rFonts w:ascii="Times New Roman" w:hAnsi="Times New Roman" w:cs="Times New Roman"/>
        </w:rPr>
        <w:t xml:space="preserve">model </w:t>
      </w:r>
      <w:r w:rsidRPr="00380A42">
        <w:rPr>
          <w:rFonts w:ascii="Times New Roman" w:hAnsi="Times New Roman" w:cs="Times New Roman"/>
        </w:rPr>
        <w:t xml:space="preserve">specifications and measuring possible breaches of normality conditions. The </w:t>
      </w:r>
      <w:r w:rsidR="00C162BD" w:rsidRPr="00C162BD">
        <w:rPr>
          <w:rFonts w:ascii="Times New Roman" w:hAnsi="Times New Roman" w:cs="Times New Roman"/>
          <w:bCs/>
          <w:szCs w:val="12"/>
        </w:rPr>
        <w:t>departures from normality</w:t>
      </w:r>
      <w:r w:rsidRPr="00380A42">
        <w:rPr>
          <w:rFonts w:ascii="Times New Roman" w:hAnsi="Times New Roman" w:cs="Times New Roman"/>
        </w:rPr>
        <w:t xml:space="preserve"> especially in GDP and Fishing implies that transformation or strong estimation methods can be employed to enhance model performance and inference. The boxplot proves that Real GDP shows moderate dispersion, moderate positive skewness, and no high or low anomalies. The correlation matrix shows that sub-sectors of agriculture are moving together and have positive correlation with GDP</w:t>
      </w:r>
      <w:r w:rsidR="00956511">
        <w:rPr>
          <w:rFonts w:ascii="Times New Roman" w:hAnsi="Times New Roman" w:cs="Times New Roman"/>
        </w:rPr>
        <w:t>.</w:t>
      </w:r>
      <w:r w:rsidRPr="00380A42">
        <w:rPr>
          <w:rFonts w:ascii="Times New Roman" w:hAnsi="Times New Roman" w:cs="Times New Roman"/>
        </w:rPr>
        <w:t xml:space="preserve"> Forestry </w:t>
      </w:r>
      <w:r w:rsidR="00EE29D5">
        <w:rPr>
          <w:rFonts w:ascii="Times New Roman" w:hAnsi="Times New Roman" w:cs="Times New Roman"/>
        </w:rPr>
        <w:t>output is</w:t>
      </w:r>
      <w:r w:rsidRPr="00380A42">
        <w:rPr>
          <w:rFonts w:ascii="Times New Roman" w:hAnsi="Times New Roman" w:cs="Times New Roman"/>
        </w:rPr>
        <w:t xml:space="preserve"> the most correlated sector with the </w:t>
      </w:r>
      <w:r w:rsidR="00956511">
        <w:rPr>
          <w:rFonts w:ascii="Times New Roman" w:hAnsi="Times New Roman" w:cs="Times New Roman"/>
        </w:rPr>
        <w:t>GDP</w:t>
      </w:r>
      <w:r w:rsidRPr="00380A42">
        <w:rPr>
          <w:rFonts w:ascii="Times New Roman" w:hAnsi="Times New Roman" w:cs="Times New Roman"/>
        </w:rPr>
        <w:t xml:space="preserve">. These results are initial indications that agricultural performance is an important factor in driving macroeconomic growth, and also points to the need </w:t>
      </w:r>
      <w:r w:rsidR="00956511">
        <w:rPr>
          <w:rFonts w:ascii="Times New Roman" w:hAnsi="Times New Roman" w:cs="Times New Roman"/>
        </w:rPr>
        <w:t>for careful</w:t>
      </w:r>
      <w:r w:rsidRPr="00380A42">
        <w:rPr>
          <w:rFonts w:ascii="Times New Roman" w:hAnsi="Times New Roman" w:cs="Times New Roman"/>
        </w:rPr>
        <w:t xml:space="preserve"> specification in multivariate modelling.</w:t>
      </w:r>
    </w:p>
    <w:p w:rsidR="00F00D85" w:rsidRPr="00380A42" w:rsidRDefault="00F00D85" w:rsidP="00E11B49">
      <w:pPr>
        <w:jc w:val="both"/>
        <w:rPr>
          <w:rFonts w:ascii="Times New Roman" w:hAnsi="Times New Roman" w:cs="Times New Roman"/>
        </w:rPr>
      </w:pPr>
      <w:r w:rsidRPr="00380A42">
        <w:rPr>
          <w:rFonts w:ascii="Times New Roman" w:hAnsi="Times New Roman" w:cs="Times New Roman"/>
        </w:rPr>
        <w:t xml:space="preserve">Table 2 indicates the estimate of the parameters and the p-values in comparison across the four GAMLSS specifications (Generalized Gamma, Weibull, Normal, and Student-t). The findings indicate that there is a striking consistency in the direction and statistical significance of the explanatory variables in all the models. At the 1 percent level, Crop Production, Forestry, and Fishing show positive and statistically significant effects on GDP in all specifications, which shows that an increase in these sub-sectors of agriculture is linked to an increase in </w:t>
      </w:r>
      <w:r w:rsidR="00956511">
        <w:rPr>
          <w:rFonts w:ascii="Times New Roman" w:hAnsi="Times New Roman" w:cs="Times New Roman"/>
        </w:rPr>
        <w:t>economic growth</w:t>
      </w:r>
      <w:r w:rsidRPr="00380A42">
        <w:rPr>
          <w:rFonts w:ascii="Times New Roman" w:hAnsi="Times New Roman" w:cs="Times New Roman"/>
        </w:rPr>
        <w:t xml:space="preserve">. Livestock on the other hand, presents a negative and significant coefficient indicating an inverse relationship with GDP. The magnitude of the coefficients </w:t>
      </w:r>
      <w:r w:rsidR="00956511" w:rsidRPr="00380A42">
        <w:rPr>
          <w:rFonts w:ascii="Times New Roman" w:hAnsi="Times New Roman" w:cs="Times New Roman"/>
        </w:rPr>
        <w:t>varies</w:t>
      </w:r>
      <w:r w:rsidRPr="00380A42">
        <w:rPr>
          <w:rFonts w:ascii="Times New Roman" w:hAnsi="Times New Roman" w:cs="Times New Roman"/>
        </w:rPr>
        <w:t xml:space="preserve"> because of the scale and distributional assumptions</w:t>
      </w:r>
      <w:r w:rsidR="00956511">
        <w:rPr>
          <w:rFonts w:ascii="Times New Roman" w:hAnsi="Times New Roman" w:cs="Times New Roman"/>
        </w:rPr>
        <w:t>. A</w:t>
      </w:r>
      <w:r w:rsidRPr="00380A42">
        <w:rPr>
          <w:rFonts w:ascii="Times New Roman" w:hAnsi="Times New Roman" w:cs="Times New Roman"/>
        </w:rPr>
        <w:t>lthough, the stability of the signs and levels of significance proves the stability of the underlying structural relationship.</w:t>
      </w:r>
    </w:p>
    <w:p w:rsidR="00F00D85" w:rsidRPr="00380A42" w:rsidRDefault="00F00D85" w:rsidP="00E11B49">
      <w:pPr>
        <w:jc w:val="both"/>
        <w:rPr>
          <w:rFonts w:ascii="Times New Roman" w:hAnsi="Times New Roman" w:cs="Times New Roman"/>
        </w:rPr>
      </w:pPr>
      <w:r w:rsidRPr="00380A42">
        <w:rPr>
          <w:rFonts w:ascii="Times New Roman" w:hAnsi="Times New Roman" w:cs="Times New Roman"/>
        </w:rPr>
        <w:t xml:space="preserve">Interestingly, the results of the model comparison indicate that </w:t>
      </w:r>
      <w:r w:rsidR="00DD4AFF" w:rsidRPr="00380A42">
        <w:rPr>
          <w:rFonts w:ascii="Times New Roman" w:hAnsi="Times New Roman" w:cs="Times New Roman"/>
        </w:rPr>
        <w:t xml:space="preserve">the Generalized Gamma model </w:t>
      </w:r>
      <w:r w:rsidR="000C3EBF">
        <w:rPr>
          <w:rFonts w:ascii="Times New Roman" w:hAnsi="Times New Roman" w:cs="Times New Roman"/>
        </w:rPr>
        <w:t>with the lowest deviance, AIC and SBC values</w:t>
      </w:r>
      <w:r w:rsidRPr="00380A42">
        <w:rPr>
          <w:rFonts w:ascii="Times New Roman" w:hAnsi="Times New Roman" w:cs="Times New Roman"/>
        </w:rPr>
        <w:t xml:space="preserve"> is the best-fitting model. The graphical diagnostics are very strong support of the quantitative analysis of residuals. The lack of systematic patterns, the approximate </w:t>
      </w:r>
      <w:r w:rsidR="00257451" w:rsidRPr="00257451">
        <w:rPr>
          <w:rFonts w:ascii="Times New Roman" w:hAnsi="Times New Roman" w:cs="Times New Roman"/>
          <w:bCs/>
        </w:rPr>
        <w:t>normality of residuals</w:t>
      </w:r>
      <w:r w:rsidRPr="00380A42">
        <w:rPr>
          <w:rFonts w:ascii="Times New Roman" w:hAnsi="Times New Roman" w:cs="Times New Roman"/>
        </w:rPr>
        <w:t>, and the high level of agreement on the Q-Q plot</w:t>
      </w:r>
      <w:r w:rsidR="00257451">
        <w:rPr>
          <w:rFonts w:ascii="Times New Roman" w:hAnsi="Times New Roman" w:cs="Times New Roman"/>
        </w:rPr>
        <w:t>,</w:t>
      </w:r>
      <w:r w:rsidRPr="00380A42">
        <w:rPr>
          <w:rFonts w:ascii="Times New Roman" w:hAnsi="Times New Roman" w:cs="Times New Roman"/>
        </w:rPr>
        <w:t xml:space="preserve"> all confirm the fact that </w:t>
      </w:r>
      <w:r w:rsidR="00257451">
        <w:rPr>
          <w:rFonts w:ascii="Times New Roman" w:hAnsi="Times New Roman" w:cs="Times New Roman"/>
        </w:rPr>
        <w:t>GG</w:t>
      </w:r>
      <w:r w:rsidRPr="00380A42">
        <w:rPr>
          <w:rFonts w:ascii="Times New Roman" w:hAnsi="Times New Roman" w:cs="Times New Roman"/>
        </w:rPr>
        <w:t xml:space="preserve"> model is well-specified. These results have strong empirical evidence that the model estimates and policies based on the model are reliable. The integrated table shows that the agricultural sub-sectors have systematic and statistically significant impacts on the GDP, and the inference does not change with other distributional frameworks.</w:t>
      </w:r>
    </w:p>
    <w:p w:rsidR="00F00D85" w:rsidRPr="00380A42" w:rsidRDefault="00F00D85" w:rsidP="00E11B49">
      <w:pPr>
        <w:jc w:val="both"/>
        <w:rPr>
          <w:rFonts w:ascii="Times New Roman" w:hAnsi="Times New Roman" w:cs="Times New Roman"/>
        </w:rPr>
      </w:pPr>
      <w:r w:rsidRPr="00380A42">
        <w:rPr>
          <w:rFonts w:ascii="Times New Roman" w:hAnsi="Times New Roman" w:cs="Times New Roman"/>
        </w:rPr>
        <w:lastRenderedPageBreak/>
        <w:t xml:space="preserve">The results obtained by this research are consistent with a considerable amount of empirical research on the importance of agriculture in economic development, especially in the developing economies. The good and significant impacts of crop production, forestry, and fishing on GDP that is seen in this paper are in line with the findings of </w:t>
      </w:r>
      <w:proofErr w:type="spellStart"/>
      <w:r w:rsidRPr="00380A42">
        <w:rPr>
          <w:rFonts w:ascii="Times New Roman" w:hAnsi="Times New Roman" w:cs="Times New Roman"/>
        </w:rPr>
        <w:t>Awokuse</w:t>
      </w:r>
      <w:proofErr w:type="spellEnd"/>
      <w:r w:rsidRPr="00380A42">
        <w:rPr>
          <w:rFonts w:ascii="Times New Roman" w:hAnsi="Times New Roman" w:cs="Times New Roman"/>
        </w:rPr>
        <w:t xml:space="preserve"> and </w:t>
      </w:r>
      <w:proofErr w:type="spellStart"/>
      <w:r w:rsidRPr="00380A42">
        <w:rPr>
          <w:rFonts w:ascii="Times New Roman" w:hAnsi="Times New Roman" w:cs="Times New Roman"/>
        </w:rPr>
        <w:t>Xie</w:t>
      </w:r>
      <w:proofErr w:type="spellEnd"/>
      <w:r w:rsidRPr="00380A42">
        <w:rPr>
          <w:rFonts w:ascii="Times New Roman" w:hAnsi="Times New Roman" w:cs="Times New Roman"/>
        </w:rPr>
        <w:t xml:space="preserve"> (2015), who in their cross-country analysis showed that agricultural productivity is a major contributor to economic growth in developing economies. In the same way, the findings are consistent with the results of </w:t>
      </w:r>
      <w:proofErr w:type="spellStart"/>
      <w:r w:rsidRPr="00380A42">
        <w:rPr>
          <w:rFonts w:ascii="Times New Roman" w:hAnsi="Times New Roman" w:cs="Times New Roman"/>
        </w:rPr>
        <w:t>Tiffifin</w:t>
      </w:r>
      <w:proofErr w:type="spellEnd"/>
      <w:r w:rsidRPr="00380A42">
        <w:rPr>
          <w:rFonts w:ascii="Times New Roman" w:hAnsi="Times New Roman" w:cs="Times New Roman"/>
        </w:rPr>
        <w:t xml:space="preserve"> and </w:t>
      </w:r>
      <w:proofErr w:type="spellStart"/>
      <w:r w:rsidRPr="00380A42">
        <w:rPr>
          <w:rFonts w:ascii="Times New Roman" w:hAnsi="Times New Roman" w:cs="Times New Roman"/>
        </w:rPr>
        <w:t>Irz</w:t>
      </w:r>
      <w:proofErr w:type="spellEnd"/>
      <w:r w:rsidR="000A6015">
        <w:rPr>
          <w:rFonts w:ascii="Times New Roman" w:hAnsi="Times New Roman" w:cs="Times New Roman"/>
        </w:rPr>
        <w:t xml:space="preserve"> </w:t>
      </w:r>
      <w:r w:rsidRPr="00380A42">
        <w:rPr>
          <w:rFonts w:ascii="Times New Roman" w:hAnsi="Times New Roman" w:cs="Times New Roman"/>
        </w:rPr>
        <w:t xml:space="preserve">(2006) who maintained that agriculture could be a source of engine of growth especially in the economy where the major role of farming is in job creation and distribution of resources. The results of positive contributions of crop production and forestry in the current research are also supported by the conclusions made by </w:t>
      </w:r>
      <w:proofErr w:type="spellStart"/>
      <w:r w:rsidRPr="00380A42">
        <w:rPr>
          <w:rFonts w:ascii="Times New Roman" w:hAnsi="Times New Roman" w:cs="Times New Roman"/>
        </w:rPr>
        <w:t>Diao</w:t>
      </w:r>
      <w:proofErr w:type="spellEnd"/>
      <w:r w:rsidRPr="00380A42">
        <w:rPr>
          <w:rFonts w:ascii="Times New Roman" w:hAnsi="Times New Roman" w:cs="Times New Roman"/>
        </w:rPr>
        <w:t xml:space="preserve"> et al. (2010) who emphasized on the significant multiplier impact of agricultural growth on the general economic growth in Africa. The results are also in agreement with the recent Nigerian studies. As an example, </w:t>
      </w:r>
      <w:proofErr w:type="spellStart"/>
      <w:r w:rsidRPr="00380A42">
        <w:rPr>
          <w:rFonts w:ascii="Times New Roman" w:hAnsi="Times New Roman" w:cs="Times New Roman"/>
        </w:rPr>
        <w:t>Ehighebolo</w:t>
      </w:r>
      <w:proofErr w:type="spellEnd"/>
      <w:r w:rsidRPr="00380A42">
        <w:rPr>
          <w:rFonts w:ascii="Times New Roman" w:hAnsi="Times New Roman" w:cs="Times New Roman"/>
        </w:rPr>
        <w:t xml:space="preserve"> (2023) stated that disaggregated agricultural outputs are a major factor in terms of economic performance in Nigeria especially crop production and forestry activities. </w:t>
      </w:r>
      <w:r w:rsidR="00595609">
        <w:rPr>
          <w:rFonts w:ascii="Times New Roman" w:hAnsi="Times New Roman" w:cs="Times New Roman"/>
        </w:rPr>
        <w:t>Gabriel</w:t>
      </w:r>
      <w:r w:rsidRPr="00380A42">
        <w:rPr>
          <w:rFonts w:ascii="Times New Roman" w:hAnsi="Times New Roman" w:cs="Times New Roman"/>
        </w:rPr>
        <w:t xml:space="preserve"> et al. (2022), </w:t>
      </w:r>
      <w:proofErr w:type="spellStart"/>
      <w:r w:rsidRPr="00380A42">
        <w:rPr>
          <w:rFonts w:ascii="Times New Roman" w:hAnsi="Times New Roman" w:cs="Times New Roman"/>
        </w:rPr>
        <w:t>Onunwo</w:t>
      </w:r>
      <w:proofErr w:type="spellEnd"/>
      <w:r w:rsidRPr="00380A42">
        <w:rPr>
          <w:rFonts w:ascii="Times New Roman" w:hAnsi="Times New Roman" w:cs="Times New Roman"/>
        </w:rPr>
        <w:t xml:space="preserve"> and </w:t>
      </w:r>
      <w:proofErr w:type="spellStart"/>
      <w:r w:rsidRPr="00380A42">
        <w:rPr>
          <w:rFonts w:ascii="Times New Roman" w:hAnsi="Times New Roman" w:cs="Times New Roman"/>
        </w:rPr>
        <w:t>Amadi</w:t>
      </w:r>
      <w:proofErr w:type="spellEnd"/>
      <w:r w:rsidRPr="00380A42">
        <w:rPr>
          <w:rFonts w:ascii="Times New Roman" w:hAnsi="Times New Roman" w:cs="Times New Roman"/>
        </w:rPr>
        <w:t>-Robert, (2025) also made similar conclusions on the fact that the development of the agricultural sector results in the positive influence on the economic growth. All these studies point to the relevance of sectoral disaggregation in the interpretation of the heterogeneous effects of agricultural activities in the macroeconomic performance.</w:t>
      </w:r>
    </w:p>
    <w:p w:rsidR="00F00D85" w:rsidRPr="00380A42" w:rsidRDefault="00F00D85" w:rsidP="00E11B49">
      <w:pPr>
        <w:jc w:val="both"/>
        <w:rPr>
          <w:rFonts w:ascii="Times New Roman" w:hAnsi="Times New Roman" w:cs="Times New Roman"/>
        </w:rPr>
      </w:pPr>
      <w:r w:rsidRPr="00380A42">
        <w:rPr>
          <w:rFonts w:ascii="Times New Roman" w:hAnsi="Times New Roman" w:cs="Times New Roman"/>
        </w:rPr>
        <w:t xml:space="preserve">Nevertheless, the current research paper differs with certain past results in regard to livestock production. Although numerous </w:t>
      </w:r>
      <w:proofErr w:type="gramStart"/>
      <w:r w:rsidRPr="00380A42">
        <w:rPr>
          <w:rFonts w:ascii="Times New Roman" w:hAnsi="Times New Roman" w:cs="Times New Roman"/>
        </w:rPr>
        <w:t>research</w:t>
      </w:r>
      <w:proofErr w:type="gramEnd"/>
      <w:r w:rsidRPr="00380A42">
        <w:rPr>
          <w:rFonts w:ascii="Times New Roman" w:hAnsi="Times New Roman" w:cs="Times New Roman"/>
        </w:rPr>
        <w:t xml:space="preserve"> works record livestock as having a positive relation in economic growth, the outcomes stated here show that there is a statistically significant negative correlation between livestock production and GDP. The differences might indicate structural weaknesses, lack of productivity, poor infrastructure, or policy restrictions in the livestock sub-sector in the study area. The fact that not every agricultural sub-sector is equally contributing to economic performance is also implied, which supports the importance of sector-specific policy interventions.</w:t>
      </w:r>
    </w:p>
    <w:p w:rsidR="00F00D85" w:rsidRDefault="00F00D85" w:rsidP="00E11B49">
      <w:pPr>
        <w:jc w:val="both"/>
        <w:rPr>
          <w:rFonts w:ascii="Times New Roman" w:hAnsi="Times New Roman" w:cs="Times New Roman"/>
        </w:rPr>
      </w:pPr>
      <w:r w:rsidRPr="00380A42">
        <w:rPr>
          <w:rFonts w:ascii="Times New Roman" w:hAnsi="Times New Roman" w:cs="Times New Roman"/>
        </w:rPr>
        <w:t>Methodologically, the proposed study builds on the literature available since it uses a flexible distributional model grounded on Generalized Additive Models of Location, Scale and Shape (Rigby and Stasinopoulos, 2005). Recent research states the benefits of flexible regression models to model the complex agricultural growth dynamics (</w:t>
      </w:r>
      <w:r w:rsidR="00897BF1" w:rsidRPr="00897BF1">
        <w:rPr>
          <w:rFonts w:ascii="Times New Roman" w:hAnsi="Times New Roman" w:cs="Times New Roman"/>
          <w:bCs/>
        </w:rPr>
        <w:t>Wellington</w:t>
      </w:r>
      <w:r w:rsidRPr="00380A42">
        <w:rPr>
          <w:rFonts w:ascii="Times New Roman" w:hAnsi="Times New Roman" w:cs="Times New Roman"/>
        </w:rPr>
        <w:t xml:space="preserve"> et al., 202</w:t>
      </w:r>
      <w:r w:rsidR="00897BF1">
        <w:rPr>
          <w:rFonts w:ascii="Times New Roman" w:hAnsi="Times New Roman" w:cs="Times New Roman"/>
        </w:rPr>
        <w:t>3</w:t>
      </w:r>
      <w:r w:rsidRPr="00380A42">
        <w:rPr>
          <w:rFonts w:ascii="Times New Roman" w:hAnsi="Times New Roman" w:cs="Times New Roman"/>
        </w:rPr>
        <w:t xml:space="preserve">). Although most previous researches used conventional econometric methods like OLS, VAR or SVAR, the GAMLSS framework makes it possible to have more flexible modelling of non-normal and skewed macroeconomic data distributions. The excellent performance of the Generalized Gamma specification in this paper brings to the fore the need to accommodate the distributional asymmetry in the modeling of the economic growth processes. </w:t>
      </w:r>
      <w:r w:rsidR="00B95300" w:rsidRPr="00B95300">
        <w:rPr>
          <w:rFonts w:ascii="Times New Roman" w:hAnsi="Times New Roman" w:cs="Times New Roman"/>
        </w:rPr>
        <w:t>Besides this, the findings of this research support the current literature on the exploration of nonlinear connections between agricultural production and macroeconomic activity. Recent facts indicate the interaction of the agricultural production and macroeconomic variables is nonlinear in nature and differs according to the diverse economic conditions and distributional regimes (</w:t>
      </w:r>
      <w:proofErr w:type="spellStart"/>
      <w:r w:rsidR="00B95300" w:rsidRPr="00B95300">
        <w:rPr>
          <w:rFonts w:ascii="Times New Roman" w:hAnsi="Times New Roman" w:cs="Times New Roman"/>
        </w:rPr>
        <w:t>Onwe</w:t>
      </w:r>
      <w:proofErr w:type="spellEnd"/>
      <w:r w:rsidR="00B95300" w:rsidRPr="00B95300">
        <w:rPr>
          <w:rFonts w:ascii="Times New Roman" w:hAnsi="Times New Roman" w:cs="Times New Roman"/>
        </w:rPr>
        <w:t xml:space="preserve"> et al., 2024). These intricate dynamics </w:t>
      </w:r>
      <w:r w:rsidR="00B95300" w:rsidRPr="00B95300">
        <w:rPr>
          <w:rFonts w:ascii="Times New Roman" w:hAnsi="Times New Roman" w:cs="Times New Roman"/>
        </w:rPr>
        <w:lastRenderedPageBreak/>
        <w:t>cannot be best modeled through traditional linear models but through flexible modeling.</w:t>
      </w:r>
      <w:r w:rsidR="00B95300">
        <w:rPr>
          <w:rFonts w:ascii="Times New Roman" w:hAnsi="Times New Roman" w:cs="Times New Roman"/>
        </w:rPr>
        <w:t xml:space="preserve"> </w:t>
      </w:r>
      <w:r w:rsidRPr="00380A42">
        <w:rPr>
          <w:rFonts w:ascii="Times New Roman" w:hAnsi="Times New Roman" w:cs="Times New Roman"/>
        </w:rPr>
        <w:t>Generally, the empirical findings mostly support the existing literature findings that agriculture is still one of the driving forces of economic growth in developing economies. Simultaneously, the research has fresh information in the sense that it has emphasized the heterogeneous impact of agricultural sub-sectors and also it has revealed the benefits of adaptable statistical modelling methodologies to study macroeconomic-agricultural interconnection.</w:t>
      </w:r>
    </w:p>
    <w:p w:rsidR="000E5401" w:rsidRPr="00380A42" w:rsidRDefault="000E5401" w:rsidP="00E11B49">
      <w:pPr>
        <w:jc w:val="both"/>
        <w:rPr>
          <w:rFonts w:ascii="Times New Roman" w:hAnsi="Times New Roman" w:cs="Times New Roman"/>
        </w:rPr>
      </w:pPr>
    </w:p>
    <w:p w:rsidR="00F00D85" w:rsidRPr="000E5401" w:rsidRDefault="00F00D85" w:rsidP="00E11B49">
      <w:pPr>
        <w:jc w:val="both"/>
        <w:rPr>
          <w:rFonts w:ascii="Times New Roman" w:hAnsi="Times New Roman" w:cs="Times New Roman"/>
          <w:b/>
          <w:bCs/>
        </w:rPr>
      </w:pPr>
      <w:r w:rsidRPr="000E5401">
        <w:rPr>
          <w:rFonts w:ascii="Times New Roman" w:hAnsi="Times New Roman" w:cs="Times New Roman"/>
          <w:b/>
          <w:bCs/>
        </w:rPr>
        <w:t>5. Conclusion</w:t>
      </w:r>
    </w:p>
    <w:p w:rsidR="00774387" w:rsidRDefault="00F00D85" w:rsidP="00E11B49">
      <w:pPr>
        <w:jc w:val="both"/>
        <w:rPr>
          <w:rFonts w:ascii="Times New Roman" w:hAnsi="Times New Roman" w:cs="Times New Roman"/>
        </w:rPr>
      </w:pPr>
      <w:r w:rsidRPr="00380A42">
        <w:rPr>
          <w:rFonts w:ascii="Times New Roman" w:hAnsi="Times New Roman" w:cs="Times New Roman"/>
        </w:rPr>
        <w:t xml:space="preserve">This paper analyzed the correlation between the GDP and the agricultural sub-sectors in terms of alternative GAMLSS specifications and observed some consistent evidence that Crop Production, Forestry, and Fishing positively and significantly influence </w:t>
      </w:r>
      <w:r w:rsidR="00477CF2" w:rsidRPr="00380A42">
        <w:rPr>
          <w:rFonts w:ascii="Times New Roman" w:hAnsi="Times New Roman" w:cs="Times New Roman"/>
        </w:rPr>
        <w:t>economic</w:t>
      </w:r>
      <w:r w:rsidRPr="00380A42">
        <w:rPr>
          <w:rFonts w:ascii="Times New Roman" w:hAnsi="Times New Roman" w:cs="Times New Roman"/>
        </w:rPr>
        <w:t xml:space="preserve"> growth</w:t>
      </w:r>
      <w:r w:rsidR="00477CF2">
        <w:rPr>
          <w:rFonts w:ascii="Times New Roman" w:hAnsi="Times New Roman" w:cs="Times New Roman"/>
        </w:rPr>
        <w:t>.</w:t>
      </w:r>
      <w:r w:rsidRPr="00380A42">
        <w:rPr>
          <w:rFonts w:ascii="Times New Roman" w:hAnsi="Times New Roman" w:cs="Times New Roman"/>
        </w:rPr>
        <w:t xml:space="preserve"> </w:t>
      </w:r>
      <w:r w:rsidR="00477CF2" w:rsidRPr="00380A42">
        <w:rPr>
          <w:rFonts w:ascii="Times New Roman" w:hAnsi="Times New Roman" w:cs="Times New Roman"/>
        </w:rPr>
        <w:t xml:space="preserve">Livestock </w:t>
      </w:r>
      <w:r w:rsidR="00477CF2">
        <w:rPr>
          <w:rFonts w:ascii="Times New Roman" w:hAnsi="Times New Roman" w:cs="Times New Roman"/>
        </w:rPr>
        <w:t xml:space="preserve">has </w:t>
      </w:r>
      <w:r w:rsidRPr="00380A42">
        <w:rPr>
          <w:rFonts w:ascii="Times New Roman" w:hAnsi="Times New Roman" w:cs="Times New Roman"/>
        </w:rPr>
        <w:t xml:space="preserve">a significant negative </w:t>
      </w:r>
      <w:r w:rsidR="00477CF2">
        <w:rPr>
          <w:rFonts w:ascii="Times New Roman" w:hAnsi="Times New Roman" w:cs="Times New Roman"/>
        </w:rPr>
        <w:t xml:space="preserve">relationship </w:t>
      </w:r>
      <w:r w:rsidRPr="00380A42">
        <w:rPr>
          <w:rFonts w:ascii="Times New Roman" w:hAnsi="Times New Roman" w:cs="Times New Roman"/>
        </w:rPr>
        <w:t>with</w:t>
      </w:r>
      <w:r w:rsidR="00477CF2">
        <w:rPr>
          <w:rFonts w:ascii="Times New Roman" w:hAnsi="Times New Roman" w:cs="Times New Roman"/>
        </w:rPr>
        <w:t xml:space="preserve"> the GDP thereby has no effect on the economic growth</w:t>
      </w:r>
      <w:r w:rsidR="0077175D">
        <w:rPr>
          <w:rFonts w:ascii="Times New Roman" w:hAnsi="Times New Roman" w:cs="Times New Roman"/>
        </w:rPr>
        <w:t xml:space="preserve"> of the country</w:t>
      </w:r>
      <w:r w:rsidRPr="00380A42">
        <w:rPr>
          <w:rFonts w:ascii="Times New Roman" w:hAnsi="Times New Roman" w:cs="Times New Roman"/>
        </w:rPr>
        <w:t xml:space="preserve">. </w:t>
      </w:r>
      <w:r w:rsidR="009414D0">
        <w:rPr>
          <w:rFonts w:ascii="Times New Roman" w:hAnsi="Times New Roman" w:cs="Times New Roman"/>
        </w:rPr>
        <w:t>C</w:t>
      </w:r>
      <w:r w:rsidRPr="00380A42">
        <w:rPr>
          <w:rFonts w:ascii="Times New Roman" w:hAnsi="Times New Roman" w:cs="Times New Roman"/>
        </w:rPr>
        <w:t>omparing models (</w:t>
      </w:r>
      <w:r w:rsidR="009414D0" w:rsidRPr="00380A42">
        <w:rPr>
          <w:rFonts w:ascii="Times New Roman" w:hAnsi="Times New Roman" w:cs="Times New Roman"/>
        </w:rPr>
        <w:t>Generalized Gamma (GG), Weibull (WEI), Normal (NO) and Student-t (TF)</w:t>
      </w:r>
      <w:r w:rsidR="009414D0">
        <w:rPr>
          <w:rFonts w:ascii="Times New Roman" w:hAnsi="Times New Roman" w:cs="Times New Roman"/>
        </w:rPr>
        <w:t xml:space="preserve">) using </w:t>
      </w:r>
      <w:r w:rsidRPr="00380A42">
        <w:rPr>
          <w:rFonts w:ascii="Times New Roman" w:hAnsi="Times New Roman" w:cs="Times New Roman"/>
        </w:rPr>
        <w:t>Global Deviance, AIC, SBC</w:t>
      </w:r>
      <w:r w:rsidR="009414D0">
        <w:rPr>
          <w:rFonts w:ascii="Times New Roman" w:hAnsi="Times New Roman" w:cs="Times New Roman"/>
        </w:rPr>
        <w:t>,</w:t>
      </w:r>
      <w:r w:rsidRPr="00380A42">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Pr="00380A42">
        <w:rPr>
          <w:rFonts w:ascii="Times New Roman" w:hAnsi="Times New Roman" w:cs="Times New Roman"/>
        </w:rPr>
        <w:t xml:space="preserve"> and residual analysis, it is evident that model that fitted the best was the Generalized Gamma (GG) model and was able to explain the variation in GDP at around 90 percent. The nature of the diagnostic tests showed that the residuals of the GG model are close to be normally distributed, there are no systematic patterns or misspecification detected. All in all, the findings highlight the critical role of the main sub-sectors of agriculture in the overall economic performance besides the need to adapt to flexible distributional structures in the process of modeling macroeconomic output.</w:t>
      </w:r>
    </w:p>
    <w:p w:rsidR="00903A89" w:rsidRPr="00380A42" w:rsidRDefault="00903A89" w:rsidP="00E11B49">
      <w:pPr>
        <w:jc w:val="both"/>
        <w:rPr>
          <w:rFonts w:ascii="Times New Roman" w:hAnsi="Times New Roman" w:cs="Times New Roman"/>
        </w:rPr>
      </w:pPr>
    </w:p>
    <w:p w:rsidR="002C7180" w:rsidRPr="00005ED1" w:rsidRDefault="002C7180" w:rsidP="002C7180">
      <w:pPr>
        <w:pStyle w:val="NoSpacing"/>
        <w:rPr>
          <w:rFonts w:ascii="Arial" w:hAnsi="Arial" w:cs="Arial"/>
          <w:highlight w:val="yellow"/>
        </w:rPr>
      </w:pPr>
      <w:bookmarkStart w:id="9" w:name="_Hlk219284361"/>
      <w:bookmarkStart w:id="10" w:name="_Hlk198031404"/>
      <w:bookmarkStart w:id="11" w:name="_Hlk219128673"/>
      <w:r w:rsidRPr="00005ED1">
        <w:rPr>
          <w:rFonts w:ascii="Arial" w:hAnsi="Arial" w:cs="Arial"/>
          <w:highlight w:val="yellow"/>
        </w:rPr>
        <w:t>Disclaimer (Artificial intelligence)</w:t>
      </w:r>
    </w:p>
    <w:p w:rsidR="002C7180" w:rsidRPr="00005ED1" w:rsidRDefault="002C7180" w:rsidP="002C7180">
      <w:pPr>
        <w:pStyle w:val="NoSpacing"/>
        <w:rPr>
          <w:rFonts w:ascii="Arial" w:hAnsi="Arial" w:cs="Arial"/>
          <w:highlight w:val="yellow"/>
        </w:rPr>
      </w:pPr>
    </w:p>
    <w:p w:rsidR="002C7180" w:rsidRPr="00005ED1" w:rsidRDefault="002C7180" w:rsidP="002C718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9"/>
      <w:r w:rsidRPr="00005ED1">
        <w:rPr>
          <w:rFonts w:ascii="Arial" w:hAnsi="Arial" w:cs="Arial"/>
          <w:highlight w:val="yellow"/>
        </w:rPr>
        <w:t xml:space="preserve">. </w:t>
      </w:r>
    </w:p>
    <w:bookmarkEnd w:id="10"/>
    <w:p w:rsidR="002C7180" w:rsidRDefault="002C7180" w:rsidP="002C7180">
      <w:pPr>
        <w:pStyle w:val="NoSpacing"/>
        <w:rPr>
          <w:rFonts w:ascii="Arial" w:hAnsi="Arial" w:cs="Arial"/>
        </w:rPr>
      </w:pPr>
    </w:p>
    <w:bookmarkEnd w:id="11"/>
    <w:p w:rsidR="00774387" w:rsidRPr="00380A42" w:rsidRDefault="00774387" w:rsidP="00E11B49">
      <w:pPr>
        <w:jc w:val="both"/>
        <w:rPr>
          <w:rFonts w:ascii="Times New Roman" w:hAnsi="Times New Roman" w:cs="Times New Roman"/>
        </w:rPr>
      </w:pPr>
    </w:p>
    <w:p w:rsidR="0077175D" w:rsidRPr="0077175D" w:rsidRDefault="0077175D" w:rsidP="0077175D">
      <w:pPr>
        <w:spacing w:after="120" w:line="276" w:lineRule="auto"/>
        <w:jc w:val="both"/>
        <w:rPr>
          <w:rFonts w:ascii="Times New Roman" w:hAnsi="Times New Roman" w:cs="Times New Roman"/>
          <w:b/>
          <w:bCs/>
        </w:rPr>
      </w:pPr>
      <w:r w:rsidRPr="0077175D">
        <w:rPr>
          <w:rFonts w:ascii="Times New Roman" w:hAnsi="Times New Roman" w:cs="Times New Roman"/>
          <w:b/>
          <w:bCs/>
        </w:rPr>
        <w:t xml:space="preserve">References </w:t>
      </w:r>
    </w:p>
    <w:p w:rsidR="004A2211" w:rsidRPr="006928CD" w:rsidRDefault="004A2211" w:rsidP="006928CD">
      <w:pPr>
        <w:pStyle w:val="ListParagraph"/>
        <w:numPr>
          <w:ilvl w:val="0"/>
          <w:numId w:val="3"/>
        </w:numPr>
        <w:spacing w:after="120" w:line="276" w:lineRule="auto"/>
        <w:jc w:val="both"/>
        <w:rPr>
          <w:rFonts w:ascii="Times New Roman" w:hAnsi="Times New Roman" w:cs="Times New Roman"/>
          <w:bCs/>
        </w:rPr>
      </w:pPr>
      <w:r w:rsidRPr="006928CD">
        <w:rPr>
          <w:rFonts w:ascii="Times New Roman" w:hAnsi="Times New Roman" w:cs="Times New Roman"/>
          <w:bCs/>
        </w:rPr>
        <w:t xml:space="preserve">Aminu, U., </w:t>
      </w:r>
      <w:proofErr w:type="spellStart"/>
      <w:r w:rsidRPr="006928CD">
        <w:rPr>
          <w:rFonts w:ascii="Times New Roman" w:hAnsi="Times New Roman" w:cs="Times New Roman"/>
          <w:bCs/>
        </w:rPr>
        <w:t>Gidigbi</w:t>
      </w:r>
      <w:proofErr w:type="spellEnd"/>
      <w:r w:rsidRPr="006928CD">
        <w:rPr>
          <w:rFonts w:ascii="Times New Roman" w:hAnsi="Times New Roman" w:cs="Times New Roman"/>
          <w:bCs/>
        </w:rPr>
        <w:t xml:space="preserve">, M. O., &amp; </w:t>
      </w:r>
      <w:proofErr w:type="spellStart"/>
      <w:r w:rsidRPr="006928CD">
        <w:rPr>
          <w:rFonts w:ascii="Times New Roman" w:hAnsi="Times New Roman" w:cs="Times New Roman"/>
          <w:bCs/>
        </w:rPr>
        <w:t>Dogo</w:t>
      </w:r>
      <w:proofErr w:type="spellEnd"/>
      <w:r w:rsidRPr="006928CD">
        <w:rPr>
          <w:rFonts w:ascii="Times New Roman" w:hAnsi="Times New Roman" w:cs="Times New Roman"/>
          <w:bCs/>
        </w:rPr>
        <w:t>, B. S. (2024). The Asymmetric Effect of Selected Agricultural Commodities and Oil Prices on Economic Growth in Nigeria. </w:t>
      </w:r>
      <w:r w:rsidRPr="006928CD">
        <w:rPr>
          <w:rFonts w:ascii="Times New Roman" w:hAnsi="Times New Roman" w:cs="Times New Roman"/>
          <w:bCs/>
          <w:i/>
          <w:iCs/>
        </w:rPr>
        <w:t>Economics and Business</w:t>
      </w:r>
      <w:r w:rsidRPr="006928CD">
        <w:rPr>
          <w:rFonts w:ascii="Times New Roman" w:hAnsi="Times New Roman" w:cs="Times New Roman"/>
          <w:bCs/>
        </w:rPr>
        <w:t>, 12, 27–50.</w:t>
      </w:r>
    </w:p>
    <w:p w:rsidR="002572F7" w:rsidRPr="002572F7" w:rsidRDefault="002572F7" w:rsidP="006928CD">
      <w:pPr>
        <w:pStyle w:val="ListParagraph"/>
        <w:numPr>
          <w:ilvl w:val="0"/>
          <w:numId w:val="3"/>
        </w:numPr>
        <w:spacing w:after="120" w:line="276" w:lineRule="auto"/>
        <w:jc w:val="both"/>
      </w:pPr>
      <w:proofErr w:type="spellStart"/>
      <w:r w:rsidRPr="006928CD">
        <w:rPr>
          <w:rFonts w:ascii="Times New Roman" w:hAnsi="Times New Roman" w:cs="Times New Roman"/>
          <w:bCs/>
        </w:rPr>
        <w:t>Awokuse</w:t>
      </w:r>
      <w:proofErr w:type="spellEnd"/>
      <w:r w:rsidRPr="006928CD">
        <w:rPr>
          <w:rFonts w:ascii="Times New Roman" w:hAnsi="Times New Roman" w:cs="Times New Roman"/>
          <w:bCs/>
        </w:rPr>
        <w:t xml:space="preserve">, T. O., &amp; </w:t>
      </w:r>
      <w:proofErr w:type="spellStart"/>
      <w:r w:rsidRPr="006928CD">
        <w:rPr>
          <w:rFonts w:ascii="Times New Roman" w:hAnsi="Times New Roman" w:cs="Times New Roman"/>
          <w:bCs/>
        </w:rPr>
        <w:t>Xie</w:t>
      </w:r>
      <w:proofErr w:type="spellEnd"/>
      <w:r w:rsidRPr="006928CD">
        <w:rPr>
          <w:rFonts w:ascii="Times New Roman" w:hAnsi="Times New Roman" w:cs="Times New Roman"/>
          <w:bCs/>
        </w:rPr>
        <w:t xml:space="preserve">, R. (2015). Does agriculture really matter for economic growth in developing </w:t>
      </w:r>
      <w:proofErr w:type="gramStart"/>
      <w:r w:rsidRPr="006928CD">
        <w:rPr>
          <w:rFonts w:ascii="Times New Roman" w:hAnsi="Times New Roman" w:cs="Times New Roman"/>
          <w:bCs/>
        </w:rPr>
        <w:t>countries?.</w:t>
      </w:r>
      <w:proofErr w:type="gramEnd"/>
      <w:r w:rsidRPr="006928CD">
        <w:rPr>
          <w:rFonts w:ascii="Times New Roman" w:hAnsi="Times New Roman" w:cs="Times New Roman"/>
          <w:bCs/>
        </w:rPr>
        <w:t> </w:t>
      </w:r>
      <w:r w:rsidRPr="006928CD">
        <w:rPr>
          <w:rFonts w:ascii="Times New Roman" w:hAnsi="Times New Roman" w:cs="Times New Roman"/>
          <w:bCs/>
          <w:i/>
          <w:iCs/>
        </w:rPr>
        <w:t xml:space="preserve">Canadian Journal of Agricultural Economics/Revue </w:t>
      </w:r>
      <w:proofErr w:type="spellStart"/>
      <w:r w:rsidRPr="006928CD">
        <w:rPr>
          <w:rFonts w:ascii="Times New Roman" w:hAnsi="Times New Roman" w:cs="Times New Roman"/>
          <w:bCs/>
          <w:i/>
          <w:iCs/>
        </w:rPr>
        <w:t>canadienne</w:t>
      </w:r>
      <w:proofErr w:type="spellEnd"/>
      <w:r w:rsidRPr="006928CD">
        <w:rPr>
          <w:rFonts w:ascii="Times New Roman" w:hAnsi="Times New Roman" w:cs="Times New Roman"/>
          <w:bCs/>
          <w:i/>
          <w:iCs/>
        </w:rPr>
        <w:t xml:space="preserve"> </w:t>
      </w:r>
      <w:proofErr w:type="spellStart"/>
      <w:r w:rsidRPr="006928CD">
        <w:rPr>
          <w:rFonts w:ascii="Times New Roman" w:hAnsi="Times New Roman" w:cs="Times New Roman"/>
          <w:bCs/>
          <w:i/>
          <w:iCs/>
        </w:rPr>
        <w:t>d'agroeconomie</w:t>
      </w:r>
      <w:proofErr w:type="spellEnd"/>
      <w:r w:rsidRPr="006928CD">
        <w:rPr>
          <w:rFonts w:ascii="Times New Roman" w:hAnsi="Times New Roman" w:cs="Times New Roman"/>
          <w:bCs/>
        </w:rPr>
        <w:t>, </w:t>
      </w:r>
      <w:r w:rsidRPr="006928CD">
        <w:rPr>
          <w:rFonts w:ascii="Times New Roman" w:hAnsi="Times New Roman" w:cs="Times New Roman"/>
          <w:bCs/>
          <w:i/>
          <w:iCs/>
        </w:rPr>
        <w:t>63</w:t>
      </w:r>
      <w:r w:rsidRPr="006928CD">
        <w:rPr>
          <w:rFonts w:ascii="Times New Roman" w:hAnsi="Times New Roman" w:cs="Times New Roman"/>
          <w:bCs/>
        </w:rPr>
        <w:t xml:space="preserve">(1), 77-99. </w:t>
      </w:r>
      <w:hyperlink r:id="rId10" w:history="1">
        <w:r w:rsidRPr="006928CD">
          <w:rPr>
            <w:rStyle w:val="Hyperlink"/>
            <w:rFonts w:ascii="Times New Roman" w:hAnsi="Times New Roman" w:cs="Times New Roman"/>
          </w:rPr>
          <w:t>https://doi.org/10.1111/cjag.12038</w:t>
        </w:r>
      </w:hyperlink>
    </w:p>
    <w:p w:rsidR="0077175D" w:rsidRPr="006928CD" w:rsidRDefault="0077175D" w:rsidP="006928CD">
      <w:pPr>
        <w:pStyle w:val="ListParagraph"/>
        <w:numPr>
          <w:ilvl w:val="0"/>
          <w:numId w:val="3"/>
        </w:numPr>
        <w:spacing w:after="120" w:line="276" w:lineRule="auto"/>
        <w:jc w:val="both"/>
        <w:rPr>
          <w:rFonts w:ascii="Times New Roman" w:hAnsi="Times New Roman" w:cs="Times New Roman"/>
          <w:bCs/>
        </w:rPr>
      </w:pPr>
      <w:r w:rsidRPr="006928CD">
        <w:rPr>
          <w:rFonts w:ascii="Times New Roman" w:hAnsi="Times New Roman" w:cs="Times New Roman"/>
          <w:bCs/>
        </w:rPr>
        <w:t xml:space="preserve">Barrios, S., Ouattara, B., &amp; Strobl, E. (2010). The impact of climatic change on agricultural production: Is it different for Africa? </w:t>
      </w:r>
      <w:r w:rsidRPr="006928CD">
        <w:rPr>
          <w:rFonts w:ascii="Times New Roman" w:hAnsi="Times New Roman" w:cs="Times New Roman"/>
          <w:bCs/>
          <w:i/>
          <w:iCs/>
        </w:rPr>
        <w:t>Review of Economics and Statistics, 92</w:t>
      </w:r>
      <w:r w:rsidRPr="006928CD">
        <w:rPr>
          <w:rFonts w:ascii="Times New Roman" w:hAnsi="Times New Roman" w:cs="Times New Roman"/>
          <w:bCs/>
        </w:rPr>
        <w:t xml:space="preserve">(2), 369–380. </w:t>
      </w:r>
      <w:hyperlink r:id="rId11" w:tgtFrame="_new" w:history="1">
        <w:r w:rsidRPr="006928CD">
          <w:rPr>
            <w:rStyle w:val="Hyperlink"/>
            <w:rFonts w:ascii="Times New Roman" w:hAnsi="Times New Roman" w:cs="Times New Roman"/>
            <w:bCs/>
          </w:rPr>
          <w:t>https://doi.org/10.1162/rest.2010.11460</w:t>
        </w:r>
      </w:hyperlink>
    </w:p>
    <w:p w:rsidR="0077175D" w:rsidRPr="006928CD" w:rsidRDefault="0077175D" w:rsidP="006928CD">
      <w:pPr>
        <w:pStyle w:val="ListParagraph"/>
        <w:numPr>
          <w:ilvl w:val="0"/>
          <w:numId w:val="3"/>
        </w:numPr>
        <w:spacing w:after="120" w:line="276" w:lineRule="auto"/>
        <w:jc w:val="both"/>
        <w:rPr>
          <w:rFonts w:ascii="Times New Roman" w:hAnsi="Times New Roman" w:cs="Times New Roman"/>
          <w:bCs/>
        </w:rPr>
      </w:pPr>
      <w:proofErr w:type="spellStart"/>
      <w:r w:rsidRPr="006928CD">
        <w:rPr>
          <w:rFonts w:ascii="Times New Roman" w:hAnsi="Times New Roman" w:cs="Times New Roman"/>
          <w:bCs/>
        </w:rPr>
        <w:lastRenderedPageBreak/>
        <w:t>Bodam</w:t>
      </w:r>
      <w:proofErr w:type="spellEnd"/>
      <w:r w:rsidRPr="006928CD">
        <w:rPr>
          <w:rFonts w:ascii="Times New Roman" w:hAnsi="Times New Roman" w:cs="Times New Roman"/>
          <w:bCs/>
        </w:rPr>
        <w:t xml:space="preserve">, F., </w:t>
      </w:r>
      <w:proofErr w:type="spellStart"/>
      <w:r w:rsidRPr="006928CD">
        <w:rPr>
          <w:rFonts w:ascii="Times New Roman" w:hAnsi="Times New Roman" w:cs="Times New Roman"/>
          <w:bCs/>
        </w:rPr>
        <w:t>Duru</w:t>
      </w:r>
      <w:proofErr w:type="spellEnd"/>
      <w:r w:rsidRPr="006928CD">
        <w:rPr>
          <w:rFonts w:ascii="Times New Roman" w:hAnsi="Times New Roman" w:cs="Times New Roman"/>
          <w:bCs/>
        </w:rPr>
        <w:t xml:space="preserve">, M. C., </w:t>
      </w:r>
      <w:proofErr w:type="spellStart"/>
      <w:r w:rsidRPr="006928CD">
        <w:rPr>
          <w:rFonts w:ascii="Times New Roman" w:hAnsi="Times New Roman" w:cs="Times New Roman"/>
          <w:bCs/>
        </w:rPr>
        <w:t>Egwaikhide</w:t>
      </w:r>
      <w:proofErr w:type="spellEnd"/>
      <w:r w:rsidRPr="006928CD">
        <w:rPr>
          <w:rFonts w:ascii="Times New Roman" w:hAnsi="Times New Roman" w:cs="Times New Roman"/>
          <w:bCs/>
        </w:rPr>
        <w:t xml:space="preserve">, C. I., Alexander, A. A., &amp; Yakubu, A. (2025). Effects of agricultural subsector’s output on economic growth in Nigeria: Structural VAR (SVAR) model approach. </w:t>
      </w:r>
      <w:r w:rsidRPr="006928CD">
        <w:rPr>
          <w:rFonts w:ascii="Times New Roman" w:hAnsi="Times New Roman" w:cs="Times New Roman"/>
          <w:bCs/>
          <w:i/>
          <w:iCs/>
        </w:rPr>
        <w:t>ISRG Journal of Agriculture and Veterinary Science, 2</w:t>
      </w:r>
      <w:r w:rsidRPr="006928CD">
        <w:rPr>
          <w:rFonts w:ascii="Times New Roman" w:hAnsi="Times New Roman" w:cs="Times New Roman"/>
          <w:bCs/>
        </w:rPr>
        <w:t>(4), 53–61.</w:t>
      </w:r>
    </w:p>
    <w:p w:rsidR="00DD6C5B" w:rsidRPr="006928CD" w:rsidRDefault="00BA1228" w:rsidP="006928CD">
      <w:pPr>
        <w:pStyle w:val="ListParagraph"/>
        <w:numPr>
          <w:ilvl w:val="0"/>
          <w:numId w:val="3"/>
        </w:numPr>
        <w:spacing w:after="120" w:line="276" w:lineRule="auto"/>
        <w:jc w:val="both"/>
        <w:rPr>
          <w:rFonts w:ascii="Times New Roman" w:hAnsi="Times New Roman" w:cs="Times New Roman"/>
          <w:bCs/>
        </w:rPr>
      </w:pPr>
      <w:proofErr w:type="spellStart"/>
      <w:r w:rsidRPr="006928CD">
        <w:rPr>
          <w:rFonts w:ascii="Times New Roman" w:hAnsi="Times New Roman" w:cs="Times New Roman"/>
          <w:bCs/>
        </w:rPr>
        <w:t>Cuaresma</w:t>
      </w:r>
      <w:proofErr w:type="spellEnd"/>
      <w:r w:rsidRPr="006928CD">
        <w:rPr>
          <w:rFonts w:ascii="Times New Roman" w:hAnsi="Times New Roman" w:cs="Times New Roman"/>
          <w:bCs/>
        </w:rPr>
        <w:t xml:space="preserve">, J. C., </w:t>
      </w:r>
      <w:proofErr w:type="spellStart"/>
      <w:r w:rsidRPr="006928CD">
        <w:rPr>
          <w:rFonts w:ascii="Times New Roman" w:hAnsi="Times New Roman" w:cs="Times New Roman"/>
          <w:bCs/>
        </w:rPr>
        <w:t>Doppelhofer</w:t>
      </w:r>
      <w:proofErr w:type="spellEnd"/>
      <w:r w:rsidRPr="006928CD">
        <w:rPr>
          <w:rFonts w:ascii="Times New Roman" w:hAnsi="Times New Roman" w:cs="Times New Roman"/>
          <w:bCs/>
        </w:rPr>
        <w:t xml:space="preserve">, G., &amp; </w:t>
      </w:r>
      <w:proofErr w:type="spellStart"/>
      <w:r w:rsidRPr="006928CD">
        <w:rPr>
          <w:rFonts w:ascii="Times New Roman" w:hAnsi="Times New Roman" w:cs="Times New Roman"/>
          <w:bCs/>
        </w:rPr>
        <w:t>Feldkircher</w:t>
      </w:r>
      <w:proofErr w:type="spellEnd"/>
      <w:r w:rsidRPr="006928CD">
        <w:rPr>
          <w:rFonts w:ascii="Times New Roman" w:hAnsi="Times New Roman" w:cs="Times New Roman"/>
          <w:bCs/>
        </w:rPr>
        <w:t>, M. (2014). The determinants of economic growth in European regions. </w:t>
      </w:r>
      <w:r w:rsidRPr="006928CD">
        <w:rPr>
          <w:rFonts w:ascii="Times New Roman" w:hAnsi="Times New Roman" w:cs="Times New Roman"/>
          <w:bCs/>
          <w:i/>
          <w:iCs/>
        </w:rPr>
        <w:t>Regional Studies</w:t>
      </w:r>
      <w:r w:rsidRPr="006928CD">
        <w:rPr>
          <w:rFonts w:ascii="Times New Roman" w:hAnsi="Times New Roman" w:cs="Times New Roman"/>
          <w:bCs/>
        </w:rPr>
        <w:t>, </w:t>
      </w:r>
      <w:r w:rsidRPr="006928CD">
        <w:rPr>
          <w:rFonts w:ascii="Times New Roman" w:hAnsi="Times New Roman" w:cs="Times New Roman"/>
          <w:bCs/>
          <w:i/>
          <w:iCs/>
        </w:rPr>
        <w:t>48</w:t>
      </w:r>
      <w:r w:rsidRPr="006928CD">
        <w:rPr>
          <w:rFonts w:ascii="Times New Roman" w:hAnsi="Times New Roman" w:cs="Times New Roman"/>
          <w:bCs/>
        </w:rPr>
        <w:t>(1), 44-67.</w:t>
      </w:r>
      <w:r w:rsidR="00DD6C5B" w:rsidRPr="006928CD">
        <w:rPr>
          <w:rFonts w:ascii="Times New Roman" w:hAnsi="Times New Roman" w:cs="Times New Roman"/>
          <w:bCs/>
        </w:rPr>
        <w:t xml:space="preserve"> </w:t>
      </w:r>
      <w:hyperlink r:id="rId12" w:history="1">
        <w:r w:rsidR="00DD6C5B" w:rsidRPr="006928CD">
          <w:rPr>
            <w:rStyle w:val="Hyperlink"/>
            <w:rFonts w:ascii="Times New Roman" w:hAnsi="Times New Roman" w:cs="Times New Roman"/>
            <w:bCs/>
          </w:rPr>
          <w:t>https://doi.org/10.1080/00343404.2012.678824</w:t>
        </w:r>
      </w:hyperlink>
    </w:p>
    <w:p w:rsidR="00387F18" w:rsidRPr="006928CD" w:rsidRDefault="00387F18" w:rsidP="006928CD">
      <w:pPr>
        <w:pStyle w:val="ListParagraph"/>
        <w:numPr>
          <w:ilvl w:val="0"/>
          <w:numId w:val="3"/>
        </w:numPr>
        <w:spacing w:after="120" w:line="276" w:lineRule="auto"/>
        <w:jc w:val="both"/>
        <w:rPr>
          <w:rFonts w:ascii="Times New Roman" w:hAnsi="Times New Roman" w:cs="Times New Roman"/>
          <w:bCs/>
        </w:rPr>
      </w:pPr>
      <w:r w:rsidRPr="006928CD">
        <w:rPr>
          <w:rFonts w:ascii="Times New Roman" w:hAnsi="Times New Roman" w:cs="Times New Roman"/>
          <w:bCs/>
        </w:rPr>
        <w:t>Chukwu, B. C. (2023). Impact of Agricultural Sector on Economic Growth in Nigeria. </w:t>
      </w:r>
      <w:r w:rsidRPr="006928CD">
        <w:rPr>
          <w:rFonts w:ascii="Times New Roman" w:hAnsi="Times New Roman" w:cs="Times New Roman"/>
          <w:bCs/>
          <w:i/>
          <w:iCs/>
        </w:rPr>
        <w:t>International Journal of Agricultural Sciences and Technology (IJAGST)</w:t>
      </w:r>
      <w:r w:rsidRPr="006928CD">
        <w:rPr>
          <w:rFonts w:ascii="Times New Roman" w:hAnsi="Times New Roman" w:cs="Times New Roman"/>
          <w:bCs/>
        </w:rPr>
        <w:t>, </w:t>
      </w:r>
      <w:r w:rsidRPr="006928CD">
        <w:rPr>
          <w:rFonts w:ascii="Times New Roman" w:hAnsi="Times New Roman" w:cs="Times New Roman"/>
          <w:bCs/>
          <w:i/>
          <w:iCs/>
        </w:rPr>
        <w:t>3</w:t>
      </w:r>
      <w:r w:rsidRPr="006928CD">
        <w:rPr>
          <w:rFonts w:ascii="Times New Roman" w:hAnsi="Times New Roman" w:cs="Times New Roman"/>
          <w:bCs/>
        </w:rPr>
        <w:t>(2), 32-59.</w:t>
      </w:r>
    </w:p>
    <w:p w:rsidR="0077175D" w:rsidRDefault="0077175D" w:rsidP="006928CD">
      <w:pPr>
        <w:pStyle w:val="ListParagraph"/>
        <w:numPr>
          <w:ilvl w:val="0"/>
          <w:numId w:val="3"/>
        </w:numPr>
        <w:spacing w:after="120" w:line="276" w:lineRule="auto"/>
        <w:jc w:val="both"/>
      </w:pPr>
      <w:proofErr w:type="spellStart"/>
      <w:r w:rsidRPr="006928CD">
        <w:rPr>
          <w:rFonts w:ascii="Times New Roman" w:hAnsi="Times New Roman" w:cs="Times New Roman"/>
          <w:bCs/>
        </w:rPr>
        <w:t>Diao</w:t>
      </w:r>
      <w:proofErr w:type="spellEnd"/>
      <w:r w:rsidRPr="006928CD">
        <w:rPr>
          <w:rFonts w:ascii="Times New Roman" w:hAnsi="Times New Roman" w:cs="Times New Roman"/>
          <w:bCs/>
        </w:rPr>
        <w:t xml:space="preserve">, X., Hazell, P., &amp; Thurlow, J. (2010). The </w:t>
      </w:r>
      <w:r w:rsidR="00DD6C5B" w:rsidRPr="006928CD">
        <w:rPr>
          <w:rFonts w:ascii="Times New Roman" w:hAnsi="Times New Roman" w:cs="Times New Roman"/>
          <w:bCs/>
        </w:rPr>
        <w:t>R</w:t>
      </w:r>
      <w:r w:rsidRPr="006928CD">
        <w:rPr>
          <w:rFonts w:ascii="Times New Roman" w:hAnsi="Times New Roman" w:cs="Times New Roman"/>
          <w:bCs/>
        </w:rPr>
        <w:t xml:space="preserve">ole of </w:t>
      </w:r>
      <w:r w:rsidR="00DD6C5B" w:rsidRPr="006928CD">
        <w:rPr>
          <w:rFonts w:ascii="Times New Roman" w:hAnsi="Times New Roman" w:cs="Times New Roman"/>
          <w:bCs/>
        </w:rPr>
        <w:t>A</w:t>
      </w:r>
      <w:r w:rsidRPr="006928CD">
        <w:rPr>
          <w:rFonts w:ascii="Times New Roman" w:hAnsi="Times New Roman" w:cs="Times New Roman"/>
          <w:bCs/>
        </w:rPr>
        <w:t xml:space="preserve">griculture in African </w:t>
      </w:r>
      <w:r w:rsidR="00DD6C5B" w:rsidRPr="006928CD">
        <w:rPr>
          <w:rFonts w:ascii="Times New Roman" w:hAnsi="Times New Roman" w:cs="Times New Roman"/>
          <w:bCs/>
        </w:rPr>
        <w:t>D</w:t>
      </w:r>
      <w:r w:rsidRPr="006928CD">
        <w:rPr>
          <w:rFonts w:ascii="Times New Roman" w:hAnsi="Times New Roman" w:cs="Times New Roman"/>
          <w:bCs/>
        </w:rPr>
        <w:t xml:space="preserve">evelopment. </w:t>
      </w:r>
      <w:r w:rsidRPr="006928CD">
        <w:rPr>
          <w:rFonts w:ascii="Times New Roman" w:hAnsi="Times New Roman" w:cs="Times New Roman"/>
          <w:bCs/>
          <w:i/>
          <w:iCs/>
        </w:rPr>
        <w:t>World Development, 38</w:t>
      </w:r>
      <w:r w:rsidRPr="006928CD">
        <w:rPr>
          <w:rFonts w:ascii="Times New Roman" w:hAnsi="Times New Roman" w:cs="Times New Roman"/>
          <w:bCs/>
        </w:rPr>
        <w:t>(10), 1375–138</w:t>
      </w:r>
      <w:r w:rsidR="00DD6C5B" w:rsidRPr="006928CD">
        <w:rPr>
          <w:rFonts w:ascii="Times New Roman" w:hAnsi="Times New Roman" w:cs="Times New Roman"/>
          <w:bCs/>
        </w:rPr>
        <w:t>3</w:t>
      </w:r>
      <w:r w:rsidRPr="006928CD">
        <w:rPr>
          <w:rFonts w:ascii="Times New Roman" w:hAnsi="Times New Roman" w:cs="Times New Roman"/>
          <w:bCs/>
        </w:rPr>
        <w:t xml:space="preserve">. </w:t>
      </w:r>
      <w:hyperlink r:id="rId13" w:history="1">
        <w:r w:rsidR="00DD6C5B" w:rsidRPr="006928CD">
          <w:rPr>
            <w:rStyle w:val="Hyperlink"/>
            <w:rFonts w:ascii="Times New Roman" w:hAnsi="Times New Roman" w:cs="Times New Roman"/>
            <w:bCs/>
          </w:rPr>
          <w:t>https://doi.org/10.1016/j.worlddev.2009.06.011</w:t>
        </w:r>
      </w:hyperlink>
    </w:p>
    <w:p w:rsidR="00D61BB9" w:rsidRPr="006928CD" w:rsidRDefault="00D61BB9" w:rsidP="006928CD">
      <w:pPr>
        <w:pStyle w:val="ListParagraph"/>
        <w:numPr>
          <w:ilvl w:val="0"/>
          <w:numId w:val="3"/>
        </w:numPr>
        <w:spacing w:after="120" w:line="276" w:lineRule="auto"/>
        <w:jc w:val="both"/>
        <w:rPr>
          <w:rFonts w:ascii="Times New Roman" w:hAnsi="Times New Roman" w:cs="Times New Roman"/>
          <w:bCs/>
        </w:rPr>
      </w:pPr>
      <w:proofErr w:type="spellStart"/>
      <w:r w:rsidRPr="006928CD">
        <w:rPr>
          <w:rFonts w:ascii="Times New Roman" w:hAnsi="Times New Roman" w:cs="Times New Roman"/>
          <w:bCs/>
        </w:rPr>
        <w:t>Ehighebolo</w:t>
      </w:r>
      <w:proofErr w:type="spellEnd"/>
      <w:r w:rsidRPr="006928CD">
        <w:rPr>
          <w:rFonts w:ascii="Times New Roman" w:hAnsi="Times New Roman" w:cs="Times New Roman"/>
          <w:bCs/>
        </w:rPr>
        <w:t>, I. A. (2023). Impacts of agricultural sub-sectors’ performances on Nigeria’s economic growth: an empirical analysis. </w:t>
      </w:r>
      <w:r w:rsidRPr="006928CD">
        <w:rPr>
          <w:rFonts w:ascii="Times New Roman" w:hAnsi="Times New Roman" w:cs="Times New Roman"/>
          <w:bCs/>
          <w:i/>
          <w:iCs/>
        </w:rPr>
        <w:t>African Journal of Agricultural Science and Food Research</w:t>
      </w:r>
      <w:r w:rsidRPr="006928CD">
        <w:rPr>
          <w:rFonts w:ascii="Times New Roman" w:hAnsi="Times New Roman" w:cs="Times New Roman"/>
          <w:bCs/>
        </w:rPr>
        <w:t>, </w:t>
      </w:r>
      <w:r w:rsidRPr="006928CD">
        <w:rPr>
          <w:rFonts w:ascii="Times New Roman" w:hAnsi="Times New Roman" w:cs="Times New Roman"/>
          <w:bCs/>
          <w:i/>
          <w:iCs/>
        </w:rPr>
        <w:t>9</w:t>
      </w:r>
      <w:r w:rsidRPr="006928CD">
        <w:rPr>
          <w:rFonts w:ascii="Times New Roman" w:hAnsi="Times New Roman" w:cs="Times New Roman"/>
          <w:bCs/>
        </w:rPr>
        <w:t>(1), 79-87.</w:t>
      </w:r>
    </w:p>
    <w:p w:rsidR="00E942E9" w:rsidRPr="006928CD" w:rsidRDefault="00E942E9" w:rsidP="006928CD">
      <w:pPr>
        <w:pStyle w:val="ListParagraph"/>
        <w:numPr>
          <w:ilvl w:val="0"/>
          <w:numId w:val="3"/>
        </w:numPr>
        <w:spacing w:after="120" w:line="276" w:lineRule="auto"/>
        <w:jc w:val="both"/>
        <w:rPr>
          <w:rFonts w:ascii="Times New Roman" w:hAnsi="Times New Roman" w:cs="Times New Roman"/>
          <w:bCs/>
        </w:rPr>
      </w:pPr>
      <w:r w:rsidRPr="006928CD">
        <w:rPr>
          <w:rFonts w:ascii="Times New Roman" w:hAnsi="Times New Roman" w:cs="Times New Roman"/>
          <w:bCs/>
        </w:rPr>
        <w:t xml:space="preserve">Fagiolo, G., </w:t>
      </w:r>
      <w:proofErr w:type="spellStart"/>
      <w:r w:rsidRPr="006928CD">
        <w:rPr>
          <w:rFonts w:ascii="Times New Roman" w:hAnsi="Times New Roman" w:cs="Times New Roman"/>
          <w:bCs/>
        </w:rPr>
        <w:t>Napoletano</w:t>
      </w:r>
      <w:proofErr w:type="spellEnd"/>
      <w:r w:rsidRPr="006928CD">
        <w:rPr>
          <w:rFonts w:ascii="Times New Roman" w:hAnsi="Times New Roman" w:cs="Times New Roman"/>
          <w:bCs/>
        </w:rPr>
        <w:t xml:space="preserve">, M., &amp; </w:t>
      </w:r>
      <w:proofErr w:type="spellStart"/>
      <w:r w:rsidRPr="006928CD">
        <w:rPr>
          <w:rFonts w:ascii="Times New Roman" w:hAnsi="Times New Roman" w:cs="Times New Roman"/>
          <w:bCs/>
        </w:rPr>
        <w:t>Roventini</w:t>
      </w:r>
      <w:proofErr w:type="spellEnd"/>
      <w:r w:rsidRPr="006928CD">
        <w:rPr>
          <w:rFonts w:ascii="Times New Roman" w:hAnsi="Times New Roman" w:cs="Times New Roman"/>
          <w:bCs/>
        </w:rPr>
        <w:t xml:space="preserve">, A. (2008). Are output growth-rate distributions fat-tailed? Some evidence from OECD countries. </w:t>
      </w:r>
      <w:r w:rsidRPr="006928CD">
        <w:rPr>
          <w:rFonts w:ascii="Times New Roman" w:hAnsi="Times New Roman" w:cs="Times New Roman"/>
          <w:bCs/>
          <w:i/>
          <w:iCs/>
        </w:rPr>
        <w:t>Journal of Applied Econometrics, 23</w:t>
      </w:r>
      <w:r w:rsidRPr="006928CD">
        <w:rPr>
          <w:rFonts w:ascii="Times New Roman" w:hAnsi="Times New Roman" w:cs="Times New Roman"/>
          <w:bCs/>
        </w:rPr>
        <w:t xml:space="preserve">(5), 639–669. </w:t>
      </w:r>
      <w:hyperlink r:id="rId14" w:history="1">
        <w:r w:rsidRPr="006928CD">
          <w:rPr>
            <w:rStyle w:val="Hyperlink"/>
            <w:rFonts w:ascii="Times New Roman" w:hAnsi="Times New Roman" w:cs="Times New Roman"/>
            <w:bCs/>
          </w:rPr>
          <w:t>https://doi.org/10.1002/jae.1003</w:t>
        </w:r>
      </w:hyperlink>
    </w:p>
    <w:p w:rsidR="0077175D" w:rsidRPr="006928CD" w:rsidRDefault="0077175D" w:rsidP="006928CD">
      <w:pPr>
        <w:pStyle w:val="ListParagraph"/>
        <w:numPr>
          <w:ilvl w:val="0"/>
          <w:numId w:val="3"/>
        </w:numPr>
        <w:spacing w:after="120" w:line="276" w:lineRule="auto"/>
        <w:jc w:val="both"/>
        <w:rPr>
          <w:rFonts w:ascii="Times New Roman" w:hAnsi="Times New Roman" w:cs="Times New Roman"/>
          <w:bCs/>
        </w:rPr>
      </w:pPr>
      <w:r w:rsidRPr="006928CD">
        <w:rPr>
          <w:rFonts w:ascii="Times New Roman" w:hAnsi="Times New Roman" w:cs="Times New Roman"/>
          <w:bCs/>
        </w:rPr>
        <w:t xml:space="preserve">Food and Agriculture Organization. (2025). </w:t>
      </w:r>
      <w:r w:rsidRPr="006928CD">
        <w:rPr>
          <w:rFonts w:ascii="Times New Roman" w:hAnsi="Times New Roman" w:cs="Times New Roman"/>
          <w:bCs/>
          <w:i/>
          <w:iCs/>
        </w:rPr>
        <w:t>The state of food and agriculture 2025</w:t>
      </w:r>
      <w:r w:rsidRPr="006928CD">
        <w:rPr>
          <w:rFonts w:ascii="Times New Roman" w:hAnsi="Times New Roman" w:cs="Times New Roman"/>
          <w:bCs/>
        </w:rPr>
        <w:t>. FAO.</w:t>
      </w:r>
    </w:p>
    <w:p w:rsidR="00595609" w:rsidRPr="006928CD" w:rsidRDefault="00595609" w:rsidP="006928CD">
      <w:pPr>
        <w:pStyle w:val="ListParagraph"/>
        <w:numPr>
          <w:ilvl w:val="0"/>
          <w:numId w:val="3"/>
        </w:numPr>
        <w:spacing w:after="120" w:line="276" w:lineRule="auto"/>
        <w:jc w:val="both"/>
        <w:rPr>
          <w:rFonts w:ascii="Times New Roman" w:hAnsi="Times New Roman" w:cs="Times New Roman"/>
          <w:bCs/>
        </w:rPr>
      </w:pPr>
      <w:r w:rsidRPr="006928CD">
        <w:rPr>
          <w:rFonts w:ascii="Times New Roman" w:hAnsi="Times New Roman" w:cs="Times New Roman"/>
          <w:bCs/>
        </w:rPr>
        <w:t xml:space="preserve">Gabriel, A., Abdulrahman, M., </w:t>
      </w:r>
      <w:proofErr w:type="spellStart"/>
      <w:r w:rsidRPr="006928CD">
        <w:rPr>
          <w:rFonts w:ascii="Times New Roman" w:hAnsi="Times New Roman" w:cs="Times New Roman"/>
          <w:bCs/>
        </w:rPr>
        <w:t>Abah</w:t>
      </w:r>
      <w:proofErr w:type="spellEnd"/>
      <w:r w:rsidRPr="006928CD">
        <w:rPr>
          <w:rFonts w:ascii="Times New Roman" w:hAnsi="Times New Roman" w:cs="Times New Roman"/>
          <w:bCs/>
        </w:rPr>
        <w:t>, B., &amp; Joshua, U. (2022). Econometric relationship between the agriculture sector performance and economic growth in Nigeria. </w:t>
      </w:r>
      <w:r w:rsidRPr="006928CD">
        <w:rPr>
          <w:rFonts w:ascii="Times New Roman" w:hAnsi="Times New Roman" w:cs="Times New Roman"/>
          <w:bCs/>
          <w:i/>
          <w:iCs/>
        </w:rPr>
        <w:t>Regional economic development research</w:t>
      </w:r>
      <w:r w:rsidRPr="006928CD">
        <w:rPr>
          <w:rFonts w:ascii="Times New Roman" w:hAnsi="Times New Roman" w:cs="Times New Roman"/>
          <w:bCs/>
        </w:rPr>
        <w:t xml:space="preserve">, 231-240. DOI: </w:t>
      </w:r>
      <w:hyperlink r:id="rId15" w:history="1">
        <w:r w:rsidRPr="006928CD">
          <w:rPr>
            <w:rStyle w:val="Hyperlink"/>
            <w:rFonts w:ascii="Times New Roman" w:hAnsi="Times New Roman" w:cs="Times New Roman"/>
            <w:bCs/>
          </w:rPr>
          <w:t>https://doi.org/10.37256/redr.3220221386</w:t>
        </w:r>
      </w:hyperlink>
    </w:p>
    <w:p w:rsidR="0077175D" w:rsidRPr="006928CD" w:rsidRDefault="0077175D" w:rsidP="006928CD">
      <w:pPr>
        <w:pStyle w:val="ListParagraph"/>
        <w:numPr>
          <w:ilvl w:val="0"/>
          <w:numId w:val="3"/>
        </w:numPr>
        <w:spacing w:after="120" w:line="276" w:lineRule="auto"/>
        <w:jc w:val="both"/>
        <w:rPr>
          <w:rFonts w:ascii="Times New Roman" w:hAnsi="Times New Roman" w:cs="Times New Roman"/>
        </w:rPr>
      </w:pPr>
      <w:r w:rsidRPr="006928CD">
        <w:rPr>
          <w:rFonts w:ascii="Times New Roman" w:hAnsi="Times New Roman" w:cs="Times New Roman"/>
        </w:rPr>
        <w:t>Jayne, T. S., Chamberlin, J., &amp; Headey, D. (20</w:t>
      </w:r>
      <w:r w:rsidR="00707802" w:rsidRPr="006928CD">
        <w:rPr>
          <w:rFonts w:ascii="Times New Roman" w:hAnsi="Times New Roman" w:cs="Times New Roman"/>
        </w:rPr>
        <w:t>14</w:t>
      </w:r>
      <w:r w:rsidRPr="006928CD">
        <w:rPr>
          <w:rFonts w:ascii="Times New Roman" w:hAnsi="Times New Roman" w:cs="Times New Roman"/>
        </w:rPr>
        <w:t xml:space="preserve">). Land pressures, the evolution of farming systems, and development strategies in Africa. </w:t>
      </w:r>
      <w:r w:rsidR="00707802" w:rsidRPr="006928CD">
        <w:rPr>
          <w:rFonts w:ascii="Times New Roman" w:hAnsi="Times New Roman" w:cs="Times New Roman"/>
          <w:i/>
          <w:iCs/>
        </w:rPr>
        <w:t>Food Policy, 48, 1–17</w:t>
      </w:r>
      <w:r w:rsidRPr="006928CD">
        <w:rPr>
          <w:rFonts w:ascii="Times New Roman" w:hAnsi="Times New Roman" w:cs="Times New Roman"/>
        </w:rPr>
        <w:t xml:space="preserve">. </w:t>
      </w:r>
      <w:hyperlink r:id="rId16" w:history="1">
        <w:r w:rsidR="00707802" w:rsidRPr="001548F7">
          <w:rPr>
            <w:rStyle w:val="Hyperlink"/>
          </w:rPr>
          <w:t>https://doi.org/10.1016/j.foodpol.2014.05.014</w:t>
        </w:r>
      </w:hyperlink>
    </w:p>
    <w:p w:rsidR="0077175D" w:rsidRPr="006928CD" w:rsidRDefault="0077175D" w:rsidP="006928CD">
      <w:pPr>
        <w:pStyle w:val="ListParagraph"/>
        <w:numPr>
          <w:ilvl w:val="0"/>
          <w:numId w:val="3"/>
        </w:numPr>
        <w:spacing w:after="120" w:line="276" w:lineRule="auto"/>
        <w:jc w:val="both"/>
        <w:rPr>
          <w:rFonts w:ascii="Times New Roman" w:hAnsi="Times New Roman" w:cs="Times New Roman"/>
        </w:rPr>
      </w:pPr>
      <w:r w:rsidRPr="006928CD">
        <w:rPr>
          <w:rFonts w:ascii="Times New Roman" w:hAnsi="Times New Roman" w:cs="Times New Roman"/>
        </w:rPr>
        <w:t xml:space="preserve">McArthur, J. W., &amp; McCord, G. C. (2023). Fertilizing growth: Agricultural productivity and economic development. </w:t>
      </w:r>
      <w:r w:rsidRPr="006928CD">
        <w:rPr>
          <w:rFonts w:ascii="Times New Roman" w:hAnsi="Times New Roman" w:cs="Times New Roman"/>
          <w:i/>
          <w:iCs/>
        </w:rPr>
        <w:t>World Development, 161</w:t>
      </w:r>
      <w:r w:rsidRPr="006928CD">
        <w:rPr>
          <w:rFonts w:ascii="Times New Roman" w:hAnsi="Times New Roman" w:cs="Times New Roman"/>
        </w:rPr>
        <w:t xml:space="preserve">, 106083. </w:t>
      </w:r>
      <w:hyperlink r:id="rId17" w:history="1">
        <w:r w:rsidRPr="006928CD">
          <w:rPr>
            <w:rStyle w:val="Hyperlink"/>
            <w:rFonts w:ascii="Times New Roman" w:hAnsi="Times New Roman" w:cs="Times New Roman"/>
          </w:rPr>
          <w:t>https://doi.org/10.1016/j.worlddev.2022.106083</w:t>
        </w:r>
      </w:hyperlink>
    </w:p>
    <w:p w:rsidR="0077175D" w:rsidRPr="006928CD" w:rsidRDefault="0077175D" w:rsidP="006928CD">
      <w:pPr>
        <w:pStyle w:val="ListParagraph"/>
        <w:numPr>
          <w:ilvl w:val="0"/>
          <w:numId w:val="3"/>
        </w:numPr>
        <w:spacing w:after="120" w:line="276" w:lineRule="auto"/>
        <w:jc w:val="both"/>
        <w:rPr>
          <w:rFonts w:ascii="Times New Roman" w:hAnsi="Times New Roman" w:cs="Times New Roman"/>
          <w:bCs/>
        </w:rPr>
      </w:pPr>
      <w:r w:rsidRPr="006928CD">
        <w:rPr>
          <w:rFonts w:ascii="Times New Roman" w:hAnsi="Times New Roman" w:cs="Times New Roman"/>
          <w:bCs/>
        </w:rPr>
        <w:t xml:space="preserve">National Bureau of Statistics. (2024). </w:t>
      </w:r>
      <w:r w:rsidRPr="006928CD">
        <w:rPr>
          <w:rFonts w:ascii="Times New Roman" w:hAnsi="Times New Roman" w:cs="Times New Roman"/>
          <w:bCs/>
          <w:i/>
          <w:iCs/>
        </w:rPr>
        <w:t>Nigerian gross domestic product report</w:t>
      </w:r>
      <w:r w:rsidRPr="006928CD">
        <w:rPr>
          <w:rFonts w:ascii="Times New Roman" w:hAnsi="Times New Roman" w:cs="Times New Roman"/>
          <w:bCs/>
        </w:rPr>
        <w:t>. National Bureau of Statistics.</w:t>
      </w:r>
    </w:p>
    <w:p w:rsidR="0077175D" w:rsidRPr="006928CD" w:rsidRDefault="0077175D" w:rsidP="006928CD">
      <w:pPr>
        <w:pStyle w:val="ListParagraph"/>
        <w:numPr>
          <w:ilvl w:val="0"/>
          <w:numId w:val="3"/>
        </w:numPr>
        <w:spacing w:after="120" w:line="276" w:lineRule="auto"/>
        <w:jc w:val="both"/>
        <w:rPr>
          <w:rFonts w:ascii="Times New Roman" w:hAnsi="Times New Roman" w:cs="Times New Roman"/>
          <w:bCs/>
        </w:rPr>
      </w:pPr>
      <w:proofErr w:type="spellStart"/>
      <w:r w:rsidRPr="006928CD">
        <w:rPr>
          <w:rFonts w:ascii="Times New Roman" w:hAnsi="Times New Roman" w:cs="Times New Roman"/>
          <w:bCs/>
        </w:rPr>
        <w:t>Onunwo</w:t>
      </w:r>
      <w:proofErr w:type="spellEnd"/>
      <w:r w:rsidRPr="006928CD">
        <w:rPr>
          <w:rFonts w:ascii="Times New Roman" w:hAnsi="Times New Roman" w:cs="Times New Roman"/>
          <w:bCs/>
        </w:rPr>
        <w:t xml:space="preserve">, K. O., &amp; </w:t>
      </w:r>
      <w:proofErr w:type="spellStart"/>
      <w:r w:rsidRPr="006928CD">
        <w:rPr>
          <w:rFonts w:ascii="Times New Roman" w:hAnsi="Times New Roman" w:cs="Times New Roman"/>
          <w:bCs/>
        </w:rPr>
        <w:t>Amadi</w:t>
      </w:r>
      <w:proofErr w:type="spellEnd"/>
      <w:r w:rsidRPr="006928CD">
        <w:rPr>
          <w:rFonts w:ascii="Times New Roman" w:hAnsi="Times New Roman" w:cs="Times New Roman"/>
          <w:bCs/>
        </w:rPr>
        <w:t xml:space="preserve">-Robert, C. C. (2022). Agricultural sector output and economic growth in Nigeria. </w:t>
      </w:r>
      <w:r w:rsidRPr="006928CD">
        <w:rPr>
          <w:rFonts w:ascii="Times New Roman" w:hAnsi="Times New Roman" w:cs="Times New Roman"/>
          <w:bCs/>
          <w:i/>
          <w:iCs/>
        </w:rPr>
        <w:t>International Journal of Economics, Environmental Development and Society, 3</w:t>
      </w:r>
      <w:r w:rsidRPr="006928CD">
        <w:rPr>
          <w:rFonts w:ascii="Times New Roman" w:hAnsi="Times New Roman" w:cs="Times New Roman"/>
          <w:bCs/>
        </w:rPr>
        <w:t>(1), 80–90.</w:t>
      </w:r>
    </w:p>
    <w:p w:rsidR="00B95300" w:rsidRPr="006928CD" w:rsidRDefault="00B95300" w:rsidP="006928CD">
      <w:pPr>
        <w:pStyle w:val="ListParagraph"/>
        <w:numPr>
          <w:ilvl w:val="0"/>
          <w:numId w:val="3"/>
        </w:numPr>
        <w:spacing w:after="120" w:line="276" w:lineRule="auto"/>
        <w:jc w:val="both"/>
        <w:rPr>
          <w:rFonts w:ascii="Times New Roman" w:hAnsi="Times New Roman" w:cs="Times New Roman"/>
          <w:bCs/>
        </w:rPr>
      </w:pPr>
      <w:proofErr w:type="spellStart"/>
      <w:r w:rsidRPr="006928CD">
        <w:rPr>
          <w:rFonts w:ascii="Times New Roman" w:hAnsi="Times New Roman" w:cs="Times New Roman"/>
          <w:bCs/>
        </w:rPr>
        <w:t>Onwe</w:t>
      </w:r>
      <w:proofErr w:type="spellEnd"/>
      <w:r w:rsidRPr="006928CD">
        <w:rPr>
          <w:rFonts w:ascii="Times New Roman" w:hAnsi="Times New Roman" w:cs="Times New Roman"/>
          <w:bCs/>
        </w:rPr>
        <w:t xml:space="preserve">, J. C., </w:t>
      </w:r>
      <w:proofErr w:type="spellStart"/>
      <w:r w:rsidRPr="006928CD">
        <w:rPr>
          <w:rFonts w:ascii="Times New Roman" w:hAnsi="Times New Roman" w:cs="Times New Roman"/>
          <w:bCs/>
        </w:rPr>
        <w:t>Ojide</w:t>
      </w:r>
      <w:proofErr w:type="spellEnd"/>
      <w:r w:rsidRPr="006928CD">
        <w:rPr>
          <w:rFonts w:ascii="Times New Roman" w:hAnsi="Times New Roman" w:cs="Times New Roman"/>
          <w:bCs/>
        </w:rPr>
        <w:t xml:space="preserve">, M. G., Subhan, M., &amp; </w:t>
      </w:r>
      <w:proofErr w:type="spellStart"/>
      <w:r w:rsidRPr="006928CD">
        <w:rPr>
          <w:rFonts w:ascii="Times New Roman" w:hAnsi="Times New Roman" w:cs="Times New Roman"/>
          <w:bCs/>
        </w:rPr>
        <w:t>Forgenie</w:t>
      </w:r>
      <w:proofErr w:type="spellEnd"/>
      <w:r w:rsidRPr="006928CD">
        <w:rPr>
          <w:rFonts w:ascii="Times New Roman" w:hAnsi="Times New Roman" w:cs="Times New Roman"/>
          <w:bCs/>
        </w:rPr>
        <w:t xml:space="preserve">, D. (2024). Food security in Nigeria amidst globalization, economic expansion, and population growth: A wavelet coherence and QARDL analysis. </w:t>
      </w:r>
      <w:r w:rsidRPr="006928CD">
        <w:rPr>
          <w:rFonts w:ascii="Times New Roman" w:hAnsi="Times New Roman" w:cs="Times New Roman"/>
          <w:bCs/>
          <w:i/>
          <w:iCs/>
        </w:rPr>
        <w:t>Journal of Agriculture and Food Research, 18</w:t>
      </w:r>
      <w:r w:rsidRPr="006928CD">
        <w:rPr>
          <w:rFonts w:ascii="Times New Roman" w:hAnsi="Times New Roman" w:cs="Times New Roman"/>
          <w:bCs/>
        </w:rPr>
        <w:t xml:space="preserve">, 101413. </w:t>
      </w:r>
      <w:hyperlink r:id="rId18" w:tgtFrame="_new" w:history="1">
        <w:r w:rsidRPr="006928CD">
          <w:rPr>
            <w:rStyle w:val="Hyperlink"/>
            <w:rFonts w:ascii="Times New Roman" w:hAnsi="Times New Roman" w:cs="Times New Roman"/>
            <w:bCs/>
          </w:rPr>
          <w:t>https://doi.org/10.1016/j.jafr.2024.101413</w:t>
        </w:r>
      </w:hyperlink>
    </w:p>
    <w:p w:rsidR="0077175D" w:rsidRPr="006928CD" w:rsidRDefault="0077175D" w:rsidP="006928CD">
      <w:pPr>
        <w:pStyle w:val="ListParagraph"/>
        <w:numPr>
          <w:ilvl w:val="0"/>
          <w:numId w:val="3"/>
        </w:numPr>
        <w:spacing w:after="120" w:line="276" w:lineRule="auto"/>
        <w:jc w:val="both"/>
        <w:rPr>
          <w:rFonts w:ascii="Times New Roman" w:hAnsi="Times New Roman" w:cs="Times New Roman"/>
          <w:bCs/>
        </w:rPr>
      </w:pPr>
      <w:r w:rsidRPr="006928CD">
        <w:rPr>
          <w:rFonts w:ascii="Times New Roman" w:hAnsi="Times New Roman" w:cs="Times New Roman"/>
          <w:bCs/>
        </w:rPr>
        <w:t xml:space="preserve">Rigby, R. A., &amp; Stasinopoulos, D. M. (2005). Generalized additive models for location, scale and shape. </w:t>
      </w:r>
      <w:r w:rsidRPr="006928CD">
        <w:rPr>
          <w:rFonts w:ascii="Times New Roman" w:hAnsi="Times New Roman" w:cs="Times New Roman"/>
          <w:bCs/>
          <w:i/>
          <w:iCs/>
        </w:rPr>
        <w:t>Journal of the Royal Statistical Society: Series C (Applied Statistics), 54</w:t>
      </w:r>
      <w:r w:rsidRPr="006928CD">
        <w:rPr>
          <w:rFonts w:ascii="Times New Roman" w:hAnsi="Times New Roman" w:cs="Times New Roman"/>
          <w:bCs/>
        </w:rPr>
        <w:t xml:space="preserve">(3), 507–554. </w:t>
      </w:r>
      <w:hyperlink r:id="rId19" w:tgtFrame="_new" w:history="1">
        <w:r w:rsidRPr="006928CD">
          <w:rPr>
            <w:rStyle w:val="Hyperlink"/>
            <w:rFonts w:ascii="Times New Roman" w:hAnsi="Times New Roman" w:cs="Times New Roman"/>
            <w:bCs/>
          </w:rPr>
          <w:t>https://doi.org/10.1111/j.1467-9876.2005.00510.x</w:t>
        </w:r>
      </w:hyperlink>
    </w:p>
    <w:p w:rsidR="0077175D" w:rsidRDefault="0077175D" w:rsidP="006928CD">
      <w:pPr>
        <w:pStyle w:val="ListParagraph"/>
        <w:numPr>
          <w:ilvl w:val="0"/>
          <w:numId w:val="3"/>
        </w:numPr>
        <w:spacing w:after="120" w:line="276" w:lineRule="auto"/>
        <w:jc w:val="both"/>
      </w:pPr>
      <w:r w:rsidRPr="006928CD">
        <w:rPr>
          <w:rFonts w:ascii="Times New Roman" w:hAnsi="Times New Roman" w:cs="Times New Roman"/>
          <w:bCs/>
        </w:rPr>
        <w:lastRenderedPageBreak/>
        <w:t xml:space="preserve">Tiffin, R., &amp; </w:t>
      </w:r>
      <w:proofErr w:type="spellStart"/>
      <w:r w:rsidRPr="006928CD">
        <w:rPr>
          <w:rFonts w:ascii="Times New Roman" w:hAnsi="Times New Roman" w:cs="Times New Roman"/>
          <w:bCs/>
        </w:rPr>
        <w:t>Irz</w:t>
      </w:r>
      <w:proofErr w:type="spellEnd"/>
      <w:r w:rsidRPr="006928CD">
        <w:rPr>
          <w:rFonts w:ascii="Times New Roman" w:hAnsi="Times New Roman" w:cs="Times New Roman"/>
          <w:bCs/>
        </w:rPr>
        <w:t xml:space="preserve">, X. (2006). Is agriculture the engine of growth? </w:t>
      </w:r>
      <w:r w:rsidRPr="006928CD">
        <w:rPr>
          <w:rFonts w:ascii="Times New Roman" w:hAnsi="Times New Roman" w:cs="Times New Roman"/>
          <w:bCs/>
          <w:i/>
          <w:iCs/>
        </w:rPr>
        <w:t>Agricultural Economics, 35</w:t>
      </w:r>
      <w:r w:rsidRPr="006928CD">
        <w:rPr>
          <w:rFonts w:ascii="Times New Roman" w:hAnsi="Times New Roman" w:cs="Times New Roman"/>
          <w:bCs/>
        </w:rPr>
        <w:t xml:space="preserve">(1), 79–89. </w:t>
      </w:r>
      <w:hyperlink r:id="rId20" w:tgtFrame="_new" w:history="1">
        <w:r w:rsidRPr="006928CD">
          <w:rPr>
            <w:rStyle w:val="Hyperlink"/>
            <w:rFonts w:ascii="Times New Roman" w:hAnsi="Times New Roman" w:cs="Times New Roman"/>
            <w:bCs/>
          </w:rPr>
          <w:t>https://doi.org/10.1111/j.1574-0862.2006.00141.x</w:t>
        </w:r>
      </w:hyperlink>
    </w:p>
    <w:p w:rsidR="00897BF1" w:rsidRPr="006928CD" w:rsidRDefault="00897BF1" w:rsidP="006928CD">
      <w:pPr>
        <w:pStyle w:val="ListParagraph"/>
        <w:numPr>
          <w:ilvl w:val="0"/>
          <w:numId w:val="3"/>
        </w:numPr>
        <w:spacing w:after="120" w:line="276" w:lineRule="auto"/>
        <w:jc w:val="both"/>
        <w:rPr>
          <w:rFonts w:ascii="Times New Roman" w:hAnsi="Times New Roman" w:cs="Times New Roman"/>
          <w:bCs/>
        </w:rPr>
      </w:pPr>
      <w:r w:rsidRPr="006928CD">
        <w:rPr>
          <w:rFonts w:ascii="Times New Roman" w:hAnsi="Times New Roman" w:cs="Times New Roman"/>
          <w:bCs/>
        </w:rPr>
        <w:t xml:space="preserve">Wellington, M. J., Lawes, R., &amp; Kuhnert, P. (2023). A framework for modelling </w:t>
      </w:r>
      <w:proofErr w:type="spellStart"/>
      <w:r w:rsidRPr="006928CD">
        <w:rPr>
          <w:rFonts w:ascii="Times New Roman" w:hAnsi="Times New Roman" w:cs="Times New Roman"/>
          <w:bCs/>
        </w:rPr>
        <w:t>spatio</w:t>
      </w:r>
      <w:proofErr w:type="spellEnd"/>
      <w:r w:rsidRPr="006928CD">
        <w:rPr>
          <w:rFonts w:ascii="Times New Roman" w:hAnsi="Times New Roman" w:cs="Times New Roman"/>
          <w:bCs/>
        </w:rPr>
        <w:t xml:space="preserve">-temporal trends in crop production using </w:t>
      </w:r>
      <w:proofErr w:type="spellStart"/>
      <w:r w:rsidRPr="006928CD">
        <w:rPr>
          <w:rFonts w:ascii="Times New Roman" w:hAnsi="Times New Roman" w:cs="Times New Roman"/>
          <w:bCs/>
        </w:rPr>
        <w:t>generalised</w:t>
      </w:r>
      <w:proofErr w:type="spellEnd"/>
      <w:r w:rsidRPr="006928CD">
        <w:rPr>
          <w:rFonts w:ascii="Times New Roman" w:hAnsi="Times New Roman" w:cs="Times New Roman"/>
          <w:bCs/>
        </w:rPr>
        <w:t xml:space="preserve"> additive models. </w:t>
      </w:r>
      <w:r w:rsidRPr="006928CD">
        <w:rPr>
          <w:rFonts w:ascii="Times New Roman" w:hAnsi="Times New Roman" w:cs="Times New Roman"/>
          <w:bCs/>
          <w:i/>
          <w:iCs/>
        </w:rPr>
        <w:t>Computers and Electronics in Agriculture</w:t>
      </w:r>
      <w:r w:rsidRPr="006928CD">
        <w:rPr>
          <w:rFonts w:ascii="Times New Roman" w:hAnsi="Times New Roman" w:cs="Times New Roman"/>
          <w:bCs/>
        </w:rPr>
        <w:t>, </w:t>
      </w:r>
      <w:r w:rsidRPr="006928CD">
        <w:rPr>
          <w:rFonts w:ascii="Times New Roman" w:hAnsi="Times New Roman" w:cs="Times New Roman"/>
          <w:bCs/>
          <w:i/>
          <w:iCs/>
        </w:rPr>
        <w:t>212</w:t>
      </w:r>
      <w:r w:rsidRPr="006928CD">
        <w:rPr>
          <w:rFonts w:ascii="Times New Roman" w:hAnsi="Times New Roman" w:cs="Times New Roman"/>
          <w:bCs/>
        </w:rPr>
        <w:t xml:space="preserve">, 108111. </w:t>
      </w:r>
      <w:hyperlink r:id="rId21" w:tgtFrame="_blank" w:tooltip="Persistent link using digital object identifier" w:history="1">
        <w:r w:rsidRPr="006928CD">
          <w:rPr>
            <w:rStyle w:val="Hyperlink"/>
            <w:rFonts w:ascii="Times New Roman" w:hAnsi="Times New Roman" w:cs="Times New Roman"/>
            <w:bCs/>
          </w:rPr>
          <w:t>https://doi.org/10.1016/j.compag.2023.108111</w:t>
        </w:r>
      </w:hyperlink>
    </w:p>
    <w:p w:rsidR="0077175D" w:rsidRPr="006928CD" w:rsidRDefault="0077175D" w:rsidP="006928CD">
      <w:pPr>
        <w:pStyle w:val="ListParagraph"/>
        <w:numPr>
          <w:ilvl w:val="0"/>
          <w:numId w:val="3"/>
        </w:numPr>
        <w:spacing w:after="120" w:line="276" w:lineRule="auto"/>
        <w:jc w:val="both"/>
        <w:rPr>
          <w:rFonts w:ascii="Times New Roman" w:hAnsi="Times New Roman" w:cs="Times New Roman"/>
          <w:bCs/>
        </w:rPr>
      </w:pPr>
      <w:r w:rsidRPr="006928CD">
        <w:rPr>
          <w:rFonts w:ascii="Times New Roman" w:hAnsi="Times New Roman" w:cs="Times New Roman"/>
          <w:bCs/>
        </w:rPr>
        <w:t>World Bank. (202</w:t>
      </w:r>
      <w:r w:rsidR="00966D93" w:rsidRPr="006928CD">
        <w:rPr>
          <w:rFonts w:ascii="Times New Roman" w:hAnsi="Times New Roman" w:cs="Times New Roman"/>
          <w:bCs/>
        </w:rPr>
        <w:t>3</w:t>
      </w:r>
      <w:r w:rsidRPr="006928CD">
        <w:rPr>
          <w:rFonts w:ascii="Times New Roman" w:hAnsi="Times New Roman" w:cs="Times New Roman"/>
          <w:bCs/>
        </w:rPr>
        <w:t xml:space="preserve">). </w:t>
      </w:r>
      <w:r w:rsidRPr="006928CD">
        <w:rPr>
          <w:rFonts w:ascii="Times New Roman" w:hAnsi="Times New Roman" w:cs="Times New Roman"/>
          <w:bCs/>
          <w:i/>
          <w:iCs/>
        </w:rPr>
        <w:t>World development indicators: Agriculture and employment</w:t>
      </w:r>
      <w:r w:rsidRPr="006928CD">
        <w:rPr>
          <w:rFonts w:ascii="Times New Roman" w:hAnsi="Times New Roman" w:cs="Times New Roman"/>
          <w:bCs/>
        </w:rPr>
        <w:t>. World Bank.</w:t>
      </w:r>
    </w:p>
    <w:p w:rsidR="0077175D" w:rsidRDefault="0077175D" w:rsidP="0077175D">
      <w:pPr>
        <w:spacing w:after="120" w:line="276" w:lineRule="auto"/>
        <w:jc w:val="both"/>
        <w:rPr>
          <w:rFonts w:ascii="Times New Roman" w:hAnsi="Times New Roman" w:cs="Times New Roman"/>
        </w:rPr>
      </w:pPr>
    </w:p>
    <w:p w:rsidR="00774387" w:rsidRPr="00380A42" w:rsidRDefault="00774387" w:rsidP="006928CD">
      <w:pPr>
        <w:ind w:firstLine="60"/>
        <w:jc w:val="both"/>
        <w:rPr>
          <w:rFonts w:ascii="Times New Roman" w:hAnsi="Times New Roman" w:cs="Times New Roman"/>
        </w:rPr>
      </w:pPr>
    </w:p>
    <w:p w:rsidR="00774387" w:rsidRPr="00380A42" w:rsidRDefault="00774387" w:rsidP="00E11B49">
      <w:pPr>
        <w:jc w:val="both"/>
        <w:rPr>
          <w:rFonts w:ascii="Times New Roman" w:hAnsi="Times New Roman" w:cs="Times New Roman"/>
        </w:rPr>
      </w:pPr>
    </w:p>
    <w:p w:rsidR="00774387" w:rsidRPr="00380A42" w:rsidRDefault="00774387" w:rsidP="00E11B49">
      <w:pPr>
        <w:jc w:val="both"/>
        <w:rPr>
          <w:rFonts w:ascii="Times New Roman" w:hAnsi="Times New Roman" w:cs="Times New Roman"/>
        </w:rPr>
      </w:pPr>
      <w:bookmarkStart w:id="12" w:name="_GoBack"/>
      <w:bookmarkEnd w:id="12"/>
    </w:p>
    <w:sectPr w:rsidR="00774387" w:rsidRPr="00380A42">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DA8" w:rsidRDefault="00027DA8" w:rsidP="00484F0C">
      <w:pPr>
        <w:spacing w:after="0" w:line="240" w:lineRule="auto"/>
      </w:pPr>
      <w:r>
        <w:separator/>
      </w:r>
    </w:p>
  </w:endnote>
  <w:endnote w:type="continuationSeparator" w:id="0">
    <w:p w:rsidR="00027DA8" w:rsidRDefault="00027DA8" w:rsidP="0048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F0C" w:rsidRDefault="00484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F0C" w:rsidRDefault="00484F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F0C" w:rsidRDefault="00484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DA8" w:rsidRDefault="00027DA8" w:rsidP="00484F0C">
      <w:pPr>
        <w:spacing w:after="0" w:line="240" w:lineRule="auto"/>
      </w:pPr>
      <w:r>
        <w:separator/>
      </w:r>
    </w:p>
  </w:footnote>
  <w:footnote w:type="continuationSeparator" w:id="0">
    <w:p w:rsidR="00027DA8" w:rsidRDefault="00027DA8" w:rsidP="00484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F0C" w:rsidRDefault="00027D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07782" o:spid="_x0000_s2053"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F0C" w:rsidRDefault="00027D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07783" o:spid="_x0000_s2054"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F0C" w:rsidRDefault="00027D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07781" o:spid="_x0000_s2052"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6F12"/>
    <w:multiLevelType w:val="hybridMultilevel"/>
    <w:tmpl w:val="8EAAAF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325637"/>
    <w:multiLevelType w:val="multilevel"/>
    <w:tmpl w:val="9EC8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15F3E"/>
    <w:multiLevelType w:val="hybridMultilevel"/>
    <w:tmpl w:val="564C130A"/>
    <w:lvl w:ilvl="0" w:tplc="B11044C0">
      <w:start w:val="1"/>
      <w:numFmt w:val="bullet"/>
      <w:lvlText w:val=""/>
      <w:lvlJc w:val="left"/>
      <w:pPr>
        <w:tabs>
          <w:tab w:val="num" w:pos="1080"/>
        </w:tabs>
        <w:ind w:left="720" w:hanging="360"/>
      </w:pPr>
      <w:rPr>
        <w:rFonts w:ascii="Symbol" w:hAnsi="Symbol" w:hint="default"/>
      </w:rPr>
    </w:lvl>
    <w:lvl w:ilvl="1" w:tplc="CD2A3DC0">
      <w:numFmt w:val="decimal"/>
      <w:lvlText w:val=""/>
      <w:lvlJc w:val="left"/>
    </w:lvl>
    <w:lvl w:ilvl="2" w:tplc="614282AE">
      <w:numFmt w:val="decimal"/>
      <w:lvlText w:val=""/>
      <w:lvlJc w:val="left"/>
    </w:lvl>
    <w:lvl w:ilvl="3" w:tplc="B232C054">
      <w:numFmt w:val="decimal"/>
      <w:lvlText w:val=""/>
      <w:lvlJc w:val="left"/>
    </w:lvl>
    <w:lvl w:ilvl="4" w:tplc="CC96515A">
      <w:numFmt w:val="decimal"/>
      <w:lvlText w:val=""/>
      <w:lvlJc w:val="left"/>
    </w:lvl>
    <w:lvl w:ilvl="5" w:tplc="707A7806">
      <w:numFmt w:val="decimal"/>
      <w:lvlText w:val=""/>
      <w:lvlJc w:val="left"/>
    </w:lvl>
    <w:lvl w:ilvl="6" w:tplc="128605F4">
      <w:numFmt w:val="decimal"/>
      <w:lvlText w:val=""/>
      <w:lvlJc w:val="left"/>
    </w:lvl>
    <w:lvl w:ilvl="7" w:tplc="A718E19A">
      <w:numFmt w:val="decimal"/>
      <w:lvlText w:val=""/>
      <w:lvlJc w:val="left"/>
    </w:lvl>
    <w:lvl w:ilvl="8" w:tplc="92DA1FEC">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87"/>
    <w:rsid w:val="00027DA8"/>
    <w:rsid w:val="000433A1"/>
    <w:rsid w:val="00043D83"/>
    <w:rsid w:val="000A6015"/>
    <w:rsid w:val="000C3EBF"/>
    <w:rsid w:val="000C7CF8"/>
    <w:rsid w:val="000D52C9"/>
    <w:rsid w:val="000E5401"/>
    <w:rsid w:val="000E61D5"/>
    <w:rsid w:val="001463B5"/>
    <w:rsid w:val="00155896"/>
    <w:rsid w:val="00167CAE"/>
    <w:rsid w:val="001E521D"/>
    <w:rsid w:val="001F3BE0"/>
    <w:rsid w:val="00202BBD"/>
    <w:rsid w:val="0022066B"/>
    <w:rsid w:val="002572F7"/>
    <w:rsid w:val="00257451"/>
    <w:rsid w:val="00261854"/>
    <w:rsid w:val="002C7180"/>
    <w:rsid w:val="002E7864"/>
    <w:rsid w:val="00306720"/>
    <w:rsid w:val="00333351"/>
    <w:rsid w:val="003602B7"/>
    <w:rsid w:val="00380A42"/>
    <w:rsid w:val="00387F18"/>
    <w:rsid w:val="003A567A"/>
    <w:rsid w:val="003E438F"/>
    <w:rsid w:val="003F1E1B"/>
    <w:rsid w:val="00421A1E"/>
    <w:rsid w:val="00477CF2"/>
    <w:rsid w:val="00484F0C"/>
    <w:rsid w:val="004A2211"/>
    <w:rsid w:val="00584D49"/>
    <w:rsid w:val="00595609"/>
    <w:rsid w:val="005D1404"/>
    <w:rsid w:val="00604760"/>
    <w:rsid w:val="006050C8"/>
    <w:rsid w:val="006928CD"/>
    <w:rsid w:val="00697777"/>
    <w:rsid w:val="006B1209"/>
    <w:rsid w:val="006B3901"/>
    <w:rsid w:val="00707802"/>
    <w:rsid w:val="00754E04"/>
    <w:rsid w:val="0077175D"/>
    <w:rsid w:val="00774387"/>
    <w:rsid w:val="007C59F4"/>
    <w:rsid w:val="0080647C"/>
    <w:rsid w:val="0088599D"/>
    <w:rsid w:val="00897BF1"/>
    <w:rsid w:val="008D0381"/>
    <w:rsid w:val="008E196E"/>
    <w:rsid w:val="008E635F"/>
    <w:rsid w:val="00901E5D"/>
    <w:rsid w:val="00903A89"/>
    <w:rsid w:val="009414D0"/>
    <w:rsid w:val="009473D6"/>
    <w:rsid w:val="00956511"/>
    <w:rsid w:val="00966D93"/>
    <w:rsid w:val="00996EE6"/>
    <w:rsid w:val="009E60E2"/>
    <w:rsid w:val="00A14BA6"/>
    <w:rsid w:val="00A53DD1"/>
    <w:rsid w:val="00A54647"/>
    <w:rsid w:val="00A9577D"/>
    <w:rsid w:val="00AB6E8C"/>
    <w:rsid w:val="00B248FA"/>
    <w:rsid w:val="00B45A62"/>
    <w:rsid w:val="00B95300"/>
    <w:rsid w:val="00BA1228"/>
    <w:rsid w:val="00C162BD"/>
    <w:rsid w:val="00C2383E"/>
    <w:rsid w:val="00CC0A60"/>
    <w:rsid w:val="00CD12A1"/>
    <w:rsid w:val="00D577FE"/>
    <w:rsid w:val="00D61BB9"/>
    <w:rsid w:val="00D7767E"/>
    <w:rsid w:val="00D854EC"/>
    <w:rsid w:val="00DD4AFF"/>
    <w:rsid w:val="00DD6C5B"/>
    <w:rsid w:val="00DE6B75"/>
    <w:rsid w:val="00E11B49"/>
    <w:rsid w:val="00E40FA3"/>
    <w:rsid w:val="00E433FA"/>
    <w:rsid w:val="00E942E9"/>
    <w:rsid w:val="00EE29D5"/>
    <w:rsid w:val="00F00D85"/>
    <w:rsid w:val="00FC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FAB3F749-3DD7-414B-A9C3-04B8EE1B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3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43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43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43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43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4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3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43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43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3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43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4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387"/>
    <w:rPr>
      <w:rFonts w:eastAsiaTheme="majorEastAsia" w:cstheme="majorBidi"/>
      <w:color w:val="272727" w:themeColor="text1" w:themeTint="D8"/>
    </w:rPr>
  </w:style>
  <w:style w:type="paragraph" w:styleId="Title">
    <w:name w:val="Title"/>
    <w:basedOn w:val="Normal"/>
    <w:next w:val="Normal"/>
    <w:link w:val="TitleChar"/>
    <w:uiPriority w:val="10"/>
    <w:qFormat/>
    <w:rsid w:val="00774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387"/>
    <w:pPr>
      <w:spacing w:before="160"/>
      <w:jc w:val="center"/>
    </w:pPr>
    <w:rPr>
      <w:i/>
      <w:iCs/>
      <w:color w:val="404040" w:themeColor="text1" w:themeTint="BF"/>
    </w:rPr>
  </w:style>
  <w:style w:type="character" w:customStyle="1" w:styleId="QuoteChar">
    <w:name w:val="Quote Char"/>
    <w:basedOn w:val="DefaultParagraphFont"/>
    <w:link w:val="Quote"/>
    <w:uiPriority w:val="29"/>
    <w:rsid w:val="00774387"/>
    <w:rPr>
      <w:i/>
      <w:iCs/>
      <w:color w:val="404040" w:themeColor="text1" w:themeTint="BF"/>
    </w:rPr>
  </w:style>
  <w:style w:type="paragraph" w:styleId="ListParagraph">
    <w:name w:val="List Paragraph"/>
    <w:basedOn w:val="Normal"/>
    <w:uiPriority w:val="34"/>
    <w:qFormat/>
    <w:rsid w:val="00774387"/>
    <w:pPr>
      <w:ind w:left="720"/>
      <w:contextualSpacing/>
    </w:pPr>
  </w:style>
  <w:style w:type="character" w:styleId="IntenseEmphasis">
    <w:name w:val="Intense Emphasis"/>
    <w:basedOn w:val="DefaultParagraphFont"/>
    <w:uiPriority w:val="21"/>
    <w:qFormat/>
    <w:rsid w:val="00774387"/>
    <w:rPr>
      <w:i/>
      <w:iCs/>
      <w:color w:val="2F5496" w:themeColor="accent1" w:themeShade="BF"/>
    </w:rPr>
  </w:style>
  <w:style w:type="paragraph" w:styleId="IntenseQuote">
    <w:name w:val="Intense Quote"/>
    <w:basedOn w:val="Normal"/>
    <w:next w:val="Normal"/>
    <w:link w:val="IntenseQuoteChar"/>
    <w:uiPriority w:val="30"/>
    <w:qFormat/>
    <w:rsid w:val="00774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4387"/>
    <w:rPr>
      <w:i/>
      <w:iCs/>
      <w:color w:val="2F5496" w:themeColor="accent1" w:themeShade="BF"/>
    </w:rPr>
  </w:style>
  <w:style w:type="character" w:styleId="IntenseReference">
    <w:name w:val="Intense Reference"/>
    <w:basedOn w:val="DefaultParagraphFont"/>
    <w:uiPriority w:val="32"/>
    <w:qFormat/>
    <w:rsid w:val="00774387"/>
    <w:rPr>
      <w:b/>
      <w:bCs/>
      <w:smallCaps/>
      <w:color w:val="2F5496" w:themeColor="accent1" w:themeShade="BF"/>
      <w:spacing w:val="5"/>
    </w:rPr>
  </w:style>
  <w:style w:type="character" w:styleId="PlaceholderText">
    <w:name w:val="Placeholder Text"/>
    <w:basedOn w:val="DefaultParagraphFont"/>
    <w:uiPriority w:val="99"/>
    <w:semiHidden/>
    <w:rsid w:val="00261854"/>
    <w:rPr>
      <w:color w:val="666666"/>
    </w:rPr>
  </w:style>
  <w:style w:type="table" w:styleId="TableGrid">
    <w:name w:val="Table Grid"/>
    <w:basedOn w:val="TableNormal"/>
    <w:uiPriority w:val="39"/>
    <w:rsid w:val="008D0381"/>
    <w:pPr>
      <w:spacing w:after="0" w:line="240" w:lineRule="auto"/>
    </w:pPr>
    <w:rPr>
      <w:rFonts w:asci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175D"/>
    <w:rPr>
      <w:color w:val="0563C1" w:themeColor="hyperlink"/>
      <w:u w:val="single"/>
    </w:rPr>
  </w:style>
  <w:style w:type="character" w:styleId="UnresolvedMention">
    <w:name w:val="Unresolved Mention"/>
    <w:basedOn w:val="DefaultParagraphFont"/>
    <w:uiPriority w:val="99"/>
    <w:semiHidden/>
    <w:unhideWhenUsed/>
    <w:rsid w:val="0077175D"/>
    <w:rPr>
      <w:color w:val="605E5C"/>
      <w:shd w:val="clear" w:color="auto" w:fill="E1DFDD"/>
    </w:rPr>
  </w:style>
  <w:style w:type="paragraph" w:styleId="Header">
    <w:name w:val="header"/>
    <w:basedOn w:val="Normal"/>
    <w:link w:val="HeaderChar"/>
    <w:uiPriority w:val="99"/>
    <w:unhideWhenUsed/>
    <w:rsid w:val="0048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F0C"/>
  </w:style>
  <w:style w:type="paragraph" w:styleId="Footer">
    <w:name w:val="footer"/>
    <w:basedOn w:val="Normal"/>
    <w:link w:val="FooterChar"/>
    <w:uiPriority w:val="99"/>
    <w:unhideWhenUsed/>
    <w:rsid w:val="0048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F0C"/>
  </w:style>
  <w:style w:type="paragraph" w:styleId="NoSpacing">
    <w:name w:val="No Spacing"/>
    <w:uiPriority w:val="1"/>
    <w:qFormat/>
    <w:rsid w:val="002C7180"/>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worlddev.2009.06.011" TargetMode="External"/><Relationship Id="rId18" Type="http://schemas.openxmlformats.org/officeDocument/2006/relationships/hyperlink" Target="https://doi.org/10.1016/j.jafr.2024.101413"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compag.2023.108111" TargetMode="External"/><Relationship Id="rId7" Type="http://schemas.openxmlformats.org/officeDocument/2006/relationships/image" Target="media/image1.png"/><Relationship Id="rId12" Type="http://schemas.openxmlformats.org/officeDocument/2006/relationships/hyperlink" Target="https://doi.org/10.1080/00343404.2012.678824" TargetMode="External"/><Relationship Id="rId17" Type="http://schemas.openxmlformats.org/officeDocument/2006/relationships/hyperlink" Target="https://doi.org/10.1016/j.worlddev.2022.10608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foodpol.2014.05.014" TargetMode="External"/><Relationship Id="rId20" Type="http://schemas.openxmlformats.org/officeDocument/2006/relationships/hyperlink" Target="https://doi.org/10.1111/j.1574-0862.2006.00141.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62/rest.2010.1146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7256/redr.322022138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11/cjag.12038" TargetMode="External"/><Relationship Id="rId19" Type="http://schemas.openxmlformats.org/officeDocument/2006/relationships/hyperlink" Target="https://doi.org/10.1111/j.1467-9876.2005.00510.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2/jae.1003"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14</Pages>
  <Words>5257</Words>
  <Characters>29966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Olubisi Aako</dc:creator>
  <cp:keywords/>
  <dc:description/>
  <cp:lastModifiedBy>SDI 1186</cp:lastModifiedBy>
  <cp:revision>27</cp:revision>
  <dcterms:created xsi:type="dcterms:W3CDTF">2026-03-23T09:15:00Z</dcterms:created>
  <dcterms:modified xsi:type="dcterms:W3CDTF">2026-03-26T08:50:00Z</dcterms:modified>
</cp:coreProperties>
</file>