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2E46" w:rsidRDefault="00816825">
      <w:pPr>
        <w:widowControl w:val="0"/>
        <w:pBdr>
          <w:top w:val="nil"/>
          <w:left w:val="nil"/>
          <w:bottom w:val="nil"/>
          <w:right w:val="nil"/>
          <w:between w:val="nil"/>
        </w:pBdr>
        <w:spacing w:line="276" w:lineRule="auto"/>
      </w:pPr>
      <w:r>
        <w:pict w14:anchorId="77F02C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0pt;height:50pt;z-index:251655168;visibility:hidden">
            <o:lock v:ext="edit" selection="t"/>
          </v:shape>
        </w:pict>
      </w:r>
      <w:r>
        <w:pict w14:anchorId="53FA3249">
          <v:shape id="_x0000_s1030" type="#_x0000_t136" style="position:absolute;margin-left:0;margin-top:0;width:50pt;height:50pt;z-index:251656192;visibility:hidden">
            <o:lock v:ext="edit" selection="t"/>
          </v:shape>
        </w:pict>
      </w:r>
      <w:r>
        <w:pict w14:anchorId="6E3BC8EC">
          <v:shape id="_x0000_s1029" type="#_x0000_t136" style="position:absolute;margin-left:0;margin-top:0;width:50pt;height:50pt;z-index:251657216;visibility:hidden">
            <o:lock v:ext="edit" selection="t"/>
          </v:shape>
        </w:pict>
      </w:r>
      <w:r>
        <w:pict w14:anchorId="0C491211">
          <v:shape id="_x0000_s1028" type="#_x0000_t136" style="position:absolute;margin-left:0;margin-top:0;width:50pt;height:50pt;z-index:251658240;visibility:hidden">
            <o:lock v:ext="edit" selection="t"/>
          </v:shape>
        </w:pict>
      </w:r>
      <w:r>
        <w:pict w14:anchorId="377F4B2E">
          <v:shape id="_x0000_s1027" type="#_x0000_t136" style="position:absolute;margin-left:0;margin-top:0;width:50pt;height:50pt;z-index:251659264;visibility:hidden">
            <o:lock v:ext="edit" selection="t"/>
          </v:shape>
        </w:pict>
      </w:r>
      <w:r>
        <w:pict w14:anchorId="5ED91E2A">
          <v:shape id="_x0000_s1026" type="#_x0000_t136" style="position:absolute;margin-left:0;margin-top:0;width:50pt;height:50pt;z-index:251660288;visibility:hidden">
            <o:lock v:ext="edit" selection="t"/>
          </v:shape>
        </w:pict>
      </w:r>
    </w:p>
    <w:p w:rsidR="00AE2E46" w:rsidRDefault="00AE2E46">
      <w:pPr>
        <w:widowControl w:val="0"/>
        <w:pBdr>
          <w:top w:val="nil"/>
          <w:left w:val="nil"/>
          <w:bottom w:val="nil"/>
          <w:right w:val="nil"/>
          <w:between w:val="nil"/>
        </w:pBdr>
        <w:spacing w:line="276" w:lineRule="auto"/>
      </w:pPr>
    </w:p>
    <w:p w:rsidR="00AE2E46" w:rsidRDefault="00816825">
      <w:pPr>
        <w:pStyle w:val="Title"/>
        <w:spacing w:after="0"/>
        <w:rPr>
          <w:rFonts w:ascii="Arial" w:eastAsia="Arial" w:hAnsi="Arial" w:cs="Arial"/>
        </w:rPr>
      </w:pPr>
      <w:r>
        <w:rPr>
          <w:rFonts w:ascii="Arial" w:eastAsia="Arial" w:hAnsi="Arial" w:cs="Arial"/>
        </w:rPr>
        <w:t>Prenatal Care: Attitude and Compliance</w:t>
      </w:r>
    </w:p>
    <w:p w:rsidR="00AE2E46" w:rsidRDefault="00816825">
      <w:pPr>
        <w:pStyle w:val="Title"/>
        <w:spacing w:after="0"/>
        <w:rPr>
          <w:rFonts w:ascii="Arial" w:eastAsia="Arial" w:hAnsi="Arial" w:cs="Arial"/>
        </w:rPr>
      </w:pPr>
      <w:r>
        <w:rPr>
          <w:rFonts w:ascii="Arial" w:eastAsia="Arial" w:hAnsi="Arial" w:cs="Arial"/>
        </w:rPr>
        <w:t>Among Pregnant Women</w:t>
      </w:r>
    </w:p>
    <w:p w:rsidR="00AE2E46" w:rsidRDefault="00816825">
      <w:pPr>
        <w:pStyle w:val="Title"/>
        <w:spacing w:after="0"/>
        <w:rPr>
          <w:rFonts w:ascii="Arial" w:eastAsia="Arial" w:hAnsi="Arial" w:cs="Arial"/>
        </w:rPr>
      </w:pPr>
      <w:r>
        <w:rPr>
          <w:rFonts w:ascii="Arial" w:eastAsia="Arial" w:hAnsi="Arial" w:cs="Arial"/>
        </w:rPr>
        <w:t>in Iloilo City</w:t>
      </w:r>
      <w:r w:rsidR="00F80804">
        <w:rPr>
          <w:rFonts w:ascii="Arial" w:eastAsia="Arial" w:hAnsi="Arial" w:cs="Arial"/>
        </w:rPr>
        <w:t>,</w:t>
      </w:r>
      <w:r w:rsidR="00F80804" w:rsidRPr="00F80804">
        <w:t xml:space="preserve"> </w:t>
      </w:r>
      <w:r w:rsidR="00F80804" w:rsidRPr="00F80804">
        <w:rPr>
          <w:rFonts w:ascii="Arial" w:eastAsia="Arial" w:hAnsi="Arial" w:cs="Arial"/>
        </w:rPr>
        <w:t>Philippines</w:t>
      </w:r>
      <w:bookmarkStart w:id="0" w:name="_GoBack"/>
      <w:bookmarkEnd w:id="0"/>
    </w:p>
    <w:p w:rsidR="00AE2E46" w:rsidRDefault="00AE2E46">
      <w:pPr>
        <w:pBdr>
          <w:top w:val="nil"/>
          <w:left w:val="nil"/>
          <w:bottom w:val="nil"/>
          <w:right w:val="nil"/>
          <w:between w:val="nil"/>
        </w:pBdr>
        <w:jc w:val="right"/>
        <w:rPr>
          <w:rFonts w:ascii="Arial" w:eastAsia="Arial" w:hAnsi="Arial" w:cs="Arial"/>
          <w:b/>
          <w:bCs/>
          <w:sz w:val="36"/>
          <w:szCs w:val="36"/>
        </w:rPr>
      </w:pPr>
    </w:p>
    <w:p w:rsidR="00AE2E46" w:rsidRDefault="00AE2E46">
      <w:pPr>
        <w:pBdr>
          <w:top w:val="nil"/>
          <w:left w:val="nil"/>
          <w:bottom w:val="nil"/>
          <w:right w:val="nil"/>
          <w:between w:val="nil"/>
        </w:pBdr>
        <w:jc w:val="right"/>
        <w:rPr>
          <w:rFonts w:ascii="Arial" w:eastAsia="Arial" w:hAnsi="Arial" w:cs="Arial"/>
          <w:i/>
          <w:iCs/>
        </w:rPr>
      </w:pPr>
    </w:p>
    <w:p w:rsidR="00AE2E46" w:rsidRDefault="00816825">
      <w:pPr>
        <w:jc w:val="both"/>
        <w:rPr>
          <w:rFonts w:ascii="Arial" w:eastAsia="Arial" w:hAnsi="Arial" w:cs="Arial"/>
          <w:b/>
          <w:bCs/>
          <w:color w:val="000000"/>
          <w:sz w:val="36"/>
          <w:szCs w:val="36"/>
        </w:rPr>
      </w:pPr>
      <w:r>
        <w:rPr>
          <w:rFonts w:ascii="Arial" w:eastAsia="Arial" w:hAnsi="Arial" w:cs="Arial"/>
          <w:noProof/>
          <w:sz w:val="16"/>
          <w:szCs w:val="16"/>
        </w:rPr>
        <mc:AlternateContent>
          <mc:Choice Requires="wpg">
            <w:drawing>
              <wp:inline distT="0" distB="0" distL="114300" distR="114300">
                <wp:extent cx="5303520" cy="19050"/>
                <wp:effectExtent l="0" t="0" r="0" b="0"/>
                <wp:docPr id="5" name="Freeform: Shape 5"/>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5303520" cy="19050"/>
                <wp:effectExtent b="0" l="0" r="0" t="0"/>
                <wp:docPr id="5"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303520" cy="19050"/>
                        </a:xfrm>
                        <a:prstGeom prst="rect"/>
                        <a:ln/>
                      </pic:spPr>
                    </pic:pic>
                  </a:graphicData>
                </a:graphic>
              </wp:inline>
            </w:drawing>
          </mc:Fallback>
        </mc:AlternateContent>
      </w:r>
    </w:p>
    <w:p w:rsidR="00AE2E46" w:rsidRDefault="00AE2E46">
      <w:pPr>
        <w:pBdr>
          <w:top w:val="nil"/>
          <w:left w:val="nil"/>
          <w:bottom w:val="nil"/>
          <w:right w:val="nil"/>
          <w:between w:val="nil"/>
        </w:pBdr>
        <w:jc w:val="both"/>
        <w:rPr>
          <w:rFonts w:ascii="Arial" w:eastAsia="Arial" w:hAnsi="Arial" w:cs="Arial"/>
          <w:color w:val="000000"/>
        </w:rPr>
      </w:pPr>
    </w:p>
    <w:p w:rsidR="00AE2E46" w:rsidRDefault="00AE2E46">
      <w:pPr>
        <w:pBdr>
          <w:top w:val="nil"/>
          <w:left w:val="nil"/>
          <w:bottom w:val="nil"/>
          <w:right w:val="nil"/>
          <w:between w:val="nil"/>
        </w:pBdr>
        <w:jc w:val="both"/>
        <w:rPr>
          <w:rFonts w:ascii="Arial" w:eastAsia="Arial" w:hAnsi="Arial" w:cs="Arial"/>
          <w:b/>
          <w:bCs/>
          <w:color w:val="000000"/>
        </w:rPr>
      </w:pPr>
    </w:p>
    <w:p w:rsidR="00AE2E46" w:rsidRDefault="00816825">
      <w:pPr>
        <w:pBdr>
          <w:top w:val="nil"/>
          <w:left w:val="nil"/>
          <w:bottom w:val="nil"/>
          <w:right w:val="nil"/>
          <w:between w:val="nil"/>
        </w:pBdr>
        <w:jc w:val="both"/>
        <w:rPr>
          <w:rFonts w:ascii="Arial" w:eastAsia="Arial" w:hAnsi="Arial" w:cs="Arial"/>
          <w:b/>
          <w:bCs/>
          <w:color w:val="000000"/>
          <w:sz w:val="16"/>
          <w:szCs w:val="16"/>
        </w:rPr>
        <w:sectPr w:rsidR="00AE2E46">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lnNumType w:countBy="1" w:restart="continuous"/>
          <w:pgNumType w:start="1"/>
          <w:cols w:space="720"/>
        </w:sectPr>
      </w:pPr>
      <w:r>
        <w:rPr>
          <w:rFonts w:ascii="Arial" w:eastAsia="Arial" w:hAnsi="Arial" w:cs="Arial"/>
          <w:b/>
          <w:bCs/>
          <w:noProof/>
          <w:color w:val="000000"/>
          <w:sz w:val="16"/>
          <w:szCs w:val="16"/>
        </w:rPr>
        <mc:AlternateContent>
          <mc:Choice Requires="wps">
            <w:drawing>
              <wp:inline distT="0" distB="0" distL="114300" distR="114300">
                <wp:extent cx="0" cy="19050"/>
                <wp:effectExtent l="0" t="0" r="0" b="0"/>
                <wp:docPr id="4" name="Freeform: Shape 4"/>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0" cy="19050"/>
                <wp:effectExtent b="0" l="0" r="0" t="0"/>
                <wp:docPr id="4"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0" cy="19050"/>
                        </a:xfrm>
                        <a:prstGeom prst="rect"/>
                        <a:ln/>
                      </pic:spPr>
                    </pic:pic>
                  </a:graphicData>
                </a:graphic>
              </wp:inline>
            </w:drawing>
          </mc:Fallback>
        </mc:AlternateContent>
      </w:r>
      <w:r>
        <w:rPr>
          <w:rFonts w:ascii="Arial" w:eastAsia="Arial" w:hAnsi="Arial" w:cs="Arial"/>
          <w:b/>
          <w:bCs/>
          <w:color w:val="000000"/>
          <w:sz w:val="22"/>
          <w:szCs w:val="22"/>
        </w:rPr>
        <w:t>ABSTRACT</w:t>
      </w:r>
    </w:p>
    <w:p w:rsidR="00AE2E46" w:rsidRDefault="00AE2E46">
      <w:pPr>
        <w:keepNext/>
        <w:pBdr>
          <w:top w:val="nil"/>
          <w:left w:val="nil"/>
          <w:bottom w:val="nil"/>
          <w:right w:val="nil"/>
          <w:between w:val="nil"/>
        </w:pBdr>
        <w:jc w:val="both"/>
        <w:rPr>
          <w:rFonts w:ascii="Arial" w:eastAsia="Arial" w:hAnsi="Arial" w:cs="Arial"/>
          <w:smallCaps/>
          <w:color w:val="000000"/>
          <w:sz w:val="22"/>
          <w:szCs w:val="22"/>
        </w:rPr>
      </w:pPr>
    </w:p>
    <w:tbl>
      <w:tblPr>
        <w:tblStyle w:val="a5"/>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AE2E46">
        <w:tc>
          <w:tcPr>
            <w:tcW w:w="8424" w:type="dxa"/>
            <w:shd w:val="clear" w:color="auto" w:fill="F2F2F2"/>
          </w:tcPr>
          <w:p w:rsidR="00AE2E46" w:rsidRDefault="00816825">
            <w:pPr>
              <w:pBdr>
                <w:top w:val="nil"/>
                <w:left w:val="nil"/>
                <w:bottom w:val="nil"/>
                <w:right w:val="nil"/>
                <w:between w:val="nil"/>
              </w:pBdr>
              <w:rPr>
                <w:rFonts w:ascii="Arial" w:eastAsia="Arial" w:hAnsi="Arial" w:cs="Arial"/>
                <w:color w:val="000000"/>
              </w:rPr>
            </w:pPr>
            <w:r>
              <w:rPr>
                <w:rFonts w:ascii="Arial" w:eastAsia="Arial" w:hAnsi="Arial" w:cs="Arial"/>
                <w:sz w:val="22"/>
                <w:szCs w:val="22"/>
              </w:rPr>
              <w:t>Prenatal care is an absolute action to avoid maternal and neonatal complications; however, there are still lapses that need investigation in terms of women’s attitude and their actual compliance with the standard practice. This study examined the attitudes</w:t>
            </w:r>
            <w:r>
              <w:rPr>
                <w:rFonts w:ascii="Arial" w:eastAsia="Arial" w:hAnsi="Arial" w:cs="Arial"/>
                <w:sz w:val="22"/>
                <w:szCs w:val="22"/>
              </w:rPr>
              <w:t xml:space="preserve"> of pregnant women in Iloilo City towards their actual adherence and the relationship of their attitude and compliance. There are 100 respondents that were purposely selected from a designated barangay to participate in this quantitative descriptive-correl</w:t>
            </w:r>
            <w:r>
              <w:rPr>
                <w:rFonts w:ascii="Arial" w:eastAsia="Arial" w:hAnsi="Arial" w:cs="Arial"/>
                <w:sz w:val="22"/>
                <w:szCs w:val="22"/>
              </w:rPr>
              <w:t xml:space="preserve">ational study. A lying-in was also added for additional participants. The researchers made a decision to use self-administered questionnaires upon measuring the variables and ethical clearance was obtained. The study found that most of the respondents had </w:t>
            </w:r>
            <w:r>
              <w:rPr>
                <w:rFonts w:ascii="Arial" w:eastAsia="Arial" w:hAnsi="Arial" w:cs="Arial"/>
                <w:sz w:val="22"/>
                <w:szCs w:val="22"/>
              </w:rPr>
              <w:t xml:space="preserve">a good attitude towards prenatal care and they have high recognition of the importance of </w:t>
            </w:r>
            <w:r>
              <w:rPr>
                <w:rFonts w:ascii="Arial" w:eastAsia="Arial" w:hAnsi="Arial" w:cs="Arial"/>
                <w:sz w:val="22"/>
                <w:szCs w:val="22"/>
                <w:highlight w:val="yellow"/>
              </w:rPr>
              <w:t>ANC contact</w:t>
            </w:r>
            <w:r>
              <w:rPr>
                <w:rFonts w:ascii="Arial" w:eastAsia="Arial" w:hAnsi="Arial" w:cs="Arial"/>
                <w:color w:val="FFFF00"/>
                <w:sz w:val="22"/>
                <w:szCs w:val="22"/>
              </w:rPr>
              <w:t xml:space="preserve"> </w:t>
            </w:r>
            <w:r>
              <w:rPr>
                <w:rFonts w:ascii="Arial" w:eastAsia="Arial" w:hAnsi="Arial" w:cs="Arial"/>
                <w:sz w:val="22"/>
                <w:szCs w:val="22"/>
              </w:rPr>
              <w:t>and maternal assessments. In general, the compliance was high, especially in laboratory testing, immunization, and micronutrient intake. However, inconsis</w:t>
            </w:r>
            <w:r>
              <w:rPr>
                <w:rFonts w:ascii="Arial" w:eastAsia="Arial" w:hAnsi="Arial" w:cs="Arial"/>
                <w:sz w:val="22"/>
                <w:szCs w:val="22"/>
              </w:rPr>
              <w:t xml:space="preserve">tencies were discovered in prenatal visit attendance and dental checkup. The study concludes that along with favorable attitudes and high compliance for prenatal care, improvements are still required in particular areas. These verdicts emphasize a greater </w:t>
            </w:r>
            <w:r>
              <w:rPr>
                <w:rFonts w:ascii="Arial" w:eastAsia="Arial" w:hAnsi="Arial" w:cs="Arial"/>
                <w:sz w:val="22"/>
                <w:szCs w:val="22"/>
              </w:rPr>
              <w:t>effort to disseminate better education for maternal health, provide more access to services and improve community-based programs in promoting the importance of follow-up and consistent ANC contact for safer pregnancy areas such as immunization and dental c</w:t>
            </w:r>
            <w:r>
              <w:rPr>
                <w:rFonts w:ascii="Arial" w:eastAsia="Arial" w:hAnsi="Arial" w:cs="Arial"/>
                <w:sz w:val="22"/>
                <w:szCs w:val="22"/>
              </w:rPr>
              <w:t xml:space="preserve">heckups. Strengthening maternal health education, improving access to prenatal services, and enhancing community-based health programs may help promote consistent adherence to prenatal care for safer pregnancy </w:t>
            </w:r>
            <w:proofErr w:type="gramStart"/>
            <w:r>
              <w:rPr>
                <w:rFonts w:ascii="Arial" w:eastAsia="Arial" w:hAnsi="Arial" w:cs="Arial"/>
                <w:sz w:val="22"/>
                <w:szCs w:val="22"/>
              </w:rPr>
              <w:t>outcomes.</w:t>
            </w:r>
            <w:r>
              <w:rPr>
                <w:rFonts w:ascii="Arial" w:eastAsia="Arial" w:hAnsi="Arial" w:cs="Arial"/>
                <w:color w:val="FF0000"/>
              </w:rPr>
              <w:t>.</w:t>
            </w:r>
            <w:proofErr w:type="gramEnd"/>
          </w:p>
        </w:tc>
      </w:tr>
    </w:tbl>
    <w:p w:rsidR="00AE2E46" w:rsidRDefault="00AE2E46">
      <w:pPr>
        <w:pBdr>
          <w:top w:val="nil"/>
          <w:left w:val="nil"/>
          <w:bottom w:val="nil"/>
          <w:right w:val="nil"/>
          <w:between w:val="nil"/>
        </w:pBdr>
        <w:jc w:val="both"/>
        <w:rPr>
          <w:rFonts w:ascii="Arial" w:eastAsia="Arial" w:hAnsi="Arial" w:cs="Arial"/>
          <w:i/>
          <w:iCs/>
          <w:color w:val="000000"/>
        </w:rPr>
      </w:pPr>
    </w:p>
    <w:p w:rsidR="00AE2E46" w:rsidRDefault="00816825">
      <w:pPr>
        <w:pBdr>
          <w:top w:val="nil"/>
          <w:left w:val="nil"/>
          <w:bottom w:val="nil"/>
          <w:right w:val="nil"/>
          <w:between w:val="nil"/>
        </w:pBdr>
        <w:jc w:val="both"/>
        <w:rPr>
          <w:rFonts w:ascii="Arial" w:eastAsia="Arial" w:hAnsi="Arial" w:cs="Arial"/>
          <w:i/>
          <w:iCs/>
          <w:color w:val="000000"/>
        </w:rPr>
      </w:pPr>
      <w:r>
        <w:rPr>
          <w:rFonts w:ascii="Arial" w:eastAsia="Arial" w:hAnsi="Arial" w:cs="Arial"/>
          <w:i/>
          <w:iCs/>
          <w:color w:val="000000"/>
        </w:rPr>
        <w:t xml:space="preserve">Keywords: </w:t>
      </w:r>
      <w:r>
        <w:rPr>
          <w:rFonts w:ascii="Arial" w:eastAsia="Arial" w:hAnsi="Arial" w:cs="Arial"/>
          <w:i/>
          <w:iCs/>
        </w:rPr>
        <w:t>prenatal care, attitude</w:t>
      </w:r>
      <w:r>
        <w:rPr>
          <w:rFonts w:ascii="Arial" w:eastAsia="Arial" w:hAnsi="Arial" w:cs="Arial"/>
          <w:i/>
          <w:iCs/>
        </w:rPr>
        <w:t>, compliance, pregnant women, Iloilo City</w:t>
      </w:r>
    </w:p>
    <w:p w:rsidR="00AE2E46" w:rsidRDefault="00AE2E46">
      <w:pPr>
        <w:pBdr>
          <w:top w:val="nil"/>
          <w:left w:val="nil"/>
          <w:bottom w:val="nil"/>
          <w:right w:val="nil"/>
          <w:between w:val="nil"/>
        </w:pBdr>
        <w:jc w:val="both"/>
        <w:rPr>
          <w:rFonts w:ascii="Arial" w:eastAsia="Arial" w:hAnsi="Arial" w:cs="Arial"/>
          <w:i/>
          <w:iCs/>
          <w:color w:val="000000"/>
        </w:rPr>
      </w:pPr>
    </w:p>
    <w:p w:rsidR="00AE2E46" w:rsidRDefault="00816825">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1. INTRODUCTION</w:t>
      </w:r>
    </w:p>
    <w:p w:rsidR="00AE2E46" w:rsidRDefault="00AE2E46">
      <w:pPr>
        <w:keepNext/>
        <w:pBdr>
          <w:top w:val="nil"/>
          <w:left w:val="nil"/>
          <w:bottom w:val="nil"/>
          <w:right w:val="nil"/>
          <w:between w:val="nil"/>
        </w:pBdr>
        <w:jc w:val="both"/>
        <w:rPr>
          <w:rFonts w:ascii="Arial" w:eastAsia="Arial" w:hAnsi="Arial" w:cs="Arial"/>
          <w:b/>
          <w:bCs/>
          <w:smallCaps/>
          <w:sz w:val="22"/>
          <w:szCs w:val="22"/>
        </w:rPr>
      </w:pPr>
    </w:p>
    <w:p w:rsidR="00AE2E46" w:rsidRDefault="00816825">
      <w:pPr>
        <w:keepNext/>
        <w:pBdr>
          <w:top w:val="nil"/>
          <w:left w:val="nil"/>
          <w:bottom w:val="nil"/>
          <w:right w:val="nil"/>
          <w:between w:val="nil"/>
        </w:pBdr>
        <w:jc w:val="both"/>
        <w:rPr>
          <w:rFonts w:ascii="Arial" w:eastAsia="Arial" w:hAnsi="Arial" w:cs="Arial"/>
        </w:rPr>
      </w:pPr>
      <w:r>
        <w:rPr>
          <w:rFonts w:ascii="Arial" w:eastAsia="Arial" w:hAnsi="Arial" w:cs="Arial"/>
        </w:rPr>
        <w:t xml:space="preserve">The most ideal action that a pregnant woman could do for herself and to her child’s </w:t>
      </w:r>
      <w:proofErr w:type="spellStart"/>
      <w:r>
        <w:rPr>
          <w:rFonts w:ascii="Arial" w:eastAsia="Arial" w:hAnsi="Arial" w:cs="Arial"/>
        </w:rPr>
        <w:t>well being</w:t>
      </w:r>
      <w:proofErr w:type="spellEnd"/>
      <w:r>
        <w:rPr>
          <w:rFonts w:ascii="Arial" w:eastAsia="Arial" w:hAnsi="Arial" w:cs="Arial"/>
        </w:rPr>
        <w:t xml:space="preserve"> is to prioritize absolute self-care throughout the duration of her pregnancy. Prenatal care, sometimes referred to as antenatal care (ANC), entailed regular visits with trained medical professionals in order to give early risk detection and vital monitori</w:t>
      </w:r>
      <w:r>
        <w:rPr>
          <w:rFonts w:ascii="Arial" w:eastAsia="Arial" w:hAnsi="Arial" w:cs="Arial"/>
        </w:rPr>
        <w:t>ng (</w:t>
      </w:r>
      <w:proofErr w:type="spellStart"/>
      <w:r>
        <w:rPr>
          <w:rFonts w:ascii="Arial" w:eastAsia="Arial" w:hAnsi="Arial" w:cs="Arial"/>
        </w:rPr>
        <w:t>Albarqi</w:t>
      </w:r>
      <w:proofErr w:type="spellEnd"/>
      <w:r>
        <w:rPr>
          <w:rFonts w:ascii="Arial" w:eastAsia="Arial" w:hAnsi="Arial" w:cs="Arial"/>
        </w:rPr>
        <w:t>, 2025). To ensure a safe pregnancy, these visits helped identify high-risk pregnancies, estimated the due date, and performed important maternal and fetal exams (Karrar, 2024). Pregnant women around the world obtained antenatal care (ANC) visit</w:t>
      </w:r>
      <w:r>
        <w:rPr>
          <w:rFonts w:ascii="Arial" w:eastAsia="Arial" w:hAnsi="Arial" w:cs="Arial"/>
        </w:rPr>
        <w:t xml:space="preserve">s at a rate of 87%, but only 60% to 70% achieved the recommended minimum schedule, indicating a persisting compliance gap </w:t>
      </w:r>
      <w:r>
        <w:rPr>
          <w:rFonts w:ascii="Arial" w:eastAsia="Arial" w:hAnsi="Arial" w:cs="Arial"/>
        </w:rPr>
        <w:lastRenderedPageBreak/>
        <w:t xml:space="preserve">(UNICEF, 2024). In Western Visayas, just 66% of women started care in the first trimester, despite the fact that 97% of them received </w:t>
      </w:r>
      <w:r>
        <w:rPr>
          <w:rFonts w:ascii="Arial" w:eastAsia="Arial" w:hAnsi="Arial" w:cs="Arial"/>
        </w:rPr>
        <w:t>professional ANC and 86% made at least four visits. As reported by the 2022 NDHS, 82.9% of women in the Philippines accomplished four or more ANC visits (PSA, 2023). Despite these very high coverage percentages, Iloilo City nevertheless demonstrated irregu</w:t>
      </w:r>
      <w:r>
        <w:rPr>
          <w:rFonts w:ascii="Arial" w:eastAsia="Arial" w:hAnsi="Arial" w:cs="Arial"/>
        </w:rPr>
        <w:t xml:space="preserve">lar patterns of ANC attendance suggesting divergence between compliance and </w:t>
      </w:r>
      <w:proofErr w:type="spellStart"/>
      <w:r>
        <w:rPr>
          <w:rFonts w:ascii="Arial" w:eastAsia="Arial" w:hAnsi="Arial" w:cs="Arial"/>
        </w:rPr>
        <w:t>favourable</w:t>
      </w:r>
      <w:proofErr w:type="spellEnd"/>
      <w:r>
        <w:rPr>
          <w:rFonts w:ascii="Arial" w:eastAsia="Arial" w:hAnsi="Arial" w:cs="Arial"/>
        </w:rPr>
        <w:t xml:space="preserve"> attitudes. This pattern aligned findings from other countries: According to </w:t>
      </w:r>
      <w:proofErr w:type="spellStart"/>
      <w:r>
        <w:rPr>
          <w:rFonts w:ascii="Arial" w:eastAsia="Arial" w:hAnsi="Arial" w:cs="Arial"/>
        </w:rPr>
        <w:t>Alnabri</w:t>
      </w:r>
      <w:proofErr w:type="spellEnd"/>
      <w:r>
        <w:rPr>
          <w:rFonts w:ascii="Arial" w:eastAsia="Arial" w:hAnsi="Arial" w:cs="Arial"/>
        </w:rPr>
        <w:t xml:space="preserve"> et al. (2025), although &gt; 90% of Saudi Arabian were willing to accept ANC but only 10</w:t>
      </w:r>
      <w:r>
        <w:rPr>
          <w:rFonts w:ascii="Arial" w:eastAsia="Arial" w:hAnsi="Arial" w:cs="Arial"/>
        </w:rPr>
        <w:t>% knew the recommended visit frequency resulting low adherence, and in India, 96% of (400 women) exhibit positive attitude while only (58.5%) followed ANC guidelines (Bashir et al., 2023). Despite a higher positive perception of prenatal nutrition 75.2%, C</w:t>
      </w:r>
      <w:r>
        <w:rPr>
          <w:rFonts w:ascii="Arial" w:eastAsia="Arial" w:hAnsi="Arial" w:cs="Arial"/>
        </w:rPr>
        <w:t xml:space="preserve">hinese individuals did not fully adhere to the established guidelines, with compliance at 47.3% (Chen et al., 2023). Similar patterns were observed in both Ghana and Yemen, where 78-79% exhibited more </w:t>
      </w:r>
      <w:proofErr w:type="spellStart"/>
      <w:r>
        <w:rPr>
          <w:rFonts w:ascii="Arial" w:eastAsia="Arial" w:hAnsi="Arial" w:cs="Arial"/>
        </w:rPr>
        <w:t>favourable</w:t>
      </w:r>
      <w:proofErr w:type="spellEnd"/>
      <w:r>
        <w:rPr>
          <w:rFonts w:ascii="Arial" w:eastAsia="Arial" w:hAnsi="Arial" w:cs="Arial"/>
        </w:rPr>
        <w:t xml:space="preserve"> attitudes, in contrast with 63-67% reporting</w:t>
      </w:r>
      <w:r>
        <w:rPr>
          <w:rFonts w:ascii="Arial" w:eastAsia="Arial" w:hAnsi="Arial" w:cs="Arial"/>
        </w:rPr>
        <w:t xml:space="preserve"> low practice rates (</w:t>
      </w:r>
      <w:proofErr w:type="spellStart"/>
      <w:r>
        <w:rPr>
          <w:rFonts w:ascii="Arial" w:eastAsia="Arial" w:hAnsi="Arial" w:cs="Arial"/>
        </w:rPr>
        <w:t>Zuuri</w:t>
      </w:r>
      <w:proofErr w:type="spellEnd"/>
      <w:r>
        <w:rPr>
          <w:rFonts w:ascii="Arial" w:eastAsia="Arial" w:hAnsi="Arial" w:cs="Arial"/>
        </w:rPr>
        <w:t xml:space="preserve"> et al., 2025; Abdulfatah et al., 2022). Even if the significance of prenatal was well </w:t>
      </w:r>
      <w:proofErr w:type="spellStart"/>
      <w:r>
        <w:rPr>
          <w:rFonts w:ascii="Arial" w:eastAsia="Arial" w:hAnsi="Arial" w:cs="Arial"/>
        </w:rPr>
        <w:t>recognised</w:t>
      </w:r>
      <w:proofErr w:type="spellEnd"/>
      <w:r>
        <w:rPr>
          <w:rFonts w:ascii="Arial" w:eastAsia="Arial" w:hAnsi="Arial" w:cs="Arial"/>
        </w:rPr>
        <w:t>, one survey reported that only 46.37% of Filipino women completed six or more contacts (de Guzman &amp; Banal-Silao, 2022). Unequal comp</w:t>
      </w:r>
      <w:r>
        <w:rPr>
          <w:rFonts w:ascii="Arial" w:eastAsia="Arial" w:hAnsi="Arial" w:cs="Arial"/>
        </w:rPr>
        <w:t>liance was further influenced by differences in rural areas and urban areas (Amit et al., 2022; Wulandari et al., 2021). The SDG 3.1, which continued to provide high quality, easily accessible prenatal care to mitigate the global maternal death ratio was g</w:t>
      </w:r>
      <w:r>
        <w:rPr>
          <w:rFonts w:ascii="Arial" w:eastAsia="Arial" w:hAnsi="Arial" w:cs="Arial"/>
        </w:rPr>
        <w:t>reatly affected by this gap between attitude and compliance (UN, SDG 3.1; WHO, 2022). Moreover, numerous studies suggested that prenatal care was widely regarded positively by women. However, a distinction existed between their attitudes and compliance, as</w:t>
      </w:r>
      <w:r>
        <w:rPr>
          <w:rFonts w:ascii="Arial" w:eastAsia="Arial" w:hAnsi="Arial" w:cs="Arial"/>
        </w:rPr>
        <w:t xml:space="preserve"> demonstrated by their irregular adherence to recommended appointments. Moreover, most international studies either focused on attitudes in isolation or assessed overall practices without explicitly considering compliance as a separate </w:t>
      </w:r>
      <w:proofErr w:type="spellStart"/>
      <w:r>
        <w:rPr>
          <w:rFonts w:ascii="Arial" w:eastAsia="Arial" w:hAnsi="Arial" w:cs="Arial"/>
        </w:rPr>
        <w:t>behavioural</w:t>
      </w:r>
      <w:proofErr w:type="spellEnd"/>
      <w:r>
        <w:rPr>
          <w:rFonts w:ascii="Arial" w:eastAsia="Arial" w:hAnsi="Arial" w:cs="Arial"/>
        </w:rPr>
        <w:t xml:space="preserve"> outcome.</w:t>
      </w:r>
      <w:r>
        <w:rPr>
          <w:rFonts w:ascii="Arial" w:eastAsia="Arial" w:hAnsi="Arial" w:cs="Arial"/>
        </w:rPr>
        <w:t xml:space="preserve"> Furthermore, the limited empirical studies were evident due to the predominant focus of extant research in other regions, particularly in Iloilo City, where contextual factors may have exerted unique influences on compliance and attitudes. Hence, this stu</w:t>
      </w:r>
      <w:r>
        <w:rPr>
          <w:rFonts w:ascii="Arial" w:eastAsia="Arial" w:hAnsi="Arial" w:cs="Arial"/>
        </w:rPr>
        <w:t>dy aimed to examine the compliance and attitudes of pregnant women in Iloilo City.</w:t>
      </w:r>
    </w:p>
    <w:p w:rsidR="00AE2E46" w:rsidRDefault="00AE2E46">
      <w:pPr>
        <w:pBdr>
          <w:top w:val="nil"/>
          <w:left w:val="nil"/>
          <w:bottom w:val="nil"/>
          <w:right w:val="nil"/>
          <w:between w:val="nil"/>
        </w:pBdr>
        <w:jc w:val="both"/>
        <w:rPr>
          <w:rFonts w:ascii="Arial" w:eastAsia="Arial" w:hAnsi="Arial" w:cs="Arial"/>
          <w:color w:val="000000"/>
        </w:rPr>
      </w:pPr>
    </w:p>
    <w:p w:rsidR="00AE2E46" w:rsidRDefault="0081682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material and methods </w:t>
      </w:r>
    </w:p>
    <w:p w:rsidR="00AE2E46" w:rsidRDefault="00AE2E46">
      <w:pPr>
        <w:keepNext/>
        <w:pBdr>
          <w:top w:val="nil"/>
          <w:left w:val="nil"/>
          <w:bottom w:val="nil"/>
          <w:right w:val="nil"/>
          <w:between w:val="nil"/>
        </w:pBdr>
        <w:jc w:val="both"/>
        <w:rPr>
          <w:rFonts w:ascii="Arial" w:eastAsia="Arial" w:hAnsi="Arial" w:cs="Arial"/>
          <w:b/>
          <w:bCs/>
          <w:smallCaps/>
          <w:sz w:val="22"/>
          <w:szCs w:val="22"/>
        </w:rPr>
      </w:pPr>
    </w:p>
    <w:p w:rsidR="00AE2E46" w:rsidRDefault="00816825">
      <w:pPr>
        <w:rPr>
          <w:rFonts w:ascii="Arial" w:eastAsia="Arial" w:hAnsi="Arial" w:cs="Arial"/>
          <w:b/>
          <w:bCs/>
          <w:sz w:val="22"/>
          <w:szCs w:val="22"/>
        </w:rPr>
      </w:pPr>
      <w:r>
        <w:rPr>
          <w:rFonts w:ascii="Arial" w:eastAsia="Arial" w:hAnsi="Arial" w:cs="Arial"/>
          <w:b/>
          <w:bCs/>
          <w:sz w:val="22"/>
          <w:szCs w:val="22"/>
        </w:rPr>
        <w:t>2.1 Research Design</w:t>
      </w:r>
    </w:p>
    <w:p w:rsidR="00AE2E46" w:rsidRDefault="00AE2E46">
      <w:pPr>
        <w:keepNext/>
        <w:pBdr>
          <w:top w:val="nil"/>
          <w:left w:val="nil"/>
          <w:bottom w:val="nil"/>
          <w:right w:val="nil"/>
          <w:between w:val="nil"/>
        </w:pBdr>
        <w:jc w:val="both"/>
        <w:rPr>
          <w:rFonts w:ascii="Arial" w:eastAsia="Arial" w:hAnsi="Arial" w:cs="Arial"/>
          <w:b/>
          <w:bCs/>
          <w:smallCaps/>
          <w:sz w:val="22"/>
          <w:szCs w:val="22"/>
        </w:rPr>
      </w:pPr>
    </w:p>
    <w:p w:rsidR="00AE2E46" w:rsidRDefault="00816825">
      <w:pPr>
        <w:jc w:val="both"/>
        <w:rPr>
          <w:rFonts w:ascii="Arial" w:eastAsia="Arial" w:hAnsi="Arial" w:cs="Arial"/>
        </w:rPr>
      </w:pPr>
      <w:r>
        <w:rPr>
          <w:rFonts w:ascii="Arial" w:eastAsia="Arial" w:hAnsi="Arial" w:cs="Arial"/>
        </w:rPr>
        <w:t>This study employed a quantitative descriptive–correlational research design. The descriptive component was used to determine</w:t>
      </w:r>
      <w:r>
        <w:rPr>
          <w:rFonts w:ascii="Arial" w:eastAsia="Arial" w:hAnsi="Arial" w:cs="Arial"/>
        </w:rPr>
        <w:t xml:space="preserve"> the level of attitude and compliance toward prenatal care among pregnant women, while the correlational component was utilized to examine the relationship between these variables.</w:t>
      </w:r>
    </w:p>
    <w:p w:rsidR="00AE2E46" w:rsidRDefault="00AE2E46">
      <w:pPr>
        <w:jc w:val="both"/>
        <w:rPr>
          <w:rFonts w:ascii="Arial" w:eastAsia="Arial" w:hAnsi="Arial" w:cs="Arial"/>
        </w:rPr>
      </w:pPr>
    </w:p>
    <w:p w:rsidR="00AE2E46" w:rsidRDefault="00816825">
      <w:pPr>
        <w:jc w:val="both"/>
        <w:rPr>
          <w:rFonts w:ascii="Arial" w:eastAsia="Arial" w:hAnsi="Arial" w:cs="Arial"/>
          <w:b/>
          <w:bCs/>
          <w:sz w:val="22"/>
          <w:szCs w:val="22"/>
        </w:rPr>
      </w:pPr>
      <w:r>
        <w:rPr>
          <w:rFonts w:ascii="Arial" w:eastAsia="Arial" w:hAnsi="Arial" w:cs="Arial"/>
          <w:b/>
          <w:bCs/>
          <w:smallCaps/>
          <w:sz w:val="22"/>
          <w:szCs w:val="22"/>
        </w:rPr>
        <w:t>2.2</w:t>
      </w:r>
      <w:r>
        <w:rPr>
          <w:rFonts w:ascii="Arial" w:eastAsia="Arial" w:hAnsi="Arial" w:cs="Arial"/>
          <w:b/>
          <w:bCs/>
          <w:sz w:val="22"/>
          <w:szCs w:val="22"/>
        </w:rPr>
        <w:t xml:space="preserve"> Study Setting</w:t>
      </w:r>
    </w:p>
    <w:p w:rsidR="00AE2E46" w:rsidRDefault="00816825">
      <w:pPr>
        <w:spacing w:before="240" w:after="240"/>
        <w:jc w:val="both"/>
        <w:rPr>
          <w:rFonts w:ascii="Arial" w:eastAsia="Arial" w:hAnsi="Arial" w:cs="Arial"/>
        </w:rPr>
      </w:pPr>
      <w:r>
        <w:rPr>
          <w:rFonts w:ascii="Arial" w:eastAsia="Arial" w:hAnsi="Arial" w:cs="Arial"/>
        </w:rPr>
        <w:t>The study was conducted in Iloilo City, Philippines, spe</w:t>
      </w:r>
      <w:r>
        <w:rPr>
          <w:rFonts w:ascii="Arial" w:eastAsia="Arial" w:hAnsi="Arial" w:cs="Arial"/>
        </w:rPr>
        <w:t xml:space="preserve">cifically at Calumpang Lying-In in Molo and the Iloilo Doctors’ College Outpatient Department (OPD) Maternity Service and Lying-In Clinic. These healthcare facilities provide prenatal consultation and maternal health services to pregnant women residing in </w:t>
      </w:r>
      <w:r>
        <w:rPr>
          <w:rFonts w:ascii="Arial" w:eastAsia="Arial" w:hAnsi="Arial" w:cs="Arial"/>
        </w:rPr>
        <w:t>nearby communities.</w:t>
      </w:r>
    </w:p>
    <w:p w:rsidR="00AE2E46" w:rsidRDefault="00816825">
      <w:pPr>
        <w:jc w:val="both"/>
        <w:rPr>
          <w:rFonts w:ascii="Arial" w:eastAsia="Arial" w:hAnsi="Arial" w:cs="Arial"/>
          <w:b/>
          <w:bCs/>
          <w:sz w:val="22"/>
          <w:szCs w:val="22"/>
        </w:rPr>
      </w:pPr>
      <w:r>
        <w:rPr>
          <w:rFonts w:ascii="Arial" w:eastAsia="Arial" w:hAnsi="Arial" w:cs="Arial"/>
          <w:b/>
          <w:bCs/>
          <w:smallCaps/>
          <w:sz w:val="22"/>
          <w:szCs w:val="22"/>
        </w:rPr>
        <w:t xml:space="preserve">2.3 </w:t>
      </w:r>
      <w:r>
        <w:rPr>
          <w:rFonts w:ascii="Arial" w:eastAsia="Arial" w:hAnsi="Arial" w:cs="Arial"/>
          <w:b/>
          <w:bCs/>
          <w:sz w:val="22"/>
          <w:szCs w:val="22"/>
        </w:rPr>
        <w:t>Sampling Procedure</w:t>
      </w:r>
    </w:p>
    <w:p w:rsidR="00AE2E46" w:rsidRDefault="00816825">
      <w:pPr>
        <w:spacing w:before="240" w:after="240"/>
        <w:jc w:val="both"/>
        <w:rPr>
          <w:rFonts w:ascii="Arial" w:eastAsia="Arial" w:hAnsi="Arial" w:cs="Arial"/>
        </w:rPr>
      </w:pPr>
      <w:r>
        <w:rPr>
          <w:rFonts w:ascii="Arial" w:eastAsia="Arial" w:hAnsi="Arial" w:cs="Arial"/>
        </w:rPr>
        <w:t>The respondents of the study consisted of 100 pregnant women who were receiving prenatal care services at the selected healthcare facilities. Participants were selected using non-probability purposive sampling, in</w:t>
      </w:r>
      <w:r>
        <w:rPr>
          <w:rFonts w:ascii="Arial" w:eastAsia="Arial" w:hAnsi="Arial" w:cs="Arial"/>
        </w:rPr>
        <w:t xml:space="preserve"> which pregnant women who met the inclusion criteria and voluntarily agreed to participate in the study were included as respondents.</w:t>
      </w:r>
    </w:p>
    <w:p w:rsidR="00AE2E46" w:rsidRDefault="00AE2E46">
      <w:pPr>
        <w:jc w:val="both"/>
        <w:rPr>
          <w:rFonts w:ascii="Arial" w:eastAsia="Arial" w:hAnsi="Arial" w:cs="Arial"/>
          <w:b/>
          <w:bCs/>
        </w:rPr>
      </w:pPr>
    </w:p>
    <w:p w:rsidR="00AE2E46" w:rsidRDefault="00816825">
      <w:pPr>
        <w:jc w:val="both"/>
        <w:rPr>
          <w:rFonts w:ascii="Arial" w:eastAsia="Arial" w:hAnsi="Arial" w:cs="Arial"/>
          <w:b/>
          <w:bCs/>
          <w:sz w:val="22"/>
          <w:szCs w:val="22"/>
        </w:rPr>
      </w:pPr>
      <w:r>
        <w:rPr>
          <w:rFonts w:ascii="Arial" w:eastAsia="Arial" w:hAnsi="Arial" w:cs="Arial"/>
          <w:b/>
          <w:bCs/>
          <w:smallCaps/>
          <w:sz w:val="22"/>
          <w:szCs w:val="22"/>
        </w:rPr>
        <w:lastRenderedPageBreak/>
        <w:t xml:space="preserve">2.4 </w:t>
      </w:r>
      <w:r>
        <w:rPr>
          <w:rFonts w:ascii="Arial" w:eastAsia="Arial" w:hAnsi="Arial" w:cs="Arial"/>
          <w:b/>
          <w:bCs/>
          <w:sz w:val="22"/>
          <w:szCs w:val="22"/>
        </w:rPr>
        <w:t>Instrument</w:t>
      </w:r>
    </w:p>
    <w:p w:rsidR="00AE2E46" w:rsidRDefault="00816825">
      <w:pPr>
        <w:spacing w:before="240" w:after="240"/>
        <w:jc w:val="both"/>
        <w:rPr>
          <w:rFonts w:ascii="Arial" w:eastAsia="Arial" w:hAnsi="Arial" w:cs="Arial"/>
          <w:color w:val="000000"/>
          <w:highlight w:val="yellow"/>
        </w:rPr>
      </w:pPr>
      <w:r>
        <w:rPr>
          <w:rFonts w:ascii="Arial" w:eastAsia="Arial" w:hAnsi="Arial" w:cs="Arial"/>
        </w:rPr>
        <w:t>The researchers adopted and adapted validated questionnaires to collect the necessary data. The instrument was divided into three (3) parts: (1) Sociodemographic Profile; composed of background information of the respondents, including their age, marital s</w:t>
      </w:r>
      <w:r>
        <w:rPr>
          <w:rFonts w:ascii="Arial" w:eastAsia="Arial" w:hAnsi="Arial" w:cs="Arial"/>
        </w:rPr>
        <w:t xml:space="preserve">tatus, educational attainment, employment status, medical illnesses, gravidity, parity, type of delivery during the last pregnancy, abortion, maternal complications, and how often they go to the clinic for </w:t>
      </w:r>
      <w:r>
        <w:rPr>
          <w:rFonts w:ascii="Arial" w:eastAsia="Arial" w:hAnsi="Arial" w:cs="Arial"/>
          <w:highlight w:val="yellow"/>
        </w:rPr>
        <w:t>ANC contact</w:t>
      </w:r>
      <w:r>
        <w:rPr>
          <w:rFonts w:ascii="Arial" w:eastAsia="Arial" w:hAnsi="Arial" w:cs="Arial"/>
        </w:rPr>
        <w:t xml:space="preserve">. (2) Attitude toward Prenatal adopted </w:t>
      </w:r>
      <w:r>
        <w:rPr>
          <w:rFonts w:ascii="Arial" w:eastAsia="Arial" w:hAnsi="Arial" w:cs="Arial"/>
        </w:rPr>
        <w:t>from Gebremariam et al. (2023) which is a 11-item researcher-made questionnaire which assessed the perceptions and beliefs of pregnant women regarding the importance and benefits of prenatal healthcare services. (3) Compliance on Prenatal Care: This sectio</w:t>
      </w:r>
      <w:r>
        <w:rPr>
          <w:rFonts w:ascii="Arial" w:eastAsia="Arial" w:hAnsi="Arial" w:cs="Arial"/>
        </w:rPr>
        <w:t xml:space="preserve">n assessed the level of compliance of pregnant women with recommended prenatal care practice. This section was adapted from a structured, self-administered questionnaire developed by Oandasan and Purisima (2024). It consisted of thirty (30) items measured </w:t>
      </w:r>
      <w:r>
        <w:rPr>
          <w:rFonts w:ascii="Arial" w:eastAsia="Arial" w:hAnsi="Arial" w:cs="Arial"/>
        </w:rPr>
        <w:t xml:space="preserve">using a four-point Likert-type scale. This section was subdivided into five (5) parts, representing the major dimensions of prenatal care. (3.1). Frequency of Prenatal Visit. This subdomain examined the regularity and consistency with which pregnant women </w:t>
      </w:r>
      <w:r>
        <w:rPr>
          <w:rFonts w:ascii="Arial" w:eastAsia="Arial" w:hAnsi="Arial" w:cs="Arial"/>
        </w:rPr>
        <w:t xml:space="preserve">attended scheduled </w:t>
      </w:r>
      <w:r>
        <w:rPr>
          <w:rFonts w:ascii="Arial" w:eastAsia="Arial" w:hAnsi="Arial" w:cs="Arial"/>
          <w:highlight w:val="yellow"/>
        </w:rPr>
        <w:t>ANC contact</w:t>
      </w:r>
      <w:r>
        <w:rPr>
          <w:rFonts w:ascii="Arial" w:eastAsia="Arial" w:hAnsi="Arial" w:cs="Arial"/>
        </w:rPr>
        <w:t xml:space="preserve"> as recommended by healthcare providers. It consists of seven (7) items. (3.2). Laboratory Procedures. This subdomain evaluates the extent to which pregnant women comply with recommended laboratory examinations, including bloo</w:t>
      </w:r>
      <w:r>
        <w:rPr>
          <w:rFonts w:ascii="Arial" w:eastAsia="Arial" w:hAnsi="Arial" w:cs="Arial"/>
        </w:rPr>
        <w:t>d test, urinalysis, and other diagnostic screenings essential for monitoring maternal and fetal health. This subdomain contained six (6) items. (3.3). Immunization. This subdomain measured the compliance of pregnant women with recommended maternal immuniza</w:t>
      </w:r>
      <w:r>
        <w:rPr>
          <w:rFonts w:ascii="Arial" w:eastAsia="Arial" w:hAnsi="Arial" w:cs="Arial"/>
        </w:rPr>
        <w:t>tion schedules, particularly vaccines that protected both the mother and fetus from preventable diseases. This subdomain is composed of six (6) items. (3.4). Micronutrient Supplement. This subdomain assessed the degree of adherence to prescribed micronutri</w:t>
      </w:r>
      <w:r>
        <w:rPr>
          <w:rFonts w:ascii="Arial" w:eastAsia="Arial" w:hAnsi="Arial" w:cs="Arial"/>
        </w:rPr>
        <w:t>ent supplementation, such as iron, folic acid, calcium, and multivitamins, which were vital for preventing maternal anemia, neural tube defects, and other nutritional deficiencies. This subdomain consisted of six (6) items. (3.5). Dental Checkup. This subd</w:t>
      </w:r>
      <w:r>
        <w:rPr>
          <w:rFonts w:ascii="Arial" w:eastAsia="Arial" w:hAnsi="Arial" w:cs="Arial"/>
        </w:rPr>
        <w:t xml:space="preserve">omain evaluated the utilization of dental and oral healthcare services during pregnancy, recognizing the importance of maintaining oral health to prevent complications such as periodontal disease, which was associated with adverse pregnancy outcomes. This </w:t>
      </w:r>
      <w:r>
        <w:rPr>
          <w:rFonts w:ascii="Arial" w:eastAsia="Arial" w:hAnsi="Arial" w:cs="Arial"/>
        </w:rPr>
        <w:t xml:space="preserve">subdomain contained five (5) items. </w:t>
      </w:r>
      <w:r>
        <w:rPr>
          <w:rFonts w:ascii="Arial" w:eastAsia="Arial" w:hAnsi="Arial" w:cs="Arial"/>
          <w:sz w:val="19"/>
          <w:szCs w:val="19"/>
        </w:rPr>
        <w:t>To check the validity of the questionnaires, a pilot study with 38 respondents, and a reliability testing had been done. The Cronbach’s Alpha score was 0.79.</w:t>
      </w:r>
    </w:p>
    <w:p w:rsidR="00AE2E46" w:rsidRDefault="0081682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results and discussion</w:t>
      </w:r>
    </w:p>
    <w:p w:rsidR="00AE2E46" w:rsidRDefault="00AE2E46">
      <w:pPr>
        <w:keepNext/>
        <w:pBdr>
          <w:top w:val="nil"/>
          <w:left w:val="nil"/>
          <w:bottom w:val="nil"/>
          <w:right w:val="nil"/>
          <w:between w:val="nil"/>
        </w:pBdr>
        <w:jc w:val="both"/>
        <w:rPr>
          <w:rFonts w:ascii="Arial" w:eastAsia="Arial" w:hAnsi="Arial" w:cs="Arial"/>
          <w:b/>
          <w:bCs/>
          <w:smallCaps/>
          <w:sz w:val="22"/>
          <w:szCs w:val="22"/>
        </w:rPr>
      </w:pPr>
    </w:p>
    <w:p w:rsidR="00AE2E46" w:rsidRDefault="00816825">
      <w:pPr>
        <w:rPr>
          <w:b/>
          <w:bCs/>
          <w:sz w:val="22"/>
          <w:szCs w:val="22"/>
        </w:rPr>
      </w:pPr>
      <w:r>
        <w:rPr>
          <w:b/>
          <w:bCs/>
          <w:sz w:val="22"/>
          <w:szCs w:val="22"/>
        </w:rPr>
        <w:t>3.1.1 Sociodemographic Profile</w:t>
      </w:r>
    </w:p>
    <w:p w:rsidR="00AE2E46" w:rsidRDefault="00AE2E46"/>
    <w:p w:rsidR="00AE2E46" w:rsidRDefault="00816825">
      <w:pPr>
        <w:jc w:val="both"/>
      </w:pPr>
      <w:r>
        <w:t>Tab</w:t>
      </w:r>
      <w:r>
        <w:t>le 1 presents the demographic profile of the respondents, which consisted of 100 pregnant women from a selected barangay in Iloilo City who were receiving prenatal care services. The majority of the respondents were 20–29 years old (54%), followed by 30–39</w:t>
      </w:r>
      <w:r>
        <w:t xml:space="preserve"> years old (26%), while only a small proportion were below 20 years old (4%), indicating that most respondents were within the peak reproductive age group. In terms of marital status, 55% were married, while 45% were single, suggesting that many respondent</w:t>
      </w:r>
      <w:r>
        <w:t>s may have had social or financial support during pregnancy. Educational attainment revealed that 74% were college graduates, which may contribute to better health literacy and understanding of prenatal care practices. Regarding occupation, 61% were unempl</w:t>
      </w:r>
      <w:r>
        <w:t>oyed, while 39% were employed, although unemployment may not necessarily indicate lack of financial support since many respondents were married. With regard to medical conditions, 57% reported having no medical illness, while 43% had at least one condition</w:t>
      </w:r>
      <w:r>
        <w:t xml:space="preserve">, with hypertension (8%) being the most frequently reported. In terms of reproductive history, the majority of respondents </w:t>
      </w:r>
      <w:r>
        <w:lastRenderedPageBreak/>
        <w:t>had one pregnancy (55%), followed by two pregnancies (21%), indicating that many were either first-time or early-stage mothers. Simil</w:t>
      </w:r>
      <w:r>
        <w:t>arly, most respondents had one living child (54%), reflecting low parity within the study population. A large proportion had experienced spontaneous vaginal delivery (89%), while 11% had cesarean section delivery. In terms of abortion history, 90% reported</w:t>
      </w:r>
      <w:r>
        <w:t xml:space="preserve"> no previous abortion, while 10% had experienced at least one abortion. Regarding maternal complications, the majority reported other types of complications (51%), followed by hyperemesis gravidarum (21.9%) and preeclampsia (12%). These findings indicate t</w:t>
      </w:r>
      <w:r>
        <w:t>hat although most respondents were generally healthy, several pregnancy-related complications were still present within the population.</w:t>
      </w:r>
    </w:p>
    <w:p w:rsidR="00AE2E46" w:rsidRDefault="00AE2E46">
      <w:pPr>
        <w:jc w:val="both"/>
      </w:pPr>
    </w:p>
    <w:p w:rsidR="00AE2E46" w:rsidRDefault="00816825">
      <w:pPr>
        <w:rPr>
          <w:i/>
          <w:iCs/>
        </w:rPr>
      </w:pPr>
      <w:r>
        <w:rPr>
          <w:i/>
          <w:iCs/>
        </w:rPr>
        <w:t xml:space="preserve">Table 1. Distribution of respondents according to age, civil status, educational attainment, status of employment, </w:t>
      </w:r>
      <w:r>
        <w:rPr>
          <w:i/>
          <w:iCs/>
        </w:rPr>
        <w:t>medical illness, gravidity, parity, type of delivery, number of abortions, maternal complications, clinic frequency visits of previous pregnancy. (n = 100)</w:t>
      </w:r>
    </w:p>
    <w:p w:rsidR="00AE2E46" w:rsidRDefault="00AE2E46">
      <w:pPr>
        <w:rPr>
          <w:b/>
          <w:bCs/>
          <w:i/>
          <w:iCs/>
        </w:rPr>
      </w:pPr>
    </w:p>
    <w:sdt>
      <w:sdtPr>
        <w:tag w:val="goog_rdk_0"/>
        <w:id w:val="-598939288"/>
        <w:lock w:val="contentLocked"/>
      </w:sdtPr>
      <w:sdtEndPr/>
      <w:sdtContent>
        <w:tbl>
          <w:tblPr>
            <w:tblStyle w:val="a6"/>
            <w:tblW w:w="8655" w:type="dxa"/>
            <w:tblBorders>
              <w:top w:val="nil"/>
              <w:left w:val="nil"/>
              <w:bottom w:val="nil"/>
              <w:right w:val="nil"/>
              <w:insideH w:val="nil"/>
              <w:insideV w:val="nil"/>
            </w:tblBorders>
            <w:tblLayout w:type="fixed"/>
            <w:tblLook w:val="0600" w:firstRow="0" w:lastRow="0" w:firstColumn="0" w:lastColumn="0" w:noHBand="1" w:noVBand="1"/>
          </w:tblPr>
          <w:tblGrid>
            <w:gridCol w:w="6405"/>
            <w:gridCol w:w="1350"/>
            <w:gridCol w:w="900"/>
          </w:tblGrid>
          <w:tr w:rsidR="00AE2E46">
            <w:trPr>
              <w:cantSplit/>
            </w:trPr>
            <w:tc>
              <w:tcPr>
                <w:tcW w:w="6405" w:type="dxa"/>
                <w:tcBorders>
                  <w:top w:val="single" w:sz="5" w:space="0" w:color="000000"/>
                  <w:left w:val="nil"/>
                  <w:bottom w:val="single" w:sz="5" w:space="0" w:color="000000"/>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b/>
                    <w:bCs/>
                  </w:rPr>
                </w:pPr>
                <w:r>
                  <w:rPr>
                    <w:rFonts w:ascii="Arial" w:eastAsia="Arial" w:hAnsi="Arial" w:cs="Arial"/>
                    <w:b/>
                    <w:bCs/>
                  </w:rPr>
                  <w:t>Variables</w:t>
                </w:r>
              </w:p>
            </w:tc>
            <w:tc>
              <w:tcPr>
                <w:tcW w:w="1350" w:type="dxa"/>
                <w:tcBorders>
                  <w:top w:val="single" w:sz="5" w:space="0" w:color="000000"/>
                  <w:left w:val="nil"/>
                  <w:bottom w:val="single" w:sz="5" w:space="0" w:color="000000"/>
                  <w:right w:val="nil"/>
                </w:tcBorders>
                <w:tcMar>
                  <w:top w:w="0" w:type="dxa"/>
                  <w:left w:w="0" w:type="dxa"/>
                  <w:bottom w:w="0" w:type="dxa"/>
                  <w:right w:w="0" w:type="dxa"/>
                </w:tcMar>
                <w:vAlign w:val="bottom"/>
              </w:tcPr>
              <w:p w:rsidR="00AE2E46" w:rsidRDefault="00816825">
                <w:pPr>
                  <w:jc w:val="center"/>
                  <w:rPr>
                    <w:rFonts w:ascii="Arial" w:eastAsia="Arial" w:hAnsi="Arial" w:cs="Arial"/>
                    <w:i/>
                    <w:iCs/>
                  </w:rPr>
                </w:pPr>
                <w:r>
                  <w:rPr>
                    <w:rFonts w:ascii="Arial" w:eastAsia="Arial" w:hAnsi="Arial" w:cs="Arial"/>
                    <w:i/>
                    <w:iCs/>
                  </w:rPr>
                  <w:t>f</w:t>
                </w:r>
              </w:p>
            </w:tc>
            <w:tc>
              <w:tcPr>
                <w:tcW w:w="900" w:type="dxa"/>
                <w:tcBorders>
                  <w:top w:val="single" w:sz="5" w:space="0" w:color="000000"/>
                  <w:left w:val="nil"/>
                  <w:bottom w:val="single" w:sz="5" w:space="0" w:color="000000"/>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w:t>
                </w:r>
              </w:p>
            </w:tc>
          </w:tr>
          <w:tr w:rsidR="00AE2E46">
            <w:trPr>
              <w:cantSplit/>
            </w:trPr>
            <w:tc>
              <w:tcPr>
                <w:tcW w:w="6405" w:type="dxa"/>
                <w:tcBorders>
                  <w:top w:val="nil"/>
                  <w:left w:val="nil"/>
                  <w:bottom w:val="nil"/>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Age</w:t>
                </w:r>
              </w:p>
            </w:tc>
            <w:tc>
              <w:tcPr>
                <w:tcW w:w="1350" w:type="dxa"/>
                <w:tcBorders>
                  <w:top w:val="nil"/>
                  <w:left w:val="nil"/>
                  <w:bottom w:val="nil"/>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 xml:space="preserve"> </w:t>
                </w:r>
              </w:p>
            </w:tc>
            <w:tc>
              <w:tcPr>
                <w:tcW w:w="900" w:type="dxa"/>
                <w:tcBorders>
                  <w:top w:val="nil"/>
                  <w:left w:val="nil"/>
                  <w:bottom w:val="nil"/>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 xml:space="preserve"> </w:t>
                </w:r>
              </w:p>
            </w:tc>
          </w:tr>
          <w:tr w:rsidR="00AE2E46">
            <w:trPr>
              <w:cantSplit/>
            </w:trPr>
            <w:tc>
              <w:tcPr>
                <w:tcW w:w="6405" w:type="dxa"/>
                <w:tcBorders>
                  <w:top w:val="nil"/>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20-29 years old</w:t>
                </w:r>
              </w:p>
            </w:tc>
            <w:tc>
              <w:tcPr>
                <w:tcW w:w="1350" w:type="dxa"/>
                <w:tcBorders>
                  <w:top w:val="nil"/>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54</w:t>
                </w:r>
              </w:p>
            </w:tc>
            <w:tc>
              <w:tcPr>
                <w:tcW w:w="900" w:type="dxa"/>
                <w:tcBorders>
                  <w:top w:val="nil"/>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54%</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30-39 years old</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26</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26%</w:t>
                </w:r>
              </w:p>
            </w:tc>
          </w:tr>
          <w:tr w:rsidR="00AE2E46">
            <w:trPr>
              <w:cantSplit/>
            </w:trPr>
            <w:tc>
              <w:tcPr>
                <w:tcW w:w="6405" w:type="dxa"/>
                <w:tcBorders>
                  <w:top w:val="nil"/>
                  <w:left w:val="nil"/>
                  <w:bottom w:val="nil"/>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40-49 years old</w:t>
                </w:r>
              </w:p>
            </w:tc>
            <w:tc>
              <w:tcPr>
                <w:tcW w:w="1350" w:type="dxa"/>
                <w:tcBorders>
                  <w:top w:val="nil"/>
                  <w:left w:val="nil"/>
                  <w:bottom w:val="nil"/>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16</w:t>
                </w:r>
              </w:p>
            </w:tc>
            <w:tc>
              <w:tcPr>
                <w:tcW w:w="900" w:type="dxa"/>
                <w:tcBorders>
                  <w:top w:val="nil"/>
                  <w:left w:val="nil"/>
                  <w:bottom w:val="nil"/>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16%</w:t>
                </w:r>
              </w:p>
            </w:tc>
          </w:tr>
          <w:tr w:rsidR="00AE2E46">
            <w:trPr>
              <w:cantSplit/>
            </w:trPr>
            <w:tc>
              <w:tcPr>
                <w:tcW w:w="6405"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&lt;20 years old</w:t>
                </w:r>
              </w:p>
            </w:tc>
            <w:tc>
              <w:tcPr>
                <w:tcW w:w="135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4</w:t>
                </w:r>
              </w:p>
            </w:tc>
            <w:tc>
              <w:tcPr>
                <w:tcW w:w="90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4%</w:t>
                </w:r>
              </w:p>
            </w:tc>
          </w:tr>
          <w:tr w:rsidR="00AE2E46">
            <w:trPr>
              <w:cantSplit/>
            </w:trPr>
            <w:tc>
              <w:tcPr>
                <w:tcW w:w="6405" w:type="dxa"/>
                <w:tcBorders>
                  <w:top w:val="nil"/>
                  <w:left w:val="nil"/>
                  <w:bottom w:val="nil"/>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Marital Status</w:t>
                </w:r>
              </w:p>
            </w:tc>
            <w:tc>
              <w:tcPr>
                <w:tcW w:w="1350" w:type="dxa"/>
                <w:tcBorders>
                  <w:top w:val="nil"/>
                  <w:left w:val="nil"/>
                  <w:bottom w:val="nil"/>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 xml:space="preserve">           </w:t>
                </w:r>
                <w:r>
                  <w:rPr>
                    <w:rFonts w:ascii="Arial" w:eastAsia="Arial" w:hAnsi="Arial" w:cs="Arial"/>
                  </w:rPr>
                  <w:tab/>
                </w:r>
              </w:p>
            </w:tc>
            <w:tc>
              <w:tcPr>
                <w:tcW w:w="900" w:type="dxa"/>
                <w:tcBorders>
                  <w:top w:val="nil"/>
                  <w:left w:val="nil"/>
                  <w:bottom w:val="nil"/>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 xml:space="preserve"> </w:t>
                </w:r>
              </w:p>
            </w:tc>
          </w:tr>
          <w:tr w:rsidR="00AE2E46">
            <w:trPr>
              <w:cantSplit/>
            </w:trPr>
            <w:tc>
              <w:tcPr>
                <w:tcW w:w="6405" w:type="dxa"/>
                <w:tcBorders>
                  <w:top w:val="nil"/>
                  <w:left w:val="nil"/>
                  <w:bottom w:val="nil"/>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Married</w:t>
                </w:r>
              </w:p>
            </w:tc>
            <w:tc>
              <w:tcPr>
                <w:tcW w:w="1350" w:type="dxa"/>
                <w:tcBorders>
                  <w:top w:val="nil"/>
                  <w:left w:val="nil"/>
                  <w:bottom w:val="nil"/>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55</w:t>
                </w:r>
              </w:p>
            </w:tc>
            <w:tc>
              <w:tcPr>
                <w:tcW w:w="900" w:type="dxa"/>
                <w:tcBorders>
                  <w:top w:val="nil"/>
                  <w:left w:val="nil"/>
                  <w:bottom w:val="nil"/>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55%</w:t>
                </w:r>
              </w:p>
            </w:tc>
          </w:tr>
          <w:tr w:rsidR="00AE2E46">
            <w:trPr>
              <w:cantSplit/>
            </w:trPr>
            <w:tc>
              <w:tcPr>
                <w:tcW w:w="6405" w:type="dxa"/>
                <w:tcBorders>
                  <w:top w:val="nil"/>
                  <w:left w:val="nil"/>
                  <w:bottom w:val="single" w:sz="5" w:space="0" w:color="000000"/>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Single</w:t>
                </w:r>
              </w:p>
            </w:tc>
            <w:tc>
              <w:tcPr>
                <w:tcW w:w="1350" w:type="dxa"/>
                <w:tcBorders>
                  <w:top w:val="nil"/>
                  <w:left w:val="nil"/>
                  <w:bottom w:val="single" w:sz="5" w:space="0" w:color="000000"/>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45</w:t>
                </w:r>
              </w:p>
            </w:tc>
            <w:tc>
              <w:tcPr>
                <w:tcW w:w="900" w:type="dxa"/>
                <w:tcBorders>
                  <w:top w:val="nil"/>
                  <w:left w:val="nil"/>
                  <w:bottom w:val="single" w:sz="5" w:space="0" w:color="000000"/>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45%</w:t>
                </w:r>
              </w:p>
            </w:tc>
          </w:tr>
          <w:tr w:rsidR="00AE2E46">
            <w:trPr>
              <w:cantSplit/>
            </w:trPr>
            <w:tc>
              <w:tcPr>
                <w:tcW w:w="6405"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Educational Level of respondent</w:t>
                </w:r>
              </w:p>
            </w:tc>
            <w:tc>
              <w:tcPr>
                <w:tcW w:w="1350"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c>
              <w:tcPr>
                <w:tcW w:w="900"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College</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74</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74%</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Junior High School</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18</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18%</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Senior High School</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6</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6%</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Elementary School</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2</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2%</w:t>
                </w:r>
              </w:p>
            </w:tc>
          </w:tr>
          <w:tr w:rsidR="00AE2E46">
            <w:trPr>
              <w:cantSplit/>
            </w:trPr>
            <w:tc>
              <w:tcPr>
                <w:tcW w:w="6405"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Occupation</w:t>
                </w:r>
              </w:p>
            </w:tc>
            <w:tc>
              <w:tcPr>
                <w:tcW w:w="1350"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c>
              <w:tcPr>
                <w:tcW w:w="900"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Unemployed</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61</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61%</w:t>
                </w:r>
              </w:p>
            </w:tc>
          </w:tr>
          <w:tr w:rsidR="00AE2E46">
            <w:trPr>
              <w:cantSplit/>
            </w:trPr>
            <w:tc>
              <w:tcPr>
                <w:tcW w:w="6405"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Employed</w:t>
                </w:r>
              </w:p>
            </w:tc>
            <w:tc>
              <w:tcPr>
                <w:tcW w:w="135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39</w:t>
                </w:r>
              </w:p>
            </w:tc>
            <w:tc>
              <w:tcPr>
                <w:tcW w:w="90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39%</w:t>
                </w:r>
              </w:p>
            </w:tc>
          </w:tr>
          <w:tr w:rsidR="00AE2E46">
            <w:trPr>
              <w:cantSplit/>
            </w:trPr>
            <w:tc>
              <w:tcPr>
                <w:tcW w:w="6405"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Medical Illnesses</w:t>
                </w:r>
              </w:p>
            </w:tc>
            <w:tc>
              <w:tcPr>
                <w:tcW w:w="1350"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c>
              <w:tcPr>
                <w:tcW w:w="900"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None</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57</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57%</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Others</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29</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29%</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Hypertension</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8</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8%</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Heart diseases</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3</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3%</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Diabetes mellitus</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2</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2%</w:t>
                </w:r>
              </w:p>
            </w:tc>
          </w:tr>
          <w:tr w:rsidR="00AE2E46">
            <w:trPr>
              <w:cantSplit/>
            </w:trPr>
            <w:tc>
              <w:tcPr>
                <w:tcW w:w="6405"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Lung diseases  </w:t>
                </w:r>
              </w:p>
            </w:tc>
            <w:tc>
              <w:tcPr>
                <w:tcW w:w="135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1</w:t>
                </w:r>
              </w:p>
            </w:tc>
            <w:tc>
              <w:tcPr>
                <w:tcW w:w="90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1%</w:t>
                </w:r>
              </w:p>
            </w:tc>
          </w:tr>
          <w:tr w:rsidR="00AE2E46">
            <w:trPr>
              <w:cantSplit/>
            </w:trPr>
            <w:tc>
              <w:tcPr>
                <w:tcW w:w="6405"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Number of Pregnancies (Gravidity)</w:t>
                </w:r>
              </w:p>
            </w:tc>
            <w:tc>
              <w:tcPr>
                <w:tcW w:w="1350"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c>
              <w:tcPr>
                <w:tcW w:w="900"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1 </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55</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55%</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2</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21</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21%</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3</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10</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10%</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4</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8</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8%</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5 or more</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5</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5%</w:t>
                </w:r>
              </w:p>
            </w:tc>
          </w:tr>
          <w:tr w:rsidR="00AE2E46">
            <w:trPr>
              <w:cantSplit/>
            </w:trPr>
            <w:tc>
              <w:tcPr>
                <w:tcW w:w="6405"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0</w:t>
                </w:r>
              </w:p>
            </w:tc>
            <w:tc>
              <w:tcPr>
                <w:tcW w:w="135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1</w:t>
                </w:r>
              </w:p>
            </w:tc>
            <w:tc>
              <w:tcPr>
                <w:tcW w:w="90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1%</w:t>
                </w:r>
              </w:p>
            </w:tc>
          </w:tr>
          <w:tr w:rsidR="00AE2E46">
            <w:trPr>
              <w:cantSplit/>
            </w:trPr>
            <w:tc>
              <w:tcPr>
                <w:tcW w:w="6405"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Number of Living Children (Parity)</w:t>
                </w:r>
              </w:p>
            </w:tc>
            <w:tc>
              <w:tcPr>
                <w:tcW w:w="1350"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c>
              <w:tcPr>
                <w:tcW w:w="900"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lastRenderedPageBreak/>
                  <w:t xml:space="preserve">              1</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54</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54%</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2</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25</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25%</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3</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14</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14%</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4</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4</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4%</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5 or more</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2</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2%</w:t>
                </w:r>
              </w:p>
            </w:tc>
          </w:tr>
          <w:tr w:rsidR="00AE2E46">
            <w:trPr>
              <w:cantSplit/>
            </w:trPr>
            <w:tc>
              <w:tcPr>
                <w:tcW w:w="6405"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0</w:t>
                </w:r>
              </w:p>
            </w:tc>
            <w:tc>
              <w:tcPr>
                <w:tcW w:w="135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1</w:t>
                </w:r>
              </w:p>
            </w:tc>
            <w:tc>
              <w:tcPr>
                <w:tcW w:w="90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1%</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Type of Delivery</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Spontaneous vaginal delivery</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89</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89%</w:t>
                </w:r>
              </w:p>
            </w:tc>
          </w:tr>
          <w:tr w:rsidR="00AE2E46">
            <w:trPr>
              <w:cantSplit/>
            </w:trPr>
            <w:tc>
              <w:tcPr>
                <w:tcW w:w="6405"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Cesarean Section</w:t>
                </w:r>
              </w:p>
            </w:tc>
            <w:tc>
              <w:tcPr>
                <w:tcW w:w="135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11</w:t>
                </w:r>
              </w:p>
            </w:tc>
            <w:tc>
              <w:tcPr>
                <w:tcW w:w="90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11%</w:t>
                </w:r>
              </w:p>
            </w:tc>
          </w:tr>
          <w:tr w:rsidR="00AE2E46">
            <w:trPr>
              <w:cantSplit/>
            </w:trPr>
            <w:tc>
              <w:tcPr>
                <w:tcW w:w="6405"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Number of Abortions</w:t>
                </w:r>
              </w:p>
            </w:tc>
            <w:tc>
              <w:tcPr>
                <w:tcW w:w="1350"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c>
              <w:tcPr>
                <w:tcW w:w="900"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0</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90</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90%</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1</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4</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4%</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2</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4</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4%</w:t>
                </w:r>
              </w:p>
            </w:tc>
          </w:tr>
          <w:tr w:rsidR="00AE2E46">
            <w:trPr>
              <w:cantSplit/>
            </w:trPr>
            <w:tc>
              <w:tcPr>
                <w:tcW w:w="6405"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3</w:t>
                </w:r>
              </w:p>
            </w:tc>
            <w:tc>
              <w:tcPr>
                <w:tcW w:w="135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2</w:t>
                </w:r>
              </w:p>
            </w:tc>
            <w:tc>
              <w:tcPr>
                <w:tcW w:w="90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2%</w:t>
                </w:r>
              </w:p>
            </w:tc>
          </w:tr>
          <w:tr w:rsidR="00AE2E46">
            <w:trPr>
              <w:cantSplit/>
            </w:trPr>
            <w:tc>
              <w:tcPr>
                <w:tcW w:w="6405"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Maternal Complications during pregnancy</w:t>
                </w:r>
              </w:p>
            </w:tc>
            <w:tc>
              <w:tcPr>
                <w:tcW w:w="1350"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c>
              <w:tcPr>
                <w:tcW w:w="900" w:type="dxa"/>
                <w:tcBorders>
                  <w:top w:val="single" w:sz="5" w:space="0" w:color="000000"/>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Others</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49</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51%</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Hyperemesis Gravidarium (Severe nausea and vomiting)</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21</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21.9%</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Preeclampsia (High Blood Pressure)</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12</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12%</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None</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11</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11%</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Gestational Diabetes (High blood sugar in pregnancy)</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2</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2.1%</w:t>
                </w:r>
              </w:p>
            </w:tc>
          </w:tr>
          <w:tr w:rsidR="00AE2E46">
            <w:trPr>
              <w:cantSplit/>
            </w:trPr>
            <w:tc>
              <w:tcPr>
                <w:tcW w:w="6405"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Vaginal bleeding</w:t>
                </w:r>
              </w:p>
            </w:tc>
            <w:tc>
              <w:tcPr>
                <w:tcW w:w="135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1</w:t>
                </w:r>
              </w:p>
            </w:tc>
            <w:tc>
              <w:tcPr>
                <w:tcW w:w="90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1%</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Previous Pregnancies, going to Antenatal Clinics</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AE2E46">
                <w:pPr>
                  <w:jc w:val="center"/>
                  <w:rPr>
                    <w:rFonts w:ascii="Arial" w:eastAsia="Arial" w:hAnsi="Arial" w:cs="Arial"/>
                  </w:rPr>
                </w:pP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Always (complete recommended visits</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90</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90%</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Often (missed 1-2 visits)</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3</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3%</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Sometimes (attended only half of suggested visits)</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3</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3%</w:t>
                </w:r>
              </w:p>
            </w:tc>
          </w:tr>
          <w:tr w:rsidR="00AE2E46">
            <w:trPr>
              <w:cantSplit/>
            </w:trPr>
            <w:tc>
              <w:tcPr>
                <w:tcW w:w="6405"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Never</w:t>
                </w:r>
              </w:p>
            </w:tc>
            <w:tc>
              <w:tcPr>
                <w:tcW w:w="135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3</w:t>
                </w:r>
              </w:p>
            </w:tc>
            <w:tc>
              <w:tcPr>
                <w:tcW w:w="900" w:type="dxa"/>
                <w:tcBorders>
                  <w:top w:val="single" w:sz="5" w:space="0" w:color="FFFFFF"/>
                  <w:left w:val="nil"/>
                  <w:bottom w:val="single" w:sz="5" w:space="0" w:color="FFFFFF"/>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3%</w:t>
                </w:r>
              </w:p>
            </w:tc>
          </w:tr>
          <w:tr w:rsidR="00AE2E46">
            <w:trPr>
              <w:cantSplit/>
            </w:trPr>
            <w:tc>
              <w:tcPr>
                <w:tcW w:w="6405"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816825">
                <w:pPr>
                  <w:spacing w:line="276" w:lineRule="auto"/>
                  <w:rPr>
                    <w:rFonts w:ascii="Arial" w:eastAsia="Arial" w:hAnsi="Arial" w:cs="Arial"/>
                  </w:rPr>
                </w:pPr>
                <w:r>
                  <w:rPr>
                    <w:rFonts w:ascii="Arial" w:eastAsia="Arial" w:hAnsi="Arial" w:cs="Arial"/>
                  </w:rPr>
                  <w:t xml:space="preserve">              Rarely (1-2 visits only)</w:t>
                </w:r>
              </w:p>
            </w:tc>
            <w:tc>
              <w:tcPr>
                <w:tcW w:w="135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1</w:t>
                </w:r>
              </w:p>
            </w:tc>
            <w:tc>
              <w:tcPr>
                <w:tcW w:w="900" w:type="dxa"/>
                <w:tcBorders>
                  <w:top w:val="single" w:sz="5" w:space="0" w:color="FFFFFF"/>
                  <w:left w:val="nil"/>
                  <w:bottom w:val="single" w:sz="5" w:space="0" w:color="000000"/>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1%</w:t>
                </w:r>
              </w:p>
            </w:tc>
          </w:tr>
          <w:tr w:rsidR="00AE2E46">
            <w:trPr>
              <w:cantSplit/>
            </w:trPr>
            <w:tc>
              <w:tcPr>
                <w:tcW w:w="6405" w:type="dxa"/>
                <w:tcBorders>
                  <w:top w:val="single" w:sz="5" w:space="0" w:color="000000"/>
                  <w:left w:val="nil"/>
                  <w:bottom w:val="single" w:sz="5" w:space="0" w:color="000000"/>
                  <w:right w:val="nil"/>
                </w:tcBorders>
                <w:tcMar>
                  <w:top w:w="0" w:type="dxa"/>
                  <w:left w:w="0" w:type="dxa"/>
                  <w:bottom w:w="0" w:type="dxa"/>
                  <w:right w:w="0" w:type="dxa"/>
                </w:tcMar>
                <w:vAlign w:val="bottom"/>
              </w:tcPr>
              <w:p w:rsidR="00AE2E46" w:rsidRDefault="00816825">
                <w:pPr>
                  <w:spacing w:line="276" w:lineRule="auto"/>
                  <w:jc w:val="center"/>
                  <w:rPr>
                    <w:rFonts w:ascii="Arial" w:eastAsia="Arial" w:hAnsi="Arial" w:cs="Arial"/>
                  </w:rPr>
                </w:pPr>
                <w:r>
                  <w:rPr>
                    <w:rFonts w:ascii="Arial" w:eastAsia="Arial" w:hAnsi="Arial" w:cs="Arial"/>
                  </w:rPr>
                  <w:t>Total</w:t>
                </w:r>
              </w:p>
            </w:tc>
            <w:tc>
              <w:tcPr>
                <w:tcW w:w="1350" w:type="dxa"/>
                <w:tcBorders>
                  <w:top w:val="single" w:sz="5" w:space="0" w:color="000000"/>
                  <w:left w:val="nil"/>
                  <w:bottom w:val="single" w:sz="5" w:space="0" w:color="000000"/>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100</w:t>
                </w:r>
              </w:p>
            </w:tc>
            <w:tc>
              <w:tcPr>
                <w:tcW w:w="900" w:type="dxa"/>
                <w:tcBorders>
                  <w:top w:val="single" w:sz="5" w:space="0" w:color="000000"/>
                  <w:left w:val="nil"/>
                  <w:bottom w:val="single" w:sz="5" w:space="0" w:color="000000"/>
                  <w:right w:val="nil"/>
                </w:tcBorders>
                <w:tcMar>
                  <w:top w:w="0" w:type="dxa"/>
                  <w:left w:w="0" w:type="dxa"/>
                  <w:bottom w:w="0" w:type="dxa"/>
                  <w:right w:w="0" w:type="dxa"/>
                </w:tcMar>
                <w:vAlign w:val="bottom"/>
              </w:tcPr>
              <w:p w:rsidR="00AE2E46" w:rsidRDefault="00816825">
                <w:pPr>
                  <w:jc w:val="center"/>
                  <w:rPr>
                    <w:rFonts w:ascii="Arial" w:eastAsia="Arial" w:hAnsi="Arial" w:cs="Arial"/>
                  </w:rPr>
                </w:pPr>
                <w:r>
                  <w:rPr>
                    <w:rFonts w:ascii="Arial" w:eastAsia="Arial" w:hAnsi="Arial" w:cs="Arial"/>
                  </w:rPr>
                  <w:t>100%</w:t>
                </w:r>
              </w:p>
            </w:tc>
          </w:tr>
        </w:tbl>
      </w:sdtContent>
    </w:sdt>
    <w:p w:rsidR="00AE2E46" w:rsidRDefault="00AE2E46">
      <w:pPr>
        <w:rPr>
          <w:b/>
          <w:bCs/>
          <w:sz w:val="22"/>
          <w:szCs w:val="22"/>
        </w:rPr>
      </w:pPr>
    </w:p>
    <w:p w:rsidR="00AE2E46" w:rsidRDefault="00816825">
      <w:pPr>
        <w:rPr>
          <w:b/>
          <w:bCs/>
          <w:sz w:val="22"/>
          <w:szCs w:val="22"/>
        </w:rPr>
      </w:pPr>
      <w:r>
        <w:rPr>
          <w:b/>
          <w:bCs/>
          <w:sz w:val="22"/>
          <w:szCs w:val="22"/>
        </w:rPr>
        <w:t>3.1.2 Level of Attitude of Pregnant Women Toward Prenatal Care</w:t>
      </w:r>
    </w:p>
    <w:p w:rsidR="00AE2E46" w:rsidRDefault="00AE2E46"/>
    <w:p w:rsidR="00AE2E46" w:rsidRDefault="00816825">
      <w:pPr>
        <w:jc w:val="both"/>
        <w:rPr>
          <w:rFonts w:ascii="Arial" w:eastAsia="Arial" w:hAnsi="Arial" w:cs="Arial"/>
        </w:rPr>
      </w:pPr>
      <w:r>
        <w:rPr>
          <w:rFonts w:ascii="Arial" w:eastAsia="Arial" w:hAnsi="Arial" w:cs="Arial"/>
        </w:rPr>
        <w:t xml:space="preserve">Table 2a shows the distribution of mean responses on attitude toward prenatal care. The overall mean score was 4.73, indicating that the respondents had a highly positive attitude toward prenatal care. Most respondents strongly agreed that </w:t>
      </w:r>
      <w:r>
        <w:rPr>
          <w:rFonts w:ascii="Arial" w:eastAsia="Arial" w:hAnsi="Arial" w:cs="Arial"/>
          <w:highlight w:val="yellow"/>
        </w:rPr>
        <w:t xml:space="preserve">ANC contact </w:t>
      </w:r>
      <w:r>
        <w:rPr>
          <w:rFonts w:ascii="Arial" w:eastAsia="Arial" w:hAnsi="Arial" w:cs="Arial"/>
        </w:rPr>
        <w:t xml:space="preserve">are </w:t>
      </w:r>
      <w:r>
        <w:rPr>
          <w:rFonts w:ascii="Arial" w:eastAsia="Arial" w:hAnsi="Arial" w:cs="Arial"/>
        </w:rPr>
        <w:t>necessary (M = 4.93), that ultrasound monitoring is important for fetal growth (M = 4.85), and that blood pressure monitoring during pregnancy is essential (M = 4.83). However, the lowest mean score was obtained for the statement “Home delivery is better t</w:t>
      </w:r>
      <w:r>
        <w:rPr>
          <w:rFonts w:ascii="Arial" w:eastAsia="Arial" w:hAnsi="Arial" w:cs="Arial"/>
        </w:rPr>
        <w:t>han hospital delivery” (M = 4.19), which was reverse-coded, suggesting that most respondents disagreed with this idea and preferred facility-based delivery for safety. Overall, these results indicate strong awareness and positive perception toward prenatal</w:t>
      </w:r>
      <w:r>
        <w:rPr>
          <w:rFonts w:ascii="Arial" w:eastAsia="Arial" w:hAnsi="Arial" w:cs="Arial"/>
        </w:rPr>
        <w:t xml:space="preserve"> care among pregnant women in the study area, consistent with findings that positive maternal attitudes support safer pregnancy behaviors (Bashir et al., 2023). </w:t>
      </w:r>
    </w:p>
    <w:p w:rsidR="00AE2E46" w:rsidRDefault="00AE2E46">
      <w:pPr>
        <w:rPr>
          <w:rFonts w:ascii="Arial" w:eastAsia="Arial" w:hAnsi="Arial" w:cs="Arial"/>
        </w:rPr>
      </w:pPr>
    </w:p>
    <w:p w:rsidR="00AE2E46" w:rsidRDefault="00816825">
      <w:pPr>
        <w:rPr>
          <w:rFonts w:ascii="Arial" w:eastAsia="Arial" w:hAnsi="Arial" w:cs="Arial"/>
          <w:b/>
          <w:bCs/>
        </w:rPr>
      </w:pPr>
      <w:r>
        <w:rPr>
          <w:rFonts w:ascii="Arial" w:eastAsia="Arial" w:hAnsi="Arial" w:cs="Arial"/>
          <w:b/>
          <w:bCs/>
        </w:rPr>
        <w:t xml:space="preserve">Table 2a. Distribution of mean responses on Attitude towards Prenatal Care, specific </w:t>
      </w:r>
      <w:r>
        <w:rPr>
          <w:rFonts w:ascii="Arial" w:eastAsia="Arial" w:hAnsi="Arial" w:cs="Arial"/>
          <w:b/>
          <w:bCs/>
        </w:rPr>
        <w:t>indicators. (n = 100)</w:t>
      </w:r>
    </w:p>
    <w:p w:rsidR="00AE2E46" w:rsidRDefault="00AE2E46">
      <w:pPr>
        <w:rPr>
          <w:rFonts w:ascii="Arial" w:eastAsia="Arial" w:hAnsi="Arial" w:cs="Arial"/>
        </w:rPr>
      </w:pPr>
    </w:p>
    <w:sdt>
      <w:sdtPr>
        <w:tag w:val="goog_rdk_1"/>
        <w:id w:val="-1221147973"/>
        <w:lock w:val="contentLocked"/>
      </w:sdtPr>
      <w:sdtEndPr/>
      <w:sdtContent>
        <w:tbl>
          <w:tblPr>
            <w:tblStyle w:val="a7"/>
            <w:tblW w:w="8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40"/>
            <w:gridCol w:w="825"/>
            <w:gridCol w:w="1335"/>
          </w:tblGrid>
          <w:tr w:rsidR="00AE2E46">
            <w:trPr>
              <w:cantSplit/>
            </w:trPr>
            <w:tc>
              <w:tcPr>
                <w:tcW w:w="6540" w:type="dxa"/>
                <w:tcBorders>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b/>
                    <w:bCs/>
                  </w:rPr>
                </w:pPr>
                <w:r>
                  <w:rPr>
                    <w:rFonts w:ascii="Arial" w:eastAsia="Arial" w:hAnsi="Arial" w:cs="Arial"/>
                    <w:b/>
                    <w:bCs/>
                  </w:rPr>
                  <w:t>Attitude indicators towards Prenatal Care</w:t>
                </w:r>
              </w:p>
            </w:tc>
            <w:tc>
              <w:tcPr>
                <w:tcW w:w="825" w:type="dxa"/>
                <w:tcBorders>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b/>
                    <w:bCs/>
                  </w:rPr>
                </w:pPr>
                <w:r>
                  <w:rPr>
                    <w:rFonts w:ascii="Arial" w:eastAsia="Arial" w:hAnsi="Arial" w:cs="Arial"/>
                    <w:b/>
                    <w:bCs/>
                  </w:rPr>
                  <w:t xml:space="preserve">Mean </w:t>
                </w:r>
              </w:p>
            </w:tc>
            <w:tc>
              <w:tcPr>
                <w:tcW w:w="1335" w:type="dxa"/>
                <w:tcBorders>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b/>
                    <w:bCs/>
                  </w:rPr>
                </w:pPr>
                <w:r>
                  <w:rPr>
                    <w:rFonts w:ascii="Arial" w:eastAsia="Arial" w:hAnsi="Arial" w:cs="Arial"/>
                    <w:b/>
                    <w:bCs/>
                  </w:rPr>
                  <w:t>Standard Deviation</w:t>
                </w:r>
              </w:p>
            </w:tc>
          </w:tr>
          <w:tr w:rsidR="00AE2E46">
            <w:trPr>
              <w:cantSplit/>
              <w:trHeight w:val="267"/>
            </w:trPr>
            <w:tc>
              <w:tcPr>
                <w:tcW w:w="6540" w:type="dxa"/>
                <w:tcBorders>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Antenatal checkup check up is necessary</w:t>
                </w:r>
              </w:p>
            </w:tc>
            <w:tc>
              <w:tcPr>
                <w:tcW w:w="825" w:type="dxa"/>
                <w:tcBorders>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4.93</w:t>
                </w:r>
              </w:p>
            </w:tc>
            <w:tc>
              <w:tcPr>
                <w:tcW w:w="1335" w:type="dxa"/>
                <w:tcBorders>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0.256</w:t>
                </w:r>
              </w:p>
            </w:tc>
          </w:tr>
          <w:tr w:rsidR="00AE2E46">
            <w:trPr>
              <w:cantSplit/>
              <w:trHeight w:val="267"/>
            </w:trPr>
            <w:tc>
              <w:tcPr>
                <w:tcW w:w="654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USG (ultrasound) as advice by doctor to monitor fetal growth</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4.85</w:t>
                </w:r>
              </w:p>
            </w:tc>
            <w:tc>
              <w:tcPr>
                <w:tcW w:w="13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0.386</w:t>
                </w:r>
              </w:p>
            </w:tc>
          </w:tr>
          <w:tr w:rsidR="00AE2E46">
            <w:trPr>
              <w:cantSplit/>
              <w:trHeight w:val="267"/>
            </w:trPr>
            <w:tc>
              <w:tcPr>
                <w:tcW w:w="654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Blood pressure should be checked</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4.83</w:t>
                </w:r>
              </w:p>
            </w:tc>
            <w:tc>
              <w:tcPr>
                <w:tcW w:w="13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0.428</w:t>
                </w:r>
              </w:p>
            </w:tc>
          </w:tr>
          <w:tr w:rsidR="00AE2E46">
            <w:trPr>
              <w:cantSplit/>
              <w:trHeight w:val="267"/>
            </w:trPr>
            <w:tc>
              <w:tcPr>
                <w:tcW w:w="654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Supplying of iron and folic acid is good for the mother and the fetus</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4.82</w:t>
                </w:r>
              </w:p>
            </w:tc>
            <w:tc>
              <w:tcPr>
                <w:tcW w:w="13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0.411</w:t>
                </w:r>
              </w:p>
            </w:tc>
          </w:tr>
          <w:tr w:rsidR="00AE2E46">
            <w:trPr>
              <w:cantSplit/>
              <w:trHeight w:val="267"/>
            </w:trPr>
            <w:tc>
              <w:tcPr>
                <w:tcW w:w="6540"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Alcohol consumption during pregnancy is good for fetus*</w:t>
                </w:r>
              </w:p>
            </w:tc>
            <w:tc>
              <w:tcPr>
                <w:tcW w:w="825"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4.82</w:t>
                </w:r>
              </w:p>
            </w:tc>
            <w:tc>
              <w:tcPr>
                <w:tcW w:w="1335"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0.642</w:t>
                </w:r>
              </w:p>
            </w:tc>
          </w:tr>
          <w:tr w:rsidR="00AE2E46">
            <w:trPr>
              <w:cantSplit/>
              <w:trHeight w:val="267"/>
            </w:trPr>
            <w:tc>
              <w:tcPr>
                <w:tcW w:w="654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ANC follow up is good</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4.77</w:t>
                </w:r>
              </w:p>
            </w:tc>
            <w:tc>
              <w:tcPr>
                <w:tcW w:w="13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0.548</w:t>
                </w:r>
              </w:p>
            </w:tc>
          </w:tr>
          <w:tr w:rsidR="00AE2E46">
            <w:trPr>
              <w:cantSplit/>
              <w:trHeight w:val="267"/>
            </w:trPr>
            <w:tc>
              <w:tcPr>
                <w:tcW w:w="654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Smoking does not cause harm to fetus*</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4.75</w:t>
                </w:r>
              </w:p>
            </w:tc>
            <w:tc>
              <w:tcPr>
                <w:tcW w:w="13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0.783</w:t>
                </w:r>
              </w:p>
            </w:tc>
          </w:tr>
          <w:tr w:rsidR="00AE2E46">
            <w:trPr>
              <w:cantSplit/>
              <w:trHeight w:val="297"/>
            </w:trPr>
            <w:tc>
              <w:tcPr>
                <w:tcW w:w="654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 xml:space="preserve">Screening for </w:t>
                </w:r>
                <w:r>
                  <w:rPr>
                    <w:rFonts w:ascii="Arial" w:eastAsia="Arial" w:hAnsi="Arial" w:cs="Arial"/>
                  </w:rPr>
                  <w:t>infections like (HIV, HPV) should ANC check up.</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4.71</w:t>
                </w:r>
              </w:p>
            </w:tc>
            <w:tc>
              <w:tcPr>
                <w:tcW w:w="13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0.624</w:t>
                </w:r>
              </w:p>
            </w:tc>
          </w:tr>
          <w:tr w:rsidR="00AE2E46">
            <w:trPr>
              <w:cantSplit/>
              <w:trHeight w:val="252"/>
            </w:trPr>
            <w:tc>
              <w:tcPr>
                <w:tcW w:w="654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Antenatal booking should be done</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4.70</w:t>
                </w:r>
              </w:p>
            </w:tc>
            <w:tc>
              <w:tcPr>
                <w:tcW w:w="13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0.577</w:t>
                </w:r>
              </w:p>
            </w:tc>
          </w:tr>
          <w:tr w:rsidR="00AE2E46">
            <w:trPr>
              <w:cantSplit/>
            </w:trPr>
            <w:tc>
              <w:tcPr>
                <w:tcW w:w="654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Pregnant women should change dietary habit as advice by doctor</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4.68</w:t>
                </w:r>
              </w:p>
            </w:tc>
            <w:tc>
              <w:tcPr>
                <w:tcW w:w="13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0.566</w:t>
                </w:r>
              </w:p>
            </w:tc>
          </w:tr>
          <w:tr w:rsidR="00AE2E46">
            <w:trPr>
              <w:cantSplit/>
            </w:trPr>
            <w:tc>
              <w:tcPr>
                <w:tcW w:w="654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Home delivery is better than hospital delivery*</w:t>
                </w:r>
              </w:p>
            </w:tc>
            <w:tc>
              <w:tcPr>
                <w:tcW w:w="82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4.19</w:t>
                </w:r>
              </w:p>
            </w:tc>
            <w:tc>
              <w:tcPr>
                <w:tcW w:w="13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0.895</w:t>
                </w:r>
              </w:p>
            </w:tc>
          </w:tr>
          <w:tr w:rsidR="00AE2E46">
            <w:trPr>
              <w:cantSplit/>
            </w:trPr>
            <w:tc>
              <w:tcPr>
                <w:tcW w:w="6540" w:type="dxa"/>
                <w:tcBorders>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Overall Mean</w:t>
                </w:r>
              </w:p>
            </w:tc>
            <w:tc>
              <w:tcPr>
                <w:tcW w:w="825" w:type="dxa"/>
                <w:tcBorders>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4.73</w:t>
                </w:r>
              </w:p>
            </w:tc>
            <w:tc>
              <w:tcPr>
                <w:tcW w:w="1335" w:type="dxa"/>
                <w:tcBorders>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0.335</w:t>
                </w:r>
              </w:p>
            </w:tc>
          </w:tr>
        </w:tbl>
      </w:sdtContent>
    </w:sdt>
    <w:p w:rsidR="00AE2E46" w:rsidRDefault="00816825">
      <w:pPr>
        <w:rPr>
          <w:rFonts w:ascii="Arial" w:eastAsia="Arial" w:hAnsi="Arial" w:cs="Arial"/>
          <w:i/>
          <w:iCs/>
        </w:rPr>
      </w:pPr>
      <w:r>
        <w:rPr>
          <w:rFonts w:ascii="Arial" w:eastAsia="Arial" w:hAnsi="Arial" w:cs="Arial"/>
          <w:i/>
          <w:iCs/>
        </w:rPr>
        <w:t>* items are reverse scored</w:t>
      </w:r>
    </w:p>
    <w:p w:rsidR="00AE2E46" w:rsidRDefault="00AE2E46">
      <w:pPr>
        <w:rPr>
          <w:rFonts w:ascii="Arial" w:eastAsia="Arial" w:hAnsi="Arial" w:cs="Arial"/>
        </w:rPr>
      </w:pPr>
    </w:p>
    <w:p w:rsidR="00AE2E46" w:rsidRDefault="00816825">
      <w:pPr>
        <w:rPr>
          <w:rFonts w:ascii="Arial" w:eastAsia="Arial" w:hAnsi="Arial" w:cs="Arial"/>
        </w:rPr>
      </w:pPr>
      <w:r>
        <w:rPr>
          <w:rFonts w:ascii="Arial" w:eastAsia="Arial" w:hAnsi="Arial" w:cs="Arial"/>
        </w:rPr>
        <w:t>Furthermore, Table 2b shows that 89% of respondents had a good attitude toward prenatal care, while only 11% demonstrated poor attitude, indicating that most pregnant women in the community possess strong cognitive</w:t>
      </w:r>
      <w:r>
        <w:rPr>
          <w:rFonts w:ascii="Arial" w:eastAsia="Arial" w:hAnsi="Arial" w:cs="Arial"/>
        </w:rPr>
        <w:t xml:space="preserve"> and behavioral acceptance of prenatal care practices.  </w:t>
      </w:r>
    </w:p>
    <w:p w:rsidR="00AE2E46" w:rsidRDefault="00AE2E46">
      <w:pPr>
        <w:rPr>
          <w:rFonts w:ascii="Arial" w:eastAsia="Arial" w:hAnsi="Arial" w:cs="Arial"/>
        </w:rPr>
      </w:pPr>
    </w:p>
    <w:p w:rsidR="00AE2E46" w:rsidRDefault="00816825">
      <w:pPr>
        <w:rPr>
          <w:rFonts w:ascii="Arial" w:eastAsia="Arial" w:hAnsi="Arial" w:cs="Arial"/>
          <w:b/>
          <w:bCs/>
        </w:rPr>
      </w:pPr>
      <w:r>
        <w:rPr>
          <w:rFonts w:ascii="Arial" w:eastAsia="Arial" w:hAnsi="Arial" w:cs="Arial"/>
          <w:b/>
          <w:bCs/>
        </w:rPr>
        <w:t>Table 2b. Distribution of the level of attitude towards prenatal care of pregnant women. (n = 100)</w:t>
      </w:r>
    </w:p>
    <w:p w:rsidR="00AE2E46" w:rsidRDefault="00AE2E46">
      <w:pPr>
        <w:rPr>
          <w:rFonts w:ascii="Arial" w:eastAsia="Arial" w:hAnsi="Arial" w:cs="Arial"/>
          <w:b/>
          <w:bCs/>
        </w:rPr>
      </w:pPr>
    </w:p>
    <w:sdt>
      <w:sdtPr>
        <w:tag w:val="goog_rdk_2"/>
        <w:id w:val="646877755"/>
        <w:lock w:val="contentLocked"/>
      </w:sdtPr>
      <w:sdtEndPr/>
      <w:sdtContent>
        <w:tbl>
          <w:tblPr>
            <w:tblStyle w:val="a8"/>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30"/>
            <w:gridCol w:w="1335"/>
            <w:gridCol w:w="1275"/>
          </w:tblGrid>
          <w:tr w:rsidR="00AE2E46">
            <w:trPr>
              <w:trHeight w:val="144"/>
            </w:trPr>
            <w:tc>
              <w:tcPr>
                <w:tcW w:w="6030" w:type="dxa"/>
                <w:tcBorders>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b/>
                    <w:bCs/>
                  </w:rPr>
                </w:pPr>
                <w:r>
                  <w:rPr>
                    <w:rFonts w:ascii="Arial" w:eastAsia="Arial" w:hAnsi="Arial" w:cs="Arial"/>
                    <w:b/>
                    <w:bCs/>
                  </w:rPr>
                  <w:t>Level of Attitude</w:t>
                </w:r>
              </w:p>
            </w:tc>
            <w:tc>
              <w:tcPr>
                <w:tcW w:w="1335" w:type="dxa"/>
                <w:tcBorders>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f</w:t>
                </w:r>
              </w:p>
            </w:tc>
            <w:tc>
              <w:tcPr>
                <w:tcW w:w="1275" w:type="dxa"/>
                <w:tcBorders>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w:t>
                </w:r>
              </w:p>
            </w:tc>
          </w:tr>
          <w:tr w:rsidR="00AE2E46">
            <w:trPr>
              <w:trHeight w:val="144"/>
            </w:trPr>
            <w:tc>
              <w:tcPr>
                <w:tcW w:w="6030" w:type="dxa"/>
                <w:tcBorders>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Good Attitude</w:t>
                </w:r>
              </w:p>
            </w:tc>
            <w:tc>
              <w:tcPr>
                <w:tcW w:w="1335" w:type="dxa"/>
                <w:tcBorders>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89</w:t>
                </w:r>
              </w:p>
            </w:tc>
            <w:tc>
              <w:tcPr>
                <w:tcW w:w="1275" w:type="dxa"/>
                <w:tcBorders>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89%</w:t>
                </w:r>
              </w:p>
            </w:tc>
          </w:tr>
          <w:tr w:rsidR="00AE2E46">
            <w:trPr>
              <w:trHeight w:val="144"/>
            </w:trPr>
            <w:tc>
              <w:tcPr>
                <w:tcW w:w="6030"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Poor Attitude</w:t>
                </w:r>
              </w:p>
            </w:tc>
            <w:tc>
              <w:tcPr>
                <w:tcW w:w="1335"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11</w:t>
                </w:r>
              </w:p>
            </w:tc>
            <w:tc>
              <w:tcPr>
                <w:tcW w:w="1275"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11%</w:t>
                </w:r>
              </w:p>
            </w:tc>
          </w:tr>
          <w:tr w:rsidR="00AE2E46">
            <w:tc>
              <w:tcPr>
                <w:tcW w:w="6030" w:type="dxa"/>
                <w:tcBorders>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Total</w:t>
                </w:r>
              </w:p>
            </w:tc>
            <w:tc>
              <w:tcPr>
                <w:tcW w:w="1335" w:type="dxa"/>
                <w:tcBorders>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100</w:t>
                </w:r>
              </w:p>
            </w:tc>
            <w:tc>
              <w:tcPr>
                <w:tcW w:w="1275" w:type="dxa"/>
                <w:tcBorders>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100%</w:t>
                </w:r>
              </w:p>
            </w:tc>
          </w:tr>
        </w:tbl>
      </w:sdtContent>
    </w:sdt>
    <w:p w:rsidR="00AE2E46" w:rsidRDefault="00816825">
      <w:pPr>
        <w:rPr>
          <w:rFonts w:ascii="Arial" w:eastAsia="Arial" w:hAnsi="Arial" w:cs="Arial"/>
        </w:rPr>
      </w:pPr>
      <w:sdt>
        <w:sdtPr>
          <w:tag w:val="goog_rdk_3"/>
          <w:id w:val="-395352955"/>
        </w:sdtPr>
        <w:sdtEndPr/>
        <w:sdtContent>
          <w:r>
            <w:rPr>
              <w:rFonts w:ascii="Arial Unicode MS" w:eastAsia="Arial Unicode MS" w:hAnsi="Arial Unicode MS" w:cs="Arial Unicode MS"/>
            </w:rPr>
            <w:t xml:space="preserve">Legend: Good </w:t>
          </w:r>
          <w:r>
            <w:rPr>
              <w:rFonts w:ascii="Arial Unicode MS" w:eastAsia="Arial Unicode MS" w:hAnsi="Arial Unicode MS" w:cs="Arial Unicode MS"/>
            </w:rPr>
            <w:t>(≥70%), Poor (&lt;70%)</w:t>
          </w:r>
        </w:sdtContent>
      </w:sdt>
    </w:p>
    <w:p w:rsidR="00AE2E46" w:rsidRDefault="00AE2E46">
      <w:pPr>
        <w:rPr>
          <w:b/>
          <w:bCs/>
        </w:rPr>
      </w:pPr>
    </w:p>
    <w:p w:rsidR="00AE2E46" w:rsidRDefault="00816825">
      <w:pPr>
        <w:rPr>
          <w:b/>
          <w:bCs/>
          <w:sz w:val="22"/>
          <w:szCs w:val="22"/>
        </w:rPr>
      </w:pPr>
      <w:r>
        <w:rPr>
          <w:b/>
          <w:bCs/>
          <w:sz w:val="22"/>
          <w:szCs w:val="22"/>
        </w:rPr>
        <w:t>3.1.3 Extent of Compliance of Attitude of Pregnant Women Toward Prenatal Care</w:t>
      </w:r>
    </w:p>
    <w:p w:rsidR="00AE2E46" w:rsidRDefault="00AE2E46">
      <w:pPr>
        <w:rPr>
          <w:b/>
          <w:bCs/>
        </w:rPr>
      </w:pPr>
    </w:p>
    <w:p w:rsidR="00AE2E46" w:rsidRDefault="00816825">
      <w:sdt>
        <w:sdtPr>
          <w:tag w:val="goog_rdk_4"/>
          <w:id w:val="-1321558274"/>
        </w:sdtPr>
        <w:sdtEndPr/>
        <w:sdtContent>
          <w:r>
            <w:rPr>
              <w:rFonts w:ascii="Arial Unicode MS" w:eastAsia="Arial Unicode MS" w:hAnsi="Arial Unicode MS" w:cs="Arial Unicode MS"/>
            </w:rPr>
            <w:t xml:space="preserve">Table 3 presents the compliance of respondents with prenatal care practices across five areas: prenatal visits, laboratory procedures, immunization, micronutrient supplementation, and dental checkups. Overall, the respondents demonstrated good compliance, </w:t>
          </w:r>
          <w:r>
            <w:rPr>
              <w:rFonts w:ascii="Arial Unicode MS" w:eastAsia="Arial Unicode MS" w:hAnsi="Arial Unicode MS" w:cs="Arial Unicode MS"/>
            </w:rPr>
            <w:t>particularly in laboratory procedures, where the highest mean score was observed (M ≈ 3.85). This indicates that most pregnant women recognized the importance of laboratory testing for monitoring maternal and fetal health. High compliance was also observed</w:t>
          </w:r>
          <w:r>
            <w:rPr>
              <w:rFonts w:ascii="Arial Unicode MS" w:eastAsia="Arial Unicode MS" w:hAnsi="Arial Unicode MS" w:cs="Arial Unicode MS"/>
            </w:rPr>
            <w:t xml:space="preserve"> in micronutrient supplementation, suggesting that respondents were willing to follow medical advice regarding nutritional support during pregnancy. However, lower compliance was observed in immunization, particularly for vaccines such as influenza and Tda</w:t>
          </w:r>
          <w:r>
            <w:rPr>
              <w:rFonts w:ascii="Arial Unicode MS" w:eastAsia="Arial Unicode MS" w:hAnsi="Arial Unicode MS" w:cs="Arial Unicode MS"/>
            </w:rPr>
            <w:t xml:space="preserve">p, which may be due to lack of awareness, limited vaccine availability, or concerns about vaccine safety during pregnancy. Additionally, dental checkups showed moderate compliance (M = 3.55), </w:t>
          </w:r>
          <w:r>
            <w:rPr>
              <w:rFonts w:ascii="Arial Unicode MS" w:eastAsia="Arial Unicode MS" w:hAnsi="Arial Unicode MS" w:cs="Arial Unicode MS"/>
            </w:rPr>
            <w:lastRenderedPageBreak/>
            <w:t>indicating that oral health care was sometimes overlooked despit</w:t>
          </w:r>
          <w:r>
            <w:rPr>
              <w:rFonts w:ascii="Arial Unicode MS" w:eastAsia="Arial Unicode MS" w:hAnsi="Arial Unicode MS" w:cs="Arial Unicode MS"/>
            </w:rPr>
            <w:t xml:space="preserve">e its importance in preventing pregnancy-related complications. These findings suggest that while pregnant women generally comply with prenatal care recommendations, some areas require further health education and improved service accessibility.  </w:t>
          </w:r>
        </w:sdtContent>
      </w:sdt>
    </w:p>
    <w:p w:rsidR="00AE2E46" w:rsidRDefault="00AE2E46"/>
    <w:p w:rsidR="00AE2E46" w:rsidRDefault="00816825">
      <w:pPr>
        <w:rPr>
          <w:rFonts w:ascii="Arial" w:eastAsia="Arial" w:hAnsi="Arial" w:cs="Arial"/>
          <w:b/>
          <w:bCs/>
        </w:rPr>
      </w:pPr>
      <w:r>
        <w:rPr>
          <w:rFonts w:ascii="Arial" w:eastAsia="Arial" w:hAnsi="Arial" w:cs="Arial"/>
          <w:b/>
          <w:bCs/>
        </w:rPr>
        <w:t>Table</w:t>
      </w:r>
      <w:r>
        <w:rPr>
          <w:rFonts w:ascii="Arial" w:eastAsia="Arial" w:hAnsi="Arial" w:cs="Arial"/>
          <w:b/>
          <w:bCs/>
        </w:rPr>
        <w:t xml:space="preserve"> 3.</w:t>
      </w:r>
    </w:p>
    <w:p w:rsidR="00AE2E46" w:rsidRDefault="00816825">
      <w:pPr>
        <w:rPr>
          <w:rFonts w:ascii="Arial" w:eastAsia="Arial" w:hAnsi="Arial" w:cs="Arial"/>
        </w:rPr>
      </w:pPr>
      <w:r>
        <w:rPr>
          <w:rFonts w:ascii="Arial" w:eastAsia="Arial" w:hAnsi="Arial" w:cs="Arial"/>
        </w:rPr>
        <w:t>Distribution of mean responses on prenatal care compliance, specific indicators. (n = 100)</w:t>
      </w:r>
    </w:p>
    <w:sdt>
      <w:sdtPr>
        <w:tag w:val="goog_rdk_5"/>
        <w:id w:val="1135748057"/>
        <w:lock w:val="contentLocked"/>
      </w:sdtPr>
      <w:sdtEndPr/>
      <w:sdtContent>
        <w:tbl>
          <w:tblPr>
            <w:tblStyle w:val="a9"/>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55"/>
            <w:gridCol w:w="480"/>
            <w:gridCol w:w="780"/>
          </w:tblGrid>
          <w:tr w:rsidR="00AE2E46">
            <w:trPr>
              <w:cantSplit/>
            </w:trPr>
            <w:tc>
              <w:tcPr>
                <w:tcW w:w="8055" w:type="dxa"/>
                <w:tcBorders>
                  <w:left w:val="single" w:sz="8" w:space="0" w:color="FFFFFF"/>
                  <w:right w:val="single" w:sz="8" w:space="0" w:color="FFFFFF"/>
                </w:tcBorders>
                <w:tcMar>
                  <w:top w:w="-2880" w:type="dxa"/>
                  <w:left w:w="-2880" w:type="dxa"/>
                  <w:bottom w:w="-2880" w:type="dxa"/>
                  <w:right w:w="-2880" w:type="dxa"/>
                </w:tcMar>
              </w:tcPr>
              <w:p w:rsidR="00AE2E46" w:rsidRDefault="00816825">
                <w:pPr>
                  <w:rPr>
                    <w:rFonts w:ascii="Arial" w:eastAsia="Arial" w:hAnsi="Arial" w:cs="Arial"/>
                    <w:b/>
                    <w:bCs/>
                  </w:rPr>
                </w:pPr>
                <w:r>
                  <w:rPr>
                    <w:rFonts w:ascii="Arial" w:eastAsia="Arial" w:hAnsi="Arial" w:cs="Arial"/>
                    <w:b/>
                    <w:bCs/>
                  </w:rPr>
                  <w:t>Compliance indicators towards Prenatal Care</w:t>
                </w:r>
              </w:p>
            </w:tc>
            <w:tc>
              <w:tcPr>
                <w:tcW w:w="480" w:type="dxa"/>
                <w:tcBorders>
                  <w:left w:val="single" w:sz="8" w:space="0" w:color="FFFFFF"/>
                  <w:right w:val="single" w:sz="8" w:space="0" w:color="FFFFFF"/>
                </w:tcBorders>
                <w:tcMar>
                  <w:top w:w="-2880" w:type="dxa"/>
                  <w:left w:w="-2880" w:type="dxa"/>
                  <w:bottom w:w="-2880" w:type="dxa"/>
                  <w:right w:w="-2880" w:type="dxa"/>
                </w:tcMar>
              </w:tcPr>
              <w:p w:rsidR="00AE2E46" w:rsidRDefault="00816825">
                <w:pPr>
                  <w:rPr>
                    <w:rFonts w:ascii="Arial" w:eastAsia="Arial" w:hAnsi="Arial" w:cs="Arial"/>
                  </w:rPr>
                </w:pPr>
                <w:r>
                  <w:rPr>
                    <w:rFonts w:ascii="Arial" w:eastAsia="Arial" w:hAnsi="Arial" w:cs="Arial"/>
                  </w:rPr>
                  <w:t xml:space="preserve">Mean </w:t>
                </w:r>
              </w:p>
            </w:tc>
            <w:tc>
              <w:tcPr>
                <w:tcW w:w="780" w:type="dxa"/>
                <w:tcBorders>
                  <w:left w:val="single" w:sz="8" w:space="0" w:color="FFFFFF"/>
                  <w:right w:val="single" w:sz="8" w:space="0" w:color="FFFFFF"/>
                </w:tcBorders>
                <w:tcMar>
                  <w:top w:w="-2880" w:type="dxa"/>
                  <w:left w:w="-2880" w:type="dxa"/>
                  <w:bottom w:w="-2880" w:type="dxa"/>
                  <w:right w:w="-2880" w:type="dxa"/>
                </w:tcMar>
              </w:tcPr>
              <w:p w:rsidR="00AE2E46" w:rsidRDefault="00816825">
                <w:pPr>
                  <w:rPr>
                    <w:rFonts w:ascii="Arial" w:eastAsia="Arial" w:hAnsi="Arial" w:cs="Arial"/>
                  </w:rPr>
                </w:pPr>
                <w:r>
                  <w:rPr>
                    <w:rFonts w:ascii="Arial" w:eastAsia="Arial" w:hAnsi="Arial" w:cs="Arial"/>
                  </w:rPr>
                  <w:t>SD</w:t>
                </w:r>
              </w:p>
            </w:tc>
          </w:tr>
          <w:tr w:rsidR="00AE2E46">
            <w:trPr>
              <w:cantSplit/>
            </w:trPr>
            <w:tc>
              <w:tcPr>
                <w:tcW w:w="8055" w:type="dxa"/>
                <w:tcBorders>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b/>
                    <w:bCs/>
                  </w:rPr>
                </w:pPr>
                <w:r>
                  <w:rPr>
                    <w:rFonts w:ascii="Arial" w:eastAsia="Arial" w:hAnsi="Arial" w:cs="Arial"/>
                    <w:b/>
                    <w:bCs/>
                  </w:rPr>
                  <w:t>Laboratory Procedures</w:t>
                </w:r>
              </w:p>
            </w:tc>
            <w:tc>
              <w:tcPr>
                <w:tcW w:w="480" w:type="dxa"/>
                <w:tcBorders>
                  <w:left w:val="single" w:sz="8" w:space="0" w:color="FFFFFF"/>
                  <w:right w:val="single" w:sz="8" w:space="0" w:color="FFFFFF"/>
                </w:tcBorders>
                <w:tcMar>
                  <w:top w:w="0" w:type="dxa"/>
                  <w:left w:w="0" w:type="dxa"/>
                  <w:bottom w:w="0" w:type="dxa"/>
                  <w:right w:w="0" w:type="dxa"/>
                </w:tcMar>
              </w:tcPr>
              <w:p w:rsidR="00AE2E46" w:rsidRDefault="00AE2E46">
                <w:pPr>
                  <w:rPr>
                    <w:rFonts w:ascii="Arial" w:eastAsia="Arial" w:hAnsi="Arial" w:cs="Arial"/>
                  </w:rPr>
                </w:pPr>
              </w:p>
            </w:tc>
            <w:tc>
              <w:tcPr>
                <w:tcW w:w="780" w:type="dxa"/>
                <w:tcBorders>
                  <w:left w:val="single" w:sz="8" w:space="0" w:color="FFFFFF"/>
                  <w:right w:val="single" w:sz="8" w:space="0" w:color="FFFFFF"/>
                </w:tcBorders>
                <w:tcMar>
                  <w:top w:w="0" w:type="dxa"/>
                  <w:left w:w="0" w:type="dxa"/>
                  <w:bottom w:w="0" w:type="dxa"/>
                  <w:right w:w="0" w:type="dxa"/>
                </w:tcMar>
              </w:tcPr>
              <w:p w:rsidR="00AE2E46" w:rsidRDefault="00AE2E46">
                <w:pPr>
                  <w:rPr>
                    <w:rFonts w:ascii="Arial" w:eastAsia="Arial" w:hAnsi="Arial" w:cs="Arial"/>
                  </w:rPr>
                </w:pPr>
              </w:p>
            </w:tc>
          </w:tr>
          <w:tr w:rsidR="00AE2E46">
            <w:trPr>
              <w:cantSplit/>
              <w:trHeight w:val="195"/>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 xml:space="preserve">I believe that having regular laboratory tests during pregnancy is crucial to </w:t>
                </w:r>
                <w:r>
                  <w:rPr>
                    <w:rFonts w:ascii="Arial" w:eastAsia="Arial" w:hAnsi="Arial" w:cs="Arial"/>
                  </w:rPr>
                  <w:t>ensuring the health of my baby.</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3.85</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0.386</w:t>
                </w:r>
              </w:p>
            </w:tc>
          </w:tr>
          <w:tr w:rsidR="00AE2E46">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I believe that having regular laboratory tests can help detect any potential health problems during pregnancy and can help me make informed decisions about my care.</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3.84</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0.564</w:t>
                </w:r>
              </w:p>
            </w:tc>
          </w:tr>
          <w:tr w:rsidR="00AE2E46">
            <w:trPr>
              <w:cantSplit/>
            </w:trPr>
            <w:tc>
              <w:tcPr>
                <w:tcW w:w="8055" w:type="dxa"/>
                <w:tcBorders>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 xml:space="preserve">I am willing to undergo additional </w:t>
                </w:r>
                <w:r>
                  <w:rPr>
                    <w:rFonts w:ascii="Arial" w:eastAsia="Arial" w:hAnsi="Arial" w:cs="Arial"/>
                  </w:rPr>
                  <w:t>laboratory tests if it means ensuring the health and well-being of my baby.</w:t>
                </w:r>
              </w:p>
            </w:tc>
            <w:tc>
              <w:tcPr>
                <w:tcW w:w="480" w:type="dxa"/>
                <w:tcBorders>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3.82</w:t>
                </w:r>
              </w:p>
            </w:tc>
            <w:tc>
              <w:tcPr>
                <w:tcW w:w="780" w:type="dxa"/>
                <w:tcBorders>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0.386</w:t>
                </w:r>
              </w:p>
            </w:tc>
          </w:tr>
          <w:tr w:rsidR="00AE2E46">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I have always followed the recommended laboratory procedures during my prenatal visits</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3.81</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0.419</w:t>
                </w:r>
              </w:p>
            </w:tc>
          </w:tr>
          <w:tr w:rsidR="00AE2E46">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 xml:space="preserve">I am always willing to provide samples for laboratory tests and </w:t>
                </w:r>
                <w:r>
                  <w:rPr>
                    <w:rFonts w:ascii="Arial" w:eastAsia="Arial" w:hAnsi="Arial" w:cs="Arial"/>
                  </w:rPr>
                  <w:t>understand that this is a necessary part of prenatal care.</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3.77</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0.423</w:t>
                </w:r>
              </w:p>
            </w:tc>
          </w:tr>
          <w:tr w:rsidR="00AE2E46">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I am always willing to comply with the laboratory procedures even if it means having to go through additional tests or procedures.</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3.74</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0.505</w:t>
                </w:r>
              </w:p>
            </w:tc>
          </w:tr>
          <w:tr w:rsidR="00AE2E46">
            <w:trPr>
              <w:cantSplit/>
            </w:trPr>
            <w:tc>
              <w:tcPr>
                <w:tcW w:w="8055"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b/>
                    <w:bCs/>
                  </w:rPr>
                </w:pPr>
                <w:r>
                  <w:rPr>
                    <w:rFonts w:ascii="Arial" w:eastAsia="Arial" w:hAnsi="Arial" w:cs="Arial"/>
                    <w:b/>
                    <w:bCs/>
                  </w:rPr>
                  <w:t>Overall Laboratory</w:t>
                </w:r>
              </w:p>
            </w:tc>
            <w:tc>
              <w:tcPr>
                <w:tcW w:w="480"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b/>
                    <w:bCs/>
                  </w:rPr>
                </w:pPr>
                <w:r>
                  <w:rPr>
                    <w:rFonts w:ascii="Arial" w:eastAsia="Arial" w:hAnsi="Arial" w:cs="Arial"/>
                    <w:b/>
                    <w:bCs/>
                  </w:rPr>
                  <w:t>3.80</w:t>
                </w:r>
              </w:p>
            </w:tc>
            <w:tc>
              <w:tcPr>
                <w:tcW w:w="780"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b/>
                    <w:bCs/>
                  </w:rPr>
                </w:pPr>
                <w:r>
                  <w:rPr>
                    <w:rFonts w:ascii="Arial" w:eastAsia="Arial" w:hAnsi="Arial" w:cs="Arial"/>
                    <w:b/>
                    <w:bCs/>
                  </w:rPr>
                  <w:t>0.348</w:t>
                </w:r>
              </w:p>
            </w:tc>
          </w:tr>
          <w:tr w:rsidR="00AE2E46">
            <w:trPr>
              <w:cantSplit/>
            </w:trPr>
            <w:tc>
              <w:tcPr>
                <w:tcW w:w="8055" w:type="dxa"/>
                <w:tcBorders>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b/>
                    <w:bCs/>
                  </w:rPr>
                </w:pPr>
                <w:r>
                  <w:rPr>
                    <w:rFonts w:ascii="Arial" w:eastAsia="Arial" w:hAnsi="Arial" w:cs="Arial"/>
                    <w:b/>
                    <w:bCs/>
                  </w:rPr>
                  <w:t>Micronutrient Supplementation</w:t>
                </w:r>
              </w:p>
            </w:tc>
            <w:tc>
              <w:tcPr>
                <w:tcW w:w="480" w:type="dxa"/>
                <w:tcBorders>
                  <w:left w:val="single" w:sz="8" w:space="0" w:color="FFFFFF"/>
                  <w:right w:val="single" w:sz="8" w:space="0" w:color="FFFFFF"/>
                </w:tcBorders>
                <w:tcMar>
                  <w:top w:w="0" w:type="dxa"/>
                  <w:left w:w="0" w:type="dxa"/>
                  <w:bottom w:w="0" w:type="dxa"/>
                  <w:right w:w="0" w:type="dxa"/>
                </w:tcMar>
              </w:tcPr>
              <w:p w:rsidR="00AE2E46" w:rsidRDefault="00AE2E46">
                <w:pPr>
                  <w:rPr>
                    <w:rFonts w:ascii="Arial" w:eastAsia="Arial" w:hAnsi="Arial" w:cs="Arial"/>
                  </w:rPr>
                </w:pPr>
              </w:p>
            </w:tc>
            <w:tc>
              <w:tcPr>
                <w:tcW w:w="780" w:type="dxa"/>
                <w:tcBorders>
                  <w:left w:val="single" w:sz="8" w:space="0" w:color="FFFFFF"/>
                  <w:right w:val="single" w:sz="8" w:space="0" w:color="FFFFFF"/>
                </w:tcBorders>
                <w:tcMar>
                  <w:top w:w="0" w:type="dxa"/>
                  <w:left w:w="0" w:type="dxa"/>
                  <w:bottom w:w="0" w:type="dxa"/>
                  <w:right w:w="0" w:type="dxa"/>
                </w:tcMar>
              </w:tcPr>
              <w:p w:rsidR="00AE2E46" w:rsidRDefault="00AE2E46">
                <w:pPr>
                  <w:rPr>
                    <w:rFonts w:ascii="Arial" w:eastAsia="Arial" w:hAnsi="Arial" w:cs="Arial"/>
                  </w:rPr>
                </w:pPr>
              </w:p>
            </w:tc>
          </w:tr>
          <w:tr w:rsidR="00AE2E46">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I regularly took my prescribed iron and calcium supplement during my prenatal checkups</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3.74</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0.485</w:t>
                </w:r>
              </w:p>
            </w:tc>
          </w:tr>
          <w:tr w:rsidR="00AE2E46">
            <w:trPr>
              <w:cantSplit/>
            </w:trPr>
            <w:tc>
              <w:tcPr>
                <w:tcW w:w="8055" w:type="dxa"/>
                <w:tcBorders>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I strictly followed the instructions given by my healthcare provider regarding the intake of micronutrient supplements.</w:t>
                </w:r>
              </w:p>
            </w:tc>
            <w:tc>
              <w:tcPr>
                <w:tcW w:w="480" w:type="dxa"/>
                <w:tcBorders>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3.72</w:t>
                </w:r>
              </w:p>
            </w:tc>
            <w:tc>
              <w:tcPr>
                <w:tcW w:w="780" w:type="dxa"/>
                <w:tcBorders>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0.494</w:t>
                </w:r>
              </w:p>
            </w:tc>
          </w:tr>
          <w:tr w:rsidR="00AE2E46">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I took my recommended daily dose of folic acid as prescribed during my prenatal care</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3.68</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0.548</w:t>
                </w:r>
              </w:p>
            </w:tc>
          </w:tr>
          <w:tr w:rsidR="00AE2E46">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I always discussed with my healthcare provider my concerns about the effects of the micronutrient supplements on my health and pregnancy.</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3.59</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0.605</w:t>
                </w:r>
              </w:p>
            </w:tc>
          </w:tr>
          <w:tr w:rsidR="00AE2E46">
            <w:trPr>
              <w:cantSplit/>
            </w:trPr>
            <w:tc>
              <w:tcPr>
                <w:tcW w:w="8055"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I</w:t>
                </w:r>
                <w:r>
                  <w:rPr>
                    <w:rFonts w:ascii="Arial" w:eastAsia="Arial" w:hAnsi="Arial" w:cs="Arial"/>
                  </w:rPr>
                  <w:t xml:space="preserve"> took my prescribed vitamin D supplements as recommended during my prenatal care.</w:t>
                </w:r>
              </w:p>
            </w:tc>
            <w:tc>
              <w:tcPr>
                <w:tcW w:w="480"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3.53</w:t>
                </w:r>
              </w:p>
            </w:tc>
            <w:tc>
              <w:tcPr>
                <w:tcW w:w="780"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0.717</w:t>
                </w:r>
              </w:p>
            </w:tc>
          </w:tr>
          <w:tr w:rsidR="00AE2E46">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I was consistent in taking my prescribed prenatal supplements even if I experienced side effects</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3.15</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0.903</w:t>
                </w:r>
              </w:p>
            </w:tc>
          </w:tr>
          <w:tr w:rsidR="00AE2E46">
            <w:trPr>
              <w:cantSplit/>
            </w:trPr>
            <w:tc>
              <w:tcPr>
                <w:tcW w:w="8055"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b/>
                    <w:bCs/>
                  </w:rPr>
                </w:pPr>
                <w:r>
                  <w:rPr>
                    <w:rFonts w:ascii="Arial" w:eastAsia="Arial" w:hAnsi="Arial" w:cs="Arial"/>
                    <w:b/>
                    <w:bCs/>
                  </w:rPr>
                  <w:t>Overall Micronutrient Supplementation</w:t>
                </w:r>
              </w:p>
            </w:tc>
            <w:tc>
              <w:tcPr>
                <w:tcW w:w="480"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b/>
                    <w:bCs/>
                  </w:rPr>
                </w:pPr>
                <w:r>
                  <w:rPr>
                    <w:rFonts w:ascii="Arial" w:eastAsia="Arial" w:hAnsi="Arial" w:cs="Arial"/>
                    <w:b/>
                    <w:bCs/>
                  </w:rPr>
                  <w:t>3.57</w:t>
                </w:r>
              </w:p>
            </w:tc>
            <w:tc>
              <w:tcPr>
                <w:tcW w:w="780"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b/>
                    <w:bCs/>
                  </w:rPr>
                </w:pPr>
                <w:r>
                  <w:rPr>
                    <w:rFonts w:ascii="Arial" w:eastAsia="Arial" w:hAnsi="Arial" w:cs="Arial"/>
                    <w:b/>
                    <w:bCs/>
                  </w:rPr>
                  <w:t>0.474</w:t>
                </w:r>
              </w:p>
            </w:tc>
          </w:tr>
          <w:tr w:rsidR="00AE2E46">
            <w:trPr>
              <w:cantSplit/>
            </w:trPr>
            <w:tc>
              <w:tcPr>
                <w:tcW w:w="8055" w:type="dxa"/>
                <w:tcBorders>
                  <w:top w:val="single" w:sz="5" w:space="0" w:color="000000"/>
                  <w:left w:val="single" w:sz="5" w:space="0" w:color="FFFFFF"/>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b/>
                    <w:bCs/>
                  </w:rPr>
                </w:pPr>
                <w:r>
                  <w:rPr>
                    <w:rFonts w:ascii="Arial" w:eastAsia="Arial" w:hAnsi="Arial" w:cs="Arial"/>
                    <w:b/>
                    <w:bCs/>
                  </w:rPr>
                  <w:t>Immunization</w:t>
                </w:r>
              </w:p>
            </w:tc>
            <w:tc>
              <w:tcPr>
                <w:tcW w:w="480" w:type="dxa"/>
                <w:tcBorders>
                  <w:top w:val="single" w:sz="5" w:space="0" w:color="000000"/>
                  <w:left w:val="nil"/>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 xml:space="preserve"> </w:t>
                </w:r>
              </w:p>
            </w:tc>
            <w:tc>
              <w:tcPr>
                <w:tcW w:w="780" w:type="dxa"/>
                <w:tcBorders>
                  <w:top w:val="single" w:sz="5" w:space="0" w:color="000000"/>
                  <w:left w:val="nil"/>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 xml:space="preserve"> </w:t>
                </w:r>
              </w:p>
            </w:tc>
          </w:tr>
          <w:tr w:rsidR="00AE2E46">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I have received all recommended during my prenatal visits</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3.75</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0.52</w:t>
                </w:r>
              </w:p>
            </w:tc>
          </w:tr>
          <w:tr w:rsidR="00AE2E46">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I believe that receiving immunizations during pregnancy is safe for both me and my baby.</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3.70</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0.541</w:t>
                </w:r>
              </w:p>
            </w:tc>
          </w:tr>
          <w:tr w:rsidR="00AE2E46">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I have followed the recommended schedule for immunizations during my</w:t>
                </w:r>
                <w:r>
                  <w:rPr>
                    <w:rFonts w:ascii="Arial" w:eastAsia="Arial" w:hAnsi="Arial" w:cs="Arial"/>
                  </w:rPr>
                  <w:t xml:space="preserve"> pregnancy</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3.66</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0.59</w:t>
                </w:r>
              </w:p>
            </w:tc>
          </w:tr>
          <w:tr w:rsidR="00AE2E46">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I am aware of the potential complications that can occur if I do not receive recommended immunizations during my pregnancy.</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3.50</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0.732</w:t>
                </w:r>
              </w:p>
            </w:tc>
          </w:tr>
          <w:tr w:rsidR="00AE2E46">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I have received the Tdap vaccine during my pregnancy</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3.48</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0.797</w:t>
                </w:r>
              </w:p>
            </w:tc>
          </w:tr>
          <w:tr w:rsidR="00AE2E46">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 xml:space="preserve">I have received the influenza </w:t>
                </w:r>
                <w:r>
                  <w:rPr>
                    <w:rFonts w:ascii="Arial" w:eastAsia="Arial" w:hAnsi="Arial" w:cs="Arial"/>
                  </w:rPr>
                  <w:t>vaccine during my pregnancy.</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3.22</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0.98</w:t>
                </w:r>
              </w:p>
            </w:tc>
          </w:tr>
          <w:tr w:rsidR="00AE2E46">
            <w:trPr>
              <w:cantSplit/>
            </w:trPr>
            <w:tc>
              <w:tcPr>
                <w:tcW w:w="8055" w:type="dxa"/>
                <w:tcBorders>
                  <w:top w:val="nil"/>
                  <w:left w:val="single" w:sz="5" w:space="0" w:color="FFFFFF"/>
                  <w:bottom w:val="single" w:sz="5" w:space="0" w:color="000000"/>
                  <w:right w:val="single" w:sz="5" w:space="0" w:color="FFFFFF"/>
                </w:tcBorders>
                <w:tcMar>
                  <w:top w:w="0" w:type="dxa"/>
                  <w:left w:w="0" w:type="dxa"/>
                  <w:bottom w:w="0" w:type="dxa"/>
                  <w:right w:w="0" w:type="dxa"/>
                </w:tcMar>
              </w:tcPr>
              <w:p w:rsidR="00AE2E46" w:rsidRDefault="00816825">
                <w:pPr>
                  <w:rPr>
                    <w:rFonts w:ascii="Arial" w:eastAsia="Arial" w:hAnsi="Arial" w:cs="Arial"/>
                    <w:b/>
                    <w:bCs/>
                  </w:rPr>
                </w:pPr>
                <w:r>
                  <w:rPr>
                    <w:rFonts w:ascii="Arial" w:eastAsia="Arial" w:hAnsi="Arial" w:cs="Arial"/>
                    <w:b/>
                    <w:bCs/>
                  </w:rPr>
                  <w:t>Overall Immunization</w:t>
                </w:r>
              </w:p>
            </w:tc>
            <w:tc>
              <w:tcPr>
                <w:tcW w:w="480" w:type="dxa"/>
                <w:tcBorders>
                  <w:top w:val="nil"/>
                  <w:left w:val="nil"/>
                  <w:bottom w:val="single" w:sz="5" w:space="0" w:color="000000"/>
                  <w:right w:val="single" w:sz="5" w:space="0" w:color="FFFFFF"/>
                </w:tcBorders>
                <w:tcMar>
                  <w:top w:w="0" w:type="dxa"/>
                  <w:left w:w="0" w:type="dxa"/>
                  <w:bottom w:w="0" w:type="dxa"/>
                  <w:right w:w="0" w:type="dxa"/>
                </w:tcMar>
              </w:tcPr>
              <w:p w:rsidR="00AE2E46" w:rsidRDefault="00816825">
                <w:pPr>
                  <w:rPr>
                    <w:rFonts w:ascii="Arial" w:eastAsia="Arial" w:hAnsi="Arial" w:cs="Arial"/>
                    <w:b/>
                    <w:bCs/>
                  </w:rPr>
                </w:pPr>
                <w:r>
                  <w:rPr>
                    <w:rFonts w:ascii="Arial" w:eastAsia="Arial" w:hAnsi="Arial" w:cs="Arial"/>
                    <w:b/>
                    <w:bCs/>
                  </w:rPr>
                  <w:t>3.55</w:t>
                </w:r>
              </w:p>
            </w:tc>
            <w:tc>
              <w:tcPr>
                <w:tcW w:w="780" w:type="dxa"/>
                <w:tcBorders>
                  <w:top w:val="nil"/>
                  <w:left w:val="nil"/>
                  <w:bottom w:val="single" w:sz="5" w:space="0" w:color="000000"/>
                  <w:right w:val="single" w:sz="5" w:space="0" w:color="FFFFFF"/>
                </w:tcBorders>
                <w:tcMar>
                  <w:top w:w="0" w:type="dxa"/>
                  <w:left w:w="0" w:type="dxa"/>
                  <w:bottom w:w="0" w:type="dxa"/>
                  <w:right w:w="0" w:type="dxa"/>
                </w:tcMar>
              </w:tcPr>
              <w:p w:rsidR="00AE2E46" w:rsidRDefault="00816825">
                <w:pPr>
                  <w:rPr>
                    <w:rFonts w:ascii="Arial" w:eastAsia="Arial" w:hAnsi="Arial" w:cs="Arial"/>
                    <w:b/>
                    <w:bCs/>
                  </w:rPr>
                </w:pPr>
                <w:r>
                  <w:rPr>
                    <w:rFonts w:ascii="Arial" w:eastAsia="Arial" w:hAnsi="Arial" w:cs="Arial"/>
                    <w:b/>
                    <w:bCs/>
                  </w:rPr>
                  <w:t>0.507</w:t>
                </w:r>
              </w:p>
            </w:tc>
          </w:tr>
          <w:tr w:rsidR="00AE2E46">
            <w:trPr>
              <w:cantSplit/>
            </w:trPr>
            <w:tc>
              <w:tcPr>
                <w:tcW w:w="8055" w:type="dxa"/>
                <w:tcBorders>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b/>
                    <w:bCs/>
                  </w:rPr>
                </w:pPr>
                <w:r>
                  <w:rPr>
                    <w:rFonts w:ascii="Arial" w:eastAsia="Arial" w:hAnsi="Arial" w:cs="Arial"/>
                    <w:b/>
                    <w:bCs/>
                  </w:rPr>
                  <w:t>Dental Checkup</w:t>
                </w:r>
              </w:p>
            </w:tc>
            <w:tc>
              <w:tcPr>
                <w:tcW w:w="480" w:type="dxa"/>
                <w:tcBorders>
                  <w:left w:val="single" w:sz="8" w:space="0" w:color="FFFFFF"/>
                  <w:right w:val="single" w:sz="8" w:space="0" w:color="FFFFFF"/>
                </w:tcBorders>
                <w:tcMar>
                  <w:top w:w="0" w:type="dxa"/>
                  <w:left w:w="0" w:type="dxa"/>
                  <w:bottom w:w="0" w:type="dxa"/>
                  <w:right w:w="0" w:type="dxa"/>
                </w:tcMar>
              </w:tcPr>
              <w:p w:rsidR="00AE2E46" w:rsidRDefault="00AE2E46">
                <w:pPr>
                  <w:rPr>
                    <w:rFonts w:ascii="Arial" w:eastAsia="Arial" w:hAnsi="Arial" w:cs="Arial"/>
                  </w:rPr>
                </w:pPr>
              </w:p>
            </w:tc>
            <w:tc>
              <w:tcPr>
                <w:tcW w:w="780" w:type="dxa"/>
                <w:tcBorders>
                  <w:left w:val="single" w:sz="8" w:space="0" w:color="FFFFFF"/>
                  <w:right w:val="single" w:sz="8" w:space="0" w:color="FFFFFF"/>
                </w:tcBorders>
                <w:tcMar>
                  <w:top w:w="0" w:type="dxa"/>
                  <w:left w:w="0" w:type="dxa"/>
                  <w:bottom w:w="0" w:type="dxa"/>
                  <w:right w:w="0" w:type="dxa"/>
                </w:tcMar>
              </w:tcPr>
              <w:p w:rsidR="00AE2E46" w:rsidRDefault="00AE2E46">
                <w:pPr>
                  <w:rPr>
                    <w:rFonts w:ascii="Arial" w:eastAsia="Arial" w:hAnsi="Arial" w:cs="Arial"/>
                  </w:rPr>
                </w:pPr>
              </w:p>
            </w:tc>
          </w:tr>
          <w:tr w:rsidR="00AE2E46">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I understand the importance of good oral hygiene and its connection to overall health during pregnancy.</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3.71</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0.478</w:t>
                </w:r>
              </w:p>
            </w:tc>
          </w:tr>
          <w:tr w:rsidR="00AE2E46">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 xml:space="preserve">I am aware of the importance of dental checkups </w:t>
                </w:r>
                <w:r>
                  <w:rPr>
                    <w:rFonts w:ascii="Arial" w:eastAsia="Arial" w:hAnsi="Arial" w:cs="Arial"/>
                  </w:rPr>
                  <w:t>during pregnancy for the health of my baby.</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3.55</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0.716</w:t>
                </w:r>
              </w:p>
            </w:tc>
          </w:tr>
          <w:tr w:rsidR="00AE2E46">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I am comfortable discussing any dental concerns with my healthcare provider during my prenatal visits.</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3.54</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0.61</w:t>
                </w:r>
              </w:p>
            </w:tc>
          </w:tr>
          <w:tr w:rsidR="00AE2E46">
            <w:trPr>
              <w:cantSplit/>
            </w:trPr>
            <w:tc>
              <w:tcPr>
                <w:tcW w:w="805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lastRenderedPageBreak/>
                  <w:t>I make sure to follow the recommended schedule for dental visits during pregnancy.</w:t>
                </w:r>
              </w:p>
            </w:tc>
            <w:tc>
              <w:tcPr>
                <w:tcW w:w="4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3.5</w:t>
                </w:r>
                <w:r>
                  <w:rPr>
                    <w:rFonts w:ascii="Arial" w:eastAsia="Arial" w:hAnsi="Arial" w:cs="Arial"/>
                  </w:rPr>
                  <w:t>0</w:t>
                </w:r>
              </w:p>
            </w:tc>
            <w:tc>
              <w:tcPr>
                <w:tcW w:w="7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0.689</w:t>
                </w:r>
              </w:p>
            </w:tc>
          </w:tr>
          <w:tr w:rsidR="00AE2E46">
            <w:trPr>
              <w:cantSplit/>
            </w:trPr>
            <w:tc>
              <w:tcPr>
                <w:tcW w:w="8055" w:type="dxa"/>
                <w:tcBorders>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I feel confident in my ability to maintain good dental health and attend regular dental checkups during pregnancy.</w:t>
                </w:r>
              </w:p>
            </w:tc>
            <w:tc>
              <w:tcPr>
                <w:tcW w:w="480" w:type="dxa"/>
                <w:tcBorders>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3.46</w:t>
                </w:r>
              </w:p>
            </w:tc>
            <w:tc>
              <w:tcPr>
                <w:tcW w:w="780" w:type="dxa"/>
                <w:tcBorders>
                  <w:left w:val="single" w:sz="8" w:space="0" w:color="FFFFFF"/>
                  <w:bottom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0.731</w:t>
                </w:r>
              </w:p>
            </w:tc>
          </w:tr>
          <w:tr w:rsidR="00AE2E46">
            <w:trPr>
              <w:cantSplit/>
            </w:trPr>
            <w:tc>
              <w:tcPr>
                <w:tcW w:w="8055"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b/>
                    <w:bCs/>
                  </w:rPr>
                </w:pPr>
                <w:r>
                  <w:rPr>
                    <w:rFonts w:ascii="Arial" w:eastAsia="Arial" w:hAnsi="Arial" w:cs="Arial"/>
                    <w:b/>
                    <w:bCs/>
                  </w:rPr>
                  <w:t>Overall Mean</w:t>
                </w:r>
              </w:p>
            </w:tc>
            <w:tc>
              <w:tcPr>
                <w:tcW w:w="480"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b/>
                    <w:bCs/>
                  </w:rPr>
                </w:pPr>
                <w:r>
                  <w:rPr>
                    <w:rFonts w:ascii="Arial" w:eastAsia="Arial" w:hAnsi="Arial" w:cs="Arial"/>
                    <w:b/>
                    <w:bCs/>
                  </w:rPr>
                  <w:t>3.55</w:t>
                </w:r>
              </w:p>
            </w:tc>
            <w:tc>
              <w:tcPr>
                <w:tcW w:w="780" w:type="dxa"/>
                <w:tcBorders>
                  <w:top w:val="single" w:sz="8" w:space="0" w:color="FFFFFF"/>
                  <w:left w:val="single" w:sz="8" w:space="0" w:color="FFFFFF"/>
                  <w:right w:val="single" w:sz="8" w:space="0" w:color="FFFFFF"/>
                </w:tcBorders>
                <w:tcMar>
                  <w:top w:w="0" w:type="dxa"/>
                  <w:left w:w="0" w:type="dxa"/>
                  <w:bottom w:w="0" w:type="dxa"/>
                  <w:right w:w="0" w:type="dxa"/>
                </w:tcMar>
              </w:tcPr>
              <w:p w:rsidR="00AE2E46" w:rsidRDefault="00816825">
                <w:pPr>
                  <w:rPr>
                    <w:rFonts w:ascii="Arial" w:eastAsia="Arial" w:hAnsi="Arial" w:cs="Arial"/>
                    <w:b/>
                    <w:bCs/>
                  </w:rPr>
                </w:pPr>
                <w:r>
                  <w:rPr>
                    <w:rFonts w:ascii="Arial" w:eastAsia="Arial" w:hAnsi="Arial" w:cs="Arial"/>
                    <w:b/>
                    <w:bCs/>
                  </w:rPr>
                  <w:t>0.529</w:t>
                </w:r>
              </w:p>
            </w:tc>
          </w:tr>
          <w:tr w:rsidR="00AE2E46">
            <w:trPr>
              <w:cantSplit/>
            </w:trPr>
            <w:tc>
              <w:tcPr>
                <w:tcW w:w="8055" w:type="dxa"/>
                <w:tcBorders>
                  <w:top w:val="single" w:sz="5" w:space="0" w:color="000000"/>
                  <w:left w:val="single" w:sz="5" w:space="0" w:color="FFFFFF"/>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b/>
                    <w:bCs/>
                  </w:rPr>
                </w:pPr>
                <w:r>
                  <w:rPr>
                    <w:rFonts w:ascii="Arial" w:eastAsia="Arial" w:hAnsi="Arial" w:cs="Arial"/>
                    <w:b/>
                    <w:bCs/>
                  </w:rPr>
                  <w:t>Frequency of Prenatal Visit</w:t>
                </w:r>
              </w:p>
            </w:tc>
            <w:tc>
              <w:tcPr>
                <w:tcW w:w="480" w:type="dxa"/>
                <w:tcBorders>
                  <w:top w:val="single" w:sz="5" w:space="0" w:color="000000"/>
                  <w:left w:val="nil"/>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 xml:space="preserve"> </w:t>
                </w:r>
              </w:p>
            </w:tc>
            <w:tc>
              <w:tcPr>
                <w:tcW w:w="780" w:type="dxa"/>
                <w:tcBorders>
                  <w:top w:val="single" w:sz="5" w:space="0" w:color="000000"/>
                  <w:left w:val="nil"/>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 xml:space="preserve"> </w:t>
                </w:r>
              </w:p>
            </w:tc>
          </w:tr>
          <w:tr w:rsidR="00AE2E46">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 xml:space="preserve">I consider attending prenatal visits to be very important for </w:t>
                </w:r>
                <w:r>
                  <w:rPr>
                    <w:rFonts w:ascii="Arial" w:eastAsia="Arial" w:hAnsi="Arial" w:cs="Arial"/>
                  </w:rPr>
                  <w:t>my health and my baby's health.</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3.86</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0.37</w:t>
                </w:r>
              </w:p>
            </w:tc>
          </w:tr>
          <w:tr w:rsidR="00AE2E46">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I attended all of my scheduled prenatal visits without fail.</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3.71</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0.51</w:t>
                </w:r>
              </w:p>
            </w:tc>
          </w:tr>
          <w:tr w:rsidR="00AE2E46">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I feel confident in the care provided to me during my prenatal visits.</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3.67</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0.53</w:t>
                </w:r>
              </w:p>
            </w:tc>
          </w:tr>
          <w:tr w:rsidR="00AE2E46">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I am satisfied with the frequency of my prenatal visits</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3.66</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0.572</w:t>
                </w:r>
              </w:p>
            </w:tc>
          </w:tr>
          <w:tr w:rsidR="00AE2E46">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I missed a significant number of my scheduled prenatal visits*</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3.29</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0.88</w:t>
                </w:r>
              </w:p>
            </w:tc>
          </w:tr>
          <w:tr w:rsidR="00AE2E46">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I attend prenatal visit only when I experience complications or concerns*</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3.27</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0.908</w:t>
                </w:r>
              </w:p>
            </w:tc>
          </w:tr>
          <w:tr w:rsidR="00AE2E46">
            <w:trPr>
              <w:cantSplit/>
            </w:trPr>
            <w:tc>
              <w:tcPr>
                <w:tcW w:w="8055" w:type="dxa"/>
                <w:tcBorders>
                  <w:top w:val="nil"/>
                  <w:left w:val="single" w:sz="5" w:space="0" w:color="FFFFFF"/>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I missed some prenatal visits due to unforeseen circumstance*</w:t>
                </w:r>
              </w:p>
            </w:tc>
            <w:tc>
              <w:tcPr>
                <w:tcW w:w="4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3.23</w:t>
                </w:r>
              </w:p>
            </w:tc>
            <w:tc>
              <w:tcPr>
                <w:tcW w:w="780" w:type="dxa"/>
                <w:tcBorders>
                  <w:top w:val="nil"/>
                  <w:left w:val="nil"/>
                  <w:bottom w:val="single" w:sz="5" w:space="0" w:color="FFFFFF"/>
                  <w:right w:val="single" w:sz="5" w:space="0" w:color="FFFFFF"/>
                </w:tcBorders>
                <w:tcMar>
                  <w:top w:w="0" w:type="dxa"/>
                  <w:left w:w="0" w:type="dxa"/>
                  <w:bottom w:w="0" w:type="dxa"/>
                  <w:right w:w="0" w:type="dxa"/>
                </w:tcMar>
              </w:tcPr>
              <w:p w:rsidR="00AE2E46" w:rsidRDefault="00816825">
                <w:pPr>
                  <w:rPr>
                    <w:rFonts w:ascii="Arial" w:eastAsia="Arial" w:hAnsi="Arial" w:cs="Arial"/>
                  </w:rPr>
                </w:pPr>
                <w:r>
                  <w:rPr>
                    <w:rFonts w:ascii="Arial" w:eastAsia="Arial" w:hAnsi="Arial" w:cs="Arial"/>
                  </w:rPr>
                  <w:t>0.908</w:t>
                </w:r>
              </w:p>
            </w:tc>
          </w:tr>
          <w:tr w:rsidR="00AE2E46">
            <w:trPr>
              <w:cantSplit/>
            </w:trPr>
            <w:tc>
              <w:tcPr>
                <w:tcW w:w="8055" w:type="dxa"/>
                <w:tcBorders>
                  <w:top w:val="nil"/>
                  <w:left w:val="single" w:sz="5" w:space="0" w:color="FFFFFF"/>
                  <w:bottom w:val="single" w:sz="5" w:space="0" w:color="000000"/>
                  <w:right w:val="single" w:sz="5" w:space="0" w:color="FFFFFF"/>
                </w:tcBorders>
                <w:tcMar>
                  <w:top w:w="0" w:type="dxa"/>
                  <w:left w:w="0" w:type="dxa"/>
                  <w:bottom w:w="0" w:type="dxa"/>
                  <w:right w:w="0" w:type="dxa"/>
                </w:tcMar>
              </w:tcPr>
              <w:p w:rsidR="00AE2E46" w:rsidRDefault="00816825">
                <w:pPr>
                  <w:rPr>
                    <w:rFonts w:ascii="Arial" w:eastAsia="Arial" w:hAnsi="Arial" w:cs="Arial"/>
                    <w:b/>
                    <w:bCs/>
                  </w:rPr>
                </w:pPr>
                <w:r>
                  <w:rPr>
                    <w:rFonts w:ascii="Arial" w:eastAsia="Arial" w:hAnsi="Arial" w:cs="Arial"/>
                    <w:b/>
                    <w:bCs/>
                  </w:rPr>
                  <w:t xml:space="preserve">Overall </w:t>
                </w:r>
                <w:r>
                  <w:rPr>
                    <w:rFonts w:ascii="Arial" w:eastAsia="Arial" w:hAnsi="Arial" w:cs="Arial"/>
                    <w:b/>
                    <w:bCs/>
                  </w:rPr>
                  <w:t>frequency of Prenatal Visit</w:t>
                </w:r>
              </w:p>
            </w:tc>
            <w:tc>
              <w:tcPr>
                <w:tcW w:w="480" w:type="dxa"/>
                <w:tcBorders>
                  <w:top w:val="nil"/>
                  <w:left w:val="nil"/>
                  <w:bottom w:val="single" w:sz="5" w:space="0" w:color="000000"/>
                  <w:right w:val="single" w:sz="5" w:space="0" w:color="FFFFFF"/>
                </w:tcBorders>
                <w:tcMar>
                  <w:top w:w="0" w:type="dxa"/>
                  <w:left w:w="0" w:type="dxa"/>
                  <w:bottom w:w="0" w:type="dxa"/>
                  <w:right w:w="0" w:type="dxa"/>
                </w:tcMar>
              </w:tcPr>
              <w:p w:rsidR="00AE2E46" w:rsidRDefault="00816825">
                <w:pPr>
                  <w:rPr>
                    <w:rFonts w:ascii="Arial" w:eastAsia="Arial" w:hAnsi="Arial" w:cs="Arial"/>
                    <w:b/>
                    <w:bCs/>
                  </w:rPr>
                </w:pPr>
                <w:r>
                  <w:rPr>
                    <w:rFonts w:ascii="Arial" w:eastAsia="Arial" w:hAnsi="Arial" w:cs="Arial"/>
                    <w:b/>
                    <w:bCs/>
                  </w:rPr>
                  <w:t>3.53</w:t>
                </w:r>
              </w:p>
            </w:tc>
            <w:tc>
              <w:tcPr>
                <w:tcW w:w="780" w:type="dxa"/>
                <w:tcBorders>
                  <w:top w:val="nil"/>
                  <w:left w:val="nil"/>
                  <w:bottom w:val="single" w:sz="5" w:space="0" w:color="000000"/>
                  <w:right w:val="single" w:sz="5" w:space="0" w:color="FFFFFF"/>
                </w:tcBorders>
                <w:tcMar>
                  <w:top w:w="0" w:type="dxa"/>
                  <w:left w:w="0" w:type="dxa"/>
                  <w:bottom w:w="0" w:type="dxa"/>
                  <w:right w:w="0" w:type="dxa"/>
                </w:tcMar>
              </w:tcPr>
              <w:p w:rsidR="00AE2E46" w:rsidRDefault="00816825">
                <w:pPr>
                  <w:rPr>
                    <w:rFonts w:ascii="Arial" w:eastAsia="Arial" w:hAnsi="Arial" w:cs="Arial"/>
                    <w:b/>
                    <w:bCs/>
                  </w:rPr>
                </w:pPr>
                <w:r>
                  <w:rPr>
                    <w:rFonts w:ascii="Arial" w:eastAsia="Arial" w:hAnsi="Arial" w:cs="Arial"/>
                    <w:b/>
                    <w:bCs/>
                  </w:rPr>
                  <w:t>0.445</w:t>
                </w:r>
              </w:p>
            </w:tc>
          </w:tr>
        </w:tbl>
      </w:sdtContent>
    </w:sdt>
    <w:p w:rsidR="00AE2E46" w:rsidRDefault="00816825">
      <w:r>
        <w:t>* items are reverse scored</w:t>
      </w:r>
    </w:p>
    <w:p w:rsidR="00AE2E46" w:rsidRDefault="00AE2E46">
      <w:pPr>
        <w:rPr>
          <w:b/>
          <w:bCs/>
        </w:rPr>
      </w:pPr>
    </w:p>
    <w:p w:rsidR="00AE2E46" w:rsidRDefault="00816825">
      <w:pPr>
        <w:rPr>
          <w:b/>
          <w:bCs/>
          <w:sz w:val="22"/>
          <w:szCs w:val="22"/>
        </w:rPr>
      </w:pPr>
      <w:r>
        <w:rPr>
          <w:b/>
          <w:bCs/>
          <w:sz w:val="22"/>
          <w:szCs w:val="22"/>
        </w:rPr>
        <w:t>3.1.4 Relationship between the Attitude and Compliance towards Prenatal Care among Pregnant women</w:t>
      </w:r>
    </w:p>
    <w:p w:rsidR="00AE2E46" w:rsidRDefault="00AE2E46">
      <w:pPr>
        <w:rPr>
          <w:rFonts w:ascii="Arial" w:eastAsia="Arial" w:hAnsi="Arial" w:cs="Arial"/>
          <w:b/>
          <w:bCs/>
        </w:rPr>
      </w:pPr>
    </w:p>
    <w:p w:rsidR="00AE2E46" w:rsidRDefault="00816825">
      <w:pPr>
        <w:rPr>
          <w:rFonts w:ascii="Arial" w:eastAsia="Arial" w:hAnsi="Arial" w:cs="Arial"/>
        </w:rPr>
      </w:pPr>
      <w:r>
        <w:rPr>
          <w:rFonts w:ascii="Arial" w:eastAsia="Arial" w:hAnsi="Arial" w:cs="Arial"/>
        </w:rPr>
        <w:t xml:space="preserve">Table 4 shows the relationship between attitude and compliance toward prenatal care. </w:t>
      </w:r>
      <w:r>
        <w:rPr>
          <w:rFonts w:ascii="Arial" w:eastAsia="Arial" w:hAnsi="Arial" w:cs="Arial"/>
        </w:rPr>
        <w:t>The results revealed a statistically significant positive correlation (</w:t>
      </w:r>
      <w:proofErr w:type="spellStart"/>
      <w:r>
        <w:rPr>
          <w:rFonts w:ascii="Arial" w:eastAsia="Arial" w:hAnsi="Arial" w:cs="Arial"/>
        </w:rPr>
        <w:t>rs</w:t>
      </w:r>
      <w:proofErr w:type="spellEnd"/>
      <w:r>
        <w:rPr>
          <w:rFonts w:ascii="Arial" w:eastAsia="Arial" w:hAnsi="Arial" w:cs="Arial"/>
        </w:rPr>
        <w:t xml:space="preserve"> = 0.553, </w:t>
      </w:r>
      <w:r>
        <w:rPr>
          <w:rFonts w:ascii="Arial" w:eastAsia="Arial" w:hAnsi="Arial" w:cs="Arial"/>
          <w:i/>
          <w:iCs/>
        </w:rPr>
        <w:t xml:space="preserve">P </w:t>
      </w:r>
      <w:r>
        <w:rPr>
          <w:rFonts w:ascii="Arial" w:eastAsia="Arial" w:hAnsi="Arial" w:cs="Arial"/>
        </w:rPr>
        <w:t>= &lt;.001) between the two variables. This indicates that pregnant women with more positive attitudes toward prenatal care were more likely to comply with recommended prenat</w:t>
      </w:r>
      <w:r>
        <w:rPr>
          <w:rFonts w:ascii="Arial" w:eastAsia="Arial" w:hAnsi="Arial" w:cs="Arial"/>
        </w:rPr>
        <w:t>al practices. Strong correlations were also observed across specific compliance areas, including laboratory procedures (</w:t>
      </w:r>
      <w:proofErr w:type="spellStart"/>
      <w:r>
        <w:rPr>
          <w:rFonts w:ascii="Arial" w:eastAsia="Arial" w:hAnsi="Arial" w:cs="Arial"/>
        </w:rPr>
        <w:t>rs</w:t>
      </w:r>
      <w:proofErr w:type="spellEnd"/>
      <w:r>
        <w:rPr>
          <w:rFonts w:ascii="Arial" w:eastAsia="Arial" w:hAnsi="Arial" w:cs="Arial"/>
        </w:rPr>
        <w:t xml:space="preserve"> = 0.651), immunization (</w:t>
      </w:r>
      <w:proofErr w:type="spellStart"/>
      <w:r>
        <w:rPr>
          <w:rFonts w:ascii="Arial" w:eastAsia="Arial" w:hAnsi="Arial" w:cs="Arial"/>
        </w:rPr>
        <w:t>rs</w:t>
      </w:r>
      <w:proofErr w:type="spellEnd"/>
      <w:r>
        <w:rPr>
          <w:rFonts w:ascii="Arial" w:eastAsia="Arial" w:hAnsi="Arial" w:cs="Arial"/>
        </w:rPr>
        <w:t xml:space="preserve"> = 0.56), micronutrient supplementation (</w:t>
      </w:r>
      <w:proofErr w:type="spellStart"/>
      <w:r>
        <w:rPr>
          <w:rFonts w:ascii="Arial" w:eastAsia="Arial" w:hAnsi="Arial" w:cs="Arial"/>
        </w:rPr>
        <w:t>rs</w:t>
      </w:r>
      <w:proofErr w:type="spellEnd"/>
      <w:r>
        <w:rPr>
          <w:rFonts w:ascii="Arial" w:eastAsia="Arial" w:hAnsi="Arial" w:cs="Arial"/>
        </w:rPr>
        <w:t xml:space="preserve"> = 0.51), dental checkups (</w:t>
      </w:r>
      <w:proofErr w:type="spellStart"/>
      <w:r>
        <w:rPr>
          <w:rFonts w:ascii="Arial" w:eastAsia="Arial" w:hAnsi="Arial" w:cs="Arial"/>
        </w:rPr>
        <w:t>rs</w:t>
      </w:r>
      <w:proofErr w:type="spellEnd"/>
      <w:r>
        <w:rPr>
          <w:rFonts w:ascii="Arial" w:eastAsia="Arial" w:hAnsi="Arial" w:cs="Arial"/>
        </w:rPr>
        <w:t xml:space="preserve"> = 0.493), and prenatal visits (</w:t>
      </w:r>
      <w:proofErr w:type="spellStart"/>
      <w:r>
        <w:rPr>
          <w:rFonts w:ascii="Arial" w:eastAsia="Arial" w:hAnsi="Arial" w:cs="Arial"/>
        </w:rPr>
        <w:t>rs</w:t>
      </w:r>
      <w:proofErr w:type="spellEnd"/>
      <w:r>
        <w:rPr>
          <w:rFonts w:ascii="Arial" w:eastAsia="Arial" w:hAnsi="Arial" w:cs="Arial"/>
        </w:rPr>
        <w:t xml:space="preserve"> </w:t>
      </w:r>
      <w:r>
        <w:rPr>
          <w:rFonts w:ascii="Arial" w:eastAsia="Arial" w:hAnsi="Arial" w:cs="Arial"/>
        </w:rPr>
        <w:t>= 0.375).</w:t>
      </w:r>
    </w:p>
    <w:p w:rsidR="00AE2E46" w:rsidRDefault="00AE2E46">
      <w:pPr>
        <w:rPr>
          <w:rFonts w:ascii="Arial" w:eastAsia="Arial" w:hAnsi="Arial" w:cs="Arial"/>
        </w:rPr>
      </w:pPr>
    </w:p>
    <w:p w:rsidR="00AE2E46" w:rsidRDefault="00816825">
      <w:pPr>
        <w:rPr>
          <w:rFonts w:ascii="Arial" w:eastAsia="Arial" w:hAnsi="Arial" w:cs="Arial"/>
        </w:rPr>
      </w:pPr>
      <w:r>
        <w:rPr>
          <w:rFonts w:ascii="Arial" w:eastAsia="Arial" w:hAnsi="Arial" w:cs="Arial"/>
        </w:rPr>
        <w:t xml:space="preserve">These findings support Pender’s Health Promotion Model, which suggests that positive health beliefs influence health-promoting behaviors. However, variations across compliance areas indicate that attitude alone may not guarantee full adherence, </w:t>
      </w:r>
      <w:r>
        <w:rPr>
          <w:rFonts w:ascii="Arial" w:eastAsia="Arial" w:hAnsi="Arial" w:cs="Arial"/>
        </w:rPr>
        <w:t xml:space="preserve">as external factors such as accessibility, financial constraints, and service availability may also influence prenatal care utilization.  </w:t>
      </w:r>
    </w:p>
    <w:p w:rsidR="00AE2E46" w:rsidRDefault="00AE2E46">
      <w:pPr>
        <w:rPr>
          <w:rFonts w:ascii="Arial" w:eastAsia="Arial" w:hAnsi="Arial" w:cs="Arial"/>
        </w:rPr>
      </w:pPr>
    </w:p>
    <w:p w:rsidR="00AE2E46" w:rsidRDefault="00816825">
      <w:pPr>
        <w:rPr>
          <w:rFonts w:ascii="Arial" w:eastAsia="Arial" w:hAnsi="Arial" w:cs="Arial"/>
          <w:b/>
          <w:bCs/>
        </w:rPr>
      </w:pPr>
      <w:r>
        <w:rPr>
          <w:rFonts w:ascii="Arial" w:eastAsia="Arial" w:hAnsi="Arial" w:cs="Arial"/>
          <w:b/>
          <w:bCs/>
        </w:rPr>
        <w:t>Table 4. Relationship between attitude and compliance with Prenatal Care (n = 100)</w:t>
      </w:r>
    </w:p>
    <w:tbl>
      <w:tblPr>
        <w:tblStyle w:val="aa"/>
        <w:tblW w:w="8880" w:type="dxa"/>
        <w:tblBorders>
          <w:top w:val="nil"/>
          <w:left w:val="nil"/>
          <w:bottom w:val="nil"/>
          <w:right w:val="nil"/>
          <w:insideH w:val="nil"/>
          <w:insideV w:val="nil"/>
        </w:tblBorders>
        <w:tblLayout w:type="fixed"/>
        <w:tblLook w:val="0600" w:firstRow="0" w:lastRow="0" w:firstColumn="0" w:lastColumn="0" w:noHBand="1" w:noVBand="1"/>
      </w:tblPr>
      <w:tblGrid>
        <w:gridCol w:w="900"/>
        <w:gridCol w:w="1275"/>
        <w:gridCol w:w="1320"/>
        <w:gridCol w:w="1215"/>
        <w:gridCol w:w="1650"/>
        <w:gridCol w:w="1245"/>
        <w:gridCol w:w="1275"/>
      </w:tblGrid>
      <w:tr w:rsidR="00AE2E46">
        <w:trPr>
          <w:trHeight w:val="285"/>
        </w:trPr>
        <w:tc>
          <w:tcPr>
            <w:tcW w:w="900" w:type="dxa"/>
            <w:tcBorders>
              <w:top w:val="single" w:sz="5" w:space="0" w:color="000000"/>
              <w:left w:val="nil"/>
              <w:bottom w:val="nil"/>
              <w:right w:val="nil"/>
            </w:tcBorders>
            <w:tcMar>
              <w:top w:w="0" w:type="dxa"/>
              <w:left w:w="100" w:type="dxa"/>
              <w:bottom w:w="0" w:type="dxa"/>
              <w:right w:w="100" w:type="dxa"/>
            </w:tcMar>
          </w:tcPr>
          <w:p w:rsidR="00AE2E46" w:rsidRDefault="00816825">
            <w:pPr>
              <w:rPr>
                <w:rFonts w:ascii="Arial" w:eastAsia="Arial" w:hAnsi="Arial" w:cs="Arial"/>
              </w:rPr>
            </w:pPr>
            <w:r>
              <w:rPr>
                <w:rFonts w:ascii="Arial" w:eastAsia="Arial" w:hAnsi="Arial" w:cs="Arial"/>
              </w:rPr>
              <w:t xml:space="preserve"> </w:t>
            </w:r>
          </w:p>
        </w:tc>
        <w:tc>
          <w:tcPr>
            <w:tcW w:w="7980" w:type="dxa"/>
            <w:gridSpan w:val="6"/>
            <w:tcBorders>
              <w:top w:val="single" w:sz="5" w:space="0" w:color="000000"/>
              <w:left w:val="nil"/>
              <w:bottom w:val="single" w:sz="5" w:space="0" w:color="000000"/>
              <w:right w:val="nil"/>
            </w:tcBorders>
            <w:tcMar>
              <w:top w:w="0" w:type="dxa"/>
              <w:left w:w="100" w:type="dxa"/>
              <w:bottom w:w="0" w:type="dxa"/>
              <w:right w:w="100" w:type="dxa"/>
            </w:tcMar>
          </w:tcPr>
          <w:p w:rsidR="00AE2E46" w:rsidRDefault="00816825">
            <w:pPr>
              <w:rPr>
                <w:rFonts w:ascii="Arial" w:eastAsia="Arial" w:hAnsi="Arial" w:cs="Arial"/>
              </w:rPr>
            </w:pPr>
            <w:r>
              <w:rPr>
                <w:rFonts w:ascii="Arial" w:eastAsia="Arial" w:hAnsi="Arial" w:cs="Arial"/>
              </w:rPr>
              <w:t>Compliance</w:t>
            </w:r>
          </w:p>
        </w:tc>
      </w:tr>
      <w:tr w:rsidR="00AE2E46">
        <w:trPr>
          <w:trHeight w:val="495"/>
        </w:trPr>
        <w:tc>
          <w:tcPr>
            <w:tcW w:w="900" w:type="dxa"/>
            <w:tcBorders>
              <w:top w:val="nil"/>
              <w:left w:val="nil"/>
              <w:bottom w:val="nil"/>
              <w:right w:val="nil"/>
            </w:tcBorders>
            <w:tcMar>
              <w:top w:w="0" w:type="dxa"/>
              <w:left w:w="100" w:type="dxa"/>
              <w:bottom w:w="0" w:type="dxa"/>
              <w:right w:w="100" w:type="dxa"/>
            </w:tcMar>
          </w:tcPr>
          <w:p w:rsidR="00AE2E46" w:rsidRDefault="00AE2E46">
            <w:pPr>
              <w:rPr>
                <w:rFonts w:ascii="Arial" w:eastAsia="Arial" w:hAnsi="Arial" w:cs="Arial"/>
              </w:rPr>
            </w:pPr>
          </w:p>
        </w:tc>
        <w:tc>
          <w:tcPr>
            <w:tcW w:w="1275" w:type="dxa"/>
            <w:tcBorders>
              <w:top w:val="nil"/>
              <w:left w:val="nil"/>
              <w:bottom w:val="nil"/>
              <w:right w:val="nil"/>
            </w:tcBorders>
            <w:tcMar>
              <w:top w:w="0" w:type="dxa"/>
              <w:left w:w="100" w:type="dxa"/>
              <w:bottom w:w="0" w:type="dxa"/>
              <w:right w:w="100" w:type="dxa"/>
            </w:tcMar>
          </w:tcPr>
          <w:p w:rsidR="00AE2E46" w:rsidRDefault="00816825">
            <w:pPr>
              <w:rPr>
                <w:rFonts w:ascii="Arial" w:eastAsia="Arial" w:hAnsi="Arial" w:cs="Arial"/>
                <w:b/>
                <w:bCs/>
              </w:rPr>
            </w:pPr>
            <w:r>
              <w:rPr>
                <w:rFonts w:ascii="Arial" w:eastAsia="Arial" w:hAnsi="Arial" w:cs="Arial"/>
                <w:b/>
                <w:bCs/>
              </w:rPr>
              <w:t>Prenatal visits</w:t>
            </w:r>
          </w:p>
        </w:tc>
        <w:tc>
          <w:tcPr>
            <w:tcW w:w="1320" w:type="dxa"/>
            <w:tcBorders>
              <w:top w:val="single" w:sz="5" w:space="0" w:color="000000"/>
              <w:left w:val="nil"/>
              <w:bottom w:val="nil"/>
              <w:right w:val="nil"/>
            </w:tcBorders>
            <w:tcMar>
              <w:top w:w="0" w:type="dxa"/>
              <w:left w:w="100" w:type="dxa"/>
              <w:bottom w:w="0" w:type="dxa"/>
              <w:right w:w="100" w:type="dxa"/>
            </w:tcMar>
          </w:tcPr>
          <w:p w:rsidR="00AE2E46" w:rsidRDefault="00816825">
            <w:pPr>
              <w:rPr>
                <w:rFonts w:ascii="Arial" w:eastAsia="Arial" w:hAnsi="Arial" w:cs="Arial"/>
                <w:b/>
                <w:bCs/>
              </w:rPr>
            </w:pPr>
            <w:r>
              <w:rPr>
                <w:rFonts w:ascii="Arial" w:eastAsia="Arial" w:hAnsi="Arial" w:cs="Arial"/>
                <w:b/>
                <w:bCs/>
              </w:rPr>
              <w:t>Laboratory procedures</w:t>
            </w:r>
          </w:p>
        </w:tc>
        <w:tc>
          <w:tcPr>
            <w:tcW w:w="1215" w:type="dxa"/>
            <w:tcBorders>
              <w:top w:val="single" w:sz="5" w:space="0" w:color="000000"/>
              <w:left w:val="nil"/>
              <w:bottom w:val="nil"/>
              <w:right w:val="nil"/>
            </w:tcBorders>
            <w:tcMar>
              <w:top w:w="0" w:type="dxa"/>
              <w:left w:w="100" w:type="dxa"/>
              <w:bottom w:w="0" w:type="dxa"/>
              <w:right w:w="100" w:type="dxa"/>
            </w:tcMar>
          </w:tcPr>
          <w:p w:rsidR="00AE2E46" w:rsidRDefault="00816825">
            <w:pPr>
              <w:rPr>
                <w:rFonts w:ascii="Arial" w:eastAsia="Arial" w:hAnsi="Arial" w:cs="Arial"/>
                <w:b/>
                <w:bCs/>
              </w:rPr>
            </w:pPr>
            <w:r>
              <w:rPr>
                <w:rFonts w:ascii="Arial" w:eastAsia="Arial" w:hAnsi="Arial" w:cs="Arial"/>
                <w:b/>
                <w:bCs/>
              </w:rPr>
              <w:t>Immunization</w:t>
            </w:r>
          </w:p>
        </w:tc>
        <w:tc>
          <w:tcPr>
            <w:tcW w:w="1650" w:type="dxa"/>
            <w:tcBorders>
              <w:top w:val="single" w:sz="5" w:space="0" w:color="000000"/>
              <w:left w:val="nil"/>
              <w:bottom w:val="nil"/>
              <w:right w:val="nil"/>
            </w:tcBorders>
            <w:tcMar>
              <w:top w:w="20" w:type="dxa"/>
              <w:left w:w="20" w:type="dxa"/>
              <w:bottom w:w="20" w:type="dxa"/>
              <w:right w:w="20" w:type="dxa"/>
            </w:tcMar>
          </w:tcPr>
          <w:p w:rsidR="00AE2E46" w:rsidRDefault="00816825">
            <w:pPr>
              <w:rPr>
                <w:rFonts w:ascii="Arial" w:eastAsia="Arial" w:hAnsi="Arial" w:cs="Arial"/>
                <w:b/>
                <w:bCs/>
              </w:rPr>
            </w:pPr>
            <w:r>
              <w:rPr>
                <w:rFonts w:ascii="Arial" w:eastAsia="Arial" w:hAnsi="Arial" w:cs="Arial"/>
                <w:b/>
                <w:bCs/>
              </w:rPr>
              <w:t>Micronutrient supplementation</w:t>
            </w:r>
          </w:p>
        </w:tc>
        <w:tc>
          <w:tcPr>
            <w:tcW w:w="1245" w:type="dxa"/>
            <w:tcBorders>
              <w:top w:val="single" w:sz="5" w:space="0" w:color="000000"/>
              <w:left w:val="nil"/>
              <w:bottom w:val="nil"/>
              <w:right w:val="nil"/>
            </w:tcBorders>
            <w:tcMar>
              <w:top w:w="20" w:type="dxa"/>
              <w:left w:w="20" w:type="dxa"/>
              <w:bottom w:w="20" w:type="dxa"/>
              <w:right w:w="20" w:type="dxa"/>
            </w:tcMar>
          </w:tcPr>
          <w:p w:rsidR="00AE2E46" w:rsidRDefault="00816825">
            <w:pPr>
              <w:rPr>
                <w:rFonts w:ascii="Arial" w:eastAsia="Arial" w:hAnsi="Arial" w:cs="Arial"/>
                <w:b/>
                <w:bCs/>
              </w:rPr>
            </w:pPr>
            <w:r>
              <w:rPr>
                <w:rFonts w:ascii="Arial" w:eastAsia="Arial" w:hAnsi="Arial" w:cs="Arial"/>
                <w:b/>
                <w:bCs/>
              </w:rPr>
              <w:t>Dental checkups</w:t>
            </w:r>
          </w:p>
        </w:tc>
        <w:tc>
          <w:tcPr>
            <w:tcW w:w="1275" w:type="dxa"/>
            <w:tcBorders>
              <w:top w:val="single" w:sz="5" w:space="0" w:color="000000"/>
              <w:left w:val="nil"/>
              <w:bottom w:val="nil"/>
              <w:right w:val="nil"/>
            </w:tcBorders>
            <w:tcMar>
              <w:top w:w="20" w:type="dxa"/>
              <w:left w:w="20" w:type="dxa"/>
              <w:bottom w:w="20" w:type="dxa"/>
              <w:right w:w="20" w:type="dxa"/>
            </w:tcMar>
          </w:tcPr>
          <w:p w:rsidR="00AE2E46" w:rsidRDefault="00816825">
            <w:pPr>
              <w:rPr>
                <w:rFonts w:ascii="Arial" w:eastAsia="Arial" w:hAnsi="Arial" w:cs="Arial"/>
                <w:b/>
                <w:bCs/>
              </w:rPr>
            </w:pPr>
            <w:r>
              <w:rPr>
                <w:rFonts w:ascii="Arial" w:eastAsia="Arial" w:hAnsi="Arial" w:cs="Arial"/>
                <w:b/>
                <w:bCs/>
              </w:rPr>
              <w:t>Overall</w:t>
            </w:r>
          </w:p>
        </w:tc>
      </w:tr>
      <w:tr w:rsidR="00AE2E46">
        <w:trPr>
          <w:trHeight w:val="780"/>
        </w:trPr>
        <w:tc>
          <w:tcPr>
            <w:tcW w:w="900" w:type="dxa"/>
            <w:tcBorders>
              <w:top w:val="nil"/>
              <w:left w:val="nil"/>
              <w:bottom w:val="single" w:sz="5" w:space="0" w:color="000000"/>
              <w:right w:val="nil"/>
            </w:tcBorders>
            <w:tcMar>
              <w:top w:w="0" w:type="dxa"/>
              <w:left w:w="100" w:type="dxa"/>
              <w:bottom w:w="0" w:type="dxa"/>
              <w:right w:w="100" w:type="dxa"/>
            </w:tcMar>
          </w:tcPr>
          <w:p w:rsidR="00AE2E46" w:rsidRDefault="00816825">
            <w:pPr>
              <w:rPr>
                <w:rFonts w:ascii="Arial" w:eastAsia="Arial" w:hAnsi="Arial" w:cs="Arial"/>
              </w:rPr>
            </w:pPr>
            <w:r>
              <w:rPr>
                <w:rFonts w:ascii="Arial" w:eastAsia="Arial" w:hAnsi="Arial" w:cs="Arial"/>
              </w:rPr>
              <w:t>Attitude</w:t>
            </w:r>
          </w:p>
        </w:tc>
        <w:tc>
          <w:tcPr>
            <w:tcW w:w="1275" w:type="dxa"/>
            <w:tcBorders>
              <w:top w:val="nil"/>
              <w:left w:val="nil"/>
              <w:bottom w:val="single" w:sz="5" w:space="0" w:color="000000"/>
              <w:right w:val="nil"/>
            </w:tcBorders>
            <w:tcMar>
              <w:top w:w="0" w:type="dxa"/>
              <w:left w:w="100" w:type="dxa"/>
              <w:bottom w:w="0" w:type="dxa"/>
              <w:right w:w="100" w:type="dxa"/>
            </w:tcMar>
          </w:tcPr>
          <w:p w:rsidR="00AE2E46" w:rsidRDefault="00816825">
            <w:pPr>
              <w:rPr>
                <w:rFonts w:ascii="Arial" w:eastAsia="Arial" w:hAnsi="Arial" w:cs="Arial"/>
              </w:rPr>
            </w:pPr>
            <w:proofErr w:type="spellStart"/>
            <w:r>
              <w:rPr>
                <w:rFonts w:ascii="Arial" w:eastAsia="Arial" w:hAnsi="Arial" w:cs="Arial"/>
              </w:rPr>
              <w:t>r</w:t>
            </w:r>
            <w:r>
              <w:rPr>
                <w:rFonts w:ascii="Arial" w:eastAsia="Arial" w:hAnsi="Arial" w:cs="Arial"/>
                <w:vertAlign w:val="subscript"/>
              </w:rPr>
              <w:t>s</w:t>
            </w:r>
            <w:proofErr w:type="spellEnd"/>
            <w:r>
              <w:rPr>
                <w:rFonts w:ascii="Arial" w:eastAsia="Arial" w:hAnsi="Arial" w:cs="Arial"/>
              </w:rPr>
              <w:t xml:space="preserve"> = 0.375 </w:t>
            </w:r>
          </w:p>
          <w:p w:rsidR="00AE2E46" w:rsidRDefault="00816825">
            <w:pPr>
              <w:rPr>
                <w:rFonts w:ascii="Arial" w:eastAsia="Arial" w:hAnsi="Arial" w:cs="Arial"/>
              </w:rPr>
            </w:pPr>
            <w:r>
              <w:rPr>
                <w:rFonts w:ascii="Arial" w:eastAsia="Arial" w:hAnsi="Arial" w:cs="Arial"/>
              </w:rPr>
              <w:t>(</w:t>
            </w:r>
            <w:r>
              <w:rPr>
                <w:rFonts w:ascii="Arial" w:eastAsia="Arial" w:hAnsi="Arial" w:cs="Arial"/>
                <w:i/>
                <w:iCs/>
              </w:rPr>
              <w:t xml:space="preserve">P </w:t>
            </w:r>
            <w:r>
              <w:rPr>
                <w:rFonts w:ascii="Arial" w:eastAsia="Arial" w:hAnsi="Arial" w:cs="Arial"/>
              </w:rPr>
              <w:t>= &lt;.001)</w:t>
            </w:r>
          </w:p>
        </w:tc>
        <w:tc>
          <w:tcPr>
            <w:tcW w:w="1320" w:type="dxa"/>
            <w:tcBorders>
              <w:top w:val="nil"/>
              <w:left w:val="nil"/>
              <w:bottom w:val="single" w:sz="5" w:space="0" w:color="000000"/>
              <w:right w:val="nil"/>
            </w:tcBorders>
            <w:tcMar>
              <w:top w:w="0" w:type="dxa"/>
              <w:left w:w="100" w:type="dxa"/>
              <w:bottom w:w="0" w:type="dxa"/>
              <w:right w:w="100" w:type="dxa"/>
            </w:tcMar>
          </w:tcPr>
          <w:p w:rsidR="00AE2E46" w:rsidRDefault="00816825">
            <w:pPr>
              <w:rPr>
                <w:rFonts w:ascii="Arial" w:eastAsia="Arial" w:hAnsi="Arial" w:cs="Arial"/>
              </w:rPr>
            </w:pPr>
            <w:proofErr w:type="spellStart"/>
            <w:r>
              <w:rPr>
                <w:rFonts w:ascii="Arial" w:eastAsia="Arial" w:hAnsi="Arial" w:cs="Arial"/>
              </w:rPr>
              <w:t>r</w:t>
            </w:r>
            <w:r>
              <w:rPr>
                <w:rFonts w:ascii="Arial" w:eastAsia="Arial" w:hAnsi="Arial" w:cs="Arial"/>
                <w:vertAlign w:val="subscript"/>
              </w:rPr>
              <w:t>s</w:t>
            </w:r>
            <w:proofErr w:type="spellEnd"/>
            <w:r>
              <w:rPr>
                <w:rFonts w:ascii="Arial" w:eastAsia="Arial" w:hAnsi="Arial" w:cs="Arial"/>
              </w:rPr>
              <w:t xml:space="preserve"> = 0.651**</w:t>
            </w:r>
          </w:p>
          <w:p w:rsidR="00AE2E46" w:rsidRDefault="00816825">
            <w:pPr>
              <w:rPr>
                <w:rFonts w:ascii="Arial" w:eastAsia="Arial" w:hAnsi="Arial" w:cs="Arial"/>
              </w:rPr>
            </w:pPr>
            <w:r>
              <w:rPr>
                <w:rFonts w:ascii="Arial" w:eastAsia="Arial" w:hAnsi="Arial" w:cs="Arial"/>
              </w:rPr>
              <w:t>(</w:t>
            </w:r>
            <w:r>
              <w:rPr>
                <w:rFonts w:ascii="Arial" w:eastAsia="Arial" w:hAnsi="Arial" w:cs="Arial"/>
                <w:i/>
                <w:iCs/>
              </w:rPr>
              <w:t xml:space="preserve">P </w:t>
            </w:r>
            <w:r>
              <w:rPr>
                <w:rFonts w:ascii="Arial" w:eastAsia="Arial" w:hAnsi="Arial" w:cs="Arial"/>
              </w:rPr>
              <w:t>= &lt;.001)</w:t>
            </w:r>
          </w:p>
        </w:tc>
        <w:tc>
          <w:tcPr>
            <w:tcW w:w="1215" w:type="dxa"/>
            <w:tcBorders>
              <w:top w:val="nil"/>
              <w:left w:val="nil"/>
              <w:bottom w:val="single" w:sz="5" w:space="0" w:color="000000"/>
              <w:right w:val="nil"/>
            </w:tcBorders>
            <w:tcMar>
              <w:top w:w="0" w:type="dxa"/>
              <w:left w:w="100" w:type="dxa"/>
              <w:bottom w:w="0" w:type="dxa"/>
              <w:right w:w="100" w:type="dxa"/>
            </w:tcMar>
          </w:tcPr>
          <w:p w:rsidR="00AE2E46" w:rsidRDefault="00816825">
            <w:pPr>
              <w:rPr>
                <w:rFonts w:ascii="Arial" w:eastAsia="Arial" w:hAnsi="Arial" w:cs="Arial"/>
              </w:rPr>
            </w:pPr>
            <w:proofErr w:type="spellStart"/>
            <w:r>
              <w:rPr>
                <w:rFonts w:ascii="Arial" w:eastAsia="Arial" w:hAnsi="Arial" w:cs="Arial"/>
              </w:rPr>
              <w:t>r</w:t>
            </w:r>
            <w:r>
              <w:rPr>
                <w:rFonts w:ascii="Arial" w:eastAsia="Arial" w:hAnsi="Arial" w:cs="Arial"/>
                <w:vertAlign w:val="subscript"/>
              </w:rPr>
              <w:t>s</w:t>
            </w:r>
            <w:proofErr w:type="spellEnd"/>
            <w:r>
              <w:rPr>
                <w:rFonts w:ascii="Arial" w:eastAsia="Arial" w:hAnsi="Arial" w:cs="Arial"/>
              </w:rPr>
              <w:t xml:space="preserve"> = 0.56**</w:t>
            </w:r>
          </w:p>
          <w:p w:rsidR="00AE2E46" w:rsidRDefault="00816825">
            <w:pPr>
              <w:rPr>
                <w:rFonts w:ascii="Arial" w:eastAsia="Arial" w:hAnsi="Arial" w:cs="Arial"/>
              </w:rPr>
            </w:pPr>
            <w:r>
              <w:rPr>
                <w:rFonts w:ascii="Arial" w:eastAsia="Arial" w:hAnsi="Arial" w:cs="Arial"/>
              </w:rPr>
              <w:t>(</w:t>
            </w:r>
            <w:r>
              <w:rPr>
                <w:rFonts w:ascii="Arial" w:eastAsia="Arial" w:hAnsi="Arial" w:cs="Arial"/>
                <w:i/>
                <w:iCs/>
              </w:rPr>
              <w:t xml:space="preserve">P </w:t>
            </w:r>
            <w:r>
              <w:rPr>
                <w:rFonts w:ascii="Arial" w:eastAsia="Arial" w:hAnsi="Arial" w:cs="Arial"/>
              </w:rPr>
              <w:t>= &lt;.001)</w:t>
            </w:r>
          </w:p>
        </w:tc>
        <w:tc>
          <w:tcPr>
            <w:tcW w:w="1650" w:type="dxa"/>
            <w:tcBorders>
              <w:top w:val="nil"/>
              <w:left w:val="nil"/>
              <w:bottom w:val="single" w:sz="5" w:space="0" w:color="000000"/>
              <w:right w:val="nil"/>
            </w:tcBorders>
            <w:tcMar>
              <w:top w:w="20" w:type="dxa"/>
              <w:left w:w="20" w:type="dxa"/>
              <w:bottom w:w="20" w:type="dxa"/>
              <w:right w:w="20" w:type="dxa"/>
            </w:tcMar>
          </w:tcPr>
          <w:p w:rsidR="00AE2E46" w:rsidRDefault="00816825">
            <w:pPr>
              <w:rPr>
                <w:rFonts w:ascii="Arial" w:eastAsia="Arial" w:hAnsi="Arial" w:cs="Arial"/>
              </w:rPr>
            </w:pPr>
            <w:proofErr w:type="spellStart"/>
            <w:r>
              <w:rPr>
                <w:rFonts w:ascii="Arial" w:eastAsia="Arial" w:hAnsi="Arial" w:cs="Arial"/>
              </w:rPr>
              <w:t>r</w:t>
            </w:r>
            <w:r>
              <w:rPr>
                <w:rFonts w:ascii="Arial" w:eastAsia="Arial" w:hAnsi="Arial" w:cs="Arial"/>
                <w:vertAlign w:val="subscript"/>
              </w:rPr>
              <w:t>s</w:t>
            </w:r>
            <w:proofErr w:type="spellEnd"/>
            <w:r>
              <w:rPr>
                <w:rFonts w:ascii="Arial" w:eastAsia="Arial" w:hAnsi="Arial" w:cs="Arial"/>
              </w:rPr>
              <w:t xml:space="preserve"> = 0.51**</w:t>
            </w:r>
          </w:p>
          <w:p w:rsidR="00AE2E46" w:rsidRDefault="00816825">
            <w:pPr>
              <w:rPr>
                <w:rFonts w:ascii="Arial" w:eastAsia="Arial" w:hAnsi="Arial" w:cs="Arial"/>
              </w:rPr>
            </w:pPr>
            <w:r>
              <w:rPr>
                <w:rFonts w:ascii="Arial" w:eastAsia="Arial" w:hAnsi="Arial" w:cs="Arial"/>
              </w:rPr>
              <w:t>(</w:t>
            </w:r>
            <w:r>
              <w:rPr>
                <w:rFonts w:ascii="Arial" w:eastAsia="Arial" w:hAnsi="Arial" w:cs="Arial"/>
                <w:i/>
                <w:iCs/>
              </w:rPr>
              <w:t xml:space="preserve">P </w:t>
            </w:r>
            <w:r>
              <w:rPr>
                <w:rFonts w:ascii="Arial" w:eastAsia="Arial" w:hAnsi="Arial" w:cs="Arial"/>
              </w:rPr>
              <w:t>= &lt;.001)</w:t>
            </w:r>
          </w:p>
        </w:tc>
        <w:tc>
          <w:tcPr>
            <w:tcW w:w="1245" w:type="dxa"/>
            <w:tcBorders>
              <w:top w:val="nil"/>
              <w:left w:val="nil"/>
              <w:bottom w:val="single" w:sz="5" w:space="0" w:color="000000"/>
              <w:right w:val="nil"/>
            </w:tcBorders>
            <w:tcMar>
              <w:top w:w="20" w:type="dxa"/>
              <w:left w:w="20" w:type="dxa"/>
              <w:bottom w:w="20" w:type="dxa"/>
              <w:right w:w="20" w:type="dxa"/>
            </w:tcMar>
          </w:tcPr>
          <w:p w:rsidR="00AE2E46" w:rsidRDefault="00816825">
            <w:pPr>
              <w:rPr>
                <w:rFonts w:ascii="Arial" w:eastAsia="Arial" w:hAnsi="Arial" w:cs="Arial"/>
              </w:rPr>
            </w:pPr>
            <w:proofErr w:type="spellStart"/>
            <w:r>
              <w:rPr>
                <w:rFonts w:ascii="Arial" w:eastAsia="Arial" w:hAnsi="Arial" w:cs="Arial"/>
              </w:rPr>
              <w:t>r</w:t>
            </w:r>
            <w:r>
              <w:rPr>
                <w:rFonts w:ascii="Arial" w:eastAsia="Arial" w:hAnsi="Arial" w:cs="Arial"/>
                <w:vertAlign w:val="subscript"/>
              </w:rPr>
              <w:t>s</w:t>
            </w:r>
            <w:proofErr w:type="spellEnd"/>
            <w:r>
              <w:rPr>
                <w:rFonts w:ascii="Arial" w:eastAsia="Arial" w:hAnsi="Arial" w:cs="Arial"/>
              </w:rPr>
              <w:t xml:space="preserve"> = 0.493**</w:t>
            </w:r>
          </w:p>
          <w:p w:rsidR="00AE2E46" w:rsidRDefault="00816825">
            <w:pPr>
              <w:rPr>
                <w:rFonts w:ascii="Arial" w:eastAsia="Arial" w:hAnsi="Arial" w:cs="Arial"/>
              </w:rPr>
            </w:pPr>
            <w:r>
              <w:rPr>
                <w:rFonts w:ascii="Arial" w:eastAsia="Arial" w:hAnsi="Arial" w:cs="Arial"/>
              </w:rPr>
              <w:t>(</w:t>
            </w:r>
            <w:r>
              <w:rPr>
                <w:rFonts w:ascii="Arial" w:eastAsia="Arial" w:hAnsi="Arial" w:cs="Arial"/>
                <w:i/>
                <w:iCs/>
              </w:rPr>
              <w:t xml:space="preserve">P </w:t>
            </w:r>
            <w:r>
              <w:rPr>
                <w:rFonts w:ascii="Arial" w:eastAsia="Arial" w:hAnsi="Arial" w:cs="Arial"/>
              </w:rPr>
              <w:t>= &lt;.001)</w:t>
            </w:r>
          </w:p>
        </w:tc>
        <w:tc>
          <w:tcPr>
            <w:tcW w:w="1275" w:type="dxa"/>
            <w:tcBorders>
              <w:top w:val="nil"/>
              <w:left w:val="nil"/>
              <w:bottom w:val="single" w:sz="5" w:space="0" w:color="000000"/>
              <w:right w:val="nil"/>
            </w:tcBorders>
            <w:tcMar>
              <w:top w:w="20" w:type="dxa"/>
              <w:left w:w="20" w:type="dxa"/>
              <w:bottom w:w="20" w:type="dxa"/>
              <w:right w:w="20" w:type="dxa"/>
            </w:tcMar>
          </w:tcPr>
          <w:p w:rsidR="00AE2E46" w:rsidRDefault="00816825">
            <w:pPr>
              <w:rPr>
                <w:rFonts w:ascii="Arial" w:eastAsia="Arial" w:hAnsi="Arial" w:cs="Arial"/>
              </w:rPr>
            </w:pPr>
            <w:proofErr w:type="spellStart"/>
            <w:r>
              <w:rPr>
                <w:rFonts w:ascii="Arial" w:eastAsia="Arial" w:hAnsi="Arial" w:cs="Arial"/>
              </w:rPr>
              <w:t>r</w:t>
            </w:r>
            <w:r>
              <w:rPr>
                <w:rFonts w:ascii="Arial" w:eastAsia="Arial" w:hAnsi="Arial" w:cs="Arial"/>
                <w:vertAlign w:val="subscript"/>
              </w:rPr>
              <w:t>s</w:t>
            </w:r>
            <w:proofErr w:type="spellEnd"/>
            <w:r>
              <w:rPr>
                <w:rFonts w:ascii="Arial" w:eastAsia="Arial" w:hAnsi="Arial" w:cs="Arial"/>
              </w:rPr>
              <w:t xml:space="preserve"> = 0.553**</w:t>
            </w:r>
          </w:p>
          <w:p w:rsidR="00AE2E46" w:rsidRDefault="00816825">
            <w:pPr>
              <w:rPr>
                <w:rFonts w:ascii="Arial" w:eastAsia="Arial" w:hAnsi="Arial" w:cs="Arial"/>
              </w:rPr>
            </w:pPr>
            <w:r>
              <w:rPr>
                <w:rFonts w:ascii="Arial" w:eastAsia="Arial" w:hAnsi="Arial" w:cs="Arial"/>
              </w:rPr>
              <w:t>(</w:t>
            </w:r>
            <w:r>
              <w:rPr>
                <w:rFonts w:ascii="Arial" w:eastAsia="Arial" w:hAnsi="Arial" w:cs="Arial"/>
                <w:i/>
                <w:iCs/>
              </w:rPr>
              <w:t xml:space="preserve">P </w:t>
            </w:r>
            <w:r>
              <w:rPr>
                <w:rFonts w:ascii="Arial" w:eastAsia="Arial" w:hAnsi="Arial" w:cs="Arial"/>
              </w:rPr>
              <w:t>= &lt;.001)</w:t>
            </w:r>
          </w:p>
        </w:tc>
      </w:tr>
    </w:tbl>
    <w:p w:rsidR="00AE2E46" w:rsidRDefault="00816825">
      <w:pPr>
        <w:rPr>
          <w:rFonts w:ascii="Arial" w:eastAsia="Arial" w:hAnsi="Arial" w:cs="Arial"/>
        </w:rPr>
      </w:pPr>
      <w:r>
        <w:rPr>
          <w:rFonts w:ascii="Arial" w:eastAsia="Arial" w:hAnsi="Arial" w:cs="Arial"/>
        </w:rPr>
        <w:t xml:space="preserve">**. </w:t>
      </w:r>
      <w:r>
        <w:rPr>
          <w:rFonts w:ascii="Arial" w:eastAsia="Arial" w:hAnsi="Arial" w:cs="Arial"/>
        </w:rPr>
        <w:t>Correlation is significant at the 0.01 level (2-tailed).</w:t>
      </w:r>
    </w:p>
    <w:p w:rsidR="00AE2E46" w:rsidRDefault="00AE2E46">
      <w:pPr>
        <w:pBdr>
          <w:top w:val="nil"/>
          <w:left w:val="nil"/>
          <w:bottom w:val="nil"/>
          <w:right w:val="nil"/>
          <w:between w:val="nil"/>
        </w:pBdr>
        <w:jc w:val="both"/>
        <w:rPr>
          <w:rFonts w:ascii="Arial" w:eastAsia="Arial" w:hAnsi="Arial" w:cs="Arial"/>
          <w:color w:val="000000"/>
        </w:rPr>
      </w:pPr>
    </w:p>
    <w:p w:rsidR="00AE2E46" w:rsidRDefault="00AE2E46">
      <w:pPr>
        <w:pBdr>
          <w:top w:val="nil"/>
          <w:left w:val="nil"/>
          <w:bottom w:val="nil"/>
          <w:right w:val="nil"/>
          <w:between w:val="nil"/>
        </w:pBdr>
        <w:jc w:val="both"/>
        <w:rPr>
          <w:rFonts w:ascii="Arial" w:eastAsia="Arial" w:hAnsi="Arial" w:cs="Arial"/>
          <w:color w:val="000000"/>
        </w:rPr>
      </w:pPr>
    </w:p>
    <w:p w:rsidR="00AE2E46" w:rsidRDefault="0081682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rsidR="00AE2E46" w:rsidRDefault="00AE2E46">
      <w:pPr>
        <w:keepNext/>
        <w:pBdr>
          <w:top w:val="nil"/>
          <w:left w:val="nil"/>
          <w:bottom w:val="nil"/>
          <w:right w:val="nil"/>
          <w:between w:val="nil"/>
        </w:pBdr>
        <w:jc w:val="both"/>
        <w:rPr>
          <w:rFonts w:ascii="Arial" w:eastAsia="Arial" w:hAnsi="Arial" w:cs="Arial"/>
          <w:b/>
          <w:bCs/>
          <w:smallCaps/>
          <w:color w:val="000000"/>
          <w:sz w:val="22"/>
          <w:szCs w:val="22"/>
        </w:rPr>
      </w:pPr>
    </w:p>
    <w:p w:rsidR="00AE2E46" w:rsidRDefault="00816825">
      <w:r>
        <w:t xml:space="preserve">The findings revealed that most respondents were within the ideal reproductive age group, were married, and had relatively high educational attainment, which may contribute to better awareness and understanding of maternal health practices. </w:t>
      </w:r>
    </w:p>
    <w:p w:rsidR="00AE2E46" w:rsidRDefault="00AE2E46"/>
    <w:p w:rsidR="00AE2E46" w:rsidRDefault="00816825">
      <w:r>
        <w:lastRenderedPageBreak/>
        <w:t>The results f</w:t>
      </w:r>
      <w:r>
        <w:t>urther showed that the majority of pregnant women demonstrated a highly positive attitude toward prenatal care, recognizing the importance of regular prenatal visits, laboratory monitoring, and facility-based delivery. These findings indicate that responde</w:t>
      </w:r>
      <w:r>
        <w:t xml:space="preserve">nts generally possessed good knowledge and favorable perceptions regarding prenatal health services. </w:t>
      </w:r>
    </w:p>
    <w:p w:rsidR="00AE2E46" w:rsidRDefault="00AE2E46"/>
    <w:p w:rsidR="00AE2E46" w:rsidRDefault="00816825">
      <w:r>
        <w:t>In terms of compliance, the respondents showed generally good adherence to prenatal care practices, particularly in laboratory procedures and micronutrie</w:t>
      </w:r>
      <w:r>
        <w:t xml:space="preserve">nt supplementation. However, slightly lower compliance was observed in certain areas such as immunization and dental checkups, suggesting the need for improved health education and service accessibility in these aspects of prenatal care. </w:t>
      </w:r>
    </w:p>
    <w:p w:rsidR="00AE2E46" w:rsidRDefault="00AE2E46"/>
    <w:p w:rsidR="00AE2E46" w:rsidRDefault="00816825">
      <w:r>
        <w:t>Moreover, the st</w:t>
      </w:r>
      <w:r>
        <w:t>udy identified a statistically significant positive relationship between attitude and compliance toward prenatal care, indicating that pregnant women with more positive attitudes were more likely to follow recommended prenatal practices. This finding suppo</w:t>
      </w:r>
      <w:r>
        <w:t xml:space="preserve">rts Pender’s Health Promotion Model, which emphasizes that positive health beliefs influence health-promoting behaviors among individuals. </w:t>
      </w:r>
    </w:p>
    <w:p w:rsidR="00AE2E46" w:rsidRDefault="00AE2E46">
      <w:pPr>
        <w:rPr>
          <w:rFonts w:ascii="Arial" w:eastAsia="Arial" w:hAnsi="Arial" w:cs="Arial"/>
          <w:b/>
          <w:bCs/>
        </w:rPr>
      </w:pPr>
    </w:p>
    <w:p w:rsidR="00F80804" w:rsidRPr="00F80804" w:rsidRDefault="00F80804" w:rsidP="00F80804">
      <w:pPr>
        <w:rPr>
          <w:rFonts w:ascii="Arial" w:eastAsia="Arial" w:hAnsi="Arial" w:cs="Arial"/>
          <w:b/>
          <w:bCs/>
        </w:rPr>
      </w:pPr>
      <w:r w:rsidRPr="00F80804">
        <w:rPr>
          <w:rFonts w:ascii="Arial" w:eastAsia="Arial" w:hAnsi="Arial" w:cs="Arial"/>
          <w:b/>
          <w:bCs/>
        </w:rPr>
        <w:t xml:space="preserve">Consent </w:t>
      </w:r>
    </w:p>
    <w:p w:rsidR="00F80804" w:rsidRDefault="00F80804" w:rsidP="00F80804">
      <w:pPr>
        <w:rPr>
          <w:rFonts w:ascii="Arial" w:eastAsia="Arial" w:hAnsi="Arial" w:cs="Arial"/>
          <w:b/>
          <w:bCs/>
        </w:rPr>
      </w:pPr>
      <w:r w:rsidRPr="00F80804">
        <w:rPr>
          <w:rFonts w:ascii="Arial" w:eastAsia="Arial" w:hAnsi="Arial" w:cs="Arial"/>
          <w:b/>
          <w:bCs/>
        </w:rPr>
        <w:t>As per international standards or university standards, respondents’ written consent has been collected and preserved by the author(s).</w:t>
      </w:r>
    </w:p>
    <w:p w:rsidR="00AE2E46" w:rsidRDefault="00AE2E46">
      <w:pPr>
        <w:keepNext/>
        <w:pBdr>
          <w:top w:val="nil"/>
          <w:left w:val="nil"/>
          <w:bottom w:val="nil"/>
          <w:right w:val="nil"/>
          <w:between w:val="nil"/>
        </w:pBdr>
        <w:jc w:val="both"/>
        <w:rPr>
          <w:rFonts w:ascii="Arial" w:eastAsia="Arial" w:hAnsi="Arial" w:cs="Arial"/>
          <w:smallCaps/>
          <w:color w:val="000000"/>
          <w:sz w:val="22"/>
          <w:szCs w:val="22"/>
        </w:rPr>
      </w:pPr>
    </w:p>
    <w:p w:rsidR="00AE2E46" w:rsidRDefault="0081682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Ethical approval </w:t>
      </w:r>
    </w:p>
    <w:p w:rsidR="00AE2E46" w:rsidRDefault="00AE2E46">
      <w:pPr>
        <w:keepNext/>
        <w:pBdr>
          <w:top w:val="nil"/>
          <w:left w:val="nil"/>
          <w:bottom w:val="nil"/>
          <w:right w:val="nil"/>
          <w:between w:val="nil"/>
        </w:pBdr>
        <w:jc w:val="both"/>
        <w:rPr>
          <w:rFonts w:ascii="Arial" w:eastAsia="Arial" w:hAnsi="Arial" w:cs="Arial"/>
          <w:b/>
          <w:bCs/>
          <w:smallCaps/>
          <w:sz w:val="22"/>
          <w:szCs w:val="22"/>
        </w:rPr>
      </w:pPr>
    </w:p>
    <w:p w:rsidR="00AE2E46" w:rsidRDefault="00816825">
      <w:pPr>
        <w:rPr>
          <w:rFonts w:ascii="Arial" w:eastAsia="Arial" w:hAnsi="Arial" w:cs="Arial"/>
        </w:rPr>
      </w:pPr>
      <w:r>
        <w:rPr>
          <w:rFonts w:ascii="Arial" w:eastAsia="Arial" w:hAnsi="Arial" w:cs="Arial"/>
        </w:rPr>
        <w:t>All authors hereby declare that the study was submitted to the Iloilo Doctors’ Institutional Re</w:t>
      </w:r>
      <w:r>
        <w:rPr>
          <w:rFonts w:ascii="Arial" w:eastAsia="Arial" w:hAnsi="Arial" w:cs="Arial"/>
        </w:rPr>
        <w:t>search Committee (IDIREC) before data collection and was granted ethical clearance (IDIREC-2025.OI_239).</w:t>
      </w:r>
    </w:p>
    <w:p w:rsidR="00AE2E46" w:rsidRDefault="00AE2E46">
      <w:pPr>
        <w:rPr>
          <w:rFonts w:ascii="Arial" w:eastAsia="Arial" w:hAnsi="Arial" w:cs="Arial"/>
        </w:rPr>
      </w:pPr>
    </w:p>
    <w:p w:rsidR="00AE2E46" w:rsidRDefault="00816825">
      <w:pPr>
        <w:rPr>
          <w:rFonts w:ascii="Arial" w:eastAsia="Arial" w:hAnsi="Arial" w:cs="Arial"/>
        </w:rPr>
      </w:pPr>
      <w:r>
        <w:rPr>
          <w:rFonts w:ascii="Arial" w:eastAsia="Arial" w:hAnsi="Arial" w:cs="Arial"/>
        </w:rPr>
        <w:t>COMPETING INTERESTS DISCLAIMER:</w:t>
      </w:r>
    </w:p>
    <w:p w:rsidR="00AE2E46" w:rsidRDefault="00816825">
      <w:pPr>
        <w:rPr>
          <w:rFonts w:ascii="Arial" w:eastAsia="Arial" w:hAnsi="Arial" w:cs="Arial"/>
        </w:rPr>
      </w:pPr>
      <w:r>
        <w:rPr>
          <w:rFonts w:ascii="Arial" w:eastAsia="Arial" w:hAnsi="Arial" w:cs="Arial"/>
        </w:rPr>
        <w:t>Authors have declared that they have no known competing financial interests OR non-financial interests OR personal rel</w:t>
      </w:r>
      <w:r>
        <w:rPr>
          <w:rFonts w:ascii="Arial" w:eastAsia="Arial" w:hAnsi="Arial" w:cs="Arial"/>
        </w:rPr>
        <w:t>ationships that could have appeared to influence the work reported in this paper.</w:t>
      </w:r>
    </w:p>
    <w:p w:rsidR="00AE2E46" w:rsidRDefault="00AE2E46">
      <w:pPr>
        <w:rPr>
          <w:rFonts w:ascii="Arial" w:eastAsia="Arial" w:hAnsi="Arial" w:cs="Arial"/>
        </w:rPr>
      </w:pPr>
    </w:p>
    <w:p w:rsidR="00AE2E46" w:rsidRDefault="00816825">
      <w:bookmarkStart w:id="1" w:name="_heading=h.q431z7vebjk" w:colFirst="0" w:colLast="0"/>
      <w:bookmarkEnd w:id="1"/>
      <w:r>
        <w:t>DISCLAIMER (ARTIFICIAL INTELLEGENCE)</w:t>
      </w:r>
    </w:p>
    <w:p w:rsidR="00AE2E46" w:rsidRDefault="00816825">
      <w:r>
        <w:t>Author(s) hereby declare</w:t>
      </w:r>
      <w:r>
        <w:t xml:space="preserve"> that NO generative AI technologies such as Large Language Models (ChatGPT, COPILOT, etc.) and text-to-image generators have been used during the writing or editing of this manuscript. </w:t>
      </w:r>
    </w:p>
    <w:p w:rsidR="00AE2E46" w:rsidRDefault="00AE2E46">
      <w:pPr>
        <w:rPr>
          <w:rFonts w:ascii="Arial" w:eastAsia="Arial" w:hAnsi="Arial" w:cs="Arial"/>
        </w:rPr>
      </w:pPr>
      <w:bookmarkStart w:id="2" w:name="_heading=h.ok50aveb4z8k" w:colFirst="0" w:colLast="0"/>
      <w:bookmarkEnd w:id="2"/>
    </w:p>
    <w:p w:rsidR="00AE2E46" w:rsidRDefault="00AE2E46">
      <w:pPr>
        <w:keepNext/>
        <w:pBdr>
          <w:top w:val="nil"/>
          <w:left w:val="nil"/>
          <w:bottom w:val="nil"/>
          <w:right w:val="nil"/>
          <w:between w:val="nil"/>
        </w:pBdr>
        <w:jc w:val="both"/>
        <w:rPr>
          <w:rFonts w:ascii="Arial" w:eastAsia="Arial" w:hAnsi="Arial" w:cs="Arial"/>
          <w:b/>
          <w:bCs/>
          <w:smallCaps/>
          <w:color w:val="000000"/>
          <w:sz w:val="22"/>
          <w:szCs w:val="22"/>
        </w:rPr>
      </w:pPr>
    </w:p>
    <w:p w:rsidR="00AE2E46" w:rsidRDefault="00AE2E46">
      <w:pPr>
        <w:keepNext/>
        <w:pBdr>
          <w:top w:val="nil"/>
          <w:left w:val="nil"/>
          <w:bottom w:val="nil"/>
          <w:right w:val="nil"/>
          <w:between w:val="nil"/>
        </w:pBdr>
        <w:jc w:val="both"/>
        <w:rPr>
          <w:rFonts w:ascii="Arial" w:eastAsia="Arial" w:hAnsi="Arial" w:cs="Arial"/>
          <w:b/>
          <w:bCs/>
          <w:smallCaps/>
          <w:sz w:val="22"/>
          <w:szCs w:val="22"/>
        </w:rPr>
      </w:pPr>
    </w:p>
    <w:p w:rsidR="00AE2E46" w:rsidRDefault="00816825">
      <w:pPr>
        <w:keepNext/>
        <w:jc w:val="both"/>
        <w:rPr>
          <w:rFonts w:ascii="Arial" w:eastAsia="Arial" w:hAnsi="Arial" w:cs="Arial"/>
          <w:b/>
          <w:bCs/>
          <w:smallCaps/>
          <w:sz w:val="22"/>
          <w:szCs w:val="22"/>
        </w:rPr>
      </w:pPr>
      <w:r>
        <w:rPr>
          <w:rFonts w:ascii="Arial" w:eastAsia="Arial" w:hAnsi="Arial" w:cs="Arial"/>
          <w:b/>
          <w:bCs/>
          <w:smallCaps/>
          <w:sz w:val="22"/>
          <w:szCs w:val="22"/>
        </w:rPr>
        <w:t>References</w:t>
      </w:r>
    </w:p>
    <w:p w:rsidR="00AE2E46" w:rsidRDefault="00AE2E46">
      <w:pPr>
        <w:keepNext/>
        <w:jc w:val="both"/>
        <w:rPr>
          <w:rFonts w:ascii="Arial" w:eastAsia="Arial" w:hAnsi="Arial" w:cs="Arial"/>
          <w:b/>
          <w:bCs/>
          <w:smallCaps/>
          <w:sz w:val="22"/>
          <w:szCs w:val="22"/>
        </w:rPr>
      </w:pPr>
    </w:p>
    <w:p w:rsidR="00AE2E46" w:rsidRDefault="00816825">
      <w:pPr>
        <w:rPr>
          <w:rFonts w:ascii="Arial" w:eastAsia="Arial" w:hAnsi="Arial" w:cs="Arial"/>
          <w:highlight w:val="yellow"/>
        </w:rPr>
      </w:pPr>
      <w:proofErr w:type="spellStart"/>
      <w:r>
        <w:rPr>
          <w:rFonts w:ascii="Arial" w:eastAsia="Arial" w:hAnsi="Arial" w:cs="Arial"/>
          <w:highlight w:val="yellow"/>
        </w:rPr>
        <w:t>Abdulfatah</w:t>
      </w:r>
      <w:proofErr w:type="spellEnd"/>
      <w:r>
        <w:rPr>
          <w:rFonts w:ascii="Arial" w:eastAsia="Arial" w:hAnsi="Arial" w:cs="Arial"/>
          <w:highlight w:val="yellow"/>
        </w:rPr>
        <w:t xml:space="preserve"> AJ, </w:t>
      </w:r>
      <w:proofErr w:type="spellStart"/>
      <w:r>
        <w:rPr>
          <w:rFonts w:ascii="Arial" w:eastAsia="Arial" w:hAnsi="Arial" w:cs="Arial"/>
          <w:highlight w:val="yellow"/>
        </w:rPr>
        <w:t>Marzoq</w:t>
      </w:r>
      <w:proofErr w:type="spellEnd"/>
      <w:r>
        <w:rPr>
          <w:rFonts w:ascii="Arial" w:eastAsia="Arial" w:hAnsi="Arial" w:cs="Arial"/>
          <w:highlight w:val="yellow"/>
        </w:rPr>
        <w:t xml:space="preserve"> AO, </w:t>
      </w:r>
      <w:proofErr w:type="spellStart"/>
      <w:r>
        <w:rPr>
          <w:rFonts w:ascii="Arial" w:eastAsia="Arial" w:hAnsi="Arial" w:cs="Arial"/>
          <w:highlight w:val="yellow"/>
        </w:rPr>
        <w:t>Abdulnasser</w:t>
      </w:r>
      <w:proofErr w:type="spellEnd"/>
      <w:r>
        <w:rPr>
          <w:rFonts w:ascii="Arial" w:eastAsia="Arial" w:hAnsi="Arial" w:cs="Arial"/>
          <w:highlight w:val="yellow"/>
        </w:rPr>
        <w:t xml:space="preserve"> AH. Knowledge, attitude and practice of pregnant women toward antenatal care at public hospitals in Sana’a City-Yemen. J </w:t>
      </w:r>
      <w:proofErr w:type="spellStart"/>
      <w:r>
        <w:rPr>
          <w:rFonts w:ascii="Arial" w:eastAsia="Arial" w:hAnsi="Arial" w:cs="Arial"/>
          <w:highlight w:val="yellow"/>
        </w:rPr>
        <w:t>Nurs</w:t>
      </w:r>
      <w:proofErr w:type="spellEnd"/>
      <w:r>
        <w:rPr>
          <w:rFonts w:ascii="Arial" w:eastAsia="Arial" w:hAnsi="Arial" w:cs="Arial"/>
          <w:highlight w:val="yellow"/>
        </w:rPr>
        <w:t xml:space="preserve"> Health Sci. 2022;16(3):38-44.</w:t>
      </w:r>
    </w:p>
    <w:p w:rsidR="00AE2E46" w:rsidRDefault="00AE2E46">
      <w:pPr>
        <w:rPr>
          <w:rFonts w:ascii="Arial" w:eastAsia="Arial" w:hAnsi="Arial" w:cs="Arial"/>
          <w:highlight w:val="yellow"/>
        </w:rPr>
      </w:pPr>
    </w:p>
    <w:p w:rsidR="00AE2E46" w:rsidRDefault="00816825">
      <w:pPr>
        <w:rPr>
          <w:rFonts w:ascii="Arial" w:eastAsia="Arial" w:hAnsi="Arial" w:cs="Arial"/>
          <w:highlight w:val="yellow"/>
        </w:rPr>
      </w:pPr>
      <w:proofErr w:type="spellStart"/>
      <w:r>
        <w:rPr>
          <w:rFonts w:ascii="Arial" w:eastAsia="Arial" w:hAnsi="Arial" w:cs="Arial"/>
          <w:highlight w:val="yellow"/>
        </w:rPr>
        <w:t>Albarqi</w:t>
      </w:r>
      <w:proofErr w:type="spellEnd"/>
      <w:r>
        <w:rPr>
          <w:rFonts w:ascii="Arial" w:eastAsia="Arial" w:hAnsi="Arial" w:cs="Arial"/>
          <w:highlight w:val="yellow"/>
        </w:rPr>
        <w:t xml:space="preserve"> MN. The impact of prenatal care on the prevention of neonatal outcomes: A </w:t>
      </w:r>
      <w:r>
        <w:rPr>
          <w:rFonts w:ascii="Arial" w:eastAsia="Arial" w:hAnsi="Arial" w:cs="Arial"/>
          <w:highlight w:val="yellow"/>
        </w:rPr>
        <w:t>systematic review and meta-analysis of global health interventions. Healthcare. 2025;13(9):1076. doi:10.3390/healthcare13091076</w:t>
      </w:r>
    </w:p>
    <w:p w:rsidR="00AE2E46" w:rsidRDefault="00AE2E46">
      <w:pPr>
        <w:rPr>
          <w:rFonts w:ascii="Arial" w:eastAsia="Arial" w:hAnsi="Arial" w:cs="Arial"/>
          <w:highlight w:val="yellow"/>
        </w:rPr>
      </w:pPr>
    </w:p>
    <w:p w:rsidR="00AE2E46" w:rsidRDefault="00816825">
      <w:pPr>
        <w:rPr>
          <w:rFonts w:ascii="Arial" w:eastAsia="Arial" w:hAnsi="Arial" w:cs="Arial"/>
          <w:highlight w:val="yellow"/>
        </w:rPr>
      </w:pPr>
      <w:proofErr w:type="spellStart"/>
      <w:r>
        <w:rPr>
          <w:rFonts w:ascii="Arial" w:eastAsia="Arial" w:hAnsi="Arial" w:cs="Arial"/>
          <w:highlight w:val="yellow"/>
        </w:rPr>
        <w:lastRenderedPageBreak/>
        <w:t>Alnabri</w:t>
      </w:r>
      <w:proofErr w:type="spellEnd"/>
      <w:r>
        <w:rPr>
          <w:rFonts w:ascii="Arial" w:eastAsia="Arial" w:hAnsi="Arial" w:cs="Arial"/>
          <w:highlight w:val="yellow"/>
        </w:rPr>
        <w:t xml:space="preserve"> AAM, </w:t>
      </w:r>
      <w:proofErr w:type="spellStart"/>
      <w:r>
        <w:rPr>
          <w:rFonts w:ascii="Arial" w:eastAsia="Arial" w:hAnsi="Arial" w:cs="Arial"/>
          <w:highlight w:val="yellow"/>
        </w:rPr>
        <w:t>Ulhaq</w:t>
      </w:r>
      <w:proofErr w:type="spellEnd"/>
      <w:r>
        <w:rPr>
          <w:rFonts w:ascii="Arial" w:eastAsia="Arial" w:hAnsi="Arial" w:cs="Arial"/>
          <w:highlight w:val="yellow"/>
        </w:rPr>
        <w:t xml:space="preserve"> NIN, </w:t>
      </w:r>
      <w:proofErr w:type="spellStart"/>
      <w:r>
        <w:rPr>
          <w:rFonts w:ascii="Arial" w:eastAsia="Arial" w:hAnsi="Arial" w:cs="Arial"/>
          <w:highlight w:val="yellow"/>
        </w:rPr>
        <w:t>Kabbos</w:t>
      </w:r>
      <w:proofErr w:type="spellEnd"/>
      <w:r>
        <w:rPr>
          <w:rFonts w:ascii="Arial" w:eastAsia="Arial" w:hAnsi="Arial" w:cs="Arial"/>
          <w:highlight w:val="yellow"/>
        </w:rPr>
        <w:t xml:space="preserve"> RSA, </w:t>
      </w:r>
      <w:proofErr w:type="spellStart"/>
      <w:r>
        <w:rPr>
          <w:rFonts w:ascii="Arial" w:eastAsia="Arial" w:hAnsi="Arial" w:cs="Arial"/>
          <w:highlight w:val="yellow"/>
        </w:rPr>
        <w:t>Aljohani</w:t>
      </w:r>
      <w:proofErr w:type="spellEnd"/>
      <w:r>
        <w:rPr>
          <w:rFonts w:ascii="Arial" w:eastAsia="Arial" w:hAnsi="Arial" w:cs="Arial"/>
          <w:highlight w:val="yellow"/>
        </w:rPr>
        <w:t xml:space="preserve"> SSM, Alshammari RZ, Alanazi MS, et al. Knowledge, attitudes, and concerns regardin</w:t>
      </w:r>
      <w:r>
        <w:rPr>
          <w:rFonts w:ascii="Arial" w:eastAsia="Arial" w:hAnsi="Arial" w:cs="Arial"/>
          <w:highlight w:val="yellow"/>
        </w:rPr>
        <w:t xml:space="preserve">g antenatal pregnancy screening among women in Hail City and its surrounding provinces: A cross-sectional survey study. J Family Med Prim Care. 2025;14(5):2041-2047. </w:t>
      </w:r>
      <w:proofErr w:type="spellStart"/>
      <w:r>
        <w:rPr>
          <w:rFonts w:ascii="Arial" w:eastAsia="Arial" w:hAnsi="Arial" w:cs="Arial"/>
          <w:highlight w:val="yellow"/>
        </w:rPr>
        <w:t>doi</w:t>
      </w:r>
      <w:proofErr w:type="spellEnd"/>
      <w:r>
        <w:rPr>
          <w:rFonts w:ascii="Arial" w:eastAsia="Arial" w:hAnsi="Arial" w:cs="Arial"/>
          <w:highlight w:val="yellow"/>
        </w:rPr>
        <w:t>: 10.4103/jfmpc.jfmpc_1914_24</w:t>
      </w:r>
    </w:p>
    <w:p w:rsidR="00AE2E46" w:rsidRDefault="00AE2E46">
      <w:pPr>
        <w:rPr>
          <w:rFonts w:ascii="Arial" w:eastAsia="Arial" w:hAnsi="Arial" w:cs="Arial"/>
          <w:highlight w:val="yellow"/>
        </w:rPr>
      </w:pPr>
    </w:p>
    <w:p w:rsidR="00AE2E46" w:rsidRDefault="00816825">
      <w:pPr>
        <w:rPr>
          <w:rFonts w:ascii="Arial" w:eastAsia="Arial" w:hAnsi="Arial" w:cs="Arial"/>
          <w:highlight w:val="yellow"/>
        </w:rPr>
      </w:pPr>
      <w:r>
        <w:rPr>
          <w:rFonts w:ascii="Arial" w:eastAsia="Arial" w:hAnsi="Arial" w:cs="Arial"/>
          <w:highlight w:val="yellow"/>
        </w:rPr>
        <w:t xml:space="preserve">Amit AML, Pepito VCF, De Los Reyes SJ, Tang CS, </w:t>
      </w:r>
      <w:proofErr w:type="spellStart"/>
      <w:r>
        <w:rPr>
          <w:rFonts w:ascii="Arial" w:eastAsia="Arial" w:hAnsi="Arial" w:cs="Arial"/>
          <w:highlight w:val="yellow"/>
        </w:rPr>
        <w:t>Aliazas</w:t>
      </w:r>
      <w:proofErr w:type="spellEnd"/>
      <w:r>
        <w:rPr>
          <w:rFonts w:ascii="Arial" w:eastAsia="Arial" w:hAnsi="Arial" w:cs="Arial"/>
          <w:highlight w:val="yellow"/>
        </w:rPr>
        <w:t xml:space="preserve"> </w:t>
      </w:r>
      <w:r>
        <w:rPr>
          <w:rFonts w:ascii="Arial" w:eastAsia="Arial" w:hAnsi="Arial" w:cs="Arial"/>
          <w:highlight w:val="yellow"/>
        </w:rPr>
        <w:t xml:space="preserve">NAK, </w:t>
      </w:r>
      <w:proofErr w:type="spellStart"/>
      <w:r>
        <w:rPr>
          <w:rFonts w:ascii="Arial" w:eastAsia="Arial" w:hAnsi="Arial" w:cs="Arial"/>
          <w:highlight w:val="yellow"/>
        </w:rPr>
        <w:t>Sumpaico-Tanchanco</w:t>
      </w:r>
      <w:proofErr w:type="spellEnd"/>
      <w:r>
        <w:rPr>
          <w:rFonts w:ascii="Arial" w:eastAsia="Arial" w:hAnsi="Arial" w:cs="Arial"/>
          <w:highlight w:val="yellow"/>
        </w:rPr>
        <w:t xml:space="preserve"> L. Prevalence and determinants of home delivery in urban and rural Philippines: Evidence from the 2017 National Demographic and Health Survey. </w:t>
      </w:r>
      <w:proofErr w:type="spellStart"/>
      <w:r>
        <w:rPr>
          <w:rFonts w:ascii="Arial" w:eastAsia="Arial" w:hAnsi="Arial" w:cs="Arial"/>
          <w:highlight w:val="yellow"/>
        </w:rPr>
        <w:t>Womens</w:t>
      </w:r>
      <w:proofErr w:type="spellEnd"/>
      <w:r>
        <w:rPr>
          <w:rFonts w:ascii="Arial" w:eastAsia="Arial" w:hAnsi="Arial" w:cs="Arial"/>
          <w:highlight w:val="yellow"/>
        </w:rPr>
        <w:t xml:space="preserve"> Health (</w:t>
      </w:r>
      <w:proofErr w:type="spellStart"/>
      <w:r>
        <w:rPr>
          <w:rFonts w:ascii="Arial" w:eastAsia="Arial" w:hAnsi="Arial" w:cs="Arial"/>
          <w:highlight w:val="yellow"/>
        </w:rPr>
        <w:t>Lond</w:t>
      </w:r>
      <w:proofErr w:type="spellEnd"/>
      <w:r>
        <w:rPr>
          <w:rFonts w:ascii="Arial" w:eastAsia="Arial" w:hAnsi="Arial" w:cs="Arial"/>
          <w:highlight w:val="yellow"/>
        </w:rPr>
        <w:t xml:space="preserve">). </w:t>
      </w:r>
      <w:proofErr w:type="gramStart"/>
      <w:r>
        <w:rPr>
          <w:rFonts w:ascii="Arial" w:eastAsia="Arial" w:hAnsi="Arial" w:cs="Arial"/>
          <w:highlight w:val="yellow"/>
        </w:rPr>
        <w:t>2022;18:17455057221117957</w:t>
      </w:r>
      <w:proofErr w:type="gramEnd"/>
      <w:r>
        <w:rPr>
          <w:rFonts w:ascii="Arial" w:eastAsia="Arial" w:hAnsi="Arial" w:cs="Arial"/>
          <w:highlight w:val="yellow"/>
        </w:rPr>
        <w:t xml:space="preserve">. </w:t>
      </w:r>
      <w:proofErr w:type="spellStart"/>
      <w:r>
        <w:rPr>
          <w:rFonts w:ascii="Arial" w:eastAsia="Arial" w:hAnsi="Arial" w:cs="Arial"/>
          <w:highlight w:val="yellow"/>
        </w:rPr>
        <w:t>doi</w:t>
      </w:r>
      <w:proofErr w:type="spellEnd"/>
      <w:r>
        <w:rPr>
          <w:rFonts w:ascii="Arial" w:eastAsia="Arial" w:hAnsi="Arial" w:cs="Arial"/>
          <w:highlight w:val="yellow"/>
        </w:rPr>
        <w:t>: 10.1177/17455057221117957</w:t>
      </w:r>
    </w:p>
    <w:p w:rsidR="00AE2E46" w:rsidRDefault="00AE2E46">
      <w:pPr>
        <w:rPr>
          <w:rFonts w:ascii="Arial" w:eastAsia="Arial" w:hAnsi="Arial" w:cs="Arial"/>
          <w:highlight w:val="yellow"/>
        </w:rPr>
      </w:pPr>
    </w:p>
    <w:p w:rsidR="00AE2E46" w:rsidRDefault="00816825">
      <w:pPr>
        <w:rPr>
          <w:rFonts w:ascii="Arial" w:eastAsia="Arial" w:hAnsi="Arial" w:cs="Arial"/>
          <w:highlight w:val="yellow"/>
        </w:rPr>
      </w:pPr>
      <w:proofErr w:type="spellStart"/>
      <w:r>
        <w:rPr>
          <w:rFonts w:ascii="Arial" w:eastAsia="Arial" w:hAnsi="Arial" w:cs="Arial"/>
          <w:highlight w:val="yellow"/>
        </w:rPr>
        <w:t>Aqtam</w:t>
      </w:r>
      <w:proofErr w:type="spellEnd"/>
      <w:r>
        <w:rPr>
          <w:rFonts w:ascii="Arial" w:eastAsia="Arial" w:hAnsi="Arial" w:cs="Arial"/>
          <w:highlight w:val="yellow"/>
        </w:rPr>
        <w:t xml:space="preserve"> I,</w:t>
      </w:r>
      <w:r>
        <w:rPr>
          <w:rFonts w:ascii="Arial" w:eastAsia="Arial" w:hAnsi="Arial" w:cs="Arial"/>
          <w:highlight w:val="yellow"/>
        </w:rPr>
        <w:t xml:space="preserve"> </w:t>
      </w:r>
      <w:proofErr w:type="spellStart"/>
      <w:r>
        <w:rPr>
          <w:rFonts w:ascii="Arial" w:eastAsia="Arial" w:hAnsi="Arial" w:cs="Arial"/>
          <w:highlight w:val="yellow"/>
        </w:rPr>
        <w:t>Darawwad</w:t>
      </w:r>
      <w:proofErr w:type="spellEnd"/>
      <w:r>
        <w:rPr>
          <w:rFonts w:ascii="Arial" w:eastAsia="Arial" w:hAnsi="Arial" w:cs="Arial"/>
          <w:highlight w:val="yellow"/>
        </w:rPr>
        <w:t xml:space="preserve"> M. Health promotion model: An integrative literature review. Open J </w:t>
      </w:r>
      <w:proofErr w:type="spellStart"/>
      <w:r>
        <w:rPr>
          <w:rFonts w:ascii="Arial" w:eastAsia="Arial" w:hAnsi="Arial" w:cs="Arial"/>
          <w:highlight w:val="yellow"/>
        </w:rPr>
        <w:t>Nurs</w:t>
      </w:r>
      <w:proofErr w:type="spellEnd"/>
      <w:r>
        <w:rPr>
          <w:rFonts w:ascii="Arial" w:eastAsia="Arial" w:hAnsi="Arial" w:cs="Arial"/>
          <w:highlight w:val="yellow"/>
        </w:rPr>
        <w:t>. 2018;8(7):485-503.</w:t>
      </w:r>
    </w:p>
    <w:p w:rsidR="00AE2E46" w:rsidRDefault="00AE2E46">
      <w:pPr>
        <w:rPr>
          <w:rFonts w:ascii="Arial" w:eastAsia="Arial" w:hAnsi="Arial" w:cs="Arial"/>
          <w:highlight w:val="yellow"/>
        </w:rPr>
      </w:pPr>
    </w:p>
    <w:p w:rsidR="00AE2E46" w:rsidRDefault="00816825">
      <w:pPr>
        <w:rPr>
          <w:rFonts w:ascii="Arial" w:eastAsia="Arial" w:hAnsi="Arial" w:cs="Arial"/>
          <w:highlight w:val="yellow"/>
        </w:rPr>
      </w:pPr>
      <w:proofErr w:type="spellStart"/>
      <w:r>
        <w:rPr>
          <w:rFonts w:ascii="Arial" w:eastAsia="Arial" w:hAnsi="Arial" w:cs="Arial"/>
          <w:highlight w:val="yellow"/>
        </w:rPr>
        <w:t>Asumah</w:t>
      </w:r>
      <w:proofErr w:type="spellEnd"/>
      <w:r>
        <w:rPr>
          <w:rFonts w:ascii="Arial" w:eastAsia="Arial" w:hAnsi="Arial" w:cs="Arial"/>
          <w:highlight w:val="yellow"/>
        </w:rPr>
        <w:t xml:space="preserve"> MN, </w:t>
      </w:r>
      <w:proofErr w:type="spellStart"/>
      <w:r>
        <w:rPr>
          <w:rFonts w:ascii="Arial" w:eastAsia="Arial" w:hAnsi="Arial" w:cs="Arial"/>
          <w:highlight w:val="yellow"/>
        </w:rPr>
        <w:t>Abubakari</w:t>
      </w:r>
      <w:proofErr w:type="spellEnd"/>
      <w:r>
        <w:rPr>
          <w:rFonts w:ascii="Arial" w:eastAsia="Arial" w:hAnsi="Arial" w:cs="Arial"/>
          <w:highlight w:val="yellow"/>
        </w:rPr>
        <w:t xml:space="preserve"> A, </w:t>
      </w:r>
      <w:proofErr w:type="spellStart"/>
      <w:r>
        <w:rPr>
          <w:rFonts w:ascii="Arial" w:eastAsia="Arial" w:hAnsi="Arial" w:cs="Arial"/>
          <w:highlight w:val="yellow"/>
        </w:rPr>
        <w:t>Abdulai</w:t>
      </w:r>
      <w:proofErr w:type="spellEnd"/>
      <w:r>
        <w:rPr>
          <w:rFonts w:ascii="Arial" w:eastAsia="Arial" w:hAnsi="Arial" w:cs="Arial"/>
          <w:highlight w:val="yellow"/>
        </w:rPr>
        <w:t xml:space="preserve"> AM, </w:t>
      </w:r>
      <w:proofErr w:type="spellStart"/>
      <w:r>
        <w:rPr>
          <w:rFonts w:ascii="Arial" w:eastAsia="Arial" w:hAnsi="Arial" w:cs="Arial"/>
          <w:highlight w:val="yellow"/>
        </w:rPr>
        <w:t>Nukpezah</w:t>
      </w:r>
      <w:proofErr w:type="spellEnd"/>
      <w:r>
        <w:rPr>
          <w:rFonts w:ascii="Arial" w:eastAsia="Arial" w:hAnsi="Arial" w:cs="Arial"/>
          <w:highlight w:val="yellow"/>
        </w:rPr>
        <w:t xml:space="preserve"> RN, Adomako-Boateng F, </w:t>
      </w:r>
      <w:proofErr w:type="spellStart"/>
      <w:r>
        <w:rPr>
          <w:rFonts w:ascii="Arial" w:eastAsia="Arial" w:hAnsi="Arial" w:cs="Arial"/>
          <w:highlight w:val="yellow"/>
        </w:rPr>
        <w:t>Faridu</w:t>
      </w:r>
      <w:proofErr w:type="spellEnd"/>
      <w:r>
        <w:rPr>
          <w:rFonts w:ascii="Arial" w:eastAsia="Arial" w:hAnsi="Arial" w:cs="Arial"/>
          <w:highlight w:val="yellow"/>
        </w:rPr>
        <w:t xml:space="preserve"> AW, et al. Sociodemographic and maternal determinants of postnatal care utili</w:t>
      </w:r>
      <w:r>
        <w:rPr>
          <w:rFonts w:ascii="Arial" w:eastAsia="Arial" w:hAnsi="Arial" w:cs="Arial"/>
          <w:highlight w:val="yellow"/>
        </w:rPr>
        <w:t xml:space="preserve">zation: A cross-sectional study. SAGE Open </w:t>
      </w:r>
      <w:proofErr w:type="spellStart"/>
      <w:r>
        <w:rPr>
          <w:rFonts w:ascii="Arial" w:eastAsia="Arial" w:hAnsi="Arial" w:cs="Arial"/>
          <w:highlight w:val="yellow"/>
        </w:rPr>
        <w:t>Nurs</w:t>
      </w:r>
      <w:proofErr w:type="spellEnd"/>
      <w:r>
        <w:rPr>
          <w:rFonts w:ascii="Arial" w:eastAsia="Arial" w:hAnsi="Arial" w:cs="Arial"/>
          <w:highlight w:val="yellow"/>
        </w:rPr>
        <w:t xml:space="preserve">. </w:t>
      </w:r>
      <w:proofErr w:type="gramStart"/>
      <w:r>
        <w:rPr>
          <w:rFonts w:ascii="Arial" w:eastAsia="Arial" w:hAnsi="Arial" w:cs="Arial"/>
          <w:highlight w:val="yellow"/>
        </w:rPr>
        <w:t>2023;9:23779608231206759</w:t>
      </w:r>
      <w:proofErr w:type="gramEnd"/>
      <w:r>
        <w:rPr>
          <w:rFonts w:ascii="Arial" w:eastAsia="Arial" w:hAnsi="Arial" w:cs="Arial"/>
          <w:highlight w:val="yellow"/>
        </w:rPr>
        <w:t>. doi:10.1177/23779608231206759</w:t>
      </w:r>
    </w:p>
    <w:p w:rsidR="00AE2E46" w:rsidRDefault="00AE2E46">
      <w:pPr>
        <w:rPr>
          <w:rFonts w:ascii="Arial" w:eastAsia="Arial" w:hAnsi="Arial" w:cs="Arial"/>
          <w:highlight w:val="yellow"/>
        </w:rPr>
      </w:pPr>
    </w:p>
    <w:p w:rsidR="00AE2E46" w:rsidRDefault="00816825">
      <w:pPr>
        <w:rPr>
          <w:rFonts w:ascii="Arial" w:eastAsia="Arial" w:hAnsi="Arial" w:cs="Arial"/>
          <w:highlight w:val="yellow"/>
        </w:rPr>
      </w:pPr>
      <w:r>
        <w:rPr>
          <w:rFonts w:ascii="Arial" w:eastAsia="Arial" w:hAnsi="Arial" w:cs="Arial"/>
          <w:highlight w:val="yellow"/>
        </w:rPr>
        <w:t xml:space="preserve">Bain LE, Aboagye RG, </w:t>
      </w:r>
      <w:proofErr w:type="spellStart"/>
      <w:r>
        <w:rPr>
          <w:rFonts w:ascii="Arial" w:eastAsia="Arial" w:hAnsi="Arial" w:cs="Arial"/>
          <w:highlight w:val="yellow"/>
        </w:rPr>
        <w:t>Dowou</w:t>
      </w:r>
      <w:proofErr w:type="spellEnd"/>
      <w:r>
        <w:rPr>
          <w:rFonts w:ascii="Arial" w:eastAsia="Arial" w:hAnsi="Arial" w:cs="Arial"/>
          <w:highlight w:val="yellow"/>
        </w:rPr>
        <w:t xml:space="preserve"> RK, </w:t>
      </w:r>
      <w:proofErr w:type="spellStart"/>
      <w:r>
        <w:rPr>
          <w:rFonts w:ascii="Arial" w:eastAsia="Arial" w:hAnsi="Arial" w:cs="Arial"/>
          <w:highlight w:val="yellow"/>
        </w:rPr>
        <w:t>Ameyaw</w:t>
      </w:r>
      <w:proofErr w:type="spellEnd"/>
      <w:r>
        <w:rPr>
          <w:rFonts w:ascii="Arial" w:eastAsia="Arial" w:hAnsi="Arial" w:cs="Arial"/>
          <w:highlight w:val="yellow"/>
        </w:rPr>
        <w:t xml:space="preserve"> EK, </w:t>
      </w:r>
      <w:proofErr w:type="spellStart"/>
      <w:r>
        <w:rPr>
          <w:rFonts w:ascii="Arial" w:eastAsia="Arial" w:hAnsi="Arial" w:cs="Arial"/>
          <w:highlight w:val="yellow"/>
        </w:rPr>
        <w:t>Hayfron-Birnie</w:t>
      </w:r>
      <w:proofErr w:type="spellEnd"/>
      <w:r>
        <w:rPr>
          <w:rFonts w:ascii="Arial" w:eastAsia="Arial" w:hAnsi="Arial" w:cs="Arial"/>
          <w:highlight w:val="yellow"/>
        </w:rPr>
        <w:t xml:space="preserve"> J, </w:t>
      </w:r>
      <w:proofErr w:type="spellStart"/>
      <w:r>
        <w:rPr>
          <w:rFonts w:ascii="Arial" w:eastAsia="Arial" w:hAnsi="Arial" w:cs="Arial"/>
          <w:highlight w:val="yellow"/>
        </w:rPr>
        <w:t>Aduo</w:t>
      </w:r>
      <w:proofErr w:type="spellEnd"/>
      <w:r>
        <w:rPr>
          <w:rFonts w:ascii="Arial" w:eastAsia="Arial" w:hAnsi="Arial" w:cs="Arial"/>
          <w:highlight w:val="yellow"/>
        </w:rPr>
        <w:t xml:space="preserve">-Adjei K, et al. Prevalence and determinants of maternal healthcare </w:t>
      </w:r>
      <w:proofErr w:type="spellStart"/>
      <w:r>
        <w:rPr>
          <w:rFonts w:ascii="Arial" w:eastAsia="Arial" w:hAnsi="Arial" w:cs="Arial"/>
          <w:highlight w:val="yellow"/>
        </w:rPr>
        <w:t>utilisation</w:t>
      </w:r>
      <w:proofErr w:type="spellEnd"/>
      <w:r>
        <w:rPr>
          <w:rFonts w:ascii="Arial" w:eastAsia="Arial" w:hAnsi="Arial" w:cs="Arial"/>
          <w:highlight w:val="yellow"/>
        </w:rPr>
        <w:t xml:space="preserve"> among </w:t>
      </w:r>
      <w:r>
        <w:rPr>
          <w:rFonts w:ascii="Arial" w:eastAsia="Arial" w:hAnsi="Arial" w:cs="Arial"/>
          <w:highlight w:val="yellow"/>
        </w:rPr>
        <w:t xml:space="preserve">young women in sub-Saharan Africa: Cross-sectional analyses of demographic and health survey data. BMC Public Health. </w:t>
      </w:r>
      <w:proofErr w:type="gramStart"/>
      <w:r>
        <w:rPr>
          <w:rFonts w:ascii="Arial" w:eastAsia="Arial" w:hAnsi="Arial" w:cs="Arial"/>
          <w:highlight w:val="yellow"/>
        </w:rPr>
        <w:t>2022;22:647</w:t>
      </w:r>
      <w:proofErr w:type="gramEnd"/>
      <w:r>
        <w:rPr>
          <w:rFonts w:ascii="Arial" w:eastAsia="Arial" w:hAnsi="Arial" w:cs="Arial"/>
          <w:highlight w:val="yellow"/>
        </w:rPr>
        <w:t xml:space="preserve">. </w:t>
      </w:r>
      <w:proofErr w:type="spellStart"/>
      <w:r>
        <w:rPr>
          <w:rFonts w:ascii="Arial" w:eastAsia="Arial" w:hAnsi="Arial" w:cs="Arial"/>
          <w:highlight w:val="yellow"/>
        </w:rPr>
        <w:t>doi</w:t>
      </w:r>
      <w:proofErr w:type="spellEnd"/>
      <w:r>
        <w:rPr>
          <w:rFonts w:ascii="Arial" w:eastAsia="Arial" w:hAnsi="Arial" w:cs="Arial"/>
          <w:highlight w:val="yellow"/>
        </w:rPr>
        <w:t>: 10.1186/s12889-022-13037-8</w:t>
      </w:r>
    </w:p>
    <w:p w:rsidR="00AE2E46" w:rsidRDefault="00AE2E46">
      <w:pPr>
        <w:rPr>
          <w:rFonts w:ascii="Arial" w:eastAsia="Arial" w:hAnsi="Arial" w:cs="Arial"/>
          <w:highlight w:val="yellow"/>
        </w:rPr>
      </w:pPr>
    </w:p>
    <w:p w:rsidR="00AE2E46" w:rsidRDefault="00816825">
      <w:pPr>
        <w:rPr>
          <w:rFonts w:ascii="Arial" w:eastAsia="Arial" w:hAnsi="Arial" w:cs="Arial"/>
          <w:highlight w:val="yellow"/>
        </w:rPr>
      </w:pPr>
      <w:r>
        <w:rPr>
          <w:rFonts w:ascii="Arial" w:eastAsia="Arial" w:hAnsi="Arial" w:cs="Arial"/>
          <w:highlight w:val="yellow"/>
        </w:rPr>
        <w:t>Bashir S, Ansari AH, Sultana A. Knowledge, attitude, and practice on antenatal care among pr</w:t>
      </w:r>
      <w:r>
        <w:rPr>
          <w:rFonts w:ascii="Arial" w:eastAsia="Arial" w:hAnsi="Arial" w:cs="Arial"/>
          <w:highlight w:val="yellow"/>
        </w:rPr>
        <w:t xml:space="preserve">egnant women and its association with sociodemographic factors: A hospital-based study. J Patient Exp. 2023;10(2):23743735231183578. </w:t>
      </w:r>
      <w:proofErr w:type="spellStart"/>
      <w:r>
        <w:rPr>
          <w:rFonts w:ascii="Arial" w:eastAsia="Arial" w:hAnsi="Arial" w:cs="Arial"/>
          <w:highlight w:val="yellow"/>
        </w:rPr>
        <w:t>doi</w:t>
      </w:r>
      <w:proofErr w:type="spellEnd"/>
      <w:r>
        <w:rPr>
          <w:rFonts w:ascii="Arial" w:eastAsia="Arial" w:hAnsi="Arial" w:cs="Arial"/>
          <w:highlight w:val="yellow"/>
        </w:rPr>
        <w:t>: 10.1177/23743735231183578</w:t>
      </w:r>
    </w:p>
    <w:p w:rsidR="00AE2E46" w:rsidRDefault="00AE2E46">
      <w:pPr>
        <w:rPr>
          <w:rFonts w:ascii="Arial" w:eastAsia="Arial" w:hAnsi="Arial" w:cs="Arial"/>
          <w:highlight w:val="yellow"/>
        </w:rPr>
      </w:pPr>
    </w:p>
    <w:p w:rsidR="00AE2E46" w:rsidRDefault="00816825">
      <w:pPr>
        <w:rPr>
          <w:rFonts w:ascii="Arial" w:eastAsia="Arial" w:hAnsi="Arial" w:cs="Arial"/>
          <w:highlight w:val="yellow"/>
        </w:rPr>
      </w:pPr>
      <w:r>
        <w:rPr>
          <w:rFonts w:ascii="Arial" w:eastAsia="Arial" w:hAnsi="Arial" w:cs="Arial"/>
          <w:highlight w:val="yellow"/>
        </w:rPr>
        <w:t>Billingham SA, Whitehead AL, Julious SA. An audit of sample sizes for pilot and feasibility</w:t>
      </w:r>
      <w:r>
        <w:rPr>
          <w:rFonts w:ascii="Arial" w:eastAsia="Arial" w:hAnsi="Arial" w:cs="Arial"/>
          <w:highlight w:val="yellow"/>
        </w:rPr>
        <w:t xml:space="preserve"> trials being undertaken in the United Kingdom registered in the United Kingdom Clinical Research Network database. BMC Med Res </w:t>
      </w:r>
      <w:proofErr w:type="spellStart"/>
      <w:r>
        <w:rPr>
          <w:rFonts w:ascii="Arial" w:eastAsia="Arial" w:hAnsi="Arial" w:cs="Arial"/>
          <w:highlight w:val="yellow"/>
        </w:rPr>
        <w:t>Methodol</w:t>
      </w:r>
      <w:proofErr w:type="spellEnd"/>
      <w:r>
        <w:rPr>
          <w:rFonts w:ascii="Arial" w:eastAsia="Arial" w:hAnsi="Arial" w:cs="Arial"/>
          <w:highlight w:val="yellow"/>
        </w:rPr>
        <w:t xml:space="preserve">. </w:t>
      </w:r>
      <w:proofErr w:type="gramStart"/>
      <w:r>
        <w:rPr>
          <w:rFonts w:ascii="Arial" w:eastAsia="Arial" w:hAnsi="Arial" w:cs="Arial"/>
          <w:highlight w:val="yellow"/>
        </w:rPr>
        <w:t>2013;13:104</w:t>
      </w:r>
      <w:proofErr w:type="gramEnd"/>
      <w:r>
        <w:rPr>
          <w:rFonts w:ascii="Arial" w:eastAsia="Arial" w:hAnsi="Arial" w:cs="Arial"/>
          <w:highlight w:val="yellow"/>
        </w:rPr>
        <w:t xml:space="preserve">. </w:t>
      </w:r>
      <w:proofErr w:type="spellStart"/>
      <w:r>
        <w:rPr>
          <w:rFonts w:ascii="Arial" w:eastAsia="Arial" w:hAnsi="Arial" w:cs="Arial"/>
          <w:highlight w:val="yellow"/>
        </w:rPr>
        <w:t>doi</w:t>
      </w:r>
      <w:proofErr w:type="spellEnd"/>
      <w:r>
        <w:rPr>
          <w:rFonts w:ascii="Arial" w:eastAsia="Arial" w:hAnsi="Arial" w:cs="Arial"/>
          <w:highlight w:val="yellow"/>
        </w:rPr>
        <w:t>: 10.1186/1471-2288-13-104</w:t>
      </w:r>
    </w:p>
    <w:p w:rsidR="00AE2E46" w:rsidRDefault="00AE2E46">
      <w:pPr>
        <w:rPr>
          <w:rFonts w:ascii="Arial" w:eastAsia="Arial" w:hAnsi="Arial" w:cs="Arial"/>
          <w:highlight w:val="yellow"/>
        </w:rPr>
      </w:pPr>
    </w:p>
    <w:p w:rsidR="00AE2E46" w:rsidRDefault="00816825">
      <w:pPr>
        <w:rPr>
          <w:rFonts w:ascii="Arial" w:eastAsia="Arial" w:hAnsi="Arial" w:cs="Arial"/>
          <w:highlight w:val="yellow"/>
        </w:rPr>
      </w:pPr>
      <w:r>
        <w:rPr>
          <w:rFonts w:ascii="Arial" w:eastAsia="Arial" w:hAnsi="Arial" w:cs="Arial"/>
          <w:highlight w:val="yellow"/>
        </w:rPr>
        <w:t>Chen W, Liu Z, Yang W, Li H, Li R. Nutritional knowledge, attitude and pra</w:t>
      </w:r>
      <w:r>
        <w:rPr>
          <w:rFonts w:ascii="Arial" w:eastAsia="Arial" w:hAnsi="Arial" w:cs="Arial"/>
          <w:highlight w:val="yellow"/>
        </w:rPr>
        <w:t xml:space="preserve">ctices among pregnant females in 2020 Shenzhen China: A cross-sectional study. Prev Med Rep. </w:t>
      </w:r>
      <w:proofErr w:type="gramStart"/>
      <w:r>
        <w:rPr>
          <w:rFonts w:ascii="Arial" w:eastAsia="Arial" w:hAnsi="Arial" w:cs="Arial"/>
          <w:highlight w:val="yellow"/>
        </w:rPr>
        <w:t>2023;32:102155</w:t>
      </w:r>
      <w:proofErr w:type="gramEnd"/>
      <w:r>
        <w:rPr>
          <w:rFonts w:ascii="Arial" w:eastAsia="Arial" w:hAnsi="Arial" w:cs="Arial"/>
          <w:highlight w:val="yellow"/>
        </w:rPr>
        <w:t xml:space="preserve">. </w:t>
      </w:r>
      <w:proofErr w:type="spellStart"/>
      <w:r>
        <w:rPr>
          <w:rFonts w:ascii="Arial" w:eastAsia="Arial" w:hAnsi="Arial" w:cs="Arial"/>
          <w:highlight w:val="yellow"/>
        </w:rPr>
        <w:t>doi</w:t>
      </w:r>
      <w:proofErr w:type="spellEnd"/>
      <w:r>
        <w:rPr>
          <w:rFonts w:ascii="Arial" w:eastAsia="Arial" w:hAnsi="Arial" w:cs="Arial"/>
          <w:highlight w:val="yellow"/>
        </w:rPr>
        <w:t>: 10.1016/j.pmedr.2023.102155</w:t>
      </w:r>
    </w:p>
    <w:p w:rsidR="00AE2E46" w:rsidRDefault="00AE2E46">
      <w:pPr>
        <w:rPr>
          <w:rFonts w:ascii="Arial" w:eastAsia="Arial" w:hAnsi="Arial" w:cs="Arial"/>
          <w:highlight w:val="yellow"/>
        </w:rPr>
      </w:pPr>
    </w:p>
    <w:p w:rsidR="00AE2E46" w:rsidRDefault="00816825">
      <w:pPr>
        <w:rPr>
          <w:rFonts w:ascii="Arial" w:eastAsia="Arial" w:hAnsi="Arial" w:cs="Arial"/>
          <w:highlight w:val="yellow"/>
        </w:rPr>
      </w:pPr>
      <w:r>
        <w:rPr>
          <w:rFonts w:ascii="Arial" w:eastAsia="Arial" w:hAnsi="Arial" w:cs="Arial"/>
          <w:highlight w:val="yellow"/>
        </w:rPr>
        <w:t xml:space="preserve">Cherry K. Attitudes: how they form, change, and shape behavior [Internet]. </w:t>
      </w:r>
      <w:proofErr w:type="spellStart"/>
      <w:r>
        <w:rPr>
          <w:rFonts w:ascii="Arial" w:eastAsia="Arial" w:hAnsi="Arial" w:cs="Arial"/>
          <w:highlight w:val="yellow"/>
        </w:rPr>
        <w:t>Verywell</w:t>
      </w:r>
      <w:proofErr w:type="spellEnd"/>
      <w:r>
        <w:rPr>
          <w:rFonts w:ascii="Arial" w:eastAsia="Arial" w:hAnsi="Arial" w:cs="Arial"/>
          <w:highlight w:val="yellow"/>
        </w:rPr>
        <w:t xml:space="preserve"> Mind; 2024 [updated 2024 May;</w:t>
      </w:r>
      <w:r>
        <w:rPr>
          <w:rFonts w:ascii="Arial" w:eastAsia="Arial" w:hAnsi="Arial" w:cs="Arial"/>
          <w:highlight w:val="yellow"/>
        </w:rPr>
        <w:t xml:space="preserve"> cited 2026 Mar 18]. Available from: https://www.verywellmind.com</w:t>
      </w:r>
    </w:p>
    <w:p w:rsidR="00AE2E46" w:rsidRDefault="00AE2E46">
      <w:pPr>
        <w:rPr>
          <w:rFonts w:ascii="Arial" w:eastAsia="Arial" w:hAnsi="Arial" w:cs="Arial"/>
          <w:highlight w:val="yellow"/>
        </w:rPr>
      </w:pPr>
    </w:p>
    <w:p w:rsidR="00AE2E46" w:rsidRDefault="00816825">
      <w:pPr>
        <w:rPr>
          <w:rFonts w:ascii="Arial" w:eastAsia="Arial" w:hAnsi="Arial" w:cs="Arial"/>
          <w:highlight w:val="yellow"/>
        </w:rPr>
      </w:pPr>
      <w:r>
        <w:rPr>
          <w:rFonts w:ascii="Arial" w:eastAsia="Arial" w:hAnsi="Arial" w:cs="Arial"/>
          <w:highlight w:val="yellow"/>
        </w:rPr>
        <w:t>Creswell JW, Creswell JD. Research design: Qualitative, quantitative, and mixed methods approaches. 5th ed. Thousand Oaks (CA): SAGE Publications; 2018.</w:t>
      </w:r>
    </w:p>
    <w:p w:rsidR="00AE2E46" w:rsidRDefault="00AE2E46">
      <w:pPr>
        <w:rPr>
          <w:rFonts w:ascii="Arial" w:eastAsia="Arial" w:hAnsi="Arial" w:cs="Arial"/>
          <w:highlight w:val="yellow"/>
        </w:rPr>
      </w:pPr>
    </w:p>
    <w:p w:rsidR="00AE2E46" w:rsidRDefault="00816825">
      <w:pPr>
        <w:rPr>
          <w:rFonts w:ascii="Arial" w:eastAsia="Arial" w:hAnsi="Arial" w:cs="Arial"/>
          <w:highlight w:val="yellow"/>
        </w:rPr>
      </w:pPr>
      <w:r>
        <w:rPr>
          <w:rFonts w:ascii="Arial" w:eastAsia="Arial" w:hAnsi="Arial" w:cs="Arial"/>
          <w:highlight w:val="yellow"/>
        </w:rPr>
        <w:t>Damor A, Mehta S. Knowledge and att</w:t>
      </w:r>
      <w:r>
        <w:rPr>
          <w:rFonts w:ascii="Arial" w:eastAsia="Arial" w:hAnsi="Arial" w:cs="Arial"/>
          <w:highlight w:val="yellow"/>
        </w:rPr>
        <w:t>itude of antenatal mother regarding high-risk pregnancy in a tertiary care hospital in Western India. Natl J Community Med. 2021;12(1):11-14.</w:t>
      </w:r>
    </w:p>
    <w:p w:rsidR="00AE2E46" w:rsidRDefault="00AE2E46">
      <w:pPr>
        <w:rPr>
          <w:rFonts w:ascii="Arial" w:eastAsia="Arial" w:hAnsi="Arial" w:cs="Arial"/>
          <w:highlight w:val="yellow"/>
        </w:rPr>
      </w:pPr>
    </w:p>
    <w:p w:rsidR="00AE2E46" w:rsidRDefault="00816825">
      <w:pPr>
        <w:rPr>
          <w:rFonts w:ascii="Arial" w:eastAsia="Arial" w:hAnsi="Arial" w:cs="Arial"/>
          <w:highlight w:val="yellow"/>
        </w:rPr>
      </w:pPr>
      <w:r>
        <w:rPr>
          <w:rFonts w:ascii="Arial" w:eastAsia="Arial" w:hAnsi="Arial" w:cs="Arial"/>
          <w:highlight w:val="yellow"/>
        </w:rPr>
        <w:t xml:space="preserve">de Guzman GS, Banal-Silao MJB. Antenatal care utilization during the COVID-19 pandemic: An online cross-sectional survey among Filipino women. BMC Pregnancy Childbirth. </w:t>
      </w:r>
      <w:proofErr w:type="gramStart"/>
      <w:r>
        <w:rPr>
          <w:rFonts w:ascii="Arial" w:eastAsia="Arial" w:hAnsi="Arial" w:cs="Arial"/>
          <w:highlight w:val="yellow"/>
        </w:rPr>
        <w:t>2022;22:929</w:t>
      </w:r>
      <w:proofErr w:type="gramEnd"/>
      <w:r>
        <w:rPr>
          <w:rFonts w:ascii="Arial" w:eastAsia="Arial" w:hAnsi="Arial" w:cs="Arial"/>
          <w:highlight w:val="yellow"/>
        </w:rPr>
        <w:t xml:space="preserve">. </w:t>
      </w:r>
      <w:proofErr w:type="spellStart"/>
      <w:r>
        <w:rPr>
          <w:rFonts w:ascii="Arial" w:eastAsia="Arial" w:hAnsi="Arial" w:cs="Arial"/>
          <w:highlight w:val="yellow"/>
        </w:rPr>
        <w:t>doi</w:t>
      </w:r>
      <w:proofErr w:type="spellEnd"/>
      <w:r>
        <w:rPr>
          <w:rFonts w:ascii="Arial" w:eastAsia="Arial" w:hAnsi="Arial" w:cs="Arial"/>
          <w:highlight w:val="yellow"/>
        </w:rPr>
        <w:t>: 10.1186/s12884-022-05234-5</w:t>
      </w:r>
    </w:p>
    <w:p w:rsidR="00AE2E46" w:rsidRDefault="00AE2E46">
      <w:pPr>
        <w:rPr>
          <w:rFonts w:ascii="Arial" w:eastAsia="Arial" w:hAnsi="Arial" w:cs="Arial"/>
          <w:highlight w:val="yellow"/>
        </w:rPr>
      </w:pPr>
    </w:p>
    <w:p w:rsidR="00AE2E46" w:rsidRDefault="00816825">
      <w:pPr>
        <w:rPr>
          <w:rFonts w:ascii="Arial" w:eastAsia="Arial" w:hAnsi="Arial" w:cs="Arial"/>
          <w:highlight w:val="yellow"/>
        </w:rPr>
      </w:pPr>
      <w:proofErr w:type="spellStart"/>
      <w:r>
        <w:rPr>
          <w:rFonts w:ascii="Arial" w:eastAsia="Arial" w:hAnsi="Arial" w:cs="Arial"/>
          <w:highlight w:val="yellow"/>
        </w:rPr>
        <w:t>Etikan</w:t>
      </w:r>
      <w:proofErr w:type="spellEnd"/>
      <w:r>
        <w:rPr>
          <w:rFonts w:ascii="Arial" w:eastAsia="Arial" w:hAnsi="Arial" w:cs="Arial"/>
          <w:highlight w:val="yellow"/>
        </w:rPr>
        <w:t xml:space="preserve"> I, Musa SA, </w:t>
      </w:r>
      <w:proofErr w:type="spellStart"/>
      <w:r>
        <w:rPr>
          <w:rFonts w:ascii="Arial" w:eastAsia="Arial" w:hAnsi="Arial" w:cs="Arial"/>
          <w:highlight w:val="yellow"/>
        </w:rPr>
        <w:t>Alkassim</w:t>
      </w:r>
      <w:proofErr w:type="spellEnd"/>
      <w:r>
        <w:rPr>
          <w:rFonts w:ascii="Arial" w:eastAsia="Arial" w:hAnsi="Arial" w:cs="Arial"/>
          <w:highlight w:val="yellow"/>
        </w:rPr>
        <w:t xml:space="preserve"> RS. Compariso</w:t>
      </w:r>
      <w:r>
        <w:rPr>
          <w:rFonts w:ascii="Arial" w:eastAsia="Arial" w:hAnsi="Arial" w:cs="Arial"/>
          <w:highlight w:val="yellow"/>
        </w:rPr>
        <w:t xml:space="preserve">n of Convenience sampling and Purposive Sampling. Am J Theor Appl Stat. 2015;5(1):1-4. </w:t>
      </w:r>
      <w:proofErr w:type="spellStart"/>
      <w:r>
        <w:rPr>
          <w:rFonts w:ascii="Arial" w:eastAsia="Arial" w:hAnsi="Arial" w:cs="Arial"/>
          <w:highlight w:val="yellow"/>
        </w:rPr>
        <w:t>doi</w:t>
      </w:r>
      <w:proofErr w:type="spellEnd"/>
      <w:r>
        <w:rPr>
          <w:rFonts w:ascii="Arial" w:eastAsia="Arial" w:hAnsi="Arial" w:cs="Arial"/>
          <w:highlight w:val="yellow"/>
        </w:rPr>
        <w:t>: 10.11648/j.ajtas.20160501.11</w:t>
      </w:r>
    </w:p>
    <w:p w:rsidR="00AE2E46" w:rsidRDefault="00AE2E46">
      <w:pPr>
        <w:rPr>
          <w:rFonts w:ascii="Arial" w:eastAsia="Arial" w:hAnsi="Arial" w:cs="Arial"/>
          <w:highlight w:val="yellow"/>
        </w:rPr>
      </w:pPr>
    </w:p>
    <w:p w:rsidR="00AE2E46" w:rsidRDefault="00816825">
      <w:pPr>
        <w:rPr>
          <w:rFonts w:ascii="Arial" w:eastAsia="Arial" w:hAnsi="Arial" w:cs="Arial"/>
          <w:highlight w:val="yellow"/>
        </w:rPr>
      </w:pPr>
      <w:r>
        <w:rPr>
          <w:rFonts w:ascii="Arial" w:eastAsia="Arial" w:hAnsi="Arial" w:cs="Arial"/>
          <w:highlight w:val="yellow"/>
        </w:rPr>
        <w:lastRenderedPageBreak/>
        <w:t>Gray JR, Grove SK. Burns and Grove’s the practice of nursing research: Appraisal, synthesis, and generation of evidence. 9th ed. St. L</w:t>
      </w:r>
      <w:r>
        <w:rPr>
          <w:rFonts w:ascii="Arial" w:eastAsia="Arial" w:hAnsi="Arial" w:cs="Arial"/>
          <w:highlight w:val="yellow"/>
        </w:rPr>
        <w:t>ouis (MO): Elsevier; 2020.</w:t>
      </w:r>
    </w:p>
    <w:p w:rsidR="00AE2E46" w:rsidRDefault="00AE2E46">
      <w:pPr>
        <w:rPr>
          <w:rFonts w:ascii="Arial" w:eastAsia="Arial" w:hAnsi="Arial" w:cs="Arial"/>
          <w:highlight w:val="yellow"/>
        </w:rPr>
      </w:pPr>
    </w:p>
    <w:p w:rsidR="00AE2E46" w:rsidRDefault="00816825">
      <w:pPr>
        <w:rPr>
          <w:rFonts w:ascii="Arial" w:eastAsia="Arial" w:hAnsi="Arial" w:cs="Arial"/>
          <w:highlight w:val="yellow"/>
        </w:rPr>
      </w:pPr>
      <w:r>
        <w:rPr>
          <w:rFonts w:ascii="Arial" w:eastAsia="Arial" w:hAnsi="Arial" w:cs="Arial"/>
          <w:highlight w:val="yellow"/>
        </w:rPr>
        <w:t xml:space="preserve">Lee S, Adam E, </w:t>
      </w:r>
      <w:proofErr w:type="spellStart"/>
      <w:r>
        <w:rPr>
          <w:rFonts w:ascii="Arial" w:eastAsia="Arial" w:hAnsi="Arial" w:cs="Arial"/>
          <w:highlight w:val="yellow"/>
        </w:rPr>
        <w:t>Kanyike</w:t>
      </w:r>
      <w:proofErr w:type="spellEnd"/>
      <w:r>
        <w:rPr>
          <w:rFonts w:ascii="Arial" w:eastAsia="Arial" w:hAnsi="Arial" w:cs="Arial"/>
          <w:highlight w:val="yellow"/>
        </w:rPr>
        <w:t xml:space="preserve"> AM, </w:t>
      </w:r>
      <w:proofErr w:type="spellStart"/>
      <w:r>
        <w:rPr>
          <w:rFonts w:ascii="Arial" w:eastAsia="Arial" w:hAnsi="Arial" w:cs="Arial"/>
          <w:highlight w:val="yellow"/>
        </w:rPr>
        <w:t>Wani</w:t>
      </w:r>
      <w:proofErr w:type="spellEnd"/>
      <w:r>
        <w:rPr>
          <w:rFonts w:ascii="Arial" w:eastAsia="Arial" w:hAnsi="Arial" w:cs="Arial"/>
          <w:highlight w:val="yellow"/>
        </w:rPr>
        <w:t xml:space="preserve"> S, </w:t>
      </w:r>
      <w:proofErr w:type="spellStart"/>
      <w:r>
        <w:rPr>
          <w:rFonts w:ascii="Arial" w:eastAsia="Arial" w:hAnsi="Arial" w:cs="Arial"/>
          <w:highlight w:val="yellow"/>
        </w:rPr>
        <w:t>Kasibante</w:t>
      </w:r>
      <w:proofErr w:type="spellEnd"/>
      <w:r>
        <w:rPr>
          <w:rFonts w:ascii="Arial" w:eastAsia="Arial" w:hAnsi="Arial" w:cs="Arial"/>
          <w:highlight w:val="yellow"/>
        </w:rPr>
        <w:t xml:space="preserve"> S, </w:t>
      </w:r>
      <w:proofErr w:type="spellStart"/>
      <w:r>
        <w:rPr>
          <w:rFonts w:ascii="Arial" w:eastAsia="Arial" w:hAnsi="Arial" w:cs="Arial"/>
          <w:highlight w:val="yellow"/>
        </w:rPr>
        <w:t>Mukunya</w:t>
      </w:r>
      <w:proofErr w:type="spellEnd"/>
      <w:r>
        <w:rPr>
          <w:rFonts w:ascii="Arial" w:eastAsia="Arial" w:hAnsi="Arial" w:cs="Arial"/>
          <w:highlight w:val="yellow"/>
        </w:rPr>
        <w:t xml:space="preserve"> D, </w:t>
      </w:r>
      <w:proofErr w:type="spellStart"/>
      <w:r>
        <w:rPr>
          <w:rFonts w:ascii="Arial" w:eastAsia="Arial" w:hAnsi="Arial" w:cs="Arial"/>
          <w:highlight w:val="yellow"/>
        </w:rPr>
        <w:t>Nantale</w:t>
      </w:r>
      <w:proofErr w:type="spellEnd"/>
      <w:r>
        <w:rPr>
          <w:rFonts w:ascii="Arial" w:eastAsia="Arial" w:hAnsi="Arial" w:cs="Arial"/>
          <w:highlight w:val="yellow"/>
        </w:rPr>
        <w:t xml:space="preserve"> R. Compliance with the WHO recommended 8+ antenatal care contacts schedule among postpartum mothers in eastern Uganda: A cross-sectional study. </w:t>
      </w:r>
      <w:proofErr w:type="spellStart"/>
      <w:r>
        <w:rPr>
          <w:rFonts w:ascii="Arial" w:eastAsia="Arial" w:hAnsi="Arial" w:cs="Arial"/>
          <w:highlight w:val="yellow"/>
        </w:rPr>
        <w:t>PLoS</w:t>
      </w:r>
      <w:proofErr w:type="spellEnd"/>
      <w:r>
        <w:rPr>
          <w:rFonts w:ascii="Arial" w:eastAsia="Arial" w:hAnsi="Arial" w:cs="Arial"/>
          <w:highlight w:val="yellow"/>
        </w:rPr>
        <w:t xml:space="preserve"> One. 2024;19</w:t>
      </w:r>
      <w:r>
        <w:rPr>
          <w:rFonts w:ascii="Arial" w:eastAsia="Arial" w:hAnsi="Arial" w:cs="Arial"/>
          <w:highlight w:val="yellow"/>
        </w:rPr>
        <w:t>(12</w:t>
      </w:r>
      <w:proofErr w:type="gramStart"/>
      <w:r>
        <w:rPr>
          <w:rFonts w:ascii="Arial" w:eastAsia="Arial" w:hAnsi="Arial" w:cs="Arial"/>
          <w:highlight w:val="yellow"/>
        </w:rPr>
        <w:t>):e</w:t>
      </w:r>
      <w:proofErr w:type="gramEnd"/>
      <w:r>
        <w:rPr>
          <w:rFonts w:ascii="Arial" w:eastAsia="Arial" w:hAnsi="Arial" w:cs="Arial"/>
          <w:highlight w:val="yellow"/>
        </w:rPr>
        <w:t xml:space="preserve">0314769. </w:t>
      </w:r>
      <w:proofErr w:type="spellStart"/>
      <w:r>
        <w:rPr>
          <w:rFonts w:ascii="Arial" w:eastAsia="Arial" w:hAnsi="Arial" w:cs="Arial"/>
          <w:highlight w:val="yellow"/>
        </w:rPr>
        <w:t>doi</w:t>
      </w:r>
      <w:proofErr w:type="spellEnd"/>
      <w:r>
        <w:rPr>
          <w:rFonts w:ascii="Arial" w:eastAsia="Arial" w:hAnsi="Arial" w:cs="Arial"/>
          <w:highlight w:val="yellow"/>
        </w:rPr>
        <w:t>: 10.1371/journal.pone.0314769</w:t>
      </w:r>
    </w:p>
    <w:p w:rsidR="00AE2E46" w:rsidRDefault="00AE2E46">
      <w:pPr>
        <w:rPr>
          <w:rFonts w:ascii="Arial" w:eastAsia="Arial" w:hAnsi="Arial" w:cs="Arial"/>
          <w:highlight w:val="yellow"/>
        </w:rPr>
      </w:pPr>
    </w:p>
    <w:p w:rsidR="00AE2E46" w:rsidRDefault="00816825">
      <w:pPr>
        <w:rPr>
          <w:rFonts w:ascii="Arial" w:eastAsia="Arial" w:hAnsi="Arial" w:cs="Arial"/>
          <w:highlight w:val="yellow"/>
        </w:rPr>
      </w:pPr>
      <w:r>
        <w:rPr>
          <w:rFonts w:ascii="Arial" w:eastAsia="Arial" w:hAnsi="Arial" w:cs="Arial"/>
          <w:highlight w:val="yellow"/>
        </w:rPr>
        <w:t>Mahay LC, Coronado RS. Knowledge, attitude, and practices on antenatal care among pregnant women in selected health birthing centers in Butuan City. Int J Res Sci Innov. 2025;12(8):895-916.</w:t>
      </w:r>
    </w:p>
    <w:p w:rsidR="00AE2E46" w:rsidRDefault="00AE2E46">
      <w:pPr>
        <w:rPr>
          <w:rFonts w:ascii="Arial" w:eastAsia="Arial" w:hAnsi="Arial" w:cs="Arial"/>
          <w:highlight w:val="yellow"/>
        </w:rPr>
      </w:pPr>
    </w:p>
    <w:p w:rsidR="00AE2E46" w:rsidRDefault="00816825">
      <w:pPr>
        <w:rPr>
          <w:rFonts w:ascii="Arial" w:eastAsia="Arial" w:hAnsi="Arial" w:cs="Arial"/>
          <w:highlight w:val="yellow"/>
        </w:rPr>
      </w:pPr>
      <w:r>
        <w:rPr>
          <w:rFonts w:ascii="Arial" w:eastAsia="Arial" w:hAnsi="Arial" w:cs="Arial"/>
          <w:highlight w:val="yellow"/>
        </w:rPr>
        <w:t xml:space="preserve">Polit DF, Beck </w:t>
      </w:r>
      <w:r>
        <w:rPr>
          <w:rFonts w:ascii="Arial" w:eastAsia="Arial" w:hAnsi="Arial" w:cs="Arial"/>
          <w:highlight w:val="yellow"/>
        </w:rPr>
        <w:t>CT. Nursing research: Generating and assessing evidence for nursing practice. 11th ed. Philadelphia (PA): Wolters Kluwer; 2021.</w:t>
      </w:r>
    </w:p>
    <w:p w:rsidR="00AE2E46" w:rsidRDefault="00AE2E46">
      <w:pPr>
        <w:rPr>
          <w:rFonts w:ascii="Arial" w:eastAsia="Arial" w:hAnsi="Arial" w:cs="Arial"/>
          <w:highlight w:val="yellow"/>
        </w:rPr>
      </w:pPr>
    </w:p>
    <w:p w:rsidR="00AE2E46" w:rsidRDefault="00816825">
      <w:pPr>
        <w:rPr>
          <w:rFonts w:ascii="Arial" w:eastAsia="Arial" w:hAnsi="Arial" w:cs="Arial"/>
          <w:highlight w:val="yellow"/>
        </w:rPr>
      </w:pPr>
      <w:r>
        <w:rPr>
          <w:rFonts w:ascii="Arial" w:eastAsia="Arial" w:hAnsi="Arial" w:cs="Arial"/>
          <w:highlight w:val="yellow"/>
        </w:rPr>
        <w:t xml:space="preserve">Pender NJ, Murdaugh CL, Parsons MA. Health Promotion </w:t>
      </w:r>
      <w:proofErr w:type="gramStart"/>
      <w:r>
        <w:rPr>
          <w:rFonts w:ascii="Arial" w:eastAsia="Arial" w:hAnsi="Arial" w:cs="Arial"/>
          <w:highlight w:val="yellow"/>
        </w:rPr>
        <w:t>In</w:t>
      </w:r>
      <w:proofErr w:type="gramEnd"/>
      <w:r>
        <w:rPr>
          <w:rFonts w:ascii="Arial" w:eastAsia="Arial" w:hAnsi="Arial" w:cs="Arial"/>
          <w:highlight w:val="yellow"/>
        </w:rPr>
        <w:t xml:space="preserve"> Nursing Practice. 8th ed. Hoboken (NJ): Pearson; 2019.</w:t>
      </w:r>
    </w:p>
    <w:p w:rsidR="00AE2E46" w:rsidRDefault="00AE2E46">
      <w:pPr>
        <w:rPr>
          <w:rFonts w:ascii="Arial" w:eastAsia="Arial" w:hAnsi="Arial" w:cs="Arial"/>
          <w:highlight w:val="yellow"/>
        </w:rPr>
      </w:pPr>
    </w:p>
    <w:p w:rsidR="00AE2E46" w:rsidRDefault="00816825">
      <w:pPr>
        <w:rPr>
          <w:rFonts w:ascii="Arial" w:eastAsia="Arial" w:hAnsi="Arial" w:cs="Arial"/>
          <w:highlight w:val="yellow"/>
        </w:rPr>
      </w:pPr>
      <w:r>
        <w:rPr>
          <w:rFonts w:ascii="Arial" w:eastAsia="Arial" w:hAnsi="Arial" w:cs="Arial"/>
          <w:highlight w:val="yellow"/>
        </w:rPr>
        <w:t>Philippine Stat</w:t>
      </w:r>
      <w:r>
        <w:rPr>
          <w:rFonts w:ascii="Arial" w:eastAsia="Arial" w:hAnsi="Arial" w:cs="Arial"/>
          <w:highlight w:val="yellow"/>
        </w:rPr>
        <w:t>istics Authority (PSA), ICF. Philippines National Demographic and Health Survey 2022 – Final Report. Quezon City (PH): PSA; 2023.</w:t>
      </w:r>
    </w:p>
    <w:p w:rsidR="00AE2E46" w:rsidRDefault="00AE2E46">
      <w:pPr>
        <w:rPr>
          <w:rFonts w:ascii="Arial" w:eastAsia="Arial" w:hAnsi="Arial" w:cs="Arial"/>
          <w:highlight w:val="yellow"/>
        </w:rPr>
      </w:pPr>
    </w:p>
    <w:p w:rsidR="00AE2E46" w:rsidRDefault="00816825">
      <w:pPr>
        <w:rPr>
          <w:rFonts w:ascii="Arial" w:eastAsia="Arial" w:hAnsi="Arial" w:cs="Arial"/>
          <w:highlight w:val="yellow"/>
        </w:rPr>
      </w:pPr>
      <w:r>
        <w:rPr>
          <w:rFonts w:ascii="Arial" w:eastAsia="Arial" w:hAnsi="Arial" w:cs="Arial"/>
          <w:highlight w:val="yellow"/>
        </w:rPr>
        <w:t xml:space="preserve">Rayburn WF. Prenatal care: New perspectives about an </w:t>
      </w:r>
      <w:proofErr w:type="gramStart"/>
      <w:r>
        <w:rPr>
          <w:rFonts w:ascii="Arial" w:eastAsia="Arial" w:hAnsi="Arial" w:cs="Arial"/>
          <w:highlight w:val="yellow"/>
        </w:rPr>
        <w:t>often used</w:t>
      </w:r>
      <w:proofErr w:type="gramEnd"/>
      <w:r>
        <w:rPr>
          <w:rFonts w:ascii="Arial" w:eastAsia="Arial" w:hAnsi="Arial" w:cs="Arial"/>
          <w:highlight w:val="yellow"/>
        </w:rPr>
        <w:t xml:space="preserve"> health service. </w:t>
      </w:r>
      <w:proofErr w:type="spellStart"/>
      <w:r>
        <w:rPr>
          <w:rFonts w:ascii="Arial" w:eastAsia="Arial" w:hAnsi="Arial" w:cs="Arial"/>
          <w:highlight w:val="yellow"/>
        </w:rPr>
        <w:t>Obstet</w:t>
      </w:r>
      <w:proofErr w:type="spellEnd"/>
      <w:r>
        <w:rPr>
          <w:rFonts w:ascii="Arial" w:eastAsia="Arial" w:hAnsi="Arial" w:cs="Arial"/>
          <w:highlight w:val="yellow"/>
        </w:rPr>
        <w:t xml:space="preserve"> </w:t>
      </w:r>
      <w:proofErr w:type="spellStart"/>
      <w:r>
        <w:rPr>
          <w:rFonts w:ascii="Arial" w:eastAsia="Arial" w:hAnsi="Arial" w:cs="Arial"/>
          <w:highlight w:val="yellow"/>
        </w:rPr>
        <w:t>Gynecol</w:t>
      </w:r>
      <w:proofErr w:type="spellEnd"/>
      <w:r>
        <w:rPr>
          <w:rFonts w:ascii="Arial" w:eastAsia="Arial" w:hAnsi="Arial" w:cs="Arial"/>
          <w:highlight w:val="yellow"/>
        </w:rPr>
        <w:t xml:space="preserve"> Clin North Am. 2023. </w:t>
      </w:r>
      <w:proofErr w:type="spellStart"/>
      <w:r>
        <w:rPr>
          <w:rFonts w:ascii="Arial" w:eastAsia="Arial" w:hAnsi="Arial" w:cs="Arial"/>
          <w:highlight w:val="yellow"/>
        </w:rPr>
        <w:t>doi</w:t>
      </w:r>
      <w:proofErr w:type="spellEnd"/>
      <w:r>
        <w:rPr>
          <w:rFonts w:ascii="Arial" w:eastAsia="Arial" w:hAnsi="Arial" w:cs="Arial"/>
          <w:highlight w:val="yellow"/>
        </w:rPr>
        <w:t>: 10.1</w:t>
      </w:r>
      <w:r>
        <w:rPr>
          <w:rFonts w:ascii="Arial" w:eastAsia="Arial" w:hAnsi="Arial" w:cs="Arial"/>
          <w:highlight w:val="yellow"/>
        </w:rPr>
        <w:t>016/j.ogc.2023.04.001</w:t>
      </w:r>
    </w:p>
    <w:p w:rsidR="00AE2E46" w:rsidRDefault="00AE2E46">
      <w:pPr>
        <w:rPr>
          <w:rFonts w:ascii="Arial" w:eastAsia="Arial" w:hAnsi="Arial" w:cs="Arial"/>
          <w:highlight w:val="yellow"/>
        </w:rPr>
      </w:pPr>
    </w:p>
    <w:p w:rsidR="00AE2E46" w:rsidRDefault="00816825">
      <w:pPr>
        <w:rPr>
          <w:rFonts w:ascii="Arial" w:eastAsia="Arial" w:hAnsi="Arial" w:cs="Arial"/>
          <w:highlight w:val="yellow"/>
        </w:rPr>
      </w:pPr>
      <w:proofErr w:type="spellStart"/>
      <w:r>
        <w:rPr>
          <w:rFonts w:ascii="Arial" w:eastAsia="Arial" w:hAnsi="Arial" w:cs="Arial"/>
          <w:highlight w:val="yellow"/>
        </w:rPr>
        <w:t>Tavakol</w:t>
      </w:r>
      <w:proofErr w:type="spellEnd"/>
      <w:r>
        <w:rPr>
          <w:rFonts w:ascii="Arial" w:eastAsia="Arial" w:hAnsi="Arial" w:cs="Arial"/>
          <w:highlight w:val="yellow"/>
        </w:rPr>
        <w:t xml:space="preserve"> M, </w:t>
      </w:r>
      <w:proofErr w:type="spellStart"/>
      <w:r>
        <w:rPr>
          <w:rFonts w:ascii="Arial" w:eastAsia="Arial" w:hAnsi="Arial" w:cs="Arial"/>
          <w:highlight w:val="yellow"/>
        </w:rPr>
        <w:t>Dennick</w:t>
      </w:r>
      <w:proofErr w:type="spellEnd"/>
      <w:r>
        <w:rPr>
          <w:rFonts w:ascii="Arial" w:eastAsia="Arial" w:hAnsi="Arial" w:cs="Arial"/>
          <w:highlight w:val="yellow"/>
        </w:rPr>
        <w:t xml:space="preserve"> R. Making sense of Cronbach’s alpha. Int J Med Educ. </w:t>
      </w:r>
      <w:proofErr w:type="gramStart"/>
      <w:r>
        <w:rPr>
          <w:rFonts w:ascii="Arial" w:eastAsia="Arial" w:hAnsi="Arial" w:cs="Arial"/>
          <w:highlight w:val="yellow"/>
        </w:rPr>
        <w:t>2011;2:53</w:t>
      </w:r>
      <w:proofErr w:type="gramEnd"/>
      <w:r>
        <w:rPr>
          <w:rFonts w:ascii="Arial" w:eastAsia="Arial" w:hAnsi="Arial" w:cs="Arial"/>
          <w:highlight w:val="yellow"/>
        </w:rPr>
        <w:t xml:space="preserve">-55. </w:t>
      </w:r>
      <w:proofErr w:type="spellStart"/>
      <w:r>
        <w:rPr>
          <w:rFonts w:ascii="Arial" w:eastAsia="Arial" w:hAnsi="Arial" w:cs="Arial"/>
          <w:highlight w:val="yellow"/>
        </w:rPr>
        <w:t>doi</w:t>
      </w:r>
      <w:proofErr w:type="spellEnd"/>
      <w:r>
        <w:rPr>
          <w:rFonts w:ascii="Arial" w:eastAsia="Arial" w:hAnsi="Arial" w:cs="Arial"/>
          <w:highlight w:val="yellow"/>
        </w:rPr>
        <w:t>: 10.5116/ijme.4dfb.8dfd</w:t>
      </w:r>
    </w:p>
    <w:p w:rsidR="00AE2E46" w:rsidRDefault="00AE2E46">
      <w:pPr>
        <w:rPr>
          <w:rFonts w:ascii="Arial" w:eastAsia="Arial" w:hAnsi="Arial" w:cs="Arial"/>
          <w:highlight w:val="yellow"/>
        </w:rPr>
      </w:pPr>
    </w:p>
    <w:p w:rsidR="00AE2E46" w:rsidRDefault="00816825">
      <w:pPr>
        <w:rPr>
          <w:rFonts w:ascii="Arial" w:eastAsia="Arial" w:hAnsi="Arial" w:cs="Arial"/>
          <w:highlight w:val="yellow"/>
        </w:rPr>
      </w:pPr>
      <w:r>
        <w:rPr>
          <w:rFonts w:ascii="Arial" w:eastAsia="Arial" w:hAnsi="Arial" w:cs="Arial"/>
          <w:highlight w:val="yellow"/>
        </w:rPr>
        <w:t>UNICEF. Antenatal care [Internet]. UNICEF Data; 2024 [cited 2026 Mar 18]. Available from: https://data.unicef.org</w:t>
      </w:r>
    </w:p>
    <w:p w:rsidR="00AE2E46" w:rsidRDefault="00AE2E46">
      <w:pPr>
        <w:rPr>
          <w:rFonts w:ascii="Arial" w:eastAsia="Arial" w:hAnsi="Arial" w:cs="Arial"/>
          <w:highlight w:val="yellow"/>
        </w:rPr>
      </w:pPr>
    </w:p>
    <w:p w:rsidR="00AE2E46" w:rsidRDefault="00816825">
      <w:pPr>
        <w:rPr>
          <w:rFonts w:ascii="Arial" w:eastAsia="Arial" w:hAnsi="Arial" w:cs="Arial"/>
          <w:highlight w:val="yellow"/>
        </w:rPr>
      </w:pPr>
      <w:r>
        <w:rPr>
          <w:rFonts w:ascii="Arial" w:eastAsia="Arial" w:hAnsi="Arial" w:cs="Arial"/>
          <w:highlight w:val="yellow"/>
        </w:rPr>
        <w:t>Wor</w:t>
      </w:r>
      <w:r>
        <w:rPr>
          <w:rFonts w:ascii="Arial" w:eastAsia="Arial" w:hAnsi="Arial" w:cs="Arial"/>
          <w:highlight w:val="yellow"/>
        </w:rPr>
        <w:t>ld Health Organization. WHO recommendations on antenatal care for a positive pregnancy experience. Geneva: World Health Organization; 2016.</w:t>
      </w:r>
    </w:p>
    <w:p w:rsidR="00AE2E46" w:rsidRDefault="00AE2E46">
      <w:pPr>
        <w:rPr>
          <w:rFonts w:ascii="Arial" w:eastAsia="Arial" w:hAnsi="Arial" w:cs="Arial"/>
          <w:highlight w:val="yellow"/>
        </w:rPr>
      </w:pPr>
    </w:p>
    <w:p w:rsidR="00AE2E46" w:rsidRDefault="00816825">
      <w:pPr>
        <w:rPr>
          <w:rFonts w:ascii="Arial" w:eastAsia="Arial" w:hAnsi="Arial" w:cs="Arial"/>
          <w:highlight w:val="yellow"/>
        </w:rPr>
      </w:pPr>
      <w:proofErr w:type="spellStart"/>
      <w:r>
        <w:rPr>
          <w:rFonts w:ascii="Arial" w:eastAsia="Arial" w:hAnsi="Arial" w:cs="Arial"/>
          <w:highlight w:val="yellow"/>
        </w:rPr>
        <w:t>Wulandari</w:t>
      </w:r>
      <w:proofErr w:type="spellEnd"/>
      <w:r>
        <w:rPr>
          <w:rFonts w:ascii="Arial" w:eastAsia="Arial" w:hAnsi="Arial" w:cs="Arial"/>
          <w:highlight w:val="yellow"/>
        </w:rPr>
        <w:t xml:space="preserve"> RD, </w:t>
      </w:r>
      <w:proofErr w:type="spellStart"/>
      <w:r>
        <w:rPr>
          <w:rFonts w:ascii="Arial" w:eastAsia="Arial" w:hAnsi="Arial" w:cs="Arial"/>
          <w:highlight w:val="yellow"/>
        </w:rPr>
        <w:t>Laksono</w:t>
      </w:r>
      <w:proofErr w:type="spellEnd"/>
      <w:r>
        <w:rPr>
          <w:rFonts w:ascii="Arial" w:eastAsia="Arial" w:hAnsi="Arial" w:cs="Arial"/>
          <w:highlight w:val="yellow"/>
        </w:rPr>
        <w:t xml:space="preserve"> AD, </w:t>
      </w:r>
      <w:proofErr w:type="spellStart"/>
      <w:r>
        <w:rPr>
          <w:rFonts w:ascii="Arial" w:eastAsia="Arial" w:hAnsi="Arial" w:cs="Arial"/>
          <w:highlight w:val="yellow"/>
        </w:rPr>
        <w:t>Rohmah</w:t>
      </w:r>
      <w:proofErr w:type="spellEnd"/>
      <w:r>
        <w:rPr>
          <w:rFonts w:ascii="Arial" w:eastAsia="Arial" w:hAnsi="Arial" w:cs="Arial"/>
          <w:highlight w:val="yellow"/>
        </w:rPr>
        <w:t xml:space="preserve"> N. Urban-rural disparities of antenatal care in Southeast Asia: A case study in th</w:t>
      </w:r>
      <w:r>
        <w:rPr>
          <w:rFonts w:ascii="Arial" w:eastAsia="Arial" w:hAnsi="Arial" w:cs="Arial"/>
          <w:highlight w:val="yellow"/>
        </w:rPr>
        <w:t xml:space="preserve">e Philippines and Indonesia. BMC Public Health. </w:t>
      </w:r>
      <w:proofErr w:type="gramStart"/>
      <w:r>
        <w:rPr>
          <w:rFonts w:ascii="Arial" w:eastAsia="Arial" w:hAnsi="Arial" w:cs="Arial"/>
          <w:highlight w:val="yellow"/>
        </w:rPr>
        <w:t>2021;21:1221</w:t>
      </w:r>
      <w:proofErr w:type="gramEnd"/>
      <w:r>
        <w:rPr>
          <w:rFonts w:ascii="Arial" w:eastAsia="Arial" w:hAnsi="Arial" w:cs="Arial"/>
          <w:highlight w:val="yellow"/>
        </w:rPr>
        <w:t xml:space="preserve">. </w:t>
      </w:r>
      <w:proofErr w:type="spellStart"/>
      <w:r>
        <w:rPr>
          <w:rFonts w:ascii="Arial" w:eastAsia="Arial" w:hAnsi="Arial" w:cs="Arial"/>
          <w:highlight w:val="yellow"/>
        </w:rPr>
        <w:t>doi</w:t>
      </w:r>
      <w:proofErr w:type="spellEnd"/>
      <w:r>
        <w:rPr>
          <w:rFonts w:ascii="Arial" w:eastAsia="Arial" w:hAnsi="Arial" w:cs="Arial"/>
          <w:highlight w:val="yellow"/>
        </w:rPr>
        <w:t>: 10.1186/s12889-021-11318-2</w:t>
      </w:r>
    </w:p>
    <w:p w:rsidR="00AE2E46" w:rsidRDefault="00AE2E46">
      <w:pPr>
        <w:rPr>
          <w:rFonts w:ascii="Arial" w:eastAsia="Arial" w:hAnsi="Arial" w:cs="Arial"/>
          <w:highlight w:val="yellow"/>
        </w:rPr>
      </w:pPr>
    </w:p>
    <w:p w:rsidR="00AE2E46" w:rsidRDefault="00816825">
      <w:pPr>
        <w:rPr>
          <w:rFonts w:ascii="Arial" w:eastAsia="Arial" w:hAnsi="Arial" w:cs="Arial"/>
          <w:highlight w:val="yellow"/>
        </w:rPr>
      </w:pPr>
      <w:r>
        <w:rPr>
          <w:rFonts w:ascii="Arial" w:eastAsia="Arial" w:hAnsi="Arial" w:cs="Arial"/>
          <w:highlight w:val="yellow"/>
        </w:rPr>
        <w:t>Yadav RK, Sharma SK, Patel K. Knowledge, attitude and practice of antenatal care among pregnant women in a tertiary care hospital. J Med Sci Clin Res. 2020;8(2):</w:t>
      </w:r>
      <w:r>
        <w:rPr>
          <w:rFonts w:ascii="Arial" w:eastAsia="Arial" w:hAnsi="Arial" w:cs="Arial"/>
          <w:highlight w:val="yellow"/>
        </w:rPr>
        <w:t>643-648.</w:t>
      </w:r>
    </w:p>
    <w:p w:rsidR="00AE2E46" w:rsidRDefault="00AE2E46">
      <w:pPr>
        <w:rPr>
          <w:rFonts w:ascii="Arial" w:eastAsia="Arial" w:hAnsi="Arial" w:cs="Arial"/>
          <w:highlight w:val="yellow"/>
        </w:rPr>
      </w:pPr>
    </w:p>
    <w:p w:rsidR="00AE2E46" w:rsidRDefault="00816825">
      <w:pPr>
        <w:rPr>
          <w:rFonts w:ascii="Arial" w:eastAsia="Arial" w:hAnsi="Arial" w:cs="Arial"/>
          <w:highlight w:val="yellow"/>
        </w:rPr>
      </w:pPr>
      <w:proofErr w:type="spellStart"/>
      <w:r>
        <w:rPr>
          <w:rFonts w:ascii="Arial" w:eastAsia="Arial" w:hAnsi="Arial" w:cs="Arial"/>
          <w:highlight w:val="yellow"/>
        </w:rPr>
        <w:t>Zuuri</w:t>
      </w:r>
      <w:proofErr w:type="spellEnd"/>
      <w:r>
        <w:rPr>
          <w:rFonts w:ascii="Arial" w:eastAsia="Arial" w:hAnsi="Arial" w:cs="Arial"/>
          <w:highlight w:val="yellow"/>
        </w:rPr>
        <w:t xml:space="preserve"> CN, </w:t>
      </w:r>
      <w:proofErr w:type="spellStart"/>
      <w:r>
        <w:rPr>
          <w:rFonts w:ascii="Arial" w:eastAsia="Arial" w:hAnsi="Arial" w:cs="Arial"/>
          <w:highlight w:val="yellow"/>
        </w:rPr>
        <w:t>Gyamah</w:t>
      </w:r>
      <w:proofErr w:type="spellEnd"/>
      <w:r>
        <w:rPr>
          <w:rFonts w:ascii="Arial" w:eastAsia="Arial" w:hAnsi="Arial" w:cs="Arial"/>
          <w:highlight w:val="yellow"/>
        </w:rPr>
        <w:t xml:space="preserve"> DK, </w:t>
      </w:r>
      <w:proofErr w:type="spellStart"/>
      <w:r>
        <w:rPr>
          <w:rFonts w:ascii="Arial" w:eastAsia="Arial" w:hAnsi="Arial" w:cs="Arial"/>
          <w:highlight w:val="yellow"/>
        </w:rPr>
        <w:t>Buabeng</w:t>
      </w:r>
      <w:proofErr w:type="spellEnd"/>
      <w:r>
        <w:rPr>
          <w:rFonts w:ascii="Arial" w:eastAsia="Arial" w:hAnsi="Arial" w:cs="Arial"/>
          <w:highlight w:val="yellow"/>
        </w:rPr>
        <w:t xml:space="preserve"> L, et al. Assessing the knowledge, attitudes and practices towards malaria prevention and determinants of antenatal care utilization among pregnant women in Sekyere South District, Ghana: A cross-sectional study. Malar J. </w:t>
      </w:r>
      <w:proofErr w:type="gramStart"/>
      <w:r>
        <w:rPr>
          <w:rFonts w:ascii="Arial" w:eastAsia="Arial" w:hAnsi="Arial" w:cs="Arial"/>
          <w:highlight w:val="yellow"/>
        </w:rPr>
        <w:t>2025;24:37</w:t>
      </w:r>
      <w:proofErr w:type="gramEnd"/>
      <w:r>
        <w:rPr>
          <w:rFonts w:ascii="Arial" w:eastAsia="Arial" w:hAnsi="Arial" w:cs="Arial"/>
          <w:highlight w:val="yellow"/>
        </w:rPr>
        <w:t>.</w:t>
      </w:r>
    </w:p>
    <w:p w:rsidR="00AE2E46" w:rsidRDefault="00816825">
      <w:pPr>
        <w:rPr>
          <w:rFonts w:ascii="Arial" w:eastAsia="Arial" w:hAnsi="Arial" w:cs="Arial"/>
          <w:highlight w:val="yellow"/>
        </w:rPr>
      </w:pPr>
      <w:r>
        <w:rPr>
          <w:rFonts w:ascii="Arial" w:eastAsia="Arial" w:hAnsi="Arial" w:cs="Arial"/>
          <w:highlight w:val="yellow"/>
        </w:rPr>
        <w:t>doi:10.1186/s12936-025-05614-0</w:t>
      </w:r>
    </w:p>
    <w:p w:rsidR="00AE2E46" w:rsidRDefault="00AE2E46">
      <w:pPr>
        <w:rPr>
          <w:rFonts w:ascii="Arial" w:eastAsia="Arial" w:hAnsi="Arial" w:cs="Arial"/>
          <w:highlight w:val="yellow"/>
        </w:rPr>
      </w:pPr>
    </w:p>
    <w:p w:rsidR="00AE2E46" w:rsidRDefault="00AE2E46">
      <w:pPr>
        <w:rPr>
          <w:rFonts w:ascii="Arial" w:eastAsia="Arial" w:hAnsi="Arial" w:cs="Arial"/>
          <w:highlight w:val="yellow"/>
        </w:rPr>
        <w:sectPr w:rsidR="00AE2E46">
          <w:headerReference w:type="even" r:id="rId15"/>
          <w:headerReference w:type="default" r:id="rId16"/>
          <w:footerReference w:type="default" r:id="rId17"/>
          <w:headerReference w:type="first" r:id="rId18"/>
          <w:type w:val="continuous"/>
          <w:pgSz w:w="12240" w:h="15840"/>
          <w:pgMar w:top="1440" w:right="2016" w:bottom="2016" w:left="2016" w:header="720" w:footer="1123" w:gutter="0"/>
          <w:lnNumType w:countBy="1" w:restart="continuous"/>
          <w:cols w:space="720"/>
        </w:sectPr>
      </w:pPr>
    </w:p>
    <w:p w:rsidR="00AE2E46" w:rsidRDefault="00AE2E46">
      <w:pPr>
        <w:keepNext/>
        <w:pBdr>
          <w:top w:val="nil"/>
          <w:left w:val="nil"/>
          <w:bottom w:val="nil"/>
          <w:right w:val="nil"/>
          <w:between w:val="nil"/>
        </w:pBdr>
        <w:jc w:val="both"/>
        <w:rPr>
          <w:rFonts w:ascii="Arial" w:eastAsia="Arial" w:hAnsi="Arial" w:cs="Arial"/>
          <w:smallCaps/>
          <w:color w:val="000000"/>
          <w:sz w:val="22"/>
          <w:szCs w:val="22"/>
          <w:highlight w:val="yellow"/>
        </w:rPr>
      </w:pPr>
    </w:p>
    <w:sectPr w:rsidR="00AE2E46">
      <w:type w:val="continuous"/>
      <w:pgSz w:w="12240" w:h="15840"/>
      <w:pgMar w:top="720" w:right="720" w:bottom="720" w:left="72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6825" w:rsidRDefault="00816825">
      <w:r>
        <w:separator/>
      </w:r>
    </w:p>
  </w:endnote>
  <w:endnote w:type="continuationSeparator" w:id="0">
    <w:p w:rsidR="00816825" w:rsidRDefault="00816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Arial"/>
    <w:charset w:val="00"/>
    <w:family w:val="auto"/>
    <w:pitch w:val="default"/>
    <w:embedRegular r:id="rId1" w:fontKey="{2FC9264C-A290-499E-9DC4-BD8E02D75651}"/>
    <w:embedBold r:id="rId2" w:fontKey="{156FC128-42FC-4BE6-962F-78975714F841}"/>
    <w:embedItalic r:id="rId3" w:fontKey="{1FE0E6C2-4153-488A-9F78-1854E9DFDDEE}"/>
    <w:embedBoldItalic r:id="rId4" w:fontKey="{9766293D-133E-48FF-BE59-8EF8D2FEEBE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57BEAAB0-6957-4C8B-A39C-55F67A8575E3}"/>
  </w:font>
  <w:font w:name="Helvetica">
    <w:panose1 w:val="020B0604020202020204"/>
    <w:charset w:val="00"/>
    <w:family w:val="swiss"/>
    <w:pitch w:val="variable"/>
    <w:sig w:usb0="E0002EFF" w:usb1="C000785B" w:usb2="00000009" w:usb3="00000000" w:csb0="000001FF" w:csb1="00000000"/>
    <w:embedRegular r:id="rId6" w:fontKey="{DC77F0E7-2192-4FAA-ADFC-D9D226CBCE1A}"/>
  </w:font>
  <w:font w:name="Tahoma">
    <w:panose1 w:val="020B0604030504040204"/>
    <w:charset w:val="00"/>
    <w:family w:val="swiss"/>
    <w:pitch w:val="variable"/>
    <w:sig w:usb0="E1002EFF" w:usb1="C000605B" w:usb2="00000029" w:usb3="00000000" w:csb0="000101FF" w:csb1="00000000"/>
    <w:embedRegular r:id="rId7" w:fontKey="{880821A1-35DA-4DCD-BC44-D4D397536B3D}"/>
  </w:font>
  <w:font w:name="Georgia">
    <w:panose1 w:val="02040502050405020303"/>
    <w:charset w:val="00"/>
    <w:family w:val="roman"/>
    <w:pitch w:val="variable"/>
    <w:sig w:usb0="00000287" w:usb1="00000000" w:usb2="00000000" w:usb3="00000000" w:csb0="0000009F" w:csb1="00000000"/>
    <w:embedItalic r:id="rId8" w:fontKey="{FFFE884B-7135-4414-952E-26A65B808EA1}"/>
  </w:font>
  <w:font w:name="Arial Unicode MS">
    <w:panose1 w:val="020B0604020202020204"/>
    <w:charset w:val="80"/>
    <w:family w:val="swiss"/>
    <w:pitch w:val="variable"/>
    <w:sig w:usb0="F7FFAFFF" w:usb1="E9DFFFFF" w:usb2="0000003F" w:usb3="00000000" w:csb0="003F01FF" w:csb1="00000000"/>
    <w:embedRegular r:id="rId9" w:subsetted="1" w:fontKey="{B7477F3F-336F-41FA-8621-96284370C8E9}"/>
  </w:font>
  <w:font w:name="Cambria">
    <w:panose1 w:val="02040503050406030204"/>
    <w:charset w:val="00"/>
    <w:family w:val="roman"/>
    <w:pitch w:val="variable"/>
    <w:sig w:usb0="E00006FF" w:usb1="420024FF" w:usb2="02000000" w:usb3="00000000" w:csb0="0000019F" w:csb1="00000000"/>
    <w:embedRegular r:id="rId10" w:fontKey="{74F5518D-4BE7-41F9-BA10-9BEE12C3D2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E46" w:rsidRDefault="00AE2E4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E46" w:rsidRDefault="00AE2E46">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E46" w:rsidRDefault="00AE2E46">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AE2E46" w:rsidRDefault="00816825">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rsidR="00AE2E46" w:rsidRDefault="00AE2E46">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AE2E46" w:rsidRDefault="00816825">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E46" w:rsidRDefault="00AE2E46">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6825" w:rsidRDefault="00816825">
      <w:r>
        <w:separator/>
      </w:r>
    </w:p>
  </w:footnote>
  <w:footnote w:type="continuationSeparator" w:id="0">
    <w:p w:rsidR="00816825" w:rsidRDefault="00816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E46" w:rsidRDefault="00816825">
    <w:pPr>
      <w:pBdr>
        <w:top w:val="nil"/>
        <w:left w:val="nil"/>
        <w:bottom w:val="nil"/>
        <w:right w:val="nil"/>
        <w:between w:val="nil"/>
      </w:pBdr>
      <w:tabs>
        <w:tab w:val="center" w:pos="4320"/>
        <w:tab w:val="right" w:pos="8640"/>
      </w:tabs>
      <w:rPr>
        <w:color w:val="00000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519.9pt;height:58.65pt;rotation:315;z-index:-25165926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E46" w:rsidRDefault="00816825">
    <w:pPr>
      <w:pBdr>
        <w:top w:val="nil"/>
        <w:left w:val="nil"/>
        <w:bottom w:val="nil"/>
        <w:right w:val="nil"/>
        <w:between w:val="nil"/>
      </w:pBdr>
      <w:tabs>
        <w:tab w:val="center" w:pos="4320"/>
        <w:tab w:val="right" w:pos="8640"/>
      </w:tabs>
      <w:rPr>
        <w:color w:val="00000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519.9pt;height:58.65pt;rotation:315;z-index:-25166131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E46" w:rsidRDefault="00816825">
    <w:pPr>
      <w:ind w:left="2160"/>
      <w:jc w:val="center"/>
      <w:rPr>
        <w:rFonts w:ascii="Times New Roman" w:eastAsia="Times New Roman" w:hAnsi="Times New Roman" w:cs="Times New Roman"/>
        <w:i/>
        <w:iCs/>
        <w:sz w:val="18"/>
        <w:szCs w:val="1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519.9pt;height:58.65pt;rotation:315;z-index:-25166028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AE2E46" w:rsidRDefault="00816825">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AE2E46" w:rsidRDefault="00816825">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AE2E46" w:rsidRDefault="00816825">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AE2E46" w:rsidRDefault="00816825">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AE2E46" w:rsidRDefault="00816825">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AE2E46" w:rsidRDefault="00816825">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E46" w:rsidRDefault="00816825">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19.9pt;height:58.65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E46" w:rsidRDefault="00816825">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19.9pt;height:58.65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E46" w:rsidRDefault="00816825">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19.9pt;height:58.65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AB76CA"/>
    <w:multiLevelType w:val="multilevel"/>
    <w:tmpl w:val="E648D8C4"/>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E46"/>
    <w:rsid w:val="00557D61"/>
    <w:rsid w:val="00816825"/>
    <w:rsid w:val="00AE2E46"/>
    <w:rsid w:val="00E07794"/>
    <w:rsid w:val="00F3118C"/>
    <w:rsid w:val="00F808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7CC3DAB"/>
  <w15:docId w15:val="{ECA4D888-B13D-4903-B74C-25AF1D150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table" w:customStyle="1" w:styleId="TableNormal1">
    <w:name w:val="TableNormal"/>
    <w:tblPr>
      <w:tblCellMar>
        <w:top w:w="100" w:type="dxa"/>
        <w:left w:w="100" w:type="dxa"/>
        <w:bottom w:w="100" w:type="dxa"/>
        <w:right w:w="10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ListParagraph">
    <w:name w:val="List Paragraph"/>
    <w:basedOn w:val="Normal"/>
    <w:uiPriority w:val="34"/>
    <w:qFormat/>
    <w:rsid w:val="008974A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ntGWj1JyrLoxqNvw0n880VbkOg==">CgMxLjAaHwoBMBIaChgICVIUChJ0YWJsZS5jY3hlM3V6YzBpZGQaHwoBMRIaChgICVIUChJ0YWJsZS42dXhmM2ZpMDhwaGwaHwoBMhIaChgICVIUChJ0YWJsZS5wa2p1NWdlbTEwaWEaJAoBMxIfCh0IB0IZCgVBcmlhbBIQQXJpYWwgVW5pY29kZSBNUxodCgE0EhgKFggHQhISEEFyaWFsIFVuaWNvZGUgTVMaHwoBNRIaChgICVIUChJ0YWJsZS5uaGVvMXN5ZXFmNngyDWgucTQzMXo3dmViamsyDmgub2s1MGF2ZWI0ejhrOAByITFXeHE5OEh3QXBUX2Z6UG1FQlVQU2VxUnViekFCNG9X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4484</Words>
  <Characters>25563</Characters>
  <Application>Microsoft Office Word</Application>
  <DocSecurity>0</DocSecurity>
  <Lines>213</Lines>
  <Paragraphs>59</Paragraphs>
  <ScaleCrop>false</ScaleCrop>
  <Company/>
  <LinksUpToDate>false</LinksUpToDate>
  <CharactersWithSpaces>29988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1158</cp:lastModifiedBy>
  <cp:revision>3</cp:revision>
  <dcterms:created xsi:type="dcterms:W3CDTF">2014-10-25T14:34:00Z</dcterms:created>
  <dcterms:modified xsi:type="dcterms:W3CDTF">2026-03-23T08:23:00Z</dcterms:modified>
</cp:coreProperties>
</file>