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03AD" w14:textId="61002C22" w:rsidR="00754C9A" w:rsidRDefault="00730641" w:rsidP="00441B6F">
      <w:pPr>
        <w:pStyle w:val="Title"/>
        <w:spacing w:after="0"/>
        <w:jc w:val="both"/>
        <w:rPr>
          <w:rFonts w:ascii="Arial" w:hAnsi="Arial" w:cs="Arial"/>
        </w:rPr>
      </w:pPr>
      <w:r w:rsidRPr="00730641">
        <w:rPr>
          <w:rFonts w:ascii="Arial" w:hAnsi="Arial" w:cs="Arial"/>
        </w:rPr>
        <w:t>Original research article</w:t>
      </w:r>
    </w:p>
    <w:p w14:paraId="09D48966" w14:textId="77777777" w:rsidR="00730641" w:rsidRDefault="00730641" w:rsidP="00441B6F">
      <w:pPr>
        <w:pStyle w:val="Title"/>
        <w:spacing w:after="0"/>
        <w:jc w:val="both"/>
        <w:rPr>
          <w:rFonts w:ascii="Arial" w:hAnsi="Arial" w:cs="Arial"/>
        </w:rPr>
      </w:pPr>
    </w:p>
    <w:p w14:paraId="1036D0BA" w14:textId="12562A35" w:rsidR="00163BC4" w:rsidRPr="00163BC4" w:rsidRDefault="00CD45B9" w:rsidP="00441B6F">
      <w:pPr>
        <w:pStyle w:val="Author"/>
        <w:spacing w:line="240" w:lineRule="auto"/>
        <w:rPr>
          <w:rFonts w:ascii="Arial" w:hAnsi="Arial" w:cs="Arial"/>
          <w:bCs/>
          <w:iCs/>
          <w:kern w:val="28"/>
          <w:sz w:val="36"/>
        </w:rPr>
      </w:pPr>
      <w:r>
        <w:rPr>
          <w:rFonts w:ascii="Arial" w:hAnsi="Arial" w:cs="Arial"/>
          <w:bCs/>
          <w:iCs/>
          <w:kern w:val="28"/>
          <w:sz w:val="36"/>
        </w:rPr>
        <w:t xml:space="preserve">Steroid therapy in traumatic </w:t>
      </w:r>
      <w:r w:rsidR="00D65E44">
        <w:rPr>
          <w:rFonts w:ascii="Arial" w:hAnsi="Arial" w:cs="Arial"/>
          <w:bCs/>
          <w:iCs/>
          <w:kern w:val="28"/>
          <w:sz w:val="36"/>
        </w:rPr>
        <w:t xml:space="preserve">cervical cord injury undergoing surgery: A retrospective seven-year </w:t>
      </w:r>
      <w:r w:rsidR="00551EC5">
        <w:rPr>
          <w:rFonts w:ascii="Arial" w:hAnsi="Arial" w:cs="Arial"/>
          <w:bCs/>
          <w:iCs/>
          <w:kern w:val="28"/>
          <w:sz w:val="36"/>
        </w:rPr>
        <w:t>Study</w:t>
      </w:r>
    </w:p>
    <w:p w14:paraId="21F230FC" w14:textId="77777777" w:rsidR="00A258C3" w:rsidRPr="00790ADA" w:rsidRDefault="00A258C3" w:rsidP="00441B6F">
      <w:pPr>
        <w:pStyle w:val="Author"/>
        <w:spacing w:line="240" w:lineRule="auto"/>
        <w:jc w:val="both"/>
        <w:rPr>
          <w:rFonts w:ascii="Arial" w:hAnsi="Arial" w:cs="Arial"/>
          <w:sz w:val="36"/>
        </w:rPr>
      </w:pPr>
    </w:p>
    <w:p w14:paraId="3EB5505E" w14:textId="77777777" w:rsidR="00FD7B86" w:rsidRDefault="00FD7B86" w:rsidP="00441B6F">
      <w:pPr>
        <w:pStyle w:val="Affiliation"/>
        <w:spacing w:after="0" w:line="240" w:lineRule="auto"/>
        <w:rPr>
          <w:rFonts w:ascii="Arial" w:hAnsi="Arial" w:cs="Arial"/>
          <w:i/>
        </w:rPr>
      </w:pPr>
    </w:p>
    <w:p w14:paraId="6B41D125" w14:textId="77777777" w:rsidR="00790ADA" w:rsidRDefault="00790ADA" w:rsidP="00441B6F">
      <w:pPr>
        <w:pStyle w:val="Affiliation"/>
        <w:spacing w:after="0" w:line="240" w:lineRule="auto"/>
        <w:jc w:val="both"/>
        <w:rPr>
          <w:rFonts w:ascii="Arial" w:hAnsi="Arial" w:cs="Arial"/>
        </w:rPr>
      </w:pPr>
    </w:p>
    <w:p w14:paraId="57016516" w14:textId="77777777" w:rsidR="002C57D2" w:rsidRPr="00FB3A86" w:rsidRDefault="002C57D2" w:rsidP="00441B6F">
      <w:pPr>
        <w:pStyle w:val="Affiliation"/>
        <w:spacing w:after="0" w:line="240" w:lineRule="auto"/>
        <w:jc w:val="both"/>
        <w:rPr>
          <w:rFonts w:ascii="Arial" w:hAnsi="Arial" w:cs="Arial"/>
        </w:rPr>
      </w:pPr>
    </w:p>
    <w:p w14:paraId="6B8FE55D" w14:textId="77777777" w:rsidR="00B01FCD" w:rsidRPr="00FB3A86" w:rsidRDefault="002735B0" w:rsidP="00441B6F">
      <w:pPr>
        <w:pStyle w:val="Copyright"/>
        <w:spacing w:after="0" w:line="240" w:lineRule="auto"/>
        <w:jc w:val="both"/>
        <w:rPr>
          <w:rFonts w:ascii="Arial" w:hAnsi="Arial" w:cs="Arial"/>
        </w:rPr>
        <w:sectPr w:rsidR="00B01FCD" w:rsidRPr="00FB3A86" w:rsidSect="006375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8A94B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A5F21F7" w14:textId="54AE6DE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A6B9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68A80F" w14:textId="77777777" w:rsidTr="001E44FE">
        <w:tc>
          <w:tcPr>
            <w:tcW w:w="9576" w:type="dxa"/>
            <w:shd w:val="clear" w:color="auto" w:fill="F2F2F2"/>
          </w:tcPr>
          <w:p w14:paraId="6237BD29" w14:textId="150C09C0" w:rsidR="00BA1B01" w:rsidRPr="00CD45B9" w:rsidRDefault="00BA1B01" w:rsidP="00CD45B9">
            <w:pPr>
              <w:pStyle w:val="Body"/>
              <w:rPr>
                <w:rFonts w:ascii="Arial" w:eastAsia="Calibri" w:hAnsi="Arial" w:cs="Arial"/>
                <w:szCs w:val="22"/>
                <w:lang w:val="en-MY"/>
              </w:rPr>
            </w:pPr>
            <w:r w:rsidRPr="00BA1B01">
              <w:rPr>
                <w:rFonts w:ascii="Arial" w:eastAsia="Calibri" w:hAnsi="Arial" w:cs="Arial"/>
                <w:b/>
                <w:szCs w:val="22"/>
              </w:rPr>
              <w:t xml:space="preserve">Aims: </w:t>
            </w:r>
            <w:r w:rsidR="002735B0">
              <w:rPr>
                <w:rFonts w:ascii="Arial" w:eastAsia="Calibri" w:hAnsi="Arial" w:cs="Arial"/>
                <w:szCs w:val="22"/>
                <w:lang w:val="en-MY"/>
              </w:rPr>
              <w:t xml:space="preserve">The present study </w:t>
            </w:r>
            <w:r w:rsidR="00CD45B9" w:rsidRPr="00CD45B9">
              <w:rPr>
                <w:rFonts w:ascii="Arial" w:eastAsia="Calibri" w:hAnsi="Arial" w:cs="Arial"/>
                <w:szCs w:val="22"/>
                <w:lang w:val="en-MY"/>
              </w:rPr>
              <w:t>aim</w:t>
            </w:r>
            <w:r w:rsidR="002735B0">
              <w:rPr>
                <w:rFonts w:ascii="Arial" w:eastAsia="Calibri" w:hAnsi="Arial" w:cs="Arial"/>
                <w:szCs w:val="22"/>
                <w:lang w:val="en-MY"/>
              </w:rPr>
              <w:t>ed</w:t>
            </w:r>
            <w:r w:rsidR="00CD45B9" w:rsidRPr="00CD45B9">
              <w:rPr>
                <w:rFonts w:ascii="Arial" w:eastAsia="Calibri" w:hAnsi="Arial" w:cs="Arial"/>
                <w:szCs w:val="22"/>
                <w:lang w:val="en-MY"/>
              </w:rPr>
              <w:t xml:space="preserve"> to </w:t>
            </w:r>
            <w:r w:rsidR="005467C4" w:rsidRPr="00CD45B9">
              <w:rPr>
                <w:rFonts w:ascii="Arial" w:eastAsia="Calibri" w:hAnsi="Arial" w:cs="Arial"/>
                <w:szCs w:val="22"/>
                <w:lang w:val="en-MY"/>
              </w:rPr>
              <w:t>investigate</w:t>
            </w:r>
            <w:r w:rsidR="00CD45B9" w:rsidRPr="00CD45B9">
              <w:rPr>
                <w:rFonts w:ascii="Arial" w:eastAsia="Calibri" w:hAnsi="Arial" w:cs="Arial"/>
                <w:szCs w:val="22"/>
                <w:lang w:val="en-MY"/>
              </w:rPr>
              <w:t xml:space="preserve"> the outcome of steroid therapy in patients with traumatic cervical cord injuries undergoing surgery at a single </w:t>
            </w:r>
            <w:r w:rsidR="00ED5274" w:rsidRPr="00CD45B9">
              <w:rPr>
                <w:rFonts w:ascii="Arial" w:eastAsia="Calibri" w:hAnsi="Arial" w:cs="Arial"/>
                <w:szCs w:val="22"/>
                <w:lang w:val="en-MY"/>
              </w:rPr>
              <w:t>centre</w:t>
            </w:r>
            <w:r w:rsidR="00CD45B9" w:rsidRPr="00CD45B9">
              <w:rPr>
                <w:rFonts w:ascii="Arial" w:eastAsia="Calibri" w:hAnsi="Arial" w:cs="Arial"/>
                <w:szCs w:val="22"/>
                <w:lang w:val="en-MY"/>
              </w:rPr>
              <w:t>.</w:t>
            </w:r>
          </w:p>
          <w:p w14:paraId="0F60A6FD" w14:textId="551F644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D45B9">
              <w:rPr>
                <w:rFonts w:ascii="Arial" w:eastAsia="Calibri" w:hAnsi="Arial" w:cs="Arial"/>
                <w:szCs w:val="22"/>
              </w:rPr>
              <w:t xml:space="preserve">Retrospective </w:t>
            </w:r>
            <w:r w:rsidR="00212EFE">
              <w:rPr>
                <w:rFonts w:ascii="Arial" w:eastAsia="Calibri" w:hAnsi="Arial" w:cs="Arial"/>
                <w:szCs w:val="22"/>
              </w:rPr>
              <w:t>cross-sectional</w:t>
            </w:r>
            <w:r w:rsidR="00CD45B9">
              <w:rPr>
                <w:rFonts w:ascii="Arial" w:eastAsia="Calibri" w:hAnsi="Arial" w:cs="Arial"/>
                <w:szCs w:val="22"/>
              </w:rPr>
              <w:t xml:space="preserve"> study.</w:t>
            </w:r>
          </w:p>
          <w:p w14:paraId="09F2EA44" w14:textId="0B1AB75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D45B9">
              <w:rPr>
                <w:rFonts w:ascii="Arial" w:eastAsia="Calibri" w:hAnsi="Arial" w:cs="Arial"/>
                <w:szCs w:val="22"/>
              </w:rPr>
              <w:t>Department of spine surgery Hospital Sultan Ismail, Johor</w:t>
            </w:r>
            <w:r w:rsidRPr="00BA1B01">
              <w:rPr>
                <w:rFonts w:ascii="Arial" w:eastAsia="Calibri" w:hAnsi="Arial" w:cs="Arial"/>
                <w:szCs w:val="22"/>
              </w:rPr>
              <w:t xml:space="preserve"> between </w:t>
            </w:r>
            <w:r w:rsidR="00CD45B9" w:rsidRPr="00CD45B9">
              <w:rPr>
                <w:rFonts w:ascii="Arial" w:eastAsia="Calibri" w:hAnsi="Arial" w:cs="Arial"/>
                <w:szCs w:val="22"/>
                <w:lang w:val="en-MY"/>
              </w:rPr>
              <w:t>January 2017 to February 202</w:t>
            </w:r>
            <w:r w:rsidR="00ED5274">
              <w:rPr>
                <w:rFonts w:ascii="Arial" w:eastAsia="Calibri" w:hAnsi="Arial" w:cs="Arial"/>
                <w:szCs w:val="22"/>
                <w:lang w:val="en-MY"/>
              </w:rPr>
              <w:t>4</w:t>
            </w:r>
            <w:r w:rsidR="005467C4">
              <w:rPr>
                <w:rFonts w:ascii="Arial" w:eastAsia="Calibri" w:hAnsi="Arial" w:cs="Arial"/>
                <w:szCs w:val="22"/>
                <w:lang w:val="en-MY"/>
              </w:rPr>
              <w:t>.</w:t>
            </w:r>
          </w:p>
          <w:p w14:paraId="4711E894" w14:textId="4091CD7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1540C">
              <w:rPr>
                <w:rFonts w:ascii="Arial" w:eastAsia="Calibri" w:hAnsi="Arial" w:cs="Arial"/>
                <w:szCs w:val="22"/>
              </w:rPr>
              <w:t>A total of 76</w:t>
            </w:r>
            <w:r w:rsidRPr="00BA1B01">
              <w:rPr>
                <w:rFonts w:ascii="Arial" w:eastAsia="Calibri" w:hAnsi="Arial" w:cs="Arial"/>
                <w:szCs w:val="22"/>
              </w:rPr>
              <w:t xml:space="preserve"> patients </w:t>
            </w:r>
            <w:r w:rsidRPr="00BA1B01">
              <w:rPr>
                <w:rFonts w:ascii="Arial" w:eastAsia="Calibri" w:hAnsi="Arial" w:cs="Arial"/>
                <w:bCs/>
                <w:szCs w:val="22"/>
              </w:rPr>
              <w:t>(</w:t>
            </w:r>
            <w:r w:rsidR="0001540C">
              <w:rPr>
                <w:rFonts w:ascii="Arial" w:eastAsia="Calibri" w:hAnsi="Arial" w:cs="Arial"/>
                <w:bCs/>
                <w:szCs w:val="22"/>
              </w:rPr>
              <w:t>51</w:t>
            </w:r>
            <w:r w:rsidRPr="00BA1B01">
              <w:rPr>
                <w:rFonts w:ascii="Arial" w:eastAsia="Calibri" w:hAnsi="Arial" w:cs="Arial"/>
                <w:bCs/>
                <w:szCs w:val="22"/>
              </w:rPr>
              <w:t xml:space="preserve"> </w:t>
            </w:r>
            <w:r w:rsidRPr="00BA1B01">
              <w:rPr>
                <w:rFonts w:ascii="Arial" w:eastAsia="Calibri" w:hAnsi="Arial" w:cs="Arial"/>
                <w:szCs w:val="22"/>
              </w:rPr>
              <w:t>men, 2</w:t>
            </w:r>
            <w:r w:rsidR="0001540C">
              <w:rPr>
                <w:rFonts w:ascii="Arial" w:eastAsia="Calibri" w:hAnsi="Arial" w:cs="Arial"/>
                <w:szCs w:val="22"/>
              </w:rPr>
              <w:t xml:space="preserve">5 </w:t>
            </w:r>
            <w:r w:rsidRPr="00BA1B01">
              <w:rPr>
                <w:rFonts w:ascii="Arial" w:eastAsia="Calibri" w:hAnsi="Arial" w:cs="Arial"/>
                <w:szCs w:val="22"/>
              </w:rPr>
              <w:t xml:space="preserve">women; age range </w:t>
            </w:r>
            <w:r w:rsidR="0001540C">
              <w:rPr>
                <w:rFonts w:ascii="Arial" w:eastAsia="Calibri" w:hAnsi="Arial" w:cs="Arial"/>
                <w:szCs w:val="22"/>
              </w:rPr>
              <w:t>21</w:t>
            </w:r>
            <w:r w:rsidRPr="00BA1B01">
              <w:rPr>
                <w:rFonts w:ascii="Arial" w:eastAsia="Calibri" w:hAnsi="Arial" w:cs="Arial"/>
                <w:szCs w:val="22"/>
              </w:rPr>
              <w:t>-</w:t>
            </w:r>
            <w:r w:rsidR="0001540C">
              <w:rPr>
                <w:rFonts w:ascii="Arial" w:eastAsia="Calibri" w:hAnsi="Arial" w:cs="Arial"/>
                <w:szCs w:val="22"/>
              </w:rPr>
              <w:t>68</w:t>
            </w:r>
            <w:r w:rsidRPr="00BA1B01">
              <w:rPr>
                <w:rFonts w:ascii="Arial" w:eastAsia="Calibri" w:hAnsi="Arial" w:cs="Arial"/>
                <w:szCs w:val="22"/>
              </w:rPr>
              <w:t xml:space="preserve"> years) </w:t>
            </w:r>
            <w:r w:rsidR="0001540C">
              <w:rPr>
                <w:rFonts w:ascii="Arial" w:eastAsia="Calibri" w:hAnsi="Arial" w:cs="Arial"/>
                <w:szCs w:val="22"/>
              </w:rPr>
              <w:t xml:space="preserve">with cervical spinal cord injury were included. </w:t>
            </w:r>
            <w:r w:rsidR="00ED5274">
              <w:rPr>
                <w:rFonts w:ascii="Arial" w:eastAsia="Calibri" w:hAnsi="Arial" w:cs="Arial"/>
                <w:szCs w:val="22"/>
              </w:rPr>
              <w:t>Demographic</w:t>
            </w:r>
            <w:r w:rsidR="0001540C" w:rsidRPr="0001540C">
              <w:rPr>
                <w:rFonts w:ascii="Arial" w:eastAsia="Calibri" w:hAnsi="Arial" w:cs="Arial"/>
                <w:szCs w:val="22"/>
                <w:lang w:val="en-MY"/>
              </w:rPr>
              <w:t xml:space="preserve"> data, </w:t>
            </w:r>
            <w:r w:rsidR="0001540C">
              <w:rPr>
                <w:rFonts w:ascii="Arial" w:eastAsia="Calibri" w:hAnsi="Arial" w:cs="Arial"/>
                <w:szCs w:val="22"/>
                <w:lang w:val="en-MY"/>
              </w:rPr>
              <w:t>American Spinal Injury Association (ASIA)</w:t>
            </w:r>
            <w:r w:rsidR="0001540C" w:rsidRPr="0001540C">
              <w:rPr>
                <w:rFonts w:ascii="Arial" w:eastAsia="Calibri" w:hAnsi="Arial" w:cs="Arial"/>
                <w:szCs w:val="22"/>
                <w:lang w:val="en-MY"/>
              </w:rPr>
              <w:t xml:space="preserve"> motor score and injury grade </w:t>
            </w:r>
            <w:r w:rsidR="0001540C">
              <w:rPr>
                <w:rFonts w:ascii="Arial" w:eastAsia="Calibri" w:hAnsi="Arial" w:cs="Arial"/>
                <w:szCs w:val="22"/>
                <w:lang w:val="en-MY"/>
              </w:rPr>
              <w:t>on</w:t>
            </w:r>
            <w:r w:rsidR="0001540C" w:rsidRPr="0001540C">
              <w:rPr>
                <w:rFonts w:ascii="Arial" w:eastAsia="Calibri" w:hAnsi="Arial" w:cs="Arial"/>
                <w:szCs w:val="22"/>
                <w:lang w:val="en-MY"/>
              </w:rPr>
              <w:t xml:space="preserve"> </w:t>
            </w:r>
            <w:r w:rsidR="00212EFE" w:rsidRPr="0001540C">
              <w:rPr>
                <w:rFonts w:ascii="Arial" w:eastAsia="Calibri" w:hAnsi="Arial" w:cs="Arial"/>
                <w:szCs w:val="22"/>
                <w:lang w:val="en-MY"/>
              </w:rPr>
              <w:t>day 3</w:t>
            </w:r>
            <w:r w:rsidR="0001540C" w:rsidRPr="0001540C">
              <w:rPr>
                <w:rFonts w:ascii="Arial" w:eastAsia="Calibri" w:hAnsi="Arial" w:cs="Arial"/>
                <w:szCs w:val="22"/>
                <w:lang w:val="en-MY"/>
              </w:rPr>
              <w:t>, 30, 90, 180, and steroid related complications</w:t>
            </w:r>
            <w:r w:rsidR="0001540C">
              <w:rPr>
                <w:rFonts w:ascii="Arial" w:eastAsia="Calibri" w:hAnsi="Arial" w:cs="Arial"/>
                <w:szCs w:val="22"/>
                <w:lang w:val="en-MY"/>
              </w:rPr>
              <w:t xml:space="preserve"> were recorded</w:t>
            </w:r>
            <w:r w:rsidR="0001540C" w:rsidRPr="0001540C">
              <w:rPr>
                <w:rFonts w:ascii="Arial" w:eastAsia="Calibri" w:hAnsi="Arial" w:cs="Arial"/>
                <w:szCs w:val="22"/>
                <w:lang w:val="en-MY"/>
              </w:rPr>
              <w:t xml:space="preserve">. </w:t>
            </w:r>
            <w:r w:rsidR="0001540C">
              <w:rPr>
                <w:rFonts w:ascii="Arial" w:eastAsia="Calibri" w:hAnsi="Arial" w:cs="Arial"/>
                <w:szCs w:val="22"/>
                <w:lang w:val="en-MY"/>
              </w:rPr>
              <w:t>Steroid protocol used was</w:t>
            </w:r>
            <w:r w:rsidR="0001540C" w:rsidRPr="0001540C">
              <w:rPr>
                <w:rFonts w:ascii="Arial" w:eastAsia="Calibri" w:hAnsi="Arial" w:cs="Arial"/>
                <w:szCs w:val="22"/>
                <w:lang w:val="en-MY"/>
              </w:rPr>
              <w:t xml:space="preserve"> Methylprednisolone sodium succinate (MPSS) </w:t>
            </w:r>
            <w:bookmarkStart w:id="0" w:name="_GoBack"/>
            <w:bookmarkEnd w:id="0"/>
            <w:r w:rsidR="0001540C" w:rsidRPr="0001540C">
              <w:rPr>
                <w:rFonts w:ascii="Arial" w:eastAsia="Calibri" w:hAnsi="Arial" w:cs="Arial"/>
                <w:szCs w:val="22"/>
                <w:lang w:val="en-MY"/>
              </w:rPr>
              <w:t>bolus of 30mg/kg over 1 hour and infusion of 5.4mg/kg for 23 hours if patients presented within 8 hours of injury or intravenous Dexamethasone boluses 8mg 8 hourly for 72 hours if they present after 8 hours.</w:t>
            </w:r>
          </w:p>
          <w:p w14:paraId="2A5C6D6D" w14:textId="2F44523D" w:rsidR="005C5467" w:rsidRDefault="00ED5274" w:rsidP="005C5467">
            <w:pPr>
              <w:pStyle w:val="Body"/>
              <w:rPr>
                <w:rFonts w:ascii="Arial" w:eastAsia="Calibri" w:hAnsi="Arial" w:cs="Arial"/>
                <w:szCs w:val="22"/>
              </w:rPr>
            </w:pPr>
            <w:r w:rsidRPr="00BA1B01">
              <w:rPr>
                <w:rFonts w:ascii="Arial" w:eastAsia="Calibri" w:hAnsi="Arial" w:cs="Arial"/>
                <w:b/>
                <w:bCs/>
                <w:szCs w:val="22"/>
              </w:rPr>
              <w:t>Results:</w:t>
            </w:r>
            <w:r w:rsidRPr="0001540C">
              <w:rPr>
                <w:rFonts w:ascii="Arial" w:eastAsia="Calibri" w:hAnsi="Arial" w:cs="Arial"/>
                <w:szCs w:val="22"/>
                <w:lang w:val="en-MY"/>
              </w:rPr>
              <w:t xml:space="preserve"> A</w:t>
            </w:r>
            <w:r w:rsidR="0001540C" w:rsidRPr="0001540C">
              <w:rPr>
                <w:rFonts w:ascii="Arial" w:eastAsia="Calibri" w:hAnsi="Arial" w:cs="Arial"/>
                <w:szCs w:val="22"/>
                <w:lang w:val="en-MY"/>
              </w:rPr>
              <w:t xml:space="preserve"> total 48 patients (63.2%) received steroid </w:t>
            </w:r>
            <w:r w:rsidR="00466367" w:rsidRPr="0001540C">
              <w:rPr>
                <w:rFonts w:ascii="Arial" w:eastAsia="Calibri" w:hAnsi="Arial" w:cs="Arial"/>
                <w:szCs w:val="22"/>
                <w:lang w:val="en-MY"/>
              </w:rPr>
              <w:t>therapy,</w:t>
            </w:r>
            <w:r w:rsidR="0001540C" w:rsidRPr="0001540C">
              <w:rPr>
                <w:rFonts w:ascii="Arial" w:eastAsia="Calibri" w:hAnsi="Arial" w:cs="Arial"/>
                <w:szCs w:val="22"/>
                <w:lang w:val="en-MY"/>
              </w:rPr>
              <w:t xml:space="preserve"> and 28 patients (36.8%) did not receive steroid therapy. Majority of patients presented with ASIA A with 29 (38.2%)  followed by ASIA D with 20 patients (26.3%), ASIA B with 18 patients (23.8%) and ASIA C with only 9 patients (11.8%). Distribution of surgery performed had 28 patient receiving anterior surgery (36.8%) and 48 patients receiving posterior surgery (63.2%). </w:t>
            </w:r>
            <w:r w:rsidR="0001540C">
              <w:rPr>
                <w:rFonts w:ascii="Arial" w:eastAsia="Calibri" w:hAnsi="Arial" w:cs="Arial"/>
                <w:szCs w:val="22"/>
                <w:lang w:val="en-MY"/>
              </w:rPr>
              <w:t>There were more c</w:t>
            </w:r>
            <w:r w:rsidR="0001540C" w:rsidRPr="0001540C">
              <w:rPr>
                <w:rFonts w:ascii="Arial" w:eastAsia="Calibri" w:hAnsi="Arial" w:cs="Arial"/>
                <w:szCs w:val="22"/>
                <w:lang w:val="en-MY"/>
              </w:rPr>
              <w:t>omplications in the steroid group compared to the non-steroid group</w:t>
            </w:r>
            <w:r w:rsidR="0001540C">
              <w:rPr>
                <w:rFonts w:ascii="Arial" w:eastAsia="Calibri" w:hAnsi="Arial" w:cs="Arial"/>
                <w:szCs w:val="22"/>
                <w:lang w:val="en-MY"/>
              </w:rPr>
              <w:t xml:space="preserve"> (9,3) </w:t>
            </w:r>
            <w:r w:rsidR="0001540C" w:rsidRPr="0001540C">
              <w:rPr>
                <w:rFonts w:ascii="Arial" w:eastAsia="Calibri" w:hAnsi="Arial" w:cs="Arial"/>
                <w:szCs w:val="22"/>
                <w:lang w:val="en-MY"/>
              </w:rPr>
              <w:t>however it was not statistically significant</w:t>
            </w:r>
            <w:r w:rsidR="0001540C">
              <w:rPr>
                <w:rFonts w:ascii="Arial" w:eastAsia="Calibri" w:hAnsi="Arial" w:cs="Arial"/>
                <w:szCs w:val="22"/>
                <w:lang w:val="en-MY"/>
              </w:rPr>
              <w:t xml:space="preserve"> (</w:t>
            </w:r>
            <w:r w:rsidR="000A1D8D">
              <w:rPr>
                <w:rFonts w:ascii="Arial" w:eastAsia="Calibri" w:hAnsi="Arial" w:cs="Arial"/>
                <w:szCs w:val="22"/>
                <w:lang w:val="en-MY"/>
              </w:rPr>
              <w:t>P</w:t>
            </w:r>
            <w:r w:rsidR="0001540C">
              <w:rPr>
                <w:rFonts w:ascii="Arial" w:eastAsia="Calibri" w:hAnsi="Arial" w:cs="Arial"/>
                <w:szCs w:val="22"/>
                <w:lang w:val="en-MY"/>
              </w:rPr>
              <w:t>=0.64)</w:t>
            </w:r>
            <w:r w:rsidR="0001540C" w:rsidRPr="0001540C">
              <w:rPr>
                <w:rFonts w:ascii="Arial" w:eastAsia="Calibri" w:hAnsi="Arial" w:cs="Arial"/>
                <w:szCs w:val="22"/>
                <w:lang w:val="en-MY"/>
              </w:rPr>
              <w:t xml:space="preserve">. Motor grade recovery recorded a progressive gain over the time with the peak gain noted at 6 months injury, there was no </w:t>
            </w:r>
            <w:r w:rsidR="0001540C">
              <w:rPr>
                <w:rFonts w:ascii="Arial" w:eastAsia="Calibri" w:hAnsi="Arial" w:cs="Arial"/>
                <w:szCs w:val="22"/>
                <w:lang w:val="en-MY"/>
              </w:rPr>
              <w:t xml:space="preserve">statistical </w:t>
            </w:r>
            <w:r w:rsidR="0001540C" w:rsidRPr="0001540C">
              <w:rPr>
                <w:rFonts w:ascii="Arial" w:eastAsia="Calibri" w:hAnsi="Arial" w:cs="Arial"/>
                <w:szCs w:val="22"/>
                <w:lang w:val="en-MY"/>
              </w:rPr>
              <w:t>difference between the steroid and non-steroid group (</w:t>
            </w:r>
            <w:r w:rsidR="000A1D8D">
              <w:rPr>
                <w:rFonts w:ascii="Arial" w:eastAsia="Calibri" w:hAnsi="Arial" w:cs="Arial"/>
                <w:szCs w:val="22"/>
                <w:lang w:val="en-MY"/>
              </w:rPr>
              <w:t>P=</w:t>
            </w:r>
            <w:r w:rsidR="0001540C" w:rsidRPr="0001540C">
              <w:rPr>
                <w:rFonts w:ascii="Arial" w:eastAsia="Calibri" w:hAnsi="Arial" w:cs="Arial"/>
                <w:szCs w:val="22"/>
                <w:lang w:val="en-MY"/>
              </w:rPr>
              <w:t xml:space="preserve">0.25) with mean grade recovery of </w:t>
            </w:r>
            <w:r w:rsidR="0001540C" w:rsidRPr="0001540C">
              <w:rPr>
                <w:rFonts w:ascii="Arial" w:eastAsia="Calibri" w:hAnsi="Arial" w:cs="Arial"/>
                <w:szCs w:val="22"/>
              </w:rPr>
              <w:t xml:space="preserve">+35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14.6  and +30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14.4 respectively. Among the ASIA scale, motor grade recovery at 6 months was the highest in ASIA C with +25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10.1 and +19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8.3 among the steroid and non-steroid group respectively</w:t>
            </w:r>
            <w:r w:rsidR="000A1D8D">
              <w:rPr>
                <w:rFonts w:ascii="Arial" w:eastAsia="Calibri" w:hAnsi="Arial" w:cs="Arial"/>
                <w:szCs w:val="22"/>
              </w:rPr>
              <w:t xml:space="preserve"> (P=0.42)</w:t>
            </w:r>
            <w:r w:rsidR="0001540C" w:rsidRPr="0001540C">
              <w:rPr>
                <w:rFonts w:ascii="Arial" w:eastAsia="Calibri" w:hAnsi="Arial" w:cs="Arial"/>
                <w:szCs w:val="22"/>
              </w:rPr>
              <w:t>. ASIA scale improvement rates were also the highest in ASIA D and ASIA C with more than 66% improvements with no difference among steroid and non-steroid groups, p-value was not significant in calculation as the size of subgroups were very small</w:t>
            </w:r>
            <w:r w:rsidR="005C5467">
              <w:rPr>
                <w:rFonts w:ascii="Arial" w:eastAsia="Calibri" w:hAnsi="Arial" w:cs="Arial"/>
                <w:szCs w:val="22"/>
              </w:rPr>
              <w:t>.</w:t>
            </w:r>
          </w:p>
          <w:p w14:paraId="241DF49C" w14:textId="65915C6B" w:rsidR="005C5467" w:rsidRPr="005C5467" w:rsidRDefault="00BA1B01" w:rsidP="005C5467">
            <w:pPr>
              <w:pStyle w:val="Body"/>
              <w:rPr>
                <w:rFonts w:ascii="Arial" w:eastAsia="Calibri" w:hAnsi="Arial" w:cs="Arial"/>
                <w:szCs w:val="22"/>
                <w:lang w:val="en-MY"/>
              </w:rPr>
            </w:pPr>
            <w:r w:rsidRPr="00BA1B01">
              <w:rPr>
                <w:rFonts w:ascii="Arial" w:eastAsia="Calibri" w:hAnsi="Arial" w:cs="Arial"/>
                <w:b/>
                <w:bCs/>
                <w:szCs w:val="22"/>
              </w:rPr>
              <w:t>Conclusion:</w:t>
            </w:r>
            <w:r w:rsidRPr="00BA1B01">
              <w:rPr>
                <w:rFonts w:ascii="Arial" w:eastAsia="Calibri" w:hAnsi="Arial" w:cs="Arial"/>
                <w:szCs w:val="22"/>
              </w:rPr>
              <w:t xml:space="preserve"> </w:t>
            </w:r>
            <w:r w:rsidR="005C5467" w:rsidRPr="005C5467">
              <w:rPr>
                <w:rFonts w:ascii="Arial" w:eastAsia="Calibri" w:hAnsi="Arial" w:cs="Arial"/>
                <w:szCs w:val="22"/>
                <w:lang w:val="en-MY"/>
              </w:rPr>
              <w:t>In conclusion, steroid use may</w:t>
            </w:r>
            <w:r w:rsidR="005C5467">
              <w:rPr>
                <w:rFonts w:ascii="Arial" w:eastAsia="Calibri" w:hAnsi="Arial" w:cs="Arial"/>
                <w:szCs w:val="22"/>
                <w:lang w:val="en-MY"/>
              </w:rPr>
              <w:t xml:space="preserve"> be</w:t>
            </w:r>
            <w:r w:rsidR="005C5467" w:rsidRPr="005C5467">
              <w:rPr>
                <w:rFonts w:ascii="Arial" w:eastAsia="Calibri" w:hAnsi="Arial" w:cs="Arial"/>
                <w:szCs w:val="22"/>
                <w:lang w:val="en-MY"/>
              </w:rPr>
              <w:t xml:space="preserve"> beneficial in </w:t>
            </w:r>
            <w:r w:rsidR="005C5467">
              <w:rPr>
                <w:rFonts w:ascii="Arial" w:eastAsia="Calibri" w:hAnsi="Arial" w:cs="Arial"/>
                <w:szCs w:val="22"/>
                <w:lang w:val="en-MY"/>
              </w:rPr>
              <w:t xml:space="preserve">traumatic </w:t>
            </w:r>
            <w:r w:rsidR="005C5467" w:rsidRPr="005C5467">
              <w:rPr>
                <w:rFonts w:ascii="Arial" w:eastAsia="Calibri" w:hAnsi="Arial" w:cs="Arial"/>
                <w:szCs w:val="22"/>
                <w:lang w:val="en-MY"/>
              </w:rPr>
              <w:t>spinal cord injury, however careful patient selection should be observed as steroids are associated with a higher rate of complications. This study is a good pilot project for further future studies looking into steroids and spinal cord injuries.</w:t>
            </w:r>
          </w:p>
          <w:p w14:paraId="44F1797E" w14:textId="2C3DBA66" w:rsidR="00636EB2" w:rsidRDefault="00636EB2" w:rsidP="005C5467">
            <w:pPr>
              <w:pStyle w:val="Body"/>
              <w:rPr>
                <w:rFonts w:ascii="Arial" w:eastAsia="Calibri" w:hAnsi="Arial" w:cs="Arial"/>
                <w:szCs w:val="22"/>
              </w:rPr>
            </w:pPr>
          </w:p>
          <w:p w14:paraId="7ECEB0FC" w14:textId="64C33B45" w:rsidR="00505F06" w:rsidRPr="00BA1B01" w:rsidRDefault="00505F06" w:rsidP="00441B6F">
            <w:pPr>
              <w:pStyle w:val="Body"/>
              <w:spacing w:after="0"/>
              <w:rPr>
                <w:rFonts w:ascii="Arial" w:eastAsia="Calibri" w:hAnsi="Arial" w:cs="Arial"/>
                <w:szCs w:val="22"/>
              </w:rPr>
            </w:pPr>
          </w:p>
        </w:tc>
      </w:tr>
    </w:tbl>
    <w:p w14:paraId="7C0432AB" w14:textId="77777777" w:rsidR="00636EB2" w:rsidRDefault="00636EB2" w:rsidP="00441B6F">
      <w:pPr>
        <w:pStyle w:val="Body"/>
        <w:spacing w:after="0"/>
        <w:rPr>
          <w:rFonts w:ascii="Arial" w:hAnsi="Arial" w:cs="Arial"/>
          <w:i/>
        </w:rPr>
      </w:pPr>
    </w:p>
    <w:p w14:paraId="4818C78D" w14:textId="0BCF4759" w:rsidR="00A24E7E" w:rsidRDefault="00A24E7E" w:rsidP="00441B6F">
      <w:pPr>
        <w:pStyle w:val="Body"/>
        <w:spacing w:after="0"/>
        <w:rPr>
          <w:rFonts w:ascii="Arial" w:hAnsi="Arial" w:cs="Arial"/>
          <w:i/>
        </w:rPr>
      </w:pPr>
      <w:r>
        <w:rPr>
          <w:rFonts w:ascii="Arial" w:hAnsi="Arial" w:cs="Arial"/>
          <w:i/>
        </w:rPr>
        <w:t xml:space="preserve">Keywords: </w:t>
      </w:r>
      <w:r w:rsidR="005C5467">
        <w:rPr>
          <w:rFonts w:ascii="Arial" w:hAnsi="Arial" w:cs="Arial"/>
          <w:i/>
        </w:rPr>
        <w:t>steroids, spinal cord injury, Methylprednisolone, Dexamethasone</w:t>
      </w:r>
    </w:p>
    <w:p w14:paraId="71868C4E" w14:textId="77777777" w:rsidR="0024282C" w:rsidRDefault="0024282C" w:rsidP="00441B6F">
      <w:pPr>
        <w:pStyle w:val="Body"/>
        <w:spacing w:after="0"/>
        <w:rPr>
          <w:rFonts w:ascii="Arial" w:hAnsi="Arial" w:cs="Arial"/>
          <w:i/>
          <w:sz w:val="18"/>
        </w:rPr>
      </w:pPr>
    </w:p>
    <w:p w14:paraId="51C174A3" w14:textId="77777777" w:rsidR="00505F06" w:rsidRPr="00A24E7E" w:rsidRDefault="00505F06" w:rsidP="00441B6F">
      <w:pPr>
        <w:pStyle w:val="Body"/>
        <w:spacing w:after="0"/>
        <w:rPr>
          <w:rFonts w:ascii="Arial" w:hAnsi="Arial" w:cs="Arial"/>
          <w:i/>
        </w:rPr>
      </w:pPr>
    </w:p>
    <w:p w14:paraId="05A46510" w14:textId="43E2294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C5D41B" w14:textId="77777777" w:rsidR="00790ADA" w:rsidRPr="00FB3A86" w:rsidRDefault="00790ADA" w:rsidP="00441B6F">
      <w:pPr>
        <w:pStyle w:val="AbstHead"/>
        <w:spacing w:after="0"/>
        <w:jc w:val="both"/>
        <w:rPr>
          <w:rFonts w:ascii="Arial" w:hAnsi="Arial" w:cs="Arial"/>
        </w:rPr>
      </w:pPr>
    </w:p>
    <w:p w14:paraId="0EBE1773" w14:textId="77777777" w:rsidR="005C5467" w:rsidRDefault="005C5467" w:rsidP="005C5467">
      <w:pPr>
        <w:pStyle w:val="Body"/>
        <w:spacing w:after="0"/>
        <w:rPr>
          <w:rFonts w:ascii="Arial" w:hAnsi="Arial" w:cs="Arial"/>
          <w:vertAlign w:val="superscript"/>
          <w:lang w:val="en-MY"/>
        </w:rPr>
      </w:pPr>
      <w:r w:rsidRPr="005C5467">
        <w:rPr>
          <w:rFonts w:ascii="Arial" w:hAnsi="Arial" w:cs="Arial"/>
          <w:lang w:val="en-MY"/>
        </w:rPr>
        <w:t>Spinal cord injury is one of the most debilitating injuries resulting in loss in motor, sensory and voluntary bowel and bladder control. Current management of spinal cord injuries are focused mainly to rehabilitate patients with no definitive predictors of recovery. Therefore any therapy that promises recovery of any neurological function is greatly needed. The age old dilemma of intravenous steroid usage in spinal cord injuries still remains unsolved with equivocal recommendations and practices. Spinal cord injury happens in two stages; the primary insult, direct mechanical damage from trauma, motor vehicle accidents and falls which results in cell death and dysfunction. Secondary injury occurs directly after causing extension of the neural injury via complex immunomodulators leading to inflammation which increases the site of primary damage. Secondary injury can be further subclassified into acute (within 48hours), subacute (2 - 14days), intermediate (14 days to 6 months) and chronic ( more than 6 months).</w:t>
      </w:r>
      <w:r w:rsidRPr="005C5467">
        <w:rPr>
          <w:rFonts w:ascii="Arial" w:hAnsi="Arial" w:cs="Arial"/>
          <w:vertAlign w:val="superscript"/>
          <w:lang w:val="en-MY"/>
        </w:rPr>
        <w:t>1</w:t>
      </w:r>
    </w:p>
    <w:p w14:paraId="593BADA7" w14:textId="77777777" w:rsidR="005C5467" w:rsidRPr="005C5467" w:rsidRDefault="005C5467" w:rsidP="005C5467">
      <w:pPr>
        <w:pStyle w:val="Body"/>
        <w:spacing w:after="0"/>
        <w:rPr>
          <w:rFonts w:ascii="Arial" w:hAnsi="Arial" w:cs="Arial"/>
          <w:lang w:val="en-MY"/>
        </w:rPr>
      </w:pPr>
    </w:p>
    <w:p w14:paraId="2D9651F9" w14:textId="41BF5E28" w:rsidR="005C5467" w:rsidRPr="005C5467" w:rsidRDefault="005C5467" w:rsidP="005C5467">
      <w:pPr>
        <w:pStyle w:val="Body"/>
        <w:spacing w:after="0"/>
        <w:rPr>
          <w:rFonts w:ascii="Arial" w:hAnsi="Arial" w:cs="Arial"/>
          <w:lang w:val="en-MY"/>
        </w:rPr>
      </w:pPr>
      <w:r w:rsidRPr="005C5467">
        <w:rPr>
          <w:rFonts w:ascii="Arial" w:hAnsi="Arial" w:cs="Arial"/>
          <w:lang w:val="en-MY"/>
        </w:rPr>
        <w:t>During the acute phase there is gross swelling, hematoma, and oedema formation leading to compression of the neural structures and vascular supply to the cord, this events attracts inflammatory cells which results in the secretion of many cytokines.</w:t>
      </w:r>
      <w:r w:rsidR="00CA4EF3" w:rsidRPr="00CA4EF3">
        <w:rPr>
          <w:rFonts w:ascii="Arial" w:hAnsi="Arial" w:cs="Arial"/>
          <w:vertAlign w:val="superscript"/>
          <w:lang w:val="en-MY"/>
        </w:rPr>
        <w:t>1,1</w:t>
      </w:r>
      <w:r w:rsidR="009B6E29">
        <w:rPr>
          <w:rFonts w:ascii="Arial" w:hAnsi="Arial" w:cs="Arial"/>
          <w:vertAlign w:val="superscript"/>
          <w:lang w:val="en-MY"/>
        </w:rPr>
        <w:t>8</w:t>
      </w:r>
      <w:r w:rsidRPr="005C5467">
        <w:rPr>
          <w:rFonts w:ascii="Arial" w:hAnsi="Arial" w:cs="Arial"/>
          <w:lang w:val="en-MY"/>
        </w:rPr>
        <w:t xml:space="preserve"> The injury neural tissue also loose ionic haemostatic capabilities leading to influx of intracellular calcium ions resulting to apoptosis. Apoptosis results in cellular materials leaking out adding to the pro-inflammatory conditions with the introduction of reactive oxygen species and lipid peroxidation leading to exponential propagation of the injured area. In the subacute phase, the accumulation of </w:t>
      </w:r>
      <w:r w:rsidR="00ED5274" w:rsidRPr="005C5467">
        <w:rPr>
          <w:rFonts w:ascii="Arial" w:hAnsi="Arial" w:cs="Arial"/>
          <w:lang w:val="en-MY"/>
        </w:rPr>
        <w:t>oedema</w:t>
      </w:r>
      <w:r w:rsidRPr="005C5467">
        <w:rPr>
          <w:rFonts w:ascii="Arial" w:hAnsi="Arial" w:cs="Arial"/>
          <w:lang w:val="en-MY"/>
        </w:rPr>
        <w:t xml:space="preserve"> now obstructs arterial supply and more apoptosis occurs.</w:t>
      </w:r>
      <w:r w:rsidR="009B6E29" w:rsidRPr="009B6E29">
        <w:rPr>
          <w:rFonts w:ascii="Arial" w:hAnsi="Arial" w:cs="Arial"/>
          <w:vertAlign w:val="superscript"/>
          <w:lang w:val="en-MY"/>
        </w:rPr>
        <w:t>2</w:t>
      </w:r>
      <w:r w:rsidRPr="005C5467">
        <w:rPr>
          <w:rFonts w:ascii="Arial" w:hAnsi="Arial" w:cs="Arial"/>
          <w:lang w:val="en-MY"/>
        </w:rPr>
        <w:t xml:space="preserve"> This inflammation is crucial to the control the lesion size, as surrounding astrocytes interweave and form a barrier towards the expanding injury site. Although it prevents further inflammation to cause neural injury this scarring has a detrimental effect preventing axonal regeneration.</w:t>
      </w:r>
      <w:r w:rsidR="009B6E29" w:rsidRPr="009B6E29">
        <w:rPr>
          <w:rFonts w:ascii="Arial" w:hAnsi="Arial" w:cs="Arial"/>
          <w:vertAlign w:val="superscript"/>
          <w:lang w:val="en-MY"/>
        </w:rPr>
        <w:t>1,2</w:t>
      </w:r>
      <w:r w:rsidRPr="005C5467">
        <w:rPr>
          <w:rFonts w:ascii="Arial" w:hAnsi="Arial" w:cs="Arial"/>
          <w:lang w:val="en-MY"/>
        </w:rPr>
        <w:br/>
      </w:r>
    </w:p>
    <w:p w14:paraId="7AD383F6" w14:textId="4D4351C1" w:rsidR="005C5467" w:rsidRPr="005C5467" w:rsidRDefault="005C5467" w:rsidP="005C5467">
      <w:pPr>
        <w:pStyle w:val="Body"/>
        <w:spacing w:after="0"/>
        <w:rPr>
          <w:rFonts w:ascii="Arial" w:hAnsi="Arial" w:cs="Arial"/>
          <w:lang w:val="en-MY"/>
        </w:rPr>
      </w:pPr>
      <w:r w:rsidRPr="005C5467">
        <w:rPr>
          <w:rFonts w:ascii="Arial" w:hAnsi="Arial" w:cs="Arial"/>
          <w:lang w:val="en-MY"/>
        </w:rPr>
        <w:t xml:space="preserve">Glucocorticoids has been the longest pharmacological substance studied in the treatment of spinal cord injuries with the aim of reducing inflammation and preventing secondary injury to the cord based on its success in reducing cerebral </w:t>
      </w:r>
      <w:r w:rsidR="00ED5274" w:rsidRPr="005C5467">
        <w:rPr>
          <w:rFonts w:ascii="Arial" w:hAnsi="Arial" w:cs="Arial"/>
          <w:lang w:val="en-MY"/>
        </w:rPr>
        <w:t>oedema</w:t>
      </w:r>
      <w:r w:rsidRPr="005C5467">
        <w:rPr>
          <w:rFonts w:ascii="Arial" w:hAnsi="Arial" w:cs="Arial"/>
          <w:lang w:val="en-MY"/>
        </w:rPr>
        <w:t>. Steroids have also shown to be neuroprotective and also promoting vascular perfusion especially gluco</w:t>
      </w:r>
      <w:r w:rsidR="00ED5274">
        <w:rPr>
          <w:rFonts w:ascii="Arial" w:hAnsi="Arial" w:cs="Arial"/>
          <w:lang w:val="en-MY"/>
        </w:rPr>
        <w:t>co</w:t>
      </w:r>
      <w:r w:rsidRPr="005C5467">
        <w:rPr>
          <w:rFonts w:ascii="Arial" w:hAnsi="Arial" w:cs="Arial"/>
          <w:lang w:val="en-MY"/>
        </w:rPr>
        <w:t>rticoids.</w:t>
      </w:r>
      <w:r w:rsidR="009B6E29" w:rsidRPr="009B6E29">
        <w:rPr>
          <w:rFonts w:ascii="Arial" w:hAnsi="Arial" w:cs="Arial"/>
          <w:vertAlign w:val="superscript"/>
          <w:lang w:val="en-MY"/>
        </w:rPr>
        <w:t>2,1</w:t>
      </w:r>
      <w:r w:rsidR="009B6E29">
        <w:rPr>
          <w:rFonts w:ascii="Arial" w:hAnsi="Arial" w:cs="Arial"/>
          <w:vertAlign w:val="superscript"/>
          <w:lang w:val="en-MY"/>
        </w:rPr>
        <w:t>9</w:t>
      </w:r>
      <w:r w:rsidRPr="009B6E29">
        <w:rPr>
          <w:rFonts w:ascii="Arial" w:hAnsi="Arial" w:cs="Arial"/>
          <w:vertAlign w:val="superscript"/>
          <w:lang w:val="en-MY"/>
        </w:rPr>
        <w:t xml:space="preserve"> </w:t>
      </w:r>
      <w:r w:rsidRPr="005C5467">
        <w:rPr>
          <w:rFonts w:ascii="Arial" w:hAnsi="Arial" w:cs="Arial"/>
          <w:lang w:val="en-MY"/>
        </w:rPr>
        <w:t>Despite its benefits, steroid also do come with its shortcomings related to increased risks of infections, gastrointestinal mucosal bleeding and pulmonary embolism. In this study we aim to look at the outcome of steroid usage in patients with traumatic cervical spinal cord injury that underwent surgery in our centre.</w:t>
      </w:r>
      <w:r w:rsidRPr="005C5467">
        <w:rPr>
          <w:rFonts w:ascii="Arial" w:hAnsi="Arial" w:cs="Arial"/>
          <w:vertAlign w:val="superscript"/>
          <w:lang w:val="en-MY"/>
        </w:rPr>
        <w:t>2</w:t>
      </w:r>
    </w:p>
    <w:p w14:paraId="06C07074" w14:textId="77777777" w:rsidR="00790ADA" w:rsidRPr="00FB3A86" w:rsidRDefault="00790ADA" w:rsidP="00441B6F">
      <w:pPr>
        <w:pStyle w:val="Body"/>
        <w:spacing w:after="0"/>
        <w:rPr>
          <w:rFonts w:ascii="Arial" w:hAnsi="Arial" w:cs="Arial"/>
        </w:rPr>
      </w:pPr>
    </w:p>
    <w:p w14:paraId="1FA6D042" w14:textId="0FD6120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903DB4" w14:textId="77777777" w:rsidR="00790ADA" w:rsidRPr="00FB3A86" w:rsidRDefault="00790ADA" w:rsidP="00441B6F">
      <w:pPr>
        <w:pStyle w:val="AbstHead"/>
        <w:spacing w:after="0"/>
        <w:jc w:val="both"/>
        <w:rPr>
          <w:rFonts w:ascii="Arial" w:hAnsi="Arial" w:cs="Arial"/>
        </w:rPr>
      </w:pPr>
    </w:p>
    <w:p w14:paraId="3B4CD949" w14:textId="65E91B3E"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2.1 </w:t>
      </w:r>
      <w:r w:rsidR="005C5467" w:rsidRPr="005C5467">
        <w:rPr>
          <w:rFonts w:ascii="Arial" w:hAnsi="Arial" w:cs="Arial"/>
          <w:b/>
          <w:bCs/>
          <w:lang w:val="en-MY"/>
        </w:rPr>
        <w:t>Patient selection</w:t>
      </w:r>
    </w:p>
    <w:p w14:paraId="0E389E50" w14:textId="59E3B997" w:rsidR="005C5467" w:rsidRPr="005C5467" w:rsidRDefault="005C5467" w:rsidP="005C5467">
      <w:pPr>
        <w:pStyle w:val="Body"/>
        <w:spacing w:after="0"/>
        <w:rPr>
          <w:rFonts w:ascii="Arial" w:hAnsi="Arial" w:cs="Arial"/>
          <w:lang w:val="en-MY"/>
        </w:rPr>
      </w:pPr>
      <w:r w:rsidRPr="005C5467">
        <w:rPr>
          <w:rFonts w:ascii="Arial" w:hAnsi="Arial" w:cs="Arial"/>
          <w:lang w:val="en-MY"/>
        </w:rPr>
        <w:t xml:space="preserve">A retrospective analysis was conducted to patients who underwent surgery for cervical spinal cord injuries from January 2017 to February 2024 in a single </w:t>
      </w:r>
      <w:r w:rsidR="00ED5274" w:rsidRPr="005C5467">
        <w:rPr>
          <w:rFonts w:ascii="Arial" w:hAnsi="Arial" w:cs="Arial"/>
          <w:lang w:val="en-MY"/>
        </w:rPr>
        <w:t>centre</w:t>
      </w:r>
      <w:r w:rsidRPr="005C5467">
        <w:rPr>
          <w:rFonts w:ascii="Arial" w:hAnsi="Arial" w:cs="Arial"/>
          <w:lang w:val="en-MY"/>
        </w:rPr>
        <w:t xml:space="preserve">. Inclusion criteria included patients with traumatic cause, aged above 21 years, had complete follow-up with ASIA charting scores. Patients with cord injuries from tumours, infections and intradural lesions, presence of brain injury, limb injuries or diseases which impair movements were excluded. Data collected were demographic data, type and dosage of steroid, ASIA motor grade and injury scale at day 3, 30, 90, 180 and complications (gastrointestinal bleed, wound breakdown, sepsis and infection). Surgical options were best tailored for each patient based on discussion among spine consultants  in the centre. </w:t>
      </w:r>
    </w:p>
    <w:p w14:paraId="2D1E1FE8" w14:textId="745A5FDD"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2.2 </w:t>
      </w:r>
      <w:r w:rsidR="005C5467" w:rsidRPr="005C5467">
        <w:rPr>
          <w:rFonts w:ascii="Arial" w:hAnsi="Arial" w:cs="Arial"/>
          <w:b/>
          <w:bCs/>
          <w:lang w:val="en-MY"/>
        </w:rPr>
        <w:t>Steroids used</w:t>
      </w:r>
    </w:p>
    <w:p w14:paraId="77BACDA3" w14:textId="7A08BD79" w:rsidR="005C5467" w:rsidRDefault="005C5467" w:rsidP="005C5467">
      <w:pPr>
        <w:pStyle w:val="Body"/>
        <w:spacing w:after="0"/>
        <w:rPr>
          <w:rFonts w:ascii="Arial" w:hAnsi="Arial" w:cs="Arial"/>
          <w:lang w:val="en-MY"/>
        </w:rPr>
      </w:pPr>
      <w:r w:rsidRPr="005C5467">
        <w:rPr>
          <w:rFonts w:ascii="Arial" w:hAnsi="Arial" w:cs="Arial"/>
          <w:lang w:val="en-MY"/>
        </w:rPr>
        <w:t xml:space="preserve">In our </w:t>
      </w:r>
      <w:r w:rsidR="00ED5274" w:rsidRPr="005C5467">
        <w:rPr>
          <w:rFonts w:ascii="Arial" w:hAnsi="Arial" w:cs="Arial"/>
          <w:lang w:val="en-MY"/>
        </w:rPr>
        <w:t>centre</w:t>
      </w:r>
      <w:r w:rsidRPr="005C5467">
        <w:rPr>
          <w:rFonts w:ascii="Arial" w:hAnsi="Arial" w:cs="Arial"/>
          <w:lang w:val="en-MY"/>
        </w:rPr>
        <w:t xml:space="preserve"> the steroid regime is based on the time from injury, in patients presenting within 8 hours of injury Methylprednisolone sodium succinate (MPSS) bolus of 30mg/kg over 1 hour and infusion of 5.4mg/kg for 23 hours is used. For patients presenting after 8 hours intravenous  Dexamethasone boluses 8mg 8 hourly for 72 hours. </w:t>
      </w:r>
    </w:p>
    <w:p w14:paraId="07A6E00F" w14:textId="77777777" w:rsidR="005C5467" w:rsidRPr="005C5467" w:rsidRDefault="005C5467" w:rsidP="005C5467">
      <w:pPr>
        <w:pStyle w:val="Body"/>
        <w:spacing w:after="0"/>
        <w:rPr>
          <w:rFonts w:ascii="Arial" w:hAnsi="Arial" w:cs="Arial"/>
          <w:lang w:val="en-MY"/>
        </w:rPr>
      </w:pPr>
    </w:p>
    <w:p w14:paraId="546FD58F" w14:textId="48F16736"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2.3 </w:t>
      </w:r>
      <w:r w:rsidR="005C5467" w:rsidRPr="005C5467">
        <w:rPr>
          <w:rFonts w:ascii="Arial" w:hAnsi="Arial" w:cs="Arial"/>
          <w:b/>
          <w:bCs/>
          <w:lang w:val="en-MY"/>
        </w:rPr>
        <w:t>ASIA motor scoring and ASIA impairment scale</w:t>
      </w:r>
    </w:p>
    <w:p w14:paraId="6160A5A4" w14:textId="77777777" w:rsidR="005C5467" w:rsidRDefault="005C5467" w:rsidP="005C5467">
      <w:pPr>
        <w:pStyle w:val="Body"/>
        <w:spacing w:after="0"/>
        <w:rPr>
          <w:rFonts w:ascii="Arial" w:hAnsi="Arial" w:cs="Arial"/>
          <w:lang w:val="en-MY"/>
        </w:rPr>
      </w:pPr>
      <w:r w:rsidRPr="005C5467">
        <w:rPr>
          <w:rFonts w:ascii="Arial" w:hAnsi="Arial" w:cs="Arial"/>
          <w:lang w:val="en-MY"/>
        </w:rPr>
        <w:t>ASIA motor score was performed by the examining consultant and grading done based on the medical research council grading system where 0 meant no muscle contraction, 5 indicating normal muscle strength and 3 being the lowest score for antigravity muscle activity. ASIA impairment scale ranges from A to E with A being complete neurological injury with no motor, sensory or sacral function and E being totally normal with no deficits.</w:t>
      </w:r>
    </w:p>
    <w:p w14:paraId="41E8E6DD" w14:textId="77777777" w:rsidR="005C5467" w:rsidRPr="005C5467" w:rsidRDefault="005C5467" w:rsidP="005C5467">
      <w:pPr>
        <w:pStyle w:val="Body"/>
        <w:spacing w:after="0"/>
        <w:rPr>
          <w:rFonts w:ascii="Arial" w:hAnsi="Arial" w:cs="Arial"/>
          <w:lang w:val="en-MY"/>
        </w:rPr>
      </w:pPr>
    </w:p>
    <w:p w14:paraId="38BB6D9A" w14:textId="7B63E0A1"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2.4 </w:t>
      </w:r>
      <w:r w:rsidR="005C5467" w:rsidRPr="005C5467">
        <w:rPr>
          <w:rFonts w:ascii="Arial" w:hAnsi="Arial" w:cs="Arial"/>
          <w:b/>
          <w:bCs/>
          <w:lang w:val="en-MY"/>
        </w:rPr>
        <w:t>Statistical analysis</w:t>
      </w:r>
    </w:p>
    <w:p w14:paraId="707ED611" w14:textId="77777777" w:rsidR="005C5467" w:rsidRPr="005C5467" w:rsidRDefault="005C5467" w:rsidP="005C5467">
      <w:pPr>
        <w:pStyle w:val="Body"/>
        <w:spacing w:after="0"/>
        <w:rPr>
          <w:rFonts w:ascii="Arial" w:hAnsi="Arial" w:cs="Arial"/>
        </w:rPr>
      </w:pPr>
      <w:r w:rsidRPr="005C5467">
        <w:rPr>
          <w:rFonts w:ascii="Arial" w:hAnsi="Arial" w:cs="Arial"/>
        </w:rPr>
        <w:t>Continuous variables were presented as mean with standard deviations; categorical variables were presented as number counts. One-way ANOVAs, independent t-test and chi-square tests were used to evaluate the differences. Statistical analyses were performed with SPSS software (version 24.0, IBM Corp.)</w:t>
      </w:r>
    </w:p>
    <w:p w14:paraId="5C61047A" w14:textId="77777777" w:rsidR="00790ADA" w:rsidRDefault="00790ADA" w:rsidP="00441B6F">
      <w:pPr>
        <w:pStyle w:val="Body"/>
        <w:spacing w:after="0"/>
        <w:rPr>
          <w:rFonts w:ascii="Arial" w:hAnsi="Arial" w:cs="Arial"/>
        </w:rPr>
      </w:pPr>
    </w:p>
    <w:p w14:paraId="1E45AF1C" w14:textId="275D68C3" w:rsidR="00A03B96" w:rsidRDefault="005C5467" w:rsidP="00441B6F">
      <w:pPr>
        <w:pStyle w:val="Body"/>
        <w:spacing w:after="0"/>
        <w:rPr>
          <w:rFonts w:ascii="Arial" w:hAnsi="Arial" w:cs="Arial"/>
        </w:rPr>
      </w:pPr>
      <w:r>
        <w:rPr>
          <w:noProof/>
        </w:rPr>
        <w:lastRenderedPageBreak/>
        <w:drawing>
          <wp:inline distT="0" distB="0" distL="0" distR="0" wp14:anchorId="4588CD91" wp14:editId="15A22B60">
            <wp:extent cx="5212080" cy="2603153"/>
            <wp:effectExtent l="0" t="0" r="0" b="0"/>
            <wp:docPr id="13261574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0F0B1A0" w14:textId="6D9B321C" w:rsidR="005C5467" w:rsidRDefault="005C5467" w:rsidP="00441B6F">
      <w:pPr>
        <w:pStyle w:val="Body"/>
        <w:spacing w:after="0"/>
        <w:rPr>
          <w:rFonts w:ascii="Arial" w:hAnsi="Arial" w:cs="Arial"/>
        </w:rPr>
      </w:pPr>
      <w:r>
        <w:rPr>
          <w:rFonts w:ascii="Arial" w:hAnsi="Arial" w:cs="Arial"/>
        </w:rPr>
        <w:t>Figure 1: Flowchart of methodology</w:t>
      </w:r>
    </w:p>
    <w:p w14:paraId="725B8143" w14:textId="77777777" w:rsidR="00A03B96" w:rsidRDefault="00A03B96" w:rsidP="00441B6F">
      <w:pPr>
        <w:pStyle w:val="Body"/>
        <w:spacing w:after="0"/>
        <w:rPr>
          <w:rFonts w:ascii="Arial" w:hAnsi="Arial" w:cs="Arial"/>
        </w:rPr>
      </w:pPr>
    </w:p>
    <w:p w14:paraId="7FE3AFB9" w14:textId="77777777" w:rsidR="00790ADA" w:rsidRPr="00FB3A86" w:rsidRDefault="00790ADA" w:rsidP="00441B6F">
      <w:pPr>
        <w:pStyle w:val="Body"/>
        <w:spacing w:after="0"/>
        <w:rPr>
          <w:rFonts w:ascii="Arial" w:hAnsi="Arial" w:cs="Arial"/>
        </w:rPr>
      </w:pPr>
    </w:p>
    <w:p w14:paraId="5CD955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AB3A6E" w14:textId="77777777" w:rsidR="00790ADA" w:rsidRPr="00FB3A86" w:rsidRDefault="00790ADA" w:rsidP="00441B6F">
      <w:pPr>
        <w:pStyle w:val="Head1"/>
        <w:spacing w:after="0"/>
        <w:jc w:val="both"/>
        <w:rPr>
          <w:rFonts w:ascii="Arial" w:hAnsi="Arial" w:cs="Arial"/>
        </w:rPr>
      </w:pPr>
    </w:p>
    <w:p w14:paraId="4285287A" w14:textId="62BC0F8A" w:rsidR="000A1D8D" w:rsidRPr="000A1D8D" w:rsidRDefault="000A1D8D" w:rsidP="000A1D8D">
      <w:pPr>
        <w:pStyle w:val="Body"/>
        <w:spacing w:after="0"/>
        <w:rPr>
          <w:rFonts w:ascii="Arial" w:hAnsi="Arial" w:cs="Arial"/>
          <w:b/>
          <w:bCs/>
          <w:lang w:val="en-MY"/>
        </w:rPr>
      </w:pPr>
      <w:r w:rsidRPr="000A1D8D">
        <w:rPr>
          <w:rFonts w:ascii="Arial" w:hAnsi="Arial" w:cs="Arial"/>
          <w:b/>
          <w:bCs/>
          <w:lang w:val="en-MY"/>
        </w:rPr>
        <w:t>3.1 Results</w:t>
      </w:r>
    </w:p>
    <w:p w14:paraId="0543C4C1" w14:textId="77777777" w:rsidR="000A1D8D" w:rsidRDefault="000A1D8D" w:rsidP="000A1D8D">
      <w:pPr>
        <w:pStyle w:val="Body"/>
        <w:spacing w:after="0"/>
        <w:rPr>
          <w:rFonts w:ascii="Arial" w:hAnsi="Arial" w:cs="Arial"/>
          <w:lang w:val="en-MY"/>
        </w:rPr>
      </w:pPr>
    </w:p>
    <w:p w14:paraId="4BDAA874" w14:textId="62C534BD" w:rsidR="000A1D8D" w:rsidRPr="000A1D8D" w:rsidRDefault="000A1D8D" w:rsidP="000A1D8D">
      <w:pPr>
        <w:pStyle w:val="Body"/>
        <w:spacing w:after="0"/>
        <w:rPr>
          <w:rFonts w:ascii="Arial" w:hAnsi="Arial" w:cs="Arial"/>
          <w:lang w:val="en-MY"/>
        </w:rPr>
      </w:pPr>
      <w:r w:rsidRPr="000A1D8D">
        <w:rPr>
          <w:rFonts w:ascii="Arial" w:hAnsi="Arial" w:cs="Arial"/>
          <w:lang w:val="en-MY"/>
        </w:rPr>
        <w:t xml:space="preserve">A total of 146 patient with traumatic spinal cord injury were identified from the electronic medical registry, upon of which 70 were excluded, 36 had other injuries which may interfere with motor grade testing, 28 did not undergo surgical intervention and 6 of them did not have complete medical records or follow-up. Among the 76 patients that met inclusion criteria 51 (67.1%) were males and 25 (32.9%) were females. The mean age for the steroid and non-steroid cohorts were  </w:t>
      </w:r>
      <w:r w:rsidRPr="000A1D8D">
        <w:rPr>
          <w:rFonts w:ascii="Arial" w:hAnsi="Arial" w:cs="Arial"/>
        </w:rPr>
        <w:t xml:space="preserve">42.3 </w:t>
      </w:r>
      <w:r w:rsidRPr="000A1D8D">
        <w:rPr>
          <w:rFonts w:ascii="Arial" w:hAnsi="Arial" w:cs="Arial"/>
        </w:rPr>
        <w:sym w:font="Symbol" w:char="F0B1"/>
      </w:r>
      <w:r w:rsidRPr="000A1D8D">
        <w:rPr>
          <w:rFonts w:ascii="Arial" w:hAnsi="Arial" w:cs="Arial"/>
        </w:rPr>
        <w:t xml:space="preserve"> 17.0 </w:t>
      </w:r>
      <w:r w:rsidRPr="000A1D8D">
        <w:rPr>
          <w:rFonts w:ascii="Arial" w:hAnsi="Arial" w:cs="Arial"/>
          <w:lang w:val="en-MY"/>
        </w:rPr>
        <w:t xml:space="preserve">and </w:t>
      </w:r>
      <w:r w:rsidRPr="000A1D8D">
        <w:rPr>
          <w:rFonts w:ascii="Arial" w:hAnsi="Arial" w:cs="Arial"/>
        </w:rPr>
        <w:t xml:space="preserve">48.4 </w:t>
      </w:r>
      <w:r w:rsidRPr="000A1D8D">
        <w:rPr>
          <w:rFonts w:ascii="Arial" w:hAnsi="Arial" w:cs="Arial"/>
        </w:rPr>
        <w:sym w:font="Symbol" w:char="F0B1"/>
      </w:r>
      <w:r w:rsidRPr="000A1D8D">
        <w:rPr>
          <w:rFonts w:ascii="Arial" w:hAnsi="Arial" w:cs="Arial"/>
        </w:rPr>
        <w:t xml:space="preserve"> 16.9 </w:t>
      </w:r>
      <w:r w:rsidRPr="000A1D8D">
        <w:rPr>
          <w:rFonts w:ascii="Arial" w:hAnsi="Arial" w:cs="Arial"/>
          <w:lang w:val="en-MY"/>
        </w:rPr>
        <w:t xml:space="preserve">respectively. A total 48 patients (63.2%) received steroid therapy and 28 patients (36.8%) who did not receive steroid therapy. Majority of the patients presented with ASIA A with 29 (38.2%)  followed by ASIA D with 20 patients (26.3%), ASIA B with 18 patients (23.8%) and ASIA C with only 9 patients (11.8%). Distribution of surgery performed had 28 patient receiving anterior surgery (36.8%) and 48 patients receiving posterior surgery (63.2%), although posterior surgery was preferred, there was no difference among the subgroups </w:t>
      </w:r>
      <w:r>
        <w:rPr>
          <w:rFonts w:ascii="Arial" w:hAnsi="Arial" w:cs="Arial"/>
          <w:lang w:val="en-MY"/>
        </w:rPr>
        <w:t>(P=</w:t>
      </w:r>
      <w:r w:rsidRPr="000A1D8D">
        <w:rPr>
          <w:rFonts w:ascii="Arial" w:hAnsi="Arial" w:cs="Arial"/>
          <w:lang w:val="en-MY"/>
        </w:rPr>
        <w:t>0.8</w:t>
      </w:r>
      <w:r>
        <w:rPr>
          <w:rFonts w:ascii="Arial" w:hAnsi="Arial" w:cs="Arial"/>
          <w:lang w:val="en-MY"/>
        </w:rPr>
        <w:t>8)</w:t>
      </w:r>
      <w:r w:rsidRPr="000A1D8D">
        <w:rPr>
          <w:rFonts w:ascii="Arial" w:hAnsi="Arial" w:cs="Arial"/>
          <w:lang w:val="en-MY"/>
        </w:rPr>
        <w:t>. Complications were more in the steroid group compared to the non-steroid group however it was not statistically significant, steroid group had 4 patients (5.3%) with wound dehiscence, 2 patients (2.6%) with upper gastrointestinal bleeding and 6 patients (7.9%) with sepsis. The non steroid group had 1 patient (3.6%) with wound dehiscence and 2 patients (7.1%) with sepsis. Among the steroid group, 28 patients received MPSS (58.3%) and 20 patients received dexamethasone (41.7%). (Table 1)</w:t>
      </w:r>
    </w:p>
    <w:p w14:paraId="1E7D47BA" w14:textId="4C5D1DD2" w:rsidR="000A1D8D" w:rsidRPr="000A1D8D" w:rsidRDefault="000A1D8D" w:rsidP="000A1D8D">
      <w:pPr>
        <w:pStyle w:val="Body"/>
        <w:spacing w:after="0"/>
        <w:rPr>
          <w:rFonts w:ascii="Arial" w:hAnsi="Arial" w:cs="Arial"/>
        </w:rPr>
      </w:pPr>
      <w:r w:rsidRPr="000A1D8D">
        <w:rPr>
          <w:rFonts w:ascii="Arial" w:hAnsi="Arial" w:cs="Arial"/>
          <w:lang w:val="en-MY"/>
        </w:rPr>
        <w:t>Motor grade recovery recorded a progressive gain over the time frames studied, with the peak gain noted at 6 months injury, there was no difference between the steroid and non-steroid group (</w:t>
      </w:r>
      <w:r>
        <w:rPr>
          <w:rFonts w:ascii="Arial" w:hAnsi="Arial" w:cs="Arial"/>
          <w:lang w:val="en-MY"/>
        </w:rPr>
        <w:t>P=</w:t>
      </w:r>
      <w:r w:rsidRPr="000A1D8D">
        <w:rPr>
          <w:rFonts w:ascii="Arial" w:hAnsi="Arial" w:cs="Arial"/>
          <w:lang w:val="en-MY"/>
        </w:rPr>
        <w:t xml:space="preserve">0.25) with mean grade recovery of </w:t>
      </w:r>
      <w:r w:rsidRPr="000A1D8D">
        <w:rPr>
          <w:rFonts w:ascii="Arial" w:hAnsi="Arial" w:cs="Arial"/>
        </w:rPr>
        <w:t xml:space="preserve">+35 </w:t>
      </w:r>
      <w:r w:rsidRPr="000A1D8D">
        <w:rPr>
          <w:rFonts w:ascii="Arial" w:hAnsi="Arial" w:cs="Arial"/>
        </w:rPr>
        <w:sym w:font="Symbol" w:char="F0B1"/>
      </w:r>
      <w:r w:rsidRPr="000A1D8D">
        <w:rPr>
          <w:rFonts w:ascii="Arial" w:hAnsi="Arial" w:cs="Arial"/>
        </w:rPr>
        <w:t xml:space="preserve"> 14.6  and +30 </w:t>
      </w:r>
      <w:r w:rsidRPr="000A1D8D">
        <w:rPr>
          <w:rFonts w:ascii="Arial" w:hAnsi="Arial" w:cs="Arial"/>
        </w:rPr>
        <w:sym w:font="Symbol" w:char="F0B1"/>
      </w:r>
      <w:r w:rsidRPr="000A1D8D">
        <w:rPr>
          <w:rFonts w:ascii="Arial" w:hAnsi="Arial" w:cs="Arial"/>
        </w:rPr>
        <w:t xml:space="preserve"> 14.4 respectively.  (Table 2) Among the ASIA scale, motor grade recovery at 6 months was the highest in ASIA C with +25 </w:t>
      </w:r>
      <w:r w:rsidRPr="000A1D8D">
        <w:rPr>
          <w:rFonts w:ascii="Arial" w:hAnsi="Arial" w:cs="Arial"/>
        </w:rPr>
        <w:sym w:font="Symbol" w:char="F0B1"/>
      </w:r>
      <w:r w:rsidRPr="000A1D8D">
        <w:rPr>
          <w:rFonts w:ascii="Arial" w:hAnsi="Arial" w:cs="Arial"/>
        </w:rPr>
        <w:t xml:space="preserve"> 10.1 and +19 </w:t>
      </w:r>
      <w:r w:rsidRPr="000A1D8D">
        <w:rPr>
          <w:rFonts w:ascii="Arial" w:hAnsi="Arial" w:cs="Arial"/>
        </w:rPr>
        <w:sym w:font="Symbol" w:char="F0B1"/>
      </w:r>
      <w:r w:rsidRPr="000A1D8D">
        <w:rPr>
          <w:rFonts w:ascii="Arial" w:hAnsi="Arial" w:cs="Arial"/>
        </w:rPr>
        <w:t xml:space="preserve"> 8.3 among the steroid and non-steroid group respectively.</w:t>
      </w:r>
      <w:r>
        <w:rPr>
          <w:rFonts w:ascii="Arial" w:hAnsi="Arial" w:cs="Arial"/>
        </w:rPr>
        <w:t>(P=0.42)</w:t>
      </w:r>
      <w:r w:rsidRPr="000A1D8D">
        <w:rPr>
          <w:rFonts w:ascii="Arial" w:hAnsi="Arial" w:cs="Arial"/>
        </w:rPr>
        <w:t xml:space="preserve"> Among the selected time data points, the 6-month point showed the most gain of motor grade compared to other time grades with no difference among steroid and non-steroid groups.</w:t>
      </w:r>
      <w:r>
        <w:rPr>
          <w:rFonts w:ascii="Arial" w:hAnsi="Arial" w:cs="Arial"/>
        </w:rPr>
        <w:t xml:space="preserve"> (P=0.46)</w:t>
      </w:r>
      <w:r w:rsidRPr="000A1D8D">
        <w:rPr>
          <w:rFonts w:ascii="Arial" w:hAnsi="Arial" w:cs="Arial"/>
        </w:rPr>
        <w:t xml:space="preserve"> (Table 3) ASIA scale improvement rates were also the highest in ASIA D and ASIA C with more than 66% improvements with no difference among steroid and non-steroid groups, p-value was not significant in calculation as the size of subgroups were very small. </w:t>
      </w:r>
      <w:r>
        <w:rPr>
          <w:rFonts w:ascii="Arial" w:hAnsi="Arial" w:cs="Arial"/>
        </w:rPr>
        <w:t>(P=</w:t>
      </w:r>
      <w:r w:rsidR="00212EFE">
        <w:rPr>
          <w:rFonts w:ascii="Arial" w:hAnsi="Arial" w:cs="Arial"/>
        </w:rPr>
        <w:t>1)</w:t>
      </w:r>
      <w:r w:rsidR="00212EFE" w:rsidRPr="000A1D8D">
        <w:rPr>
          <w:rFonts w:ascii="Arial" w:hAnsi="Arial" w:cs="Arial"/>
        </w:rPr>
        <w:t xml:space="preserve"> (</w:t>
      </w:r>
      <w:r w:rsidRPr="000A1D8D">
        <w:rPr>
          <w:rFonts w:ascii="Arial" w:hAnsi="Arial" w:cs="Arial"/>
        </w:rPr>
        <w:t>Table 4)</w:t>
      </w:r>
    </w:p>
    <w:p w14:paraId="42258146" w14:textId="77777777" w:rsidR="00790ADA" w:rsidRDefault="00790ADA" w:rsidP="00441B6F">
      <w:pPr>
        <w:pStyle w:val="Body"/>
        <w:spacing w:after="0"/>
        <w:rPr>
          <w:rFonts w:ascii="Arial" w:hAnsi="Arial" w:cs="Arial"/>
        </w:rPr>
      </w:pPr>
    </w:p>
    <w:p w14:paraId="469DA6A3" w14:textId="3970CD7C" w:rsidR="00863BD3" w:rsidRPr="00DC3180"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A1D8D" w:rsidRPr="000A1D8D">
        <w:rPr>
          <w:rFonts w:ascii="Arial" w:hAnsi="Arial"/>
          <w:b/>
          <w:lang w:val="en-MY"/>
        </w:rPr>
        <w:t>Demographic data among patients</w:t>
      </w:r>
    </w:p>
    <w:tbl>
      <w:tblPr>
        <w:tblStyle w:val="TableGrid"/>
        <w:tblW w:w="9209" w:type="dxa"/>
        <w:tblInd w:w="113" w:type="dxa"/>
        <w:tblLayout w:type="fixed"/>
        <w:tblLook w:val="04A0" w:firstRow="1" w:lastRow="0" w:firstColumn="1" w:lastColumn="0" w:noHBand="0" w:noVBand="1"/>
      </w:tblPr>
      <w:tblGrid>
        <w:gridCol w:w="2830"/>
        <w:gridCol w:w="1940"/>
        <w:gridCol w:w="1888"/>
        <w:gridCol w:w="1560"/>
        <w:gridCol w:w="991"/>
      </w:tblGrid>
      <w:tr w:rsidR="000A1D8D" w14:paraId="22A15A39" w14:textId="77777777" w:rsidTr="000A1D8D">
        <w:tc>
          <w:tcPr>
            <w:tcW w:w="2830" w:type="dxa"/>
          </w:tcPr>
          <w:p w14:paraId="52F84701" w14:textId="77777777" w:rsidR="000A1D8D" w:rsidRDefault="000A1D8D" w:rsidP="0070553E">
            <w:r>
              <w:t>Variables</w:t>
            </w:r>
          </w:p>
        </w:tc>
        <w:tc>
          <w:tcPr>
            <w:tcW w:w="1940" w:type="dxa"/>
          </w:tcPr>
          <w:p w14:paraId="19C8E1C2" w14:textId="77777777" w:rsidR="000A1D8D" w:rsidRDefault="000A1D8D" w:rsidP="0070553E">
            <w:r>
              <w:t>Total cohort</w:t>
            </w:r>
          </w:p>
        </w:tc>
        <w:tc>
          <w:tcPr>
            <w:tcW w:w="1888" w:type="dxa"/>
          </w:tcPr>
          <w:p w14:paraId="4A8994A3" w14:textId="77777777" w:rsidR="000A1D8D" w:rsidRDefault="000A1D8D" w:rsidP="0070553E">
            <w:r>
              <w:t>Steroid group</w:t>
            </w:r>
          </w:p>
        </w:tc>
        <w:tc>
          <w:tcPr>
            <w:tcW w:w="1560" w:type="dxa"/>
          </w:tcPr>
          <w:p w14:paraId="1B17FDCB" w14:textId="77777777" w:rsidR="000A1D8D" w:rsidRDefault="000A1D8D" w:rsidP="0070553E">
            <w:r>
              <w:t>No steroid</w:t>
            </w:r>
          </w:p>
        </w:tc>
        <w:tc>
          <w:tcPr>
            <w:tcW w:w="991" w:type="dxa"/>
          </w:tcPr>
          <w:p w14:paraId="027020A7" w14:textId="77777777" w:rsidR="000A1D8D" w:rsidRDefault="000A1D8D" w:rsidP="0070553E">
            <w:r>
              <w:t>p-value</w:t>
            </w:r>
          </w:p>
        </w:tc>
      </w:tr>
      <w:tr w:rsidR="000A1D8D" w14:paraId="6602EC4B" w14:textId="77777777" w:rsidTr="000A1D8D">
        <w:tc>
          <w:tcPr>
            <w:tcW w:w="2830" w:type="dxa"/>
          </w:tcPr>
          <w:p w14:paraId="230EEEFD" w14:textId="77777777" w:rsidR="000A1D8D" w:rsidRDefault="000A1D8D" w:rsidP="0070553E">
            <w:r>
              <w:t>No of patients</w:t>
            </w:r>
          </w:p>
        </w:tc>
        <w:tc>
          <w:tcPr>
            <w:tcW w:w="1940" w:type="dxa"/>
          </w:tcPr>
          <w:p w14:paraId="0EF325D2" w14:textId="77777777" w:rsidR="000A1D8D" w:rsidRDefault="000A1D8D" w:rsidP="0070553E">
            <w:pPr>
              <w:jc w:val="center"/>
            </w:pPr>
            <w:r>
              <w:t>76</w:t>
            </w:r>
          </w:p>
        </w:tc>
        <w:tc>
          <w:tcPr>
            <w:tcW w:w="1888" w:type="dxa"/>
          </w:tcPr>
          <w:p w14:paraId="20FEAED3" w14:textId="77777777" w:rsidR="000A1D8D" w:rsidRDefault="000A1D8D" w:rsidP="0070553E">
            <w:pPr>
              <w:jc w:val="center"/>
            </w:pPr>
            <w:r>
              <w:t>48 (63.2%)</w:t>
            </w:r>
          </w:p>
        </w:tc>
        <w:tc>
          <w:tcPr>
            <w:tcW w:w="1560" w:type="dxa"/>
          </w:tcPr>
          <w:p w14:paraId="65859DB5" w14:textId="77777777" w:rsidR="000A1D8D" w:rsidRDefault="000A1D8D" w:rsidP="0070553E">
            <w:pPr>
              <w:jc w:val="center"/>
            </w:pPr>
            <w:r>
              <w:t>28(36.8%)</w:t>
            </w:r>
          </w:p>
        </w:tc>
        <w:tc>
          <w:tcPr>
            <w:tcW w:w="991" w:type="dxa"/>
          </w:tcPr>
          <w:p w14:paraId="5200066A" w14:textId="77777777" w:rsidR="000A1D8D" w:rsidRDefault="000A1D8D" w:rsidP="0070553E">
            <w:r>
              <w:t>-</w:t>
            </w:r>
          </w:p>
        </w:tc>
      </w:tr>
      <w:tr w:rsidR="000A1D8D" w14:paraId="2CDCBEF4" w14:textId="77777777" w:rsidTr="000A1D8D">
        <w:tc>
          <w:tcPr>
            <w:tcW w:w="2830" w:type="dxa"/>
          </w:tcPr>
          <w:p w14:paraId="192FE6A5" w14:textId="77777777" w:rsidR="000A1D8D" w:rsidRDefault="000A1D8D" w:rsidP="0070553E">
            <w:r>
              <w:t>Age</w:t>
            </w:r>
          </w:p>
        </w:tc>
        <w:tc>
          <w:tcPr>
            <w:tcW w:w="1940" w:type="dxa"/>
          </w:tcPr>
          <w:p w14:paraId="5DB002E9" w14:textId="77777777" w:rsidR="000A1D8D" w:rsidRDefault="000A1D8D" w:rsidP="0070553E">
            <w:pPr>
              <w:jc w:val="center"/>
            </w:pPr>
            <w:r>
              <w:t xml:space="preserve">44.7 </w:t>
            </w:r>
            <w:r>
              <w:sym w:font="Symbol" w:char="F0B1"/>
            </w:r>
            <w:r>
              <w:t xml:space="preserve"> 17.1</w:t>
            </w:r>
          </w:p>
        </w:tc>
        <w:tc>
          <w:tcPr>
            <w:tcW w:w="1888" w:type="dxa"/>
          </w:tcPr>
          <w:p w14:paraId="446C7C9C" w14:textId="77777777" w:rsidR="000A1D8D" w:rsidRDefault="000A1D8D" w:rsidP="0070553E">
            <w:pPr>
              <w:jc w:val="center"/>
            </w:pPr>
            <w:r>
              <w:t xml:space="preserve">42.3 </w:t>
            </w:r>
            <w:r>
              <w:sym w:font="Symbol" w:char="F0B1"/>
            </w:r>
            <w:r>
              <w:t xml:space="preserve"> 17.0</w:t>
            </w:r>
          </w:p>
        </w:tc>
        <w:tc>
          <w:tcPr>
            <w:tcW w:w="1560" w:type="dxa"/>
          </w:tcPr>
          <w:p w14:paraId="10F54FF4" w14:textId="77777777" w:rsidR="000A1D8D" w:rsidRDefault="000A1D8D" w:rsidP="0070553E">
            <w:pPr>
              <w:jc w:val="center"/>
            </w:pPr>
            <w:r>
              <w:t xml:space="preserve">48.4 </w:t>
            </w:r>
            <w:r>
              <w:sym w:font="Symbol" w:char="F0B1"/>
            </w:r>
            <w:r>
              <w:t xml:space="preserve"> 16.9</w:t>
            </w:r>
          </w:p>
        </w:tc>
        <w:tc>
          <w:tcPr>
            <w:tcW w:w="991" w:type="dxa"/>
          </w:tcPr>
          <w:p w14:paraId="2E0910F8" w14:textId="77777777" w:rsidR="000A1D8D" w:rsidRDefault="000A1D8D" w:rsidP="0070553E">
            <w:r>
              <w:t xml:space="preserve"> 0.135</w:t>
            </w:r>
          </w:p>
        </w:tc>
      </w:tr>
      <w:tr w:rsidR="000A1D8D" w14:paraId="458D3C4C" w14:textId="77777777" w:rsidTr="000A1D8D">
        <w:tc>
          <w:tcPr>
            <w:tcW w:w="2830" w:type="dxa"/>
          </w:tcPr>
          <w:p w14:paraId="2B966DB5" w14:textId="77777777" w:rsidR="000A1D8D" w:rsidRDefault="000A1D8D" w:rsidP="0070553E">
            <w:r>
              <w:t>Gender</w:t>
            </w:r>
          </w:p>
          <w:p w14:paraId="44FB9524" w14:textId="77777777" w:rsidR="000A1D8D" w:rsidRDefault="000A1D8D" w:rsidP="0070553E">
            <w:pPr>
              <w:ind w:left="167" w:firstLine="152"/>
            </w:pPr>
            <w:r>
              <w:t>Male</w:t>
            </w:r>
          </w:p>
          <w:p w14:paraId="02955E7F" w14:textId="77777777" w:rsidR="000A1D8D" w:rsidRDefault="000A1D8D" w:rsidP="0070553E">
            <w:pPr>
              <w:ind w:left="167" w:firstLine="152"/>
            </w:pPr>
            <w:r>
              <w:t>Female</w:t>
            </w:r>
          </w:p>
        </w:tc>
        <w:tc>
          <w:tcPr>
            <w:tcW w:w="1940" w:type="dxa"/>
            <w:vAlign w:val="center"/>
          </w:tcPr>
          <w:p w14:paraId="3756EE80" w14:textId="77777777" w:rsidR="000A1D8D" w:rsidRDefault="000A1D8D" w:rsidP="0070553E">
            <w:pPr>
              <w:jc w:val="center"/>
            </w:pPr>
          </w:p>
          <w:p w14:paraId="1D087F78" w14:textId="77777777" w:rsidR="000A1D8D" w:rsidRDefault="000A1D8D" w:rsidP="0070553E">
            <w:pPr>
              <w:jc w:val="center"/>
            </w:pPr>
            <w:r>
              <w:t>51 (67.1%)</w:t>
            </w:r>
          </w:p>
          <w:p w14:paraId="6A0ED657" w14:textId="77777777" w:rsidR="000A1D8D" w:rsidRDefault="000A1D8D" w:rsidP="0070553E">
            <w:pPr>
              <w:jc w:val="center"/>
            </w:pPr>
            <w:r>
              <w:t>25 (32.9%)</w:t>
            </w:r>
          </w:p>
        </w:tc>
        <w:tc>
          <w:tcPr>
            <w:tcW w:w="1888" w:type="dxa"/>
            <w:vAlign w:val="center"/>
          </w:tcPr>
          <w:p w14:paraId="5641A6D7" w14:textId="77777777" w:rsidR="000A1D8D" w:rsidRDefault="000A1D8D" w:rsidP="0070553E">
            <w:pPr>
              <w:jc w:val="center"/>
            </w:pPr>
          </w:p>
          <w:p w14:paraId="2FAA5AC7" w14:textId="77777777" w:rsidR="000A1D8D" w:rsidRDefault="000A1D8D" w:rsidP="0070553E">
            <w:pPr>
              <w:jc w:val="center"/>
            </w:pPr>
            <w:r>
              <w:t>29 (56.9%)</w:t>
            </w:r>
          </w:p>
          <w:p w14:paraId="35694183" w14:textId="672BA91F" w:rsidR="000A1D8D" w:rsidRDefault="000A1D8D" w:rsidP="0070553E">
            <w:pPr>
              <w:jc w:val="center"/>
            </w:pPr>
            <w:r>
              <w:t>19 (76</w:t>
            </w:r>
            <w:r w:rsidR="00CD6810">
              <w:t>.0</w:t>
            </w:r>
            <w:r>
              <w:t>%)</w:t>
            </w:r>
          </w:p>
        </w:tc>
        <w:tc>
          <w:tcPr>
            <w:tcW w:w="1560" w:type="dxa"/>
            <w:vAlign w:val="center"/>
          </w:tcPr>
          <w:p w14:paraId="2203016E" w14:textId="77777777" w:rsidR="000A1D8D" w:rsidRDefault="000A1D8D" w:rsidP="0070553E">
            <w:pPr>
              <w:jc w:val="center"/>
            </w:pPr>
          </w:p>
          <w:p w14:paraId="685A8D55" w14:textId="77777777" w:rsidR="000A1D8D" w:rsidRDefault="000A1D8D" w:rsidP="0070553E">
            <w:pPr>
              <w:jc w:val="center"/>
            </w:pPr>
            <w:r>
              <w:t>22 (43.1%)</w:t>
            </w:r>
          </w:p>
          <w:p w14:paraId="74ECF4CE" w14:textId="60490CF6" w:rsidR="000A1D8D" w:rsidRDefault="000A1D8D" w:rsidP="0070553E">
            <w:pPr>
              <w:jc w:val="center"/>
            </w:pPr>
            <w:r>
              <w:t>6 (24</w:t>
            </w:r>
            <w:r w:rsidR="00CD6810">
              <w:t>.0</w:t>
            </w:r>
            <w:r>
              <w:t>%)</w:t>
            </w:r>
          </w:p>
        </w:tc>
        <w:tc>
          <w:tcPr>
            <w:tcW w:w="991" w:type="dxa"/>
          </w:tcPr>
          <w:p w14:paraId="41787780" w14:textId="77777777" w:rsidR="000A1D8D" w:rsidRDefault="000A1D8D" w:rsidP="0070553E">
            <w:r>
              <w:t xml:space="preserve"> 0.104</w:t>
            </w:r>
          </w:p>
        </w:tc>
      </w:tr>
      <w:tr w:rsidR="000A1D8D" w14:paraId="53EDAB5E" w14:textId="77777777" w:rsidTr="000A1D8D">
        <w:tc>
          <w:tcPr>
            <w:tcW w:w="2830" w:type="dxa"/>
            <w:vAlign w:val="center"/>
          </w:tcPr>
          <w:p w14:paraId="564EFE6F" w14:textId="77777777" w:rsidR="000A1D8D" w:rsidRDefault="000A1D8D" w:rsidP="0070553E">
            <w:r>
              <w:t>ASIA impairment scale</w:t>
            </w:r>
          </w:p>
          <w:p w14:paraId="2F83C576" w14:textId="77777777" w:rsidR="000A1D8D" w:rsidRDefault="000A1D8D" w:rsidP="0070553E">
            <w:pPr>
              <w:ind w:firstLine="319"/>
            </w:pPr>
            <w:r>
              <w:t>A</w:t>
            </w:r>
          </w:p>
          <w:p w14:paraId="6D3B113D" w14:textId="77777777" w:rsidR="000A1D8D" w:rsidRDefault="000A1D8D" w:rsidP="0070553E">
            <w:pPr>
              <w:ind w:firstLine="319"/>
            </w:pPr>
            <w:r>
              <w:t>B</w:t>
            </w:r>
          </w:p>
          <w:p w14:paraId="0E11350B" w14:textId="77777777" w:rsidR="000A1D8D" w:rsidRDefault="000A1D8D" w:rsidP="0070553E">
            <w:pPr>
              <w:ind w:firstLine="319"/>
            </w:pPr>
            <w:r>
              <w:t>C</w:t>
            </w:r>
          </w:p>
          <w:p w14:paraId="452C9F6B" w14:textId="77777777" w:rsidR="000A1D8D" w:rsidRDefault="000A1D8D" w:rsidP="0070553E">
            <w:pPr>
              <w:ind w:firstLine="319"/>
            </w:pPr>
            <w:r>
              <w:lastRenderedPageBreak/>
              <w:t>D</w:t>
            </w:r>
          </w:p>
          <w:p w14:paraId="5BEC9D18" w14:textId="77777777" w:rsidR="000A1D8D" w:rsidRDefault="000A1D8D" w:rsidP="0070553E">
            <w:pPr>
              <w:ind w:firstLine="319"/>
            </w:pPr>
            <w:r>
              <w:t>E</w:t>
            </w:r>
          </w:p>
        </w:tc>
        <w:tc>
          <w:tcPr>
            <w:tcW w:w="1940" w:type="dxa"/>
            <w:vAlign w:val="center"/>
          </w:tcPr>
          <w:p w14:paraId="1F5377AA" w14:textId="77777777" w:rsidR="000A1D8D" w:rsidRDefault="000A1D8D" w:rsidP="0070553E">
            <w:pPr>
              <w:jc w:val="center"/>
            </w:pPr>
          </w:p>
          <w:p w14:paraId="60227558" w14:textId="77777777" w:rsidR="000A1D8D" w:rsidRDefault="000A1D8D" w:rsidP="0070553E">
            <w:pPr>
              <w:jc w:val="center"/>
            </w:pPr>
            <w:r>
              <w:t>29 (38.2%)</w:t>
            </w:r>
          </w:p>
          <w:p w14:paraId="24FCA0D7" w14:textId="77777777" w:rsidR="000A1D8D" w:rsidRDefault="000A1D8D" w:rsidP="0070553E">
            <w:pPr>
              <w:jc w:val="center"/>
            </w:pPr>
            <w:r>
              <w:t>18(23.7%)</w:t>
            </w:r>
          </w:p>
          <w:p w14:paraId="0AB312DA" w14:textId="77777777" w:rsidR="000A1D8D" w:rsidRDefault="000A1D8D" w:rsidP="0070553E">
            <w:pPr>
              <w:jc w:val="center"/>
            </w:pPr>
            <w:r>
              <w:t>9(11.8%)</w:t>
            </w:r>
          </w:p>
          <w:p w14:paraId="12E6F842" w14:textId="77777777" w:rsidR="000A1D8D" w:rsidRDefault="000A1D8D" w:rsidP="0070553E">
            <w:pPr>
              <w:jc w:val="center"/>
            </w:pPr>
            <w:r>
              <w:lastRenderedPageBreak/>
              <w:t>20 (26.3%)</w:t>
            </w:r>
          </w:p>
          <w:p w14:paraId="41CEC542" w14:textId="77777777" w:rsidR="000A1D8D" w:rsidRDefault="000A1D8D" w:rsidP="0070553E">
            <w:pPr>
              <w:jc w:val="center"/>
            </w:pPr>
            <w:r>
              <w:t>0</w:t>
            </w:r>
          </w:p>
        </w:tc>
        <w:tc>
          <w:tcPr>
            <w:tcW w:w="1888" w:type="dxa"/>
            <w:vAlign w:val="center"/>
          </w:tcPr>
          <w:p w14:paraId="3472412E" w14:textId="77777777" w:rsidR="000A1D8D" w:rsidRDefault="000A1D8D" w:rsidP="0070553E">
            <w:pPr>
              <w:jc w:val="center"/>
            </w:pPr>
          </w:p>
          <w:p w14:paraId="1E3B5123" w14:textId="08494CA7" w:rsidR="000A1D8D" w:rsidRDefault="000A1D8D" w:rsidP="0070553E">
            <w:pPr>
              <w:jc w:val="center"/>
            </w:pPr>
            <w:r>
              <w:t>19(</w:t>
            </w:r>
            <w:r w:rsidR="001F4A77">
              <w:t>65.5</w:t>
            </w:r>
            <w:r>
              <w:t>%)</w:t>
            </w:r>
          </w:p>
          <w:p w14:paraId="64A473DE" w14:textId="42F751DC" w:rsidR="000A1D8D" w:rsidRDefault="000A1D8D" w:rsidP="0070553E">
            <w:pPr>
              <w:jc w:val="center"/>
            </w:pPr>
            <w:r>
              <w:t>13(</w:t>
            </w:r>
            <w:r w:rsidR="001F4A77">
              <w:t>72.2</w:t>
            </w:r>
            <w:r>
              <w:t>%)</w:t>
            </w:r>
          </w:p>
          <w:p w14:paraId="13FE08C8" w14:textId="1A93448D" w:rsidR="000A1D8D" w:rsidRDefault="000A1D8D" w:rsidP="0070553E">
            <w:pPr>
              <w:jc w:val="center"/>
            </w:pPr>
            <w:r>
              <w:t>2(</w:t>
            </w:r>
            <w:r w:rsidR="001F4A77">
              <w:t>22.2</w:t>
            </w:r>
            <w:r>
              <w:t>%)</w:t>
            </w:r>
          </w:p>
          <w:p w14:paraId="13A3A12C" w14:textId="12A82215" w:rsidR="000A1D8D" w:rsidRDefault="000A1D8D" w:rsidP="0070553E">
            <w:pPr>
              <w:jc w:val="center"/>
            </w:pPr>
            <w:r>
              <w:lastRenderedPageBreak/>
              <w:t>14 (</w:t>
            </w:r>
            <w:r w:rsidR="001F4A77">
              <w:t>70</w:t>
            </w:r>
            <w:r>
              <w:t>%)</w:t>
            </w:r>
          </w:p>
          <w:p w14:paraId="076AD786" w14:textId="77777777" w:rsidR="000A1D8D" w:rsidRDefault="000A1D8D" w:rsidP="0070553E">
            <w:pPr>
              <w:jc w:val="center"/>
            </w:pPr>
            <w:r>
              <w:t>0</w:t>
            </w:r>
          </w:p>
        </w:tc>
        <w:tc>
          <w:tcPr>
            <w:tcW w:w="1560" w:type="dxa"/>
            <w:vAlign w:val="center"/>
          </w:tcPr>
          <w:p w14:paraId="28DAEE8C" w14:textId="77777777" w:rsidR="000A1D8D" w:rsidRDefault="000A1D8D" w:rsidP="0070553E">
            <w:pPr>
              <w:jc w:val="center"/>
            </w:pPr>
          </w:p>
          <w:p w14:paraId="71FE338B" w14:textId="16F98445" w:rsidR="000A1D8D" w:rsidRDefault="000A1D8D" w:rsidP="0070553E">
            <w:pPr>
              <w:jc w:val="center"/>
            </w:pPr>
            <w:r>
              <w:t>10 (3</w:t>
            </w:r>
            <w:r w:rsidR="001F4A77">
              <w:t>4</w:t>
            </w:r>
            <w:r>
              <w:t>.</w:t>
            </w:r>
            <w:r w:rsidR="001F4A77">
              <w:t>5</w:t>
            </w:r>
            <w:r>
              <w:t>%)</w:t>
            </w:r>
          </w:p>
          <w:p w14:paraId="400C4EA9" w14:textId="6FA813B2" w:rsidR="000A1D8D" w:rsidRDefault="000A1D8D" w:rsidP="0070553E">
            <w:pPr>
              <w:jc w:val="center"/>
            </w:pPr>
            <w:r>
              <w:t>5 (</w:t>
            </w:r>
            <w:r w:rsidR="001F4A77">
              <w:t>27.8</w:t>
            </w:r>
            <w:r>
              <w:t>%)</w:t>
            </w:r>
          </w:p>
          <w:p w14:paraId="33328A47" w14:textId="4B774FDB" w:rsidR="000A1D8D" w:rsidRDefault="000A1D8D" w:rsidP="0070553E">
            <w:pPr>
              <w:jc w:val="center"/>
            </w:pPr>
            <w:r>
              <w:t>7 (</w:t>
            </w:r>
            <w:r w:rsidR="001F4A77">
              <w:t>77.8</w:t>
            </w:r>
            <w:r>
              <w:t>%)</w:t>
            </w:r>
          </w:p>
          <w:p w14:paraId="34EF9A50" w14:textId="633C6494" w:rsidR="000A1D8D" w:rsidRDefault="000A1D8D" w:rsidP="0070553E">
            <w:pPr>
              <w:jc w:val="center"/>
            </w:pPr>
            <w:r>
              <w:lastRenderedPageBreak/>
              <w:t>6 (</w:t>
            </w:r>
            <w:r w:rsidR="001F4A77">
              <w:t>30</w:t>
            </w:r>
            <w:r>
              <w:t>%)</w:t>
            </w:r>
          </w:p>
          <w:p w14:paraId="66FFC4B4" w14:textId="77777777" w:rsidR="000A1D8D" w:rsidRDefault="000A1D8D" w:rsidP="0070553E">
            <w:pPr>
              <w:jc w:val="center"/>
            </w:pPr>
            <w:r>
              <w:t>0</w:t>
            </w:r>
          </w:p>
        </w:tc>
        <w:tc>
          <w:tcPr>
            <w:tcW w:w="991" w:type="dxa"/>
          </w:tcPr>
          <w:p w14:paraId="7D2A1ED4" w14:textId="77777777" w:rsidR="000A1D8D" w:rsidRDefault="000A1D8D" w:rsidP="0070553E">
            <w:r>
              <w:lastRenderedPageBreak/>
              <w:t>0.088</w:t>
            </w:r>
          </w:p>
        </w:tc>
      </w:tr>
      <w:tr w:rsidR="000A1D8D" w14:paraId="1DDFD0A9" w14:textId="77777777" w:rsidTr="000A1D8D">
        <w:tc>
          <w:tcPr>
            <w:tcW w:w="2830" w:type="dxa"/>
          </w:tcPr>
          <w:p w14:paraId="5FD414D5" w14:textId="77777777" w:rsidR="000A1D8D" w:rsidRDefault="000A1D8D" w:rsidP="0070553E">
            <w:r>
              <w:t>Surgery performed</w:t>
            </w:r>
          </w:p>
          <w:p w14:paraId="6630077E" w14:textId="77777777" w:rsidR="000A1D8D" w:rsidRDefault="000A1D8D" w:rsidP="0070553E">
            <w:pPr>
              <w:ind w:left="319"/>
            </w:pPr>
            <w:r>
              <w:t>Anterior</w:t>
            </w:r>
          </w:p>
          <w:p w14:paraId="5B9C5DFD" w14:textId="77777777" w:rsidR="000A1D8D" w:rsidRDefault="000A1D8D" w:rsidP="0070553E">
            <w:pPr>
              <w:ind w:left="319"/>
            </w:pPr>
            <w:r>
              <w:t>Posterior</w:t>
            </w:r>
          </w:p>
        </w:tc>
        <w:tc>
          <w:tcPr>
            <w:tcW w:w="1940" w:type="dxa"/>
            <w:vAlign w:val="center"/>
          </w:tcPr>
          <w:p w14:paraId="18CE9E5C" w14:textId="77777777" w:rsidR="000A1D8D" w:rsidRDefault="000A1D8D" w:rsidP="0070553E">
            <w:pPr>
              <w:jc w:val="center"/>
            </w:pPr>
          </w:p>
          <w:p w14:paraId="499DF508" w14:textId="77777777" w:rsidR="000A1D8D" w:rsidRDefault="000A1D8D" w:rsidP="0070553E">
            <w:pPr>
              <w:jc w:val="center"/>
            </w:pPr>
            <w:r>
              <w:t>28 (36.8%)</w:t>
            </w:r>
          </w:p>
          <w:p w14:paraId="4BCE03EE" w14:textId="77777777" w:rsidR="000A1D8D" w:rsidRDefault="000A1D8D" w:rsidP="0070553E">
            <w:pPr>
              <w:jc w:val="center"/>
            </w:pPr>
            <w:r>
              <w:t>48 (63.2%)</w:t>
            </w:r>
          </w:p>
        </w:tc>
        <w:tc>
          <w:tcPr>
            <w:tcW w:w="1888" w:type="dxa"/>
            <w:vAlign w:val="center"/>
          </w:tcPr>
          <w:p w14:paraId="39799B00" w14:textId="77777777" w:rsidR="000A1D8D" w:rsidRDefault="000A1D8D" w:rsidP="0070553E">
            <w:pPr>
              <w:jc w:val="center"/>
            </w:pPr>
          </w:p>
          <w:p w14:paraId="093C2B2A" w14:textId="16D18CBC" w:rsidR="000A1D8D" w:rsidRDefault="000A1D8D" w:rsidP="0070553E">
            <w:pPr>
              <w:jc w:val="center"/>
            </w:pPr>
            <w:r>
              <w:t>18(</w:t>
            </w:r>
            <w:r w:rsidR="001F4A77">
              <w:t>64.3</w:t>
            </w:r>
            <w:r>
              <w:t>%)</w:t>
            </w:r>
          </w:p>
          <w:p w14:paraId="6450ADC4" w14:textId="77777777" w:rsidR="000A1D8D" w:rsidRDefault="000A1D8D" w:rsidP="0070553E">
            <w:pPr>
              <w:jc w:val="center"/>
            </w:pPr>
            <w:r>
              <w:t>30 (62.5%)</w:t>
            </w:r>
          </w:p>
        </w:tc>
        <w:tc>
          <w:tcPr>
            <w:tcW w:w="1560" w:type="dxa"/>
            <w:vAlign w:val="center"/>
          </w:tcPr>
          <w:p w14:paraId="06272B4C" w14:textId="77777777" w:rsidR="000A1D8D" w:rsidRDefault="000A1D8D" w:rsidP="0070553E">
            <w:pPr>
              <w:jc w:val="center"/>
            </w:pPr>
          </w:p>
          <w:p w14:paraId="27B4B616" w14:textId="3B8BAF89" w:rsidR="000A1D8D" w:rsidRDefault="000A1D8D" w:rsidP="0070553E">
            <w:pPr>
              <w:jc w:val="center"/>
            </w:pPr>
            <w:r>
              <w:t>10 (</w:t>
            </w:r>
            <w:r w:rsidR="001F4A77">
              <w:t>35.7</w:t>
            </w:r>
            <w:r>
              <w:t>%)</w:t>
            </w:r>
          </w:p>
          <w:p w14:paraId="5ABA3BAA" w14:textId="25FDEF6F" w:rsidR="000A1D8D" w:rsidRDefault="000A1D8D" w:rsidP="0070553E">
            <w:pPr>
              <w:jc w:val="center"/>
            </w:pPr>
            <w:r>
              <w:t>18 (</w:t>
            </w:r>
            <w:r w:rsidR="001F4A77">
              <w:t>37.5</w:t>
            </w:r>
            <w:r>
              <w:t>%)</w:t>
            </w:r>
          </w:p>
        </w:tc>
        <w:tc>
          <w:tcPr>
            <w:tcW w:w="991" w:type="dxa"/>
          </w:tcPr>
          <w:p w14:paraId="358FC226" w14:textId="77777777" w:rsidR="000A1D8D" w:rsidRDefault="000A1D8D" w:rsidP="0070553E"/>
          <w:p w14:paraId="6717FA07" w14:textId="77777777" w:rsidR="000A1D8D" w:rsidRPr="00A83751" w:rsidRDefault="000A1D8D" w:rsidP="0070553E">
            <w:pPr>
              <w:tabs>
                <w:tab w:val="left" w:pos="595"/>
              </w:tabs>
            </w:pPr>
            <w:r>
              <w:t>0.876</w:t>
            </w:r>
          </w:p>
        </w:tc>
      </w:tr>
      <w:tr w:rsidR="000A1D8D" w14:paraId="363110B1" w14:textId="77777777" w:rsidTr="000A1D8D">
        <w:tc>
          <w:tcPr>
            <w:tcW w:w="2830" w:type="dxa"/>
          </w:tcPr>
          <w:p w14:paraId="2E54AF60" w14:textId="77777777" w:rsidR="000A1D8D" w:rsidRDefault="000A1D8D" w:rsidP="0070553E">
            <w:r>
              <w:t>Complications</w:t>
            </w:r>
          </w:p>
          <w:p w14:paraId="01D8B066" w14:textId="77777777" w:rsidR="000A1D8D" w:rsidRDefault="000A1D8D" w:rsidP="0070553E">
            <w:pPr>
              <w:ind w:left="177" w:firstLine="142"/>
            </w:pPr>
            <w:r>
              <w:t>Wound dehiscence</w:t>
            </w:r>
          </w:p>
          <w:p w14:paraId="70F3E735" w14:textId="77777777" w:rsidR="000A1D8D" w:rsidRDefault="000A1D8D" w:rsidP="0070553E">
            <w:pPr>
              <w:ind w:left="177" w:firstLine="142"/>
            </w:pPr>
            <w:r>
              <w:t>GI bleed</w:t>
            </w:r>
          </w:p>
          <w:p w14:paraId="57F9D843" w14:textId="77777777" w:rsidR="000A1D8D" w:rsidRDefault="000A1D8D" w:rsidP="0070553E">
            <w:pPr>
              <w:ind w:left="177" w:firstLine="142"/>
            </w:pPr>
            <w:r>
              <w:t>Sepsis</w:t>
            </w:r>
          </w:p>
        </w:tc>
        <w:tc>
          <w:tcPr>
            <w:tcW w:w="1940" w:type="dxa"/>
            <w:vAlign w:val="center"/>
          </w:tcPr>
          <w:p w14:paraId="26EA646C" w14:textId="77777777" w:rsidR="000A1D8D" w:rsidRDefault="000A1D8D" w:rsidP="0070553E">
            <w:pPr>
              <w:jc w:val="center"/>
            </w:pPr>
          </w:p>
          <w:p w14:paraId="091B5429" w14:textId="77777777" w:rsidR="000A1D8D" w:rsidRDefault="000A1D8D" w:rsidP="0070553E">
            <w:pPr>
              <w:jc w:val="center"/>
            </w:pPr>
            <w:r>
              <w:t>4 (5.3%)</w:t>
            </w:r>
          </w:p>
          <w:p w14:paraId="787862F6" w14:textId="77777777" w:rsidR="000A1D8D" w:rsidRDefault="000A1D8D" w:rsidP="0070553E">
            <w:pPr>
              <w:jc w:val="center"/>
            </w:pPr>
            <w:r>
              <w:t>2 (2.6%)</w:t>
            </w:r>
          </w:p>
          <w:p w14:paraId="3D796ECE" w14:textId="77777777" w:rsidR="000A1D8D" w:rsidRDefault="000A1D8D" w:rsidP="0070553E">
            <w:pPr>
              <w:jc w:val="center"/>
            </w:pPr>
            <w:r>
              <w:t>6 (7.9%)</w:t>
            </w:r>
          </w:p>
        </w:tc>
        <w:tc>
          <w:tcPr>
            <w:tcW w:w="1888" w:type="dxa"/>
            <w:vAlign w:val="center"/>
          </w:tcPr>
          <w:p w14:paraId="769C9CD7" w14:textId="77777777" w:rsidR="000A1D8D" w:rsidRDefault="000A1D8D" w:rsidP="0070553E">
            <w:pPr>
              <w:jc w:val="center"/>
            </w:pPr>
          </w:p>
          <w:p w14:paraId="7139D34C" w14:textId="3D5C6EDB" w:rsidR="000A1D8D" w:rsidRDefault="000A1D8D" w:rsidP="0070553E">
            <w:pPr>
              <w:jc w:val="center"/>
            </w:pPr>
            <w:r>
              <w:t>3 (</w:t>
            </w:r>
            <w:r w:rsidR="001F4A77">
              <w:t>75.0</w:t>
            </w:r>
            <w:r>
              <w:t>%)</w:t>
            </w:r>
          </w:p>
          <w:p w14:paraId="526BF9BA" w14:textId="2CB3B914" w:rsidR="000A1D8D" w:rsidRDefault="000A1D8D" w:rsidP="0070553E">
            <w:pPr>
              <w:jc w:val="center"/>
            </w:pPr>
            <w:r>
              <w:t>2 (</w:t>
            </w:r>
            <w:r w:rsidR="001F4A77">
              <w:t>100</w:t>
            </w:r>
            <w:r>
              <w:t>%)</w:t>
            </w:r>
          </w:p>
          <w:p w14:paraId="13583CCC" w14:textId="00DFE841" w:rsidR="000A1D8D" w:rsidRDefault="000A1D8D" w:rsidP="0070553E">
            <w:pPr>
              <w:jc w:val="center"/>
            </w:pPr>
            <w:r>
              <w:t>4 (</w:t>
            </w:r>
            <w:r w:rsidR="001F4A77">
              <w:t>66.7</w:t>
            </w:r>
            <w:r>
              <w:t>%)</w:t>
            </w:r>
          </w:p>
        </w:tc>
        <w:tc>
          <w:tcPr>
            <w:tcW w:w="1560" w:type="dxa"/>
            <w:vAlign w:val="center"/>
          </w:tcPr>
          <w:p w14:paraId="3B212AFD" w14:textId="77777777" w:rsidR="000A1D8D" w:rsidRDefault="000A1D8D" w:rsidP="0070553E">
            <w:pPr>
              <w:jc w:val="center"/>
            </w:pPr>
          </w:p>
          <w:p w14:paraId="027AED54" w14:textId="3DCC8403" w:rsidR="000A1D8D" w:rsidRDefault="000A1D8D" w:rsidP="0070553E">
            <w:pPr>
              <w:jc w:val="center"/>
            </w:pPr>
            <w:r>
              <w:t>1(</w:t>
            </w:r>
            <w:r w:rsidR="001F4A77">
              <w:t>25.0</w:t>
            </w:r>
            <w:r>
              <w:t>%)</w:t>
            </w:r>
          </w:p>
          <w:p w14:paraId="40EF5295" w14:textId="77777777" w:rsidR="000A1D8D" w:rsidRDefault="000A1D8D" w:rsidP="0070553E">
            <w:pPr>
              <w:jc w:val="center"/>
            </w:pPr>
            <w:r>
              <w:t>0</w:t>
            </w:r>
          </w:p>
          <w:p w14:paraId="383FF845" w14:textId="62A2928C" w:rsidR="000A1D8D" w:rsidRDefault="000A1D8D" w:rsidP="0070553E">
            <w:pPr>
              <w:jc w:val="center"/>
            </w:pPr>
            <w:r>
              <w:t>2 (</w:t>
            </w:r>
            <w:r w:rsidR="001F4A77">
              <w:t>33.3</w:t>
            </w:r>
            <w:r>
              <w:t>%)</w:t>
            </w:r>
          </w:p>
        </w:tc>
        <w:tc>
          <w:tcPr>
            <w:tcW w:w="991" w:type="dxa"/>
          </w:tcPr>
          <w:p w14:paraId="09244D41" w14:textId="77777777" w:rsidR="000A1D8D" w:rsidRDefault="000A1D8D" w:rsidP="0070553E"/>
          <w:p w14:paraId="50B47674" w14:textId="77777777" w:rsidR="000A1D8D" w:rsidRDefault="000A1D8D" w:rsidP="0070553E">
            <w:r>
              <w:t>0.641</w:t>
            </w:r>
          </w:p>
        </w:tc>
      </w:tr>
    </w:tbl>
    <w:p w14:paraId="728F6D03" w14:textId="77777777" w:rsidR="000A1D8D" w:rsidRDefault="000A1D8D" w:rsidP="000A1D8D">
      <w:pPr>
        <w:pStyle w:val="Body"/>
        <w:spacing w:after="0"/>
        <w:rPr>
          <w:rFonts w:ascii="Arial" w:hAnsi="Arial"/>
          <w:b/>
          <w:lang w:val="en-MY"/>
        </w:rPr>
      </w:pPr>
    </w:p>
    <w:p w14:paraId="7D590341" w14:textId="44566360" w:rsidR="000A1D8D" w:rsidRPr="000A1D8D" w:rsidRDefault="000A1D8D" w:rsidP="000A1D8D">
      <w:pPr>
        <w:pStyle w:val="Body"/>
        <w:spacing w:after="0"/>
        <w:rPr>
          <w:rFonts w:ascii="Arial" w:hAnsi="Arial"/>
          <w:b/>
          <w:lang w:val="en-MY"/>
        </w:rPr>
      </w:pPr>
      <w:r w:rsidRPr="000A1D8D">
        <w:rPr>
          <w:rFonts w:ascii="Arial" w:hAnsi="Arial"/>
          <w:b/>
          <w:lang w:val="en-MY"/>
        </w:rPr>
        <w:t>Table 2: Motor score improvement table based on timepoint</w:t>
      </w:r>
    </w:p>
    <w:tbl>
      <w:tblPr>
        <w:tblStyle w:val="TableGrid"/>
        <w:tblW w:w="9213"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6"/>
        <w:gridCol w:w="3119"/>
        <w:gridCol w:w="3397"/>
        <w:gridCol w:w="991"/>
      </w:tblGrid>
      <w:tr w:rsidR="000A1D8D" w:rsidRPr="000A1D8D" w14:paraId="25DBC90B" w14:textId="77777777" w:rsidTr="000A1D8D">
        <w:trPr>
          <w:trHeight w:val="288"/>
        </w:trPr>
        <w:tc>
          <w:tcPr>
            <w:tcW w:w="1706" w:type="dxa"/>
          </w:tcPr>
          <w:p w14:paraId="5ADEC514" w14:textId="77777777" w:rsidR="000A1D8D" w:rsidRPr="000A1D8D" w:rsidRDefault="000A1D8D" w:rsidP="000A1D8D">
            <w:pPr>
              <w:pStyle w:val="Body"/>
              <w:rPr>
                <w:rFonts w:ascii="Arial" w:eastAsia="Times New Roman" w:hAnsi="Arial"/>
                <w:b/>
              </w:rPr>
            </w:pPr>
            <w:r w:rsidRPr="000A1D8D">
              <w:rPr>
                <w:rFonts w:ascii="Arial" w:eastAsia="Times New Roman" w:hAnsi="Arial"/>
                <w:b/>
              </w:rPr>
              <w:t>Timepoint</w:t>
            </w:r>
          </w:p>
        </w:tc>
        <w:tc>
          <w:tcPr>
            <w:tcW w:w="3119" w:type="dxa"/>
          </w:tcPr>
          <w:p w14:paraId="2F3B82D5"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Steroid group motor gain </w:t>
            </w:r>
          </w:p>
        </w:tc>
        <w:tc>
          <w:tcPr>
            <w:tcW w:w="3397" w:type="dxa"/>
          </w:tcPr>
          <w:p w14:paraId="1916F4CE"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No steroid group motor gain </w:t>
            </w:r>
          </w:p>
        </w:tc>
        <w:tc>
          <w:tcPr>
            <w:tcW w:w="991" w:type="dxa"/>
          </w:tcPr>
          <w:p w14:paraId="20BA4AFE" w14:textId="77777777" w:rsidR="000A1D8D" w:rsidRPr="000A1D8D" w:rsidRDefault="000A1D8D" w:rsidP="000A1D8D">
            <w:pPr>
              <w:pStyle w:val="Body"/>
              <w:rPr>
                <w:rFonts w:ascii="Arial" w:eastAsia="Times New Roman" w:hAnsi="Arial"/>
                <w:b/>
              </w:rPr>
            </w:pPr>
            <w:r w:rsidRPr="000A1D8D">
              <w:rPr>
                <w:rFonts w:ascii="Arial" w:eastAsia="Times New Roman" w:hAnsi="Arial"/>
                <w:b/>
              </w:rPr>
              <w:t>p-value</w:t>
            </w:r>
          </w:p>
        </w:tc>
      </w:tr>
      <w:tr w:rsidR="000A1D8D" w:rsidRPr="000A1D8D" w14:paraId="541280B0" w14:textId="77777777" w:rsidTr="000A1D8D">
        <w:trPr>
          <w:trHeight w:val="381"/>
        </w:trPr>
        <w:tc>
          <w:tcPr>
            <w:tcW w:w="1706" w:type="dxa"/>
          </w:tcPr>
          <w:p w14:paraId="7BBC6B82" w14:textId="77777777" w:rsidR="000A1D8D" w:rsidRPr="000A1D8D" w:rsidRDefault="000A1D8D" w:rsidP="000A1D8D">
            <w:pPr>
              <w:pStyle w:val="Body"/>
              <w:rPr>
                <w:rFonts w:ascii="Arial" w:eastAsia="Times New Roman" w:hAnsi="Arial"/>
                <w:b/>
              </w:rPr>
            </w:pPr>
            <w:r w:rsidRPr="000A1D8D">
              <w:rPr>
                <w:rFonts w:ascii="Arial" w:eastAsia="Times New Roman" w:hAnsi="Arial"/>
                <w:b/>
              </w:rPr>
              <w:t>Day 3</w:t>
            </w:r>
          </w:p>
        </w:tc>
        <w:tc>
          <w:tcPr>
            <w:tcW w:w="3119" w:type="dxa"/>
            <w:vAlign w:val="center"/>
          </w:tcPr>
          <w:p w14:paraId="06754321"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 </w:t>
            </w:r>
            <w:r w:rsidRPr="000A1D8D">
              <w:rPr>
                <w:rFonts w:ascii="Arial" w:eastAsia="Times New Roman" w:hAnsi="Arial"/>
                <w:b/>
              </w:rPr>
              <w:sym w:font="Symbol" w:char="F0B1"/>
            </w:r>
            <w:r w:rsidRPr="000A1D8D">
              <w:rPr>
                <w:rFonts w:ascii="Arial" w:eastAsia="Times New Roman" w:hAnsi="Arial"/>
                <w:b/>
              </w:rPr>
              <w:t xml:space="preserve"> 2.1</w:t>
            </w:r>
          </w:p>
        </w:tc>
        <w:tc>
          <w:tcPr>
            <w:tcW w:w="3397" w:type="dxa"/>
            <w:vAlign w:val="center"/>
          </w:tcPr>
          <w:p w14:paraId="5B9D07DA"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+2 </w:t>
            </w:r>
            <w:r w:rsidRPr="000A1D8D">
              <w:rPr>
                <w:rFonts w:ascii="Arial" w:eastAsia="Times New Roman" w:hAnsi="Arial"/>
                <w:b/>
              </w:rPr>
              <w:sym w:font="Symbol" w:char="F0B1"/>
            </w:r>
            <w:r w:rsidRPr="000A1D8D">
              <w:rPr>
                <w:rFonts w:ascii="Arial" w:eastAsia="Times New Roman" w:hAnsi="Arial"/>
                <w:b/>
              </w:rPr>
              <w:t xml:space="preserve"> 2.8</w:t>
            </w:r>
          </w:p>
        </w:tc>
        <w:tc>
          <w:tcPr>
            <w:tcW w:w="991" w:type="dxa"/>
            <w:vAlign w:val="center"/>
          </w:tcPr>
          <w:p w14:paraId="32431F3F" w14:textId="77777777" w:rsidR="000A1D8D" w:rsidRPr="000A1D8D" w:rsidRDefault="000A1D8D" w:rsidP="000A1D8D">
            <w:pPr>
              <w:pStyle w:val="Body"/>
              <w:rPr>
                <w:rFonts w:ascii="Arial" w:eastAsia="Times New Roman" w:hAnsi="Arial"/>
                <w:b/>
              </w:rPr>
            </w:pPr>
            <w:r w:rsidRPr="000A1D8D">
              <w:rPr>
                <w:rFonts w:ascii="Arial" w:eastAsia="Times New Roman" w:hAnsi="Arial"/>
                <w:b/>
              </w:rPr>
              <w:t>0.183</w:t>
            </w:r>
          </w:p>
        </w:tc>
      </w:tr>
      <w:tr w:rsidR="000A1D8D" w:rsidRPr="000A1D8D" w14:paraId="2B88487B" w14:textId="77777777" w:rsidTr="000A1D8D">
        <w:trPr>
          <w:trHeight w:val="381"/>
        </w:trPr>
        <w:tc>
          <w:tcPr>
            <w:tcW w:w="1706" w:type="dxa"/>
          </w:tcPr>
          <w:p w14:paraId="64DFC0BE" w14:textId="77777777" w:rsidR="000A1D8D" w:rsidRPr="000A1D8D" w:rsidRDefault="000A1D8D" w:rsidP="000A1D8D">
            <w:pPr>
              <w:pStyle w:val="Body"/>
              <w:rPr>
                <w:rFonts w:ascii="Arial" w:eastAsia="Times New Roman" w:hAnsi="Arial"/>
                <w:b/>
              </w:rPr>
            </w:pPr>
            <w:r w:rsidRPr="000A1D8D">
              <w:rPr>
                <w:rFonts w:ascii="Arial" w:eastAsia="Times New Roman" w:hAnsi="Arial"/>
                <w:b/>
              </w:rPr>
              <w:t>1 months</w:t>
            </w:r>
          </w:p>
        </w:tc>
        <w:tc>
          <w:tcPr>
            <w:tcW w:w="3119" w:type="dxa"/>
            <w:vAlign w:val="center"/>
          </w:tcPr>
          <w:p w14:paraId="76F22CEF"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+15 </w:t>
            </w:r>
            <w:r w:rsidRPr="000A1D8D">
              <w:rPr>
                <w:rFonts w:ascii="Arial" w:eastAsia="Times New Roman" w:hAnsi="Arial"/>
                <w:b/>
              </w:rPr>
              <w:sym w:font="Symbol" w:char="F0B1"/>
            </w:r>
            <w:r w:rsidRPr="000A1D8D">
              <w:rPr>
                <w:rFonts w:ascii="Arial" w:eastAsia="Times New Roman" w:hAnsi="Arial"/>
                <w:b/>
              </w:rPr>
              <w:t xml:space="preserve"> 8.6</w:t>
            </w:r>
          </w:p>
        </w:tc>
        <w:tc>
          <w:tcPr>
            <w:tcW w:w="3397" w:type="dxa"/>
            <w:vAlign w:val="center"/>
          </w:tcPr>
          <w:p w14:paraId="43B2CCF4"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+12 </w:t>
            </w:r>
            <w:r w:rsidRPr="000A1D8D">
              <w:rPr>
                <w:rFonts w:ascii="Arial" w:eastAsia="Times New Roman" w:hAnsi="Arial"/>
                <w:b/>
              </w:rPr>
              <w:sym w:font="Symbol" w:char="F0B1"/>
            </w:r>
            <w:r w:rsidRPr="000A1D8D">
              <w:rPr>
                <w:rFonts w:ascii="Arial" w:eastAsia="Times New Roman" w:hAnsi="Arial"/>
                <w:b/>
              </w:rPr>
              <w:t xml:space="preserve"> 8.3</w:t>
            </w:r>
          </w:p>
        </w:tc>
        <w:tc>
          <w:tcPr>
            <w:tcW w:w="991" w:type="dxa"/>
            <w:vAlign w:val="center"/>
          </w:tcPr>
          <w:p w14:paraId="3D6D7758" w14:textId="77777777" w:rsidR="000A1D8D" w:rsidRPr="000A1D8D" w:rsidRDefault="000A1D8D" w:rsidP="000A1D8D">
            <w:pPr>
              <w:pStyle w:val="Body"/>
              <w:rPr>
                <w:rFonts w:ascii="Arial" w:eastAsia="Times New Roman" w:hAnsi="Arial"/>
                <w:b/>
              </w:rPr>
            </w:pPr>
            <w:r w:rsidRPr="000A1D8D">
              <w:rPr>
                <w:rFonts w:ascii="Arial" w:eastAsia="Times New Roman" w:hAnsi="Arial"/>
                <w:b/>
              </w:rPr>
              <w:t>0.146</w:t>
            </w:r>
          </w:p>
        </w:tc>
      </w:tr>
      <w:tr w:rsidR="000A1D8D" w:rsidRPr="000A1D8D" w14:paraId="6C507B0E" w14:textId="77777777" w:rsidTr="000A1D8D">
        <w:trPr>
          <w:trHeight w:val="381"/>
        </w:trPr>
        <w:tc>
          <w:tcPr>
            <w:tcW w:w="1706" w:type="dxa"/>
          </w:tcPr>
          <w:p w14:paraId="26516489" w14:textId="77777777" w:rsidR="000A1D8D" w:rsidRPr="000A1D8D" w:rsidRDefault="000A1D8D" w:rsidP="000A1D8D">
            <w:pPr>
              <w:pStyle w:val="Body"/>
              <w:rPr>
                <w:rFonts w:ascii="Arial" w:eastAsia="Times New Roman" w:hAnsi="Arial"/>
                <w:b/>
              </w:rPr>
            </w:pPr>
            <w:r w:rsidRPr="000A1D8D">
              <w:rPr>
                <w:rFonts w:ascii="Arial" w:eastAsia="Times New Roman" w:hAnsi="Arial"/>
                <w:b/>
              </w:rPr>
              <w:t>3 months</w:t>
            </w:r>
          </w:p>
        </w:tc>
        <w:tc>
          <w:tcPr>
            <w:tcW w:w="3119" w:type="dxa"/>
            <w:vAlign w:val="center"/>
          </w:tcPr>
          <w:p w14:paraId="1B8AAB0C"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+22 </w:t>
            </w:r>
            <w:r w:rsidRPr="000A1D8D">
              <w:rPr>
                <w:rFonts w:ascii="Arial" w:eastAsia="Times New Roman" w:hAnsi="Arial"/>
                <w:b/>
              </w:rPr>
              <w:sym w:font="Symbol" w:char="F0B1"/>
            </w:r>
            <w:r w:rsidRPr="000A1D8D">
              <w:rPr>
                <w:rFonts w:ascii="Arial" w:eastAsia="Times New Roman" w:hAnsi="Arial"/>
                <w:b/>
              </w:rPr>
              <w:t xml:space="preserve"> 12.1</w:t>
            </w:r>
          </w:p>
        </w:tc>
        <w:tc>
          <w:tcPr>
            <w:tcW w:w="3397" w:type="dxa"/>
            <w:vAlign w:val="center"/>
          </w:tcPr>
          <w:p w14:paraId="31D0A594"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+18 </w:t>
            </w:r>
            <w:r w:rsidRPr="000A1D8D">
              <w:rPr>
                <w:rFonts w:ascii="Arial" w:eastAsia="Times New Roman" w:hAnsi="Arial"/>
                <w:b/>
              </w:rPr>
              <w:sym w:font="Symbol" w:char="F0B1"/>
            </w:r>
            <w:r w:rsidRPr="000A1D8D">
              <w:rPr>
                <w:rFonts w:ascii="Arial" w:eastAsia="Times New Roman" w:hAnsi="Arial"/>
                <w:b/>
              </w:rPr>
              <w:t xml:space="preserve"> 10.4</w:t>
            </w:r>
          </w:p>
        </w:tc>
        <w:tc>
          <w:tcPr>
            <w:tcW w:w="991" w:type="dxa"/>
            <w:vAlign w:val="center"/>
          </w:tcPr>
          <w:p w14:paraId="2C6CFDC7" w14:textId="77777777" w:rsidR="000A1D8D" w:rsidRPr="000A1D8D" w:rsidRDefault="000A1D8D" w:rsidP="000A1D8D">
            <w:pPr>
              <w:pStyle w:val="Body"/>
              <w:rPr>
                <w:rFonts w:ascii="Arial" w:eastAsia="Times New Roman" w:hAnsi="Arial"/>
                <w:b/>
              </w:rPr>
            </w:pPr>
            <w:r w:rsidRPr="000A1D8D">
              <w:rPr>
                <w:rFonts w:ascii="Arial" w:eastAsia="Times New Roman" w:hAnsi="Arial"/>
                <w:b/>
              </w:rPr>
              <w:t>0.151</w:t>
            </w:r>
          </w:p>
        </w:tc>
      </w:tr>
      <w:tr w:rsidR="000A1D8D" w:rsidRPr="000A1D8D" w14:paraId="65940A1D" w14:textId="77777777" w:rsidTr="000A1D8D">
        <w:trPr>
          <w:trHeight w:val="381"/>
        </w:trPr>
        <w:tc>
          <w:tcPr>
            <w:tcW w:w="1706" w:type="dxa"/>
          </w:tcPr>
          <w:p w14:paraId="668DB807" w14:textId="77777777" w:rsidR="000A1D8D" w:rsidRPr="000A1D8D" w:rsidRDefault="000A1D8D" w:rsidP="000A1D8D">
            <w:pPr>
              <w:pStyle w:val="Body"/>
              <w:rPr>
                <w:rFonts w:ascii="Arial" w:eastAsia="Times New Roman" w:hAnsi="Arial"/>
                <w:b/>
              </w:rPr>
            </w:pPr>
            <w:r w:rsidRPr="000A1D8D">
              <w:rPr>
                <w:rFonts w:ascii="Arial" w:eastAsia="Times New Roman" w:hAnsi="Arial"/>
                <w:b/>
              </w:rPr>
              <w:t>6 months</w:t>
            </w:r>
          </w:p>
        </w:tc>
        <w:tc>
          <w:tcPr>
            <w:tcW w:w="3119" w:type="dxa"/>
            <w:vAlign w:val="center"/>
          </w:tcPr>
          <w:p w14:paraId="65D9CC9E"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+35 </w:t>
            </w:r>
            <w:r w:rsidRPr="000A1D8D">
              <w:rPr>
                <w:rFonts w:ascii="Arial" w:eastAsia="Times New Roman" w:hAnsi="Arial"/>
                <w:b/>
              </w:rPr>
              <w:sym w:font="Symbol" w:char="F0B1"/>
            </w:r>
            <w:r w:rsidRPr="000A1D8D">
              <w:rPr>
                <w:rFonts w:ascii="Arial" w:eastAsia="Times New Roman" w:hAnsi="Arial"/>
                <w:b/>
              </w:rPr>
              <w:t xml:space="preserve"> 14.6</w:t>
            </w:r>
          </w:p>
        </w:tc>
        <w:tc>
          <w:tcPr>
            <w:tcW w:w="3397" w:type="dxa"/>
            <w:vAlign w:val="center"/>
          </w:tcPr>
          <w:p w14:paraId="6F8BAEB3"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+30 </w:t>
            </w:r>
            <w:r w:rsidRPr="000A1D8D">
              <w:rPr>
                <w:rFonts w:ascii="Arial" w:eastAsia="Times New Roman" w:hAnsi="Arial"/>
                <w:b/>
              </w:rPr>
              <w:sym w:font="Symbol" w:char="F0B1"/>
            </w:r>
            <w:r w:rsidRPr="000A1D8D">
              <w:rPr>
                <w:rFonts w:ascii="Arial" w:eastAsia="Times New Roman" w:hAnsi="Arial"/>
                <w:b/>
              </w:rPr>
              <w:t xml:space="preserve"> 14.4</w:t>
            </w:r>
          </w:p>
        </w:tc>
        <w:tc>
          <w:tcPr>
            <w:tcW w:w="991" w:type="dxa"/>
            <w:vAlign w:val="center"/>
          </w:tcPr>
          <w:p w14:paraId="5CB9F90B" w14:textId="77777777" w:rsidR="000A1D8D" w:rsidRPr="000A1D8D" w:rsidRDefault="000A1D8D" w:rsidP="000A1D8D">
            <w:pPr>
              <w:pStyle w:val="Body"/>
              <w:rPr>
                <w:rFonts w:ascii="Arial" w:eastAsia="Times New Roman" w:hAnsi="Arial"/>
                <w:b/>
              </w:rPr>
            </w:pPr>
            <w:r w:rsidRPr="000A1D8D">
              <w:rPr>
                <w:rFonts w:ascii="Arial" w:eastAsia="Times New Roman" w:hAnsi="Arial"/>
                <w:b/>
              </w:rPr>
              <w:t>0.254</w:t>
            </w:r>
          </w:p>
        </w:tc>
      </w:tr>
    </w:tbl>
    <w:p w14:paraId="7B54E2AF" w14:textId="77777777" w:rsidR="000A1D8D" w:rsidRPr="000A1D8D" w:rsidRDefault="000A1D8D" w:rsidP="000A1D8D">
      <w:pPr>
        <w:pStyle w:val="Body"/>
        <w:spacing w:after="0"/>
        <w:rPr>
          <w:rFonts w:ascii="Arial" w:hAnsi="Arial"/>
          <w:b/>
          <w:lang w:val="en-MY"/>
        </w:rPr>
      </w:pPr>
    </w:p>
    <w:p w14:paraId="3B06A5AF" w14:textId="77777777" w:rsidR="000A1D8D" w:rsidRPr="000A1D8D" w:rsidRDefault="000A1D8D" w:rsidP="000A1D8D">
      <w:pPr>
        <w:pStyle w:val="Body"/>
        <w:spacing w:after="0"/>
        <w:rPr>
          <w:rFonts w:ascii="Arial" w:hAnsi="Arial"/>
          <w:b/>
          <w:lang w:val="en-MY"/>
        </w:rPr>
      </w:pPr>
      <w:r w:rsidRPr="000A1D8D">
        <w:rPr>
          <w:rFonts w:ascii="Arial" w:hAnsi="Arial"/>
          <w:b/>
          <w:lang w:val="en-MY"/>
        </w:rPr>
        <w:t>Table 3: Motor score gain based on baseline AIS at 6 months</w:t>
      </w:r>
    </w:p>
    <w:tbl>
      <w:tblPr>
        <w:tblStyle w:val="TableGrid"/>
        <w:tblW w:w="921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6"/>
        <w:gridCol w:w="3119"/>
        <w:gridCol w:w="3397"/>
        <w:gridCol w:w="992"/>
      </w:tblGrid>
      <w:tr w:rsidR="000A1D8D" w:rsidRPr="006733B2" w14:paraId="0A2DD222" w14:textId="77777777" w:rsidTr="000A1D8D">
        <w:trPr>
          <w:trHeight w:val="288"/>
        </w:trPr>
        <w:tc>
          <w:tcPr>
            <w:tcW w:w="1706" w:type="dxa"/>
          </w:tcPr>
          <w:p w14:paraId="378930E5" w14:textId="77777777" w:rsidR="000A1D8D" w:rsidRPr="006733B2" w:rsidRDefault="000A1D8D" w:rsidP="0070553E">
            <w:pPr>
              <w:rPr>
                <w:b/>
                <w:bCs/>
              </w:rPr>
            </w:pPr>
            <w:r w:rsidRPr="006733B2">
              <w:rPr>
                <w:b/>
                <w:bCs/>
              </w:rPr>
              <w:t>Baseline AIS</w:t>
            </w:r>
          </w:p>
        </w:tc>
        <w:tc>
          <w:tcPr>
            <w:tcW w:w="3119" w:type="dxa"/>
          </w:tcPr>
          <w:p w14:paraId="252594E3" w14:textId="77777777" w:rsidR="000A1D8D" w:rsidRPr="006733B2" w:rsidRDefault="000A1D8D" w:rsidP="0070553E">
            <w:pPr>
              <w:rPr>
                <w:b/>
                <w:bCs/>
              </w:rPr>
            </w:pPr>
            <w:r w:rsidRPr="006733B2">
              <w:rPr>
                <w:b/>
                <w:bCs/>
              </w:rPr>
              <w:t xml:space="preserve">Steroid group motor gain </w:t>
            </w:r>
          </w:p>
        </w:tc>
        <w:tc>
          <w:tcPr>
            <w:tcW w:w="3397" w:type="dxa"/>
          </w:tcPr>
          <w:p w14:paraId="2DCD9E2F" w14:textId="77777777" w:rsidR="000A1D8D" w:rsidRPr="006733B2" w:rsidRDefault="000A1D8D" w:rsidP="0070553E">
            <w:pPr>
              <w:rPr>
                <w:b/>
                <w:bCs/>
              </w:rPr>
            </w:pPr>
            <w:r w:rsidRPr="006733B2">
              <w:rPr>
                <w:b/>
                <w:bCs/>
              </w:rPr>
              <w:t xml:space="preserve">No steroid group motor gain </w:t>
            </w:r>
          </w:p>
        </w:tc>
        <w:tc>
          <w:tcPr>
            <w:tcW w:w="992" w:type="dxa"/>
          </w:tcPr>
          <w:p w14:paraId="443A431F" w14:textId="77777777" w:rsidR="000A1D8D" w:rsidRPr="006733B2" w:rsidRDefault="000A1D8D" w:rsidP="0070553E">
            <w:pPr>
              <w:rPr>
                <w:b/>
                <w:bCs/>
              </w:rPr>
            </w:pPr>
            <w:r w:rsidRPr="006733B2">
              <w:rPr>
                <w:b/>
                <w:bCs/>
              </w:rPr>
              <w:t>p-value</w:t>
            </w:r>
          </w:p>
        </w:tc>
      </w:tr>
      <w:tr w:rsidR="000A1D8D" w14:paraId="15866909" w14:textId="77777777" w:rsidTr="000A1D8D">
        <w:trPr>
          <w:trHeight w:val="243"/>
        </w:trPr>
        <w:tc>
          <w:tcPr>
            <w:tcW w:w="1706" w:type="dxa"/>
          </w:tcPr>
          <w:p w14:paraId="1AE31BF9" w14:textId="77777777" w:rsidR="000A1D8D" w:rsidRDefault="000A1D8D" w:rsidP="0070553E">
            <w:r>
              <w:t>AIS A</w:t>
            </w:r>
          </w:p>
        </w:tc>
        <w:tc>
          <w:tcPr>
            <w:tcW w:w="3119" w:type="dxa"/>
            <w:vAlign w:val="center"/>
          </w:tcPr>
          <w:p w14:paraId="15B4ED16" w14:textId="77777777" w:rsidR="000A1D8D" w:rsidRDefault="000A1D8D" w:rsidP="0070553E">
            <w:pPr>
              <w:jc w:val="center"/>
            </w:pPr>
            <w:r>
              <w:t xml:space="preserve">+10 </w:t>
            </w:r>
            <w:r>
              <w:sym w:font="Symbol" w:char="F0B1"/>
            </w:r>
            <w:r>
              <w:t xml:space="preserve"> 8.3</w:t>
            </w:r>
          </w:p>
        </w:tc>
        <w:tc>
          <w:tcPr>
            <w:tcW w:w="3397" w:type="dxa"/>
            <w:vAlign w:val="center"/>
          </w:tcPr>
          <w:p w14:paraId="58F81F5C" w14:textId="77777777" w:rsidR="000A1D8D" w:rsidRDefault="000A1D8D" w:rsidP="0070553E">
            <w:pPr>
              <w:jc w:val="center"/>
            </w:pPr>
            <w:r>
              <w:t xml:space="preserve">+7 </w:t>
            </w:r>
            <w:r>
              <w:sym w:font="Symbol" w:char="F0B1"/>
            </w:r>
            <w:r>
              <w:t xml:space="preserve"> 6.2</w:t>
            </w:r>
          </w:p>
        </w:tc>
        <w:tc>
          <w:tcPr>
            <w:tcW w:w="992" w:type="dxa"/>
            <w:vAlign w:val="center"/>
          </w:tcPr>
          <w:p w14:paraId="41D7F95E" w14:textId="77777777" w:rsidR="000A1D8D" w:rsidRDefault="000A1D8D" w:rsidP="0070553E">
            <w:pPr>
              <w:jc w:val="center"/>
            </w:pPr>
            <w:r>
              <w:t>0.332</w:t>
            </w:r>
          </w:p>
        </w:tc>
      </w:tr>
      <w:tr w:rsidR="000A1D8D" w14:paraId="237967AE" w14:textId="77777777" w:rsidTr="000A1D8D">
        <w:trPr>
          <w:trHeight w:val="381"/>
        </w:trPr>
        <w:tc>
          <w:tcPr>
            <w:tcW w:w="1706" w:type="dxa"/>
          </w:tcPr>
          <w:p w14:paraId="60784899" w14:textId="77777777" w:rsidR="000A1D8D" w:rsidRDefault="000A1D8D" w:rsidP="0070553E">
            <w:r>
              <w:t>AIS B</w:t>
            </w:r>
          </w:p>
        </w:tc>
        <w:tc>
          <w:tcPr>
            <w:tcW w:w="3119" w:type="dxa"/>
            <w:vAlign w:val="center"/>
          </w:tcPr>
          <w:p w14:paraId="0185F69E" w14:textId="77777777" w:rsidR="000A1D8D" w:rsidRDefault="000A1D8D" w:rsidP="0070553E">
            <w:pPr>
              <w:jc w:val="center"/>
            </w:pPr>
            <w:r>
              <w:t xml:space="preserve">+18 </w:t>
            </w:r>
            <w:r>
              <w:sym w:font="Symbol" w:char="F0B1"/>
            </w:r>
            <w:r>
              <w:t xml:space="preserve"> 11.6</w:t>
            </w:r>
          </w:p>
        </w:tc>
        <w:tc>
          <w:tcPr>
            <w:tcW w:w="3397" w:type="dxa"/>
            <w:vAlign w:val="center"/>
          </w:tcPr>
          <w:p w14:paraId="0B52C77F" w14:textId="77777777" w:rsidR="000A1D8D" w:rsidRDefault="000A1D8D" w:rsidP="0070553E">
            <w:pPr>
              <w:jc w:val="center"/>
            </w:pPr>
            <w:r>
              <w:t xml:space="preserve">+14 </w:t>
            </w:r>
            <w:r>
              <w:sym w:font="Symbol" w:char="F0B1"/>
            </w:r>
            <w:r>
              <w:t xml:space="preserve"> 12.1</w:t>
            </w:r>
          </w:p>
        </w:tc>
        <w:tc>
          <w:tcPr>
            <w:tcW w:w="992" w:type="dxa"/>
            <w:vAlign w:val="center"/>
          </w:tcPr>
          <w:p w14:paraId="01BBFA2E" w14:textId="77777777" w:rsidR="000A1D8D" w:rsidRDefault="000A1D8D" w:rsidP="0070553E">
            <w:pPr>
              <w:jc w:val="center"/>
            </w:pPr>
            <w:r>
              <w:t>0.321</w:t>
            </w:r>
          </w:p>
        </w:tc>
      </w:tr>
      <w:tr w:rsidR="000A1D8D" w14:paraId="3680F04A" w14:textId="77777777" w:rsidTr="000A1D8D">
        <w:trPr>
          <w:trHeight w:val="381"/>
        </w:trPr>
        <w:tc>
          <w:tcPr>
            <w:tcW w:w="1706" w:type="dxa"/>
          </w:tcPr>
          <w:p w14:paraId="038B3973" w14:textId="77777777" w:rsidR="000A1D8D" w:rsidRDefault="000A1D8D" w:rsidP="0070553E">
            <w:r>
              <w:t>AIS C</w:t>
            </w:r>
          </w:p>
        </w:tc>
        <w:tc>
          <w:tcPr>
            <w:tcW w:w="3119" w:type="dxa"/>
            <w:vAlign w:val="center"/>
          </w:tcPr>
          <w:p w14:paraId="0F27983B" w14:textId="77777777" w:rsidR="000A1D8D" w:rsidRDefault="000A1D8D" w:rsidP="0070553E">
            <w:pPr>
              <w:jc w:val="center"/>
            </w:pPr>
            <w:r>
              <w:t xml:space="preserve">+25 </w:t>
            </w:r>
            <w:r>
              <w:sym w:font="Symbol" w:char="F0B1"/>
            </w:r>
            <w:r>
              <w:t xml:space="preserve"> 10.1</w:t>
            </w:r>
          </w:p>
        </w:tc>
        <w:tc>
          <w:tcPr>
            <w:tcW w:w="3397" w:type="dxa"/>
            <w:vAlign w:val="center"/>
          </w:tcPr>
          <w:p w14:paraId="7D07C80A" w14:textId="77777777" w:rsidR="000A1D8D" w:rsidRDefault="000A1D8D" w:rsidP="0070553E">
            <w:pPr>
              <w:jc w:val="center"/>
            </w:pPr>
            <w:r>
              <w:t xml:space="preserve">+19 </w:t>
            </w:r>
            <w:r>
              <w:sym w:font="Symbol" w:char="F0B1"/>
            </w:r>
            <w:r>
              <w:t xml:space="preserve"> 8.3</w:t>
            </w:r>
          </w:p>
        </w:tc>
        <w:tc>
          <w:tcPr>
            <w:tcW w:w="992" w:type="dxa"/>
            <w:vAlign w:val="center"/>
          </w:tcPr>
          <w:p w14:paraId="2E921D75" w14:textId="77777777" w:rsidR="000A1D8D" w:rsidRDefault="000A1D8D" w:rsidP="0070553E">
            <w:pPr>
              <w:jc w:val="center"/>
            </w:pPr>
            <w:r>
              <w:t>0.417</w:t>
            </w:r>
          </w:p>
        </w:tc>
      </w:tr>
      <w:tr w:rsidR="000A1D8D" w14:paraId="77B7B54C" w14:textId="77777777" w:rsidTr="000A1D8D">
        <w:trPr>
          <w:trHeight w:val="381"/>
        </w:trPr>
        <w:tc>
          <w:tcPr>
            <w:tcW w:w="1706" w:type="dxa"/>
          </w:tcPr>
          <w:p w14:paraId="0B8F181C" w14:textId="77777777" w:rsidR="000A1D8D" w:rsidRDefault="000A1D8D" w:rsidP="0070553E">
            <w:r>
              <w:t>AIS D</w:t>
            </w:r>
          </w:p>
        </w:tc>
        <w:tc>
          <w:tcPr>
            <w:tcW w:w="3119" w:type="dxa"/>
            <w:vAlign w:val="center"/>
          </w:tcPr>
          <w:p w14:paraId="0B9C99C1" w14:textId="77777777" w:rsidR="000A1D8D" w:rsidRDefault="000A1D8D" w:rsidP="0070553E">
            <w:pPr>
              <w:jc w:val="center"/>
            </w:pPr>
            <w:r>
              <w:t xml:space="preserve">+15 </w:t>
            </w:r>
            <w:r>
              <w:sym w:font="Symbol" w:char="F0B1"/>
            </w:r>
            <w:r>
              <w:t xml:space="preserve"> 8.6</w:t>
            </w:r>
          </w:p>
        </w:tc>
        <w:tc>
          <w:tcPr>
            <w:tcW w:w="3397" w:type="dxa"/>
            <w:vAlign w:val="center"/>
          </w:tcPr>
          <w:p w14:paraId="11C341B4" w14:textId="77777777" w:rsidR="000A1D8D" w:rsidRDefault="000A1D8D" w:rsidP="0070553E">
            <w:pPr>
              <w:jc w:val="center"/>
            </w:pPr>
            <w:r>
              <w:t xml:space="preserve">+12 </w:t>
            </w:r>
            <w:r>
              <w:sym w:font="Symbol" w:char="F0B1"/>
            </w:r>
            <w:r>
              <w:t xml:space="preserve"> 7.9</w:t>
            </w:r>
          </w:p>
        </w:tc>
        <w:tc>
          <w:tcPr>
            <w:tcW w:w="992" w:type="dxa"/>
            <w:vAlign w:val="center"/>
          </w:tcPr>
          <w:p w14:paraId="0ABC5FE6" w14:textId="77777777" w:rsidR="000A1D8D" w:rsidRDefault="000A1D8D" w:rsidP="0070553E">
            <w:pPr>
              <w:jc w:val="center"/>
            </w:pPr>
            <w:r>
              <w:t>0.461</w:t>
            </w:r>
          </w:p>
        </w:tc>
      </w:tr>
    </w:tbl>
    <w:p w14:paraId="1961804C" w14:textId="77777777" w:rsidR="000A1D8D" w:rsidRDefault="000A1D8D" w:rsidP="00441B6F">
      <w:pPr>
        <w:pStyle w:val="Body"/>
        <w:spacing w:after="0"/>
        <w:rPr>
          <w:rFonts w:ascii="Arial" w:hAnsi="Arial" w:cs="Arial"/>
        </w:rPr>
      </w:pPr>
    </w:p>
    <w:p w14:paraId="0D368B56" w14:textId="77777777" w:rsidR="000A1D8D" w:rsidRPr="000A1D8D" w:rsidRDefault="000A1D8D" w:rsidP="000A1D8D">
      <w:pPr>
        <w:pStyle w:val="Body"/>
        <w:spacing w:after="0"/>
        <w:rPr>
          <w:rFonts w:ascii="Arial" w:hAnsi="Arial"/>
          <w:b/>
          <w:lang w:val="en-MY"/>
        </w:rPr>
      </w:pPr>
      <w:r w:rsidRPr="000A1D8D">
        <w:rPr>
          <w:rFonts w:ascii="Arial" w:hAnsi="Arial"/>
          <w:b/>
          <w:lang w:val="en-MY"/>
        </w:rPr>
        <w:t>Table 4: AIS grade conversion based on baseline AIS at 6 months</w:t>
      </w:r>
    </w:p>
    <w:p w14:paraId="150F5961" w14:textId="77777777" w:rsidR="000A1D8D" w:rsidRDefault="000A1D8D" w:rsidP="00441B6F">
      <w:pPr>
        <w:pStyle w:val="Body"/>
        <w:spacing w:after="0"/>
        <w:rPr>
          <w:rFonts w:ascii="Arial" w:hAnsi="Arial" w:cs="Arial"/>
        </w:rPr>
      </w:pPr>
    </w:p>
    <w:tbl>
      <w:tblPr>
        <w:tblStyle w:val="TableGrid"/>
        <w:tblW w:w="921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1"/>
        <w:gridCol w:w="3549"/>
        <w:gridCol w:w="3114"/>
        <w:gridCol w:w="850"/>
      </w:tblGrid>
      <w:tr w:rsidR="000A1D8D" w:rsidRPr="00732870" w14:paraId="59C81713" w14:textId="77777777" w:rsidTr="000A1D8D">
        <w:trPr>
          <w:trHeight w:val="284"/>
        </w:trPr>
        <w:tc>
          <w:tcPr>
            <w:tcW w:w="1701" w:type="dxa"/>
            <w:tcBorders>
              <w:top w:val="single" w:sz="4" w:space="0" w:color="auto"/>
              <w:bottom w:val="single" w:sz="4" w:space="0" w:color="auto"/>
            </w:tcBorders>
          </w:tcPr>
          <w:p w14:paraId="221D4440" w14:textId="77777777" w:rsidR="000A1D8D" w:rsidRPr="00732870" w:rsidRDefault="000A1D8D" w:rsidP="0070553E">
            <w:pPr>
              <w:rPr>
                <w:b/>
                <w:bCs/>
              </w:rPr>
            </w:pPr>
            <w:r w:rsidRPr="00732870">
              <w:rPr>
                <w:b/>
                <w:bCs/>
              </w:rPr>
              <w:t>Baseline AIS</w:t>
            </w:r>
          </w:p>
        </w:tc>
        <w:tc>
          <w:tcPr>
            <w:tcW w:w="3549" w:type="dxa"/>
            <w:tcBorders>
              <w:top w:val="single" w:sz="4" w:space="0" w:color="auto"/>
              <w:bottom w:val="single" w:sz="4" w:space="0" w:color="auto"/>
            </w:tcBorders>
          </w:tcPr>
          <w:p w14:paraId="57D00551" w14:textId="77777777" w:rsidR="000A1D8D" w:rsidRPr="00732870" w:rsidRDefault="000A1D8D" w:rsidP="0070553E">
            <w:pPr>
              <w:rPr>
                <w:b/>
                <w:bCs/>
              </w:rPr>
            </w:pPr>
            <w:r w:rsidRPr="00732870">
              <w:rPr>
                <w:b/>
                <w:bCs/>
              </w:rPr>
              <w:t>Steroid group conversion rate</w:t>
            </w:r>
          </w:p>
        </w:tc>
        <w:tc>
          <w:tcPr>
            <w:tcW w:w="3114" w:type="dxa"/>
            <w:tcBorders>
              <w:top w:val="single" w:sz="4" w:space="0" w:color="auto"/>
              <w:bottom w:val="single" w:sz="4" w:space="0" w:color="auto"/>
            </w:tcBorders>
          </w:tcPr>
          <w:p w14:paraId="6268EBDC" w14:textId="77777777" w:rsidR="000A1D8D" w:rsidRPr="00732870" w:rsidRDefault="000A1D8D" w:rsidP="0070553E">
            <w:pPr>
              <w:rPr>
                <w:b/>
                <w:bCs/>
              </w:rPr>
            </w:pPr>
            <w:r w:rsidRPr="00732870">
              <w:rPr>
                <w:b/>
                <w:bCs/>
              </w:rPr>
              <w:t>No steroid conversion rate</w:t>
            </w:r>
          </w:p>
        </w:tc>
        <w:tc>
          <w:tcPr>
            <w:tcW w:w="850" w:type="dxa"/>
            <w:tcBorders>
              <w:top w:val="single" w:sz="4" w:space="0" w:color="auto"/>
              <w:bottom w:val="single" w:sz="4" w:space="0" w:color="auto"/>
            </w:tcBorders>
          </w:tcPr>
          <w:p w14:paraId="6E2D454A" w14:textId="77777777" w:rsidR="000A1D8D" w:rsidRPr="00732870" w:rsidRDefault="000A1D8D" w:rsidP="0070553E">
            <w:pPr>
              <w:rPr>
                <w:b/>
                <w:bCs/>
              </w:rPr>
            </w:pPr>
            <w:r w:rsidRPr="00732870">
              <w:rPr>
                <w:b/>
                <w:bCs/>
              </w:rPr>
              <w:t>p-value</w:t>
            </w:r>
          </w:p>
        </w:tc>
      </w:tr>
      <w:tr w:rsidR="000A1D8D" w14:paraId="1B5FE59D" w14:textId="77777777" w:rsidTr="000A1D8D">
        <w:trPr>
          <w:trHeight w:val="240"/>
        </w:trPr>
        <w:tc>
          <w:tcPr>
            <w:tcW w:w="1701" w:type="dxa"/>
            <w:tcBorders>
              <w:top w:val="single" w:sz="4" w:space="0" w:color="auto"/>
            </w:tcBorders>
          </w:tcPr>
          <w:p w14:paraId="6C2A2305" w14:textId="77777777" w:rsidR="000A1D8D" w:rsidRDefault="000A1D8D" w:rsidP="0070553E">
            <w:r>
              <w:t>AIS A -&gt; B/C/D</w:t>
            </w:r>
          </w:p>
        </w:tc>
        <w:tc>
          <w:tcPr>
            <w:tcW w:w="3549" w:type="dxa"/>
            <w:tcBorders>
              <w:top w:val="single" w:sz="4" w:space="0" w:color="auto"/>
            </w:tcBorders>
            <w:vAlign w:val="center"/>
          </w:tcPr>
          <w:p w14:paraId="278E5EF8" w14:textId="77777777" w:rsidR="000A1D8D" w:rsidRDefault="000A1D8D" w:rsidP="0070553E">
            <w:pPr>
              <w:jc w:val="center"/>
            </w:pPr>
            <w:r>
              <w:t>3(15.7%)</w:t>
            </w:r>
          </w:p>
        </w:tc>
        <w:tc>
          <w:tcPr>
            <w:tcW w:w="3114" w:type="dxa"/>
            <w:tcBorders>
              <w:top w:val="single" w:sz="4" w:space="0" w:color="auto"/>
            </w:tcBorders>
            <w:vAlign w:val="center"/>
          </w:tcPr>
          <w:p w14:paraId="1BDE1601" w14:textId="77777777" w:rsidR="000A1D8D" w:rsidRDefault="000A1D8D" w:rsidP="0070553E">
            <w:pPr>
              <w:jc w:val="center"/>
            </w:pPr>
            <w:r>
              <w:t>2(10.5%)</w:t>
            </w:r>
          </w:p>
        </w:tc>
        <w:tc>
          <w:tcPr>
            <w:tcW w:w="850" w:type="dxa"/>
            <w:tcBorders>
              <w:top w:val="single" w:sz="4" w:space="0" w:color="auto"/>
            </w:tcBorders>
          </w:tcPr>
          <w:p w14:paraId="31FEE9E6" w14:textId="77777777" w:rsidR="000A1D8D" w:rsidRDefault="000A1D8D" w:rsidP="0070553E">
            <w:pPr>
              <w:jc w:val="center"/>
            </w:pPr>
            <w:r>
              <w:t>1.00</w:t>
            </w:r>
          </w:p>
        </w:tc>
      </w:tr>
      <w:tr w:rsidR="000A1D8D" w14:paraId="7250B177" w14:textId="77777777" w:rsidTr="000A1D8D">
        <w:trPr>
          <w:trHeight w:val="376"/>
        </w:trPr>
        <w:tc>
          <w:tcPr>
            <w:tcW w:w="1701" w:type="dxa"/>
          </w:tcPr>
          <w:p w14:paraId="48F86F55" w14:textId="77777777" w:rsidR="000A1D8D" w:rsidRDefault="000A1D8D" w:rsidP="0070553E">
            <w:r>
              <w:t>AIS B -&gt; C/D</w:t>
            </w:r>
          </w:p>
        </w:tc>
        <w:tc>
          <w:tcPr>
            <w:tcW w:w="3549" w:type="dxa"/>
            <w:vAlign w:val="center"/>
          </w:tcPr>
          <w:p w14:paraId="7DD3EBAA" w14:textId="77777777" w:rsidR="000A1D8D" w:rsidRDefault="000A1D8D" w:rsidP="0070553E">
            <w:pPr>
              <w:jc w:val="center"/>
            </w:pPr>
            <w:r>
              <w:t>5 (38.4%)</w:t>
            </w:r>
          </w:p>
        </w:tc>
        <w:tc>
          <w:tcPr>
            <w:tcW w:w="3114" w:type="dxa"/>
            <w:vAlign w:val="center"/>
          </w:tcPr>
          <w:p w14:paraId="4604C627" w14:textId="77777777" w:rsidR="000A1D8D" w:rsidRDefault="000A1D8D" w:rsidP="0070553E">
            <w:pPr>
              <w:jc w:val="center"/>
            </w:pPr>
            <w:r>
              <w:t>2 (40.0%)</w:t>
            </w:r>
          </w:p>
        </w:tc>
        <w:tc>
          <w:tcPr>
            <w:tcW w:w="850" w:type="dxa"/>
          </w:tcPr>
          <w:p w14:paraId="4032A780" w14:textId="77777777" w:rsidR="000A1D8D" w:rsidRDefault="000A1D8D" w:rsidP="0070553E">
            <w:pPr>
              <w:jc w:val="center"/>
            </w:pPr>
            <w:r>
              <w:t>1.00</w:t>
            </w:r>
          </w:p>
        </w:tc>
      </w:tr>
      <w:tr w:rsidR="000A1D8D" w14:paraId="6337A816" w14:textId="77777777" w:rsidTr="000A1D8D">
        <w:trPr>
          <w:trHeight w:val="376"/>
        </w:trPr>
        <w:tc>
          <w:tcPr>
            <w:tcW w:w="1701" w:type="dxa"/>
            <w:tcBorders>
              <w:bottom w:val="single" w:sz="4" w:space="0" w:color="auto"/>
            </w:tcBorders>
          </w:tcPr>
          <w:p w14:paraId="1CB50583" w14:textId="77777777" w:rsidR="000A1D8D" w:rsidRDefault="000A1D8D" w:rsidP="0070553E">
            <w:r>
              <w:t>AIS C -&gt; D/E</w:t>
            </w:r>
          </w:p>
        </w:tc>
        <w:tc>
          <w:tcPr>
            <w:tcW w:w="3549" w:type="dxa"/>
            <w:tcBorders>
              <w:bottom w:val="single" w:sz="4" w:space="0" w:color="auto"/>
            </w:tcBorders>
            <w:vAlign w:val="center"/>
          </w:tcPr>
          <w:p w14:paraId="67A13FFD" w14:textId="77777777" w:rsidR="000A1D8D" w:rsidRDefault="000A1D8D" w:rsidP="0070553E">
            <w:pPr>
              <w:jc w:val="center"/>
            </w:pPr>
            <w:r>
              <w:t>2(100%)</w:t>
            </w:r>
          </w:p>
        </w:tc>
        <w:tc>
          <w:tcPr>
            <w:tcW w:w="3114" w:type="dxa"/>
            <w:tcBorders>
              <w:bottom w:val="single" w:sz="4" w:space="0" w:color="auto"/>
            </w:tcBorders>
            <w:vAlign w:val="center"/>
          </w:tcPr>
          <w:p w14:paraId="3020BF1A" w14:textId="77777777" w:rsidR="000A1D8D" w:rsidRDefault="000A1D8D" w:rsidP="0070553E">
            <w:pPr>
              <w:jc w:val="center"/>
            </w:pPr>
            <w:r>
              <w:t>5 (71.4%)</w:t>
            </w:r>
          </w:p>
        </w:tc>
        <w:tc>
          <w:tcPr>
            <w:tcW w:w="850" w:type="dxa"/>
            <w:tcBorders>
              <w:bottom w:val="single" w:sz="4" w:space="0" w:color="auto"/>
            </w:tcBorders>
          </w:tcPr>
          <w:p w14:paraId="73501B63" w14:textId="77777777" w:rsidR="000A1D8D" w:rsidRDefault="000A1D8D" w:rsidP="0070553E">
            <w:pPr>
              <w:jc w:val="center"/>
            </w:pPr>
            <w:r>
              <w:t>1.00</w:t>
            </w:r>
          </w:p>
        </w:tc>
      </w:tr>
      <w:tr w:rsidR="000A1D8D" w14:paraId="4AF9A32A" w14:textId="77777777" w:rsidTr="000A1D8D">
        <w:trPr>
          <w:trHeight w:val="376"/>
        </w:trPr>
        <w:tc>
          <w:tcPr>
            <w:tcW w:w="1701" w:type="dxa"/>
            <w:tcBorders>
              <w:top w:val="single" w:sz="4" w:space="0" w:color="auto"/>
              <w:bottom w:val="single" w:sz="4" w:space="0" w:color="auto"/>
            </w:tcBorders>
          </w:tcPr>
          <w:p w14:paraId="69384F3F" w14:textId="77777777" w:rsidR="000A1D8D" w:rsidRDefault="000A1D8D" w:rsidP="0070553E">
            <w:r>
              <w:t>AIS D -&gt;E</w:t>
            </w:r>
          </w:p>
        </w:tc>
        <w:tc>
          <w:tcPr>
            <w:tcW w:w="3549" w:type="dxa"/>
            <w:tcBorders>
              <w:top w:val="single" w:sz="4" w:space="0" w:color="auto"/>
              <w:bottom w:val="single" w:sz="4" w:space="0" w:color="auto"/>
            </w:tcBorders>
            <w:vAlign w:val="center"/>
          </w:tcPr>
          <w:p w14:paraId="30451C5F" w14:textId="77777777" w:rsidR="000A1D8D" w:rsidRDefault="000A1D8D" w:rsidP="0070553E">
            <w:pPr>
              <w:jc w:val="center"/>
            </w:pPr>
            <w:r>
              <w:t>10 (71.4%)</w:t>
            </w:r>
          </w:p>
        </w:tc>
        <w:tc>
          <w:tcPr>
            <w:tcW w:w="3114" w:type="dxa"/>
            <w:tcBorders>
              <w:top w:val="single" w:sz="4" w:space="0" w:color="auto"/>
              <w:bottom w:val="single" w:sz="4" w:space="0" w:color="auto"/>
            </w:tcBorders>
            <w:vAlign w:val="center"/>
          </w:tcPr>
          <w:p w14:paraId="665E4559" w14:textId="77777777" w:rsidR="000A1D8D" w:rsidRDefault="000A1D8D" w:rsidP="0070553E">
            <w:pPr>
              <w:jc w:val="center"/>
            </w:pPr>
            <w:r>
              <w:t>4 (66.7%)</w:t>
            </w:r>
          </w:p>
        </w:tc>
        <w:tc>
          <w:tcPr>
            <w:tcW w:w="850" w:type="dxa"/>
            <w:tcBorders>
              <w:top w:val="single" w:sz="4" w:space="0" w:color="auto"/>
              <w:bottom w:val="single" w:sz="4" w:space="0" w:color="auto"/>
            </w:tcBorders>
          </w:tcPr>
          <w:p w14:paraId="49974332" w14:textId="77777777" w:rsidR="000A1D8D" w:rsidRDefault="000A1D8D" w:rsidP="0070553E">
            <w:pPr>
              <w:jc w:val="center"/>
            </w:pPr>
            <w:r>
              <w:t>1.00</w:t>
            </w:r>
          </w:p>
        </w:tc>
      </w:tr>
    </w:tbl>
    <w:p w14:paraId="5D9BB932" w14:textId="77777777" w:rsidR="00376BBE" w:rsidRPr="000A1D8D" w:rsidRDefault="00376BBE" w:rsidP="00441B6F">
      <w:pPr>
        <w:pStyle w:val="Body"/>
        <w:spacing w:after="0"/>
        <w:rPr>
          <w:rFonts w:ascii="Arial" w:hAnsi="Arial" w:cs="Arial"/>
          <w:b/>
          <w:bCs/>
        </w:rPr>
      </w:pPr>
    </w:p>
    <w:p w14:paraId="297F5E65" w14:textId="0BD186A4" w:rsidR="00E053D0" w:rsidRDefault="000A1D8D" w:rsidP="00441B6F">
      <w:pPr>
        <w:pStyle w:val="Body"/>
        <w:spacing w:after="0"/>
        <w:rPr>
          <w:rFonts w:ascii="Arial" w:hAnsi="Arial" w:cs="Arial"/>
          <w:b/>
          <w:bCs/>
        </w:rPr>
      </w:pPr>
      <w:r w:rsidRPr="000A1D8D">
        <w:rPr>
          <w:rFonts w:ascii="Arial" w:hAnsi="Arial" w:cs="Arial"/>
          <w:b/>
          <w:bCs/>
        </w:rPr>
        <w:t>3.2 Discussion</w:t>
      </w:r>
    </w:p>
    <w:p w14:paraId="28EDAA6F" w14:textId="77777777" w:rsidR="000A1D8D" w:rsidRDefault="000A1D8D" w:rsidP="00441B6F">
      <w:pPr>
        <w:pStyle w:val="Body"/>
        <w:spacing w:after="0"/>
        <w:rPr>
          <w:rFonts w:ascii="Arial" w:hAnsi="Arial" w:cs="Arial"/>
          <w:b/>
          <w:bCs/>
        </w:rPr>
      </w:pPr>
    </w:p>
    <w:p w14:paraId="234F165B" w14:textId="16E10A83" w:rsidR="000A1D8D" w:rsidRDefault="000A1D8D" w:rsidP="000A1D8D">
      <w:pPr>
        <w:pStyle w:val="Body"/>
        <w:spacing w:after="0"/>
        <w:ind w:firstLine="720"/>
        <w:rPr>
          <w:rFonts w:ascii="Arial" w:hAnsi="Arial" w:cs="Arial"/>
          <w:vertAlign w:val="superscript"/>
          <w:lang w:val="en-MY"/>
        </w:rPr>
      </w:pPr>
      <w:r w:rsidRPr="000A1D8D">
        <w:rPr>
          <w:rFonts w:ascii="Arial" w:hAnsi="Arial" w:cs="Arial"/>
          <w:lang w:val="en-MY"/>
        </w:rPr>
        <w:t>The role of glucocorticoids in the management of SCI as a immunomodulator is to control the inflammatory response during the secondary injury phase of traumatic SCI, it decreases free radical catalysed lipid peroxidation,  enhancing impulse conduction and neuronal excitability, improving blood flow, reducing oxidative stress, and modulating the immune response  and promotes an anti-inflammatory environment in the injured spinal cord tissues.</w:t>
      </w:r>
      <w:r w:rsidRPr="000A1D8D">
        <w:rPr>
          <w:rFonts w:ascii="Arial" w:hAnsi="Arial" w:cs="Arial"/>
          <w:vertAlign w:val="superscript"/>
          <w:lang w:val="en-MY"/>
        </w:rPr>
        <w:t>3,1</w:t>
      </w:r>
      <w:r w:rsidR="009B6E29">
        <w:rPr>
          <w:rFonts w:ascii="Arial" w:hAnsi="Arial" w:cs="Arial"/>
          <w:vertAlign w:val="superscript"/>
          <w:lang w:val="en-MY"/>
        </w:rPr>
        <w:t>,19</w:t>
      </w:r>
      <w:r w:rsidRPr="000A1D8D">
        <w:rPr>
          <w:rFonts w:ascii="Arial" w:hAnsi="Arial" w:cs="Arial"/>
          <w:lang w:val="en-MY"/>
        </w:rPr>
        <w:t xml:space="preserve"> Three landmark publications </w:t>
      </w:r>
      <w:r w:rsidR="00ED5274" w:rsidRPr="000A1D8D">
        <w:rPr>
          <w:rFonts w:ascii="Arial" w:hAnsi="Arial" w:cs="Arial"/>
          <w:lang w:val="en-MY"/>
        </w:rPr>
        <w:t>multicentre</w:t>
      </w:r>
      <w:r w:rsidRPr="000A1D8D">
        <w:rPr>
          <w:rFonts w:ascii="Arial" w:hAnsi="Arial" w:cs="Arial"/>
          <w:lang w:val="en-MY"/>
        </w:rPr>
        <w:t>, double blinded, randomized controlled trials  were published, National Spinal Cord Injury Study (NASCIS-I in 1984, NASCIS-II in 1990, and NASCIS-III in 1997). In NASCIS-I they attempted to compare different dosages of MPSS (normal dose vs high dose) to treat SCI patients. Patients from both groups showed improvement of neurological outcome at 6 weeks and 6 months post injury, however there was no control group in this study. This study however also reported that the high dose group had higher mortality and increased wound related complications.</w:t>
      </w:r>
      <w:r w:rsidRPr="000A1D8D">
        <w:rPr>
          <w:rFonts w:ascii="Arial" w:hAnsi="Arial" w:cs="Arial"/>
          <w:vertAlign w:val="superscript"/>
          <w:lang w:val="en-MY"/>
        </w:rPr>
        <w:t>4</w:t>
      </w:r>
      <w:r w:rsidR="009B6E29">
        <w:rPr>
          <w:rFonts w:ascii="Arial" w:hAnsi="Arial" w:cs="Arial"/>
          <w:vertAlign w:val="superscript"/>
          <w:lang w:val="en-MY"/>
        </w:rPr>
        <w:t>,23</w:t>
      </w:r>
      <w:r w:rsidRPr="000A1D8D">
        <w:rPr>
          <w:rFonts w:ascii="Arial" w:hAnsi="Arial" w:cs="Arial"/>
          <w:lang w:val="en-MY"/>
        </w:rPr>
        <w:t xml:space="preserve"> NASCIS-II looked to compare three groups of patients, MPSS 30mg/kg bolus for 1 hour followed by 5.4mg/kg per hour for 23 hours, naloxone and control group, the significant finding was only derived from the post hoc analysis stating patients receiving MPSS within 8 hours of injury had statistically significant better AIS motor scores, pinprick and touch sensations. This has been the basis of the current MPSS dosing and treatment window of 8 hours that </w:t>
      </w:r>
      <w:r w:rsidRPr="000A1D8D">
        <w:rPr>
          <w:rFonts w:ascii="Arial" w:hAnsi="Arial" w:cs="Arial"/>
          <w:lang w:val="en-MY"/>
        </w:rPr>
        <w:lastRenderedPageBreak/>
        <w:t>is practiced at the current times.</w:t>
      </w:r>
      <w:r w:rsidRPr="000A1D8D">
        <w:rPr>
          <w:rFonts w:ascii="Arial" w:hAnsi="Arial" w:cs="Arial"/>
          <w:vertAlign w:val="superscript"/>
          <w:lang w:val="en-MY"/>
        </w:rPr>
        <w:t>5</w:t>
      </w:r>
      <w:r w:rsidRPr="000A1D8D">
        <w:rPr>
          <w:rFonts w:ascii="Arial" w:hAnsi="Arial" w:cs="Arial"/>
          <w:lang w:val="en-MY"/>
        </w:rPr>
        <w:t xml:space="preserve"> In NASCIS-III they compared two groups MPSS dosing infusions for 24 and 48 hours and Tirilazad. There were different injury to steroid intervals and the paper concluded that MPSS initiated within 3 hours of injury only required 24 hours infusion and there was no benefit of extending to 48hours. In the and 3-8 hours from injury group 48 hour infusion of MPSS showed significant motor recovery compared to the 24 hour infusion. Tirilazad group showed improvement but was not statistically significant. There also was an statistically significant increased rate of complications in the 48 hour group in pneumonia and severe sepsis.</w:t>
      </w:r>
      <w:r w:rsidRPr="000A1D8D">
        <w:rPr>
          <w:rFonts w:ascii="Arial" w:hAnsi="Arial" w:cs="Arial"/>
          <w:vertAlign w:val="superscript"/>
          <w:lang w:val="en-MY"/>
        </w:rPr>
        <w:t>6</w:t>
      </w:r>
    </w:p>
    <w:p w14:paraId="28D67530" w14:textId="77777777" w:rsidR="007936D3" w:rsidRPr="000A1D8D" w:rsidRDefault="007936D3" w:rsidP="000A1D8D">
      <w:pPr>
        <w:pStyle w:val="Body"/>
        <w:spacing w:after="0"/>
        <w:ind w:firstLine="720"/>
        <w:rPr>
          <w:rFonts w:ascii="Arial" w:hAnsi="Arial" w:cs="Arial"/>
          <w:lang w:val="en-MY"/>
        </w:rPr>
      </w:pPr>
    </w:p>
    <w:p w14:paraId="6716EC09" w14:textId="0A6DEBF2" w:rsidR="000A1D8D" w:rsidRDefault="000A1D8D" w:rsidP="007936D3">
      <w:pPr>
        <w:pStyle w:val="Body"/>
        <w:spacing w:after="0"/>
        <w:ind w:firstLine="720"/>
        <w:rPr>
          <w:rFonts w:ascii="Arial" w:hAnsi="Arial" w:cs="Arial"/>
          <w:lang w:val="en-MY"/>
        </w:rPr>
      </w:pPr>
      <w:r w:rsidRPr="000A1D8D">
        <w:rPr>
          <w:rFonts w:ascii="Arial" w:hAnsi="Arial" w:cs="Arial"/>
          <w:lang w:val="en-MY"/>
        </w:rPr>
        <w:t>Researchers also began studying the role of dexamethasone and SCI once it was widely being accepted as a medication to reduce cerebral oedema. In vitro study showed dexamethasone decreases apoptotic related cell death in injured spinal cord tissues in mice,</w:t>
      </w:r>
      <w:r w:rsidRPr="000A1D8D">
        <w:rPr>
          <w:rFonts w:ascii="Arial" w:hAnsi="Arial" w:cs="Arial"/>
          <w:vertAlign w:val="superscript"/>
          <w:lang w:val="en-MY"/>
        </w:rPr>
        <w:t>7</w:t>
      </w:r>
      <w:r w:rsidRPr="000A1D8D">
        <w:rPr>
          <w:rFonts w:ascii="Arial" w:hAnsi="Arial" w:cs="Arial"/>
          <w:lang w:val="en-MY"/>
        </w:rPr>
        <w:t xml:space="preserve"> it also inhibited the level of autophagy in the injured nerve cells in a dose-dependent manner.</w:t>
      </w:r>
      <w:r w:rsidRPr="000A1D8D">
        <w:rPr>
          <w:rFonts w:ascii="Arial" w:hAnsi="Arial" w:cs="Arial"/>
          <w:vertAlign w:val="superscript"/>
          <w:lang w:val="en-MY"/>
        </w:rPr>
        <w:t>8</w:t>
      </w:r>
      <w:r w:rsidRPr="000A1D8D">
        <w:rPr>
          <w:rFonts w:ascii="Arial" w:hAnsi="Arial" w:cs="Arial"/>
          <w:lang w:val="en-MY"/>
        </w:rPr>
        <w:t xml:space="preserve"> A study of 520 patients looking into dexamethasone versus no steroid therapy in spinal cord injury saw qualitative and quantitative improvement in neurological outcomes in the steroid group. However similar to the previous studies, the steroid group had also reported increased incidence of gastrointestinal bleeding and wound infections.</w:t>
      </w:r>
      <w:r w:rsidRPr="000A1D8D">
        <w:rPr>
          <w:rFonts w:ascii="Arial" w:hAnsi="Arial" w:cs="Arial"/>
          <w:vertAlign w:val="superscript"/>
          <w:lang w:val="en-MY"/>
        </w:rPr>
        <w:t>9</w:t>
      </w:r>
      <w:r w:rsidRPr="000A1D8D">
        <w:rPr>
          <w:rFonts w:ascii="Arial" w:hAnsi="Arial" w:cs="Arial"/>
          <w:lang w:val="en-MY"/>
        </w:rPr>
        <w:t>With questionable methodology and patient protocols in the NASCIS trials, many begin reinvestigate the role of steroid in SCI and found disappointing results. A systemic review of the role of MPSS in the management of SCI in animal studies comprising of 62 studies revealed 54% of studies did not show any benefit of steroid administration, beneficial results in 34% and mixed results in 8% of studies.4 A meta-analysis with 1555 patients from 12 studies reported no statistical significant benefit of MPSS usage in SCI patients moreover reported an increased risk of complications such as hyperglycaemia and pneumonia similar to NASCIS findings.</w:t>
      </w:r>
      <w:r w:rsidRPr="000A1D8D">
        <w:rPr>
          <w:rFonts w:ascii="Arial" w:hAnsi="Arial" w:cs="Arial"/>
          <w:vertAlign w:val="superscript"/>
          <w:lang w:val="en-MY"/>
        </w:rPr>
        <w:t>10</w:t>
      </w:r>
      <w:r w:rsidRPr="000A1D8D">
        <w:rPr>
          <w:rFonts w:ascii="Arial" w:hAnsi="Arial" w:cs="Arial"/>
          <w:lang w:val="en-MY"/>
        </w:rPr>
        <w:tab/>
      </w:r>
    </w:p>
    <w:p w14:paraId="542D2663" w14:textId="77777777" w:rsidR="000A1D8D" w:rsidRPr="000A1D8D" w:rsidRDefault="000A1D8D" w:rsidP="000A1D8D">
      <w:pPr>
        <w:pStyle w:val="Body"/>
        <w:spacing w:after="0"/>
        <w:rPr>
          <w:rFonts w:ascii="Arial" w:hAnsi="Arial" w:cs="Arial"/>
          <w:lang w:val="en-MY"/>
        </w:rPr>
      </w:pPr>
    </w:p>
    <w:p w14:paraId="756A13AC" w14:textId="77777777" w:rsidR="000A1D8D" w:rsidRDefault="000A1D8D" w:rsidP="000A1D8D">
      <w:pPr>
        <w:pStyle w:val="Body"/>
        <w:spacing w:after="0"/>
        <w:rPr>
          <w:rFonts w:ascii="Arial" w:hAnsi="Arial" w:cs="Arial"/>
          <w:vertAlign w:val="superscript"/>
          <w:lang w:val="en-MY"/>
        </w:rPr>
      </w:pPr>
      <w:r w:rsidRPr="000A1D8D">
        <w:rPr>
          <w:rFonts w:ascii="Arial" w:hAnsi="Arial" w:cs="Arial"/>
          <w:lang w:val="en-MY"/>
        </w:rPr>
        <w:tab/>
        <w:t>With conflicting opinions reported, there were many different opinions towards MPSS in SCI. A 2002-survey of 60 spine surgeons across Canada reported that among those surgeons who administer steroids for SCI, 53% did so because of peer pressure or fear of litigation.</w:t>
      </w:r>
      <w:r w:rsidRPr="000A1D8D">
        <w:rPr>
          <w:rFonts w:ascii="Arial" w:hAnsi="Arial" w:cs="Arial"/>
          <w:vertAlign w:val="superscript"/>
          <w:lang w:val="en-MY"/>
        </w:rPr>
        <w:t>11</w:t>
      </w:r>
      <w:r w:rsidRPr="000A1D8D">
        <w:rPr>
          <w:rFonts w:ascii="Arial" w:hAnsi="Arial" w:cs="Arial"/>
          <w:lang w:val="en-MY"/>
        </w:rPr>
        <w:t xml:space="preserve"> Trends of steroid use in US 2008 – 2018 based on the North American Clinical Trial Network (NACTN) registry showed a dramatic shift from pro steroid use in SCI from 70% to below 20% from the year 2010 onwards due to growing evidence of increased complications from MPSS administration. This trend however saw a reversal in the year 2017 and beyond once the more research on neuroinflammatory changes of secondary spinal cord injury begun to emerge and AO Spine guidelines which stated MPSS as a modality of choice in management of traumatic cervical SCI.</w:t>
      </w:r>
      <w:r w:rsidRPr="000A1D8D">
        <w:rPr>
          <w:rFonts w:ascii="Arial" w:hAnsi="Arial" w:cs="Arial"/>
          <w:vertAlign w:val="superscript"/>
          <w:lang w:val="en-MY"/>
        </w:rPr>
        <w:t>12</w:t>
      </w:r>
    </w:p>
    <w:p w14:paraId="63E1C5C5" w14:textId="77777777" w:rsidR="000A1D8D" w:rsidRPr="000A1D8D" w:rsidRDefault="000A1D8D" w:rsidP="000A1D8D">
      <w:pPr>
        <w:pStyle w:val="Body"/>
        <w:spacing w:after="0"/>
        <w:rPr>
          <w:rFonts w:ascii="Arial" w:hAnsi="Arial" w:cs="Arial"/>
          <w:lang w:val="en-MY"/>
        </w:rPr>
      </w:pPr>
    </w:p>
    <w:p w14:paraId="018197BD" w14:textId="77777777" w:rsidR="000A1D8D" w:rsidRDefault="000A1D8D" w:rsidP="000A1D8D">
      <w:pPr>
        <w:pStyle w:val="Body"/>
        <w:spacing w:after="0"/>
        <w:rPr>
          <w:rFonts w:ascii="Arial" w:hAnsi="Arial" w:cs="Arial"/>
          <w:vertAlign w:val="superscript"/>
          <w:lang w:val="en-MY"/>
        </w:rPr>
      </w:pPr>
      <w:r w:rsidRPr="000A1D8D">
        <w:rPr>
          <w:rFonts w:ascii="Arial" w:hAnsi="Arial" w:cs="Arial"/>
          <w:lang w:val="en-MY"/>
        </w:rPr>
        <w:tab/>
        <w:t>A publication in 2024 saw a survey of 593 orthopaedic surgeons, neurosurgeons and traumatologists from regarding the use of steroids in SCI in 2022 had 54% of participants favouring steroid administration. Among the group favouring steroids, 65% of them routinely administered MPSS, 32% administered Dexamethasone, and more than 50% of them took less than 8 hours as the critical time to administer the steroid therapy. A survey on different variations of SCI 84% used steroids to treat cases of central cord syndrome. When comparing steroid administration among the AIS injury scale, AIS A patients had the lowest rate of administration compared to other AIS groups, possibly due to the severity of concomitant injuries seen in AIS A patients that may predispose them from increased complications of steroids.</w:t>
      </w:r>
      <w:r w:rsidRPr="000A1D8D">
        <w:rPr>
          <w:rFonts w:ascii="Arial" w:hAnsi="Arial" w:cs="Arial"/>
          <w:vertAlign w:val="superscript"/>
          <w:lang w:val="en-MY"/>
        </w:rPr>
        <w:t>13</w:t>
      </w:r>
    </w:p>
    <w:p w14:paraId="622782A6" w14:textId="77777777" w:rsidR="000A1D8D" w:rsidRPr="000A1D8D" w:rsidRDefault="000A1D8D" w:rsidP="000A1D8D">
      <w:pPr>
        <w:pStyle w:val="Body"/>
        <w:spacing w:after="0"/>
        <w:rPr>
          <w:rFonts w:ascii="Arial" w:hAnsi="Arial" w:cs="Arial"/>
          <w:lang w:val="en-MY"/>
        </w:rPr>
      </w:pPr>
    </w:p>
    <w:p w14:paraId="63A6D080" w14:textId="4033CFBD" w:rsidR="000A1D8D" w:rsidRDefault="000A1D8D" w:rsidP="000A1D8D">
      <w:pPr>
        <w:pStyle w:val="Body"/>
        <w:spacing w:after="0"/>
        <w:ind w:firstLine="720"/>
        <w:rPr>
          <w:rFonts w:ascii="Arial" w:hAnsi="Arial" w:cs="Arial"/>
          <w:vertAlign w:val="superscript"/>
          <w:lang w:val="en-MY"/>
        </w:rPr>
      </w:pPr>
      <w:r w:rsidRPr="000A1D8D">
        <w:rPr>
          <w:rFonts w:ascii="Arial" w:hAnsi="Arial" w:cs="Arial"/>
          <w:lang w:val="en-MY"/>
        </w:rPr>
        <w:t>After the NASCIS trials the MRC CRASH Trial is the biggest study looking into beneficial effects of high dose steroid based on the NASCIS-III dosing of 48 hour infusion versus placebo saline infusion in patients with traumatic brain injury. A total of 10,008 patients were enrolled however the study had to be terminated prematurely due interim analysis showing 21% mortality rate within two weeks of injury in the steroid group with an OR of 1.18 and p value of 0.0001. Although not looking into spinal cord injury specifically it was the largest prospective RCT in the 2000’s studying the effect of high dose MPSS vs placebo in injured neural tissue.</w:t>
      </w:r>
      <w:r w:rsidRPr="000A1D8D">
        <w:rPr>
          <w:rFonts w:ascii="Arial" w:hAnsi="Arial" w:cs="Arial"/>
          <w:vertAlign w:val="superscript"/>
          <w:lang w:val="en-MY"/>
        </w:rPr>
        <w:t>14</w:t>
      </w:r>
      <w:r w:rsidR="009B6E29">
        <w:rPr>
          <w:rFonts w:ascii="Arial" w:hAnsi="Arial" w:cs="Arial"/>
          <w:vertAlign w:val="superscript"/>
          <w:lang w:val="en-MY"/>
        </w:rPr>
        <w:t>,21</w:t>
      </w:r>
    </w:p>
    <w:p w14:paraId="0C654AF0" w14:textId="77777777" w:rsidR="000A1D8D" w:rsidRPr="000A1D8D" w:rsidRDefault="000A1D8D" w:rsidP="000A1D8D">
      <w:pPr>
        <w:pStyle w:val="Body"/>
        <w:spacing w:after="0"/>
        <w:rPr>
          <w:rFonts w:ascii="Arial" w:hAnsi="Arial" w:cs="Arial"/>
          <w:lang w:val="en-MY"/>
        </w:rPr>
      </w:pPr>
    </w:p>
    <w:p w14:paraId="1199AA1A" w14:textId="660F23BB" w:rsidR="000A1D8D" w:rsidRDefault="000A1D8D" w:rsidP="000A1D8D">
      <w:pPr>
        <w:pStyle w:val="Body"/>
        <w:spacing w:after="0"/>
        <w:ind w:firstLine="720"/>
        <w:rPr>
          <w:rFonts w:ascii="Arial" w:hAnsi="Arial" w:cs="Arial"/>
          <w:vertAlign w:val="superscript"/>
          <w:lang w:val="en-MY"/>
        </w:rPr>
      </w:pPr>
      <w:r w:rsidRPr="000A1D8D">
        <w:rPr>
          <w:rFonts w:ascii="Arial" w:hAnsi="Arial" w:cs="Arial"/>
          <w:lang w:val="en-MY"/>
        </w:rPr>
        <w:t xml:space="preserve">The latest guideline by the AO Spine &amp; Micheal </w:t>
      </w:r>
      <w:r w:rsidR="00ED5274" w:rsidRPr="000A1D8D">
        <w:rPr>
          <w:rFonts w:ascii="Arial" w:hAnsi="Arial" w:cs="Arial"/>
          <w:lang w:val="en-MY"/>
        </w:rPr>
        <w:t>Fehling’s</w:t>
      </w:r>
      <w:r w:rsidRPr="000A1D8D">
        <w:rPr>
          <w:rFonts w:ascii="Arial" w:hAnsi="Arial" w:cs="Arial"/>
          <w:lang w:val="en-MY"/>
        </w:rPr>
        <w:t xml:space="preserve"> group came up with clinical practice guidelines for spinal cord injury patients in regards to recommendations to the use of MPSS. The three key takeaway messages from it wer</w:t>
      </w:r>
      <w:r w:rsidR="007936D3">
        <w:rPr>
          <w:rFonts w:ascii="Arial" w:hAnsi="Arial" w:cs="Arial"/>
          <w:lang w:val="en-MY"/>
        </w:rPr>
        <w:t>e if present withing 8 hours of injury, patients with spinal cord injury should receive 24 hours of MPSS, no role of MPSS beyond the 8 hour mark, and the 48 hour infusion is not recommended due to high complication rates</w:t>
      </w:r>
      <w:r w:rsidRPr="000A1D8D">
        <w:rPr>
          <w:rFonts w:ascii="Arial" w:hAnsi="Arial" w:cs="Arial"/>
          <w:lang w:val="en-MY"/>
        </w:rPr>
        <w:t>.</w:t>
      </w:r>
      <w:r w:rsidRPr="000A1D8D">
        <w:rPr>
          <w:rFonts w:ascii="Arial" w:hAnsi="Arial" w:cs="Arial"/>
          <w:vertAlign w:val="superscript"/>
          <w:lang w:val="en-MY"/>
        </w:rPr>
        <w:t>15</w:t>
      </w:r>
      <w:r w:rsidRPr="000A1D8D">
        <w:rPr>
          <w:rFonts w:ascii="Arial" w:hAnsi="Arial" w:cs="Arial"/>
          <w:lang w:val="en-MY"/>
        </w:rPr>
        <w:t xml:space="preserve"> The same group also conducted a systemic review and came up with three conclusions </w:t>
      </w:r>
      <w:proofErr w:type="spellStart"/>
      <w:r w:rsidRPr="000A1D8D">
        <w:rPr>
          <w:rFonts w:ascii="Arial" w:hAnsi="Arial" w:cs="Arial"/>
          <w:lang w:val="en-MY"/>
        </w:rPr>
        <w:t>i</w:t>
      </w:r>
      <w:proofErr w:type="spellEnd"/>
      <w:r w:rsidRPr="000A1D8D">
        <w:rPr>
          <w:rFonts w:ascii="Arial" w:hAnsi="Arial" w:cs="Arial"/>
          <w:lang w:val="en-MY"/>
        </w:rPr>
        <w:t>) there were no differences in motor score change at any time point in patients treated with MPSS compared to those not receiving steroids; ii) when MPSS was administered within 8 hours of injury, pooled results at 6- and 12-months indicated modest improvements in mean motor scores in the MPSS group compared with the control group; and iii) there was no statistical difference between treatment groups in the risk of complications.</w:t>
      </w:r>
      <w:r w:rsidRPr="000A1D8D">
        <w:rPr>
          <w:rFonts w:ascii="Arial" w:hAnsi="Arial" w:cs="Arial"/>
          <w:vertAlign w:val="superscript"/>
          <w:lang w:val="en-MY"/>
        </w:rPr>
        <w:t xml:space="preserve"> </w:t>
      </w:r>
      <w:r w:rsidRPr="000A1D8D">
        <w:rPr>
          <w:rFonts w:ascii="Arial" w:hAnsi="Arial" w:cs="Arial"/>
          <w:lang w:val="en-MY"/>
        </w:rPr>
        <w:t>In the review, modest improvements in ASIA motor scores of 3.21 points, (95% CI = 0.10 – 6.33; p = 0.04).</w:t>
      </w:r>
      <w:r w:rsidRPr="000A1D8D">
        <w:rPr>
          <w:rFonts w:ascii="Arial" w:hAnsi="Arial" w:cs="Arial"/>
          <w:vertAlign w:val="superscript"/>
          <w:lang w:val="en-MY"/>
        </w:rPr>
        <w:t>16</w:t>
      </w:r>
      <w:r w:rsidR="009B6E29">
        <w:rPr>
          <w:rFonts w:ascii="Arial" w:hAnsi="Arial" w:cs="Arial"/>
          <w:vertAlign w:val="superscript"/>
          <w:lang w:val="en-MY"/>
        </w:rPr>
        <w:t>,22</w:t>
      </w:r>
    </w:p>
    <w:p w14:paraId="4ECD6E60" w14:textId="77777777" w:rsidR="000A1D8D" w:rsidRPr="000A1D8D" w:rsidRDefault="000A1D8D" w:rsidP="000A1D8D">
      <w:pPr>
        <w:pStyle w:val="Body"/>
        <w:spacing w:after="0"/>
        <w:ind w:firstLine="720"/>
        <w:rPr>
          <w:rFonts w:ascii="Arial" w:hAnsi="Arial" w:cs="Arial"/>
          <w:lang w:val="en-MY"/>
        </w:rPr>
      </w:pPr>
    </w:p>
    <w:p w14:paraId="4F1F6017" w14:textId="3C26B75D" w:rsidR="000A1D8D" w:rsidRPr="000A1D8D" w:rsidRDefault="000A1D8D" w:rsidP="000A1D8D">
      <w:pPr>
        <w:pStyle w:val="Body"/>
        <w:spacing w:after="0"/>
        <w:ind w:firstLine="720"/>
        <w:rPr>
          <w:rFonts w:ascii="Arial" w:hAnsi="Arial" w:cs="Arial"/>
          <w:lang w:val="en-MY"/>
        </w:rPr>
      </w:pPr>
      <w:r w:rsidRPr="000A1D8D">
        <w:rPr>
          <w:rFonts w:ascii="Arial" w:hAnsi="Arial" w:cs="Arial"/>
          <w:lang w:val="en-MY"/>
        </w:rPr>
        <w:t>Complications against MPSS use has been widely reported, the earliest from the NASCIS I RCT (n = 330) showed increased rates of surgical site and trauma site infections in patients receiving high doses of MPSS (1000 mg bolus and 250 mg every 6 h), (risk ratio [RR] = 3.6, p = 0.01)</w:t>
      </w:r>
      <w:r w:rsidRPr="000A1D8D">
        <w:rPr>
          <w:rFonts w:ascii="Arial" w:hAnsi="Arial" w:cs="Arial"/>
          <w:vertAlign w:val="superscript"/>
          <w:lang w:val="en-MY"/>
        </w:rPr>
        <w:t xml:space="preserve">4 </w:t>
      </w:r>
      <w:r w:rsidRPr="000A1D8D">
        <w:rPr>
          <w:rFonts w:ascii="Arial" w:hAnsi="Arial" w:cs="Arial"/>
          <w:lang w:val="en-MY"/>
        </w:rPr>
        <w:t xml:space="preserve"> and also the 1990 NASCIS III RCT (n = 499) which had increased rates of severe sepsis (p = 0.02) and pneumonia (p = 0.07) in the 48 hour infusion regime of MPSS (when treatment was initiated within 3 to 8 h of injury) versus the 24 h treatment of MPSS (where treatment was initiated within 3 h of injury).</w:t>
      </w:r>
      <w:r w:rsidRPr="000A1D8D">
        <w:rPr>
          <w:rFonts w:ascii="Arial" w:hAnsi="Arial" w:cs="Arial"/>
          <w:vertAlign w:val="superscript"/>
          <w:lang w:val="en-MY"/>
        </w:rPr>
        <w:t>5</w:t>
      </w:r>
      <w:r w:rsidR="009B6E29">
        <w:rPr>
          <w:rFonts w:ascii="Arial" w:hAnsi="Arial" w:cs="Arial"/>
          <w:vertAlign w:val="superscript"/>
          <w:lang w:val="en-MY"/>
        </w:rPr>
        <w:t>,20</w:t>
      </w:r>
      <w:r w:rsidRPr="000A1D8D">
        <w:rPr>
          <w:rFonts w:ascii="Arial" w:hAnsi="Arial" w:cs="Arial"/>
          <w:lang w:val="en-MY"/>
        </w:rPr>
        <w:t xml:space="preserve"> </w:t>
      </w:r>
      <w:r w:rsidRPr="000A1D8D">
        <w:rPr>
          <w:rFonts w:ascii="Arial" w:hAnsi="Arial" w:cs="Arial"/>
          <w:lang w:val="en-MY"/>
        </w:rPr>
        <w:lastRenderedPageBreak/>
        <w:t>A recent systematic review and meta-analysis however reported no difference in the pooled risk of death, wound infection, gastrointestinal haemorrhage, sepsis, pulmonary embolism, urinary tract infection, pneumonia, or decubiti, between MPSS groups and non-steroid groups when MPSS was given within 8 h of injury for a duration of 24 h according to the NASCIS II protocol. This findings are similar to our study where the steroid group had slightly more complications however it was not statistically significant (p = 0.641).</w:t>
      </w:r>
      <w:r w:rsidRPr="000A1D8D">
        <w:rPr>
          <w:rFonts w:ascii="Arial" w:hAnsi="Arial" w:cs="Arial"/>
          <w:vertAlign w:val="superscript"/>
          <w:lang w:val="en-MY"/>
        </w:rPr>
        <w:t>15</w:t>
      </w:r>
      <w:r w:rsidR="009B6E29">
        <w:rPr>
          <w:rFonts w:ascii="Arial" w:hAnsi="Arial" w:cs="Arial"/>
          <w:vertAlign w:val="superscript"/>
          <w:lang w:val="en-MY"/>
        </w:rPr>
        <w:t>,21</w:t>
      </w:r>
    </w:p>
    <w:p w14:paraId="01B6387D" w14:textId="77777777" w:rsidR="000A1D8D" w:rsidRPr="000A1D8D" w:rsidRDefault="000A1D8D" w:rsidP="000A1D8D">
      <w:pPr>
        <w:pStyle w:val="Body"/>
        <w:spacing w:after="0"/>
        <w:rPr>
          <w:rFonts w:ascii="Arial" w:hAnsi="Arial" w:cs="Arial"/>
          <w:lang w:val="en-MY"/>
        </w:rPr>
      </w:pPr>
    </w:p>
    <w:p w14:paraId="46A1B6A0" w14:textId="77777777" w:rsidR="000A1D8D" w:rsidRDefault="000A1D8D" w:rsidP="000A1D8D">
      <w:pPr>
        <w:pStyle w:val="Body"/>
        <w:spacing w:after="0"/>
        <w:ind w:firstLine="720"/>
        <w:rPr>
          <w:rFonts w:ascii="Arial" w:hAnsi="Arial" w:cs="Arial"/>
          <w:lang w:val="en-MY"/>
        </w:rPr>
      </w:pPr>
      <w:r w:rsidRPr="000A1D8D">
        <w:rPr>
          <w:rFonts w:ascii="Arial" w:hAnsi="Arial" w:cs="Arial"/>
          <w:lang w:val="en-MY"/>
        </w:rPr>
        <w:t>An interesting take is to involve patients in the decision making of MPSS therapy, a study that retrospectively contacted SCI patients to survey if surgeons had discussed MPSS therapy during admission, out of 28 respondents who were able to communicate at the time of injury and presented within 8 hours of injury only two patients recalled being counselled for MPSS therapy (7%). They also reported that 59.4% of respondents felt small neurological benefits were very important to them and had little concern of the side effects. A small percentage of respondents (1.4%) stated that MPSS should not be given to SCI patients regardless of its severity.</w:t>
      </w:r>
      <w:r w:rsidRPr="000A1D8D">
        <w:rPr>
          <w:rFonts w:ascii="Arial" w:hAnsi="Arial" w:cs="Arial"/>
          <w:vertAlign w:val="superscript"/>
          <w:lang w:val="en-MY"/>
        </w:rPr>
        <w:t>17</w:t>
      </w:r>
      <w:r w:rsidRPr="000A1D8D">
        <w:rPr>
          <w:rFonts w:ascii="Arial" w:hAnsi="Arial" w:cs="Arial"/>
          <w:lang w:val="en-MY"/>
        </w:rPr>
        <w:t xml:space="preserve"> This report helps to remind us to involve patients in the decision making  of their treatment when the conditions allow.</w:t>
      </w:r>
    </w:p>
    <w:p w14:paraId="53F51B57" w14:textId="77777777" w:rsidR="000A1D8D" w:rsidRPr="000A1D8D" w:rsidRDefault="000A1D8D" w:rsidP="000A1D8D">
      <w:pPr>
        <w:pStyle w:val="Body"/>
        <w:spacing w:after="0"/>
        <w:ind w:firstLine="720"/>
        <w:rPr>
          <w:rFonts w:ascii="Arial" w:hAnsi="Arial" w:cs="Arial"/>
          <w:lang w:val="en-MY"/>
        </w:rPr>
      </w:pPr>
    </w:p>
    <w:p w14:paraId="0936E8FE" w14:textId="44E80034" w:rsidR="000A1D8D" w:rsidRPr="000A1D8D" w:rsidRDefault="000A1D8D" w:rsidP="00B81304">
      <w:pPr>
        <w:pStyle w:val="Body"/>
        <w:spacing w:after="0"/>
        <w:ind w:firstLine="720"/>
        <w:rPr>
          <w:rFonts w:ascii="Arial" w:hAnsi="Arial" w:cs="Arial"/>
        </w:rPr>
      </w:pPr>
      <w:r w:rsidRPr="000A1D8D">
        <w:rPr>
          <w:rFonts w:ascii="Arial" w:hAnsi="Arial" w:cs="Arial"/>
          <w:lang w:val="en-MY"/>
        </w:rPr>
        <w:t>There are many limitations of this study, firstly patients present with various degrees of spinal cord injury leading to heterogenicity among the AIS groups. Our patients were subjected to different surgical treatment options and it may be taken as a confounder contributing to the difference in neurological recovery. Timing of surgery was also variable factor in this study due to the challenges in logistics surrounding the critical care of patients, and their fitness for surgery. In a nutshell, based on the current body of literature, we believe that MPSS 30mg/kg bolus over 1 hour and 23 hour infusion is beneficial presenting within 8 hours of injury is beneficial to a subset of patients who are able to tolerate it. Patients beyond 8 hours may benefit from IV Dexamethasone 8mg TDS, however these patients will need close monitoring and prophylactic management should commence anticipating potential complications.</w:t>
      </w:r>
    </w:p>
    <w:p w14:paraId="16551353" w14:textId="77777777" w:rsidR="00790ADA" w:rsidRPr="00FB3A86" w:rsidRDefault="00790ADA" w:rsidP="00441B6F">
      <w:pPr>
        <w:pStyle w:val="Body"/>
        <w:spacing w:after="0"/>
        <w:rPr>
          <w:rFonts w:ascii="Arial" w:hAnsi="Arial" w:cs="Arial"/>
        </w:rPr>
      </w:pPr>
    </w:p>
    <w:p w14:paraId="58D307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CD19DA" w14:textId="77777777" w:rsidR="00790ADA" w:rsidRPr="00FB3A86" w:rsidRDefault="00790ADA" w:rsidP="00441B6F">
      <w:pPr>
        <w:pStyle w:val="ConcHead"/>
        <w:spacing w:after="0"/>
        <w:jc w:val="both"/>
        <w:rPr>
          <w:rFonts w:ascii="Arial" w:hAnsi="Arial" w:cs="Arial"/>
        </w:rPr>
      </w:pPr>
    </w:p>
    <w:p w14:paraId="5DF0CF7B" w14:textId="2BE2F495" w:rsidR="00B81304" w:rsidRDefault="00B81304" w:rsidP="00B81304">
      <w:pPr>
        <w:pStyle w:val="Body"/>
        <w:spacing w:after="0"/>
        <w:rPr>
          <w:rFonts w:ascii="Arial" w:hAnsi="Arial" w:cs="Arial"/>
          <w:lang w:val="en-MY"/>
        </w:rPr>
      </w:pPr>
      <w:r w:rsidRPr="00B81304">
        <w:rPr>
          <w:rFonts w:ascii="Arial" w:hAnsi="Arial" w:cs="Arial"/>
          <w:lang w:val="en-MY"/>
        </w:rPr>
        <w:t xml:space="preserve">Based on our patient cohort, steroid use may </w:t>
      </w:r>
      <w:r>
        <w:rPr>
          <w:rFonts w:ascii="Arial" w:hAnsi="Arial" w:cs="Arial"/>
          <w:lang w:val="en-MY"/>
        </w:rPr>
        <w:t xml:space="preserve">be </w:t>
      </w:r>
      <w:r w:rsidRPr="00B81304">
        <w:rPr>
          <w:rFonts w:ascii="Arial" w:hAnsi="Arial" w:cs="Arial"/>
          <w:lang w:val="en-MY"/>
        </w:rPr>
        <w:t>beneficial in</w:t>
      </w:r>
      <w:r>
        <w:rPr>
          <w:rFonts w:ascii="Arial" w:hAnsi="Arial" w:cs="Arial"/>
          <w:lang w:val="en-MY"/>
        </w:rPr>
        <w:t xml:space="preserve"> traumatic cervical</w:t>
      </w:r>
      <w:r w:rsidRPr="00B81304">
        <w:rPr>
          <w:rFonts w:ascii="Arial" w:hAnsi="Arial" w:cs="Arial"/>
          <w:lang w:val="en-MY"/>
        </w:rPr>
        <w:t xml:space="preserve"> spinal cord injury, however careful patient selection should be observed as steroids are associated with a higher rate of complications. An ideal candidate would be a younger patient presenting within 8 hours with an ASIA C or ASIA D spinal cord lesion. This study is a good pilot project for further future studies looking into steroids and spinal cord injuries, to draw a strong recommendation, it would be best for it to be a prospective study with homogenous cohorts.</w:t>
      </w:r>
    </w:p>
    <w:p w14:paraId="1D0B1463" w14:textId="77777777" w:rsidR="00ED5274" w:rsidRPr="00B81304" w:rsidRDefault="00ED5274" w:rsidP="00B81304">
      <w:pPr>
        <w:pStyle w:val="Body"/>
        <w:spacing w:after="0"/>
        <w:rPr>
          <w:rFonts w:ascii="Arial" w:hAnsi="Arial" w:cs="Arial"/>
          <w:lang w:val="en-MY"/>
        </w:rPr>
      </w:pPr>
    </w:p>
    <w:p w14:paraId="2E8C8ABA" w14:textId="1432166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0B2C754" w14:textId="77777777" w:rsidR="002B685A" w:rsidRPr="002B685A" w:rsidRDefault="002B685A" w:rsidP="00441B6F">
      <w:pPr>
        <w:pStyle w:val="ReferHead"/>
        <w:spacing w:after="0"/>
        <w:jc w:val="both"/>
        <w:rPr>
          <w:rFonts w:ascii="Arial" w:hAnsi="Arial" w:cs="Arial"/>
          <w:bCs/>
        </w:rPr>
      </w:pPr>
    </w:p>
    <w:p w14:paraId="24E7C7A5" w14:textId="409E7315" w:rsidR="001A29D8" w:rsidRPr="00B81304" w:rsidRDefault="001A29D8" w:rsidP="00441B6F">
      <w:pPr>
        <w:pStyle w:val="ReferHead"/>
        <w:spacing w:after="0"/>
        <w:jc w:val="both"/>
        <w:rPr>
          <w:rFonts w:ascii="Arial" w:hAnsi="Arial" w:cs="Arial"/>
          <w:b w:val="0"/>
          <w:caps w:val="0"/>
          <w:sz w:val="20"/>
        </w:rPr>
      </w:pPr>
      <w:r w:rsidRPr="00B81304">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AE2BF9C" w14:textId="77777777" w:rsidR="001A29D8" w:rsidRDefault="001A29D8" w:rsidP="00441B6F">
      <w:pPr>
        <w:pStyle w:val="ReferHead"/>
        <w:spacing w:after="0"/>
        <w:jc w:val="both"/>
        <w:rPr>
          <w:rFonts w:ascii="Arial" w:hAnsi="Arial" w:cs="Arial"/>
          <w:b w:val="0"/>
          <w:caps w:val="0"/>
          <w:sz w:val="20"/>
        </w:rPr>
      </w:pPr>
    </w:p>
    <w:p w14:paraId="17DDA621" w14:textId="77777777" w:rsidR="005C784C" w:rsidRDefault="005C784C" w:rsidP="00441B6F">
      <w:pPr>
        <w:pStyle w:val="ReferHead"/>
        <w:spacing w:after="0"/>
        <w:jc w:val="both"/>
        <w:rPr>
          <w:rFonts w:ascii="Arial" w:hAnsi="Arial" w:cs="Arial"/>
          <w:b w:val="0"/>
          <w:caps w:val="0"/>
          <w:sz w:val="20"/>
        </w:rPr>
      </w:pPr>
    </w:p>
    <w:p w14:paraId="2D3B0D64" w14:textId="360A7BE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D7D8128" w14:textId="77777777" w:rsidR="005C784C" w:rsidRPr="002B685A" w:rsidRDefault="005C784C" w:rsidP="00441B6F">
      <w:pPr>
        <w:pStyle w:val="ReferHead"/>
        <w:spacing w:after="0"/>
        <w:jc w:val="both"/>
        <w:rPr>
          <w:rFonts w:ascii="Arial" w:hAnsi="Arial" w:cs="Arial"/>
          <w:bCs/>
        </w:rPr>
      </w:pPr>
    </w:p>
    <w:p w14:paraId="425FAAAD" w14:textId="01243800" w:rsidR="0041027F" w:rsidRDefault="001A29D8" w:rsidP="00441B6F">
      <w:pPr>
        <w:pStyle w:val="ReferHead"/>
        <w:spacing w:after="0"/>
        <w:jc w:val="both"/>
        <w:rPr>
          <w:rFonts w:ascii="Arial" w:hAnsi="Arial" w:cs="Arial"/>
          <w:b w:val="0"/>
          <w:caps w:val="0"/>
          <w:sz w:val="20"/>
        </w:rPr>
      </w:pPr>
      <w:r w:rsidRPr="00256786">
        <w:rPr>
          <w:rFonts w:ascii="Arial" w:hAnsi="Arial" w:cs="Arial"/>
          <w:b w:val="0"/>
          <w:caps w:val="0"/>
          <w:sz w:val="20"/>
        </w:rPr>
        <w:t>All authors hereby declare that a</w:t>
      </w:r>
      <w:r w:rsidR="0041027F" w:rsidRPr="00256786">
        <w:rPr>
          <w:rFonts w:ascii="Arial" w:hAnsi="Arial" w:cs="Arial"/>
          <w:b w:val="0"/>
          <w:caps w:val="0"/>
          <w:sz w:val="20"/>
        </w:rPr>
        <w:t xml:space="preserve">ll </w:t>
      </w:r>
      <w:r w:rsidR="00F469F0" w:rsidRPr="00256786">
        <w:rPr>
          <w:rFonts w:ascii="Arial" w:hAnsi="Arial" w:cs="Arial"/>
          <w:b w:val="0"/>
          <w:caps w:val="0"/>
          <w:sz w:val="20"/>
        </w:rPr>
        <w:t>experiments</w:t>
      </w:r>
      <w:r w:rsidR="0041027F" w:rsidRPr="00256786">
        <w:rPr>
          <w:rFonts w:ascii="Arial" w:hAnsi="Arial" w:cs="Arial"/>
          <w:b w:val="0"/>
          <w:caps w:val="0"/>
          <w:sz w:val="20"/>
        </w:rPr>
        <w:t xml:space="preserve"> have been examined</w:t>
      </w:r>
      <w:r w:rsidRPr="00256786">
        <w:rPr>
          <w:rFonts w:ascii="Arial" w:hAnsi="Arial" w:cs="Arial"/>
          <w:b w:val="0"/>
          <w:caps w:val="0"/>
          <w:sz w:val="20"/>
        </w:rPr>
        <w:t xml:space="preserve"> and approved</w:t>
      </w:r>
      <w:r w:rsidR="0041027F" w:rsidRPr="00256786">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71C2FB88" w14:textId="77777777" w:rsidR="00ED5274" w:rsidRDefault="00ED5274" w:rsidP="00441B6F">
      <w:pPr>
        <w:pStyle w:val="ReferHead"/>
        <w:spacing w:after="0"/>
        <w:jc w:val="both"/>
        <w:rPr>
          <w:rFonts w:ascii="Arial" w:hAnsi="Arial" w:cs="Arial"/>
          <w:b w:val="0"/>
          <w:caps w:val="0"/>
          <w:sz w:val="20"/>
        </w:rPr>
      </w:pPr>
    </w:p>
    <w:p w14:paraId="09F370D0" w14:textId="77777777" w:rsidR="00E27CC9" w:rsidRPr="00CA3906" w:rsidRDefault="00E27CC9" w:rsidP="00E27CC9">
      <w:pPr>
        <w:rPr>
          <w:b/>
          <w:highlight w:val="yellow"/>
        </w:rPr>
      </w:pPr>
      <w:r w:rsidRPr="00CA3906">
        <w:rPr>
          <w:b/>
          <w:highlight w:val="yellow"/>
        </w:rPr>
        <w:t>Disclaimer (Artificial intelligence)</w:t>
      </w:r>
    </w:p>
    <w:p w14:paraId="5B3BA1C5" w14:textId="77777777" w:rsidR="00E27CC9" w:rsidRPr="00740879" w:rsidRDefault="00E27CC9" w:rsidP="00E27CC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584FAB1" w14:textId="77777777" w:rsidR="00E27CC9" w:rsidRPr="00256786" w:rsidRDefault="00E27CC9" w:rsidP="00441B6F">
      <w:pPr>
        <w:pStyle w:val="ReferHead"/>
        <w:spacing w:after="0"/>
        <w:jc w:val="both"/>
        <w:rPr>
          <w:rFonts w:ascii="Arial" w:hAnsi="Arial" w:cs="Arial"/>
          <w:b w:val="0"/>
          <w:caps w:val="0"/>
          <w:sz w:val="20"/>
        </w:rPr>
      </w:pPr>
    </w:p>
    <w:p w14:paraId="6B23907A" w14:textId="77777777" w:rsidR="00860000" w:rsidRDefault="00860000" w:rsidP="00441B6F">
      <w:pPr>
        <w:pStyle w:val="ReferHead"/>
        <w:spacing w:after="0"/>
        <w:jc w:val="both"/>
        <w:rPr>
          <w:rFonts w:ascii="Arial" w:hAnsi="Arial" w:cs="Arial"/>
        </w:rPr>
      </w:pPr>
    </w:p>
    <w:p w14:paraId="4E6A8C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8FD3B0" w14:textId="77777777" w:rsidR="00790ADA" w:rsidRPr="00FB3A86" w:rsidRDefault="00790ADA" w:rsidP="00441B6F">
      <w:pPr>
        <w:pStyle w:val="ReferHead"/>
        <w:spacing w:after="0"/>
        <w:jc w:val="both"/>
        <w:rPr>
          <w:rFonts w:ascii="Arial" w:hAnsi="Arial" w:cs="Arial"/>
        </w:rPr>
      </w:pPr>
    </w:p>
    <w:p w14:paraId="56747422" w14:textId="4610FDBC"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Sterner, R. C., &amp; Sterner, R. M. (2023). Immune response following traumatic spinal cord injury: Pathophysiology and therapies. </w:t>
      </w:r>
      <w:r w:rsidRPr="006D797C">
        <w:rPr>
          <w:rFonts w:ascii="Arial" w:hAnsi="Arial" w:cs="Arial"/>
          <w:i/>
          <w:iCs/>
          <w:color w:val="222222"/>
          <w:sz w:val="20"/>
          <w:szCs w:val="20"/>
          <w:shd w:val="clear" w:color="auto" w:fill="FFFFFF"/>
        </w:rPr>
        <w:t>Frontiers in immunology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13</w:t>
      </w:r>
      <w:r w:rsidRPr="006D797C">
        <w:rPr>
          <w:rFonts w:ascii="Arial" w:hAnsi="Arial" w:cs="Arial"/>
          <w:color w:val="222222"/>
          <w:sz w:val="20"/>
          <w:szCs w:val="20"/>
          <w:shd w:val="clear" w:color="auto" w:fill="FFFFFF"/>
        </w:rPr>
        <w:t>, 1084101.</w:t>
      </w:r>
      <w:r>
        <w:rPr>
          <w:rFonts w:ascii="Arial" w:hAnsi="Arial" w:cs="Arial"/>
          <w:color w:val="222222"/>
          <w:sz w:val="20"/>
          <w:szCs w:val="20"/>
          <w:shd w:val="clear" w:color="auto" w:fill="FFFFFF"/>
        </w:rPr>
        <w:t xml:space="preserve"> </w:t>
      </w:r>
      <w:hyperlink r:id="rId19" w:history="1">
        <w:r>
          <w:rPr>
            <w:rStyle w:val="Hyperlink"/>
            <w:rFonts w:ascii="Helvetica" w:hAnsi="Helvetica"/>
            <w:sz w:val="18"/>
            <w:szCs w:val="18"/>
          </w:rPr>
          <w:t>https://doi.org/10.3389/fimmu.2022.1084101</w:t>
        </w:r>
      </w:hyperlink>
    </w:p>
    <w:p w14:paraId="4C982434" w14:textId="7225240A"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Lee, B. J., &amp; Jeong, J. H. (2022). Steroid use in patients with acute spinal cord injury and guideline update. </w:t>
      </w:r>
      <w:r w:rsidRPr="006D797C">
        <w:rPr>
          <w:rFonts w:ascii="Arial" w:hAnsi="Arial" w:cs="Arial"/>
          <w:i/>
          <w:iCs/>
          <w:color w:val="222222"/>
          <w:sz w:val="20"/>
          <w:szCs w:val="20"/>
          <w:shd w:val="clear" w:color="auto" w:fill="FFFFFF"/>
        </w:rPr>
        <w:t>Korean Journal of Neurotrauma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18</w:t>
      </w:r>
      <w:r w:rsidRPr="006D797C">
        <w:rPr>
          <w:rFonts w:ascii="Arial" w:hAnsi="Arial" w:cs="Arial"/>
          <w:color w:val="222222"/>
          <w:sz w:val="20"/>
          <w:szCs w:val="20"/>
          <w:shd w:val="clear" w:color="auto" w:fill="FFFFFF"/>
        </w:rPr>
        <w:t>(1), 22.</w:t>
      </w:r>
      <w:r w:rsidRPr="00256786">
        <w:rPr>
          <w:rFonts w:ascii="Helvetica Neue" w:eastAsia="Times New Roman" w:hAnsi="Helvetica Neue" w:cs="Times New Roman"/>
          <w:color w:val="1B1B1B"/>
          <w:kern w:val="0"/>
          <w:sz w:val="25"/>
          <w:szCs w:val="25"/>
          <w:shd w:val="clear" w:color="auto" w:fill="FFFFFF"/>
          <w:lang w:val="en-US"/>
        </w:rPr>
        <w:t xml:space="preserve"> </w:t>
      </w:r>
      <w:r w:rsidRPr="00256786">
        <w:rPr>
          <w:rFonts w:ascii="Arial" w:hAnsi="Arial" w:cs="Arial"/>
          <w:color w:val="222222"/>
          <w:sz w:val="20"/>
          <w:szCs w:val="20"/>
          <w:shd w:val="clear" w:color="auto" w:fill="FFFFFF"/>
          <w:lang w:val="en-US"/>
        </w:rPr>
        <w:t>PMCID: PMC</w:t>
      </w:r>
      <w:r w:rsidR="00ED5274" w:rsidRPr="00256786">
        <w:rPr>
          <w:rFonts w:ascii="Arial" w:hAnsi="Arial" w:cs="Arial"/>
          <w:color w:val="222222"/>
          <w:sz w:val="20"/>
          <w:szCs w:val="20"/>
          <w:shd w:val="clear" w:color="auto" w:fill="FFFFFF"/>
          <w:lang w:val="en-US"/>
        </w:rPr>
        <w:t>9064751 PMID</w:t>
      </w:r>
      <w:r w:rsidRPr="00256786">
        <w:rPr>
          <w:rFonts w:ascii="Arial" w:hAnsi="Arial" w:cs="Arial"/>
          <w:color w:val="222222"/>
          <w:sz w:val="20"/>
          <w:szCs w:val="20"/>
          <w:shd w:val="clear" w:color="auto" w:fill="FFFFFF"/>
          <w:lang w:val="en-US"/>
        </w:rPr>
        <w:t>: </w:t>
      </w:r>
      <w:hyperlink r:id="rId20" w:history="1">
        <w:r w:rsidRPr="00256786">
          <w:rPr>
            <w:rStyle w:val="Hyperlink"/>
            <w:rFonts w:ascii="Arial" w:hAnsi="Arial" w:cs="Arial"/>
            <w:sz w:val="20"/>
            <w:szCs w:val="20"/>
            <w:shd w:val="clear" w:color="auto" w:fill="FFFFFF"/>
            <w:lang w:val="en-US"/>
          </w:rPr>
          <w:t>35557630</w:t>
        </w:r>
      </w:hyperlink>
    </w:p>
    <w:p w14:paraId="03B1AF4B" w14:textId="654FF66C" w:rsidR="00256786" w:rsidRPr="00256786" w:rsidRDefault="00256786" w:rsidP="00256786">
      <w:pPr>
        <w:pStyle w:val="ListParagraph"/>
        <w:numPr>
          <w:ilvl w:val="0"/>
          <w:numId w:val="31"/>
        </w:numPr>
        <w:rPr>
          <w:rFonts w:ascii="Arial" w:hAnsi="Arial" w:cs="Arial"/>
          <w:color w:val="222222"/>
          <w:shd w:val="clear" w:color="auto" w:fill="FFFFFF"/>
        </w:rPr>
      </w:pPr>
      <w:r w:rsidRPr="006D797C">
        <w:rPr>
          <w:rFonts w:ascii="Arial" w:hAnsi="Arial" w:cs="Arial"/>
          <w:color w:val="222222"/>
          <w:sz w:val="20"/>
          <w:szCs w:val="20"/>
          <w:shd w:val="clear" w:color="auto" w:fill="FFFFFF"/>
        </w:rPr>
        <w:t>Hall, E. D., &amp; Braughler, J. M. (1982). Effects of intravenous methylprednisolone on spinal cord lipid peroxidation and (Na++ K+)-ATPase activity: Dose-response analysis during 1st hour after contusion injury in the cat. </w:t>
      </w:r>
      <w:r w:rsidRPr="006D797C">
        <w:rPr>
          <w:rFonts w:ascii="Arial" w:hAnsi="Arial" w:cs="Arial"/>
          <w:i/>
          <w:iCs/>
          <w:color w:val="222222"/>
          <w:sz w:val="20"/>
          <w:szCs w:val="20"/>
          <w:shd w:val="clear" w:color="auto" w:fill="FFFFFF"/>
        </w:rPr>
        <w:t>Journal of neurosurgery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57</w:t>
      </w:r>
      <w:r w:rsidRPr="006D797C">
        <w:rPr>
          <w:rFonts w:ascii="Arial" w:hAnsi="Arial" w:cs="Arial"/>
          <w:color w:val="222222"/>
          <w:sz w:val="20"/>
          <w:szCs w:val="20"/>
          <w:shd w:val="clear" w:color="auto" w:fill="FFFFFF"/>
        </w:rPr>
        <w:t>(2), 247-25</w:t>
      </w:r>
      <w:r w:rsidRPr="00256786">
        <w:rPr>
          <w:rFonts w:ascii="Arial" w:hAnsi="Arial" w:cs="Arial"/>
          <w:color w:val="222222"/>
          <w:sz w:val="20"/>
          <w:szCs w:val="20"/>
          <w:shd w:val="clear" w:color="auto" w:fill="FFFFFF"/>
        </w:rPr>
        <w:t xml:space="preserve"> </w:t>
      </w:r>
      <w:hyperlink r:id="rId21" w:tgtFrame="_blank" w:history="1">
        <w:r w:rsidRPr="00256786">
          <w:rPr>
            <w:rStyle w:val="Hyperlink"/>
            <w:rFonts w:ascii="Arial" w:hAnsi="Arial" w:cs="Arial"/>
            <w:sz w:val="20"/>
            <w:szCs w:val="20"/>
            <w:shd w:val="clear" w:color="auto" w:fill="FFFFFF"/>
          </w:rPr>
          <w:t>https://doi.org/10.3171/jns.1982.57.2.0247</w:t>
        </w:r>
      </w:hyperlink>
    </w:p>
    <w:p w14:paraId="529E7FE6" w14:textId="07B0C74C"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lastRenderedPageBreak/>
        <w:t xml:space="preserve">Bracken, M. B., Collins, W. F., Freeman, D. F., Shepard, M. J., Wagner, F. W., </w:t>
      </w:r>
      <w:proofErr w:type="spellStart"/>
      <w:r w:rsidRPr="006D797C">
        <w:rPr>
          <w:rFonts w:ascii="Arial" w:hAnsi="Arial" w:cs="Arial"/>
          <w:color w:val="222222"/>
          <w:sz w:val="20"/>
          <w:szCs w:val="20"/>
          <w:shd w:val="clear" w:color="auto" w:fill="FFFFFF"/>
        </w:rPr>
        <w:t>Silten</w:t>
      </w:r>
      <w:proofErr w:type="spellEnd"/>
      <w:r w:rsidRPr="006D797C">
        <w:rPr>
          <w:rFonts w:ascii="Arial" w:hAnsi="Arial" w:cs="Arial"/>
          <w:color w:val="222222"/>
          <w:sz w:val="20"/>
          <w:szCs w:val="20"/>
          <w:shd w:val="clear" w:color="auto" w:fill="FFFFFF"/>
        </w:rPr>
        <w:t xml:space="preserve">,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(1984). Efficacy of methylprednisolone in acute spinal cord injury. </w:t>
      </w:r>
      <w:r w:rsidRPr="006D797C">
        <w:rPr>
          <w:rFonts w:ascii="Arial" w:hAnsi="Arial" w:cs="Arial"/>
          <w:i/>
          <w:iCs/>
          <w:color w:val="222222"/>
          <w:sz w:val="20"/>
          <w:szCs w:val="20"/>
          <w:shd w:val="clear" w:color="auto" w:fill="FFFFFF"/>
        </w:rPr>
        <w:t>Jama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251</w:t>
      </w:r>
      <w:r w:rsidRPr="006D797C">
        <w:rPr>
          <w:rFonts w:ascii="Arial" w:hAnsi="Arial" w:cs="Arial"/>
          <w:color w:val="222222"/>
          <w:sz w:val="20"/>
          <w:szCs w:val="20"/>
          <w:shd w:val="clear" w:color="auto" w:fill="FFFFFF"/>
        </w:rPr>
        <w:t>(1), 45-52.</w:t>
      </w:r>
      <w:r>
        <w:rPr>
          <w:rFonts w:ascii="Arial" w:hAnsi="Arial" w:cs="Arial"/>
          <w:color w:val="222222"/>
          <w:sz w:val="20"/>
          <w:szCs w:val="20"/>
          <w:shd w:val="clear" w:color="auto" w:fill="FFFFFF"/>
        </w:rPr>
        <w:t xml:space="preserve"> </w:t>
      </w:r>
      <w:hyperlink r:id="rId22"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doi:10.1001/jama.1984.03340250025015</w:t>
        </w:r>
      </w:hyperlink>
      <w:r>
        <w:rPr>
          <w:rFonts w:ascii="Arial" w:hAnsi="Arial" w:cs="Arial"/>
          <w:color w:val="222222"/>
          <w:sz w:val="20"/>
          <w:szCs w:val="20"/>
          <w:shd w:val="clear" w:color="auto" w:fill="FFFFFF"/>
          <w:lang w:val="en-US"/>
        </w:rPr>
        <w:t xml:space="preserve"> </w:t>
      </w:r>
    </w:p>
    <w:p w14:paraId="259D887A" w14:textId="2ADF5F2D"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Bracken, M. B., Shepard, M. J., Collins, W. F., Holford, T. R., Young, W., Baskin, D.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(1990). A randomized, controlled trial of methylprednisolone or naloxone in the treatment of acute spinal-cord injury: results of the Second National Acute Spinal Cord Injury Study. </w:t>
      </w:r>
      <w:r w:rsidRPr="006D797C">
        <w:rPr>
          <w:rFonts w:ascii="Arial" w:hAnsi="Arial" w:cs="Arial"/>
          <w:i/>
          <w:iCs/>
          <w:color w:val="222222"/>
          <w:sz w:val="20"/>
          <w:szCs w:val="20"/>
          <w:shd w:val="clear" w:color="auto" w:fill="FFFFFF"/>
        </w:rPr>
        <w:t>New England Journal of Medicine</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322</w:t>
      </w:r>
      <w:r w:rsidRPr="006D797C">
        <w:rPr>
          <w:rFonts w:ascii="Arial" w:hAnsi="Arial" w:cs="Arial"/>
          <w:color w:val="222222"/>
          <w:sz w:val="20"/>
          <w:szCs w:val="20"/>
          <w:shd w:val="clear" w:color="auto" w:fill="FFFFFF"/>
        </w:rPr>
        <w:t>(20), 1405-1411</w:t>
      </w:r>
      <w:r>
        <w:rPr>
          <w:rFonts w:ascii="Arial" w:hAnsi="Arial" w:cs="Arial"/>
          <w:color w:val="222222"/>
          <w:sz w:val="20"/>
          <w:szCs w:val="20"/>
          <w:shd w:val="clear" w:color="auto" w:fill="FFFFFF"/>
        </w:rPr>
        <w:t xml:space="preserve"> </w:t>
      </w:r>
      <w:hyperlink r:id="rId23"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doi:10.1056/NEJM199005173222001</w:t>
        </w:r>
      </w:hyperlink>
      <w:r>
        <w:rPr>
          <w:rFonts w:ascii="Arial" w:hAnsi="Arial" w:cs="Arial"/>
          <w:color w:val="222222"/>
          <w:sz w:val="20"/>
          <w:szCs w:val="20"/>
          <w:shd w:val="clear" w:color="auto" w:fill="FFFFFF"/>
          <w:lang w:val="en-US"/>
        </w:rPr>
        <w:t xml:space="preserve">  </w:t>
      </w:r>
    </w:p>
    <w:p w14:paraId="278975B5" w14:textId="55F49492"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Nesathurai</w:t>
      </w:r>
      <w:proofErr w:type="spellEnd"/>
      <w:r w:rsidRPr="006D797C">
        <w:rPr>
          <w:rFonts w:ascii="Arial" w:hAnsi="Arial" w:cs="Arial"/>
          <w:color w:val="222222"/>
          <w:sz w:val="20"/>
          <w:szCs w:val="20"/>
          <w:shd w:val="clear" w:color="auto" w:fill="FFFFFF"/>
        </w:rPr>
        <w:t>, S. (1998). Steroids and spinal cord injury: revisiting the NASCIS 2 and NASCIS 3 trials. </w:t>
      </w:r>
      <w:r w:rsidRPr="006D797C">
        <w:rPr>
          <w:rFonts w:ascii="Arial" w:hAnsi="Arial" w:cs="Arial"/>
          <w:i/>
          <w:iCs/>
          <w:color w:val="222222"/>
          <w:sz w:val="20"/>
          <w:szCs w:val="20"/>
          <w:shd w:val="clear" w:color="auto" w:fill="FFFFFF"/>
        </w:rPr>
        <w:t>Journal of Trauma and Acute Care Surgery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45</w:t>
      </w:r>
      <w:r w:rsidRPr="006D797C">
        <w:rPr>
          <w:rFonts w:ascii="Arial" w:hAnsi="Arial" w:cs="Arial"/>
          <w:color w:val="222222"/>
          <w:sz w:val="20"/>
          <w:szCs w:val="20"/>
          <w:shd w:val="clear" w:color="auto" w:fill="FFFFFF"/>
        </w:rPr>
        <w:t>(6), 1088-1093</w:t>
      </w:r>
    </w:p>
    <w:p w14:paraId="5F755BDF" w14:textId="3040A328" w:rsidR="00256786" w:rsidRPr="00D82985" w:rsidRDefault="00256786" w:rsidP="00D82985">
      <w:pPr>
        <w:pStyle w:val="ListParagraph"/>
        <w:numPr>
          <w:ilvl w:val="0"/>
          <w:numId w:val="31"/>
        </w:numPr>
        <w:rPr>
          <w:rFonts w:ascii="Arial" w:hAnsi="Arial" w:cs="Arial"/>
          <w:color w:val="222222"/>
          <w:shd w:val="clear" w:color="auto" w:fill="FFFFFF"/>
        </w:rPr>
      </w:pPr>
      <w:r w:rsidRPr="006D797C">
        <w:rPr>
          <w:rFonts w:ascii="Arial" w:hAnsi="Arial" w:cs="Arial"/>
          <w:color w:val="222222"/>
          <w:sz w:val="20"/>
          <w:szCs w:val="20"/>
          <w:shd w:val="clear" w:color="auto" w:fill="FFFFFF"/>
        </w:rPr>
        <w:t>Zurita, M., Vaquero, J., Oya, S., &amp; Morales, C. (2002). Effects of dexamethasone on apoptosis-related cell death after spinal cord injury. </w:t>
      </w:r>
      <w:r w:rsidRPr="006D797C">
        <w:rPr>
          <w:rFonts w:ascii="Arial" w:hAnsi="Arial" w:cs="Arial"/>
          <w:i/>
          <w:iCs/>
          <w:color w:val="222222"/>
          <w:sz w:val="20"/>
          <w:szCs w:val="20"/>
          <w:shd w:val="clear" w:color="auto" w:fill="FFFFFF"/>
        </w:rPr>
        <w:t>Journal of neurosurgery: Spine</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96</w:t>
      </w:r>
      <w:r w:rsidRPr="006D797C">
        <w:rPr>
          <w:rFonts w:ascii="Arial" w:hAnsi="Arial" w:cs="Arial"/>
          <w:color w:val="222222"/>
          <w:sz w:val="20"/>
          <w:szCs w:val="20"/>
          <w:shd w:val="clear" w:color="auto" w:fill="FFFFFF"/>
        </w:rPr>
        <w:t>(1), 83-89.</w:t>
      </w:r>
      <w:r>
        <w:rPr>
          <w:rFonts w:ascii="Arial" w:hAnsi="Arial" w:cs="Arial"/>
          <w:color w:val="222222"/>
          <w:sz w:val="20"/>
          <w:szCs w:val="20"/>
          <w:shd w:val="clear" w:color="auto" w:fill="FFFFFF"/>
        </w:rPr>
        <w:t xml:space="preserve"> </w:t>
      </w:r>
      <w:hyperlink r:id="rId24" w:tgtFrame="_blank" w:history="1">
        <w:r w:rsidRPr="00256786">
          <w:rPr>
            <w:rStyle w:val="Hyperlink"/>
            <w:rFonts w:ascii="Arial" w:hAnsi="Arial" w:cs="Arial"/>
            <w:sz w:val="21"/>
            <w:szCs w:val="21"/>
            <w:shd w:val="clear" w:color="auto" w:fill="FFFFFF"/>
          </w:rPr>
          <w:t>https://doi.org/10.3171/spi.2002.96.1.0083</w:t>
        </w:r>
      </w:hyperlink>
    </w:p>
    <w:p w14:paraId="34525FEA" w14:textId="05FBB16D"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Wang, Z., Zhou, L., Zheng, X., &amp; Liu, W. (2018). Effects of dexamethasone on autophagy and apoptosis in acute spinal cord injury. </w:t>
      </w:r>
      <w:proofErr w:type="spellStart"/>
      <w:r w:rsidRPr="006D797C">
        <w:rPr>
          <w:rFonts w:ascii="Arial" w:hAnsi="Arial" w:cs="Arial"/>
          <w:i/>
          <w:iCs/>
          <w:color w:val="222222"/>
          <w:sz w:val="20"/>
          <w:szCs w:val="20"/>
          <w:shd w:val="clear" w:color="auto" w:fill="FFFFFF"/>
        </w:rPr>
        <w:t>Neuroreport</w:t>
      </w:r>
      <w:proofErr w:type="spellEnd"/>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29</w:t>
      </w:r>
      <w:r w:rsidRPr="006D797C">
        <w:rPr>
          <w:rFonts w:ascii="Arial" w:hAnsi="Arial" w:cs="Arial"/>
          <w:color w:val="222222"/>
          <w:sz w:val="20"/>
          <w:szCs w:val="20"/>
          <w:shd w:val="clear" w:color="auto" w:fill="FFFFFF"/>
        </w:rPr>
        <w:t>(13), 1084-1091.</w:t>
      </w:r>
      <w:r>
        <w:rPr>
          <w:rFonts w:ascii="Arial" w:hAnsi="Arial" w:cs="Arial"/>
          <w:color w:val="222222"/>
          <w:sz w:val="20"/>
          <w:szCs w:val="20"/>
          <w:shd w:val="clear" w:color="auto" w:fill="FFFFFF"/>
        </w:rPr>
        <w:t xml:space="preserve"> </w:t>
      </w:r>
      <w:hyperlink r:id="rId25"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DOI:10.1097/WNR.0000000000001076</w:t>
        </w:r>
      </w:hyperlink>
      <w:r>
        <w:rPr>
          <w:rFonts w:ascii="Arial" w:hAnsi="Arial" w:cs="Arial"/>
          <w:color w:val="222222"/>
          <w:sz w:val="20"/>
          <w:szCs w:val="20"/>
          <w:shd w:val="clear" w:color="auto" w:fill="FFFFFF"/>
          <w:lang w:val="en-US"/>
        </w:rPr>
        <w:t xml:space="preserve"> </w:t>
      </w:r>
    </w:p>
    <w:p w14:paraId="57366F0B" w14:textId="2A280BD7"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Kiwerski, J. E. (1993). Application of dexamethasone in the treatment of acute spinal cord injury. </w:t>
      </w:r>
      <w:r w:rsidRPr="006D797C">
        <w:rPr>
          <w:rFonts w:ascii="Arial" w:hAnsi="Arial" w:cs="Arial"/>
          <w:i/>
          <w:iCs/>
          <w:color w:val="222222"/>
          <w:sz w:val="20"/>
          <w:szCs w:val="20"/>
          <w:shd w:val="clear" w:color="auto" w:fill="FFFFFF"/>
        </w:rPr>
        <w:t>Injury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24</w:t>
      </w:r>
      <w:r w:rsidRPr="006D797C">
        <w:rPr>
          <w:rFonts w:ascii="Arial" w:hAnsi="Arial" w:cs="Arial"/>
          <w:color w:val="222222"/>
          <w:sz w:val="20"/>
          <w:szCs w:val="20"/>
          <w:shd w:val="clear" w:color="auto" w:fill="FFFFFF"/>
        </w:rPr>
        <w:t>(7), 457-460.</w:t>
      </w:r>
      <w:r w:rsidR="00212EFE">
        <w:rPr>
          <w:rFonts w:ascii="Arial" w:hAnsi="Arial" w:cs="Arial"/>
          <w:color w:val="222222"/>
          <w:sz w:val="20"/>
          <w:szCs w:val="20"/>
          <w:shd w:val="clear" w:color="auto" w:fill="FFFFFF"/>
        </w:rPr>
        <w:t xml:space="preserve"> </w:t>
      </w:r>
      <w:hyperlink r:id="rId26" w:tgtFrame="_blank" w:tooltip="Persistent link using digital object identifier" w:history="1">
        <w:r w:rsidR="00212EFE" w:rsidRPr="00212EFE">
          <w:rPr>
            <w:rStyle w:val="Hyperlink"/>
            <w:rFonts w:ascii="Arial" w:hAnsi="Arial" w:cs="Arial"/>
            <w:sz w:val="20"/>
            <w:szCs w:val="20"/>
            <w:shd w:val="clear" w:color="auto" w:fill="FFFFFF"/>
            <w:lang w:val="en-US"/>
          </w:rPr>
          <w:t>https://doi.org/10.1016/0020-1383(93)90149-Z</w:t>
        </w:r>
      </w:hyperlink>
    </w:p>
    <w:p w14:paraId="5E4EED6F" w14:textId="62C701B1"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Sultan, I., Lamba, N., Liew, A., Doung, P., Tewarie, I., </w:t>
      </w:r>
      <w:proofErr w:type="spellStart"/>
      <w:r w:rsidRPr="006D797C">
        <w:rPr>
          <w:rFonts w:ascii="Arial" w:hAnsi="Arial" w:cs="Arial"/>
          <w:color w:val="222222"/>
          <w:sz w:val="20"/>
          <w:szCs w:val="20"/>
          <w:shd w:val="clear" w:color="auto" w:fill="FFFFFF"/>
        </w:rPr>
        <w:t>Amamoo</w:t>
      </w:r>
      <w:proofErr w:type="spellEnd"/>
      <w:r w:rsidRPr="006D797C">
        <w:rPr>
          <w:rFonts w:ascii="Arial" w:hAnsi="Arial" w:cs="Arial"/>
          <w:color w:val="222222"/>
          <w:sz w:val="20"/>
          <w:szCs w:val="20"/>
          <w:shd w:val="clear" w:color="auto" w:fill="FFFFFF"/>
        </w:rPr>
        <w:t xml:space="preserve">, J.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(2020). The safety and efficacy of steroid treatment for acute spinal cord injury: a systematic review and meta-analysis. </w:t>
      </w:r>
      <w:proofErr w:type="spellStart"/>
      <w:r w:rsidRPr="006D797C">
        <w:rPr>
          <w:rFonts w:ascii="Arial" w:hAnsi="Arial" w:cs="Arial"/>
          <w:i/>
          <w:iCs/>
          <w:color w:val="222222"/>
          <w:sz w:val="20"/>
          <w:szCs w:val="20"/>
          <w:shd w:val="clear" w:color="auto" w:fill="FFFFFF"/>
        </w:rPr>
        <w:t>Heliyon</w:t>
      </w:r>
      <w:proofErr w:type="spellEnd"/>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6</w:t>
      </w:r>
      <w:r w:rsidRPr="006D797C">
        <w:rPr>
          <w:rFonts w:ascii="Arial" w:hAnsi="Arial" w:cs="Arial"/>
          <w:color w:val="222222"/>
          <w:sz w:val="20"/>
          <w:szCs w:val="20"/>
          <w:shd w:val="clear" w:color="auto" w:fill="FFFFFF"/>
        </w:rPr>
        <w:t>(2).</w:t>
      </w:r>
      <w:r w:rsidR="00212EFE">
        <w:rPr>
          <w:rFonts w:ascii="Arial" w:hAnsi="Arial" w:cs="Arial"/>
          <w:color w:val="222222"/>
          <w:sz w:val="20"/>
          <w:szCs w:val="20"/>
          <w:shd w:val="clear" w:color="auto" w:fill="FFFFFF"/>
        </w:rPr>
        <w:t xml:space="preserve"> </w:t>
      </w:r>
      <w:r w:rsidR="00212EFE" w:rsidRPr="00212EFE">
        <w:rPr>
          <w:rFonts w:ascii="Arial" w:hAnsi="Arial" w:cs="Arial"/>
          <w:color w:val="222222"/>
          <w:sz w:val="20"/>
          <w:szCs w:val="20"/>
          <w:shd w:val="clear" w:color="auto" w:fill="FFFFFF"/>
          <w:lang w:val="en-US"/>
        </w:rPr>
        <w:t>DOI: </w:t>
      </w:r>
      <w:hyperlink r:id="rId27" w:tgtFrame="_blank" w:history="1">
        <w:r w:rsidR="00212EFE" w:rsidRPr="00212EFE">
          <w:rPr>
            <w:rStyle w:val="Hyperlink"/>
            <w:rFonts w:ascii="Arial" w:hAnsi="Arial" w:cs="Arial"/>
            <w:sz w:val="20"/>
            <w:szCs w:val="20"/>
            <w:shd w:val="clear" w:color="auto" w:fill="FFFFFF"/>
            <w:lang w:val="en-US"/>
          </w:rPr>
          <w:t>10.1016/j.heliyon.2020.e03414</w:t>
        </w:r>
      </w:hyperlink>
    </w:p>
    <w:p w14:paraId="14F79F82" w14:textId="007AF477"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Hurlbert, R. J., &amp; Moulton, R. (2002). Why do you prescribe methylprednisolone for acute spinal cord injury? A Canadian perspective and a position</w:t>
      </w:r>
      <w:r w:rsidR="00212EFE">
        <w:rPr>
          <w:rFonts w:ascii="Arial" w:hAnsi="Arial" w:cs="Arial"/>
          <w:color w:val="222222"/>
          <w:sz w:val="20"/>
          <w:szCs w:val="20"/>
          <w:shd w:val="clear" w:color="auto" w:fill="FFFFFF"/>
        </w:rPr>
        <w:t xml:space="preserve"> </w:t>
      </w:r>
      <w:r w:rsidRPr="006D797C">
        <w:rPr>
          <w:rFonts w:ascii="Arial" w:hAnsi="Arial" w:cs="Arial"/>
          <w:color w:val="222222"/>
          <w:sz w:val="20"/>
          <w:szCs w:val="20"/>
          <w:shd w:val="clear" w:color="auto" w:fill="FFFFFF"/>
        </w:rPr>
        <w:t>statement. </w:t>
      </w:r>
      <w:r w:rsidR="00212EFE">
        <w:rPr>
          <w:rFonts w:ascii="Arial" w:hAnsi="Arial" w:cs="Arial"/>
          <w:color w:val="222222"/>
          <w:sz w:val="20"/>
          <w:szCs w:val="20"/>
          <w:shd w:val="clear" w:color="auto" w:fill="FFFFFF"/>
        </w:rPr>
        <w:t xml:space="preserve"> </w:t>
      </w:r>
      <w:r w:rsidRPr="006D797C">
        <w:rPr>
          <w:rFonts w:ascii="Arial" w:hAnsi="Arial" w:cs="Arial"/>
          <w:i/>
          <w:iCs/>
          <w:color w:val="222222"/>
          <w:sz w:val="20"/>
          <w:szCs w:val="20"/>
          <w:shd w:val="clear" w:color="auto" w:fill="FFFFFF"/>
        </w:rPr>
        <w:t>Canadian journal of neurological sciences</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29</w:t>
      </w:r>
      <w:r w:rsidRPr="006D797C">
        <w:rPr>
          <w:rFonts w:ascii="Arial" w:hAnsi="Arial" w:cs="Arial"/>
          <w:color w:val="222222"/>
          <w:sz w:val="20"/>
          <w:szCs w:val="20"/>
          <w:shd w:val="clear" w:color="auto" w:fill="FFFFFF"/>
        </w:rPr>
        <w:t>(3), 236-239.</w:t>
      </w:r>
      <w:r w:rsidR="00212EFE">
        <w:rPr>
          <w:rFonts w:ascii="Arial" w:hAnsi="Arial" w:cs="Arial"/>
          <w:color w:val="222222"/>
          <w:sz w:val="20"/>
          <w:szCs w:val="20"/>
          <w:shd w:val="clear" w:color="auto" w:fill="FFFFFF"/>
        </w:rPr>
        <w:t xml:space="preserve"> </w:t>
      </w:r>
      <w:hyperlink r:id="rId28" w:tgtFrame="_blank" w:history="1">
        <w:r w:rsidR="00212EFE" w:rsidRPr="00212EFE">
          <w:rPr>
            <w:rStyle w:val="Hyperlink"/>
            <w:rFonts w:ascii="Arial" w:hAnsi="Arial" w:cs="Arial"/>
            <w:sz w:val="20"/>
            <w:szCs w:val="20"/>
            <w:shd w:val="clear" w:color="auto" w:fill="FFFFFF"/>
            <w:lang w:val="en-US"/>
          </w:rPr>
          <w:t>https://doi.org/10.1017/S0317167100002006</w:t>
        </w:r>
      </w:hyperlink>
    </w:p>
    <w:p w14:paraId="7AAEEC14" w14:textId="63BA5B47"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Hejrati</w:t>
      </w:r>
      <w:proofErr w:type="spellEnd"/>
      <w:r w:rsidRPr="006D797C">
        <w:rPr>
          <w:rFonts w:ascii="Arial" w:hAnsi="Arial" w:cs="Arial"/>
          <w:color w:val="222222"/>
          <w:sz w:val="20"/>
          <w:szCs w:val="20"/>
          <w:shd w:val="clear" w:color="auto" w:fill="FFFFFF"/>
        </w:rPr>
        <w:t xml:space="preserve">, N., Aarabi, B., Neal, C. J., </w:t>
      </w:r>
      <w:proofErr w:type="spellStart"/>
      <w:r w:rsidRPr="006D797C">
        <w:rPr>
          <w:rFonts w:ascii="Arial" w:hAnsi="Arial" w:cs="Arial"/>
          <w:color w:val="222222"/>
          <w:sz w:val="20"/>
          <w:szCs w:val="20"/>
          <w:shd w:val="clear" w:color="auto" w:fill="FFFFFF"/>
        </w:rPr>
        <w:t>Ugiliweneza</w:t>
      </w:r>
      <w:proofErr w:type="spellEnd"/>
      <w:r w:rsidRPr="006D797C">
        <w:rPr>
          <w:rFonts w:ascii="Arial" w:hAnsi="Arial" w:cs="Arial"/>
          <w:color w:val="222222"/>
          <w:sz w:val="20"/>
          <w:szCs w:val="20"/>
          <w:shd w:val="clear" w:color="auto" w:fill="FFFFFF"/>
        </w:rPr>
        <w:t xml:space="preserve">, B., </w:t>
      </w:r>
      <w:proofErr w:type="spellStart"/>
      <w:r w:rsidRPr="006D797C">
        <w:rPr>
          <w:rFonts w:ascii="Arial" w:hAnsi="Arial" w:cs="Arial"/>
          <w:color w:val="222222"/>
          <w:sz w:val="20"/>
          <w:szCs w:val="20"/>
          <w:shd w:val="clear" w:color="auto" w:fill="FFFFFF"/>
        </w:rPr>
        <w:t>Kurpad</w:t>
      </w:r>
      <w:proofErr w:type="spellEnd"/>
      <w:r w:rsidRPr="006D797C">
        <w:rPr>
          <w:rFonts w:ascii="Arial" w:hAnsi="Arial" w:cs="Arial"/>
          <w:color w:val="222222"/>
          <w:sz w:val="20"/>
          <w:szCs w:val="20"/>
          <w:shd w:val="clear" w:color="auto" w:fill="FFFFFF"/>
        </w:rPr>
        <w:t xml:space="preserve">, S. N., </w:t>
      </w:r>
      <w:proofErr w:type="spellStart"/>
      <w:r w:rsidRPr="006D797C">
        <w:rPr>
          <w:rFonts w:ascii="Arial" w:hAnsi="Arial" w:cs="Arial"/>
          <w:color w:val="222222"/>
          <w:sz w:val="20"/>
          <w:szCs w:val="20"/>
          <w:shd w:val="clear" w:color="auto" w:fill="FFFFFF"/>
        </w:rPr>
        <w:t>Shaffrey</w:t>
      </w:r>
      <w:proofErr w:type="spellEnd"/>
      <w:r w:rsidRPr="006D797C">
        <w:rPr>
          <w:rFonts w:ascii="Arial" w:hAnsi="Arial" w:cs="Arial"/>
          <w:color w:val="222222"/>
          <w:sz w:val="20"/>
          <w:szCs w:val="20"/>
          <w:shd w:val="clear" w:color="auto" w:fill="FFFFFF"/>
        </w:rPr>
        <w:t xml:space="preserve">, C. I.,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(2023). Trends in the use of corticosteroids in the management of acute spinal cord injury in north American clinical trials network sites. </w:t>
      </w:r>
      <w:r w:rsidRPr="006D797C">
        <w:rPr>
          <w:rFonts w:ascii="Arial" w:hAnsi="Arial" w:cs="Arial"/>
          <w:i/>
          <w:iCs/>
          <w:color w:val="222222"/>
          <w:sz w:val="20"/>
          <w:szCs w:val="20"/>
          <w:shd w:val="clear" w:color="auto" w:fill="FFFFFF"/>
        </w:rPr>
        <w:t>Journal of neurotrauma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40</w:t>
      </w:r>
      <w:r w:rsidRPr="006D797C">
        <w:rPr>
          <w:rFonts w:ascii="Arial" w:hAnsi="Arial" w:cs="Arial"/>
          <w:color w:val="222222"/>
          <w:sz w:val="20"/>
          <w:szCs w:val="20"/>
          <w:shd w:val="clear" w:color="auto" w:fill="FFFFFF"/>
        </w:rPr>
        <w:t>(17-18), 1938-1947.</w:t>
      </w:r>
      <w:r w:rsidR="00212EFE">
        <w:rPr>
          <w:rFonts w:ascii="Arial" w:hAnsi="Arial" w:cs="Arial"/>
          <w:color w:val="222222"/>
          <w:sz w:val="20"/>
          <w:szCs w:val="20"/>
          <w:shd w:val="clear" w:color="auto" w:fill="FFFFFF"/>
        </w:rPr>
        <w:t xml:space="preserve"> </w:t>
      </w:r>
      <w:hyperlink r:id="rId29" w:history="1">
        <w:r w:rsidR="00212EFE" w:rsidRPr="00212EFE">
          <w:rPr>
            <w:rStyle w:val="Hyperlink"/>
            <w:rFonts w:ascii="Arial" w:hAnsi="Arial" w:cs="Arial"/>
            <w:sz w:val="20"/>
            <w:szCs w:val="20"/>
            <w:shd w:val="clear" w:color="auto" w:fill="FFFFFF"/>
            <w:lang w:val="en-US"/>
          </w:rPr>
          <w:t>https://doi.org/10.1089/neu.2022.0409</w:t>
        </w:r>
      </w:hyperlink>
    </w:p>
    <w:p w14:paraId="23A3C1C4" w14:textId="1A161515"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Hejrati</w:t>
      </w:r>
      <w:proofErr w:type="spellEnd"/>
      <w:r w:rsidRPr="006D797C">
        <w:rPr>
          <w:rFonts w:ascii="Arial" w:hAnsi="Arial" w:cs="Arial"/>
          <w:color w:val="222222"/>
          <w:sz w:val="20"/>
          <w:szCs w:val="20"/>
          <w:shd w:val="clear" w:color="auto" w:fill="FFFFFF"/>
        </w:rPr>
        <w:t xml:space="preserve">, N., </w:t>
      </w:r>
      <w:proofErr w:type="spellStart"/>
      <w:r w:rsidRPr="006D797C">
        <w:rPr>
          <w:rFonts w:ascii="Arial" w:hAnsi="Arial" w:cs="Arial"/>
          <w:color w:val="222222"/>
          <w:sz w:val="20"/>
          <w:szCs w:val="20"/>
          <w:shd w:val="clear" w:color="auto" w:fill="FFFFFF"/>
        </w:rPr>
        <w:t>Moghaddamjou</w:t>
      </w:r>
      <w:proofErr w:type="spellEnd"/>
      <w:r w:rsidRPr="006D797C">
        <w:rPr>
          <w:rFonts w:ascii="Arial" w:hAnsi="Arial" w:cs="Arial"/>
          <w:color w:val="222222"/>
          <w:sz w:val="20"/>
          <w:szCs w:val="20"/>
          <w:shd w:val="clear" w:color="auto" w:fill="FFFFFF"/>
        </w:rPr>
        <w:t xml:space="preserve">, A., Pedro, K., Alvi, M. A., Harrop, J.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(2024). Current practice of acute spinal cord injury management: a global survey of members from the AO spine.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14</w:t>
      </w:r>
      <w:r w:rsidRPr="006D797C">
        <w:rPr>
          <w:rFonts w:ascii="Arial" w:hAnsi="Arial" w:cs="Arial"/>
          <w:color w:val="222222"/>
          <w:sz w:val="20"/>
          <w:szCs w:val="20"/>
          <w:shd w:val="clear" w:color="auto" w:fill="FFFFFF"/>
        </w:rPr>
        <w:t>(2), 546-560.</w:t>
      </w:r>
      <w:r w:rsidR="00212EFE">
        <w:rPr>
          <w:rFonts w:ascii="Arial" w:hAnsi="Arial" w:cs="Arial"/>
          <w:color w:val="222222"/>
          <w:sz w:val="20"/>
          <w:szCs w:val="20"/>
          <w:shd w:val="clear" w:color="auto" w:fill="FFFFFF"/>
        </w:rPr>
        <w:t xml:space="preserve"> </w:t>
      </w:r>
      <w:hyperlink r:id="rId30" w:history="1">
        <w:r w:rsidR="00212EFE" w:rsidRPr="00212EFE">
          <w:rPr>
            <w:rStyle w:val="Hyperlink"/>
            <w:rFonts w:ascii="Arial" w:hAnsi="Arial" w:cs="Arial"/>
            <w:sz w:val="20"/>
            <w:szCs w:val="20"/>
            <w:shd w:val="clear" w:color="auto" w:fill="FFFFFF"/>
            <w:lang w:val="en-US"/>
          </w:rPr>
          <w:t>https://doi.org/10.1177/21925682221116888</w:t>
        </w:r>
      </w:hyperlink>
    </w:p>
    <w:p w14:paraId="5C4D317A" w14:textId="1D5F8599"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Roberts, I., Yates, D., Sandercock, P., Farrell, B., Wasserberg, J., Lomas, G.,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(2004). CRASH trial collaborators. Effect of intravenous corticosteroids on death within 14 days in 10008 adults with clinically significant head injury (MRC CRASH trial): randomised placebo-controlled trial. </w:t>
      </w:r>
      <w:r w:rsidRPr="006D797C">
        <w:rPr>
          <w:rFonts w:ascii="Arial" w:hAnsi="Arial" w:cs="Arial"/>
          <w:i/>
          <w:iCs/>
          <w:color w:val="222222"/>
          <w:sz w:val="20"/>
          <w:szCs w:val="20"/>
          <w:shd w:val="clear" w:color="auto" w:fill="FFFFFF"/>
        </w:rPr>
        <w:t>Lancet</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364</w:t>
      </w:r>
      <w:r w:rsidRPr="006D797C">
        <w:rPr>
          <w:rFonts w:ascii="Arial" w:hAnsi="Arial" w:cs="Arial"/>
          <w:color w:val="222222"/>
          <w:sz w:val="20"/>
          <w:szCs w:val="20"/>
          <w:shd w:val="clear" w:color="auto" w:fill="FFFFFF"/>
        </w:rPr>
        <w:t>(9442), 1321-1328</w:t>
      </w:r>
      <w:r w:rsidR="00212EFE">
        <w:rPr>
          <w:rFonts w:ascii="Arial" w:hAnsi="Arial" w:cs="Arial"/>
          <w:color w:val="222222"/>
          <w:sz w:val="20"/>
          <w:szCs w:val="20"/>
          <w:shd w:val="clear" w:color="auto" w:fill="FFFFFF"/>
        </w:rPr>
        <w:t xml:space="preserve"> </w:t>
      </w:r>
      <w:hyperlink r:id="rId31" w:tgtFrame="_blank" w:tooltip="Persistent link using digital object identifier" w:history="1">
        <w:r w:rsidR="00212EFE" w:rsidRPr="00212EFE">
          <w:rPr>
            <w:rStyle w:val="Hyperlink"/>
            <w:rFonts w:ascii="Arial" w:hAnsi="Arial" w:cs="Arial"/>
            <w:sz w:val="20"/>
            <w:szCs w:val="20"/>
            <w:shd w:val="clear" w:color="auto" w:fill="FFFFFF"/>
            <w:lang w:val="en-US"/>
          </w:rPr>
          <w:t>https://doi.org/10.1016/S0140-6736(04)17188-2</w:t>
        </w:r>
      </w:hyperlink>
    </w:p>
    <w:p w14:paraId="186FF4C8" w14:textId="29413457"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Fehlings</w:t>
      </w:r>
      <w:proofErr w:type="spellEnd"/>
      <w:r w:rsidRPr="006D797C">
        <w:rPr>
          <w:rFonts w:ascii="Arial" w:hAnsi="Arial" w:cs="Arial"/>
          <w:color w:val="222222"/>
          <w:sz w:val="20"/>
          <w:szCs w:val="20"/>
          <w:shd w:val="clear" w:color="auto" w:fill="FFFFFF"/>
        </w:rPr>
        <w:t xml:space="preserve">, M. G., Wilson, J. R., Tetreault, L. A., Aarabi, B., Anderson, P., Arnold, P. M.,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(2017). A clinical practice guideline for the management of patients with acute spinal cord injury: recommendations on the use of methylprednisolone sodium succinate.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7</w:t>
      </w:r>
      <w:r w:rsidRPr="006D797C">
        <w:rPr>
          <w:rFonts w:ascii="Arial" w:hAnsi="Arial" w:cs="Arial"/>
          <w:color w:val="222222"/>
          <w:sz w:val="20"/>
          <w:szCs w:val="20"/>
          <w:shd w:val="clear" w:color="auto" w:fill="FFFFFF"/>
        </w:rPr>
        <w:t>(3_suppl), 203S-211S.</w:t>
      </w:r>
      <w:r w:rsidR="00212EFE">
        <w:rPr>
          <w:rFonts w:ascii="Arial" w:hAnsi="Arial" w:cs="Arial"/>
          <w:color w:val="222222"/>
          <w:sz w:val="20"/>
          <w:szCs w:val="20"/>
          <w:shd w:val="clear" w:color="auto" w:fill="FFFFFF"/>
        </w:rPr>
        <w:t xml:space="preserve"> </w:t>
      </w:r>
      <w:hyperlink r:id="rId32" w:history="1">
        <w:r w:rsidR="00212EFE" w:rsidRPr="00212EFE">
          <w:rPr>
            <w:rStyle w:val="Hyperlink"/>
            <w:rFonts w:ascii="Arial" w:hAnsi="Arial" w:cs="Arial"/>
            <w:sz w:val="20"/>
            <w:szCs w:val="20"/>
            <w:shd w:val="clear" w:color="auto" w:fill="FFFFFF"/>
            <w:lang w:val="en-US"/>
          </w:rPr>
          <w:t>https://doi.org/10.1177/2192568217703085</w:t>
        </w:r>
      </w:hyperlink>
    </w:p>
    <w:p w14:paraId="1A0E5FDF" w14:textId="379F2C2B" w:rsidR="00256786" w:rsidRPr="00D76D97"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Fehlings</w:t>
      </w:r>
      <w:proofErr w:type="spellEnd"/>
      <w:r w:rsidRPr="006D797C">
        <w:rPr>
          <w:rFonts w:ascii="Arial" w:hAnsi="Arial" w:cs="Arial"/>
          <w:color w:val="222222"/>
          <w:sz w:val="20"/>
          <w:szCs w:val="20"/>
          <w:shd w:val="clear" w:color="auto" w:fill="FFFFFF"/>
        </w:rPr>
        <w:t xml:space="preserve">, M. G., Wilson, J. R., Harrop, J. S., Kwon, B. K., Tetreault, L. A., Arnold, P.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(2017). Efficacy and safety of methylprednisolone sodium succinate in acute spinal cord injury: a systematic review.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7</w:t>
      </w:r>
      <w:r w:rsidRPr="006D797C">
        <w:rPr>
          <w:rFonts w:ascii="Arial" w:hAnsi="Arial" w:cs="Arial"/>
          <w:color w:val="222222"/>
          <w:sz w:val="20"/>
          <w:szCs w:val="20"/>
          <w:shd w:val="clear" w:color="auto" w:fill="FFFFFF"/>
        </w:rPr>
        <w:t>(3_suppl), 116S-137S.</w:t>
      </w:r>
      <w:r w:rsidR="00212EFE">
        <w:rPr>
          <w:rFonts w:ascii="Arial" w:hAnsi="Arial" w:cs="Arial"/>
          <w:color w:val="222222"/>
          <w:sz w:val="20"/>
          <w:szCs w:val="20"/>
          <w:shd w:val="clear" w:color="auto" w:fill="FFFFFF"/>
        </w:rPr>
        <w:t xml:space="preserve"> </w:t>
      </w:r>
      <w:hyperlink r:id="rId33" w:history="1">
        <w:r w:rsidR="00212EFE" w:rsidRPr="00D76D97">
          <w:rPr>
            <w:rStyle w:val="Hyperlink"/>
            <w:rFonts w:ascii="Arial" w:hAnsi="Arial" w:cs="Arial"/>
            <w:sz w:val="20"/>
            <w:szCs w:val="20"/>
            <w:shd w:val="clear" w:color="auto" w:fill="FFFFFF"/>
            <w:lang w:val="en-US"/>
          </w:rPr>
          <w:t>https://doi.org/10.1177/2192568217706366</w:t>
        </w:r>
      </w:hyperlink>
    </w:p>
    <w:p w14:paraId="25F588EE" w14:textId="640319A1" w:rsidR="00441B6F" w:rsidRPr="00D76D97" w:rsidRDefault="00256786" w:rsidP="002853D4">
      <w:pPr>
        <w:pStyle w:val="ListParagraph"/>
        <w:numPr>
          <w:ilvl w:val="0"/>
          <w:numId w:val="31"/>
        </w:numPr>
        <w:rPr>
          <w:rFonts w:ascii="Arial" w:hAnsi="Arial" w:cs="Arial"/>
          <w:color w:val="222222"/>
          <w:sz w:val="20"/>
          <w:szCs w:val="20"/>
          <w:shd w:val="clear" w:color="auto" w:fill="FFFFFF"/>
        </w:rPr>
      </w:pPr>
      <w:r w:rsidRPr="00D76D97">
        <w:rPr>
          <w:rFonts w:ascii="Arial" w:hAnsi="Arial" w:cs="Arial"/>
          <w:color w:val="222222"/>
          <w:sz w:val="20"/>
          <w:szCs w:val="20"/>
          <w:shd w:val="clear" w:color="auto" w:fill="FFFFFF"/>
        </w:rPr>
        <w:t xml:space="preserve">Bowers, C. A., Kundu, B., Rosenbluth, J., &amp; Hawryluk, G. W. (2016). Patients with spinal cord injuries </w:t>
      </w:r>
      <w:r w:rsidR="005173E9" w:rsidRPr="00D76D97">
        <w:rPr>
          <w:rFonts w:ascii="Arial" w:hAnsi="Arial" w:cs="Arial"/>
          <w:color w:val="222222"/>
          <w:sz w:val="20"/>
          <w:szCs w:val="20"/>
          <w:shd w:val="clear" w:color="auto" w:fill="FFFFFF"/>
        </w:rPr>
        <w:t>favour</w:t>
      </w:r>
      <w:r w:rsidRPr="00D76D97">
        <w:rPr>
          <w:rFonts w:ascii="Arial" w:hAnsi="Arial" w:cs="Arial"/>
          <w:color w:val="222222"/>
          <w:sz w:val="20"/>
          <w:szCs w:val="20"/>
          <w:shd w:val="clear" w:color="auto" w:fill="FFFFFF"/>
        </w:rPr>
        <w:t xml:space="preserve"> administration of methylpred</w:t>
      </w:r>
      <w:r w:rsidR="00212EFE" w:rsidRPr="00D76D97">
        <w:rPr>
          <w:rFonts w:ascii="Arial" w:hAnsi="Arial" w:cs="Arial"/>
          <w:color w:val="222222"/>
          <w:sz w:val="20"/>
          <w:szCs w:val="20"/>
          <w:shd w:val="clear" w:color="auto" w:fill="FFFFFF"/>
        </w:rPr>
        <w:t xml:space="preserve">nisolone. </w:t>
      </w:r>
      <w:hyperlink r:id="rId34" w:history="1">
        <w:r w:rsidR="00212EFE" w:rsidRPr="00D76D97">
          <w:rPr>
            <w:rStyle w:val="Hyperlink"/>
            <w:rFonts w:ascii="Arial" w:hAnsi="Arial" w:cs="Arial"/>
            <w:sz w:val="20"/>
            <w:szCs w:val="20"/>
            <w:shd w:val="clear" w:color="auto" w:fill="FFFFFF"/>
          </w:rPr>
          <w:t>https://doi.org/10.1371/journal.pone.0145991</w:t>
        </w:r>
      </w:hyperlink>
    </w:p>
    <w:p w14:paraId="156512AB" w14:textId="68C05956" w:rsidR="002853D4" w:rsidRPr="00D76D97" w:rsidRDefault="002853D4" w:rsidP="002853D4">
      <w:pPr>
        <w:pStyle w:val="ListParagraph"/>
        <w:numPr>
          <w:ilvl w:val="0"/>
          <w:numId w:val="31"/>
        </w:numPr>
        <w:rPr>
          <w:rFonts w:ascii="Arial" w:hAnsi="Arial" w:cs="Arial"/>
          <w:color w:val="222222"/>
          <w:sz w:val="20"/>
          <w:szCs w:val="20"/>
          <w:shd w:val="clear" w:color="auto" w:fill="FFFFFF"/>
        </w:rPr>
      </w:pPr>
      <w:proofErr w:type="spellStart"/>
      <w:r w:rsidRPr="00D76D97">
        <w:rPr>
          <w:rFonts w:ascii="Arial" w:hAnsi="Arial" w:cs="Arial"/>
          <w:color w:val="222222"/>
          <w:sz w:val="20"/>
          <w:szCs w:val="20"/>
          <w:shd w:val="clear" w:color="auto" w:fill="FFFFFF"/>
          <w:lang w:val="en-US"/>
        </w:rPr>
        <w:t>Zarmer</w:t>
      </w:r>
      <w:proofErr w:type="spellEnd"/>
      <w:r w:rsidRPr="00D76D97">
        <w:rPr>
          <w:rFonts w:ascii="Arial" w:hAnsi="Arial" w:cs="Arial"/>
          <w:color w:val="222222"/>
          <w:sz w:val="20"/>
          <w:szCs w:val="20"/>
          <w:shd w:val="clear" w:color="auto" w:fill="FFFFFF"/>
          <w:lang w:val="en-US"/>
        </w:rPr>
        <w:t xml:space="preserve">, L., Khan, M., </w:t>
      </w:r>
      <w:proofErr w:type="spellStart"/>
      <w:r w:rsidRPr="00D76D97">
        <w:rPr>
          <w:rFonts w:ascii="Arial" w:hAnsi="Arial" w:cs="Arial"/>
          <w:color w:val="222222"/>
          <w:sz w:val="20"/>
          <w:szCs w:val="20"/>
          <w:shd w:val="clear" w:color="auto" w:fill="FFFFFF"/>
          <w:lang w:val="en-US"/>
        </w:rPr>
        <w:t>Islat</w:t>
      </w:r>
      <w:proofErr w:type="spellEnd"/>
      <w:r w:rsidRPr="00D76D97">
        <w:rPr>
          <w:rFonts w:ascii="Arial" w:hAnsi="Arial" w:cs="Arial"/>
          <w:color w:val="222222"/>
          <w:sz w:val="20"/>
          <w:szCs w:val="20"/>
          <w:shd w:val="clear" w:color="auto" w:fill="FFFFFF"/>
          <w:lang w:val="en-US"/>
        </w:rPr>
        <w:t xml:space="preserve">, G., </w:t>
      </w:r>
      <w:proofErr w:type="spellStart"/>
      <w:r w:rsidRPr="00D76D97">
        <w:rPr>
          <w:rFonts w:ascii="Arial" w:hAnsi="Arial" w:cs="Arial"/>
          <w:color w:val="222222"/>
          <w:sz w:val="20"/>
          <w:szCs w:val="20"/>
          <w:shd w:val="clear" w:color="auto" w:fill="FFFFFF"/>
          <w:lang w:val="en-US"/>
        </w:rPr>
        <w:t>Alameddin</w:t>
      </w:r>
      <w:proofErr w:type="spellEnd"/>
      <w:r w:rsidRPr="00D76D97">
        <w:rPr>
          <w:rFonts w:ascii="Arial" w:hAnsi="Arial" w:cs="Arial"/>
          <w:color w:val="222222"/>
          <w:sz w:val="20"/>
          <w:szCs w:val="20"/>
          <w:shd w:val="clear" w:color="auto" w:fill="FFFFFF"/>
          <w:lang w:val="en-US"/>
        </w:rPr>
        <w:t xml:space="preserve">, H., Massey, M., &amp; Chaudhry, R. (2025). Traumatic spinal cord injury: review of the literature. Journal of Clinical Medicine, 14(11), 3649. </w:t>
      </w:r>
      <w:hyperlink r:id="rId35" w:history="1">
        <w:r w:rsidR="00D82985" w:rsidRPr="00D76D97">
          <w:rPr>
            <w:rStyle w:val="Hyperlink"/>
            <w:rFonts w:ascii="Arial" w:hAnsi="Arial" w:cs="Arial"/>
            <w:sz w:val="20"/>
            <w:szCs w:val="20"/>
            <w:shd w:val="clear" w:color="auto" w:fill="FFFFFF"/>
            <w:lang w:val="en-US"/>
          </w:rPr>
          <w:t>https://doi.org/10.3390/jcm14113649</w:t>
        </w:r>
      </w:hyperlink>
    </w:p>
    <w:p w14:paraId="5D8E8E08" w14:textId="4621F832" w:rsidR="00D82985" w:rsidRPr="00D76D97" w:rsidRDefault="00FB4CA7" w:rsidP="002853D4">
      <w:pPr>
        <w:pStyle w:val="ListParagraph"/>
        <w:numPr>
          <w:ilvl w:val="0"/>
          <w:numId w:val="31"/>
        </w:num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Bydon</w:t>
      </w:r>
      <w:proofErr w:type="spellEnd"/>
      <w:r>
        <w:rPr>
          <w:rFonts w:ascii="Arial" w:hAnsi="Arial" w:cs="Arial"/>
          <w:color w:val="222222"/>
          <w:sz w:val="20"/>
          <w:szCs w:val="20"/>
          <w:shd w:val="clear" w:color="auto" w:fill="FFFFFF"/>
        </w:rPr>
        <w:t xml:space="preserve">, M., Lin, J., Macki, M., </w:t>
      </w:r>
      <w:proofErr w:type="spellStart"/>
      <w:r>
        <w:rPr>
          <w:rFonts w:ascii="Arial" w:hAnsi="Arial" w:cs="Arial"/>
          <w:color w:val="222222"/>
          <w:sz w:val="20"/>
          <w:szCs w:val="20"/>
          <w:shd w:val="clear" w:color="auto" w:fill="FFFFFF"/>
        </w:rPr>
        <w:t>Gokaslan</w:t>
      </w:r>
      <w:proofErr w:type="spellEnd"/>
      <w:r>
        <w:rPr>
          <w:rFonts w:ascii="Arial" w:hAnsi="Arial" w:cs="Arial"/>
          <w:color w:val="222222"/>
          <w:sz w:val="20"/>
          <w:szCs w:val="20"/>
          <w:shd w:val="clear" w:color="auto" w:fill="FFFFFF"/>
        </w:rPr>
        <w:t xml:space="preserve">, Z. L., &amp; </w:t>
      </w:r>
      <w:proofErr w:type="spellStart"/>
      <w:r>
        <w:rPr>
          <w:rFonts w:ascii="Arial" w:hAnsi="Arial" w:cs="Arial"/>
          <w:color w:val="222222"/>
          <w:sz w:val="20"/>
          <w:szCs w:val="20"/>
          <w:shd w:val="clear" w:color="auto" w:fill="FFFFFF"/>
        </w:rPr>
        <w:t>Bydon</w:t>
      </w:r>
      <w:proofErr w:type="spellEnd"/>
      <w:r>
        <w:rPr>
          <w:rFonts w:ascii="Arial" w:hAnsi="Arial" w:cs="Arial"/>
          <w:color w:val="222222"/>
          <w:sz w:val="20"/>
          <w:szCs w:val="20"/>
          <w:shd w:val="clear" w:color="auto" w:fill="FFFFFF"/>
        </w:rPr>
        <w:t>, A. (2014). The current role of steroids in acute spinal cord injury.</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World neurosurgery</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82</w:t>
      </w:r>
      <w:r>
        <w:rPr>
          <w:rFonts w:ascii="Arial" w:hAnsi="Arial" w:cs="Arial"/>
          <w:color w:val="222222"/>
          <w:sz w:val="20"/>
          <w:szCs w:val="20"/>
          <w:shd w:val="clear" w:color="auto" w:fill="FFFFFF"/>
        </w:rPr>
        <w:t>(5), 848-854.</w:t>
      </w:r>
      <w:r w:rsidRPr="00D76D97">
        <w:rPr>
          <w:rFonts w:ascii="Arial" w:hAnsi="Arial" w:cs="Arial"/>
          <w:color w:val="222222"/>
          <w:sz w:val="20"/>
          <w:szCs w:val="20"/>
          <w:shd w:val="clear" w:color="auto" w:fill="FFFFFF"/>
          <w:lang w:val="en-US"/>
        </w:rPr>
        <w:t xml:space="preserve"> </w:t>
      </w:r>
      <w:hyperlink r:id="rId36" w:tgtFrame="_blank" w:tooltip="Persistent link using digital object identifier" w:history="1">
        <w:r w:rsidR="00D82985" w:rsidRPr="00D76D97">
          <w:rPr>
            <w:rStyle w:val="Hyperlink"/>
            <w:rFonts w:ascii="Arial" w:hAnsi="Arial" w:cs="Arial"/>
            <w:sz w:val="20"/>
            <w:szCs w:val="20"/>
            <w:shd w:val="clear" w:color="auto" w:fill="FFFFFF"/>
            <w:lang w:val="en-US"/>
          </w:rPr>
          <w:t>https://doi.org/10.1016/j.wneu.2013.02.062</w:t>
        </w:r>
      </w:hyperlink>
    </w:p>
    <w:p w14:paraId="42DBE1E7" w14:textId="0968DAF8" w:rsidR="00D82985" w:rsidRPr="009B6E29" w:rsidRDefault="00D82985" w:rsidP="002853D4">
      <w:pPr>
        <w:pStyle w:val="ListParagraph"/>
        <w:numPr>
          <w:ilvl w:val="0"/>
          <w:numId w:val="31"/>
        </w:numPr>
        <w:rPr>
          <w:rFonts w:ascii="Arial" w:hAnsi="Arial" w:cs="Arial"/>
          <w:color w:val="222222"/>
          <w:sz w:val="20"/>
          <w:szCs w:val="20"/>
          <w:shd w:val="clear" w:color="auto" w:fill="FFFFFF"/>
        </w:rPr>
      </w:pPr>
      <w:r w:rsidRPr="009B6E29">
        <w:rPr>
          <w:rFonts w:ascii="Arial" w:hAnsi="Arial" w:cs="Arial"/>
          <w:sz w:val="20"/>
          <w:szCs w:val="20"/>
          <w:lang w:val="en-US"/>
        </w:rPr>
        <w:t xml:space="preserve">Izzy, S. (2024). Traumatic spinal cord injury. CONTINUUM: Lifelong Learning in Neurology, 30(1), 53-72. </w:t>
      </w:r>
      <w:hyperlink r:id="rId37" w:history="1">
        <w:r w:rsidRPr="009B6E29">
          <w:rPr>
            <w:rStyle w:val="Hyperlink"/>
            <w:rFonts w:ascii="Arial" w:hAnsi="Arial" w:cs="Arial"/>
            <w:sz w:val="20"/>
            <w:szCs w:val="20"/>
          </w:rPr>
          <w:t>https://doi.org/10.1212/CON.000000000000139</w:t>
        </w:r>
      </w:hyperlink>
    </w:p>
    <w:p w14:paraId="4F5ADD9C" w14:textId="77777777" w:rsidR="00D76D97" w:rsidRPr="00D76D97" w:rsidRDefault="00D82985" w:rsidP="00D76D97">
      <w:pPr>
        <w:pStyle w:val="ListParagraph"/>
        <w:numPr>
          <w:ilvl w:val="0"/>
          <w:numId w:val="31"/>
        </w:numPr>
        <w:rPr>
          <w:rFonts w:ascii="Arial" w:hAnsi="Arial" w:cs="Arial"/>
          <w:color w:val="222222"/>
          <w:sz w:val="20"/>
          <w:szCs w:val="20"/>
          <w:shd w:val="clear" w:color="auto" w:fill="FFFFFF"/>
        </w:rPr>
      </w:pPr>
      <w:r w:rsidRPr="00D76D97">
        <w:rPr>
          <w:rFonts w:ascii="Arial" w:hAnsi="Arial" w:cs="Arial"/>
          <w:color w:val="222222"/>
          <w:sz w:val="20"/>
          <w:szCs w:val="20"/>
          <w:shd w:val="clear" w:color="auto" w:fill="FFFFFF"/>
        </w:rPr>
        <w:t>Chen, W. T., Zhou, Y. P., &amp; Zhang, G. S. (2023). The progress and controversies regarding steroid use in acute spinal cord injury.</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European Review for Medical &amp; Pharmacological Sciences</w:t>
      </w:r>
      <w:r w:rsidRPr="00D76D97">
        <w:rPr>
          <w:rFonts w:ascii="Arial" w:hAnsi="Arial" w:cs="Arial"/>
          <w:color w:val="222222"/>
          <w:sz w:val="20"/>
          <w:szCs w:val="20"/>
          <w:shd w:val="clear" w:color="auto" w:fill="FFFFFF"/>
        </w:rPr>
        <w:t>,</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27</w:t>
      </w:r>
      <w:r w:rsidRPr="00D76D97">
        <w:rPr>
          <w:rFonts w:ascii="Arial" w:hAnsi="Arial" w:cs="Arial"/>
          <w:color w:val="222222"/>
          <w:sz w:val="20"/>
          <w:szCs w:val="20"/>
          <w:shd w:val="clear" w:color="auto" w:fill="FFFFFF"/>
        </w:rPr>
        <w:t>(13).</w:t>
      </w:r>
    </w:p>
    <w:p w14:paraId="44DA26DC" w14:textId="70E9AB3B" w:rsidR="00D76D97" w:rsidRPr="00D76D97" w:rsidRDefault="00D76D97" w:rsidP="00D76D97">
      <w:pPr>
        <w:pStyle w:val="ListParagraph"/>
        <w:numPr>
          <w:ilvl w:val="0"/>
          <w:numId w:val="31"/>
        </w:numPr>
        <w:rPr>
          <w:rFonts w:ascii="Arial" w:hAnsi="Arial" w:cs="Arial"/>
          <w:color w:val="222222"/>
          <w:sz w:val="20"/>
          <w:szCs w:val="20"/>
          <w:shd w:val="clear" w:color="auto" w:fill="FFFFFF"/>
        </w:rPr>
      </w:pPr>
      <w:r w:rsidRPr="00D76D97">
        <w:rPr>
          <w:rFonts w:ascii="Arial" w:hAnsi="Arial" w:cs="Arial"/>
          <w:color w:val="222222"/>
          <w:sz w:val="20"/>
          <w:szCs w:val="20"/>
          <w:shd w:val="clear" w:color="auto" w:fill="FFFFFF"/>
        </w:rPr>
        <w:t xml:space="preserve">Geisler, F. H., </w:t>
      </w:r>
      <w:proofErr w:type="spellStart"/>
      <w:r w:rsidRPr="00D76D97">
        <w:rPr>
          <w:rFonts w:ascii="Arial" w:hAnsi="Arial" w:cs="Arial"/>
          <w:color w:val="222222"/>
          <w:sz w:val="20"/>
          <w:szCs w:val="20"/>
          <w:shd w:val="clear" w:color="auto" w:fill="FFFFFF"/>
        </w:rPr>
        <w:t>Moghaddamjou</w:t>
      </w:r>
      <w:proofErr w:type="spellEnd"/>
      <w:r w:rsidRPr="00D76D97">
        <w:rPr>
          <w:rFonts w:ascii="Arial" w:hAnsi="Arial" w:cs="Arial"/>
          <w:color w:val="222222"/>
          <w:sz w:val="20"/>
          <w:szCs w:val="20"/>
          <w:shd w:val="clear" w:color="auto" w:fill="FFFFFF"/>
        </w:rPr>
        <w:t xml:space="preserve">, A., Wilson, J. R., &amp; </w:t>
      </w:r>
      <w:proofErr w:type="spellStart"/>
      <w:r w:rsidRPr="00D76D97">
        <w:rPr>
          <w:rFonts w:ascii="Arial" w:hAnsi="Arial" w:cs="Arial"/>
          <w:color w:val="222222"/>
          <w:sz w:val="20"/>
          <w:szCs w:val="20"/>
          <w:shd w:val="clear" w:color="auto" w:fill="FFFFFF"/>
        </w:rPr>
        <w:t>Fehlings</w:t>
      </w:r>
      <w:proofErr w:type="spellEnd"/>
      <w:r w:rsidRPr="00D76D97">
        <w:rPr>
          <w:rFonts w:ascii="Arial" w:hAnsi="Arial" w:cs="Arial"/>
          <w:color w:val="222222"/>
          <w:sz w:val="20"/>
          <w:szCs w:val="20"/>
          <w:shd w:val="clear" w:color="auto" w:fill="FFFFFF"/>
        </w:rPr>
        <w:t xml:space="preserve">, M. G. (2023). Methylprednisolone in acute traumatic spinal cord injury: case-matched outcomes from the NASCIS2 and </w:t>
      </w:r>
      <w:proofErr w:type="spellStart"/>
      <w:r w:rsidRPr="00D76D97">
        <w:rPr>
          <w:rFonts w:ascii="Arial" w:hAnsi="Arial" w:cs="Arial"/>
          <w:color w:val="222222"/>
          <w:sz w:val="20"/>
          <w:szCs w:val="20"/>
          <w:shd w:val="clear" w:color="auto" w:fill="FFFFFF"/>
        </w:rPr>
        <w:t>Sygen</w:t>
      </w:r>
      <w:proofErr w:type="spellEnd"/>
      <w:r w:rsidRPr="00D76D97">
        <w:rPr>
          <w:rFonts w:ascii="Arial" w:hAnsi="Arial" w:cs="Arial"/>
          <w:color w:val="222222"/>
          <w:sz w:val="20"/>
          <w:szCs w:val="20"/>
          <w:shd w:val="clear" w:color="auto" w:fill="FFFFFF"/>
        </w:rPr>
        <w:t xml:space="preserve"> historical spinal cord injury studies with contemporary statistical analysis.</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Journal of Neurosurgery: Spine</w:t>
      </w:r>
      <w:r w:rsidRPr="00D76D97">
        <w:rPr>
          <w:rFonts w:ascii="Arial" w:hAnsi="Arial" w:cs="Arial"/>
          <w:color w:val="222222"/>
          <w:sz w:val="20"/>
          <w:szCs w:val="20"/>
          <w:shd w:val="clear" w:color="auto" w:fill="FFFFFF"/>
        </w:rPr>
        <w:t>,</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38</w:t>
      </w:r>
      <w:r w:rsidRPr="00D76D97">
        <w:rPr>
          <w:rFonts w:ascii="Arial" w:hAnsi="Arial" w:cs="Arial"/>
          <w:color w:val="222222"/>
          <w:sz w:val="20"/>
          <w:szCs w:val="20"/>
          <w:shd w:val="clear" w:color="auto" w:fill="FFFFFF"/>
        </w:rPr>
        <w:t>(5), 595-606.</w:t>
      </w:r>
      <w:r w:rsidRPr="00D76D97">
        <w:rPr>
          <w:rFonts w:ascii="Arial" w:hAnsi="Arial" w:cs="Arial"/>
          <w:color w:val="757575"/>
          <w:sz w:val="20"/>
          <w:szCs w:val="20"/>
          <w:lang w:eastAsia="en-GB"/>
        </w:rPr>
        <w:t xml:space="preserve"> </w:t>
      </w:r>
      <w:hyperlink r:id="rId38" w:tgtFrame="_blank" w:history="1">
        <w:r w:rsidRPr="00D76D97">
          <w:rPr>
            <w:rStyle w:val="Hyperlink"/>
            <w:rFonts w:ascii="Arial" w:hAnsi="Arial" w:cs="Arial"/>
            <w:sz w:val="20"/>
            <w:szCs w:val="20"/>
            <w:shd w:val="clear" w:color="auto" w:fill="FFFFFF"/>
          </w:rPr>
          <w:t>https://doi.org/10.3171/2022.12.SPINE22713</w:t>
        </w:r>
      </w:hyperlink>
    </w:p>
    <w:p w14:paraId="3F11334E" w14:textId="6219F568" w:rsidR="00D76D97" w:rsidRPr="00D76D97" w:rsidRDefault="00D76D97" w:rsidP="002853D4">
      <w:pPr>
        <w:pStyle w:val="ListParagraph"/>
        <w:numPr>
          <w:ilvl w:val="0"/>
          <w:numId w:val="31"/>
        </w:numPr>
        <w:rPr>
          <w:rFonts w:ascii="Arial" w:hAnsi="Arial" w:cs="Arial"/>
          <w:color w:val="222222"/>
          <w:sz w:val="20"/>
          <w:szCs w:val="20"/>
          <w:shd w:val="clear" w:color="auto" w:fill="FFFFFF"/>
        </w:rPr>
      </w:pPr>
      <w:r w:rsidRPr="00D76D97">
        <w:rPr>
          <w:rFonts w:ascii="Arial" w:hAnsi="Arial" w:cs="Arial"/>
          <w:color w:val="222222"/>
          <w:sz w:val="20"/>
          <w:szCs w:val="20"/>
          <w:shd w:val="clear" w:color="auto" w:fill="FFFFFF"/>
        </w:rPr>
        <w:lastRenderedPageBreak/>
        <w:t>Stokes, S., Drozda, M., &amp; Lee, C. (2022). The past, present, and future of traumatic spinal cord injury therapies: a review.</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Bone &amp; Joint Open</w:t>
      </w:r>
      <w:r w:rsidRPr="00D76D97">
        <w:rPr>
          <w:rFonts w:ascii="Arial" w:hAnsi="Arial" w:cs="Arial"/>
          <w:color w:val="222222"/>
          <w:sz w:val="20"/>
          <w:szCs w:val="20"/>
          <w:shd w:val="clear" w:color="auto" w:fill="FFFFFF"/>
        </w:rPr>
        <w:t>,</w:t>
      </w:r>
      <w:r w:rsidRPr="00D76D97">
        <w:rPr>
          <w:rStyle w:val="apple-converted-space"/>
          <w:rFonts w:ascii="Arial" w:hAnsi="Arial" w:cs="Arial"/>
          <w:color w:val="222222"/>
          <w:sz w:val="20"/>
          <w:szCs w:val="20"/>
          <w:shd w:val="clear" w:color="auto" w:fill="FFFFFF"/>
        </w:rPr>
        <w:t> </w:t>
      </w:r>
      <w:r w:rsidRPr="00D76D97">
        <w:rPr>
          <w:rFonts w:ascii="Arial" w:hAnsi="Arial" w:cs="Arial"/>
          <w:color w:val="222222"/>
          <w:sz w:val="20"/>
          <w:szCs w:val="20"/>
        </w:rPr>
        <w:t>3</w:t>
      </w:r>
      <w:r w:rsidRPr="00D76D97">
        <w:rPr>
          <w:rFonts w:ascii="Arial" w:hAnsi="Arial" w:cs="Arial"/>
          <w:color w:val="222222"/>
          <w:sz w:val="20"/>
          <w:szCs w:val="20"/>
          <w:shd w:val="clear" w:color="auto" w:fill="FFFFFF"/>
        </w:rPr>
        <w:t>(5), 348-358.</w:t>
      </w:r>
      <w:r w:rsidRPr="00D76D97">
        <w:rPr>
          <w:rFonts w:ascii="Arial" w:hAnsi="Arial" w:cs="Arial"/>
          <w:sz w:val="20"/>
          <w:szCs w:val="20"/>
        </w:rPr>
        <w:t xml:space="preserve"> </w:t>
      </w:r>
      <w:hyperlink r:id="rId39" w:history="1">
        <w:r w:rsidRPr="00D76D97">
          <w:rPr>
            <w:rStyle w:val="Hyperlink"/>
            <w:rFonts w:ascii="Arial" w:hAnsi="Arial" w:cs="Arial"/>
            <w:sz w:val="20"/>
            <w:szCs w:val="20"/>
          </w:rPr>
          <w:t>https://doi.org/10.1302/2633-1462.35.BJO-2021-0177.R1</w:t>
        </w:r>
      </w:hyperlink>
    </w:p>
    <w:p w14:paraId="5792E45B" w14:textId="77777777" w:rsidR="00441B6F" w:rsidRDefault="00441B6F" w:rsidP="00441B6F">
      <w:pPr>
        <w:pStyle w:val="Body"/>
        <w:spacing w:after="0"/>
        <w:jc w:val="left"/>
        <w:rPr>
          <w:rFonts w:ascii="Arial" w:hAnsi="Arial" w:cs="Arial"/>
        </w:rPr>
      </w:pPr>
    </w:p>
    <w:p w14:paraId="394F655B" w14:textId="77777777" w:rsidR="00B01FCD" w:rsidRPr="00FB3A86" w:rsidRDefault="00B01FCD" w:rsidP="00441B6F">
      <w:pPr>
        <w:pStyle w:val="Reference"/>
        <w:numPr>
          <w:ilvl w:val="0"/>
          <w:numId w:val="0"/>
        </w:numPr>
        <w:spacing w:line="240" w:lineRule="auto"/>
        <w:rPr>
          <w:rFonts w:ascii="Arial" w:hAnsi="Arial" w:cs="Arial"/>
        </w:rPr>
      </w:pPr>
    </w:p>
    <w:p w14:paraId="35F015E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550DA95" w14:textId="77777777" w:rsidR="00581DDA" w:rsidRDefault="00581DDA" w:rsidP="00441B6F">
      <w:pPr>
        <w:pStyle w:val="DefAcrHead"/>
        <w:spacing w:after="0"/>
        <w:jc w:val="both"/>
        <w:rPr>
          <w:rFonts w:ascii="Arial" w:hAnsi="Arial" w:cs="Arial"/>
        </w:rPr>
      </w:pPr>
    </w:p>
    <w:p w14:paraId="04E79036" w14:textId="644352DD" w:rsidR="00790ADA" w:rsidRDefault="00212EFE" w:rsidP="00441B6F">
      <w:pPr>
        <w:pStyle w:val="Body"/>
        <w:spacing w:after="0"/>
        <w:rPr>
          <w:rFonts w:ascii="Arial" w:hAnsi="Arial" w:cs="Arial"/>
        </w:rPr>
      </w:pPr>
      <w:r>
        <w:rPr>
          <w:rFonts w:ascii="Arial" w:hAnsi="Arial" w:cs="Arial"/>
        </w:rPr>
        <w:t>SCI = Spinal cord injury</w:t>
      </w:r>
    </w:p>
    <w:p w14:paraId="558EBC81" w14:textId="482A8D4D" w:rsidR="00212EFE" w:rsidRDefault="00212EFE" w:rsidP="00441B6F">
      <w:pPr>
        <w:pStyle w:val="Body"/>
        <w:spacing w:after="0"/>
        <w:rPr>
          <w:rFonts w:ascii="Arial" w:hAnsi="Arial" w:cs="Arial"/>
        </w:rPr>
      </w:pPr>
      <w:r>
        <w:rPr>
          <w:rFonts w:ascii="Arial" w:hAnsi="Arial" w:cs="Arial"/>
        </w:rPr>
        <w:t>MPSS = Methylprednisolone sodium succinate</w:t>
      </w:r>
    </w:p>
    <w:p w14:paraId="7C58E31D" w14:textId="2EE8221F" w:rsidR="00212EFE" w:rsidRDefault="00212EFE" w:rsidP="00441B6F">
      <w:pPr>
        <w:pStyle w:val="Body"/>
        <w:spacing w:after="0"/>
        <w:rPr>
          <w:rFonts w:ascii="Arial" w:hAnsi="Arial" w:cs="Arial"/>
        </w:rPr>
      </w:pPr>
      <w:r>
        <w:rPr>
          <w:rFonts w:ascii="Arial" w:hAnsi="Arial" w:cs="Arial"/>
        </w:rPr>
        <w:t>ASIA = American spinal cord injury association</w:t>
      </w:r>
    </w:p>
    <w:p w14:paraId="0D441661" w14:textId="75E75C6C" w:rsidR="00581DDA" w:rsidRDefault="00581DDA" w:rsidP="00441B6F">
      <w:pPr>
        <w:pStyle w:val="Body"/>
        <w:spacing w:after="0"/>
        <w:rPr>
          <w:rFonts w:ascii="Arial" w:hAnsi="Arial" w:cs="Arial"/>
        </w:rPr>
      </w:pPr>
      <w:r>
        <w:rPr>
          <w:rFonts w:ascii="Arial" w:hAnsi="Arial" w:cs="Arial"/>
        </w:rPr>
        <w:t>AIS = ASIA impairment scale</w:t>
      </w:r>
    </w:p>
    <w:p w14:paraId="0797991D" w14:textId="1481388C" w:rsidR="00212EFE" w:rsidRDefault="00212EFE" w:rsidP="00441B6F">
      <w:pPr>
        <w:pStyle w:val="Body"/>
        <w:spacing w:after="0"/>
        <w:rPr>
          <w:rFonts w:ascii="Arial" w:hAnsi="Arial" w:cs="Arial"/>
        </w:rPr>
      </w:pPr>
      <w:r>
        <w:rPr>
          <w:rFonts w:ascii="Arial" w:hAnsi="Arial" w:cs="Arial"/>
        </w:rPr>
        <w:t xml:space="preserve">NASCIS = National </w:t>
      </w:r>
      <w:r w:rsidR="00581DDA">
        <w:rPr>
          <w:rFonts w:ascii="Arial" w:hAnsi="Arial" w:cs="Arial"/>
        </w:rPr>
        <w:t xml:space="preserve">acute </w:t>
      </w:r>
      <w:r>
        <w:rPr>
          <w:rFonts w:ascii="Arial" w:hAnsi="Arial" w:cs="Arial"/>
        </w:rPr>
        <w:t>spinal cord injury study</w:t>
      </w:r>
    </w:p>
    <w:p w14:paraId="6EA39945" w14:textId="77777777" w:rsidR="00212EFE" w:rsidRPr="00FB3A86" w:rsidRDefault="00212EFE" w:rsidP="00441B6F">
      <w:pPr>
        <w:pStyle w:val="Body"/>
        <w:spacing w:after="0"/>
        <w:rPr>
          <w:rFonts w:ascii="Arial" w:hAnsi="Arial" w:cs="Arial"/>
        </w:rPr>
      </w:pPr>
    </w:p>
    <w:p w14:paraId="46EBB8E0" w14:textId="1E827DB4" w:rsidR="00B01FCD" w:rsidRPr="00FB3A86" w:rsidRDefault="00B01FCD" w:rsidP="00441B6F">
      <w:pPr>
        <w:pStyle w:val="Appendix"/>
        <w:spacing w:after="0"/>
        <w:jc w:val="both"/>
        <w:rPr>
          <w:rFonts w:ascii="Arial" w:hAnsi="Arial" w:cs="Arial"/>
          <w:b w:val="0"/>
        </w:rPr>
      </w:pPr>
    </w:p>
    <w:sectPr w:rsidR="00B01FCD" w:rsidRPr="00FB3A86" w:rsidSect="006375C6">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84D63" w14:textId="77777777" w:rsidR="00C14682" w:rsidRDefault="00C14682" w:rsidP="00C37E61">
      <w:r>
        <w:separator/>
      </w:r>
    </w:p>
  </w:endnote>
  <w:endnote w:type="continuationSeparator" w:id="0">
    <w:p w14:paraId="27CA17CE" w14:textId="77777777" w:rsidR="00C14682" w:rsidRDefault="00C146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591C" w14:textId="77777777" w:rsidR="006375C6" w:rsidRDefault="0063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E5D" w14:textId="77777777" w:rsidR="006375C6" w:rsidRDefault="00637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6368" w14:textId="77777777" w:rsidR="009E048A" w:rsidRDefault="009E048A">
    <w:pPr>
      <w:pStyle w:val="Footer"/>
      <w:rPr>
        <w:rFonts w:ascii="Arial" w:hAnsi="Arial" w:cs="Arial"/>
        <w:sz w:val="16"/>
      </w:rPr>
    </w:pPr>
  </w:p>
  <w:p w14:paraId="197E5C6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ACC506" w14:textId="77777777" w:rsidR="009E048A" w:rsidRDefault="009E048A">
    <w:pPr>
      <w:pStyle w:val="Footer"/>
      <w:rPr>
        <w:rFonts w:ascii="Arial" w:hAnsi="Arial" w:cs="Arial"/>
        <w:sz w:val="16"/>
      </w:rPr>
    </w:pPr>
  </w:p>
  <w:p w14:paraId="420F41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A5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EE9B" w14:textId="77777777" w:rsidR="00C14682" w:rsidRDefault="00C14682" w:rsidP="00C37E61">
      <w:r>
        <w:separator/>
      </w:r>
    </w:p>
  </w:footnote>
  <w:footnote w:type="continuationSeparator" w:id="0">
    <w:p w14:paraId="71CA3056" w14:textId="77777777" w:rsidR="00C14682" w:rsidRDefault="00C146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54F3" w14:textId="28B96AEE" w:rsidR="006375C6" w:rsidRDefault="002735B0">
    <w:pPr>
      <w:pStyle w:val="Header"/>
    </w:pPr>
    <w:r>
      <w:rPr>
        <w:noProof/>
      </w:rPr>
      <w:pict w14:anchorId="33D5B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36D2" w14:textId="062BF8D2" w:rsidR="006375C6" w:rsidRDefault="002735B0">
    <w:pPr>
      <w:pStyle w:val="Header"/>
    </w:pPr>
    <w:r>
      <w:rPr>
        <w:noProof/>
      </w:rPr>
      <w:pict w14:anchorId="2E517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CCC" w14:textId="16F7ABAF" w:rsidR="00296529" w:rsidRPr="00296529" w:rsidRDefault="002735B0" w:rsidP="00296529">
    <w:pPr>
      <w:ind w:left="2160"/>
      <w:jc w:val="center"/>
      <w:rPr>
        <w:rFonts w:ascii="Times New Roman" w:eastAsia="Calibri" w:hAnsi="Times New Roman"/>
        <w:i/>
        <w:sz w:val="18"/>
        <w:szCs w:val="22"/>
      </w:rPr>
    </w:pPr>
    <w:r>
      <w:rPr>
        <w:noProof/>
      </w:rPr>
      <w:pict w14:anchorId="7A11C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9A85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3E34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69A1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710C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0945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CD46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A4CB" w14:textId="2DF318B6" w:rsidR="006375C6" w:rsidRDefault="002735B0">
    <w:pPr>
      <w:pStyle w:val="Header"/>
    </w:pPr>
    <w:r>
      <w:rPr>
        <w:noProof/>
      </w:rPr>
      <w:pict w14:anchorId="5FADE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0519" w14:textId="794DC646" w:rsidR="006375C6" w:rsidRDefault="002735B0">
    <w:pPr>
      <w:pStyle w:val="Header"/>
    </w:pPr>
    <w:r>
      <w:rPr>
        <w:noProof/>
      </w:rPr>
      <w:pict w14:anchorId="54A5D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022F" w14:textId="39F0C7AB" w:rsidR="006375C6" w:rsidRDefault="002735B0">
    <w:pPr>
      <w:pStyle w:val="Header"/>
    </w:pPr>
    <w:r>
      <w:rPr>
        <w:noProof/>
      </w:rPr>
      <w:pict w14:anchorId="36DF9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494FC9"/>
    <w:multiLevelType w:val="hybridMultilevel"/>
    <w:tmpl w:val="EDCC73B6"/>
    <w:lvl w:ilvl="0" w:tplc="7C7ACA8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D7F24"/>
    <w:multiLevelType w:val="multilevel"/>
    <w:tmpl w:val="BB7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2srAwMTcxMTA1MzdQ0lEKTi0uzszPAykwrAUAjs8VeCwAAAA="/>
  </w:docVars>
  <w:rsids>
    <w:rsidRoot w:val="00AA6219"/>
    <w:rsid w:val="00000F8F"/>
    <w:rsid w:val="0001540C"/>
    <w:rsid w:val="00030174"/>
    <w:rsid w:val="0004579C"/>
    <w:rsid w:val="000A1D8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810"/>
    <w:rsid w:val="001F4A77"/>
    <w:rsid w:val="00200595"/>
    <w:rsid w:val="00204835"/>
    <w:rsid w:val="00212EFE"/>
    <w:rsid w:val="00231920"/>
    <w:rsid w:val="0023195C"/>
    <w:rsid w:val="0024282C"/>
    <w:rsid w:val="002460DC"/>
    <w:rsid w:val="00250985"/>
    <w:rsid w:val="002556F6"/>
    <w:rsid w:val="00256786"/>
    <w:rsid w:val="002735B0"/>
    <w:rsid w:val="00283105"/>
    <w:rsid w:val="00284C4C"/>
    <w:rsid w:val="002853D4"/>
    <w:rsid w:val="00287E68"/>
    <w:rsid w:val="00296529"/>
    <w:rsid w:val="002B27FB"/>
    <w:rsid w:val="002B685A"/>
    <w:rsid w:val="002C57D2"/>
    <w:rsid w:val="002E0D56"/>
    <w:rsid w:val="00315186"/>
    <w:rsid w:val="0033343E"/>
    <w:rsid w:val="00347350"/>
    <w:rsid w:val="003512C2"/>
    <w:rsid w:val="00371FB6"/>
    <w:rsid w:val="003763C1"/>
    <w:rsid w:val="00376BBE"/>
    <w:rsid w:val="0039224F"/>
    <w:rsid w:val="003A43A4"/>
    <w:rsid w:val="003A7E18"/>
    <w:rsid w:val="003C0490"/>
    <w:rsid w:val="003C4C86"/>
    <w:rsid w:val="003C6258"/>
    <w:rsid w:val="003E2904"/>
    <w:rsid w:val="00401927"/>
    <w:rsid w:val="0041027F"/>
    <w:rsid w:val="00412475"/>
    <w:rsid w:val="004133FA"/>
    <w:rsid w:val="00423789"/>
    <w:rsid w:val="00440F43"/>
    <w:rsid w:val="00441B6F"/>
    <w:rsid w:val="00446221"/>
    <w:rsid w:val="00450E62"/>
    <w:rsid w:val="004539DB"/>
    <w:rsid w:val="00454687"/>
    <w:rsid w:val="00466367"/>
    <w:rsid w:val="00471A80"/>
    <w:rsid w:val="004D305E"/>
    <w:rsid w:val="004D4277"/>
    <w:rsid w:val="004E2CEA"/>
    <w:rsid w:val="00502516"/>
    <w:rsid w:val="00505F06"/>
    <w:rsid w:val="00506828"/>
    <w:rsid w:val="005173E9"/>
    <w:rsid w:val="0053056E"/>
    <w:rsid w:val="005467C4"/>
    <w:rsid w:val="00551EC5"/>
    <w:rsid w:val="00554FDA"/>
    <w:rsid w:val="00581DDA"/>
    <w:rsid w:val="005C5467"/>
    <w:rsid w:val="005C784C"/>
    <w:rsid w:val="005D17F6"/>
    <w:rsid w:val="005E5539"/>
    <w:rsid w:val="00602BF5"/>
    <w:rsid w:val="00617FDD"/>
    <w:rsid w:val="00633614"/>
    <w:rsid w:val="00633F68"/>
    <w:rsid w:val="00636EB2"/>
    <w:rsid w:val="006375B8"/>
    <w:rsid w:val="006375C6"/>
    <w:rsid w:val="0066510A"/>
    <w:rsid w:val="00673F9F"/>
    <w:rsid w:val="00686953"/>
    <w:rsid w:val="00687DEA"/>
    <w:rsid w:val="00687E67"/>
    <w:rsid w:val="006967F7"/>
    <w:rsid w:val="006A250C"/>
    <w:rsid w:val="006B21D3"/>
    <w:rsid w:val="006B57D0"/>
    <w:rsid w:val="006D30FF"/>
    <w:rsid w:val="006D6940"/>
    <w:rsid w:val="006F11EC"/>
    <w:rsid w:val="0070082C"/>
    <w:rsid w:val="00730641"/>
    <w:rsid w:val="007369E6"/>
    <w:rsid w:val="00746E59"/>
    <w:rsid w:val="00754C9A"/>
    <w:rsid w:val="0075599A"/>
    <w:rsid w:val="00761D52"/>
    <w:rsid w:val="0077749E"/>
    <w:rsid w:val="00790ADA"/>
    <w:rsid w:val="007936D3"/>
    <w:rsid w:val="007D2288"/>
    <w:rsid w:val="007E088F"/>
    <w:rsid w:val="007F7B32"/>
    <w:rsid w:val="00804BC2"/>
    <w:rsid w:val="0081431A"/>
    <w:rsid w:val="0083216F"/>
    <w:rsid w:val="00860000"/>
    <w:rsid w:val="00863BD3"/>
    <w:rsid w:val="008641ED"/>
    <w:rsid w:val="00866D66"/>
    <w:rsid w:val="008671C6"/>
    <w:rsid w:val="00875803"/>
    <w:rsid w:val="008B459E"/>
    <w:rsid w:val="008D0BF4"/>
    <w:rsid w:val="008E13AE"/>
    <w:rsid w:val="008E1506"/>
    <w:rsid w:val="008E710C"/>
    <w:rsid w:val="008F69D6"/>
    <w:rsid w:val="00902823"/>
    <w:rsid w:val="00915CA6"/>
    <w:rsid w:val="00927834"/>
    <w:rsid w:val="009500A6"/>
    <w:rsid w:val="009507AE"/>
    <w:rsid w:val="00957C18"/>
    <w:rsid w:val="009659BA"/>
    <w:rsid w:val="00983040"/>
    <w:rsid w:val="009B3FB9"/>
    <w:rsid w:val="009B6E2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1EF"/>
    <w:rsid w:val="00A94063"/>
    <w:rsid w:val="00AA6219"/>
    <w:rsid w:val="00AA74E0"/>
    <w:rsid w:val="00AB703F"/>
    <w:rsid w:val="00AC6BB8"/>
    <w:rsid w:val="00AE008F"/>
    <w:rsid w:val="00AF0920"/>
    <w:rsid w:val="00B01FCD"/>
    <w:rsid w:val="00B1776C"/>
    <w:rsid w:val="00B349F1"/>
    <w:rsid w:val="00B42979"/>
    <w:rsid w:val="00B52583"/>
    <w:rsid w:val="00B52896"/>
    <w:rsid w:val="00B81304"/>
    <w:rsid w:val="00B95236"/>
    <w:rsid w:val="00B96BD9"/>
    <w:rsid w:val="00BA1B01"/>
    <w:rsid w:val="00BA2641"/>
    <w:rsid w:val="00BB37AA"/>
    <w:rsid w:val="00BC53A0"/>
    <w:rsid w:val="00BE62AD"/>
    <w:rsid w:val="00BF121F"/>
    <w:rsid w:val="00BF1F80"/>
    <w:rsid w:val="00C14682"/>
    <w:rsid w:val="00C166EF"/>
    <w:rsid w:val="00C16A19"/>
    <w:rsid w:val="00C17EB0"/>
    <w:rsid w:val="00C27F5F"/>
    <w:rsid w:val="00C30A0F"/>
    <w:rsid w:val="00C37E61"/>
    <w:rsid w:val="00C70F1B"/>
    <w:rsid w:val="00C71A47"/>
    <w:rsid w:val="00C7464C"/>
    <w:rsid w:val="00C85588"/>
    <w:rsid w:val="00CA4EF3"/>
    <w:rsid w:val="00CD45B9"/>
    <w:rsid w:val="00CD6755"/>
    <w:rsid w:val="00CD6810"/>
    <w:rsid w:val="00CD6856"/>
    <w:rsid w:val="00CE0089"/>
    <w:rsid w:val="00CE793C"/>
    <w:rsid w:val="00CF193C"/>
    <w:rsid w:val="00D173F1"/>
    <w:rsid w:val="00D65E44"/>
    <w:rsid w:val="00D74CB0"/>
    <w:rsid w:val="00D76D97"/>
    <w:rsid w:val="00D8295D"/>
    <w:rsid w:val="00D82985"/>
    <w:rsid w:val="00DC2A65"/>
    <w:rsid w:val="00DC7A31"/>
    <w:rsid w:val="00DE15F0"/>
    <w:rsid w:val="00DE5663"/>
    <w:rsid w:val="00DE78AA"/>
    <w:rsid w:val="00E053D0"/>
    <w:rsid w:val="00E15994"/>
    <w:rsid w:val="00E25420"/>
    <w:rsid w:val="00E27CC9"/>
    <w:rsid w:val="00E3114E"/>
    <w:rsid w:val="00E31A70"/>
    <w:rsid w:val="00E35B02"/>
    <w:rsid w:val="00E657E3"/>
    <w:rsid w:val="00E66496"/>
    <w:rsid w:val="00E66B35"/>
    <w:rsid w:val="00E66E10"/>
    <w:rsid w:val="00E769F6"/>
    <w:rsid w:val="00E8287B"/>
    <w:rsid w:val="00E8407C"/>
    <w:rsid w:val="00E84F3C"/>
    <w:rsid w:val="00EA012C"/>
    <w:rsid w:val="00EC6A55"/>
    <w:rsid w:val="00ED0288"/>
    <w:rsid w:val="00ED5274"/>
    <w:rsid w:val="00EE52CB"/>
    <w:rsid w:val="00EF581D"/>
    <w:rsid w:val="00EF7FD8"/>
    <w:rsid w:val="00F06F59"/>
    <w:rsid w:val="00F17988"/>
    <w:rsid w:val="00F469F0"/>
    <w:rsid w:val="00F53273"/>
    <w:rsid w:val="00F755E4"/>
    <w:rsid w:val="00F77D02"/>
    <w:rsid w:val="00FB3A86"/>
    <w:rsid w:val="00FB4CA7"/>
    <w:rsid w:val="00FD36C8"/>
    <w:rsid w:val="00FD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1A0F41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A1D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A1D8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56786"/>
    <w:pPr>
      <w:spacing w:after="160" w:line="278" w:lineRule="auto"/>
      <w:ind w:left="720"/>
      <w:contextualSpacing/>
    </w:pPr>
    <w:rPr>
      <w:rFonts w:asciiTheme="minorHAnsi" w:eastAsiaTheme="minorHAnsi" w:hAnsiTheme="minorHAnsi" w:cstheme="minorBidi"/>
      <w:kern w:val="2"/>
      <w:sz w:val="24"/>
      <w:szCs w:val="24"/>
      <w:lang w:val="en-MY"/>
    </w:rPr>
  </w:style>
  <w:style w:type="character" w:customStyle="1" w:styleId="apple-converted-space">
    <w:name w:val="apple-converted-space"/>
    <w:basedOn w:val="DefaultParagraphFont"/>
    <w:rsid w:val="00D82985"/>
  </w:style>
  <w:style w:type="character" w:customStyle="1" w:styleId="ej-journal-doi">
    <w:name w:val="ej-journal-doi"/>
    <w:basedOn w:val="DefaultParagraphFont"/>
    <w:rsid w:val="00D7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016/0020-1383(93)90149-Z" TargetMode="External"/><Relationship Id="rId39" Type="http://schemas.openxmlformats.org/officeDocument/2006/relationships/hyperlink" Target="https://doi.org/10.1302/2633-1462.35.BJO-2021-0177.R1" TargetMode="External"/><Relationship Id="rId21" Type="http://schemas.openxmlformats.org/officeDocument/2006/relationships/hyperlink" Target="https://doi.org/10.3171/jns.1982.57.2.0247" TargetMode="External"/><Relationship Id="rId34" Type="http://schemas.openxmlformats.org/officeDocument/2006/relationships/hyperlink" Target="https://doi.org/10.1371/journal.pone.014599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89/neu.2022.04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71/spi.2002.96.1.0083" TargetMode="External"/><Relationship Id="rId32" Type="http://schemas.openxmlformats.org/officeDocument/2006/relationships/hyperlink" Target="https://doi.org/10.1177/2192568217703085" TargetMode="External"/><Relationship Id="rId37" Type="http://schemas.openxmlformats.org/officeDocument/2006/relationships/hyperlink" Target="https://doi.org/10.1212/CON.000000000000139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10.1056/NEJM199005173222001" TargetMode="External"/><Relationship Id="rId28" Type="http://schemas.openxmlformats.org/officeDocument/2006/relationships/hyperlink" Target="https://doi.org/10.1017/S0317167100002006" TargetMode="External"/><Relationship Id="rId36" Type="http://schemas.openxmlformats.org/officeDocument/2006/relationships/hyperlink" Target="https://doi.org/10.1016/j.wneu.2013.02.062" TargetMode="External"/><Relationship Id="rId10" Type="http://schemas.openxmlformats.org/officeDocument/2006/relationships/footer" Target="footer1.xml"/><Relationship Id="rId19" Type="http://schemas.openxmlformats.org/officeDocument/2006/relationships/hyperlink" Target="https://doi.org/10.3389/fimmu.2022.1084101" TargetMode="External"/><Relationship Id="rId31" Type="http://schemas.openxmlformats.org/officeDocument/2006/relationships/hyperlink" Target="https://doi.org/10.1016/S0140-6736(04)17188-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10.1001/jama.1984.03340250025015" TargetMode="External"/><Relationship Id="rId27" Type="http://schemas.openxmlformats.org/officeDocument/2006/relationships/hyperlink" Target="https://doi.org/10.1016/j.heliyon.2020.e03414" TargetMode="External"/><Relationship Id="rId30" Type="http://schemas.openxmlformats.org/officeDocument/2006/relationships/hyperlink" Target="https://doi.org/10.1177/21925682221116888" TargetMode="External"/><Relationship Id="rId35" Type="http://schemas.openxmlformats.org/officeDocument/2006/relationships/hyperlink" Target="https://doi.org/10.3390/jcm14113649"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10.1097/WNR.0000000000001076" TargetMode="External"/><Relationship Id="rId33" Type="http://schemas.openxmlformats.org/officeDocument/2006/relationships/hyperlink" Target="https://doi.org/10.1177/2192568217706366" TargetMode="External"/><Relationship Id="rId38" Type="http://schemas.openxmlformats.org/officeDocument/2006/relationships/hyperlink" Target="https://doi.org/10.3171/2022.12.SPINE22713" TargetMode="External"/><Relationship Id="rId20" Type="http://schemas.openxmlformats.org/officeDocument/2006/relationships/hyperlink" Target="https://pubmed.ncbi.nlm.nih.gov/35557630/"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6C63C-5A0A-0943-AC91-855448FD9FBE}"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7BBCBC59-C950-704A-A58E-8783E725A504}">
      <dgm:prSet custT="1"/>
      <dgm:spPr>
        <a:noFill/>
        <a:ln>
          <a:solidFill>
            <a:schemeClr val="tx1"/>
          </a:solidFill>
        </a:ln>
      </dgm:spPr>
      <dgm:t>
        <a:bodyPr/>
        <a:lstStyle/>
        <a:p>
          <a:r>
            <a:rPr lang="en-GB" sz="1100">
              <a:ln>
                <a:noFill/>
              </a:ln>
              <a:solidFill>
                <a:schemeClr val="tx1"/>
              </a:solidFill>
            </a:rPr>
            <a:t>Spinal cord injury </a:t>
          </a:r>
        </a:p>
        <a:p>
          <a:r>
            <a:rPr lang="en-GB" sz="1100">
              <a:ln>
                <a:noFill/>
              </a:ln>
              <a:solidFill>
                <a:schemeClr val="tx1"/>
              </a:solidFill>
            </a:rPr>
            <a:t>2017-2024 </a:t>
          </a:r>
        </a:p>
        <a:p>
          <a:r>
            <a:rPr lang="en-GB" sz="1100">
              <a:ln>
                <a:noFill/>
              </a:ln>
              <a:solidFill>
                <a:schemeClr val="tx1"/>
              </a:solidFill>
            </a:rPr>
            <a:t>(n=146)</a:t>
          </a:r>
        </a:p>
      </dgm:t>
    </dgm:pt>
    <dgm:pt modelId="{C3C4F9AC-B5A9-9D40-8C79-0B8C68089F3C}" type="parTrans" cxnId="{E1A56FFD-A6C7-E543-BC4D-A9E72BE1C206}">
      <dgm:prSet/>
      <dgm:spPr/>
      <dgm:t>
        <a:bodyPr/>
        <a:lstStyle/>
        <a:p>
          <a:endParaRPr lang="en-GB"/>
        </a:p>
      </dgm:t>
    </dgm:pt>
    <dgm:pt modelId="{4D2A4848-7BD4-C643-BD0F-C323BAA3F368}" type="sibTrans" cxnId="{E1A56FFD-A6C7-E543-BC4D-A9E72BE1C206}">
      <dgm:prSet/>
      <dgm:spPr/>
      <dgm:t>
        <a:bodyPr/>
        <a:lstStyle/>
        <a:p>
          <a:endParaRPr lang="en-GB"/>
        </a:p>
      </dgm:t>
    </dgm:pt>
    <dgm:pt modelId="{C3DC90E8-33BF-4E47-83F1-5069EFAA88CB}">
      <dgm:prSet custT="1"/>
      <dgm:spPr>
        <a:noFill/>
        <a:ln>
          <a:solidFill>
            <a:schemeClr val="tx1"/>
          </a:solidFill>
        </a:ln>
      </dgm:spPr>
      <dgm:t>
        <a:bodyPr/>
        <a:lstStyle/>
        <a:p>
          <a:r>
            <a:rPr lang="en-GB" sz="1000">
              <a:ln>
                <a:noFill/>
              </a:ln>
              <a:solidFill>
                <a:schemeClr val="tx1"/>
              </a:solidFill>
            </a:rPr>
            <a:t>Final cohort analyzed (n=76)</a:t>
          </a:r>
        </a:p>
      </dgm:t>
    </dgm:pt>
    <dgm:pt modelId="{77389E3F-9254-5F44-A864-BF975035A860}" type="parTrans" cxnId="{96169540-D1EB-9E4F-B268-A2B80C44CB45}">
      <dgm:prSet/>
      <dgm:spPr>
        <a:ln>
          <a:solidFill>
            <a:schemeClr val="tx1"/>
          </a:solidFill>
        </a:ln>
      </dgm:spPr>
      <dgm:t>
        <a:bodyPr/>
        <a:lstStyle/>
        <a:p>
          <a:endParaRPr lang="en-GB"/>
        </a:p>
      </dgm:t>
    </dgm:pt>
    <dgm:pt modelId="{7F9808D3-B4F9-3944-B191-63685AC427FC}" type="sibTrans" cxnId="{96169540-D1EB-9E4F-B268-A2B80C44CB45}">
      <dgm:prSet/>
      <dgm:spPr/>
      <dgm:t>
        <a:bodyPr/>
        <a:lstStyle/>
        <a:p>
          <a:endParaRPr lang="en-GB"/>
        </a:p>
      </dgm:t>
    </dgm:pt>
    <dgm:pt modelId="{DD114634-24BF-3B4B-B362-D0EE460A34CE}">
      <dgm:prSet custT="1"/>
      <dgm:spPr>
        <a:noFill/>
        <a:ln>
          <a:solidFill>
            <a:schemeClr val="tx1"/>
          </a:solidFill>
        </a:ln>
      </dgm:spPr>
      <dgm:t>
        <a:bodyPr/>
        <a:lstStyle/>
        <a:p>
          <a:r>
            <a:rPr lang="en-GB" sz="1000">
              <a:ln>
                <a:noFill/>
              </a:ln>
              <a:solidFill>
                <a:schemeClr val="tx1"/>
              </a:solidFill>
            </a:rPr>
            <a:t>Exclusion (n=70)</a:t>
          </a:r>
        </a:p>
        <a:p>
          <a:r>
            <a:rPr lang="en-GB" sz="1000">
              <a:ln>
                <a:noFill/>
              </a:ln>
              <a:solidFill>
                <a:schemeClr val="tx1"/>
              </a:solidFill>
            </a:rPr>
            <a:t>1. other injuries (n=36)</a:t>
          </a:r>
        </a:p>
        <a:p>
          <a:r>
            <a:rPr lang="en-GB" sz="1000">
              <a:ln>
                <a:noFill/>
              </a:ln>
              <a:solidFill>
                <a:schemeClr val="tx1"/>
              </a:solidFill>
            </a:rPr>
            <a:t>2. no surgery (n=28)</a:t>
          </a:r>
        </a:p>
        <a:p>
          <a:r>
            <a:rPr lang="en-GB" sz="1000">
              <a:ln>
                <a:noFill/>
              </a:ln>
              <a:solidFill>
                <a:schemeClr val="tx1"/>
              </a:solidFill>
            </a:rPr>
            <a:t>3. Incomplete followup (n=6)</a:t>
          </a:r>
        </a:p>
      </dgm:t>
    </dgm:pt>
    <dgm:pt modelId="{6BF6191B-B4F5-0248-9B70-27783B012DAA}" type="parTrans" cxnId="{F24B9CD9-D6AF-5144-8A5C-1AA76028CF4F}">
      <dgm:prSet/>
      <dgm:spPr>
        <a:ln>
          <a:solidFill>
            <a:schemeClr val="tx1"/>
          </a:solidFill>
        </a:ln>
      </dgm:spPr>
      <dgm:t>
        <a:bodyPr/>
        <a:lstStyle/>
        <a:p>
          <a:endParaRPr lang="en-GB"/>
        </a:p>
      </dgm:t>
    </dgm:pt>
    <dgm:pt modelId="{7541CD53-6832-1C4D-8870-C3D2B1FE5CC0}" type="sibTrans" cxnId="{F24B9CD9-D6AF-5144-8A5C-1AA76028CF4F}">
      <dgm:prSet/>
      <dgm:spPr/>
      <dgm:t>
        <a:bodyPr/>
        <a:lstStyle/>
        <a:p>
          <a:endParaRPr lang="en-GB"/>
        </a:p>
      </dgm:t>
    </dgm:pt>
    <dgm:pt modelId="{2688E49F-AC1A-0640-86F6-99C7B0308DD2}">
      <dgm:prSet custT="1"/>
      <dgm:spPr>
        <a:noFill/>
        <a:ln>
          <a:solidFill>
            <a:schemeClr val="tx1"/>
          </a:solidFill>
        </a:ln>
      </dgm:spPr>
      <dgm:t>
        <a:bodyPr/>
        <a:lstStyle/>
        <a:p>
          <a:r>
            <a:rPr lang="en-GB" sz="1000">
              <a:ln>
                <a:noFill/>
              </a:ln>
              <a:solidFill>
                <a:schemeClr val="tx1"/>
              </a:solidFill>
            </a:rPr>
            <a:t>Methylprednisolone (n=26)</a:t>
          </a:r>
        </a:p>
      </dgm:t>
    </dgm:pt>
    <dgm:pt modelId="{1EFC5094-F00E-2246-BC20-0B699B469EB1}" type="sibTrans" cxnId="{F5A2CBA3-BE08-DA4E-9E48-F4442740FEE6}">
      <dgm:prSet/>
      <dgm:spPr/>
      <dgm:t>
        <a:bodyPr/>
        <a:lstStyle/>
        <a:p>
          <a:endParaRPr lang="en-GB"/>
        </a:p>
      </dgm:t>
    </dgm:pt>
    <dgm:pt modelId="{FDDC6BA9-2E91-2142-AE35-EB3418EB8FBD}" type="parTrans" cxnId="{F5A2CBA3-BE08-DA4E-9E48-F4442740FEE6}">
      <dgm:prSet/>
      <dgm:spPr>
        <a:ln>
          <a:solidFill>
            <a:schemeClr val="tx1"/>
          </a:solidFill>
        </a:ln>
      </dgm:spPr>
      <dgm:t>
        <a:bodyPr/>
        <a:lstStyle/>
        <a:p>
          <a:endParaRPr lang="en-GB"/>
        </a:p>
      </dgm:t>
    </dgm:pt>
    <dgm:pt modelId="{5DB2780D-03A6-B84B-BF90-D4266A2F750C}">
      <dgm:prSet custT="1"/>
      <dgm:spPr>
        <a:noFill/>
        <a:ln>
          <a:solidFill>
            <a:schemeClr val="tx1"/>
          </a:solidFill>
        </a:ln>
      </dgm:spPr>
      <dgm:t>
        <a:bodyPr/>
        <a:lstStyle/>
        <a:p>
          <a:r>
            <a:rPr lang="en-GB" sz="1000">
              <a:ln>
                <a:noFill/>
              </a:ln>
              <a:solidFill>
                <a:schemeClr val="tx1"/>
              </a:solidFill>
            </a:rPr>
            <a:t>Dexamethasone (n=18)</a:t>
          </a:r>
        </a:p>
      </dgm:t>
    </dgm:pt>
    <dgm:pt modelId="{82FE9F65-8ED3-614C-984E-F903F33DFD2D}" type="parTrans" cxnId="{B956E071-D2C0-094A-9788-9157C21A7661}">
      <dgm:prSet/>
      <dgm:spPr>
        <a:ln>
          <a:solidFill>
            <a:schemeClr val="tx1"/>
          </a:solidFill>
        </a:ln>
      </dgm:spPr>
      <dgm:t>
        <a:bodyPr/>
        <a:lstStyle/>
        <a:p>
          <a:endParaRPr lang="en-GB"/>
        </a:p>
      </dgm:t>
    </dgm:pt>
    <dgm:pt modelId="{869EB232-24AC-854D-9E14-567130D81594}" type="sibTrans" cxnId="{B956E071-D2C0-094A-9788-9157C21A7661}">
      <dgm:prSet/>
      <dgm:spPr/>
      <dgm:t>
        <a:bodyPr/>
        <a:lstStyle/>
        <a:p>
          <a:endParaRPr lang="en-GB"/>
        </a:p>
      </dgm:t>
    </dgm:pt>
    <dgm:pt modelId="{CEC9AE90-CAA1-F64C-9CF2-2D377F06012F}">
      <dgm:prSet custT="1"/>
      <dgm:spPr>
        <a:noFill/>
        <a:ln>
          <a:solidFill>
            <a:schemeClr val="tx1"/>
          </a:solidFill>
        </a:ln>
      </dgm:spPr>
      <dgm:t>
        <a:bodyPr/>
        <a:lstStyle/>
        <a:p>
          <a:r>
            <a:rPr lang="en-GB" sz="1000">
              <a:ln>
                <a:noFill/>
              </a:ln>
              <a:solidFill>
                <a:schemeClr val="tx1"/>
              </a:solidFill>
            </a:rPr>
            <a:t>No steroids</a:t>
          </a:r>
        </a:p>
        <a:p>
          <a:r>
            <a:rPr lang="en-GB" sz="1000">
              <a:ln>
                <a:noFill/>
              </a:ln>
              <a:solidFill>
                <a:schemeClr val="tx1"/>
              </a:solidFill>
            </a:rPr>
            <a:t>(n=32)</a:t>
          </a:r>
        </a:p>
      </dgm:t>
    </dgm:pt>
    <dgm:pt modelId="{B915B68F-AA7D-9B4D-A6CC-73B8AFB2D244}" type="parTrans" cxnId="{4CAB1D16-753A-1C43-B1EA-DEFBBF3D5AE5}">
      <dgm:prSet/>
      <dgm:spPr>
        <a:ln>
          <a:solidFill>
            <a:schemeClr val="tx1"/>
          </a:solidFill>
        </a:ln>
      </dgm:spPr>
      <dgm:t>
        <a:bodyPr/>
        <a:lstStyle/>
        <a:p>
          <a:endParaRPr lang="en-GB"/>
        </a:p>
      </dgm:t>
    </dgm:pt>
    <dgm:pt modelId="{2E264D59-804B-D741-9460-F69588866B8D}" type="sibTrans" cxnId="{4CAB1D16-753A-1C43-B1EA-DEFBBF3D5AE5}">
      <dgm:prSet/>
      <dgm:spPr/>
      <dgm:t>
        <a:bodyPr/>
        <a:lstStyle/>
        <a:p>
          <a:endParaRPr lang="en-GB"/>
        </a:p>
      </dgm:t>
    </dgm:pt>
    <dgm:pt modelId="{F6C7C135-0C75-C04B-AC95-118BBB455AAD}" type="pres">
      <dgm:prSet presAssocID="{5AD6C63C-5A0A-0943-AC91-855448FD9FBE}" presName="hierChild1" presStyleCnt="0">
        <dgm:presLayoutVars>
          <dgm:orgChart val="1"/>
          <dgm:chPref val="1"/>
          <dgm:dir/>
          <dgm:animOne val="branch"/>
          <dgm:animLvl val="lvl"/>
          <dgm:resizeHandles/>
        </dgm:presLayoutVars>
      </dgm:prSet>
      <dgm:spPr/>
    </dgm:pt>
    <dgm:pt modelId="{EF22B100-80C6-ED47-9122-B648610595E8}" type="pres">
      <dgm:prSet presAssocID="{7BBCBC59-C950-704A-A58E-8783E725A504}" presName="hierRoot1" presStyleCnt="0">
        <dgm:presLayoutVars>
          <dgm:hierBranch val="init"/>
        </dgm:presLayoutVars>
      </dgm:prSet>
      <dgm:spPr/>
    </dgm:pt>
    <dgm:pt modelId="{AB2E903C-5E17-AD46-91FF-CC46A1F09A7D}" type="pres">
      <dgm:prSet presAssocID="{7BBCBC59-C950-704A-A58E-8783E725A504}" presName="rootComposite1" presStyleCnt="0"/>
      <dgm:spPr/>
    </dgm:pt>
    <dgm:pt modelId="{568FA62F-C448-0C47-AB21-CC13D3ECE921}" type="pres">
      <dgm:prSet presAssocID="{7BBCBC59-C950-704A-A58E-8783E725A504}" presName="rootText1" presStyleLbl="node0" presStyleIdx="0" presStyleCnt="1" custScaleX="332253" custScaleY="267269" custLinFactY="-70977" custLinFactNeighborX="-43976" custLinFactNeighborY="-100000">
        <dgm:presLayoutVars>
          <dgm:chPref val="3"/>
        </dgm:presLayoutVars>
      </dgm:prSet>
      <dgm:spPr/>
    </dgm:pt>
    <dgm:pt modelId="{05AE5F0C-6244-E447-ADF6-B641AEDA2214}" type="pres">
      <dgm:prSet presAssocID="{7BBCBC59-C950-704A-A58E-8783E725A504}" presName="rootConnector1" presStyleLbl="node1" presStyleIdx="0" presStyleCnt="0"/>
      <dgm:spPr/>
    </dgm:pt>
    <dgm:pt modelId="{63534D12-AFB9-6048-832F-D56ECCA177D1}" type="pres">
      <dgm:prSet presAssocID="{7BBCBC59-C950-704A-A58E-8783E725A504}" presName="hierChild2" presStyleCnt="0"/>
      <dgm:spPr/>
    </dgm:pt>
    <dgm:pt modelId="{B4EA81E9-5E28-8F46-809C-1D955AC8815D}" type="pres">
      <dgm:prSet presAssocID="{77389E3F-9254-5F44-A864-BF975035A860}" presName="Name37" presStyleLbl="parChTrans1D2" presStyleIdx="0" presStyleCnt="5"/>
      <dgm:spPr/>
    </dgm:pt>
    <dgm:pt modelId="{8F031567-6321-5E48-AEF9-A94944D2F3A8}" type="pres">
      <dgm:prSet presAssocID="{C3DC90E8-33BF-4E47-83F1-5069EFAA88CB}" presName="hierRoot2" presStyleCnt="0">
        <dgm:presLayoutVars>
          <dgm:hierBranch val="init"/>
        </dgm:presLayoutVars>
      </dgm:prSet>
      <dgm:spPr/>
    </dgm:pt>
    <dgm:pt modelId="{50AE1C5F-8E72-0040-AF5F-592BF0833AD6}" type="pres">
      <dgm:prSet presAssocID="{C3DC90E8-33BF-4E47-83F1-5069EFAA88CB}" presName="rootComposite" presStyleCnt="0"/>
      <dgm:spPr/>
    </dgm:pt>
    <dgm:pt modelId="{DA198F33-0754-3245-BC4F-07D066587A75}" type="pres">
      <dgm:prSet presAssocID="{C3DC90E8-33BF-4E47-83F1-5069EFAA88CB}" presName="rootText" presStyleLbl="node2" presStyleIdx="0" presStyleCnt="5" custScaleX="183851" custScaleY="200939" custLinFactX="100000" custLinFactNeighborX="157973" custLinFactNeighborY="-44330">
        <dgm:presLayoutVars>
          <dgm:chPref val="3"/>
        </dgm:presLayoutVars>
      </dgm:prSet>
      <dgm:spPr/>
    </dgm:pt>
    <dgm:pt modelId="{170384CF-2FB5-8342-877A-91484D8D52BF}" type="pres">
      <dgm:prSet presAssocID="{C3DC90E8-33BF-4E47-83F1-5069EFAA88CB}" presName="rootConnector" presStyleLbl="node2" presStyleIdx="0" presStyleCnt="5"/>
      <dgm:spPr/>
    </dgm:pt>
    <dgm:pt modelId="{65D6F2F6-4EAE-E448-B47C-C37C51DC6498}" type="pres">
      <dgm:prSet presAssocID="{C3DC90E8-33BF-4E47-83F1-5069EFAA88CB}" presName="hierChild4" presStyleCnt="0"/>
      <dgm:spPr/>
    </dgm:pt>
    <dgm:pt modelId="{6E07434F-A0BD-CC46-8C7B-5CE35E3D20B6}" type="pres">
      <dgm:prSet presAssocID="{C3DC90E8-33BF-4E47-83F1-5069EFAA88CB}" presName="hierChild5" presStyleCnt="0"/>
      <dgm:spPr/>
    </dgm:pt>
    <dgm:pt modelId="{DDAA25C0-0665-D84F-B0E6-FB0C3DFB5E02}" type="pres">
      <dgm:prSet presAssocID="{FDDC6BA9-2E91-2142-AE35-EB3418EB8FBD}" presName="Name37" presStyleLbl="parChTrans1D2" presStyleIdx="1" presStyleCnt="5"/>
      <dgm:spPr/>
    </dgm:pt>
    <dgm:pt modelId="{0C2B6798-155B-FD45-B0A1-88AC34223F4B}" type="pres">
      <dgm:prSet presAssocID="{2688E49F-AC1A-0640-86F6-99C7B0308DD2}" presName="hierRoot2" presStyleCnt="0">
        <dgm:presLayoutVars>
          <dgm:hierBranch val="init"/>
        </dgm:presLayoutVars>
      </dgm:prSet>
      <dgm:spPr/>
    </dgm:pt>
    <dgm:pt modelId="{F93F7672-BD75-1F48-B7C8-A56A73FA1809}" type="pres">
      <dgm:prSet presAssocID="{2688E49F-AC1A-0640-86F6-99C7B0308DD2}" presName="rootComposite" presStyleCnt="0"/>
      <dgm:spPr/>
    </dgm:pt>
    <dgm:pt modelId="{A7DBEC4D-706F-E34C-B723-A6DF82FC521B}" type="pres">
      <dgm:prSet presAssocID="{2688E49F-AC1A-0640-86F6-99C7B0308DD2}" presName="rootText" presStyleLbl="node2" presStyleIdx="1" presStyleCnt="5" custScaleX="238235" custScaleY="140437" custLinFactY="100000" custLinFactNeighborX="-73989" custLinFactNeighborY="185993">
        <dgm:presLayoutVars>
          <dgm:chPref val="3"/>
        </dgm:presLayoutVars>
      </dgm:prSet>
      <dgm:spPr/>
    </dgm:pt>
    <dgm:pt modelId="{2D93C93C-9B1B-624A-A30C-9178C711E16C}" type="pres">
      <dgm:prSet presAssocID="{2688E49F-AC1A-0640-86F6-99C7B0308DD2}" presName="rootConnector" presStyleLbl="node2" presStyleIdx="1" presStyleCnt="5"/>
      <dgm:spPr/>
    </dgm:pt>
    <dgm:pt modelId="{E812B6A1-4C0A-D049-A7F0-7C816C30D6C4}" type="pres">
      <dgm:prSet presAssocID="{2688E49F-AC1A-0640-86F6-99C7B0308DD2}" presName="hierChild4" presStyleCnt="0"/>
      <dgm:spPr/>
    </dgm:pt>
    <dgm:pt modelId="{027C5819-8C58-0341-8D6D-87378D53FC54}" type="pres">
      <dgm:prSet presAssocID="{2688E49F-AC1A-0640-86F6-99C7B0308DD2}" presName="hierChild5" presStyleCnt="0"/>
      <dgm:spPr/>
    </dgm:pt>
    <dgm:pt modelId="{2971849E-B570-2048-A445-46724C422EA7}" type="pres">
      <dgm:prSet presAssocID="{82FE9F65-8ED3-614C-984E-F903F33DFD2D}" presName="Name37" presStyleLbl="parChTrans1D2" presStyleIdx="2" presStyleCnt="5"/>
      <dgm:spPr/>
    </dgm:pt>
    <dgm:pt modelId="{BE98AC52-18CB-E642-A503-A08E1A260CAE}" type="pres">
      <dgm:prSet presAssocID="{5DB2780D-03A6-B84B-BF90-D4266A2F750C}" presName="hierRoot2" presStyleCnt="0">
        <dgm:presLayoutVars>
          <dgm:hierBranch val="init"/>
        </dgm:presLayoutVars>
      </dgm:prSet>
      <dgm:spPr/>
    </dgm:pt>
    <dgm:pt modelId="{4498ABF8-20A5-1945-B37F-AB28DA6B0B35}" type="pres">
      <dgm:prSet presAssocID="{5DB2780D-03A6-B84B-BF90-D4266A2F750C}" presName="rootComposite" presStyleCnt="0"/>
      <dgm:spPr/>
    </dgm:pt>
    <dgm:pt modelId="{54CED56B-5354-D745-8FBD-2EF7CC66363A}" type="pres">
      <dgm:prSet presAssocID="{5DB2780D-03A6-B84B-BF90-D4266A2F750C}" presName="rootText" presStyleLbl="node2" presStyleIdx="2" presStyleCnt="5" custScaleX="205397" custScaleY="149751" custLinFactY="100000" custLinFactNeighborX="-34406" custLinFactNeighborY="195720">
        <dgm:presLayoutVars>
          <dgm:chPref val="3"/>
        </dgm:presLayoutVars>
      </dgm:prSet>
      <dgm:spPr/>
    </dgm:pt>
    <dgm:pt modelId="{8630F5FC-C630-FB48-BCB7-117CE5F9029A}" type="pres">
      <dgm:prSet presAssocID="{5DB2780D-03A6-B84B-BF90-D4266A2F750C}" presName="rootConnector" presStyleLbl="node2" presStyleIdx="2" presStyleCnt="5"/>
      <dgm:spPr/>
    </dgm:pt>
    <dgm:pt modelId="{846E63B5-D608-FF49-B118-83A80B5461E2}" type="pres">
      <dgm:prSet presAssocID="{5DB2780D-03A6-B84B-BF90-D4266A2F750C}" presName="hierChild4" presStyleCnt="0"/>
      <dgm:spPr/>
    </dgm:pt>
    <dgm:pt modelId="{FA129837-379C-F848-948C-E5D937530567}" type="pres">
      <dgm:prSet presAssocID="{5DB2780D-03A6-B84B-BF90-D4266A2F750C}" presName="hierChild5" presStyleCnt="0"/>
      <dgm:spPr/>
    </dgm:pt>
    <dgm:pt modelId="{76ECFF1D-3F6A-1240-AB26-0B709F2C32F5}" type="pres">
      <dgm:prSet presAssocID="{B915B68F-AA7D-9B4D-A6CC-73B8AFB2D244}" presName="Name37" presStyleLbl="parChTrans1D2" presStyleIdx="3" presStyleCnt="5"/>
      <dgm:spPr/>
    </dgm:pt>
    <dgm:pt modelId="{CB0423B5-1556-C841-9FF8-4FD1E67700D6}" type="pres">
      <dgm:prSet presAssocID="{CEC9AE90-CAA1-F64C-9CF2-2D377F06012F}" presName="hierRoot2" presStyleCnt="0">
        <dgm:presLayoutVars>
          <dgm:hierBranch val="init"/>
        </dgm:presLayoutVars>
      </dgm:prSet>
      <dgm:spPr/>
    </dgm:pt>
    <dgm:pt modelId="{9E55AF9C-30FB-D34B-A12F-A9ACF0E18F4F}" type="pres">
      <dgm:prSet presAssocID="{CEC9AE90-CAA1-F64C-9CF2-2D377F06012F}" presName="rootComposite" presStyleCnt="0"/>
      <dgm:spPr/>
    </dgm:pt>
    <dgm:pt modelId="{C828F8E5-DF34-C248-BD6E-62C0D972CAE6}" type="pres">
      <dgm:prSet presAssocID="{CEC9AE90-CAA1-F64C-9CF2-2D377F06012F}" presName="rootText" presStyleLbl="node2" presStyleIdx="3" presStyleCnt="5" custScaleX="177812" custScaleY="159743" custLinFactY="100000" custLinFactNeighborX="28112" custLinFactNeighborY="186601">
        <dgm:presLayoutVars>
          <dgm:chPref val="3"/>
        </dgm:presLayoutVars>
      </dgm:prSet>
      <dgm:spPr/>
    </dgm:pt>
    <dgm:pt modelId="{D2987459-F8C4-EC45-B0B5-13FA189FF6CA}" type="pres">
      <dgm:prSet presAssocID="{CEC9AE90-CAA1-F64C-9CF2-2D377F06012F}" presName="rootConnector" presStyleLbl="node2" presStyleIdx="3" presStyleCnt="5"/>
      <dgm:spPr/>
    </dgm:pt>
    <dgm:pt modelId="{31FBF1BD-2163-7745-A64A-4815E7D81E1E}" type="pres">
      <dgm:prSet presAssocID="{CEC9AE90-CAA1-F64C-9CF2-2D377F06012F}" presName="hierChild4" presStyleCnt="0"/>
      <dgm:spPr/>
    </dgm:pt>
    <dgm:pt modelId="{A6CF9343-5DA5-2E4B-A229-A93AC8FDF8C7}" type="pres">
      <dgm:prSet presAssocID="{CEC9AE90-CAA1-F64C-9CF2-2D377F06012F}" presName="hierChild5" presStyleCnt="0"/>
      <dgm:spPr/>
    </dgm:pt>
    <dgm:pt modelId="{FB8D2CF4-7CAF-7841-A5B7-CD90A3E27040}" type="pres">
      <dgm:prSet presAssocID="{6BF6191B-B4F5-0248-9B70-27783B012DAA}" presName="Name37" presStyleLbl="parChTrans1D2" presStyleIdx="4" presStyleCnt="5"/>
      <dgm:spPr/>
    </dgm:pt>
    <dgm:pt modelId="{85A8ACCD-0E55-604B-9D79-85996BC5F1B4}" type="pres">
      <dgm:prSet presAssocID="{DD114634-24BF-3B4B-B362-D0EE460A34CE}" presName="hierRoot2" presStyleCnt="0">
        <dgm:presLayoutVars>
          <dgm:hierBranch val="init"/>
        </dgm:presLayoutVars>
      </dgm:prSet>
      <dgm:spPr/>
    </dgm:pt>
    <dgm:pt modelId="{91DD10DA-1D59-5D4E-824B-B19FBFCB1841}" type="pres">
      <dgm:prSet presAssocID="{DD114634-24BF-3B4B-B362-D0EE460A34CE}" presName="rootComposite" presStyleCnt="0"/>
      <dgm:spPr/>
    </dgm:pt>
    <dgm:pt modelId="{535AC3CA-1DBD-5A46-9F93-4F0856AFE36B}" type="pres">
      <dgm:prSet presAssocID="{DD114634-24BF-3B4B-B362-D0EE460A34CE}" presName="rootText" presStyleLbl="node2" presStyleIdx="4" presStyleCnt="5" custScaleX="264958" custScaleY="430642" custLinFactY="-69388" custLinFactNeighborX="-42199" custLinFactNeighborY="-100000">
        <dgm:presLayoutVars>
          <dgm:chPref val="3"/>
        </dgm:presLayoutVars>
      </dgm:prSet>
      <dgm:spPr/>
    </dgm:pt>
    <dgm:pt modelId="{D2B615B0-BDE4-8440-AA48-1376B33066E4}" type="pres">
      <dgm:prSet presAssocID="{DD114634-24BF-3B4B-B362-D0EE460A34CE}" presName="rootConnector" presStyleLbl="node2" presStyleIdx="4" presStyleCnt="5"/>
      <dgm:spPr/>
    </dgm:pt>
    <dgm:pt modelId="{FCC0A820-DFC6-D640-9992-A3B86D149ACB}" type="pres">
      <dgm:prSet presAssocID="{DD114634-24BF-3B4B-B362-D0EE460A34CE}" presName="hierChild4" presStyleCnt="0"/>
      <dgm:spPr/>
    </dgm:pt>
    <dgm:pt modelId="{B2A9EC5A-06BA-E644-B6FC-16409DDBFFAB}" type="pres">
      <dgm:prSet presAssocID="{DD114634-24BF-3B4B-B362-D0EE460A34CE}" presName="hierChild5" presStyleCnt="0"/>
      <dgm:spPr/>
    </dgm:pt>
    <dgm:pt modelId="{9FF40665-7F45-0C45-B27A-5021C91B8231}" type="pres">
      <dgm:prSet presAssocID="{7BBCBC59-C950-704A-A58E-8783E725A504}" presName="hierChild3" presStyleCnt="0"/>
      <dgm:spPr/>
    </dgm:pt>
  </dgm:ptLst>
  <dgm:cxnLst>
    <dgm:cxn modelId="{527A5111-99CA-D148-A167-778A3D2EB3E1}" type="presOf" srcId="{C3DC90E8-33BF-4E47-83F1-5069EFAA88CB}" destId="{DA198F33-0754-3245-BC4F-07D066587A75}" srcOrd="0" destOrd="0" presId="urn:microsoft.com/office/officeart/2005/8/layout/orgChart1"/>
    <dgm:cxn modelId="{E13D4814-AC51-8A48-9E88-DCCA3EFE395B}" type="presOf" srcId="{C3DC90E8-33BF-4E47-83F1-5069EFAA88CB}" destId="{170384CF-2FB5-8342-877A-91484D8D52BF}" srcOrd="1" destOrd="0" presId="urn:microsoft.com/office/officeart/2005/8/layout/orgChart1"/>
    <dgm:cxn modelId="{4CAB1D16-753A-1C43-B1EA-DEFBBF3D5AE5}" srcId="{7BBCBC59-C950-704A-A58E-8783E725A504}" destId="{CEC9AE90-CAA1-F64C-9CF2-2D377F06012F}" srcOrd="3" destOrd="0" parTransId="{B915B68F-AA7D-9B4D-A6CC-73B8AFB2D244}" sibTransId="{2E264D59-804B-D741-9460-F69588866B8D}"/>
    <dgm:cxn modelId="{F4D64833-9A66-AE4C-AC4B-8A39675066AD}" type="presOf" srcId="{2688E49F-AC1A-0640-86F6-99C7B0308DD2}" destId="{2D93C93C-9B1B-624A-A30C-9178C711E16C}" srcOrd="1" destOrd="0" presId="urn:microsoft.com/office/officeart/2005/8/layout/orgChart1"/>
    <dgm:cxn modelId="{39DBBC33-A9D3-2242-B115-177AAFF9E7BC}" type="presOf" srcId="{6BF6191B-B4F5-0248-9B70-27783B012DAA}" destId="{FB8D2CF4-7CAF-7841-A5B7-CD90A3E27040}" srcOrd="0" destOrd="0" presId="urn:microsoft.com/office/officeart/2005/8/layout/orgChart1"/>
    <dgm:cxn modelId="{AAFAD234-5C53-F945-B790-7954DF2050EE}" type="presOf" srcId="{DD114634-24BF-3B4B-B362-D0EE460A34CE}" destId="{535AC3CA-1DBD-5A46-9F93-4F0856AFE36B}" srcOrd="0" destOrd="0" presId="urn:microsoft.com/office/officeart/2005/8/layout/orgChart1"/>
    <dgm:cxn modelId="{96169540-D1EB-9E4F-B268-A2B80C44CB45}" srcId="{7BBCBC59-C950-704A-A58E-8783E725A504}" destId="{C3DC90E8-33BF-4E47-83F1-5069EFAA88CB}" srcOrd="0" destOrd="0" parTransId="{77389E3F-9254-5F44-A864-BF975035A860}" sibTransId="{7F9808D3-B4F9-3944-B191-63685AC427FC}"/>
    <dgm:cxn modelId="{A038D860-9011-1048-8C5C-F29F40541FD5}" type="presOf" srcId="{FDDC6BA9-2E91-2142-AE35-EB3418EB8FBD}" destId="{DDAA25C0-0665-D84F-B0E6-FB0C3DFB5E02}" srcOrd="0" destOrd="0" presId="urn:microsoft.com/office/officeart/2005/8/layout/orgChart1"/>
    <dgm:cxn modelId="{B956E071-D2C0-094A-9788-9157C21A7661}" srcId="{7BBCBC59-C950-704A-A58E-8783E725A504}" destId="{5DB2780D-03A6-B84B-BF90-D4266A2F750C}" srcOrd="2" destOrd="0" parTransId="{82FE9F65-8ED3-614C-984E-F903F33DFD2D}" sibTransId="{869EB232-24AC-854D-9E14-567130D81594}"/>
    <dgm:cxn modelId="{C57A9558-A613-C847-87D6-EED837E2E3D8}" type="presOf" srcId="{5DB2780D-03A6-B84B-BF90-D4266A2F750C}" destId="{54CED56B-5354-D745-8FBD-2EF7CC66363A}" srcOrd="0" destOrd="0" presId="urn:microsoft.com/office/officeart/2005/8/layout/orgChart1"/>
    <dgm:cxn modelId="{4DC2D57C-E2F3-DC4D-A0EB-8E68940D50BB}" type="presOf" srcId="{2688E49F-AC1A-0640-86F6-99C7B0308DD2}" destId="{A7DBEC4D-706F-E34C-B723-A6DF82FC521B}" srcOrd="0" destOrd="0" presId="urn:microsoft.com/office/officeart/2005/8/layout/orgChart1"/>
    <dgm:cxn modelId="{4CB59E7D-98E7-1647-B01E-2CACCEC7797B}" type="presOf" srcId="{7BBCBC59-C950-704A-A58E-8783E725A504}" destId="{05AE5F0C-6244-E447-ADF6-B641AEDA2214}" srcOrd="1" destOrd="0" presId="urn:microsoft.com/office/officeart/2005/8/layout/orgChart1"/>
    <dgm:cxn modelId="{8C939581-5C18-B64E-A99E-50E1C4DEC19C}" type="presOf" srcId="{DD114634-24BF-3B4B-B362-D0EE460A34CE}" destId="{D2B615B0-BDE4-8440-AA48-1376B33066E4}" srcOrd="1" destOrd="0" presId="urn:microsoft.com/office/officeart/2005/8/layout/orgChart1"/>
    <dgm:cxn modelId="{E5B9CE81-E6C6-B048-B474-94BE201DB19C}" type="presOf" srcId="{7BBCBC59-C950-704A-A58E-8783E725A504}" destId="{568FA62F-C448-0C47-AB21-CC13D3ECE921}" srcOrd="0" destOrd="0" presId="urn:microsoft.com/office/officeart/2005/8/layout/orgChart1"/>
    <dgm:cxn modelId="{B4D7E388-B95D-6046-A929-12855B781F58}" type="presOf" srcId="{B915B68F-AA7D-9B4D-A6CC-73B8AFB2D244}" destId="{76ECFF1D-3F6A-1240-AB26-0B709F2C32F5}" srcOrd="0" destOrd="0" presId="urn:microsoft.com/office/officeart/2005/8/layout/orgChart1"/>
    <dgm:cxn modelId="{EE89D99E-3E11-C744-9E56-40D1AD544573}" type="presOf" srcId="{77389E3F-9254-5F44-A864-BF975035A860}" destId="{B4EA81E9-5E28-8F46-809C-1D955AC8815D}" srcOrd="0" destOrd="0" presId="urn:microsoft.com/office/officeart/2005/8/layout/orgChart1"/>
    <dgm:cxn modelId="{F5A2CBA3-BE08-DA4E-9E48-F4442740FEE6}" srcId="{7BBCBC59-C950-704A-A58E-8783E725A504}" destId="{2688E49F-AC1A-0640-86F6-99C7B0308DD2}" srcOrd="1" destOrd="0" parTransId="{FDDC6BA9-2E91-2142-AE35-EB3418EB8FBD}" sibTransId="{1EFC5094-F00E-2246-BC20-0B699B469EB1}"/>
    <dgm:cxn modelId="{0C1A35A6-57A2-FE4D-B0D4-B4CB4C0E6B7B}" type="presOf" srcId="{CEC9AE90-CAA1-F64C-9CF2-2D377F06012F}" destId="{D2987459-F8C4-EC45-B0B5-13FA189FF6CA}" srcOrd="1" destOrd="0" presId="urn:microsoft.com/office/officeart/2005/8/layout/orgChart1"/>
    <dgm:cxn modelId="{C6DE5AAA-0796-294E-B631-25FFC6982686}" type="presOf" srcId="{CEC9AE90-CAA1-F64C-9CF2-2D377F06012F}" destId="{C828F8E5-DF34-C248-BD6E-62C0D972CAE6}" srcOrd="0" destOrd="0" presId="urn:microsoft.com/office/officeart/2005/8/layout/orgChart1"/>
    <dgm:cxn modelId="{7E392EAC-8ACB-1E4F-85C1-D8FF3845A732}" type="presOf" srcId="{82FE9F65-8ED3-614C-984E-F903F33DFD2D}" destId="{2971849E-B570-2048-A445-46724C422EA7}" srcOrd="0" destOrd="0" presId="urn:microsoft.com/office/officeart/2005/8/layout/orgChart1"/>
    <dgm:cxn modelId="{9DF4DFD8-009E-7D45-8620-E0C8B23A3C09}" type="presOf" srcId="{5AD6C63C-5A0A-0943-AC91-855448FD9FBE}" destId="{F6C7C135-0C75-C04B-AC95-118BBB455AAD}" srcOrd="0" destOrd="0" presId="urn:microsoft.com/office/officeart/2005/8/layout/orgChart1"/>
    <dgm:cxn modelId="{F24B9CD9-D6AF-5144-8A5C-1AA76028CF4F}" srcId="{7BBCBC59-C950-704A-A58E-8783E725A504}" destId="{DD114634-24BF-3B4B-B362-D0EE460A34CE}" srcOrd="4" destOrd="0" parTransId="{6BF6191B-B4F5-0248-9B70-27783B012DAA}" sibTransId="{7541CD53-6832-1C4D-8870-C3D2B1FE5CC0}"/>
    <dgm:cxn modelId="{0BE78EF8-BF7A-A847-B707-D7865EA0E18D}" type="presOf" srcId="{5DB2780D-03A6-B84B-BF90-D4266A2F750C}" destId="{8630F5FC-C630-FB48-BCB7-117CE5F9029A}" srcOrd="1" destOrd="0" presId="urn:microsoft.com/office/officeart/2005/8/layout/orgChart1"/>
    <dgm:cxn modelId="{E1A56FFD-A6C7-E543-BC4D-A9E72BE1C206}" srcId="{5AD6C63C-5A0A-0943-AC91-855448FD9FBE}" destId="{7BBCBC59-C950-704A-A58E-8783E725A504}" srcOrd="0" destOrd="0" parTransId="{C3C4F9AC-B5A9-9D40-8C79-0B8C68089F3C}" sibTransId="{4D2A4848-7BD4-C643-BD0F-C323BAA3F368}"/>
    <dgm:cxn modelId="{F73726CD-84A2-1B49-BA98-1D034724FB25}" type="presParOf" srcId="{F6C7C135-0C75-C04B-AC95-118BBB455AAD}" destId="{EF22B100-80C6-ED47-9122-B648610595E8}" srcOrd="0" destOrd="0" presId="urn:microsoft.com/office/officeart/2005/8/layout/orgChart1"/>
    <dgm:cxn modelId="{A905E16F-437B-9945-AF87-13B0E0AC1137}" type="presParOf" srcId="{EF22B100-80C6-ED47-9122-B648610595E8}" destId="{AB2E903C-5E17-AD46-91FF-CC46A1F09A7D}" srcOrd="0" destOrd="0" presId="urn:microsoft.com/office/officeart/2005/8/layout/orgChart1"/>
    <dgm:cxn modelId="{60BAE60C-BEEB-7542-A484-E34F8CE6D3CA}" type="presParOf" srcId="{AB2E903C-5E17-AD46-91FF-CC46A1F09A7D}" destId="{568FA62F-C448-0C47-AB21-CC13D3ECE921}" srcOrd="0" destOrd="0" presId="urn:microsoft.com/office/officeart/2005/8/layout/orgChart1"/>
    <dgm:cxn modelId="{49D98C2F-756F-9842-B782-40436858D0BD}" type="presParOf" srcId="{AB2E903C-5E17-AD46-91FF-CC46A1F09A7D}" destId="{05AE5F0C-6244-E447-ADF6-B641AEDA2214}" srcOrd="1" destOrd="0" presId="urn:microsoft.com/office/officeart/2005/8/layout/orgChart1"/>
    <dgm:cxn modelId="{062F979A-10EE-B144-BFD6-7676BE9605D1}" type="presParOf" srcId="{EF22B100-80C6-ED47-9122-B648610595E8}" destId="{63534D12-AFB9-6048-832F-D56ECCA177D1}" srcOrd="1" destOrd="0" presId="urn:microsoft.com/office/officeart/2005/8/layout/orgChart1"/>
    <dgm:cxn modelId="{04D938BD-F866-FA4F-A2A5-6FC5B0AEAA9B}" type="presParOf" srcId="{63534D12-AFB9-6048-832F-D56ECCA177D1}" destId="{B4EA81E9-5E28-8F46-809C-1D955AC8815D}" srcOrd="0" destOrd="0" presId="urn:microsoft.com/office/officeart/2005/8/layout/orgChart1"/>
    <dgm:cxn modelId="{6E4D4C57-1437-CA4A-875B-311093D5336A}" type="presParOf" srcId="{63534D12-AFB9-6048-832F-D56ECCA177D1}" destId="{8F031567-6321-5E48-AEF9-A94944D2F3A8}" srcOrd="1" destOrd="0" presId="urn:microsoft.com/office/officeart/2005/8/layout/orgChart1"/>
    <dgm:cxn modelId="{03677869-A0AA-E744-BCE6-E983841629E3}" type="presParOf" srcId="{8F031567-6321-5E48-AEF9-A94944D2F3A8}" destId="{50AE1C5F-8E72-0040-AF5F-592BF0833AD6}" srcOrd="0" destOrd="0" presId="urn:microsoft.com/office/officeart/2005/8/layout/orgChart1"/>
    <dgm:cxn modelId="{B4EE73D8-2C01-9B43-9D99-308E82901EF1}" type="presParOf" srcId="{50AE1C5F-8E72-0040-AF5F-592BF0833AD6}" destId="{DA198F33-0754-3245-BC4F-07D066587A75}" srcOrd="0" destOrd="0" presId="urn:microsoft.com/office/officeart/2005/8/layout/orgChart1"/>
    <dgm:cxn modelId="{F86BEF20-606F-0D44-A7D9-C36F58EA6290}" type="presParOf" srcId="{50AE1C5F-8E72-0040-AF5F-592BF0833AD6}" destId="{170384CF-2FB5-8342-877A-91484D8D52BF}" srcOrd="1" destOrd="0" presId="urn:microsoft.com/office/officeart/2005/8/layout/orgChart1"/>
    <dgm:cxn modelId="{9525188B-853E-A048-B7E5-3AA85490416B}" type="presParOf" srcId="{8F031567-6321-5E48-AEF9-A94944D2F3A8}" destId="{65D6F2F6-4EAE-E448-B47C-C37C51DC6498}" srcOrd="1" destOrd="0" presId="urn:microsoft.com/office/officeart/2005/8/layout/orgChart1"/>
    <dgm:cxn modelId="{E6260F31-5266-154E-BFDD-C028593B1087}" type="presParOf" srcId="{8F031567-6321-5E48-AEF9-A94944D2F3A8}" destId="{6E07434F-A0BD-CC46-8C7B-5CE35E3D20B6}" srcOrd="2" destOrd="0" presId="urn:microsoft.com/office/officeart/2005/8/layout/orgChart1"/>
    <dgm:cxn modelId="{6E788F75-D163-1C4C-A5EA-DEF6D19B1109}" type="presParOf" srcId="{63534D12-AFB9-6048-832F-D56ECCA177D1}" destId="{DDAA25C0-0665-D84F-B0E6-FB0C3DFB5E02}" srcOrd="2" destOrd="0" presId="urn:microsoft.com/office/officeart/2005/8/layout/orgChart1"/>
    <dgm:cxn modelId="{C669A9F2-4858-714A-AA65-EF2AECE0AF76}" type="presParOf" srcId="{63534D12-AFB9-6048-832F-D56ECCA177D1}" destId="{0C2B6798-155B-FD45-B0A1-88AC34223F4B}" srcOrd="3" destOrd="0" presId="urn:microsoft.com/office/officeart/2005/8/layout/orgChart1"/>
    <dgm:cxn modelId="{EDB05A58-8869-C142-8477-21C68013085E}" type="presParOf" srcId="{0C2B6798-155B-FD45-B0A1-88AC34223F4B}" destId="{F93F7672-BD75-1F48-B7C8-A56A73FA1809}" srcOrd="0" destOrd="0" presId="urn:microsoft.com/office/officeart/2005/8/layout/orgChart1"/>
    <dgm:cxn modelId="{1F0E15A4-3D19-0644-8106-6B61AD22BFC7}" type="presParOf" srcId="{F93F7672-BD75-1F48-B7C8-A56A73FA1809}" destId="{A7DBEC4D-706F-E34C-B723-A6DF82FC521B}" srcOrd="0" destOrd="0" presId="urn:microsoft.com/office/officeart/2005/8/layout/orgChart1"/>
    <dgm:cxn modelId="{283D2613-9DCF-DC40-AC29-73A160B1078A}" type="presParOf" srcId="{F93F7672-BD75-1F48-B7C8-A56A73FA1809}" destId="{2D93C93C-9B1B-624A-A30C-9178C711E16C}" srcOrd="1" destOrd="0" presId="urn:microsoft.com/office/officeart/2005/8/layout/orgChart1"/>
    <dgm:cxn modelId="{A3D103C3-5F8E-3C40-B381-0A1DECD31B33}" type="presParOf" srcId="{0C2B6798-155B-FD45-B0A1-88AC34223F4B}" destId="{E812B6A1-4C0A-D049-A7F0-7C816C30D6C4}" srcOrd="1" destOrd="0" presId="urn:microsoft.com/office/officeart/2005/8/layout/orgChart1"/>
    <dgm:cxn modelId="{7E3843BC-CECE-AE48-BE38-74E8D0C17B67}" type="presParOf" srcId="{0C2B6798-155B-FD45-B0A1-88AC34223F4B}" destId="{027C5819-8C58-0341-8D6D-87378D53FC54}" srcOrd="2" destOrd="0" presId="urn:microsoft.com/office/officeart/2005/8/layout/orgChart1"/>
    <dgm:cxn modelId="{B4BDD6EC-84CA-9946-BDB9-E77C9D28D703}" type="presParOf" srcId="{63534D12-AFB9-6048-832F-D56ECCA177D1}" destId="{2971849E-B570-2048-A445-46724C422EA7}" srcOrd="4" destOrd="0" presId="urn:microsoft.com/office/officeart/2005/8/layout/orgChart1"/>
    <dgm:cxn modelId="{A05CB1B6-72CA-6A40-A356-5CFC270F7290}" type="presParOf" srcId="{63534D12-AFB9-6048-832F-D56ECCA177D1}" destId="{BE98AC52-18CB-E642-A503-A08E1A260CAE}" srcOrd="5" destOrd="0" presId="urn:microsoft.com/office/officeart/2005/8/layout/orgChart1"/>
    <dgm:cxn modelId="{641641E4-4318-0A41-B257-810A8EAFC174}" type="presParOf" srcId="{BE98AC52-18CB-E642-A503-A08E1A260CAE}" destId="{4498ABF8-20A5-1945-B37F-AB28DA6B0B35}" srcOrd="0" destOrd="0" presId="urn:microsoft.com/office/officeart/2005/8/layout/orgChart1"/>
    <dgm:cxn modelId="{88841D94-E300-F648-B081-6777808CD6EF}" type="presParOf" srcId="{4498ABF8-20A5-1945-B37F-AB28DA6B0B35}" destId="{54CED56B-5354-D745-8FBD-2EF7CC66363A}" srcOrd="0" destOrd="0" presId="urn:microsoft.com/office/officeart/2005/8/layout/orgChart1"/>
    <dgm:cxn modelId="{2BF52554-3145-7045-937E-D896C89870C6}" type="presParOf" srcId="{4498ABF8-20A5-1945-B37F-AB28DA6B0B35}" destId="{8630F5FC-C630-FB48-BCB7-117CE5F9029A}" srcOrd="1" destOrd="0" presId="urn:microsoft.com/office/officeart/2005/8/layout/orgChart1"/>
    <dgm:cxn modelId="{D5978496-2F3B-844D-A065-1D2054484262}" type="presParOf" srcId="{BE98AC52-18CB-E642-A503-A08E1A260CAE}" destId="{846E63B5-D608-FF49-B118-83A80B5461E2}" srcOrd="1" destOrd="0" presId="urn:microsoft.com/office/officeart/2005/8/layout/orgChart1"/>
    <dgm:cxn modelId="{34BA891F-172B-D14F-926A-166DA7C3307B}" type="presParOf" srcId="{BE98AC52-18CB-E642-A503-A08E1A260CAE}" destId="{FA129837-379C-F848-948C-E5D937530567}" srcOrd="2" destOrd="0" presId="urn:microsoft.com/office/officeart/2005/8/layout/orgChart1"/>
    <dgm:cxn modelId="{02CE8DC8-ACE6-2D40-B9A9-CA5F414BDEF1}" type="presParOf" srcId="{63534D12-AFB9-6048-832F-D56ECCA177D1}" destId="{76ECFF1D-3F6A-1240-AB26-0B709F2C32F5}" srcOrd="6" destOrd="0" presId="urn:microsoft.com/office/officeart/2005/8/layout/orgChart1"/>
    <dgm:cxn modelId="{E506A419-2BC8-3A48-BB8A-CF6F42DB11B5}" type="presParOf" srcId="{63534D12-AFB9-6048-832F-D56ECCA177D1}" destId="{CB0423B5-1556-C841-9FF8-4FD1E67700D6}" srcOrd="7" destOrd="0" presId="urn:microsoft.com/office/officeart/2005/8/layout/orgChart1"/>
    <dgm:cxn modelId="{A923832F-95C2-0544-BF08-B09B684D58F4}" type="presParOf" srcId="{CB0423B5-1556-C841-9FF8-4FD1E67700D6}" destId="{9E55AF9C-30FB-D34B-A12F-A9ACF0E18F4F}" srcOrd="0" destOrd="0" presId="urn:microsoft.com/office/officeart/2005/8/layout/orgChart1"/>
    <dgm:cxn modelId="{4383D2BB-AB66-B848-ABAE-3A586902B2D4}" type="presParOf" srcId="{9E55AF9C-30FB-D34B-A12F-A9ACF0E18F4F}" destId="{C828F8E5-DF34-C248-BD6E-62C0D972CAE6}" srcOrd="0" destOrd="0" presId="urn:microsoft.com/office/officeart/2005/8/layout/orgChart1"/>
    <dgm:cxn modelId="{907EA31D-5E35-C144-82E1-E0069D21F441}" type="presParOf" srcId="{9E55AF9C-30FB-D34B-A12F-A9ACF0E18F4F}" destId="{D2987459-F8C4-EC45-B0B5-13FA189FF6CA}" srcOrd="1" destOrd="0" presId="urn:microsoft.com/office/officeart/2005/8/layout/orgChart1"/>
    <dgm:cxn modelId="{79C3C96B-B28A-0249-8696-BC260DB24F2A}" type="presParOf" srcId="{CB0423B5-1556-C841-9FF8-4FD1E67700D6}" destId="{31FBF1BD-2163-7745-A64A-4815E7D81E1E}" srcOrd="1" destOrd="0" presId="urn:microsoft.com/office/officeart/2005/8/layout/orgChart1"/>
    <dgm:cxn modelId="{6AB3FCF6-3BB6-9A44-ABB8-EB605967E4E9}" type="presParOf" srcId="{CB0423B5-1556-C841-9FF8-4FD1E67700D6}" destId="{A6CF9343-5DA5-2E4B-A229-A93AC8FDF8C7}" srcOrd="2" destOrd="0" presId="urn:microsoft.com/office/officeart/2005/8/layout/orgChart1"/>
    <dgm:cxn modelId="{027B8D66-B89B-D348-9D2F-F96541BA20C9}" type="presParOf" srcId="{63534D12-AFB9-6048-832F-D56ECCA177D1}" destId="{FB8D2CF4-7CAF-7841-A5B7-CD90A3E27040}" srcOrd="8" destOrd="0" presId="urn:microsoft.com/office/officeart/2005/8/layout/orgChart1"/>
    <dgm:cxn modelId="{3D76099A-8587-0447-8DD7-5F2B916D227C}" type="presParOf" srcId="{63534D12-AFB9-6048-832F-D56ECCA177D1}" destId="{85A8ACCD-0E55-604B-9D79-85996BC5F1B4}" srcOrd="9" destOrd="0" presId="urn:microsoft.com/office/officeart/2005/8/layout/orgChart1"/>
    <dgm:cxn modelId="{99E86674-273C-204D-9676-8DFDE4CB303B}" type="presParOf" srcId="{85A8ACCD-0E55-604B-9D79-85996BC5F1B4}" destId="{91DD10DA-1D59-5D4E-824B-B19FBFCB1841}" srcOrd="0" destOrd="0" presId="urn:microsoft.com/office/officeart/2005/8/layout/orgChart1"/>
    <dgm:cxn modelId="{446C65D6-8F48-E84A-8087-E5CA75D45813}" type="presParOf" srcId="{91DD10DA-1D59-5D4E-824B-B19FBFCB1841}" destId="{535AC3CA-1DBD-5A46-9F93-4F0856AFE36B}" srcOrd="0" destOrd="0" presId="urn:microsoft.com/office/officeart/2005/8/layout/orgChart1"/>
    <dgm:cxn modelId="{1C8D40C0-2628-1D48-B4E5-5F7AE3A3AFF4}" type="presParOf" srcId="{91DD10DA-1D59-5D4E-824B-B19FBFCB1841}" destId="{D2B615B0-BDE4-8440-AA48-1376B33066E4}" srcOrd="1" destOrd="0" presId="urn:microsoft.com/office/officeart/2005/8/layout/orgChart1"/>
    <dgm:cxn modelId="{6659CCF7-26C7-5443-860B-B8FC178B739F}" type="presParOf" srcId="{85A8ACCD-0E55-604B-9D79-85996BC5F1B4}" destId="{FCC0A820-DFC6-D640-9992-A3B86D149ACB}" srcOrd="1" destOrd="0" presId="urn:microsoft.com/office/officeart/2005/8/layout/orgChart1"/>
    <dgm:cxn modelId="{CF83636D-CECF-6C49-AF27-77EA89BF80B6}" type="presParOf" srcId="{85A8ACCD-0E55-604B-9D79-85996BC5F1B4}" destId="{B2A9EC5A-06BA-E644-B6FC-16409DDBFFAB}" srcOrd="2" destOrd="0" presId="urn:microsoft.com/office/officeart/2005/8/layout/orgChart1"/>
    <dgm:cxn modelId="{B2F1F75F-7BDF-364E-B6AB-F681AE7770A6}" type="presParOf" srcId="{EF22B100-80C6-ED47-9122-B648610595E8}" destId="{9FF40665-7F45-0C45-B27A-5021C91B823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D2CF4-7CAF-7841-A5B7-CD90A3E27040}">
      <dsp:nvSpPr>
        <dsp:cNvPr id="0" name=""/>
        <dsp:cNvSpPr/>
      </dsp:nvSpPr>
      <dsp:spPr>
        <a:xfrm>
          <a:off x="2407736" y="684553"/>
          <a:ext cx="2013085" cy="98279"/>
        </a:xfrm>
        <a:custGeom>
          <a:avLst/>
          <a:gdLst/>
          <a:ahLst/>
          <a:cxnLst/>
          <a:rect l="0" t="0" r="0" b="0"/>
          <a:pathLst>
            <a:path>
              <a:moveTo>
                <a:pt x="0" y="0"/>
              </a:moveTo>
              <a:lnTo>
                <a:pt x="0" y="50930"/>
              </a:lnTo>
              <a:lnTo>
                <a:pt x="2013085" y="50930"/>
              </a:lnTo>
              <a:lnTo>
                <a:pt x="2013085" y="9827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ECFF1D-3F6A-1240-AB26-0B709F2C32F5}">
      <dsp:nvSpPr>
        <dsp:cNvPr id="0" name=""/>
        <dsp:cNvSpPr/>
      </dsp:nvSpPr>
      <dsp:spPr>
        <a:xfrm>
          <a:off x="2407736" y="684553"/>
          <a:ext cx="1237143" cy="1126386"/>
        </a:xfrm>
        <a:custGeom>
          <a:avLst/>
          <a:gdLst/>
          <a:ahLst/>
          <a:cxnLst/>
          <a:rect l="0" t="0" r="0" b="0"/>
          <a:pathLst>
            <a:path>
              <a:moveTo>
                <a:pt x="0" y="0"/>
              </a:moveTo>
              <a:lnTo>
                <a:pt x="0" y="1079038"/>
              </a:lnTo>
              <a:lnTo>
                <a:pt x="1237143" y="1079038"/>
              </a:lnTo>
              <a:lnTo>
                <a:pt x="1237143" y="112638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971849E-B570-2048-A445-46724C422EA7}">
      <dsp:nvSpPr>
        <dsp:cNvPr id="0" name=""/>
        <dsp:cNvSpPr/>
      </dsp:nvSpPr>
      <dsp:spPr>
        <a:xfrm>
          <a:off x="2358535" y="684553"/>
          <a:ext cx="91440" cy="1146947"/>
        </a:xfrm>
        <a:custGeom>
          <a:avLst/>
          <a:gdLst/>
          <a:ahLst/>
          <a:cxnLst/>
          <a:rect l="0" t="0" r="0" b="0"/>
          <a:pathLst>
            <a:path>
              <a:moveTo>
                <a:pt x="49201" y="0"/>
              </a:moveTo>
              <a:lnTo>
                <a:pt x="49201" y="1099598"/>
              </a:lnTo>
              <a:lnTo>
                <a:pt x="45720" y="1099598"/>
              </a:lnTo>
              <a:lnTo>
                <a:pt x="45720" y="114694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AA25C0-0665-D84F-B0E6-FB0C3DFB5E02}">
      <dsp:nvSpPr>
        <dsp:cNvPr id="0" name=""/>
        <dsp:cNvSpPr/>
      </dsp:nvSpPr>
      <dsp:spPr>
        <a:xfrm>
          <a:off x="1130818" y="684553"/>
          <a:ext cx="1276917" cy="1125015"/>
        </a:xfrm>
        <a:custGeom>
          <a:avLst/>
          <a:gdLst/>
          <a:ahLst/>
          <a:cxnLst/>
          <a:rect l="0" t="0" r="0" b="0"/>
          <a:pathLst>
            <a:path>
              <a:moveTo>
                <a:pt x="1276917" y="0"/>
              </a:moveTo>
              <a:lnTo>
                <a:pt x="1276917" y="1077667"/>
              </a:lnTo>
              <a:lnTo>
                <a:pt x="0" y="1077667"/>
              </a:lnTo>
              <a:lnTo>
                <a:pt x="0" y="11250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4EA81E9-5E28-8F46-809C-1D955AC8815D}">
      <dsp:nvSpPr>
        <dsp:cNvPr id="0" name=""/>
        <dsp:cNvSpPr/>
      </dsp:nvSpPr>
      <dsp:spPr>
        <a:xfrm>
          <a:off x="1581388" y="684553"/>
          <a:ext cx="826347" cy="380244"/>
        </a:xfrm>
        <a:custGeom>
          <a:avLst/>
          <a:gdLst/>
          <a:ahLst/>
          <a:cxnLst/>
          <a:rect l="0" t="0" r="0" b="0"/>
          <a:pathLst>
            <a:path>
              <a:moveTo>
                <a:pt x="826347" y="0"/>
              </a:moveTo>
              <a:lnTo>
                <a:pt x="826347" y="332896"/>
              </a:lnTo>
              <a:lnTo>
                <a:pt x="0" y="332896"/>
              </a:lnTo>
              <a:lnTo>
                <a:pt x="0" y="3802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68FA62F-C448-0C47-AB21-CC13D3ECE921}">
      <dsp:nvSpPr>
        <dsp:cNvPr id="0" name=""/>
        <dsp:cNvSpPr/>
      </dsp:nvSpPr>
      <dsp:spPr>
        <a:xfrm>
          <a:off x="1658613" y="81948"/>
          <a:ext cx="1498245" cy="60260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n>
                <a:noFill/>
              </a:ln>
              <a:solidFill>
                <a:schemeClr val="tx1"/>
              </a:solidFill>
            </a:rPr>
            <a:t>Spinal cord injury </a:t>
          </a:r>
        </a:p>
        <a:p>
          <a:pPr marL="0" lvl="0" indent="0" algn="ctr" defTabSz="488950">
            <a:lnSpc>
              <a:spcPct val="90000"/>
            </a:lnSpc>
            <a:spcBef>
              <a:spcPct val="0"/>
            </a:spcBef>
            <a:spcAft>
              <a:spcPct val="35000"/>
            </a:spcAft>
            <a:buNone/>
          </a:pPr>
          <a:r>
            <a:rPr lang="en-GB" sz="1100" kern="1200">
              <a:ln>
                <a:noFill/>
              </a:ln>
              <a:solidFill>
                <a:schemeClr val="tx1"/>
              </a:solidFill>
            </a:rPr>
            <a:t>2017-2024 </a:t>
          </a:r>
        </a:p>
        <a:p>
          <a:pPr marL="0" lvl="0" indent="0" algn="ctr" defTabSz="488950">
            <a:lnSpc>
              <a:spcPct val="90000"/>
            </a:lnSpc>
            <a:spcBef>
              <a:spcPct val="0"/>
            </a:spcBef>
            <a:spcAft>
              <a:spcPct val="35000"/>
            </a:spcAft>
            <a:buNone/>
          </a:pPr>
          <a:r>
            <a:rPr lang="en-GB" sz="1100" kern="1200">
              <a:ln>
                <a:noFill/>
              </a:ln>
              <a:solidFill>
                <a:schemeClr val="tx1"/>
              </a:solidFill>
            </a:rPr>
            <a:t>(n=146)</a:t>
          </a:r>
        </a:p>
      </dsp:txBody>
      <dsp:txXfrm>
        <a:off x="1658613" y="81948"/>
        <a:ext cx="1498245" cy="602605"/>
      </dsp:txXfrm>
    </dsp:sp>
    <dsp:sp modelId="{DA198F33-0754-3245-BC4F-07D066587A75}">
      <dsp:nvSpPr>
        <dsp:cNvPr id="0" name=""/>
        <dsp:cNvSpPr/>
      </dsp:nvSpPr>
      <dsp:spPr>
        <a:xfrm>
          <a:off x="1166864" y="1064798"/>
          <a:ext cx="829048" cy="45305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Final cohort analyzed (n=76)</a:t>
          </a:r>
        </a:p>
      </dsp:txBody>
      <dsp:txXfrm>
        <a:off x="1166864" y="1064798"/>
        <a:ext cx="829048" cy="453052"/>
      </dsp:txXfrm>
    </dsp:sp>
    <dsp:sp modelId="{A7DBEC4D-706F-E34C-B723-A6DF82FC521B}">
      <dsp:nvSpPr>
        <dsp:cNvPr id="0" name=""/>
        <dsp:cNvSpPr/>
      </dsp:nvSpPr>
      <dsp:spPr>
        <a:xfrm>
          <a:off x="593675" y="1809569"/>
          <a:ext cx="1074285" cy="316639"/>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Methylprednisolone (n=26)</a:t>
          </a:r>
        </a:p>
      </dsp:txBody>
      <dsp:txXfrm>
        <a:off x="593675" y="1809569"/>
        <a:ext cx="1074285" cy="316639"/>
      </dsp:txXfrm>
    </dsp:sp>
    <dsp:sp modelId="{54CED56B-5354-D745-8FBD-2EF7CC66363A}">
      <dsp:nvSpPr>
        <dsp:cNvPr id="0" name=""/>
        <dsp:cNvSpPr/>
      </dsp:nvSpPr>
      <dsp:spPr>
        <a:xfrm>
          <a:off x="1941151" y="1831500"/>
          <a:ext cx="926207" cy="33764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Dexamethasone (n=18)</a:t>
          </a:r>
        </a:p>
      </dsp:txBody>
      <dsp:txXfrm>
        <a:off x="1941151" y="1831500"/>
        <a:ext cx="926207" cy="337640"/>
      </dsp:txXfrm>
    </dsp:sp>
    <dsp:sp modelId="{C828F8E5-DF34-C248-BD6E-62C0D972CAE6}">
      <dsp:nvSpPr>
        <dsp:cNvPr id="0" name=""/>
        <dsp:cNvSpPr/>
      </dsp:nvSpPr>
      <dsp:spPr>
        <a:xfrm>
          <a:off x="3243971" y="1810940"/>
          <a:ext cx="801817" cy="360168"/>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No steroids</a:t>
          </a:r>
        </a:p>
        <a:p>
          <a:pPr marL="0" lvl="0" indent="0" algn="ctr" defTabSz="444500">
            <a:lnSpc>
              <a:spcPct val="90000"/>
            </a:lnSpc>
            <a:spcBef>
              <a:spcPct val="0"/>
            </a:spcBef>
            <a:spcAft>
              <a:spcPct val="35000"/>
            </a:spcAft>
            <a:buNone/>
          </a:pPr>
          <a:r>
            <a:rPr lang="en-GB" sz="1000" kern="1200">
              <a:ln>
                <a:noFill/>
              </a:ln>
              <a:solidFill>
                <a:schemeClr val="tx1"/>
              </a:solidFill>
            </a:rPr>
            <a:t>(n=32)</a:t>
          </a:r>
        </a:p>
      </dsp:txBody>
      <dsp:txXfrm>
        <a:off x="3243971" y="1810940"/>
        <a:ext cx="801817" cy="360168"/>
      </dsp:txXfrm>
    </dsp:sp>
    <dsp:sp modelId="{535AC3CA-1DBD-5A46-9F93-4F0856AFE36B}">
      <dsp:nvSpPr>
        <dsp:cNvPr id="0" name=""/>
        <dsp:cNvSpPr/>
      </dsp:nvSpPr>
      <dsp:spPr>
        <a:xfrm>
          <a:off x="3823427" y="782832"/>
          <a:ext cx="1194789" cy="970958"/>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Exclusion (n=70)</a:t>
          </a:r>
        </a:p>
        <a:p>
          <a:pPr marL="0" lvl="0" indent="0" algn="ctr" defTabSz="444500">
            <a:lnSpc>
              <a:spcPct val="90000"/>
            </a:lnSpc>
            <a:spcBef>
              <a:spcPct val="0"/>
            </a:spcBef>
            <a:spcAft>
              <a:spcPct val="35000"/>
            </a:spcAft>
            <a:buNone/>
          </a:pPr>
          <a:r>
            <a:rPr lang="en-GB" sz="1000" kern="1200">
              <a:ln>
                <a:noFill/>
              </a:ln>
              <a:solidFill>
                <a:schemeClr val="tx1"/>
              </a:solidFill>
            </a:rPr>
            <a:t>1. other injuries (n=36)</a:t>
          </a:r>
        </a:p>
        <a:p>
          <a:pPr marL="0" lvl="0" indent="0" algn="ctr" defTabSz="444500">
            <a:lnSpc>
              <a:spcPct val="90000"/>
            </a:lnSpc>
            <a:spcBef>
              <a:spcPct val="0"/>
            </a:spcBef>
            <a:spcAft>
              <a:spcPct val="35000"/>
            </a:spcAft>
            <a:buNone/>
          </a:pPr>
          <a:r>
            <a:rPr lang="en-GB" sz="1000" kern="1200">
              <a:ln>
                <a:noFill/>
              </a:ln>
              <a:solidFill>
                <a:schemeClr val="tx1"/>
              </a:solidFill>
            </a:rPr>
            <a:t>2. no surgery (n=28)</a:t>
          </a:r>
        </a:p>
        <a:p>
          <a:pPr marL="0" lvl="0" indent="0" algn="ctr" defTabSz="444500">
            <a:lnSpc>
              <a:spcPct val="90000"/>
            </a:lnSpc>
            <a:spcBef>
              <a:spcPct val="0"/>
            </a:spcBef>
            <a:spcAft>
              <a:spcPct val="35000"/>
            </a:spcAft>
            <a:buNone/>
          </a:pPr>
          <a:r>
            <a:rPr lang="en-GB" sz="1000" kern="1200">
              <a:ln>
                <a:noFill/>
              </a:ln>
              <a:solidFill>
                <a:schemeClr val="tx1"/>
              </a:solidFill>
            </a:rPr>
            <a:t>3. Incomplete followup (n=6)</a:t>
          </a:r>
        </a:p>
      </dsp:txBody>
      <dsp:txXfrm>
        <a:off x="3823427" y="782832"/>
        <a:ext cx="1194789" cy="9709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9728-E190-416D-B006-57184939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8</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20</cp:revision>
  <cp:lastPrinted>1999-07-06T11:00:00Z</cp:lastPrinted>
  <dcterms:created xsi:type="dcterms:W3CDTF">2026-03-14T13:20:00Z</dcterms:created>
  <dcterms:modified xsi:type="dcterms:W3CDTF">2026-03-30T07:21:00Z</dcterms:modified>
</cp:coreProperties>
</file>