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2DD2" w14:textId="77777777" w:rsidR="003E0CB5" w:rsidRPr="000616CA" w:rsidRDefault="003E0CB5" w:rsidP="000616CA">
      <w:pPr>
        <w:spacing w:line="360" w:lineRule="auto"/>
        <w:jc w:val="center"/>
        <w:rPr>
          <w:color w:val="000000" w:themeColor="text1"/>
          <w:sz w:val="21"/>
          <w:szCs w:val="24"/>
        </w:rPr>
      </w:pPr>
      <w:r w:rsidRPr="000616CA">
        <w:rPr>
          <w:rFonts w:ascii="Times New Roman" w:hAnsi="Times New Roman"/>
          <w:b/>
          <w:color w:val="000000" w:themeColor="text1"/>
          <w:sz w:val="24"/>
        </w:rPr>
        <w:t>Association of Alkaline Phosphatase, Lactate Dehydrogenase, and IL-1β Expression with Metastatic Bone Disease in Breast Cancer Patients: A Case-Control Study</w:t>
      </w:r>
    </w:p>
    <w:p w14:paraId="5ACEB9D0" w14:textId="77777777" w:rsidR="00A258C3" w:rsidRPr="000616CA" w:rsidRDefault="00A258C3" w:rsidP="0089477C">
      <w:pPr>
        <w:pStyle w:val="Author"/>
        <w:spacing w:line="360" w:lineRule="auto"/>
        <w:jc w:val="both"/>
        <w:rPr>
          <w:rFonts w:ascii="Arial" w:hAnsi="Arial" w:cs="Arial"/>
          <w:color w:val="000000" w:themeColor="text1"/>
          <w:sz w:val="36"/>
        </w:rPr>
      </w:pPr>
    </w:p>
    <w:p w14:paraId="6514ACBD" w14:textId="77777777" w:rsidR="002C57D2" w:rsidRPr="000616CA" w:rsidRDefault="002C57D2" w:rsidP="0089477C">
      <w:pPr>
        <w:pStyle w:val="Affiliation"/>
        <w:spacing w:after="0" w:line="360" w:lineRule="auto"/>
        <w:jc w:val="both"/>
        <w:rPr>
          <w:rFonts w:ascii="Arial" w:hAnsi="Arial" w:cs="Arial"/>
          <w:color w:val="000000" w:themeColor="text1"/>
        </w:rPr>
      </w:pPr>
    </w:p>
    <w:p w14:paraId="6533CB0A" w14:textId="791D645E" w:rsidR="00B01FCD" w:rsidRPr="000616CA" w:rsidRDefault="00FB3A86" w:rsidP="0089477C">
      <w:pPr>
        <w:pStyle w:val="Copyright"/>
        <w:spacing w:after="0" w:line="360" w:lineRule="auto"/>
        <w:jc w:val="both"/>
        <w:rPr>
          <w:rFonts w:ascii="Arial" w:hAnsi="Arial" w:cs="Arial"/>
          <w:color w:val="000000" w:themeColor="text1"/>
        </w:rPr>
        <w:sectPr w:rsidR="00B01FCD" w:rsidRPr="000616CA" w:rsidSect="006967C3">
          <w:headerReference w:type="first" r:id="rId8"/>
          <w:footerReference w:type="first" r:id="rId9"/>
          <w:pgSz w:w="12240" w:h="15840" w:code="1"/>
          <w:pgMar w:top="1440" w:right="2016" w:bottom="2016" w:left="2016" w:header="720" w:footer="1296" w:gutter="0"/>
          <w:cols w:space="720"/>
          <w:docGrid w:linePitch="272"/>
        </w:sectPr>
      </w:pPr>
      <w:r w:rsidRPr="000616CA">
        <w:rPr>
          <w:rFonts w:ascii="Arial" w:hAnsi="Arial" w:cs="Arial"/>
          <w:color w:val="000000" w:themeColor="text1"/>
        </w:rPr>
        <w:t>.</w:t>
      </w:r>
    </w:p>
    <w:p w14:paraId="0F012C8E" w14:textId="77777777" w:rsidR="00B01FCD" w:rsidRPr="000616CA" w:rsidRDefault="00B01FCD" w:rsidP="0089477C">
      <w:pPr>
        <w:pStyle w:val="AbstHead"/>
        <w:spacing w:after="0" w:line="360" w:lineRule="auto"/>
        <w:jc w:val="both"/>
        <w:rPr>
          <w:rFonts w:ascii="Arial" w:hAnsi="Arial" w:cs="Arial"/>
          <w:color w:val="000000" w:themeColor="text1"/>
        </w:rPr>
      </w:pPr>
      <w:r w:rsidRPr="000616CA">
        <w:rPr>
          <w:rFonts w:ascii="Arial" w:hAnsi="Arial" w:cs="Arial"/>
          <w:color w:val="000000" w:themeColor="text1"/>
        </w:rPr>
        <w:t>ABSTRACT</w:t>
      </w:r>
      <w:r w:rsidR="0066510A" w:rsidRPr="000616CA">
        <w:rPr>
          <w:rFonts w:ascii="Arial" w:hAnsi="Arial" w:cs="Arial"/>
          <w:color w:val="000000" w:themeColor="text1"/>
        </w:rPr>
        <w:t xml:space="preserve"> </w:t>
      </w:r>
    </w:p>
    <w:p w14:paraId="3B1708F8" w14:textId="77777777" w:rsidR="00790ADA" w:rsidRPr="000616CA" w:rsidRDefault="00790ADA" w:rsidP="0089477C">
      <w:pPr>
        <w:pStyle w:val="AbstHead"/>
        <w:spacing w:after="0" w:line="360" w:lineRule="auto"/>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616CA" w14:paraId="74B2D256" w14:textId="77777777" w:rsidTr="001E44FE">
        <w:tc>
          <w:tcPr>
            <w:tcW w:w="9576" w:type="dxa"/>
            <w:shd w:val="clear" w:color="auto" w:fill="F2F2F2"/>
          </w:tcPr>
          <w:p w14:paraId="44563DB1" w14:textId="0F30A779" w:rsidR="00635D67" w:rsidRDefault="00635D67" w:rsidP="0067543C">
            <w:pPr>
              <w:spacing w:line="360" w:lineRule="auto"/>
              <w:jc w:val="both"/>
              <w:rPr>
                <w:rFonts w:ascii="Times New Roman" w:hAnsi="Times New Roman"/>
                <w:b/>
                <w:color w:val="000000" w:themeColor="text1"/>
              </w:rPr>
            </w:pPr>
            <w:r>
              <w:rPr>
                <w:rFonts w:ascii="Times New Roman" w:hAnsi="Times New Roman"/>
                <w:b/>
                <w:color w:val="000000" w:themeColor="text1"/>
              </w:rPr>
              <w:t>Background:</w:t>
            </w:r>
            <w:r w:rsidR="00843E43">
              <w:rPr>
                <w:rFonts w:ascii="Times New Roman" w:hAnsi="Times New Roman"/>
                <w:b/>
                <w:color w:val="000000" w:themeColor="text1"/>
              </w:rPr>
              <w:t xml:space="preserve"> </w:t>
            </w:r>
            <w:r w:rsidR="00843E43" w:rsidRPr="00843E43">
              <w:rPr>
                <w:rFonts w:ascii="Times New Roman" w:hAnsi="Times New Roman"/>
                <w:color w:val="000000" w:themeColor="text1"/>
              </w:rPr>
              <w:t xml:space="preserve">Breast cancer is the most commonly diagnosed malignancy worldwide and frequently </w:t>
            </w:r>
            <w:proofErr w:type="spellStart"/>
            <w:r w:rsidR="00843E43" w:rsidRPr="00843E43">
              <w:rPr>
                <w:rFonts w:ascii="Times New Roman" w:hAnsi="Times New Roman"/>
                <w:color w:val="000000" w:themeColor="text1"/>
              </w:rPr>
              <w:t>metastasises</w:t>
            </w:r>
            <w:proofErr w:type="spellEnd"/>
            <w:r w:rsidR="00843E43" w:rsidRPr="00843E43">
              <w:rPr>
                <w:rFonts w:ascii="Times New Roman" w:hAnsi="Times New Roman"/>
                <w:color w:val="000000" w:themeColor="text1"/>
              </w:rPr>
              <w:t xml:space="preserve"> to bone, leading to significant morbidity and reduced survival among affected patients. Early identification of reliable biomarkers for metastatic bone disease remains critical for improving prognosis, guiding therapeutic decisions, and </w:t>
            </w:r>
            <w:proofErr w:type="spellStart"/>
            <w:r w:rsidR="00843E43" w:rsidRPr="00843E43">
              <w:rPr>
                <w:rFonts w:ascii="Times New Roman" w:hAnsi="Times New Roman"/>
                <w:color w:val="000000" w:themeColor="text1"/>
              </w:rPr>
              <w:t>minimising</w:t>
            </w:r>
            <w:proofErr w:type="spellEnd"/>
            <w:r w:rsidR="00843E43" w:rsidRPr="00843E43">
              <w:rPr>
                <w:rFonts w:ascii="Times New Roman" w:hAnsi="Times New Roman"/>
                <w:color w:val="000000" w:themeColor="text1"/>
              </w:rPr>
              <w:t xml:space="preserve"> skeletal-related complications.</w:t>
            </w:r>
          </w:p>
          <w:p w14:paraId="7DBFF392" w14:textId="62BE9490" w:rsidR="00BA1B01" w:rsidRPr="000616CA" w:rsidRDefault="00BA1B01" w:rsidP="0067543C">
            <w:pPr>
              <w:spacing w:line="360" w:lineRule="auto"/>
              <w:jc w:val="both"/>
              <w:rPr>
                <w:color w:val="000000" w:themeColor="text1"/>
              </w:rPr>
            </w:pPr>
            <w:r w:rsidRPr="000616CA">
              <w:rPr>
                <w:rFonts w:ascii="Times New Roman" w:hAnsi="Times New Roman"/>
                <w:b/>
                <w:color w:val="000000" w:themeColor="text1"/>
              </w:rPr>
              <w:t xml:space="preserve">Aims: </w:t>
            </w:r>
            <w:r w:rsidRPr="000616CA">
              <w:rPr>
                <w:rFonts w:ascii="Times New Roman" w:hAnsi="Times New Roman"/>
                <w:color w:val="000000" w:themeColor="text1"/>
              </w:rPr>
              <w:t>This study aimed to evaluate the associations of alkaline phosphatase (ALP), lactate dehydrogenase (LDH), and interleukin-1β (IL-1β) expression with metastatic bone disease (MBD) in breast cancer patients, and to determine their predictive value as risk markers.</w:t>
            </w:r>
          </w:p>
          <w:p w14:paraId="47F0344E" w14:textId="0725A356" w:rsidR="00F03737" w:rsidRDefault="0097425F" w:rsidP="0067543C">
            <w:pPr>
              <w:jc w:val="both"/>
              <w:rPr>
                <w:rFonts w:ascii="Times New Roman" w:hAnsi="Times New Roman"/>
                <w:color w:val="000000" w:themeColor="text1"/>
              </w:rPr>
            </w:pPr>
            <w:r w:rsidRPr="000616CA">
              <w:rPr>
                <w:rFonts w:ascii="Times New Roman" w:hAnsi="Times New Roman"/>
                <w:b/>
                <w:color w:val="000000" w:themeColor="text1"/>
              </w:rPr>
              <w:t xml:space="preserve">Study design: </w:t>
            </w:r>
            <w:r w:rsidRPr="000616CA">
              <w:rPr>
                <w:rFonts w:ascii="Times New Roman" w:hAnsi="Times New Roman"/>
                <w:color w:val="000000" w:themeColor="text1"/>
              </w:rPr>
              <w:t>Case-control study.</w:t>
            </w:r>
          </w:p>
          <w:p w14:paraId="49F7C583" w14:textId="77777777" w:rsidR="000D00E9" w:rsidRPr="000616CA" w:rsidRDefault="000D00E9" w:rsidP="0067543C">
            <w:pPr>
              <w:jc w:val="both"/>
              <w:rPr>
                <w:color w:val="000000" w:themeColor="text1"/>
              </w:rPr>
            </w:pPr>
          </w:p>
          <w:p w14:paraId="65136F5F" w14:textId="697F16E2" w:rsidR="00F03737" w:rsidRPr="000616CA" w:rsidRDefault="0097425F" w:rsidP="0067543C">
            <w:pPr>
              <w:jc w:val="both"/>
              <w:rPr>
                <w:color w:val="000000" w:themeColor="text1"/>
              </w:rPr>
            </w:pPr>
            <w:r w:rsidRPr="000616CA">
              <w:rPr>
                <w:rFonts w:ascii="Times New Roman" w:hAnsi="Times New Roman"/>
                <w:b/>
                <w:color w:val="000000" w:themeColor="text1"/>
              </w:rPr>
              <w:t xml:space="preserve">Place and Duration of Study: </w:t>
            </w:r>
            <w:r w:rsidR="00D9095C" w:rsidRPr="005D5CE8">
              <w:rPr>
                <w:rFonts w:ascii="Times New Roman" w:hAnsi="Times New Roman"/>
                <w:color w:val="000000" w:themeColor="text1"/>
              </w:rPr>
              <w:t xml:space="preserve">The study was conducted at </w:t>
            </w:r>
            <w:r w:rsidR="007F0C44" w:rsidRPr="005D5CE8">
              <w:rPr>
                <w:rFonts w:ascii="Times New Roman" w:hAnsi="Times New Roman"/>
                <w:color w:val="000000" w:themeColor="text1"/>
              </w:rPr>
              <w:t>the</w:t>
            </w:r>
            <w:r w:rsidR="007F0C44">
              <w:rPr>
                <w:rFonts w:ascii="Times New Roman" w:hAnsi="Times New Roman"/>
                <w:b/>
                <w:color w:val="000000" w:themeColor="text1"/>
              </w:rPr>
              <w:t xml:space="preserve"> </w:t>
            </w:r>
            <w:r w:rsidRPr="000616CA">
              <w:rPr>
                <w:rFonts w:ascii="Times New Roman" w:hAnsi="Times New Roman"/>
                <w:color w:val="000000" w:themeColor="text1"/>
              </w:rPr>
              <w:t xml:space="preserve">Department of </w:t>
            </w:r>
            <w:proofErr w:type="spellStart"/>
            <w:r w:rsidRPr="000616CA">
              <w:rPr>
                <w:rFonts w:ascii="Times New Roman" w:hAnsi="Times New Roman"/>
                <w:color w:val="000000" w:themeColor="text1"/>
              </w:rPr>
              <w:t>Orthopaedics</w:t>
            </w:r>
            <w:proofErr w:type="spellEnd"/>
            <w:r w:rsidRPr="000616CA">
              <w:rPr>
                <w:rFonts w:ascii="Times New Roman" w:hAnsi="Times New Roman"/>
                <w:color w:val="000000" w:themeColor="text1"/>
              </w:rPr>
              <w:t xml:space="preserve"> and Oncology Outpatient Clinic, Prof. Dr. I.G.N.G </w:t>
            </w:r>
            <w:proofErr w:type="spellStart"/>
            <w:r w:rsidRPr="000616CA">
              <w:rPr>
                <w:rFonts w:ascii="Times New Roman" w:hAnsi="Times New Roman"/>
                <w:color w:val="000000" w:themeColor="text1"/>
              </w:rPr>
              <w:t>Ngoerah</w:t>
            </w:r>
            <w:proofErr w:type="spellEnd"/>
            <w:r w:rsidRPr="000616CA">
              <w:rPr>
                <w:rFonts w:ascii="Times New Roman" w:hAnsi="Times New Roman"/>
                <w:color w:val="000000" w:themeColor="text1"/>
              </w:rPr>
              <w:t xml:space="preserve"> General Hospital, Denpasar, Bali, Indonesia, between July and December 2024.</w:t>
            </w:r>
          </w:p>
          <w:p w14:paraId="35A483F4" w14:textId="77777777" w:rsidR="00F03737" w:rsidRPr="000616CA" w:rsidRDefault="0097425F" w:rsidP="0067543C">
            <w:pPr>
              <w:jc w:val="both"/>
              <w:rPr>
                <w:color w:val="000000" w:themeColor="text1"/>
              </w:rPr>
            </w:pPr>
            <w:r w:rsidRPr="000616CA">
              <w:rPr>
                <w:rFonts w:ascii="Times New Roman" w:hAnsi="Times New Roman"/>
                <w:b/>
                <w:color w:val="000000" w:themeColor="text1"/>
              </w:rPr>
              <w:t xml:space="preserve">Methodology: </w:t>
            </w:r>
            <w:r w:rsidRPr="000616CA">
              <w:rPr>
                <w:rFonts w:ascii="Times New Roman" w:hAnsi="Times New Roman"/>
                <w:color w:val="000000" w:themeColor="text1"/>
              </w:rPr>
              <w:t>Forty-six female breast cancer patients ag</w:t>
            </w:r>
            <w:bookmarkStart w:id="0" w:name="_GoBack"/>
            <w:bookmarkEnd w:id="0"/>
            <w:r w:rsidRPr="000616CA">
              <w:rPr>
                <w:rFonts w:ascii="Times New Roman" w:hAnsi="Times New Roman"/>
                <w:color w:val="000000" w:themeColor="text1"/>
              </w:rPr>
              <w:t>ed 40–65 years were enrolled, including 26 patients with MBD (case group) and 20 without MBD (control group). Serum ALP and LDH levels were measured, and IL-1β expression was assessed via immunohistochemistry on primary tumor biopsy specimens. Bivariate analysis was performed using the Chi-square test, and multivariate logistic regression was used to identify independent predictors. The IL-1β cut-off value was determined by ROC curve analysis.</w:t>
            </w:r>
          </w:p>
          <w:p w14:paraId="0366E576" w14:textId="77777777" w:rsidR="00F03737" w:rsidRPr="000616CA" w:rsidRDefault="0097425F" w:rsidP="0067543C">
            <w:pPr>
              <w:jc w:val="both"/>
              <w:rPr>
                <w:color w:val="000000" w:themeColor="text1"/>
              </w:rPr>
            </w:pPr>
            <w:r w:rsidRPr="000616CA">
              <w:rPr>
                <w:rFonts w:ascii="Times New Roman" w:hAnsi="Times New Roman"/>
                <w:b/>
                <w:color w:val="000000" w:themeColor="text1"/>
              </w:rPr>
              <w:t xml:space="preserve">Results: </w:t>
            </w:r>
            <w:r w:rsidRPr="000616CA">
              <w:rPr>
                <w:rFonts w:ascii="Times New Roman" w:hAnsi="Times New Roman"/>
                <w:color w:val="000000" w:themeColor="text1"/>
              </w:rPr>
              <w:t>Elevated ALP was significantly associated with MBD (OR = 10.50; 95% CI: 2.01–54.77; P = .002). High LDH levels also showed significant association (OR = 7.60; 95% CI: 1.70–33.90; P = .004), as did elevated IL-1β expression (OR = 7.72; 95% CI: 1.80–33.04; P = .003). Multivariate analysis identified ALP (AOR = 11.84; 95% CI: 2.01–69.86; P = .006) and IL-1β expression (AOR = 7.49; 95% CI: 1.49–37.71; P = .015) as independent predictors of MBD. The combined predictive model demonstrated strong diagnostic accuracy (AUC = 0.821; 95% CI: 0.698–0.944), with 80% sensitivity and 75% specificity.</w:t>
            </w:r>
          </w:p>
          <w:p w14:paraId="1D7D8DBA" w14:textId="77777777" w:rsidR="00F03737" w:rsidRPr="000616CA" w:rsidRDefault="0097425F" w:rsidP="0067543C">
            <w:pPr>
              <w:jc w:val="both"/>
              <w:rPr>
                <w:color w:val="000000" w:themeColor="text1"/>
              </w:rPr>
            </w:pPr>
            <w:r w:rsidRPr="000616CA">
              <w:rPr>
                <w:rFonts w:ascii="Times New Roman" w:hAnsi="Times New Roman"/>
                <w:b/>
                <w:color w:val="000000" w:themeColor="text1"/>
              </w:rPr>
              <w:t xml:space="preserve">Conclusion: </w:t>
            </w:r>
            <w:r w:rsidRPr="000616CA">
              <w:rPr>
                <w:rFonts w:ascii="Times New Roman" w:hAnsi="Times New Roman"/>
                <w:color w:val="000000" w:themeColor="text1"/>
              </w:rPr>
              <w:t xml:space="preserve">Elevated ALP levels and high IL-1β expression are significantly associated with MBD in breast cancer patients and may serve as accessible predictive biomarkers for early identification of high-risk patients. The combination of ALP and IL-1β may support a cost-effective </w:t>
            </w:r>
            <w:proofErr w:type="spellStart"/>
            <w:r w:rsidRPr="000616CA">
              <w:rPr>
                <w:rFonts w:ascii="Times New Roman" w:hAnsi="Times New Roman"/>
                <w:color w:val="000000" w:themeColor="text1"/>
              </w:rPr>
              <w:t>multimarker</w:t>
            </w:r>
            <w:proofErr w:type="spellEnd"/>
            <w:r w:rsidRPr="000616CA">
              <w:rPr>
                <w:rFonts w:ascii="Times New Roman" w:hAnsi="Times New Roman"/>
                <w:color w:val="000000" w:themeColor="text1"/>
              </w:rPr>
              <w:t xml:space="preserve"> screening approach to enable timely clinical intervention and potentially reduce skeletal-related events. These associations, observed in a case-control design, do not establish causality, and prospective longitudinal studies are needed to determine whether biomarker elevations precede or result from bone metastasis. These findings should be validated in larger, multicenter cohorts.</w:t>
            </w:r>
          </w:p>
        </w:tc>
      </w:tr>
    </w:tbl>
    <w:p w14:paraId="0B3C2F2C" w14:textId="77777777" w:rsidR="00636EB2" w:rsidRPr="000616CA" w:rsidRDefault="00636EB2" w:rsidP="0089477C">
      <w:pPr>
        <w:pStyle w:val="Body"/>
        <w:spacing w:after="0" w:line="360" w:lineRule="auto"/>
        <w:rPr>
          <w:rFonts w:ascii="Arial" w:hAnsi="Arial" w:cs="Arial"/>
          <w:i/>
          <w:color w:val="000000" w:themeColor="text1"/>
        </w:rPr>
      </w:pPr>
    </w:p>
    <w:p w14:paraId="1EEA5D1D" w14:textId="77777777" w:rsidR="003E0CB5" w:rsidRPr="000616CA" w:rsidRDefault="003E0CB5" w:rsidP="0089477C">
      <w:pPr>
        <w:spacing w:line="360" w:lineRule="auto"/>
        <w:rPr>
          <w:color w:val="000000" w:themeColor="text1"/>
        </w:rPr>
      </w:pPr>
      <w:r w:rsidRPr="000616CA">
        <w:rPr>
          <w:rFonts w:ascii="Arial" w:hAnsi="Arial"/>
          <w:i/>
          <w:color w:val="000000" w:themeColor="text1"/>
        </w:rPr>
        <w:t>Keywords: Breast cancer; bone metastasis; alkaline phosphatase; lactate dehydrogenase; interleukin-1β; prognostic biomarker; case-control study</w:t>
      </w:r>
    </w:p>
    <w:p w14:paraId="3271A042" w14:textId="77777777" w:rsidR="00505F06" w:rsidRPr="000616CA" w:rsidRDefault="00505F06" w:rsidP="0089477C">
      <w:pPr>
        <w:pStyle w:val="Body"/>
        <w:spacing w:after="0" w:line="360" w:lineRule="auto"/>
        <w:rPr>
          <w:rFonts w:ascii="Arial" w:hAnsi="Arial" w:cs="Arial"/>
          <w:i/>
          <w:color w:val="000000" w:themeColor="text1"/>
        </w:rPr>
      </w:pPr>
    </w:p>
    <w:p w14:paraId="4C1DC26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1. INTRODUCTION</w:t>
      </w:r>
    </w:p>
    <w:p w14:paraId="2CB75BEF"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Breast cancer is the most frequently diagnosed malignancy and the leading cause of cancer-related morbidity and mortality in women worldwide. According to GLOBOCAN 2020, an estimated 2.3 million new cases (11.7%) were reported, surpassing lung cancer as the most common malignancy globally. Bone is the most prevalent site of distant metastasis in breast cancer, with approximately 70% of women who succumb to this disease developing skeletal involvement (Mundy, 2002). Between 60% and 75% of metastatic breast cancer cases are diagnosed as metastatic bone disease (MBD) early in the disease course, substantially reducing five-year survival rates and leading to severe complications including </w:t>
      </w:r>
      <w:proofErr w:type="spellStart"/>
      <w:r w:rsidRPr="000616CA">
        <w:rPr>
          <w:rFonts w:ascii="Arial" w:hAnsi="Arial"/>
          <w:color w:val="000000" w:themeColor="text1"/>
          <w:sz w:val="22"/>
          <w:szCs w:val="22"/>
        </w:rPr>
        <w:t>osteodynia</w:t>
      </w:r>
      <w:proofErr w:type="spellEnd"/>
      <w:r w:rsidRPr="000616CA">
        <w:rPr>
          <w:rFonts w:ascii="Arial" w:hAnsi="Arial"/>
          <w:color w:val="000000" w:themeColor="text1"/>
          <w:sz w:val="22"/>
          <w:szCs w:val="22"/>
        </w:rPr>
        <w:t>, pathological fractures, and neural compression (Coleman, 2006).</w:t>
      </w:r>
    </w:p>
    <w:p w14:paraId="114E9EF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pathogenesis of MBD in breast cancer involves a complex multi-step process. Tumor cells detach from the primary site, enter the bloodstream or lymphatic system, and colonize the bone microenvironment. Factors such as the biological properties of cancer cells, their interactions with bone-resident cells, and the bone microenvironment influence the ability of tumor cells to establish metastatic foci. MBD can lead to debilitating symptoms and complications, including severe bone pain, pathological fractures, impaired bone function, and hypercalcemia (Chen et al., 2017).</w:t>
      </w:r>
    </w:p>
    <w:p w14:paraId="10362E79"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Alkaline phosphatase (ALP) is a serum enzyme reflecting the combined activity of several isoenzymes found in the liver, bone, kidneys, and intestinal lining. The bone-specific isoform (BAP) is released by osteoblasts in large quantities during bone remodeling activity, such as that associated with MBD. In a study conducted by the International Breast Cancer Study Group, ALP demonstrated superior efficacy compared to aspartate transaminase and gamma-</w:t>
      </w:r>
      <w:proofErr w:type="spellStart"/>
      <w:r w:rsidRPr="000616CA">
        <w:rPr>
          <w:rFonts w:ascii="Arial" w:hAnsi="Arial"/>
          <w:color w:val="000000" w:themeColor="text1"/>
          <w:sz w:val="22"/>
          <w:szCs w:val="22"/>
        </w:rPr>
        <w:t>glutamyltransferase</w:t>
      </w:r>
      <w:proofErr w:type="spellEnd"/>
      <w:r w:rsidRPr="000616CA">
        <w:rPr>
          <w:rFonts w:ascii="Arial" w:hAnsi="Arial"/>
          <w:color w:val="000000" w:themeColor="text1"/>
          <w:sz w:val="22"/>
          <w:szCs w:val="22"/>
        </w:rPr>
        <w:t xml:space="preserve"> in distinguishing patients with recurrence from those without (Jiang et al., 2023; </w:t>
      </w:r>
      <w:proofErr w:type="spellStart"/>
      <w:r w:rsidRPr="000616CA">
        <w:rPr>
          <w:rFonts w:ascii="Arial" w:hAnsi="Arial"/>
          <w:color w:val="000000" w:themeColor="text1"/>
          <w:sz w:val="22"/>
          <w:szCs w:val="22"/>
        </w:rPr>
        <w:t>Keshaviah</w:t>
      </w:r>
      <w:proofErr w:type="spellEnd"/>
      <w:r w:rsidRPr="000616CA">
        <w:rPr>
          <w:rFonts w:ascii="Arial" w:hAnsi="Arial"/>
          <w:color w:val="000000" w:themeColor="text1"/>
          <w:sz w:val="22"/>
          <w:szCs w:val="22"/>
        </w:rPr>
        <w:t xml:space="preserve"> et al., 2007; </w:t>
      </w:r>
      <w:proofErr w:type="spellStart"/>
      <w:r w:rsidRPr="000616CA">
        <w:rPr>
          <w:rFonts w:ascii="Arial" w:hAnsi="Arial"/>
          <w:color w:val="000000" w:themeColor="text1"/>
          <w:sz w:val="22"/>
          <w:szCs w:val="22"/>
        </w:rPr>
        <w:t>Metwally</w:t>
      </w:r>
      <w:proofErr w:type="spellEnd"/>
      <w:r w:rsidRPr="000616CA">
        <w:rPr>
          <w:rFonts w:ascii="Arial" w:hAnsi="Arial"/>
          <w:color w:val="000000" w:themeColor="text1"/>
          <w:sz w:val="22"/>
          <w:szCs w:val="22"/>
        </w:rPr>
        <w:t xml:space="preserve"> et al., 2020). Yazdani et al. (2019) and Chen et al. (2017) further confirmed the strong association between elevated serum ALP and MBD in breast cancer patients.</w:t>
      </w:r>
    </w:p>
    <w:p w14:paraId="09A19447"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Lactate dehydrogenase (LDH) is a critical enzyme in cellular energy metabolism. Elevated serum LDH concentrations have been associated with tissue injury and various pathological conditions, including cancer. Its prognostic significance in oncology has been well-established, with higher baseline serum LDH levels </w:t>
      </w:r>
      <w:r w:rsidRPr="000616CA">
        <w:rPr>
          <w:rFonts w:ascii="Arial" w:hAnsi="Arial"/>
          <w:color w:val="000000" w:themeColor="text1"/>
          <w:sz w:val="22"/>
          <w:szCs w:val="22"/>
        </w:rPr>
        <w:lastRenderedPageBreak/>
        <w:t>correlating with poorer prognosis and shorter survival in patients with Ewing sarcoma, lung cancer, multiple myeloma, and metastatic melanoma (Brown et al., 2012; Li et al., 2016). LDH has also been incorporated into established prognostic models such as the Manchester Prognostic Score and the International Myeloma Staging System (Brown et al., 2010).</w:t>
      </w:r>
    </w:p>
    <w:p w14:paraId="16C223BD"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Interleukin-1β (IL-1β) is a pro-inflammatory cytokine that has emerged as a key mediator in breast cancer metastasis to bone. The IL-1 family comprises 11 members involved in inflammation and immune responses, including IL-1α, IL-1β, and IL-1Ra. Upon binding to IL-1 receptor type 1 (IL-1R1), IL-1β induces downstream signaling cascades and gene transcription. In the breast cancer context, IL-1β produced by both tumor and non-tumor cells within the bone microenvironment plays pivotal roles in regulating cell proliferation, migration, invasion, and apoptosis. Expression of IL-1β in primary breast tumors has been linked to cancer stage and increased risk of bone metastasis (Zhou,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xml:space="preserve">, 2022). Recent reviews have further elucidated the molecular mechanisms by which IL-1β drives the metastatic cascade, including promotion of epithelial–mesenchymal transition (EMT), vascular and immunological changes, homing to bone, and stimulation of the vicious cycle of bone metastases (Zhou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2024). Novel therapeutic strategies targeting IL-1 signaling, including Caspase-1 inhibition, have also been investigated as promising approaches for treating breast cancer bone metastasis (Zhou, Down et al., 2022). However, some investigators have noted that IL-1β levels may also be elevated in inflammatory conditions such as rheumatoid arthritis, thereby reducing its specificity as a standalone marker (</w:t>
      </w:r>
      <w:proofErr w:type="spellStart"/>
      <w:r w:rsidRPr="000616CA">
        <w:rPr>
          <w:rFonts w:ascii="Times New Roman" w:hAnsi="Times New Roman"/>
          <w:color w:val="000000" w:themeColor="text1"/>
          <w:sz w:val="24"/>
        </w:rPr>
        <w:t>Elaraj</w:t>
      </w:r>
      <w:proofErr w:type="spellEnd"/>
      <w:r w:rsidRPr="000616CA">
        <w:rPr>
          <w:rFonts w:ascii="Times New Roman" w:hAnsi="Times New Roman"/>
          <w:color w:val="000000" w:themeColor="text1"/>
          <w:sz w:val="24"/>
        </w:rPr>
        <w:t xml:space="preserve"> et al., 2006).</w:t>
      </w:r>
    </w:p>
    <w:p w14:paraId="30E1C920" w14:textId="5AAE49F5" w:rsidR="003E0CB5" w:rsidRDefault="003E0CB5" w:rsidP="0089477C">
      <w:pPr>
        <w:spacing w:line="360" w:lineRule="auto"/>
        <w:jc w:val="both"/>
        <w:rPr>
          <w:rFonts w:ascii="Arial" w:hAnsi="Arial"/>
          <w:color w:val="000000" w:themeColor="text1"/>
          <w:sz w:val="22"/>
          <w:szCs w:val="22"/>
        </w:rPr>
      </w:pPr>
      <w:r w:rsidRPr="000616CA">
        <w:rPr>
          <w:rFonts w:ascii="Arial" w:hAnsi="Arial"/>
          <w:color w:val="000000" w:themeColor="text1"/>
          <w:sz w:val="22"/>
          <w:szCs w:val="22"/>
        </w:rPr>
        <w:t xml:space="preserve">Although previous studies have investigated ALP, LDH, and IL-1β individually as prognostic factors in breast cancer, evidence regarding their combined predictive value for MBD remains limited and controversial. No prior study has simultaneously evaluated these three biomarkers as risk factors for MBD in a single cohort. Identifying reliable early biomarkers for MBD could facilitate timely interventions aimed at reducing pain, preventing skeletal-related events, and improving patient quality of life. Therefore, this study was designed to assess the associations between elevated ALP, </w:t>
      </w:r>
      <w:r w:rsidRPr="000616CA">
        <w:rPr>
          <w:rFonts w:ascii="Arial" w:hAnsi="Arial"/>
          <w:color w:val="000000" w:themeColor="text1"/>
          <w:sz w:val="22"/>
          <w:szCs w:val="22"/>
        </w:rPr>
        <w:lastRenderedPageBreak/>
        <w:t>LDH, and IL-1β expression and the occurrence of MBD in breast cancer patients, and to determine the most influential predictor among these biomarkers.</w:t>
      </w:r>
    </w:p>
    <w:p w14:paraId="6B5822BA" w14:textId="77777777" w:rsidR="00097D86" w:rsidRPr="000616CA" w:rsidRDefault="00097D86" w:rsidP="0089477C">
      <w:pPr>
        <w:spacing w:line="360" w:lineRule="auto"/>
        <w:jc w:val="both"/>
        <w:rPr>
          <w:color w:val="000000" w:themeColor="text1"/>
          <w:sz w:val="22"/>
          <w:szCs w:val="22"/>
        </w:rPr>
      </w:pPr>
    </w:p>
    <w:p w14:paraId="60EDA4B1"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 METHODOLOGY</w:t>
      </w:r>
    </w:p>
    <w:p w14:paraId="17D412D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2.1 Study Design and Setting</w:t>
      </w:r>
    </w:p>
    <w:p w14:paraId="3DE465BA" w14:textId="2CAA800B"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This case-control study was conducted at the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and Oncology Outpatient Clinics, Clinical Pathology Laboratory, and Anatomical Pathology Laboratory of Prof. Dr. I.G.N.G </w:t>
      </w:r>
      <w:proofErr w:type="spellStart"/>
      <w:r w:rsidRPr="000616CA">
        <w:rPr>
          <w:rFonts w:ascii="Arial" w:hAnsi="Arial"/>
          <w:color w:val="000000" w:themeColor="text1"/>
          <w:sz w:val="22"/>
          <w:szCs w:val="22"/>
        </w:rPr>
        <w:t>Ngoerah</w:t>
      </w:r>
      <w:proofErr w:type="spellEnd"/>
      <w:r w:rsidRPr="000616CA">
        <w:rPr>
          <w:rFonts w:ascii="Arial" w:hAnsi="Arial"/>
          <w:color w:val="000000" w:themeColor="text1"/>
          <w:sz w:val="22"/>
          <w:szCs w:val="22"/>
        </w:rPr>
        <w:t xml:space="preserve"> General Hospital, Denpasar, Bali, Indonesia, from July to December 2024. </w:t>
      </w:r>
    </w:p>
    <w:p w14:paraId="7E1F684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2.2 Study Population and Sample Size</w:t>
      </w:r>
    </w:p>
    <w:p w14:paraId="15F19371"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study population comprised female breast cancer patients aged 40–65 years. The case group consisted of patients with histologically confirmed breast cancer and radiologically documented bone metastasis (MBD), while the control group included breast cancer patients without evidence of bone metastasis. A total of 46 patients were enrolled: 26 in the case group and 20 in the control group. Sample size was calculated using the unpaired categorical comparative formula based on previously reported proportions (Chen et al., 2012; Schrijver et al., 2018), with an additional 20% allowance for potential dropouts.</w:t>
      </w:r>
    </w:p>
    <w:p w14:paraId="6FB20960"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2.3 Inclusion and Exclusion Criteria</w:t>
      </w:r>
    </w:p>
    <w:p w14:paraId="1C1E91FA"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Inclusion criteria were: (1) female patients aged 40–65 years with a confirmed diagnosis of breast cancer; (2) patients who had undergone primary tumor biopsy; (3) MBD cases confirmed by restaging imaging at the Oncology or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outpatient clinic; (4) biomarker data collected after biopsy and before initiation of chemotherapy; and (5) signed informed consent. Exclusion criteria included: (1) breast cancer patients with metastasis to sites other than bone; (2) bone metastasis originating from other primary malignancies; (3) incomplete or unavailable patient data; and (4) refusal to participate.</w:t>
      </w:r>
    </w:p>
    <w:p w14:paraId="5BD2DF16"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2.4 Biomarker Assessment</w:t>
      </w:r>
    </w:p>
    <w:p w14:paraId="43C542D5"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Serum ALP and LDH levels were measured from peripheral blood samples. ALP values were categorized as low (&lt;100 U/L) or high (≥100 U/L), with the normal reference range for women being 30–98 U/L (Jiang et al., 2023). LDH levels were </w:t>
      </w:r>
      <w:r w:rsidRPr="000616CA">
        <w:rPr>
          <w:rFonts w:ascii="Arial" w:hAnsi="Arial"/>
          <w:color w:val="000000" w:themeColor="text1"/>
          <w:sz w:val="22"/>
          <w:szCs w:val="22"/>
        </w:rPr>
        <w:lastRenderedPageBreak/>
        <w:t>classified as low (&lt;210 U/mL) or high (≥210 U/mL) based on published cut-off values (Hu et al., 2015).</w:t>
      </w:r>
    </w:p>
    <w:p w14:paraId="01A1B82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IL-1β expression was evaluated by immunohistochemistry (IHC) on formalin-fixed, paraffin-embedded primary breast tumor biopsy specimens using an automated </w:t>
      </w:r>
      <w:proofErr w:type="spellStart"/>
      <w:r w:rsidRPr="000616CA">
        <w:rPr>
          <w:rFonts w:ascii="Arial" w:hAnsi="Arial"/>
          <w:color w:val="000000" w:themeColor="text1"/>
          <w:sz w:val="22"/>
          <w:szCs w:val="22"/>
        </w:rPr>
        <w:t>immunostainer</w:t>
      </w:r>
      <w:proofErr w:type="spellEnd"/>
      <w:r w:rsidRPr="000616CA">
        <w:rPr>
          <w:rFonts w:ascii="Arial" w:hAnsi="Arial"/>
          <w:color w:val="000000" w:themeColor="text1"/>
          <w:sz w:val="22"/>
          <w:szCs w:val="22"/>
        </w:rPr>
        <w:t xml:space="preserve"> (</w:t>
      </w:r>
      <w:proofErr w:type="spellStart"/>
      <w:r w:rsidRPr="000616CA">
        <w:rPr>
          <w:rFonts w:ascii="Arial" w:hAnsi="Arial"/>
          <w:color w:val="000000" w:themeColor="text1"/>
          <w:sz w:val="22"/>
          <w:szCs w:val="22"/>
        </w:rPr>
        <w:t>Bondmax</w:t>
      </w:r>
      <w:proofErr w:type="spellEnd"/>
      <w:r w:rsidRPr="000616CA">
        <w:rPr>
          <w:rFonts w:ascii="Arial" w:hAnsi="Arial"/>
          <w:color w:val="000000" w:themeColor="text1"/>
          <w:sz w:val="22"/>
          <w:szCs w:val="22"/>
        </w:rPr>
        <w:t xml:space="preserve">, Leica). The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calculated by multiplying the percentage of positively stained tumor cells by the staining intensity (scored as 0 = negative, 1 = weak, 2 = moderate, 3 = strong) and summing across all intensity categories (McCarty, 2010). The optimal cut-off for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determined using receiver operating characteristic (ROC) curve analysis and the Youden index.</w:t>
      </w:r>
    </w:p>
    <w:p w14:paraId="3423652C"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2.5 Statistical Analysis</w:t>
      </w:r>
    </w:p>
    <w:p w14:paraId="4CED261F"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Descriptive statistics were presented as mean ± standard deviation for continuous variables and frequencies with percentages for categorical variables. Group comparisons were performed using the Chi-square test or Fisher's exact test as appropriate. ROC curve analysis was employed to determine the optimal IL-1β cut-off value. Bivariate analysis with cross-tabulation yielded crude odds ratios (OR) with 95% confidence intervals (CI). Variables with P &lt; .25 in bivariate analysis were entered into a multivariate logistic regression model to identify independent risk factors and calculate adjusted odds ratios (AOR). Potential confounding variables including age, family history, ethnicity, and lifestyle factors were evaluated in bivariate analysis, and only those meeting the P &lt; .25 threshold were considered for inclusion in the multivariate model. Model calibration was assessed using the Hosmer–</w:t>
      </w:r>
      <w:proofErr w:type="spellStart"/>
      <w:r w:rsidRPr="000616CA">
        <w:rPr>
          <w:rFonts w:ascii="Times New Roman" w:hAnsi="Times New Roman"/>
          <w:color w:val="000000" w:themeColor="text1"/>
          <w:sz w:val="24"/>
        </w:rPr>
        <w:t>Lemeshow</w:t>
      </w:r>
      <w:proofErr w:type="spellEnd"/>
      <w:r w:rsidRPr="000616CA">
        <w:rPr>
          <w:rFonts w:ascii="Times New Roman" w:hAnsi="Times New Roman"/>
          <w:color w:val="000000" w:themeColor="text1"/>
          <w:sz w:val="24"/>
        </w:rPr>
        <w:t xml:space="preserve"> goodness-of-fit test, and discriminative ability was evaluated using the area under the ROC curve (AUC). All analyses were performed using SPSS version 28 (IBM Corp., Armonk, NY, USA), with statistical significance set at P &lt; .05.</w:t>
      </w:r>
    </w:p>
    <w:p w14:paraId="40DC5023"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 RESULTS AND DISCUSSION</w:t>
      </w:r>
    </w:p>
    <w:p w14:paraId="5EFB1AEA"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3.1 Baseline Characteristics of Study Subjects</w:t>
      </w:r>
    </w:p>
    <w:p w14:paraId="624478CB"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 total of 46 female breast cancer patients were included. The mean age was 51.07 ± 8.75 years, with the majority (50%) in the 41–</w:t>
      </w:r>
      <w:proofErr w:type="gramStart"/>
      <w:r w:rsidRPr="000616CA">
        <w:rPr>
          <w:rFonts w:ascii="Arial" w:hAnsi="Arial"/>
          <w:color w:val="000000" w:themeColor="text1"/>
          <w:sz w:val="22"/>
          <w:szCs w:val="22"/>
        </w:rPr>
        <w:t>50 year</w:t>
      </w:r>
      <w:proofErr w:type="gramEnd"/>
      <w:r w:rsidRPr="000616CA">
        <w:rPr>
          <w:rFonts w:ascii="Arial" w:hAnsi="Arial"/>
          <w:color w:val="000000" w:themeColor="text1"/>
          <w:sz w:val="22"/>
          <w:szCs w:val="22"/>
        </w:rPr>
        <w:t xml:space="preserve"> age group. All participants were female. A family history of cancer was reported by 23.9% of patients. The predominant ethnicity was Balinese (76.1%). All patients in the MBD group were </w:t>
      </w:r>
      <w:r w:rsidRPr="000616CA">
        <w:rPr>
          <w:rFonts w:ascii="Arial" w:hAnsi="Arial"/>
          <w:color w:val="000000" w:themeColor="text1"/>
          <w:sz w:val="22"/>
          <w:szCs w:val="22"/>
        </w:rPr>
        <w:lastRenderedPageBreak/>
        <w:t xml:space="preserve">classified as stage IV (100%), whereas the control group predominantly comprised stage II and III patients. No participants had active inflammatory diseases, and all met the obesity criterion. The mean ALP level was 125.24 ± 80.9 U/L, mean LDH was 233.36 ± 72.2 U/L, and mean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was 2.23 ± 0.70. The baseline characteristics are presented in Table 1.</w:t>
      </w:r>
    </w:p>
    <w:p w14:paraId="77DAF243"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1. Baseline characteristics of study subjects</w:t>
      </w:r>
    </w:p>
    <w:tbl>
      <w:tblPr>
        <w:tblStyle w:val="TableGrid"/>
        <w:tblW w:w="0" w:type="auto"/>
        <w:jc w:val="center"/>
        <w:tblLook w:val="04A0" w:firstRow="1" w:lastRow="0" w:firstColumn="1" w:lastColumn="0" w:noHBand="0" w:noVBand="1"/>
      </w:tblPr>
      <w:tblGrid>
        <w:gridCol w:w="1753"/>
        <w:gridCol w:w="1616"/>
        <w:gridCol w:w="1616"/>
        <w:gridCol w:w="1616"/>
        <w:gridCol w:w="1597"/>
      </w:tblGrid>
      <w:tr w:rsidR="000616CA" w:rsidRPr="000616CA" w14:paraId="0D89B687" w14:textId="77777777" w:rsidTr="0008247C">
        <w:trPr>
          <w:jc w:val="center"/>
        </w:trPr>
        <w:tc>
          <w:tcPr>
            <w:tcW w:w="1768" w:type="dxa"/>
          </w:tcPr>
          <w:p w14:paraId="258CF17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Characteristic</w:t>
            </w:r>
          </w:p>
        </w:tc>
        <w:tc>
          <w:tcPr>
            <w:tcW w:w="1768" w:type="dxa"/>
          </w:tcPr>
          <w:p w14:paraId="2B186F7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Group (n=26)</w:t>
            </w:r>
          </w:p>
        </w:tc>
        <w:tc>
          <w:tcPr>
            <w:tcW w:w="1768" w:type="dxa"/>
          </w:tcPr>
          <w:p w14:paraId="6379377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Group (n=20)</w:t>
            </w:r>
          </w:p>
        </w:tc>
        <w:tc>
          <w:tcPr>
            <w:tcW w:w="1768" w:type="dxa"/>
          </w:tcPr>
          <w:p w14:paraId="3C52C201"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Total (n=46)</w:t>
            </w:r>
          </w:p>
        </w:tc>
        <w:tc>
          <w:tcPr>
            <w:tcW w:w="1768" w:type="dxa"/>
          </w:tcPr>
          <w:p w14:paraId="4DE9630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r>
      <w:tr w:rsidR="000616CA" w:rsidRPr="000616CA" w14:paraId="10772066" w14:textId="77777777" w:rsidTr="0008247C">
        <w:trPr>
          <w:jc w:val="center"/>
        </w:trPr>
        <w:tc>
          <w:tcPr>
            <w:tcW w:w="1768" w:type="dxa"/>
          </w:tcPr>
          <w:p w14:paraId="772C13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Age (years), mean ± SD</w:t>
            </w:r>
          </w:p>
        </w:tc>
        <w:tc>
          <w:tcPr>
            <w:tcW w:w="1768" w:type="dxa"/>
          </w:tcPr>
          <w:p w14:paraId="70F46FF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6C780A3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542C650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51.07 ± 8.75</w:t>
            </w:r>
          </w:p>
        </w:tc>
        <w:tc>
          <w:tcPr>
            <w:tcW w:w="1768" w:type="dxa"/>
          </w:tcPr>
          <w:p w14:paraId="462B916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.825</w:t>
            </w:r>
          </w:p>
        </w:tc>
      </w:tr>
      <w:tr w:rsidR="000616CA" w:rsidRPr="000616CA" w14:paraId="333E5B47" w14:textId="77777777" w:rsidTr="0008247C">
        <w:trPr>
          <w:jc w:val="center"/>
        </w:trPr>
        <w:tc>
          <w:tcPr>
            <w:tcW w:w="1768" w:type="dxa"/>
          </w:tcPr>
          <w:p w14:paraId="4522B11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  41–50 years, n (%)</w:t>
            </w:r>
          </w:p>
        </w:tc>
        <w:tc>
          <w:tcPr>
            <w:tcW w:w="1768" w:type="dxa"/>
          </w:tcPr>
          <w:p w14:paraId="5EEF7BA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14 (53.8)</w:t>
            </w:r>
          </w:p>
        </w:tc>
        <w:tc>
          <w:tcPr>
            <w:tcW w:w="1768" w:type="dxa"/>
          </w:tcPr>
          <w:p w14:paraId="246731B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9 (45.0)</w:t>
            </w:r>
          </w:p>
        </w:tc>
        <w:tc>
          <w:tcPr>
            <w:tcW w:w="1768" w:type="dxa"/>
          </w:tcPr>
          <w:p w14:paraId="25EA61D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(50.0)</w:t>
            </w:r>
          </w:p>
        </w:tc>
        <w:tc>
          <w:tcPr>
            <w:tcW w:w="1768" w:type="dxa"/>
          </w:tcPr>
          <w:p w14:paraId="2BB754D6" w14:textId="77777777" w:rsidR="003E0CB5" w:rsidRPr="000616CA" w:rsidRDefault="003E0CB5" w:rsidP="0089477C">
            <w:pPr>
              <w:spacing w:line="360" w:lineRule="auto"/>
              <w:jc w:val="both"/>
              <w:rPr>
                <w:color w:val="000000" w:themeColor="text1"/>
              </w:rPr>
            </w:pPr>
          </w:p>
        </w:tc>
      </w:tr>
      <w:tr w:rsidR="000616CA" w:rsidRPr="000616CA" w14:paraId="510693F0" w14:textId="77777777" w:rsidTr="0008247C">
        <w:trPr>
          <w:jc w:val="center"/>
        </w:trPr>
        <w:tc>
          <w:tcPr>
            <w:tcW w:w="1768" w:type="dxa"/>
          </w:tcPr>
          <w:p w14:paraId="7A407BD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  51–60 years, n (%)</w:t>
            </w:r>
          </w:p>
        </w:tc>
        <w:tc>
          <w:tcPr>
            <w:tcW w:w="1768" w:type="dxa"/>
          </w:tcPr>
          <w:p w14:paraId="16DC117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9 (34.6)</w:t>
            </w:r>
          </w:p>
        </w:tc>
        <w:tc>
          <w:tcPr>
            <w:tcW w:w="1768" w:type="dxa"/>
          </w:tcPr>
          <w:p w14:paraId="1397EA9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(35.0)</w:t>
            </w:r>
          </w:p>
        </w:tc>
        <w:tc>
          <w:tcPr>
            <w:tcW w:w="1768" w:type="dxa"/>
          </w:tcPr>
          <w:p w14:paraId="460E5D5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16 (34.8)</w:t>
            </w:r>
          </w:p>
        </w:tc>
        <w:tc>
          <w:tcPr>
            <w:tcW w:w="1768" w:type="dxa"/>
          </w:tcPr>
          <w:p w14:paraId="301FDA4D" w14:textId="77777777" w:rsidR="003E0CB5" w:rsidRPr="000616CA" w:rsidRDefault="003E0CB5" w:rsidP="0089477C">
            <w:pPr>
              <w:spacing w:line="360" w:lineRule="auto"/>
              <w:jc w:val="both"/>
              <w:rPr>
                <w:color w:val="000000" w:themeColor="text1"/>
              </w:rPr>
            </w:pPr>
          </w:p>
        </w:tc>
      </w:tr>
      <w:tr w:rsidR="000616CA" w:rsidRPr="000616CA" w14:paraId="7F39E5B1" w14:textId="77777777" w:rsidTr="0008247C">
        <w:trPr>
          <w:jc w:val="center"/>
        </w:trPr>
        <w:tc>
          <w:tcPr>
            <w:tcW w:w="1768" w:type="dxa"/>
          </w:tcPr>
          <w:p w14:paraId="0466417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Family history, n (%)</w:t>
            </w:r>
          </w:p>
        </w:tc>
        <w:tc>
          <w:tcPr>
            <w:tcW w:w="1768" w:type="dxa"/>
          </w:tcPr>
          <w:p w14:paraId="61EA65E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 (19.2)</w:t>
            </w:r>
          </w:p>
        </w:tc>
        <w:tc>
          <w:tcPr>
            <w:tcW w:w="1768" w:type="dxa"/>
          </w:tcPr>
          <w:p w14:paraId="7854D39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6 (30.0)</w:t>
            </w:r>
          </w:p>
        </w:tc>
        <w:tc>
          <w:tcPr>
            <w:tcW w:w="1768" w:type="dxa"/>
          </w:tcPr>
          <w:p w14:paraId="6946454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 (23.9)</w:t>
            </w:r>
          </w:p>
        </w:tc>
        <w:tc>
          <w:tcPr>
            <w:tcW w:w="1768" w:type="dxa"/>
          </w:tcPr>
          <w:p w14:paraId="47DCDDE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.307</w:t>
            </w:r>
          </w:p>
        </w:tc>
      </w:tr>
      <w:tr w:rsidR="000616CA" w:rsidRPr="000616CA" w14:paraId="52C1AEE9" w14:textId="77777777" w:rsidTr="0008247C">
        <w:trPr>
          <w:jc w:val="center"/>
        </w:trPr>
        <w:tc>
          <w:tcPr>
            <w:tcW w:w="1768" w:type="dxa"/>
          </w:tcPr>
          <w:p w14:paraId="6B2DC46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Balinese ethnicity, n (%)</w:t>
            </w:r>
          </w:p>
        </w:tc>
        <w:tc>
          <w:tcPr>
            <w:tcW w:w="1768" w:type="dxa"/>
          </w:tcPr>
          <w:p w14:paraId="55D40B5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(88.5)</w:t>
            </w:r>
          </w:p>
        </w:tc>
        <w:tc>
          <w:tcPr>
            <w:tcW w:w="1768" w:type="dxa"/>
          </w:tcPr>
          <w:p w14:paraId="42C4E34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 (60.0)</w:t>
            </w:r>
          </w:p>
        </w:tc>
        <w:tc>
          <w:tcPr>
            <w:tcW w:w="1768" w:type="dxa"/>
          </w:tcPr>
          <w:p w14:paraId="1650C5C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35 (76.1)</w:t>
            </w:r>
          </w:p>
        </w:tc>
        <w:tc>
          <w:tcPr>
            <w:tcW w:w="1768" w:type="dxa"/>
          </w:tcPr>
          <w:p w14:paraId="33BF739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.080</w:t>
            </w:r>
          </w:p>
        </w:tc>
      </w:tr>
      <w:tr w:rsidR="000616CA" w:rsidRPr="000616CA" w14:paraId="33DBA40C" w14:textId="77777777" w:rsidTr="0008247C">
        <w:trPr>
          <w:jc w:val="center"/>
        </w:trPr>
        <w:tc>
          <w:tcPr>
            <w:tcW w:w="1768" w:type="dxa"/>
          </w:tcPr>
          <w:p w14:paraId="6B5FF8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Stage IV, n (%)</w:t>
            </w:r>
          </w:p>
        </w:tc>
        <w:tc>
          <w:tcPr>
            <w:tcW w:w="1768" w:type="dxa"/>
          </w:tcPr>
          <w:p w14:paraId="5BD43BD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26 (100)</w:t>
            </w:r>
          </w:p>
        </w:tc>
        <w:tc>
          <w:tcPr>
            <w:tcW w:w="1768" w:type="dxa"/>
          </w:tcPr>
          <w:p w14:paraId="7807D6D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4 (20.0)</w:t>
            </w:r>
          </w:p>
        </w:tc>
        <w:tc>
          <w:tcPr>
            <w:tcW w:w="1768" w:type="dxa"/>
          </w:tcPr>
          <w:p w14:paraId="5FCA7B2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30 (65.2)</w:t>
            </w:r>
          </w:p>
        </w:tc>
        <w:tc>
          <w:tcPr>
            <w:tcW w:w="1768" w:type="dxa"/>
          </w:tcPr>
          <w:p w14:paraId="75E3811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.001</w:t>
            </w:r>
          </w:p>
        </w:tc>
      </w:tr>
      <w:tr w:rsidR="000616CA" w:rsidRPr="000616CA" w14:paraId="01BBDBBD" w14:textId="77777777" w:rsidTr="0008247C">
        <w:trPr>
          <w:jc w:val="center"/>
        </w:trPr>
        <w:tc>
          <w:tcPr>
            <w:tcW w:w="1768" w:type="dxa"/>
          </w:tcPr>
          <w:p w14:paraId="0C313AA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Alcohol consumption, n (%)</w:t>
            </w:r>
          </w:p>
        </w:tc>
        <w:tc>
          <w:tcPr>
            <w:tcW w:w="1768" w:type="dxa"/>
          </w:tcPr>
          <w:p w14:paraId="57A3C76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 (7.7)</w:t>
            </w:r>
          </w:p>
        </w:tc>
        <w:tc>
          <w:tcPr>
            <w:tcW w:w="1768" w:type="dxa"/>
          </w:tcPr>
          <w:p w14:paraId="4126614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 (25.0)</w:t>
            </w:r>
          </w:p>
        </w:tc>
        <w:tc>
          <w:tcPr>
            <w:tcW w:w="1768" w:type="dxa"/>
          </w:tcPr>
          <w:p w14:paraId="786E17C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(15.2)</w:t>
            </w:r>
          </w:p>
        </w:tc>
        <w:tc>
          <w:tcPr>
            <w:tcW w:w="1768" w:type="dxa"/>
          </w:tcPr>
          <w:p w14:paraId="3294638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.114</w:t>
            </w:r>
          </w:p>
        </w:tc>
      </w:tr>
      <w:tr w:rsidR="000616CA" w:rsidRPr="000616CA" w14:paraId="3E92547E" w14:textId="77777777" w:rsidTr="0008247C">
        <w:trPr>
          <w:jc w:val="center"/>
        </w:trPr>
        <w:tc>
          <w:tcPr>
            <w:tcW w:w="1768" w:type="dxa"/>
          </w:tcPr>
          <w:p w14:paraId="1EE9880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Smoking history, n (%)</w:t>
            </w:r>
          </w:p>
        </w:tc>
        <w:tc>
          <w:tcPr>
            <w:tcW w:w="1768" w:type="dxa"/>
          </w:tcPr>
          <w:p w14:paraId="0014280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6 (23.1)</w:t>
            </w:r>
          </w:p>
        </w:tc>
        <w:tc>
          <w:tcPr>
            <w:tcW w:w="1768" w:type="dxa"/>
          </w:tcPr>
          <w:p w14:paraId="2050307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 (5.0)</w:t>
            </w:r>
          </w:p>
        </w:tc>
        <w:tc>
          <w:tcPr>
            <w:tcW w:w="1768" w:type="dxa"/>
          </w:tcPr>
          <w:p w14:paraId="3F61221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 (15.2)</w:t>
            </w:r>
          </w:p>
        </w:tc>
        <w:tc>
          <w:tcPr>
            <w:tcW w:w="1768" w:type="dxa"/>
          </w:tcPr>
          <w:p w14:paraId="0C65F5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.098</w:t>
            </w:r>
          </w:p>
        </w:tc>
      </w:tr>
      <w:tr w:rsidR="000616CA" w:rsidRPr="000616CA" w14:paraId="28DE03BC" w14:textId="77777777" w:rsidTr="0008247C">
        <w:trPr>
          <w:jc w:val="center"/>
        </w:trPr>
        <w:tc>
          <w:tcPr>
            <w:tcW w:w="1768" w:type="dxa"/>
          </w:tcPr>
          <w:p w14:paraId="0EC03C0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ALP (U/L), mean ± SD</w:t>
            </w:r>
          </w:p>
        </w:tc>
        <w:tc>
          <w:tcPr>
            <w:tcW w:w="1768" w:type="dxa"/>
          </w:tcPr>
          <w:p w14:paraId="7FCB41E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158.23 ± 93.9</w:t>
            </w:r>
          </w:p>
        </w:tc>
        <w:tc>
          <w:tcPr>
            <w:tcW w:w="1768" w:type="dxa"/>
          </w:tcPr>
          <w:p w14:paraId="33AC8D6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82.36 ± 21.42</w:t>
            </w:r>
          </w:p>
        </w:tc>
        <w:tc>
          <w:tcPr>
            <w:tcW w:w="1768" w:type="dxa"/>
          </w:tcPr>
          <w:p w14:paraId="7DB918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125.24 ± 80.9</w:t>
            </w:r>
          </w:p>
        </w:tc>
        <w:tc>
          <w:tcPr>
            <w:tcW w:w="1768" w:type="dxa"/>
          </w:tcPr>
          <w:p w14:paraId="40DAE70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.010</w:t>
            </w:r>
          </w:p>
        </w:tc>
      </w:tr>
      <w:tr w:rsidR="000616CA" w:rsidRPr="000616CA" w14:paraId="59FE829C" w14:textId="77777777" w:rsidTr="0008247C">
        <w:trPr>
          <w:jc w:val="center"/>
        </w:trPr>
        <w:tc>
          <w:tcPr>
            <w:tcW w:w="1768" w:type="dxa"/>
          </w:tcPr>
          <w:p w14:paraId="6842175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LDH (U/L), mean ± SD</w:t>
            </w:r>
          </w:p>
        </w:tc>
        <w:tc>
          <w:tcPr>
            <w:tcW w:w="1768" w:type="dxa"/>
          </w:tcPr>
          <w:p w14:paraId="4A87435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263.76 ± 71.07</w:t>
            </w:r>
          </w:p>
        </w:tc>
        <w:tc>
          <w:tcPr>
            <w:tcW w:w="1768" w:type="dxa"/>
          </w:tcPr>
          <w:p w14:paraId="422F6A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193.85 ± 52.87</w:t>
            </w:r>
          </w:p>
        </w:tc>
        <w:tc>
          <w:tcPr>
            <w:tcW w:w="1768" w:type="dxa"/>
          </w:tcPr>
          <w:p w14:paraId="302005A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233.36 ± 72.2</w:t>
            </w:r>
          </w:p>
        </w:tc>
        <w:tc>
          <w:tcPr>
            <w:tcW w:w="1768" w:type="dxa"/>
          </w:tcPr>
          <w:p w14:paraId="578665D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r>
      <w:tr w:rsidR="000616CA" w:rsidRPr="000616CA" w14:paraId="1D11BCFB" w14:textId="77777777" w:rsidTr="0008247C">
        <w:trPr>
          <w:jc w:val="center"/>
        </w:trPr>
        <w:tc>
          <w:tcPr>
            <w:tcW w:w="1768" w:type="dxa"/>
          </w:tcPr>
          <w:p w14:paraId="13E584C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 xml:space="preserve">IL-1β </w:t>
            </w:r>
            <w:proofErr w:type="spellStart"/>
            <w:r w:rsidRPr="000616CA">
              <w:rPr>
                <w:rFonts w:ascii="Arial" w:hAnsi="Arial"/>
                <w:color w:val="000000" w:themeColor="text1"/>
              </w:rPr>
              <w:t>immunoscore</w:t>
            </w:r>
            <w:proofErr w:type="spellEnd"/>
            <w:r w:rsidRPr="000616CA">
              <w:rPr>
                <w:rFonts w:ascii="Arial" w:hAnsi="Arial"/>
                <w:color w:val="000000" w:themeColor="text1"/>
              </w:rPr>
              <w:t>, mean ± SD</w:t>
            </w:r>
          </w:p>
        </w:tc>
        <w:tc>
          <w:tcPr>
            <w:tcW w:w="1768" w:type="dxa"/>
          </w:tcPr>
          <w:p w14:paraId="67235B3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2.57 ± 0.50</w:t>
            </w:r>
          </w:p>
        </w:tc>
        <w:tc>
          <w:tcPr>
            <w:tcW w:w="1768" w:type="dxa"/>
          </w:tcPr>
          <w:p w14:paraId="526E81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1.80 ± 0.69</w:t>
            </w:r>
          </w:p>
        </w:tc>
        <w:tc>
          <w:tcPr>
            <w:tcW w:w="1768" w:type="dxa"/>
          </w:tcPr>
          <w:p w14:paraId="7457D62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2.23 ± 0.70</w:t>
            </w:r>
          </w:p>
        </w:tc>
        <w:tc>
          <w:tcPr>
            <w:tcW w:w="1768" w:type="dxa"/>
          </w:tcPr>
          <w:p w14:paraId="68BFB1B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.001</w:t>
            </w:r>
          </w:p>
        </w:tc>
      </w:tr>
    </w:tbl>
    <w:p w14:paraId="4C8BBA8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lastRenderedPageBreak/>
        <w:t>The demographic profile reflects the typical characteristics of breast cancer observed in Southeast Asian populations. The peak incidence in the 41–</w:t>
      </w:r>
      <w:proofErr w:type="gramStart"/>
      <w:r w:rsidRPr="000616CA">
        <w:rPr>
          <w:rFonts w:ascii="Arial" w:hAnsi="Arial"/>
          <w:color w:val="000000" w:themeColor="text1"/>
          <w:sz w:val="22"/>
          <w:szCs w:val="22"/>
        </w:rPr>
        <w:t>50 year</w:t>
      </w:r>
      <w:proofErr w:type="gramEnd"/>
      <w:r w:rsidRPr="000616CA">
        <w:rPr>
          <w:rFonts w:ascii="Arial" w:hAnsi="Arial"/>
          <w:color w:val="000000" w:themeColor="text1"/>
          <w:sz w:val="22"/>
          <w:szCs w:val="22"/>
        </w:rPr>
        <w:t xml:space="preserve"> age group is consistent with findings from studies in China (Fan et al., 2014) and contrasts with reports from North America and Europe, where the median age at diagnosis is approximately 60 years (</w:t>
      </w:r>
      <w:proofErr w:type="spellStart"/>
      <w:r w:rsidRPr="000616CA">
        <w:rPr>
          <w:rFonts w:ascii="Arial" w:hAnsi="Arial"/>
          <w:color w:val="000000" w:themeColor="text1"/>
          <w:sz w:val="22"/>
          <w:szCs w:val="22"/>
        </w:rPr>
        <w:t>Youlden</w:t>
      </w:r>
      <w:proofErr w:type="spellEnd"/>
      <w:r w:rsidRPr="000616CA">
        <w:rPr>
          <w:rFonts w:ascii="Arial" w:hAnsi="Arial"/>
          <w:color w:val="000000" w:themeColor="text1"/>
          <w:sz w:val="22"/>
          <w:szCs w:val="22"/>
        </w:rPr>
        <w:t xml:space="preserve"> et al., 2014). The predominance of stage IV disease in the MBD group aligns with established literature indicating that 70–80% of stage IV breast cancer patients develop bone metastasis (Ibrahim et al., 2013).</w:t>
      </w:r>
    </w:p>
    <w:p w14:paraId="2780BD78"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3.2 Determination of IL-1β Cut-off Value</w:t>
      </w:r>
    </w:p>
    <w:p w14:paraId="10F15CF1"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ROC curve analysis was performed to determine the optimal IL-1β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cut-off for predicting MBD. The analysis yielded an AUC of 0.706 (P = .015; 95% CI: 0.54–0.87), indicating fair diagnostic accuracy. Using the Youden index, the optimal cut-off was identified at an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of ≥2.5, yielding a sensitivity of 48.5% and specificity of 84.6% (Table 2). Although the sensitivity was modest, the high specificity suggests clinical utility in reducing false-positive results. As recommended by Chen et al. (2024), combining IL-1β with other markers such as ALP or systemic inflammatory indices may enhance overall predictive performance.</w:t>
      </w:r>
    </w:p>
    <w:p w14:paraId="168753C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 xml:space="preserve">Table 2. ROC analysis results for IL-1β </w:t>
      </w:r>
      <w:proofErr w:type="spellStart"/>
      <w:r w:rsidRPr="000616CA">
        <w:rPr>
          <w:rFonts w:ascii="Arial" w:hAnsi="Arial"/>
          <w:b/>
          <w:color w:val="000000" w:themeColor="text1"/>
          <w:sz w:val="22"/>
          <w:szCs w:val="22"/>
        </w:rPr>
        <w:t>immunoscore</w:t>
      </w:r>
      <w:proofErr w:type="spellEnd"/>
      <w:r w:rsidRPr="000616CA">
        <w:rPr>
          <w:rFonts w:ascii="Arial" w:hAnsi="Arial"/>
          <w:b/>
          <w:color w:val="000000" w:themeColor="text1"/>
          <w:sz w:val="22"/>
          <w:szCs w:val="22"/>
        </w:rPr>
        <w:t xml:space="preserve"> cut-off</w:t>
      </w:r>
    </w:p>
    <w:tbl>
      <w:tblPr>
        <w:tblStyle w:val="TableGrid"/>
        <w:tblW w:w="0" w:type="auto"/>
        <w:jc w:val="center"/>
        <w:tblLook w:val="04A0" w:firstRow="1" w:lastRow="0" w:firstColumn="1" w:lastColumn="0" w:noHBand="0" w:noVBand="1"/>
      </w:tblPr>
      <w:tblGrid>
        <w:gridCol w:w="1632"/>
        <w:gridCol w:w="1632"/>
        <w:gridCol w:w="1634"/>
        <w:gridCol w:w="1632"/>
        <w:gridCol w:w="1668"/>
      </w:tblGrid>
      <w:tr w:rsidR="000616CA" w:rsidRPr="000616CA" w14:paraId="31E7BCC2" w14:textId="77777777" w:rsidTr="0008247C">
        <w:trPr>
          <w:jc w:val="center"/>
        </w:trPr>
        <w:tc>
          <w:tcPr>
            <w:tcW w:w="1768" w:type="dxa"/>
          </w:tcPr>
          <w:p w14:paraId="60A6DFE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AUC</w:t>
            </w:r>
          </w:p>
        </w:tc>
        <w:tc>
          <w:tcPr>
            <w:tcW w:w="1768" w:type="dxa"/>
          </w:tcPr>
          <w:p w14:paraId="7CE86121"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Std. Error</w:t>
            </w:r>
          </w:p>
        </w:tc>
        <w:tc>
          <w:tcPr>
            <w:tcW w:w="1768" w:type="dxa"/>
          </w:tcPr>
          <w:p w14:paraId="79E3226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19AAB297"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95% CI</w:t>
            </w:r>
          </w:p>
        </w:tc>
        <w:tc>
          <w:tcPr>
            <w:tcW w:w="1768" w:type="dxa"/>
          </w:tcPr>
          <w:p w14:paraId="44920C1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Optimal Cut-off</w:t>
            </w:r>
          </w:p>
        </w:tc>
      </w:tr>
      <w:tr w:rsidR="000616CA" w:rsidRPr="000616CA" w14:paraId="422A8F3B" w14:textId="77777777" w:rsidTr="0008247C">
        <w:trPr>
          <w:jc w:val="center"/>
        </w:trPr>
        <w:tc>
          <w:tcPr>
            <w:tcW w:w="1768" w:type="dxa"/>
          </w:tcPr>
          <w:p w14:paraId="22411A7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0.706</w:t>
            </w:r>
          </w:p>
        </w:tc>
        <w:tc>
          <w:tcPr>
            <w:tcW w:w="1768" w:type="dxa"/>
          </w:tcPr>
          <w:p w14:paraId="36A2409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0.085</w:t>
            </w:r>
          </w:p>
        </w:tc>
        <w:tc>
          <w:tcPr>
            <w:tcW w:w="1768" w:type="dxa"/>
          </w:tcPr>
          <w:p w14:paraId="0993F0F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.015</w:t>
            </w:r>
          </w:p>
        </w:tc>
        <w:tc>
          <w:tcPr>
            <w:tcW w:w="1768" w:type="dxa"/>
          </w:tcPr>
          <w:p w14:paraId="0B90EC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0.54–0.87</w:t>
            </w:r>
          </w:p>
        </w:tc>
        <w:tc>
          <w:tcPr>
            <w:tcW w:w="1768" w:type="dxa"/>
          </w:tcPr>
          <w:p w14:paraId="51CD0AF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≥2.5</w:t>
            </w:r>
          </w:p>
        </w:tc>
      </w:tr>
    </w:tbl>
    <w:p w14:paraId="75C59AAE"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3.3 Elevated ALP as a Risk Factor for MBD</w:t>
      </w:r>
    </w:p>
    <w:p w14:paraId="38CBF3A8"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Bivariate analysis demonstrated a statistically significant association between elevated ALP levels and the occurrence of bone metastasis (Table 3). Among patients in the MBD group, 53.8% exhibited high ALP levels compared to only 10.0% in the non-MBD group (P = .002). The odds ratio was 10.50 (95% CI: 2.01–54.77), indicating that patients with elevated ALP had a 10.5-fold greater likelihood of developing bone metastasis compared to those with normal ALP levels.</w:t>
      </w:r>
    </w:p>
    <w:p w14:paraId="034F43D5"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3. Bivariate analysis of ALP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E596C94" w14:textId="77777777" w:rsidTr="0008247C">
        <w:trPr>
          <w:jc w:val="center"/>
        </w:trPr>
        <w:tc>
          <w:tcPr>
            <w:tcW w:w="1768" w:type="dxa"/>
          </w:tcPr>
          <w:p w14:paraId="12EA0704"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ALP Category</w:t>
            </w:r>
          </w:p>
        </w:tc>
        <w:tc>
          <w:tcPr>
            <w:tcW w:w="1768" w:type="dxa"/>
          </w:tcPr>
          <w:p w14:paraId="371BE69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446B14CA"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5B09579B"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1072C76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403C209C" w14:textId="77777777" w:rsidTr="0008247C">
        <w:trPr>
          <w:jc w:val="center"/>
        </w:trPr>
        <w:tc>
          <w:tcPr>
            <w:tcW w:w="1768" w:type="dxa"/>
          </w:tcPr>
          <w:p w14:paraId="67A7244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(≥100 U/L)</w:t>
            </w:r>
          </w:p>
        </w:tc>
        <w:tc>
          <w:tcPr>
            <w:tcW w:w="1768" w:type="dxa"/>
          </w:tcPr>
          <w:p w14:paraId="1227D90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14 (53.8%)</w:t>
            </w:r>
          </w:p>
        </w:tc>
        <w:tc>
          <w:tcPr>
            <w:tcW w:w="1768" w:type="dxa"/>
          </w:tcPr>
          <w:p w14:paraId="1DBE2A4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 (10.0%)</w:t>
            </w:r>
          </w:p>
        </w:tc>
        <w:tc>
          <w:tcPr>
            <w:tcW w:w="1768" w:type="dxa"/>
          </w:tcPr>
          <w:p w14:paraId="2368B0E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.002</w:t>
            </w:r>
          </w:p>
        </w:tc>
        <w:tc>
          <w:tcPr>
            <w:tcW w:w="1768" w:type="dxa"/>
          </w:tcPr>
          <w:p w14:paraId="0256350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10.50 (2.01–54.77)</w:t>
            </w:r>
          </w:p>
        </w:tc>
      </w:tr>
      <w:tr w:rsidR="000616CA" w:rsidRPr="000616CA" w14:paraId="0553696C" w14:textId="77777777" w:rsidTr="0008247C">
        <w:trPr>
          <w:jc w:val="center"/>
        </w:trPr>
        <w:tc>
          <w:tcPr>
            <w:tcW w:w="1768" w:type="dxa"/>
          </w:tcPr>
          <w:p w14:paraId="5DBBD1D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lastRenderedPageBreak/>
              <w:t>Low (&lt;100 U/L)</w:t>
            </w:r>
          </w:p>
        </w:tc>
        <w:tc>
          <w:tcPr>
            <w:tcW w:w="1768" w:type="dxa"/>
          </w:tcPr>
          <w:p w14:paraId="096D4B45"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12 (46.2%)</w:t>
            </w:r>
          </w:p>
        </w:tc>
        <w:tc>
          <w:tcPr>
            <w:tcW w:w="1768" w:type="dxa"/>
          </w:tcPr>
          <w:p w14:paraId="40ED51B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18 (90.0%)</w:t>
            </w:r>
          </w:p>
        </w:tc>
        <w:tc>
          <w:tcPr>
            <w:tcW w:w="1768" w:type="dxa"/>
          </w:tcPr>
          <w:p w14:paraId="6B647D12" w14:textId="77777777" w:rsidR="003E0CB5" w:rsidRPr="000616CA" w:rsidRDefault="003E0CB5" w:rsidP="0089477C">
            <w:pPr>
              <w:spacing w:line="360" w:lineRule="auto"/>
              <w:jc w:val="both"/>
              <w:rPr>
                <w:color w:val="000000" w:themeColor="text1"/>
              </w:rPr>
            </w:pPr>
          </w:p>
        </w:tc>
        <w:tc>
          <w:tcPr>
            <w:tcW w:w="1768" w:type="dxa"/>
          </w:tcPr>
          <w:p w14:paraId="091F0019" w14:textId="77777777" w:rsidR="003E0CB5" w:rsidRPr="000616CA" w:rsidRDefault="003E0CB5" w:rsidP="0089477C">
            <w:pPr>
              <w:spacing w:line="360" w:lineRule="auto"/>
              <w:jc w:val="both"/>
              <w:rPr>
                <w:color w:val="000000" w:themeColor="text1"/>
              </w:rPr>
            </w:pPr>
          </w:p>
        </w:tc>
      </w:tr>
    </w:tbl>
    <w:p w14:paraId="6BFFF965"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These findings are consistent with published literature identifying ALP as a sensitive indicator of bone remodeling activity in the context of metastatic disease. The bone-specific isoform (BAP), released by osteoblasts during reparative bone activity, has been established as a reliable marker for detecting both bone and hepatic metastases in breast cancer (</w:t>
      </w:r>
      <w:proofErr w:type="spellStart"/>
      <w:r w:rsidRPr="000616CA">
        <w:rPr>
          <w:rFonts w:ascii="Times New Roman" w:hAnsi="Times New Roman"/>
          <w:color w:val="000000" w:themeColor="text1"/>
          <w:sz w:val="24"/>
        </w:rPr>
        <w:t>Thio</w:t>
      </w:r>
      <w:proofErr w:type="spellEnd"/>
      <w:r w:rsidRPr="000616CA">
        <w:rPr>
          <w:rFonts w:ascii="Times New Roman" w:hAnsi="Times New Roman"/>
          <w:color w:val="000000" w:themeColor="text1"/>
          <w:sz w:val="24"/>
        </w:rPr>
        <w:t xml:space="preserve"> et al., 2020). It should be noted that total serum ALP reflects contributions from multiple isoenzymes found in the liver, bone, kidneys, and intestinal lining, and can be elevated in diverse conditions including hepatobiliary disease, chronic kidney disease, and pregnancy. In the present study, total serum ALP rather than the bone-specific isoform (BAP) was measured, which may have reduced the specificity of this marker for bone metastasis. Nevertheless, the strong association observed in this study reinforces the clinical utility of ALP as an early screening tool for MBD in advanced breast cancer patients.</w:t>
      </w:r>
    </w:p>
    <w:p w14:paraId="560F9B7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3.4 Elevated LDH as a Risk Factor for MBD</w:t>
      </w:r>
    </w:p>
    <w:p w14:paraId="2FCCF7BB"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High LDH levels were significantly associated with MBD (Table 4). In the MBD group, 88.5% of patients had elevated LDH, compared to 50.0% in the non-MBD group (P = .004; OR = 7.60; 95% CI: 1.70–33.90). This finding aligns with the known biological role of LDH in tumor metabolism. Cancer cells preferentially metabolize glucose through aerobic glycolysis (the Warburg effect), driven by HIF-1α-mediated upregulation of glycolytic enzymes including LDH, resulting in elevated serum LDH levels (Zhang et al., 2015). However, LDH comprises five isoenzymes (LDH-1 to LDH-5) and can be elevated in conditions such as intravascular hemolysis, liver disease, myocardial infarction, and other tissue injuries (</w:t>
      </w:r>
      <w:proofErr w:type="spellStart"/>
      <w:r w:rsidRPr="000616CA">
        <w:rPr>
          <w:rFonts w:ascii="Times New Roman" w:hAnsi="Times New Roman"/>
          <w:color w:val="000000" w:themeColor="text1"/>
          <w:sz w:val="24"/>
        </w:rPr>
        <w:t>Forkasiewicz</w:t>
      </w:r>
      <w:proofErr w:type="spellEnd"/>
      <w:r w:rsidRPr="000616CA">
        <w:rPr>
          <w:rFonts w:ascii="Times New Roman" w:hAnsi="Times New Roman"/>
          <w:color w:val="000000" w:themeColor="text1"/>
          <w:sz w:val="24"/>
        </w:rPr>
        <w:t xml:space="preserve"> et al., 2020). In the present study, total serum LDH rather than specific isoenzyme fractions was measured, which may have reduced its specificity for detecting bone metastasis. Higher baseline LDH has been consistently associated with worse prognosis and increased metastatic potential across multiple solid tumors.</w:t>
      </w:r>
    </w:p>
    <w:p w14:paraId="65489B4C"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4. Bivariate analysis of LDH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C1A46AB" w14:textId="77777777" w:rsidTr="0008247C">
        <w:trPr>
          <w:jc w:val="center"/>
        </w:trPr>
        <w:tc>
          <w:tcPr>
            <w:tcW w:w="1768" w:type="dxa"/>
          </w:tcPr>
          <w:p w14:paraId="2D7A8EB3"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lastRenderedPageBreak/>
              <w:t>LDH Category</w:t>
            </w:r>
          </w:p>
        </w:tc>
        <w:tc>
          <w:tcPr>
            <w:tcW w:w="1768" w:type="dxa"/>
          </w:tcPr>
          <w:p w14:paraId="51C1259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79CB22E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010637EF"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669C7AA7"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22E45D0C" w14:textId="77777777" w:rsidTr="0008247C">
        <w:trPr>
          <w:jc w:val="center"/>
        </w:trPr>
        <w:tc>
          <w:tcPr>
            <w:tcW w:w="1768" w:type="dxa"/>
          </w:tcPr>
          <w:p w14:paraId="3715BF9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(≥210 U/mL)</w:t>
            </w:r>
          </w:p>
        </w:tc>
        <w:tc>
          <w:tcPr>
            <w:tcW w:w="1768" w:type="dxa"/>
          </w:tcPr>
          <w:p w14:paraId="58633FB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23 (88.5%)</w:t>
            </w:r>
          </w:p>
        </w:tc>
        <w:tc>
          <w:tcPr>
            <w:tcW w:w="1768" w:type="dxa"/>
          </w:tcPr>
          <w:p w14:paraId="729157F4"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 (50.0%)</w:t>
            </w:r>
          </w:p>
        </w:tc>
        <w:tc>
          <w:tcPr>
            <w:tcW w:w="1768" w:type="dxa"/>
          </w:tcPr>
          <w:p w14:paraId="4CE8161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c>
          <w:tcPr>
            <w:tcW w:w="1768" w:type="dxa"/>
          </w:tcPr>
          <w:p w14:paraId="7EA534B7"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7.60 (1.70–33.90)</w:t>
            </w:r>
          </w:p>
        </w:tc>
      </w:tr>
      <w:tr w:rsidR="000616CA" w:rsidRPr="000616CA" w14:paraId="373E5CB6" w14:textId="77777777" w:rsidTr="0008247C">
        <w:trPr>
          <w:jc w:val="center"/>
        </w:trPr>
        <w:tc>
          <w:tcPr>
            <w:tcW w:w="1768" w:type="dxa"/>
          </w:tcPr>
          <w:p w14:paraId="2DD265E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Low (&lt;210 U/mL)</w:t>
            </w:r>
          </w:p>
        </w:tc>
        <w:tc>
          <w:tcPr>
            <w:tcW w:w="1768" w:type="dxa"/>
          </w:tcPr>
          <w:p w14:paraId="7B9C593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 (11.5%)</w:t>
            </w:r>
          </w:p>
        </w:tc>
        <w:tc>
          <w:tcPr>
            <w:tcW w:w="1768" w:type="dxa"/>
          </w:tcPr>
          <w:p w14:paraId="3818387A"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10 (50.0%)</w:t>
            </w:r>
          </w:p>
        </w:tc>
        <w:tc>
          <w:tcPr>
            <w:tcW w:w="1768" w:type="dxa"/>
          </w:tcPr>
          <w:p w14:paraId="143B6688" w14:textId="77777777" w:rsidR="003E0CB5" w:rsidRPr="000616CA" w:rsidRDefault="003E0CB5" w:rsidP="0089477C">
            <w:pPr>
              <w:spacing w:line="360" w:lineRule="auto"/>
              <w:jc w:val="both"/>
              <w:rPr>
                <w:color w:val="000000" w:themeColor="text1"/>
              </w:rPr>
            </w:pPr>
          </w:p>
        </w:tc>
        <w:tc>
          <w:tcPr>
            <w:tcW w:w="1768" w:type="dxa"/>
          </w:tcPr>
          <w:p w14:paraId="45D92A73" w14:textId="77777777" w:rsidR="003E0CB5" w:rsidRPr="000616CA" w:rsidRDefault="003E0CB5" w:rsidP="0089477C">
            <w:pPr>
              <w:spacing w:line="360" w:lineRule="auto"/>
              <w:jc w:val="both"/>
              <w:rPr>
                <w:color w:val="000000" w:themeColor="text1"/>
              </w:rPr>
            </w:pPr>
          </w:p>
        </w:tc>
      </w:tr>
    </w:tbl>
    <w:p w14:paraId="6E779146"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3.5 Elevated IL-1β Expression as a Risk Factor for MBD</w:t>
      </w:r>
    </w:p>
    <w:p w14:paraId="7C0D1E7E"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Elevated IL-1β expression (</w:t>
      </w:r>
      <w:proofErr w:type="spellStart"/>
      <w:r w:rsidRPr="000616CA">
        <w:rPr>
          <w:rFonts w:ascii="Arial" w:hAnsi="Arial"/>
          <w:color w:val="000000" w:themeColor="text1"/>
          <w:sz w:val="22"/>
          <w:szCs w:val="22"/>
        </w:rPr>
        <w:t>immunoscore</w:t>
      </w:r>
      <w:proofErr w:type="spellEnd"/>
      <w:r w:rsidRPr="000616CA">
        <w:rPr>
          <w:rFonts w:ascii="Arial" w:hAnsi="Arial"/>
          <w:color w:val="000000" w:themeColor="text1"/>
          <w:sz w:val="22"/>
          <w:szCs w:val="22"/>
        </w:rPr>
        <w:t xml:space="preserve"> ≥2.5) was significantly associated with bone metastasis (Table 5). Among MBD patients, 57.7% demonstrated high IL-1β expression versus 15.0% in the control group (P = .004; OR = 7.72; 95% CI: 1.80–33.04). IL-1β is a central mediator linking inflammation, epithelial–mesenchymal transition (EMT), and bone metastasis in breast cancer. It activates NF-</w:t>
      </w:r>
      <w:proofErr w:type="spellStart"/>
      <w:r w:rsidRPr="000616CA">
        <w:rPr>
          <w:rFonts w:ascii="Arial" w:hAnsi="Arial"/>
          <w:color w:val="000000" w:themeColor="text1"/>
          <w:sz w:val="22"/>
          <w:szCs w:val="22"/>
        </w:rPr>
        <w:t>κB</w:t>
      </w:r>
      <w:proofErr w:type="spellEnd"/>
      <w:r w:rsidRPr="000616CA">
        <w:rPr>
          <w:rFonts w:ascii="Arial" w:hAnsi="Arial"/>
          <w:color w:val="000000" w:themeColor="text1"/>
          <w:sz w:val="22"/>
          <w:szCs w:val="22"/>
        </w:rPr>
        <w:t xml:space="preserve"> and MAPK signaling pathways, leading to increased expression of EMT transcription factors, downregulation of E-cadherin, and upregulation of N-cadherin and vimentin, thereby enhancing tumor cell migration and tissue invasion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and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2018).</w:t>
      </w:r>
    </w:p>
    <w:p w14:paraId="1E57AF8D"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5. Bivariate analysis of IL-1β expression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0616CA" w:rsidRPr="000616CA" w14:paraId="1DBC4037" w14:textId="77777777" w:rsidTr="0008247C">
        <w:trPr>
          <w:jc w:val="center"/>
        </w:trPr>
        <w:tc>
          <w:tcPr>
            <w:tcW w:w="1768" w:type="dxa"/>
          </w:tcPr>
          <w:p w14:paraId="24F67DBB"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IL-1β Category</w:t>
            </w:r>
          </w:p>
        </w:tc>
        <w:tc>
          <w:tcPr>
            <w:tcW w:w="1768" w:type="dxa"/>
          </w:tcPr>
          <w:p w14:paraId="1F4229AE"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MBD (n=26)</w:t>
            </w:r>
          </w:p>
        </w:tc>
        <w:tc>
          <w:tcPr>
            <w:tcW w:w="1768" w:type="dxa"/>
          </w:tcPr>
          <w:p w14:paraId="4845BB4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Non-MBD (n=20)</w:t>
            </w:r>
          </w:p>
        </w:tc>
        <w:tc>
          <w:tcPr>
            <w:tcW w:w="1768" w:type="dxa"/>
          </w:tcPr>
          <w:p w14:paraId="362E35B6"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768" w:type="dxa"/>
          </w:tcPr>
          <w:p w14:paraId="25CF5352"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OR (95% CI)</w:t>
            </w:r>
          </w:p>
        </w:tc>
      </w:tr>
      <w:tr w:rsidR="000616CA" w:rsidRPr="000616CA" w14:paraId="4D39CC80" w14:textId="77777777" w:rsidTr="0008247C">
        <w:trPr>
          <w:jc w:val="center"/>
        </w:trPr>
        <w:tc>
          <w:tcPr>
            <w:tcW w:w="1768" w:type="dxa"/>
          </w:tcPr>
          <w:p w14:paraId="59F8462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High (≥2.5)</w:t>
            </w:r>
          </w:p>
        </w:tc>
        <w:tc>
          <w:tcPr>
            <w:tcW w:w="1768" w:type="dxa"/>
          </w:tcPr>
          <w:p w14:paraId="24A7837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15 (57.7%)</w:t>
            </w:r>
          </w:p>
        </w:tc>
        <w:tc>
          <w:tcPr>
            <w:tcW w:w="1768" w:type="dxa"/>
          </w:tcPr>
          <w:p w14:paraId="496BEC8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3 (15.0%)</w:t>
            </w:r>
          </w:p>
        </w:tc>
        <w:tc>
          <w:tcPr>
            <w:tcW w:w="1768" w:type="dxa"/>
          </w:tcPr>
          <w:p w14:paraId="4C5F12D9"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.004</w:t>
            </w:r>
          </w:p>
        </w:tc>
        <w:tc>
          <w:tcPr>
            <w:tcW w:w="1768" w:type="dxa"/>
          </w:tcPr>
          <w:p w14:paraId="7662F40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7.72 (1.80–33.04)</w:t>
            </w:r>
          </w:p>
        </w:tc>
      </w:tr>
      <w:tr w:rsidR="000616CA" w:rsidRPr="000616CA" w14:paraId="092903D5" w14:textId="77777777" w:rsidTr="0008247C">
        <w:trPr>
          <w:jc w:val="center"/>
        </w:trPr>
        <w:tc>
          <w:tcPr>
            <w:tcW w:w="1768" w:type="dxa"/>
          </w:tcPr>
          <w:p w14:paraId="3D67174D"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Low (&lt;2.5)</w:t>
            </w:r>
          </w:p>
        </w:tc>
        <w:tc>
          <w:tcPr>
            <w:tcW w:w="1768" w:type="dxa"/>
          </w:tcPr>
          <w:p w14:paraId="36F5C5C8"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 (42.3%)</w:t>
            </w:r>
          </w:p>
        </w:tc>
        <w:tc>
          <w:tcPr>
            <w:tcW w:w="1768" w:type="dxa"/>
          </w:tcPr>
          <w:p w14:paraId="0DB1573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17 (85.0%)</w:t>
            </w:r>
          </w:p>
        </w:tc>
        <w:tc>
          <w:tcPr>
            <w:tcW w:w="1768" w:type="dxa"/>
          </w:tcPr>
          <w:p w14:paraId="676B6604" w14:textId="77777777" w:rsidR="003E0CB5" w:rsidRPr="000616CA" w:rsidRDefault="003E0CB5" w:rsidP="0089477C">
            <w:pPr>
              <w:spacing w:line="360" w:lineRule="auto"/>
              <w:jc w:val="both"/>
              <w:rPr>
                <w:color w:val="000000" w:themeColor="text1"/>
              </w:rPr>
            </w:pPr>
          </w:p>
        </w:tc>
        <w:tc>
          <w:tcPr>
            <w:tcW w:w="1768" w:type="dxa"/>
          </w:tcPr>
          <w:p w14:paraId="1E359886" w14:textId="77777777" w:rsidR="003E0CB5" w:rsidRPr="000616CA" w:rsidRDefault="003E0CB5" w:rsidP="0089477C">
            <w:pPr>
              <w:spacing w:line="360" w:lineRule="auto"/>
              <w:jc w:val="both"/>
              <w:rPr>
                <w:color w:val="000000" w:themeColor="text1"/>
              </w:rPr>
            </w:pPr>
          </w:p>
        </w:tc>
      </w:tr>
    </w:tbl>
    <w:p w14:paraId="0584A9DF"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3.6 Multivariate Logistic Regression Analysis</w:t>
      </w:r>
    </w:p>
    <w:p w14:paraId="4D7578EC"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All three biomarkers meeting the inclusion threshold (P &lt; .25) were entered into a multivariate logistic regression model (Table 6). In the initial step, ALP (P = .025), LDH (P = .254), and IL-1β (P = .038) were included. As LDH did not reach statistical significance, it was removed in the final model. The final regression equation was: P(MBD) = 1 / [1 + exp(−Y)], where Y = −1.175 + 2.472 × ALP + 2.013 × IL-1β.</w:t>
      </w:r>
    </w:p>
    <w:p w14:paraId="2EACD651"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6. Multivariate logistic regression analysis of MBD risk factors</w:t>
      </w:r>
    </w:p>
    <w:tbl>
      <w:tblPr>
        <w:tblStyle w:val="TableGrid"/>
        <w:tblW w:w="0" w:type="auto"/>
        <w:jc w:val="center"/>
        <w:tblLook w:val="04A0" w:firstRow="1" w:lastRow="0" w:firstColumn="1" w:lastColumn="0" w:noHBand="0" w:noVBand="1"/>
      </w:tblPr>
      <w:tblGrid>
        <w:gridCol w:w="1413"/>
        <w:gridCol w:w="1449"/>
        <w:gridCol w:w="1330"/>
        <w:gridCol w:w="1330"/>
        <w:gridCol w:w="1332"/>
        <w:gridCol w:w="1344"/>
      </w:tblGrid>
      <w:tr w:rsidR="000616CA" w:rsidRPr="000616CA" w14:paraId="3A2E5C8B" w14:textId="77777777" w:rsidTr="0008247C">
        <w:trPr>
          <w:jc w:val="center"/>
        </w:trPr>
        <w:tc>
          <w:tcPr>
            <w:tcW w:w="1473" w:type="dxa"/>
          </w:tcPr>
          <w:p w14:paraId="37A6C07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Predictor</w:t>
            </w:r>
          </w:p>
        </w:tc>
        <w:tc>
          <w:tcPr>
            <w:tcW w:w="1473" w:type="dxa"/>
          </w:tcPr>
          <w:p w14:paraId="13314874"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B Coefficient</w:t>
            </w:r>
          </w:p>
        </w:tc>
        <w:tc>
          <w:tcPr>
            <w:tcW w:w="1473" w:type="dxa"/>
          </w:tcPr>
          <w:p w14:paraId="64B553B8"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SE</w:t>
            </w:r>
          </w:p>
        </w:tc>
        <w:tc>
          <w:tcPr>
            <w:tcW w:w="1473" w:type="dxa"/>
          </w:tcPr>
          <w:p w14:paraId="1B59A1EC"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Wald</w:t>
            </w:r>
          </w:p>
        </w:tc>
        <w:tc>
          <w:tcPr>
            <w:tcW w:w="1473" w:type="dxa"/>
          </w:tcPr>
          <w:p w14:paraId="58A599AC"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1473" w:type="dxa"/>
          </w:tcPr>
          <w:p w14:paraId="64054B80"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AOR (95% CI)</w:t>
            </w:r>
          </w:p>
        </w:tc>
      </w:tr>
      <w:tr w:rsidR="000616CA" w:rsidRPr="000616CA" w14:paraId="7C9409C7" w14:textId="77777777" w:rsidTr="0008247C">
        <w:trPr>
          <w:jc w:val="center"/>
        </w:trPr>
        <w:tc>
          <w:tcPr>
            <w:tcW w:w="1473" w:type="dxa"/>
          </w:tcPr>
          <w:p w14:paraId="1FA121A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Constant</w:t>
            </w:r>
          </w:p>
        </w:tc>
        <w:tc>
          <w:tcPr>
            <w:tcW w:w="1473" w:type="dxa"/>
          </w:tcPr>
          <w:p w14:paraId="0395DA3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−1.175</w:t>
            </w:r>
          </w:p>
        </w:tc>
        <w:tc>
          <w:tcPr>
            <w:tcW w:w="1473" w:type="dxa"/>
          </w:tcPr>
          <w:p w14:paraId="26E241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0.512</w:t>
            </w:r>
          </w:p>
        </w:tc>
        <w:tc>
          <w:tcPr>
            <w:tcW w:w="1473" w:type="dxa"/>
          </w:tcPr>
          <w:p w14:paraId="50FEA32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5.259</w:t>
            </w:r>
          </w:p>
        </w:tc>
        <w:tc>
          <w:tcPr>
            <w:tcW w:w="1473" w:type="dxa"/>
          </w:tcPr>
          <w:p w14:paraId="53C5DB1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.022</w:t>
            </w:r>
          </w:p>
        </w:tc>
        <w:tc>
          <w:tcPr>
            <w:tcW w:w="1473" w:type="dxa"/>
          </w:tcPr>
          <w:p w14:paraId="68721B7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0.309</w:t>
            </w:r>
          </w:p>
        </w:tc>
      </w:tr>
      <w:tr w:rsidR="000616CA" w:rsidRPr="000616CA" w14:paraId="40FDBA3A" w14:textId="77777777" w:rsidTr="0008247C">
        <w:trPr>
          <w:jc w:val="center"/>
        </w:trPr>
        <w:tc>
          <w:tcPr>
            <w:tcW w:w="1473" w:type="dxa"/>
          </w:tcPr>
          <w:p w14:paraId="564812EC"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lastRenderedPageBreak/>
              <w:t>ALP (high)</w:t>
            </w:r>
          </w:p>
        </w:tc>
        <w:tc>
          <w:tcPr>
            <w:tcW w:w="1473" w:type="dxa"/>
          </w:tcPr>
          <w:p w14:paraId="260ADCB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2.472</w:t>
            </w:r>
          </w:p>
        </w:tc>
        <w:tc>
          <w:tcPr>
            <w:tcW w:w="1473" w:type="dxa"/>
          </w:tcPr>
          <w:p w14:paraId="09C1874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0.905</w:t>
            </w:r>
          </w:p>
        </w:tc>
        <w:tc>
          <w:tcPr>
            <w:tcW w:w="1473" w:type="dxa"/>
          </w:tcPr>
          <w:p w14:paraId="606ECCB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7.451</w:t>
            </w:r>
          </w:p>
        </w:tc>
        <w:tc>
          <w:tcPr>
            <w:tcW w:w="1473" w:type="dxa"/>
          </w:tcPr>
          <w:p w14:paraId="15B044E0"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.006</w:t>
            </w:r>
          </w:p>
        </w:tc>
        <w:tc>
          <w:tcPr>
            <w:tcW w:w="1473" w:type="dxa"/>
          </w:tcPr>
          <w:p w14:paraId="264F084A"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11.84 (2.01–69.86)</w:t>
            </w:r>
          </w:p>
        </w:tc>
      </w:tr>
      <w:tr w:rsidR="000616CA" w:rsidRPr="000616CA" w14:paraId="2C381FE1" w14:textId="77777777" w:rsidTr="0008247C">
        <w:trPr>
          <w:jc w:val="center"/>
        </w:trPr>
        <w:tc>
          <w:tcPr>
            <w:tcW w:w="1473" w:type="dxa"/>
          </w:tcPr>
          <w:p w14:paraId="60DE178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IL-1β (high)</w:t>
            </w:r>
          </w:p>
        </w:tc>
        <w:tc>
          <w:tcPr>
            <w:tcW w:w="1473" w:type="dxa"/>
          </w:tcPr>
          <w:p w14:paraId="4338F1A1"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2.013</w:t>
            </w:r>
          </w:p>
        </w:tc>
        <w:tc>
          <w:tcPr>
            <w:tcW w:w="1473" w:type="dxa"/>
          </w:tcPr>
          <w:p w14:paraId="7A9A7CA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0.825</w:t>
            </w:r>
          </w:p>
        </w:tc>
        <w:tc>
          <w:tcPr>
            <w:tcW w:w="1473" w:type="dxa"/>
          </w:tcPr>
          <w:p w14:paraId="13AE458E"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5.955</w:t>
            </w:r>
          </w:p>
        </w:tc>
        <w:tc>
          <w:tcPr>
            <w:tcW w:w="1473" w:type="dxa"/>
          </w:tcPr>
          <w:p w14:paraId="1FAF155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.015</w:t>
            </w:r>
          </w:p>
        </w:tc>
        <w:tc>
          <w:tcPr>
            <w:tcW w:w="1473" w:type="dxa"/>
          </w:tcPr>
          <w:p w14:paraId="1AD30373"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7.49 (1.49–37.71)</w:t>
            </w:r>
          </w:p>
        </w:tc>
      </w:tr>
    </w:tbl>
    <w:p w14:paraId="002BD10F"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probability calculations derived from this model yielded clinically meaningful predictions: patients with both low ALP and low IL-1β had only a 23.64% probability of developing MBD; those with high ALP alone had a 78.55% probability; high IL-1β alone yielded a 69.83% probability; and patients with both elevated ALP and high IL-1β expression had a 96.52% probability of bone metastasis. The Hosmer–</w:t>
      </w:r>
      <w:proofErr w:type="spellStart"/>
      <w:r w:rsidRPr="000616CA">
        <w:rPr>
          <w:rFonts w:ascii="Arial" w:hAnsi="Arial"/>
          <w:color w:val="000000" w:themeColor="text1"/>
          <w:sz w:val="22"/>
          <w:szCs w:val="22"/>
        </w:rPr>
        <w:t>Lemeshow</w:t>
      </w:r>
      <w:proofErr w:type="spellEnd"/>
      <w:r w:rsidRPr="000616CA">
        <w:rPr>
          <w:rFonts w:ascii="Arial" w:hAnsi="Arial"/>
          <w:color w:val="000000" w:themeColor="text1"/>
          <w:sz w:val="22"/>
          <w:szCs w:val="22"/>
        </w:rPr>
        <w:t xml:space="preserve"> test confirmed adequate model calibration (χ² = 0.415, df = 2, P = .813). The predictive model demonstrated strong discriminative ability with an AUC of 0.821 (95% CI: 0.698–0.944), sensitivity of 80%, and specificity of 75% (Table 7).</w:t>
      </w:r>
    </w:p>
    <w:p w14:paraId="2BFFE98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Table 7. Predictive model accuracy</w:t>
      </w:r>
    </w:p>
    <w:tbl>
      <w:tblPr>
        <w:tblStyle w:val="TableGrid"/>
        <w:tblW w:w="0" w:type="auto"/>
        <w:jc w:val="center"/>
        <w:tblLook w:val="04A0" w:firstRow="1" w:lastRow="0" w:firstColumn="1" w:lastColumn="0" w:noHBand="0" w:noVBand="1"/>
      </w:tblPr>
      <w:tblGrid>
        <w:gridCol w:w="2045"/>
        <w:gridCol w:w="2046"/>
        <w:gridCol w:w="2047"/>
        <w:gridCol w:w="2060"/>
      </w:tblGrid>
      <w:tr w:rsidR="000616CA" w:rsidRPr="000616CA" w14:paraId="0E23EA73" w14:textId="77777777" w:rsidTr="0008247C">
        <w:trPr>
          <w:jc w:val="center"/>
        </w:trPr>
        <w:tc>
          <w:tcPr>
            <w:tcW w:w="2209" w:type="dxa"/>
          </w:tcPr>
          <w:p w14:paraId="13AE4838"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AUC</w:t>
            </w:r>
          </w:p>
        </w:tc>
        <w:tc>
          <w:tcPr>
            <w:tcW w:w="2209" w:type="dxa"/>
          </w:tcPr>
          <w:p w14:paraId="20155759"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Std. Error</w:t>
            </w:r>
          </w:p>
        </w:tc>
        <w:tc>
          <w:tcPr>
            <w:tcW w:w="2209" w:type="dxa"/>
          </w:tcPr>
          <w:p w14:paraId="6DC4C45A"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P value</w:t>
            </w:r>
          </w:p>
        </w:tc>
        <w:tc>
          <w:tcPr>
            <w:tcW w:w="2209" w:type="dxa"/>
          </w:tcPr>
          <w:p w14:paraId="30AD946D" w14:textId="77777777" w:rsidR="003E0CB5" w:rsidRPr="000616CA" w:rsidRDefault="003E0CB5" w:rsidP="0089477C">
            <w:pPr>
              <w:spacing w:line="360" w:lineRule="auto"/>
              <w:jc w:val="both"/>
              <w:rPr>
                <w:color w:val="000000" w:themeColor="text1"/>
              </w:rPr>
            </w:pPr>
            <w:r w:rsidRPr="000616CA">
              <w:rPr>
                <w:rFonts w:ascii="Arial" w:hAnsi="Arial"/>
                <w:b/>
                <w:color w:val="000000" w:themeColor="text1"/>
              </w:rPr>
              <w:t>95% CI</w:t>
            </w:r>
          </w:p>
        </w:tc>
      </w:tr>
      <w:tr w:rsidR="000616CA" w:rsidRPr="000616CA" w14:paraId="519B36EB" w14:textId="77777777" w:rsidTr="0008247C">
        <w:trPr>
          <w:jc w:val="center"/>
        </w:trPr>
        <w:tc>
          <w:tcPr>
            <w:tcW w:w="2209" w:type="dxa"/>
          </w:tcPr>
          <w:p w14:paraId="12E5F0E2"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0.821</w:t>
            </w:r>
          </w:p>
        </w:tc>
        <w:tc>
          <w:tcPr>
            <w:tcW w:w="2209" w:type="dxa"/>
          </w:tcPr>
          <w:p w14:paraId="1A56BCEF"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0.063</w:t>
            </w:r>
          </w:p>
        </w:tc>
        <w:tc>
          <w:tcPr>
            <w:tcW w:w="2209" w:type="dxa"/>
          </w:tcPr>
          <w:p w14:paraId="0C9AE476"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&lt;.001</w:t>
            </w:r>
          </w:p>
        </w:tc>
        <w:tc>
          <w:tcPr>
            <w:tcW w:w="2209" w:type="dxa"/>
          </w:tcPr>
          <w:p w14:paraId="2D3B28DB" w14:textId="77777777" w:rsidR="003E0CB5" w:rsidRPr="000616CA" w:rsidRDefault="003E0CB5" w:rsidP="0089477C">
            <w:pPr>
              <w:spacing w:line="360" w:lineRule="auto"/>
              <w:jc w:val="both"/>
              <w:rPr>
                <w:color w:val="000000" w:themeColor="text1"/>
              </w:rPr>
            </w:pPr>
            <w:r w:rsidRPr="000616CA">
              <w:rPr>
                <w:rFonts w:ascii="Arial" w:hAnsi="Arial"/>
                <w:color w:val="000000" w:themeColor="text1"/>
              </w:rPr>
              <w:t>0.698–0.944</w:t>
            </w:r>
          </w:p>
        </w:tc>
      </w:tr>
    </w:tbl>
    <w:p w14:paraId="4A96BBA6"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The finding that LDH lost its independent predictive significance in the multivariate model, despite being significant in bivariate analysis, may be attributed to its non-specific nature as a general marker of tissue injury and metabolic activity. The elevated LDH observed in MBD patients likely reflects both tumor-related and non-tumor-related metabolic processes, and its effect may have been confounded by ALP and IL-1β. This is consistent with observations by </w:t>
      </w:r>
      <w:proofErr w:type="spellStart"/>
      <w:r w:rsidRPr="000616CA">
        <w:rPr>
          <w:rFonts w:ascii="Arial" w:hAnsi="Arial"/>
          <w:color w:val="000000" w:themeColor="text1"/>
          <w:sz w:val="22"/>
          <w:szCs w:val="22"/>
        </w:rPr>
        <w:t>Forkasiewicz</w:t>
      </w:r>
      <w:proofErr w:type="spellEnd"/>
      <w:r w:rsidRPr="000616CA">
        <w:rPr>
          <w:rFonts w:ascii="Arial" w:hAnsi="Arial"/>
          <w:color w:val="000000" w:themeColor="text1"/>
          <w:sz w:val="22"/>
          <w:szCs w:val="22"/>
        </w:rPr>
        <w:t xml:space="preserve"> et al. (2020), who noted that LDH retains prognostic value but may not serve as an independent predictor when combined with more specific biomarkers.</w:t>
      </w:r>
    </w:p>
    <w:p w14:paraId="13A9A6D3"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The combination of ALP and IL-1β as independent predictors in the final model is biologically plausible. ALP directly reflects osteoblastic activity in response to metastatic bone remodeling, while IL-1β operates upstream by driving EMT, promoting tumor cell migration to bone, and stimulating osteoclast-mediated bone resorption through the RANK/RANKL/OPG axis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and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2018). Their complementary mechanisms may explain the enhanced predictive performance observed when both markers are elevated simultaneously.</w:t>
      </w:r>
    </w:p>
    <w:p w14:paraId="6E71A61F"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lastRenderedPageBreak/>
        <w:t>It is important to note that the elevated levels of ALP, LDH, and IL-1β observed in MBD patients may reflect the pathological consequences of bone metastasis rather than serve as causative factors. Elevated ALP likely results from increased osteoblastic activity in response to metastatic bone remodeling, while elevated LDH reflects the heightened metabolic demands of tumor cells and tissue injury associated with metastatic disease. For IL-1β, the relationship is more nuanced: preclinical evidence suggests that IL-1β produced by primary breast tumor cells may actively drive metastasis to bone through promotion of EMT and expansion of the bone metastatic niche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xml:space="preserve">, 2018; Zhou and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2024), while IL-1β is also upregulated as a consequence of tumor–bone cell interactions once metastasis has occurred. Therefore, IL-1β may play a dual role as both a contributor to and a consequence of the metastatic process. The case-control design of the present study does not permit definitive determination of the temporal or causal relationship between biomarker elevation and MBD.</w:t>
      </w:r>
    </w:p>
    <w:p w14:paraId="18FED951"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In contemporary clinical practice, advanced imaging modalities such as bone scintigraphy and PET-CT remain the gold standard for detecting and monitoring bone metastasis, and serum biomarkers alone cannot replace these imaging tools. However, serum markers such as ALP and tissue-based markers such as IL-1β may have complementary value in clinical settings where access to advanced imaging is limited, or as adjunctive screening tools to identify patients who may benefit from earlier or more frequent imaging surveillance. This is particularly relevant in resource-limited settings in developing countries where PET-CT availability may be constrained.</w:t>
      </w:r>
    </w:p>
    <w:p w14:paraId="03E3BB0B"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This study has several limitations that should be acknowledged. First, the relatively small sample size (n = 46) may limit the statistical power and generalizability of the findings. Second, the inherent imbalance in disease staging between the case and control groups — with all MBD patients classified as stage IV while the control group predominantly comprised stage II and III patients — is a recognized limitation of the case-control design in metastatic disease research. This stage disparity may have influenced the observed biomarker levels, as tumor burden itself may contribute to elevated ALP and LDH levels. However, since all MBD patients were inherently stage </w:t>
      </w:r>
      <w:r w:rsidRPr="000616CA">
        <w:rPr>
          <w:rFonts w:ascii="Times New Roman" w:hAnsi="Times New Roman"/>
          <w:color w:val="000000" w:themeColor="text1"/>
          <w:sz w:val="24"/>
        </w:rPr>
        <w:lastRenderedPageBreak/>
        <w:t xml:space="preserve">IV by definition (distant metastasis), adjusting for stage in the regression model would introduce collinearity with the outcome variable. Third, the single-center design at Prof. Dr. I.G.N.G </w:t>
      </w:r>
      <w:proofErr w:type="spellStart"/>
      <w:r w:rsidRPr="000616CA">
        <w:rPr>
          <w:rFonts w:ascii="Times New Roman" w:hAnsi="Times New Roman"/>
          <w:color w:val="000000" w:themeColor="text1"/>
          <w:sz w:val="24"/>
        </w:rPr>
        <w:t>Ngoerah</w:t>
      </w:r>
      <w:proofErr w:type="spellEnd"/>
      <w:r w:rsidRPr="000616CA">
        <w:rPr>
          <w:rFonts w:ascii="Times New Roman" w:hAnsi="Times New Roman"/>
          <w:color w:val="000000" w:themeColor="text1"/>
          <w:sz w:val="24"/>
        </w:rPr>
        <w:t xml:space="preserve"> General Hospital in Bali limits the external validity of the results to other populations and clinical settings. Fourth, the use of single time-point biomarker measurements does not capture temporal changes; serial biomarker monitoring in a prospective cohort study would be essential to determine whether rising ALP, LDH, or IL-1β levels can predict the onset or progression of bone metastasis before clinical or radiological detection. Fifth, the dichotomous grouping of patients into MBD and non-MBD groups without further subclassification (e.g., bone-only metastases versus bone and other organ metastases versus non-bony metastases) limits the ability to determine whether the observed biomarker elevations are specific to bone metastasis or are associated with metastatic disease in general. Finally, both ALP and LDH were measured as total serum levels rather than their bone-specific isoforms (BAP and LDH-5, respectively), which may have reduced biomarker specificity. Patients with active inflammatory diseases were excluded; however, subclinical conditions cannot be entirely ruled out. Future studies with larger sample sizes, multicenter designs, prospective follow-up with serial biomarker measurements, and multi-group comparisons are warranted to validate and refine the predictive model.</w:t>
      </w:r>
    </w:p>
    <w:p w14:paraId="528B3477"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4. CONCLUSION</w:t>
      </w:r>
    </w:p>
    <w:p w14:paraId="41689E29" w14:textId="77777777" w:rsidR="003E0CB5" w:rsidRPr="000616CA" w:rsidRDefault="003E0CB5" w:rsidP="0089477C">
      <w:pPr>
        <w:spacing w:line="360" w:lineRule="auto"/>
        <w:jc w:val="both"/>
        <w:rPr>
          <w:color w:val="000000" w:themeColor="text1"/>
          <w:sz w:val="22"/>
          <w:szCs w:val="22"/>
        </w:rPr>
      </w:pPr>
      <w:r w:rsidRPr="000616CA">
        <w:rPr>
          <w:rFonts w:ascii="Times New Roman" w:hAnsi="Times New Roman"/>
          <w:color w:val="000000" w:themeColor="text1"/>
          <w:sz w:val="24"/>
        </w:rPr>
        <w:t xml:space="preserve">This study demonstrates that elevated serum ALP levels and high IL-1β immunohistochemical expression are significantly associated with metastatic bone disease in breast cancer patients. The combined predictive model incorporating ALP and IL-1β achieved strong diagnostic accuracy (AUC = 0.821), with patients exhibiting both elevated biomarkers having a 96.52% probability of developing MBD. While LDH showed significant association with MBD in bivariate analysis, it did not retain independent predictive value in the multivariate model. These associations, observed in a cross-sectional case-control design, do not establish causality; the elevated biomarker levels may reflect the consequences of established bone metastasis rather than serve as causative factors, although preclinical evidence suggests a </w:t>
      </w:r>
      <w:r w:rsidRPr="000616CA">
        <w:rPr>
          <w:rFonts w:ascii="Times New Roman" w:hAnsi="Times New Roman"/>
          <w:color w:val="000000" w:themeColor="text1"/>
          <w:sz w:val="24"/>
        </w:rPr>
        <w:lastRenderedPageBreak/>
        <w:t xml:space="preserve">potential upstream role for IL-1β. These findings support the potential clinical utility of a </w:t>
      </w:r>
      <w:proofErr w:type="spellStart"/>
      <w:r w:rsidRPr="000616CA">
        <w:rPr>
          <w:rFonts w:ascii="Times New Roman" w:hAnsi="Times New Roman"/>
          <w:color w:val="000000" w:themeColor="text1"/>
          <w:sz w:val="24"/>
        </w:rPr>
        <w:t>multimarker</w:t>
      </w:r>
      <w:proofErr w:type="spellEnd"/>
      <w:r w:rsidRPr="000616CA">
        <w:rPr>
          <w:rFonts w:ascii="Times New Roman" w:hAnsi="Times New Roman"/>
          <w:color w:val="000000" w:themeColor="text1"/>
          <w:sz w:val="24"/>
        </w:rPr>
        <w:t xml:space="preserve"> approach combining ALP and IL-1β for early identification of breast cancer patients at high risk for skeletal metastasis, particularly as an adjunctive tool in resource-limited settings where advanced imaging may be constrained. Future studies with larger sample sizes, multicenter designs, prospective follow-up with serial biomarker measurements, and multi-group comparisons (bone-only versus bone and other organ versus non-bony metastases) are warranted to validate these findings, establish temporal relationships between biomarker elevations and MBD onset, and further refine the predictive model and to assess the clinical applicability of the ALP and IL-1β combination as a screening tool for metastatic bone disease in breast cancer patients.</w:t>
      </w:r>
    </w:p>
    <w:p w14:paraId="65885812"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ACKNOWLEDGEMENTS</w:t>
      </w:r>
    </w:p>
    <w:p w14:paraId="3AA787D3" w14:textId="77777777" w:rsidR="003E0CB5" w:rsidRPr="000616CA" w:rsidRDefault="003E0CB5" w:rsidP="0089477C">
      <w:pPr>
        <w:spacing w:line="360" w:lineRule="auto"/>
        <w:jc w:val="both"/>
        <w:rPr>
          <w:color w:val="000000" w:themeColor="text1"/>
          <w:sz w:val="22"/>
          <w:szCs w:val="22"/>
        </w:rPr>
      </w:pPr>
      <w:r w:rsidRPr="000616CA">
        <w:rPr>
          <w:rFonts w:ascii="Arial" w:hAnsi="Arial"/>
          <w:color w:val="000000" w:themeColor="text1"/>
          <w:sz w:val="22"/>
          <w:szCs w:val="22"/>
        </w:rPr>
        <w:t xml:space="preserve">The authors would like to express their gratitude to the staff of the Department of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xml:space="preserve"> and Traumatology, the Oncology Outpatient Clinic, and the Departments of Clinical Pathology and Anatomical Pathology at Prof. Dr. I.G.N.G </w:t>
      </w:r>
      <w:proofErr w:type="spellStart"/>
      <w:r w:rsidRPr="000616CA">
        <w:rPr>
          <w:rFonts w:ascii="Arial" w:hAnsi="Arial"/>
          <w:color w:val="000000" w:themeColor="text1"/>
          <w:sz w:val="22"/>
          <w:szCs w:val="22"/>
        </w:rPr>
        <w:t>Ngoerah</w:t>
      </w:r>
      <w:proofErr w:type="spellEnd"/>
      <w:r w:rsidRPr="000616CA">
        <w:rPr>
          <w:rFonts w:ascii="Arial" w:hAnsi="Arial"/>
          <w:color w:val="000000" w:themeColor="text1"/>
          <w:sz w:val="22"/>
          <w:szCs w:val="22"/>
        </w:rPr>
        <w:t xml:space="preserve"> General Hospital, Denpasar, for their invaluable support during data collection and laboratory analysis.</w:t>
      </w:r>
    </w:p>
    <w:p w14:paraId="63DD8E79" w14:textId="77777777" w:rsidR="0067497B" w:rsidRDefault="0067497B" w:rsidP="0089477C">
      <w:pPr>
        <w:spacing w:line="360" w:lineRule="auto"/>
        <w:jc w:val="both"/>
        <w:rPr>
          <w:rFonts w:ascii="Arial" w:hAnsi="Arial"/>
          <w:b/>
          <w:color w:val="000000" w:themeColor="text1"/>
          <w:sz w:val="22"/>
          <w:szCs w:val="22"/>
        </w:rPr>
      </w:pPr>
    </w:p>
    <w:p w14:paraId="1A8802D3" w14:textId="38A9C454"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AUTHORS' CONTRIBUTIONS</w:t>
      </w:r>
    </w:p>
    <w:p w14:paraId="6EE11BDC" w14:textId="7C1E6DE3" w:rsidR="003E0CB5" w:rsidRDefault="003E0CB5" w:rsidP="0089477C">
      <w:pPr>
        <w:spacing w:line="360" w:lineRule="auto"/>
        <w:jc w:val="both"/>
        <w:rPr>
          <w:rFonts w:ascii="Arial" w:hAnsi="Arial"/>
          <w:color w:val="000000" w:themeColor="text1"/>
          <w:sz w:val="22"/>
          <w:szCs w:val="22"/>
        </w:rPr>
      </w:pPr>
      <w:r w:rsidRPr="000616CA">
        <w:rPr>
          <w:rFonts w:ascii="Arial" w:hAnsi="Arial"/>
          <w:color w:val="000000" w:themeColor="text1"/>
          <w:sz w:val="22"/>
          <w:szCs w:val="22"/>
        </w:rPr>
        <w:t>AK designed the study, collected data, performed the statistical analysis, and wrote the first draft of the manuscript. MBK supervised the study design and data analysis. IGEW provided guidance on oncological aspects and reviewed the manuscript. IWJS oversaw the immunohistochemical analysis and interpretation. All authors read and approved the final manuscript.</w:t>
      </w:r>
    </w:p>
    <w:p w14:paraId="366A86E4" w14:textId="77777777" w:rsidR="006D7CF1" w:rsidRPr="000616CA" w:rsidRDefault="006D7CF1" w:rsidP="0089477C">
      <w:pPr>
        <w:spacing w:line="360" w:lineRule="auto"/>
        <w:jc w:val="both"/>
        <w:rPr>
          <w:color w:val="000000" w:themeColor="text1"/>
          <w:sz w:val="22"/>
          <w:szCs w:val="22"/>
        </w:rPr>
      </w:pPr>
    </w:p>
    <w:p w14:paraId="4CF6C480"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CONSENT</w:t>
      </w:r>
    </w:p>
    <w:p w14:paraId="31DD4CD3" w14:textId="15529F53" w:rsidR="003E0CB5" w:rsidRDefault="003E0CB5" w:rsidP="0089477C">
      <w:pPr>
        <w:spacing w:line="360" w:lineRule="auto"/>
        <w:jc w:val="both"/>
        <w:rPr>
          <w:rFonts w:ascii="Arial" w:hAnsi="Arial"/>
          <w:color w:val="000000" w:themeColor="text1"/>
          <w:sz w:val="22"/>
          <w:szCs w:val="22"/>
        </w:rPr>
      </w:pPr>
      <w:r w:rsidRPr="000616CA">
        <w:rPr>
          <w:rFonts w:ascii="Arial" w:hAnsi="Arial"/>
          <w:color w:val="000000" w:themeColor="text1"/>
          <w:sz w:val="22"/>
          <w:szCs w:val="22"/>
        </w:rPr>
        <w:t xml:space="preserve">Written informed consent was obtained from all participants for inclusion in this study and for publication of anonymized data. </w:t>
      </w:r>
    </w:p>
    <w:p w14:paraId="1DB6FC82" w14:textId="77777777" w:rsidR="001C23B3" w:rsidRPr="000616CA" w:rsidRDefault="001C23B3" w:rsidP="0089477C">
      <w:pPr>
        <w:spacing w:line="360" w:lineRule="auto"/>
        <w:jc w:val="both"/>
        <w:rPr>
          <w:color w:val="000000" w:themeColor="text1"/>
          <w:sz w:val="22"/>
          <w:szCs w:val="22"/>
        </w:rPr>
      </w:pPr>
    </w:p>
    <w:p w14:paraId="11D90AD4"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ETHICAL APPROVAL</w:t>
      </w:r>
    </w:p>
    <w:p w14:paraId="4E812821" w14:textId="3622DC81" w:rsidR="003E0CB5" w:rsidRDefault="003E0CB5" w:rsidP="0089477C">
      <w:pPr>
        <w:spacing w:line="360" w:lineRule="auto"/>
        <w:jc w:val="both"/>
        <w:rPr>
          <w:rFonts w:ascii="Arial" w:hAnsi="Arial"/>
          <w:color w:val="000000" w:themeColor="text1"/>
          <w:sz w:val="22"/>
          <w:szCs w:val="22"/>
        </w:rPr>
      </w:pPr>
      <w:r w:rsidRPr="000616CA">
        <w:rPr>
          <w:rFonts w:ascii="Arial" w:hAnsi="Arial"/>
          <w:color w:val="000000" w:themeColor="text1"/>
          <w:sz w:val="22"/>
          <w:szCs w:val="22"/>
        </w:rPr>
        <w:lastRenderedPageBreak/>
        <w:t xml:space="preserve">All procedures performed in this study involving human participants were in accordance with the ethical standards of the institutional research committee and with the 1964 Declaration of Helsinki and its later amendments. Ethical approval was obtained from the Ethics Committee of the Faculty of Medicine, </w:t>
      </w:r>
      <w:proofErr w:type="spellStart"/>
      <w:r w:rsidRPr="000616CA">
        <w:rPr>
          <w:rFonts w:ascii="Arial" w:hAnsi="Arial"/>
          <w:color w:val="000000" w:themeColor="text1"/>
          <w:sz w:val="22"/>
          <w:szCs w:val="22"/>
        </w:rPr>
        <w:t>Udayana</w:t>
      </w:r>
      <w:proofErr w:type="spellEnd"/>
      <w:r w:rsidRPr="000616CA">
        <w:rPr>
          <w:rFonts w:ascii="Arial" w:hAnsi="Arial"/>
          <w:color w:val="000000" w:themeColor="text1"/>
          <w:sz w:val="22"/>
          <w:szCs w:val="22"/>
        </w:rPr>
        <w:t xml:space="preserve"> University (Reference No. B/1169/UN14.2.</w:t>
      </w:r>
      <w:proofErr w:type="gramStart"/>
      <w:r w:rsidRPr="000616CA">
        <w:rPr>
          <w:rFonts w:ascii="Arial" w:hAnsi="Arial"/>
          <w:color w:val="000000" w:themeColor="text1"/>
          <w:sz w:val="22"/>
          <w:szCs w:val="22"/>
        </w:rPr>
        <w:t>2.V.</w:t>
      </w:r>
      <w:proofErr w:type="gramEnd"/>
      <w:r w:rsidRPr="000616CA">
        <w:rPr>
          <w:rFonts w:ascii="Arial" w:hAnsi="Arial"/>
          <w:color w:val="000000" w:themeColor="text1"/>
          <w:sz w:val="22"/>
          <w:szCs w:val="22"/>
        </w:rPr>
        <w:t>21/PK.03.08./2025).</w:t>
      </w:r>
    </w:p>
    <w:p w14:paraId="727212E8" w14:textId="77777777" w:rsidR="009A1198" w:rsidRPr="000616CA" w:rsidRDefault="009A1198" w:rsidP="0089477C">
      <w:pPr>
        <w:spacing w:line="360" w:lineRule="auto"/>
        <w:jc w:val="both"/>
        <w:rPr>
          <w:color w:val="000000" w:themeColor="text1"/>
          <w:sz w:val="22"/>
          <w:szCs w:val="22"/>
        </w:rPr>
      </w:pPr>
    </w:p>
    <w:p w14:paraId="4BED4DE8" w14:textId="77777777" w:rsidR="003E0CB5" w:rsidRPr="000616CA" w:rsidRDefault="003E0CB5" w:rsidP="0089477C">
      <w:pPr>
        <w:spacing w:line="360" w:lineRule="auto"/>
        <w:jc w:val="both"/>
        <w:rPr>
          <w:color w:val="000000" w:themeColor="text1"/>
          <w:sz w:val="22"/>
          <w:szCs w:val="22"/>
        </w:rPr>
      </w:pPr>
      <w:r w:rsidRPr="000616CA">
        <w:rPr>
          <w:rFonts w:ascii="Arial" w:hAnsi="Arial"/>
          <w:b/>
          <w:color w:val="000000" w:themeColor="text1"/>
          <w:sz w:val="22"/>
          <w:szCs w:val="22"/>
        </w:rPr>
        <w:t>REFERENCES</w:t>
      </w:r>
    </w:p>
    <w:p w14:paraId="69D2A7E7"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Azevedo, A. S., Farinha, P., &amp; Paredes, J. (2015). Bone metastasis from breast cancer: Pathogenesis and clinical implications. Journal of Molecular Medicine, 93(1), 1–12.</w:t>
      </w:r>
    </w:p>
    <w:p w14:paraId="518034F7"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Azim, H. A., Abdel-Malek, R., &amp; Kassem, L. (2018). Predicting brain metastasis in breast cancer patients: Stage versus biology. Clinical Breast Cancer, 18(2), e187–e195.</w:t>
      </w:r>
    </w:p>
    <w:p w14:paraId="3E7CBEB9"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Brown, J. E., Cook, R. J., Major, P., Lipton, A., Saad, F., Smith, M., et al. (2005). Bone turnover markers as predictors of skeletal complications in prostate cancer, lung cancer, and other solid tumors. Journal of the National Cancer Institute, 97(1), 59–69.</w:t>
      </w:r>
    </w:p>
    <w:p w14:paraId="52AD94A0"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Brown, J. E., Sim, S., &amp; </w:t>
      </w:r>
      <w:proofErr w:type="spellStart"/>
      <w:r w:rsidRPr="000616CA">
        <w:rPr>
          <w:rFonts w:ascii="Arial" w:hAnsi="Arial"/>
          <w:color w:val="000000" w:themeColor="text1"/>
          <w:sz w:val="22"/>
          <w:szCs w:val="22"/>
        </w:rPr>
        <w:t>Glaspy</w:t>
      </w:r>
      <w:proofErr w:type="spellEnd"/>
      <w:r w:rsidRPr="000616CA">
        <w:rPr>
          <w:rFonts w:ascii="Arial" w:hAnsi="Arial"/>
          <w:color w:val="000000" w:themeColor="text1"/>
          <w:sz w:val="22"/>
          <w:szCs w:val="22"/>
        </w:rPr>
        <w:t>, J. A. (2012). LDH as a prognostic factor in cancer. Annals of Oncology, 23(Suppl 9), ix32.</w:t>
      </w:r>
    </w:p>
    <w:p w14:paraId="682B9AA9"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Chen, W. Z., Shen, J. F., Zhou, Y., Chen, X. Y., Liu, J. M., &amp; Liu, Z. L. (2017). Clinical characteristics and risk factors for developing bone metastases in patients with breast cancer. Scientific Reports, 7(1), 11325.</w:t>
      </w:r>
    </w:p>
    <w:p w14:paraId="6BD92BBF"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Jiang, C., Hu, F., Li, J., Gao, G., &amp; Guo, X. (2023). Diagnostic value of alkaline phosphatase and bone-specific alkaline phosphatase for metastases in breast cancer: A systematic review and meta-analysis. Breast Cancer Research and Treatment, 202(2), 233–244.</w:t>
      </w:r>
    </w:p>
    <w:p w14:paraId="05701CE0"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Cleeland</w:t>
      </w:r>
      <w:proofErr w:type="spellEnd"/>
      <w:r w:rsidRPr="000616CA">
        <w:rPr>
          <w:rFonts w:ascii="Arial" w:hAnsi="Arial"/>
          <w:color w:val="000000" w:themeColor="text1"/>
          <w:sz w:val="22"/>
          <w:szCs w:val="22"/>
        </w:rPr>
        <w:t xml:space="preserve">, C. S., Body, J. J., </w:t>
      </w:r>
      <w:proofErr w:type="spellStart"/>
      <w:r w:rsidRPr="000616CA">
        <w:rPr>
          <w:rFonts w:ascii="Arial" w:hAnsi="Arial"/>
          <w:color w:val="000000" w:themeColor="text1"/>
          <w:sz w:val="22"/>
          <w:szCs w:val="22"/>
        </w:rPr>
        <w:t>Stopeck</w:t>
      </w:r>
      <w:proofErr w:type="spellEnd"/>
      <w:r w:rsidRPr="000616CA">
        <w:rPr>
          <w:rFonts w:ascii="Arial" w:hAnsi="Arial"/>
          <w:color w:val="000000" w:themeColor="text1"/>
          <w:sz w:val="22"/>
          <w:szCs w:val="22"/>
        </w:rPr>
        <w:t>, A., von Moos, R., Fallowfield, L., Mathias, S. D., et al. (2013). Pain outcomes in patients with advanced breast cancer and bone metastases. Cancer, 119(4), 832–838.</w:t>
      </w:r>
    </w:p>
    <w:p w14:paraId="391072CD"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Coleman, R. E. (2001). Metastatic bone disease: Clinical features, pathophysiology and treatment strategies. Cancer Treatment Reviews, 27(3), 165–176.</w:t>
      </w:r>
    </w:p>
    <w:p w14:paraId="4710E981"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Coleman, R. E. (2006). Clinical features of metastatic bone disease and risk of skeletal morbidity. Clinical Cancer Research, 12(20 Suppl), 6243s–6249s.</w:t>
      </w:r>
    </w:p>
    <w:p w14:paraId="6EDADB31"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D'Oronzo</w:t>
      </w:r>
      <w:proofErr w:type="spellEnd"/>
      <w:r w:rsidRPr="000616CA">
        <w:rPr>
          <w:rFonts w:ascii="Arial" w:hAnsi="Arial"/>
          <w:color w:val="000000" w:themeColor="text1"/>
          <w:sz w:val="22"/>
          <w:szCs w:val="22"/>
        </w:rPr>
        <w:t xml:space="preserve">, S., Coleman, R., Brown, J., &amp; </w:t>
      </w:r>
      <w:proofErr w:type="spellStart"/>
      <w:r w:rsidRPr="000616CA">
        <w:rPr>
          <w:rFonts w:ascii="Arial" w:hAnsi="Arial"/>
          <w:color w:val="000000" w:themeColor="text1"/>
          <w:sz w:val="22"/>
          <w:szCs w:val="22"/>
        </w:rPr>
        <w:t>Silvestris</w:t>
      </w:r>
      <w:proofErr w:type="spellEnd"/>
      <w:r w:rsidRPr="000616CA">
        <w:rPr>
          <w:rFonts w:ascii="Arial" w:hAnsi="Arial"/>
          <w:color w:val="000000" w:themeColor="text1"/>
          <w:sz w:val="22"/>
          <w:szCs w:val="22"/>
        </w:rPr>
        <w:t>, F. (2017). Metastatic bone disease: Pathogenesis and therapeutic options. Journal of Bone Oncology, 15, 100205.</w:t>
      </w:r>
    </w:p>
    <w:p w14:paraId="5D17E521"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Fan, L., Strasser-</w:t>
      </w:r>
      <w:proofErr w:type="spellStart"/>
      <w:r w:rsidRPr="000616CA">
        <w:rPr>
          <w:rFonts w:ascii="Arial" w:hAnsi="Arial"/>
          <w:color w:val="000000" w:themeColor="text1"/>
          <w:sz w:val="22"/>
          <w:szCs w:val="22"/>
        </w:rPr>
        <w:t>Weippl</w:t>
      </w:r>
      <w:proofErr w:type="spellEnd"/>
      <w:r w:rsidRPr="000616CA">
        <w:rPr>
          <w:rFonts w:ascii="Arial" w:hAnsi="Arial"/>
          <w:color w:val="000000" w:themeColor="text1"/>
          <w:sz w:val="22"/>
          <w:szCs w:val="22"/>
        </w:rPr>
        <w:t>, K., Li, J. J., St Louis, J., Finkelstein, D. M., Yu, K. D., et al. (2014). Breast cancer in China. The Lancet Oncology, 15(7), e279–e289.</w:t>
      </w:r>
    </w:p>
    <w:p w14:paraId="78BE064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Forkasiewicz</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Dorociak</w:t>
      </w:r>
      <w:proofErr w:type="spellEnd"/>
      <w:r w:rsidRPr="000616CA">
        <w:rPr>
          <w:rFonts w:ascii="Arial" w:hAnsi="Arial"/>
          <w:color w:val="000000" w:themeColor="text1"/>
          <w:sz w:val="22"/>
          <w:szCs w:val="22"/>
        </w:rPr>
        <w:t xml:space="preserve">, M., </w:t>
      </w:r>
      <w:proofErr w:type="spellStart"/>
      <w:r w:rsidRPr="000616CA">
        <w:rPr>
          <w:rFonts w:ascii="Arial" w:hAnsi="Arial"/>
          <w:color w:val="000000" w:themeColor="text1"/>
          <w:sz w:val="22"/>
          <w:szCs w:val="22"/>
        </w:rPr>
        <w:t>Stach</w:t>
      </w:r>
      <w:proofErr w:type="spellEnd"/>
      <w:r w:rsidRPr="000616CA">
        <w:rPr>
          <w:rFonts w:ascii="Arial" w:hAnsi="Arial"/>
          <w:color w:val="000000" w:themeColor="text1"/>
          <w:sz w:val="22"/>
          <w:szCs w:val="22"/>
        </w:rPr>
        <w:t xml:space="preserve">, K., </w:t>
      </w:r>
      <w:proofErr w:type="spellStart"/>
      <w:r w:rsidRPr="000616CA">
        <w:rPr>
          <w:rFonts w:ascii="Arial" w:hAnsi="Arial"/>
          <w:color w:val="000000" w:themeColor="text1"/>
          <w:sz w:val="22"/>
          <w:szCs w:val="22"/>
        </w:rPr>
        <w:t>Szelachowski</w:t>
      </w:r>
      <w:proofErr w:type="spellEnd"/>
      <w:r w:rsidRPr="000616CA">
        <w:rPr>
          <w:rFonts w:ascii="Arial" w:hAnsi="Arial"/>
          <w:color w:val="000000" w:themeColor="text1"/>
          <w:sz w:val="22"/>
          <w:szCs w:val="22"/>
        </w:rPr>
        <w:t xml:space="preserve">, P., &amp; </w:t>
      </w:r>
      <w:proofErr w:type="spellStart"/>
      <w:r w:rsidRPr="000616CA">
        <w:rPr>
          <w:rFonts w:ascii="Arial" w:hAnsi="Arial"/>
          <w:color w:val="000000" w:themeColor="text1"/>
          <w:sz w:val="22"/>
          <w:szCs w:val="22"/>
        </w:rPr>
        <w:t>Tabola</w:t>
      </w:r>
      <w:proofErr w:type="spellEnd"/>
      <w:r w:rsidRPr="000616CA">
        <w:rPr>
          <w:rFonts w:ascii="Arial" w:hAnsi="Arial"/>
          <w:color w:val="000000" w:themeColor="text1"/>
          <w:sz w:val="22"/>
          <w:szCs w:val="22"/>
        </w:rPr>
        <w:t>, R. (2020). The usefulness of lactate dehydrogenase measurements in current oncological practice. Cellular &amp; Molecular Biology Letters, 25, 35.</w:t>
      </w:r>
    </w:p>
    <w:p w14:paraId="2D035265"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Freeman, A. K., Sumathi, V. P., &amp; </w:t>
      </w:r>
      <w:proofErr w:type="spellStart"/>
      <w:r w:rsidRPr="000616CA">
        <w:rPr>
          <w:rFonts w:ascii="Arial" w:hAnsi="Arial"/>
          <w:color w:val="000000" w:themeColor="text1"/>
          <w:sz w:val="22"/>
          <w:szCs w:val="22"/>
        </w:rPr>
        <w:t>Jeys</w:t>
      </w:r>
      <w:proofErr w:type="spellEnd"/>
      <w:r w:rsidRPr="000616CA">
        <w:rPr>
          <w:rFonts w:ascii="Arial" w:hAnsi="Arial"/>
          <w:color w:val="000000" w:themeColor="text1"/>
          <w:sz w:val="22"/>
          <w:szCs w:val="22"/>
        </w:rPr>
        <w:t xml:space="preserve">, L. (2018). Metastatic </w:t>
      </w:r>
      <w:proofErr w:type="spellStart"/>
      <w:r w:rsidRPr="000616CA">
        <w:rPr>
          <w:rFonts w:ascii="Arial" w:hAnsi="Arial"/>
          <w:color w:val="000000" w:themeColor="text1"/>
          <w:sz w:val="22"/>
          <w:szCs w:val="22"/>
        </w:rPr>
        <w:t>tumours</w:t>
      </w:r>
      <w:proofErr w:type="spellEnd"/>
      <w:r w:rsidRPr="000616CA">
        <w:rPr>
          <w:rFonts w:ascii="Arial" w:hAnsi="Arial"/>
          <w:color w:val="000000" w:themeColor="text1"/>
          <w:sz w:val="22"/>
          <w:szCs w:val="22"/>
        </w:rPr>
        <w:t xml:space="preserve"> of bone. Surgery, 36(2), 93–98.</w:t>
      </w:r>
    </w:p>
    <w:p w14:paraId="737CB18C"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lastRenderedPageBreak/>
        <w:t>Gunasinghe</w:t>
      </w:r>
      <w:proofErr w:type="spellEnd"/>
      <w:r w:rsidRPr="000616CA">
        <w:rPr>
          <w:rFonts w:ascii="Arial" w:hAnsi="Arial"/>
          <w:color w:val="000000" w:themeColor="text1"/>
          <w:sz w:val="22"/>
          <w:szCs w:val="22"/>
        </w:rPr>
        <w:t xml:space="preserve">, N. P. A. D., Wells, A., Thompson, E. W., &amp; Hugo, H. J. (2012). Mesenchymal–epithelial transition (MET) as a mechanism for metastatic </w:t>
      </w:r>
      <w:proofErr w:type="spellStart"/>
      <w:r w:rsidRPr="000616CA">
        <w:rPr>
          <w:rFonts w:ascii="Arial" w:hAnsi="Arial"/>
          <w:color w:val="000000" w:themeColor="text1"/>
          <w:sz w:val="22"/>
          <w:szCs w:val="22"/>
        </w:rPr>
        <w:t>colonisation</w:t>
      </w:r>
      <w:proofErr w:type="spellEnd"/>
      <w:r w:rsidRPr="000616CA">
        <w:rPr>
          <w:rFonts w:ascii="Arial" w:hAnsi="Arial"/>
          <w:color w:val="000000" w:themeColor="text1"/>
          <w:sz w:val="22"/>
          <w:szCs w:val="22"/>
        </w:rPr>
        <w:t xml:space="preserve"> in breast cancer. Cancer and Metastasis Reviews, 31(3–4), 469–478.</w:t>
      </w:r>
    </w:p>
    <w:p w14:paraId="11B4454B"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Howlader</w:t>
      </w:r>
      <w:proofErr w:type="spellEnd"/>
      <w:r w:rsidRPr="000616CA">
        <w:rPr>
          <w:rFonts w:ascii="Arial" w:hAnsi="Arial"/>
          <w:color w:val="000000" w:themeColor="text1"/>
          <w:sz w:val="22"/>
          <w:szCs w:val="22"/>
        </w:rPr>
        <w:t xml:space="preserve">, N., </w:t>
      </w:r>
      <w:proofErr w:type="spellStart"/>
      <w:r w:rsidRPr="000616CA">
        <w:rPr>
          <w:rFonts w:ascii="Arial" w:hAnsi="Arial"/>
          <w:color w:val="000000" w:themeColor="text1"/>
          <w:sz w:val="22"/>
          <w:szCs w:val="22"/>
        </w:rPr>
        <w:t>Noone</w:t>
      </w:r>
      <w:proofErr w:type="spellEnd"/>
      <w:r w:rsidRPr="000616CA">
        <w:rPr>
          <w:rFonts w:ascii="Arial" w:hAnsi="Arial"/>
          <w:color w:val="000000" w:themeColor="text1"/>
          <w:sz w:val="22"/>
          <w:szCs w:val="22"/>
        </w:rPr>
        <w:t xml:space="preserve">, A. M., </w:t>
      </w:r>
      <w:proofErr w:type="spellStart"/>
      <w:r w:rsidRPr="000616CA">
        <w:rPr>
          <w:rFonts w:ascii="Arial" w:hAnsi="Arial"/>
          <w:color w:val="000000" w:themeColor="text1"/>
          <w:sz w:val="22"/>
          <w:szCs w:val="22"/>
        </w:rPr>
        <w:t>Krapcho</w:t>
      </w:r>
      <w:proofErr w:type="spellEnd"/>
      <w:r w:rsidRPr="000616CA">
        <w:rPr>
          <w:rFonts w:ascii="Arial" w:hAnsi="Arial"/>
          <w:color w:val="000000" w:themeColor="text1"/>
          <w:sz w:val="22"/>
          <w:szCs w:val="22"/>
        </w:rPr>
        <w:t>, M., et al. (2021). SEER Cancer Statistics Review, 1975–2018. National Cancer Institute.</w:t>
      </w:r>
    </w:p>
    <w:p w14:paraId="4BD30445"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Hu, K., Lou, L., Ye, J., &amp; Zhang, S. (2015). Prognostic role of the neutrophil-lymphocyte ratio in renal cell carcinoma: A meta-analysis. BMJ Open, 5(4), e006404.</w:t>
      </w:r>
    </w:p>
    <w:p w14:paraId="7957A37B"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Dinarello</w:t>
      </w:r>
      <w:proofErr w:type="spellEnd"/>
      <w:r w:rsidRPr="000616CA">
        <w:rPr>
          <w:rFonts w:ascii="Arial" w:hAnsi="Arial"/>
          <w:color w:val="000000" w:themeColor="text1"/>
          <w:sz w:val="22"/>
          <w:szCs w:val="22"/>
        </w:rPr>
        <w:t>, C. A. (2011). Interleukin-1 in the pathogenesis and treatment of inflammatory diseases. Blood, 117(14), 3720–3732.</w:t>
      </w:r>
    </w:p>
    <w:p w14:paraId="32278C69"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Keshaviah</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Dellapasqua</w:t>
      </w:r>
      <w:proofErr w:type="spellEnd"/>
      <w:r w:rsidRPr="000616CA">
        <w:rPr>
          <w:rFonts w:ascii="Arial" w:hAnsi="Arial"/>
          <w:color w:val="000000" w:themeColor="text1"/>
          <w:sz w:val="22"/>
          <w:szCs w:val="22"/>
        </w:rPr>
        <w:t xml:space="preserve">, S., </w:t>
      </w:r>
      <w:proofErr w:type="spellStart"/>
      <w:r w:rsidRPr="000616CA">
        <w:rPr>
          <w:rFonts w:ascii="Arial" w:hAnsi="Arial"/>
          <w:color w:val="000000" w:themeColor="text1"/>
          <w:sz w:val="22"/>
          <w:szCs w:val="22"/>
        </w:rPr>
        <w:t>Rotmensz</w:t>
      </w:r>
      <w:proofErr w:type="spellEnd"/>
      <w:r w:rsidRPr="000616CA">
        <w:rPr>
          <w:rFonts w:ascii="Arial" w:hAnsi="Arial"/>
          <w:color w:val="000000" w:themeColor="text1"/>
          <w:sz w:val="22"/>
          <w:szCs w:val="22"/>
        </w:rPr>
        <w:t xml:space="preserve">, N., </w:t>
      </w:r>
      <w:proofErr w:type="spellStart"/>
      <w:r w:rsidRPr="000616CA">
        <w:rPr>
          <w:rFonts w:ascii="Arial" w:hAnsi="Arial"/>
          <w:color w:val="000000" w:themeColor="text1"/>
          <w:sz w:val="22"/>
          <w:szCs w:val="22"/>
        </w:rPr>
        <w:t>Lindtner</w:t>
      </w:r>
      <w:proofErr w:type="spellEnd"/>
      <w:r w:rsidRPr="000616CA">
        <w:rPr>
          <w:rFonts w:ascii="Arial" w:hAnsi="Arial"/>
          <w:color w:val="000000" w:themeColor="text1"/>
          <w:sz w:val="22"/>
          <w:szCs w:val="22"/>
        </w:rPr>
        <w:t xml:space="preserve">, J., </w:t>
      </w:r>
      <w:proofErr w:type="spellStart"/>
      <w:r w:rsidRPr="000616CA">
        <w:rPr>
          <w:rFonts w:ascii="Arial" w:hAnsi="Arial"/>
          <w:color w:val="000000" w:themeColor="text1"/>
          <w:sz w:val="22"/>
          <w:szCs w:val="22"/>
        </w:rPr>
        <w:t>Crivellari</w:t>
      </w:r>
      <w:proofErr w:type="spellEnd"/>
      <w:r w:rsidRPr="000616CA">
        <w:rPr>
          <w:rFonts w:ascii="Arial" w:hAnsi="Arial"/>
          <w:color w:val="000000" w:themeColor="text1"/>
          <w:sz w:val="22"/>
          <w:szCs w:val="22"/>
        </w:rPr>
        <w:t>, D., Collins, J., et al. (2007). CA15-3 and alkaline phosphatase as predictors for breast cancer recurrence: A combined analysis of seven International Breast Cancer Study Group trials. Annals of Oncology, 18(4), 701–708.</w:t>
      </w:r>
    </w:p>
    <w:p w14:paraId="3242732F"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McCarty, M. F. (2010). The H-score method for immunohistochemistry: Principles and clinical applications. Diagnostic Histopathology, 16(4), 169–176.</w:t>
      </w:r>
    </w:p>
    <w:p w14:paraId="3A49A026"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Li, G., Gao, J., Tao, Y. L., Xu, B. Q., Tu, Z. W., Liu, Z. G., et al. (2016). Increased pretreatment levels of serum LDH and ALP as poor prognostic factors for nasopharyngeal carcinoma. Chinese Journal of Cancer, 31(4), 197–206.</w:t>
      </w:r>
    </w:p>
    <w:p w14:paraId="3591B5FC"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Macedo, F., </w:t>
      </w:r>
      <w:proofErr w:type="spellStart"/>
      <w:r w:rsidRPr="000616CA">
        <w:rPr>
          <w:rFonts w:ascii="Arial" w:hAnsi="Arial"/>
          <w:color w:val="000000" w:themeColor="text1"/>
          <w:sz w:val="22"/>
          <w:szCs w:val="22"/>
        </w:rPr>
        <w:t>Ladeira</w:t>
      </w:r>
      <w:proofErr w:type="spellEnd"/>
      <w:r w:rsidRPr="000616CA">
        <w:rPr>
          <w:rFonts w:ascii="Arial" w:hAnsi="Arial"/>
          <w:color w:val="000000" w:themeColor="text1"/>
          <w:sz w:val="22"/>
          <w:szCs w:val="22"/>
        </w:rPr>
        <w:t xml:space="preserve">, K., </w:t>
      </w:r>
      <w:proofErr w:type="spellStart"/>
      <w:r w:rsidRPr="000616CA">
        <w:rPr>
          <w:rFonts w:ascii="Arial" w:hAnsi="Arial"/>
          <w:color w:val="000000" w:themeColor="text1"/>
          <w:sz w:val="22"/>
          <w:szCs w:val="22"/>
        </w:rPr>
        <w:t>Pinho</w:t>
      </w:r>
      <w:proofErr w:type="spellEnd"/>
      <w:r w:rsidRPr="000616CA">
        <w:rPr>
          <w:rFonts w:ascii="Arial" w:hAnsi="Arial"/>
          <w:color w:val="000000" w:themeColor="text1"/>
          <w:sz w:val="22"/>
          <w:szCs w:val="22"/>
        </w:rPr>
        <w:t>, F., Saraiva, N., Bonito, N., Pinto, L., et al. (2017). Bone metastases: An overview. Oncology Reviews, 11(1), 321.</w:t>
      </w:r>
    </w:p>
    <w:p w14:paraId="31FF58C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Metwally</w:t>
      </w:r>
      <w:proofErr w:type="spellEnd"/>
      <w:r w:rsidRPr="000616CA">
        <w:rPr>
          <w:rFonts w:ascii="Arial" w:hAnsi="Arial"/>
          <w:color w:val="000000" w:themeColor="text1"/>
          <w:sz w:val="22"/>
          <w:szCs w:val="22"/>
        </w:rPr>
        <w:t xml:space="preserve">, A. M., </w:t>
      </w:r>
      <w:proofErr w:type="spellStart"/>
      <w:r w:rsidRPr="000616CA">
        <w:rPr>
          <w:rFonts w:ascii="Arial" w:hAnsi="Arial"/>
          <w:color w:val="000000" w:themeColor="text1"/>
          <w:sz w:val="22"/>
          <w:szCs w:val="22"/>
        </w:rPr>
        <w:t>Hendawy</w:t>
      </w:r>
      <w:proofErr w:type="spellEnd"/>
      <w:r w:rsidRPr="000616CA">
        <w:rPr>
          <w:rFonts w:ascii="Arial" w:hAnsi="Arial"/>
          <w:color w:val="000000" w:themeColor="text1"/>
          <w:sz w:val="22"/>
          <w:szCs w:val="22"/>
        </w:rPr>
        <w:t xml:space="preserve">, H. A., &amp; </w:t>
      </w:r>
      <w:proofErr w:type="spellStart"/>
      <w:r w:rsidRPr="000616CA">
        <w:rPr>
          <w:rFonts w:ascii="Arial" w:hAnsi="Arial"/>
          <w:color w:val="000000" w:themeColor="text1"/>
          <w:sz w:val="22"/>
          <w:szCs w:val="22"/>
        </w:rPr>
        <w:t>Ghaith</w:t>
      </w:r>
      <w:proofErr w:type="spellEnd"/>
      <w:r w:rsidRPr="000616CA">
        <w:rPr>
          <w:rFonts w:ascii="Arial" w:hAnsi="Arial"/>
          <w:color w:val="000000" w:themeColor="text1"/>
          <w:sz w:val="22"/>
          <w:szCs w:val="22"/>
        </w:rPr>
        <w:t>, D. M. (2020). Diagnostic accuracy of alkaline phosphatase for detection of bone metastasis in breast cancer patients. Asian Pacific Journal of Cancer Prevention, 21(4), 1067–1072.</w:t>
      </w:r>
    </w:p>
    <w:p w14:paraId="2BFD3756"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Mundy, G. R. (2002). Metastasis to bone: Causes, consequences and therapeutic opportunities. Nature Reviews Cancer, 2(8), 584–593.</w:t>
      </w:r>
    </w:p>
    <w:p w14:paraId="2C40B9CE"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Thio</w:t>
      </w:r>
      <w:proofErr w:type="spellEnd"/>
      <w:r w:rsidRPr="000616CA">
        <w:rPr>
          <w:rFonts w:ascii="Arial" w:hAnsi="Arial"/>
          <w:color w:val="000000" w:themeColor="text1"/>
          <w:sz w:val="22"/>
          <w:szCs w:val="22"/>
        </w:rPr>
        <w:t xml:space="preserve">, Q. C. B. S., </w:t>
      </w:r>
      <w:proofErr w:type="spellStart"/>
      <w:r w:rsidRPr="000616CA">
        <w:rPr>
          <w:rFonts w:ascii="Arial" w:hAnsi="Arial"/>
          <w:color w:val="000000" w:themeColor="text1"/>
          <w:sz w:val="22"/>
          <w:szCs w:val="22"/>
        </w:rPr>
        <w:t>Karhade</w:t>
      </w:r>
      <w:proofErr w:type="spellEnd"/>
      <w:r w:rsidRPr="000616CA">
        <w:rPr>
          <w:rFonts w:ascii="Arial" w:hAnsi="Arial"/>
          <w:color w:val="000000" w:themeColor="text1"/>
          <w:sz w:val="22"/>
          <w:szCs w:val="22"/>
        </w:rPr>
        <w:t xml:space="preserve">, A. V., </w:t>
      </w:r>
      <w:proofErr w:type="spellStart"/>
      <w:r w:rsidRPr="000616CA">
        <w:rPr>
          <w:rFonts w:ascii="Arial" w:hAnsi="Arial"/>
          <w:color w:val="000000" w:themeColor="text1"/>
          <w:sz w:val="22"/>
          <w:szCs w:val="22"/>
        </w:rPr>
        <w:t>Notman</w:t>
      </w:r>
      <w:proofErr w:type="spellEnd"/>
      <w:r w:rsidRPr="000616CA">
        <w:rPr>
          <w:rFonts w:ascii="Arial" w:hAnsi="Arial"/>
          <w:color w:val="000000" w:themeColor="text1"/>
          <w:sz w:val="22"/>
          <w:szCs w:val="22"/>
        </w:rPr>
        <w:t xml:space="preserve">, E., </w:t>
      </w:r>
      <w:proofErr w:type="spellStart"/>
      <w:r w:rsidRPr="000616CA">
        <w:rPr>
          <w:rFonts w:ascii="Arial" w:hAnsi="Arial"/>
          <w:color w:val="000000" w:themeColor="text1"/>
          <w:sz w:val="22"/>
          <w:szCs w:val="22"/>
        </w:rPr>
        <w:t>Raskin</w:t>
      </w:r>
      <w:proofErr w:type="spellEnd"/>
      <w:r w:rsidRPr="000616CA">
        <w:rPr>
          <w:rFonts w:ascii="Arial" w:hAnsi="Arial"/>
          <w:color w:val="000000" w:themeColor="text1"/>
          <w:sz w:val="22"/>
          <w:szCs w:val="22"/>
        </w:rPr>
        <w:t xml:space="preserve">, K. A., Lozano-Calderón, S. A., Ferrone, M. L., et al. (2020). Serum alkaline phosphatase is a prognostic marker in bone metastatic disease of the extremity. Journal of </w:t>
      </w:r>
      <w:proofErr w:type="spellStart"/>
      <w:r w:rsidRPr="000616CA">
        <w:rPr>
          <w:rFonts w:ascii="Arial" w:hAnsi="Arial"/>
          <w:color w:val="000000" w:themeColor="text1"/>
          <w:sz w:val="22"/>
          <w:szCs w:val="22"/>
        </w:rPr>
        <w:t>Orthopaedics</w:t>
      </w:r>
      <w:proofErr w:type="spellEnd"/>
      <w:r w:rsidRPr="000616CA">
        <w:rPr>
          <w:rFonts w:ascii="Arial" w:hAnsi="Arial"/>
          <w:color w:val="000000" w:themeColor="text1"/>
          <w:sz w:val="22"/>
          <w:szCs w:val="22"/>
        </w:rPr>
        <w:t>, 22, 346–351.</w:t>
      </w:r>
    </w:p>
    <w:p w14:paraId="4A24EC53"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Ibrahim, T., </w:t>
      </w:r>
      <w:proofErr w:type="spellStart"/>
      <w:r w:rsidRPr="000616CA">
        <w:rPr>
          <w:rFonts w:ascii="Arial" w:hAnsi="Arial"/>
          <w:color w:val="000000" w:themeColor="text1"/>
          <w:sz w:val="22"/>
          <w:szCs w:val="22"/>
        </w:rPr>
        <w:t>Mercatali</w:t>
      </w:r>
      <w:proofErr w:type="spellEnd"/>
      <w:r w:rsidRPr="000616CA">
        <w:rPr>
          <w:rFonts w:ascii="Arial" w:hAnsi="Arial"/>
          <w:color w:val="000000" w:themeColor="text1"/>
          <w:sz w:val="22"/>
          <w:szCs w:val="22"/>
        </w:rPr>
        <w:t xml:space="preserve">, L., &amp; </w:t>
      </w:r>
      <w:proofErr w:type="spellStart"/>
      <w:r w:rsidRPr="000616CA">
        <w:rPr>
          <w:rFonts w:ascii="Arial" w:hAnsi="Arial"/>
          <w:color w:val="000000" w:themeColor="text1"/>
          <w:sz w:val="22"/>
          <w:szCs w:val="22"/>
        </w:rPr>
        <w:t>Amadori</w:t>
      </w:r>
      <w:proofErr w:type="spellEnd"/>
      <w:r w:rsidRPr="000616CA">
        <w:rPr>
          <w:rFonts w:ascii="Arial" w:hAnsi="Arial"/>
          <w:color w:val="000000" w:themeColor="text1"/>
          <w:sz w:val="22"/>
          <w:szCs w:val="22"/>
        </w:rPr>
        <w:t>, D. (2013). A new emergency in oncology: Bone metastases in breast cancer patients. Oncology Letters, 6(2), 306–310.</w:t>
      </w:r>
    </w:p>
    <w:p w14:paraId="058B19DA"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Schrijver, W., </w:t>
      </w:r>
      <w:proofErr w:type="spellStart"/>
      <w:r w:rsidRPr="000616CA">
        <w:rPr>
          <w:rFonts w:ascii="Arial" w:hAnsi="Arial"/>
          <w:color w:val="000000" w:themeColor="text1"/>
          <w:sz w:val="22"/>
          <w:szCs w:val="22"/>
        </w:rPr>
        <w:t>Suijkerbuijk</w:t>
      </w:r>
      <w:proofErr w:type="spellEnd"/>
      <w:r w:rsidRPr="000616CA">
        <w:rPr>
          <w:rFonts w:ascii="Arial" w:hAnsi="Arial"/>
          <w:color w:val="000000" w:themeColor="text1"/>
          <w:sz w:val="22"/>
          <w:szCs w:val="22"/>
        </w:rPr>
        <w:t xml:space="preserve">, K. P., van Gils, C. H., van der Wall, E., </w:t>
      </w:r>
      <w:proofErr w:type="spellStart"/>
      <w:r w:rsidRPr="000616CA">
        <w:rPr>
          <w:rFonts w:ascii="Arial" w:hAnsi="Arial"/>
          <w:color w:val="000000" w:themeColor="text1"/>
          <w:sz w:val="22"/>
          <w:szCs w:val="22"/>
        </w:rPr>
        <w:t>Moelans</w:t>
      </w:r>
      <w:proofErr w:type="spellEnd"/>
      <w:r w:rsidRPr="000616CA">
        <w:rPr>
          <w:rFonts w:ascii="Arial" w:hAnsi="Arial"/>
          <w:color w:val="000000" w:themeColor="text1"/>
          <w:sz w:val="22"/>
          <w:szCs w:val="22"/>
        </w:rPr>
        <w:t xml:space="preserve">, C. B., &amp; van </w:t>
      </w:r>
      <w:proofErr w:type="spellStart"/>
      <w:r w:rsidRPr="000616CA">
        <w:rPr>
          <w:rFonts w:ascii="Arial" w:hAnsi="Arial"/>
          <w:color w:val="000000" w:themeColor="text1"/>
          <w:sz w:val="22"/>
          <w:szCs w:val="22"/>
        </w:rPr>
        <w:t>Diest</w:t>
      </w:r>
      <w:proofErr w:type="spellEnd"/>
      <w:r w:rsidRPr="000616CA">
        <w:rPr>
          <w:rFonts w:ascii="Arial" w:hAnsi="Arial"/>
          <w:color w:val="000000" w:themeColor="text1"/>
          <w:sz w:val="22"/>
          <w:szCs w:val="22"/>
        </w:rPr>
        <w:t>, P. J. (2018). Receptor conversion in distant breast cancer metastases: A systematic review and meta-analysis. Journal of the National Cancer Institute, 110(6), 568–580.</w:t>
      </w:r>
    </w:p>
    <w:p w14:paraId="446B70AD"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Elaraj</w:t>
      </w:r>
      <w:proofErr w:type="spellEnd"/>
      <w:r w:rsidRPr="000616CA">
        <w:rPr>
          <w:rFonts w:ascii="Arial" w:hAnsi="Arial"/>
          <w:color w:val="000000" w:themeColor="text1"/>
          <w:sz w:val="22"/>
          <w:szCs w:val="22"/>
        </w:rPr>
        <w:t xml:space="preserve">, D. M., </w:t>
      </w:r>
      <w:proofErr w:type="spellStart"/>
      <w:r w:rsidRPr="000616CA">
        <w:rPr>
          <w:rFonts w:ascii="Arial" w:hAnsi="Arial"/>
          <w:color w:val="000000" w:themeColor="text1"/>
          <w:sz w:val="22"/>
          <w:szCs w:val="22"/>
        </w:rPr>
        <w:t>Weinreich</w:t>
      </w:r>
      <w:proofErr w:type="spellEnd"/>
      <w:r w:rsidRPr="000616CA">
        <w:rPr>
          <w:rFonts w:ascii="Arial" w:hAnsi="Arial"/>
          <w:color w:val="000000" w:themeColor="text1"/>
          <w:sz w:val="22"/>
          <w:szCs w:val="22"/>
        </w:rPr>
        <w:t xml:space="preserve">, D. M., </w:t>
      </w:r>
      <w:proofErr w:type="spellStart"/>
      <w:r w:rsidRPr="000616CA">
        <w:rPr>
          <w:rFonts w:ascii="Arial" w:hAnsi="Arial"/>
          <w:color w:val="000000" w:themeColor="text1"/>
          <w:sz w:val="22"/>
          <w:szCs w:val="22"/>
        </w:rPr>
        <w:t>Varber</w:t>
      </w:r>
      <w:proofErr w:type="spellEnd"/>
      <w:r w:rsidRPr="000616CA">
        <w:rPr>
          <w:rFonts w:ascii="Arial" w:hAnsi="Arial"/>
          <w:color w:val="000000" w:themeColor="text1"/>
          <w:sz w:val="22"/>
          <w:szCs w:val="22"/>
        </w:rPr>
        <w:t>, S., Torres, M., Gadd, M. A., Smith, B. L., et al. (2006). The role of interleukin 1 in growth and metastasis of human cancer xenografts. Clinical Cancer Research, 12(4), 1088–1096.</w:t>
      </w:r>
    </w:p>
    <w:p w14:paraId="68CE6454" w14:textId="77777777" w:rsidR="003E0CB5" w:rsidRPr="000616CA" w:rsidRDefault="003E0CB5" w:rsidP="00F869FD">
      <w:pPr>
        <w:jc w:val="both"/>
        <w:rPr>
          <w:color w:val="000000" w:themeColor="text1"/>
          <w:sz w:val="22"/>
          <w:szCs w:val="22"/>
        </w:rPr>
      </w:pP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C., &amp;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P. (2018). The role of IL-1B in breast cancer bone metastasis. Endocrine-Related Cancer, 25(7), R421–R434.</w:t>
      </w:r>
    </w:p>
    <w:p w14:paraId="50EBCF4B"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Yazdani, A., </w:t>
      </w:r>
      <w:proofErr w:type="spellStart"/>
      <w:r w:rsidRPr="000616CA">
        <w:rPr>
          <w:rFonts w:ascii="Arial" w:hAnsi="Arial"/>
          <w:color w:val="000000" w:themeColor="text1"/>
          <w:sz w:val="22"/>
          <w:szCs w:val="22"/>
        </w:rPr>
        <w:t>Dorri</w:t>
      </w:r>
      <w:proofErr w:type="spellEnd"/>
      <w:r w:rsidRPr="000616CA">
        <w:rPr>
          <w:rFonts w:ascii="Arial" w:hAnsi="Arial"/>
          <w:color w:val="000000" w:themeColor="text1"/>
          <w:sz w:val="22"/>
          <w:szCs w:val="22"/>
        </w:rPr>
        <w:t xml:space="preserve">, S., </w:t>
      </w:r>
      <w:proofErr w:type="spellStart"/>
      <w:r w:rsidRPr="000616CA">
        <w:rPr>
          <w:rFonts w:ascii="Arial" w:hAnsi="Arial"/>
          <w:color w:val="000000" w:themeColor="text1"/>
          <w:sz w:val="22"/>
          <w:szCs w:val="22"/>
        </w:rPr>
        <w:t>Atashi</w:t>
      </w:r>
      <w:proofErr w:type="spellEnd"/>
      <w:r w:rsidRPr="000616CA">
        <w:rPr>
          <w:rFonts w:ascii="Arial" w:hAnsi="Arial"/>
          <w:color w:val="000000" w:themeColor="text1"/>
          <w:sz w:val="22"/>
          <w:szCs w:val="22"/>
        </w:rPr>
        <w:t xml:space="preserve">, A., </w:t>
      </w:r>
      <w:proofErr w:type="spellStart"/>
      <w:r w:rsidRPr="000616CA">
        <w:rPr>
          <w:rFonts w:ascii="Arial" w:hAnsi="Arial"/>
          <w:color w:val="000000" w:themeColor="text1"/>
          <w:sz w:val="22"/>
          <w:szCs w:val="22"/>
        </w:rPr>
        <w:t>Shirafkan</w:t>
      </w:r>
      <w:proofErr w:type="spellEnd"/>
      <w:r w:rsidRPr="000616CA">
        <w:rPr>
          <w:rFonts w:ascii="Arial" w:hAnsi="Arial"/>
          <w:color w:val="000000" w:themeColor="text1"/>
          <w:sz w:val="22"/>
          <w:szCs w:val="22"/>
        </w:rPr>
        <w:t xml:space="preserve">, H., &amp; </w:t>
      </w:r>
      <w:proofErr w:type="spellStart"/>
      <w:r w:rsidRPr="000616CA">
        <w:rPr>
          <w:rFonts w:ascii="Arial" w:hAnsi="Arial"/>
          <w:color w:val="000000" w:themeColor="text1"/>
          <w:sz w:val="22"/>
          <w:szCs w:val="22"/>
        </w:rPr>
        <w:t>Zabolinejad</w:t>
      </w:r>
      <w:proofErr w:type="spellEnd"/>
      <w:r w:rsidRPr="000616CA">
        <w:rPr>
          <w:rFonts w:ascii="Arial" w:hAnsi="Arial"/>
          <w:color w:val="000000" w:themeColor="text1"/>
          <w:sz w:val="22"/>
          <w:szCs w:val="22"/>
        </w:rPr>
        <w:t>, H. (2019). Bone metastasis prognostic factors in breast cancer. Breast Cancer: Basic and Clinical Research, 13, 1178223419830978.</w:t>
      </w:r>
    </w:p>
    <w:p w14:paraId="017C55DA"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Zhang, J., Yao, Y. H., Li, B. G., Yang, Q., Zhang, P. Y., &amp; Wang, H. T. (2015). Prognostic value of pretreatment serum lactate dehydrogenase level in patients with solid tumors: A systematic review and meta-analysis. Scientific Reports, 5, 9800.</w:t>
      </w:r>
    </w:p>
    <w:p w14:paraId="19F64B5D" w14:textId="77777777" w:rsidR="003E0CB5" w:rsidRPr="000616CA" w:rsidRDefault="003E0CB5" w:rsidP="00F869FD">
      <w:pPr>
        <w:jc w:val="both"/>
        <w:rPr>
          <w:color w:val="000000" w:themeColor="text1"/>
          <w:sz w:val="22"/>
          <w:szCs w:val="22"/>
        </w:rPr>
      </w:pPr>
      <w:r w:rsidRPr="000616CA">
        <w:rPr>
          <w:rFonts w:ascii="Arial" w:hAnsi="Arial"/>
          <w:color w:val="000000" w:themeColor="text1"/>
          <w:sz w:val="22"/>
          <w:szCs w:val="22"/>
        </w:rPr>
        <w:t xml:space="preserve">Zhou, W., </w:t>
      </w:r>
      <w:proofErr w:type="spellStart"/>
      <w:r w:rsidRPr="000616CA">
        <w:rPr>
          <w:rFonts w:ascii="Arial" w:hAnsi="Arial"/>
          <w:color w:val="000000" w:themeColor="text1"/>
          <w:sz w:val="22"/>
          <w:szCs w:val="22"/>
        </w:rPr>
        <w:t>Tulotta</w:t>
      </w:r>
      <w:proofErr w:type="spellEnd"/>
      <w:r w:rsidRPr="000616CA">
        <w:rPr>
          <w:rFonts w:ascii="Arial" w:hAnsi="Arial"/>
          <w:color w:val="000000" w:themeColor="text1"/>
          <w:sz w:val="22"/>
          <w:szCs w:val="22"/>
        </w:rPr>
        <w:t xml:space="preserve">, C., &amp; </w:t>
      </w:r>
      <w:proofErr w:type="spellStart"/>
      <w:r w:rsidRPr="000616CA">
        <w:rPr>
          <w:rFonts w:ascii="Arial" w:hAnsi="Arial"/>
          <w:color w:val="000000" w:themeColor="text1"/>
          <w:sz w:val="22"/>
          <w:szCs w:val="22"/>
        </w:rPr>
        <w:t>Ottewell</w:t>
      </w:r>
      <w:proofErr w:type="spellEnd"/>
      <w:r w:rsidRPr="000616CA">
        <w:rPr>
          <w:rFonts w:ascii="Arial" w:hAnsi="Arial"/>
          <w:color w:val="000000" w:themeColor="text1"/>
          <w:sz w:val="22"/>
          <w:szCs w:val="22"/>
        </w:rPr>
        <w:t xml:space="preserve">, P. D. (2022). The role of the </w:t>
      </w:r>
      <w:proofErr w:type="spellStart"/>
      <w:r w:rsidRPr="000616CA">
        <w:rPr>
          <w:rFonts w:ascii="Arial" w:hAnsi="Arial"/>
          <w:color w:val="000000" w:themeColor="text1"/>
          <w:sz w:val="22"/>
          <w:szCs w:val="22"/>
        </w:rPr>
        <w:t>tumour</w:t>
      </w:r>
      <w:proofErr w:type="spellEnd"/>
      <w:r w:rsidRPr="000616CA">
        <w:rPr>
          <w:rFonts w:ascii="Arial" w:hAnsi="Arial"/>
          <w:color w:val="000000" w:themeColor="text1"/>
          <w:sz w:val="22"/>
          <w:szCs w:val="22"/>
        </w:rPr>
        <w:t xml:space="preserve"> microenvironment in bone metastasis: Implications for IL-1β </w:t>
      </w:r>
      <w:proofErr w:type="spellStart"/>
      <w:r w:rsidRPr="000616CA">
        <w:rPr>
          <w:rFonts w:ascii="Arial" w:hAnsi="Arial"/>
          <w:color w:val="000000" w:themeColor="text1"/>
          <w:sz w:val="22"/>
          <w:szCs w:val="22"/>
        </w:rPr>
        <w:t>signalling</w:t>
      </w:r>
      <w:proofErr w:type="spellEnd"/>
      <w:r w:rsidRPr="000616CA">
        <w:rPr>
          <w:rFonts w:ascii="Arial" w:hAnsi="Arial"/>
          <w:color w:val="000000" w:themeColor="text1"/>
          <w:sz w:val="22"/>
          <w:szCs w:val="22"/>
        </w:rPr>
        <w:t>. International Journal of Molecular Sciences, 23(3), 1557.</w:t>
      </w:r>
    </w:p>
    <w:p w14:paraId="18B5E6FC"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lastRenderedPageBreak/>
        <w:t xml:space="preserve">Zhou, J.,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C., &amp;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P. D. (2022). IL-1β in breast cancer bone metastasis. Expert Reviews in Molecular Medicine, 24, e11.</w:t>
      </w:r>
    </w:p>
    <w:p w14:paraId="156B195E"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t xml:space="preserve">Zhou, J., Down, J. M., George, C. N., Murphy, J., </w:t>
      </w:r>
      <w:proofErr w:type="spellStart"/>
      <w:r w:rsidRPr="000616CA">
        <w:rPr>
          <w:rFonts w:ascii="Times New Roman" w:hAnsi="Times New Roman"/>
          <w:color w:val="000000" w:themeColor="text1"/>
          <w:sz w:val="24"/>
        </w:rPr>
        <w:t>Lefley</w:t>
      </w:r>
      <w:proofErr w:type="spellEnd"/>
      <w:r w:rsidRPr="000616CA">
        <w:rPr>
          <w:rFonts w:ascii="Times New Roman" w:hAnsi="Times New Roman"/>
          <w:color w:val="000000" w:themeColor="text1"/>
          <w:sz w:val="24"/>
        </w:rPr>
        <w:t xml:space="preserve">, D. V., </w:t>
      </w:r>
      <w:proofErr w:type="spellStart"/>
      <w:r w:rsidRPr="000616CA">
        <w:rPr>
          <w:rFonts w:ascii="Times New Roman" w:hAnsi="Times New Roman"/>
          <w:color w:val="000000" w:themeColor="text1"/>
          <w:sz w:val="24"/>
        </w:rPr>
        <w:t>Tulotta</w:t>
      </w:r>
      <w:proofErr w:type="spellEnd"/>
      <w:r w:rsidRPr="000616CA">
        <w:rPr>
          <w:rFonts w:ascii="Times New Roman" w:hAnsi="Times New Roman"/>
          <w:color w:val="000000" w:themeColor="text1"/>
          <w:sz w:val="24"/>
        </w:rPr>
        <w:t xml:space="preserve">, C., et al. (2022). Novel methods of targeting IL-1 </w:t>
      </w:r>
      <w:proofErr w:type="spellStart"/>
      <w:r w:rsidRPr="000616CA">
        <w:rPr>
          <w:rFonts w:ascii="Times New Roman" w:hAnsi="Times New Roman"/>
          <w:color w:val="000000" w:themeColor="text1"/>
          <w:sz w:val="24"/>
        </w:rPr>
        <w:t>signalling</w:t>
      </w:r>
      <w:proofErr w:type="spellEnd"/>
      <w:r w:rsidRPr="000616CA">
        <w:rPr>
          <w:rFonts w:ascii="Times New Roman" w:hAnsi="Times New Roman"/>
          <w:color w:val="000000" w:themeColor="text1"/>
          <w:sz w:val="24"/>
        </w:rPr>
        <w:t xml:space="preserve"> for the treatment of breast cancer bone metastasis. Cancers, 14(19), 4816.</w:t>
      </w:r>
    </w:p>
    <w:p w14:paraId="48B8F5BD" w14:textId="77777777" w:rsidR="003E0CB5" w:rsidRPr="000616CA" w:rsidRDefault="003E0CB5" w:rsidP="00F869FD">
      <w:pPr>
        <w:jc w:val="both"/>
        <w:rPr>
          <w:color w:val="000000" w:themeColor="text1"/>
          <w:sz w:val="22"/>
          <w:szCs w:val="22"/>
        </w:rPr>
      </w:pPr>
      <w:r w:rsidRPr="000616CA">
        <w:rPr>
          <w:rFonts w:ascii="Times New Roman" w:hAnsi="Times New Roman"/>
          <w:color w:val="000000" w:themeColor="text1"/>
          <w:sz w:val="24"/>
        </w:rPr>
        <w:t xml:space="preserve">Zhou, J., &amp; </w:t>
      </w:r>
      <w:proofErr w:type="spellStart"/>
      <w:r w:rsidRPr="000616CA">
        <w:rPr>
          <w:rFonts w:ascii="Times New Roman" w:hAnsi="Times New Roman"/>
          <w:color w:val="000000" w:themeColor="text1"/>
          <w:sz w:val="24"/>
        </w:rPr>
        <w:t>Ottewell</w:t>
      </w:r>
      <w:proofErr w:type="spellEnd"/>
      <w:r w:rsidRPr="000616CA">
        <w:rPr>
          <w:rFonts w:ascii="Times New Roman" w:hAnsi="Times New Roman"/>
          <w:color w:val="000000" w:themeColor="text1"/>
          <w:sz w:val="24"/>
        </w:rPr>
        <w:t>, P. D. (2024). The role of IL-1B in breast cancer bone metastasis. Journal of Bone Oncology, 46, 100608.</w:t>
      </w:r>
    </w:p>
    <w:p w14:paraId="7AB839E6" w14:textId="77777777" w:rsidR="00B01FCD" w:rsidRPr="000616CA" w:rsidRDefault="00B01FCD" w:rsidP="0089477C">
      <w:pPr>
        <w:pStyle w:val="AbstHead"/>
        <w:spacing w:after="0" w:line="360" w:lineRule="auto"/>
        <w:jc w:val="both"/>
        <w:rPr>
          <w:rFonts w:ascii="Arial" w:hAnsi="Arial" w:cs="Arial"/>
          <w:b w:val="0"/>
          <w:color w:val="000000" w:themeColor="text1"/>
        </w:rPr>
      </w:pPr>
    </w:p>
    <w:sectPr w:rsidR="00B01FCD" w:rsidRPr="000616CA" w:rsidSect="006967C3">
      <w:footerReference w:type="default" r:id="rId1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4C564" w14:textId="77777777" w:rsidR="00E82369" w:rsidRDefault="00E82369" w:rsidP="00C37E61">
      <w:r>
        <w:separator/>
      </w:r>
    </w:p>
  </w:endnote>
  <w:endnote w:type="continuationSeparator" w:id="0">
    <w:p w14:paraId="3637B896" w14:textId="77777777" w:rsidR="00E82369" w:rsidRDefault="00E823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12C7" w14:textId="77777777" w:rsidR="009E048A" w:rsidRDefault="009E048A">
    <w:pPr>
      <w:pStyle w:val="Footer"/>
      <w:rPr>
        <w:rFonts w:ascii="Arial" w:hAnsi="Arial" w:cs="Arial"/>
        <w:sz w:val="16"/>
      </w:rPr>
    </w:pPr>
  </w:p>
  <w:p w14:paraId="2DB735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9348CC" w14:textId="77777777" w:rsidR="009E048A" w:rsidRDefault="009E048A">
    <w:pPr>
      <w:pStyle w:val="Footer"/>
      <w:rPr>
        <w:rFonts w:ascii="Arial" w:hAnsi="Arial" w:cs="Arial"/>
        <w:sz w:val="16"/>
      </w:rPr>
    </w:pPr>
  </w:p>
  <w:p w14:paraId="755CAC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22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FCD5D" w14:textId="77777777" w:rsidR="00E82369" w:rsidRDefault="00E82369" w:rsidP="00C37E61">
      <w:r>
        <w:separator/>
      </w:r>
    </w:p>
  </w:footnote>
  <w:footnote w:type="continuationSeparator" w:id="0">
    <w:p w14:paraId="2F295AF3" w14:textId="77777777" w:rsidR="00E82369" w:rsidRDefault="00E823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D376" w14:textId="77777777" w:rsidR="00296529" w:rsidRPr="00296529" w:rsidRDefault="00296529" w:rsidP="00296529">
    <w:pPr>
      <w:ind w:left="2160"/>
      <w:jc w:val="center"/>
      <w:rPr>
        <w:rFonts w:ascii="Times New Roman" w:eastAsia="Calibri" w:hAnsi="Times New Roman"/>
        <w:i/>
        <w:sz w:val="18"/>
        <w:szCs w:val="22"/>
      </w:rPr>
    </w:pPr>
  </w:p>
  <w:p w14:paraId="170A38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9D5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2C60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3F9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F625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FC940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DOxMDMCUkaGxko6SsGpxcWZ+XkgBYa1AA8M8PcsAAAA"/>
  </w:docVars>
  <w:rsids>
    <w:rsidRoot w:val="00AA6219"/>
    <w:rsid w:val="00000F8F"/>
    <w:rsid w:val="00030174"/>
    <w:rsid w:val="0004579C"/>
    <w:rsid w:val="000616CA"/>
    <w:rsid w:val="00097D86"/>
    <w:rsid w:val="000A47FA"/>
    <w:rsid w:val="000A65D3"/>
    <w:rsid w:val="000B1E33"/>
    <w:rsid w:val="000D00E9"/>
    <w:rsid w:val="000D689F"/>
    <w:rsid w:val="000E7B7B"/>
    <w:rsid w:val="000E7D62"/>
    <w:rsid w:val="00103357"/>
    <w:rsid w:val="00123C9F"/>
    <w:rsid w:val="00126190"/>
    <w:rsid w:val="00130F17"/>
    <w:rsid w:val="001320BF"/>
    <w:rsid w:val="00140DFD"/>
    <w:rsid w:val="00163BC4"/>
    <w:rsid w:val="00191062"/>
    <w:rsid w:val="00192B72"/>
    <w:rsid w:val="001A29D8"/>
    <w:rsid w:val="001A5CAA"/>
    <w:rsid w:val="001B0427"/>
    <w:rsid w:val="001C23B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3C9C"/>
    <w:rsid w:val="003763C1"/>
    <w:rsid w:val="00376BBE"/>
    <w:rsid w:val="0039224F"/>
    <w:rsid w:val="003A43A4"/>
    <w:rsid w:val="003A7E18"/>
    <w:rsid w:val="003C4C86"/>
    <w:rsid w:val="003C6258"/>
    <w:rsid w:val="003E0CB5"/>
    <w:rsid w:val="003E2904"/>
    <w:rsid w:val="00401927"/>
    <w:rsid w:val="0041027F"/>
    <w:rsid w:val="00412475"/>
    <w:rsid w:val="00423789"/>
    <w:rsid w:val="00440F43"/>
    <w:rsid w:val="00441B6F"/>
    <w:rsid w:val="00446221"/>
    <w:rsid w:val="00450E62"/>
    <w:rsid w:val="004539DB"/>
    <w:rsid w:val="00471A80"/>
    <w:rsid w:val="004D305E"/>
    <w:rsid w:val="004D4277"/>
    <w:rsid w:val="004E7210"/>
    <w:rsid w:val="00502516"/>
    <w:rsid w:val="00505F06"/>
    <w:rsid w:val="00506828"/>
    <w:rsid w:val="0053056E"/>
    <w:rsid w:val="00554FDA"/>
    <w:rsid w:val="005C784C"/>
    <w:rsid w:val="005D17F6"/>
    <w:rsid w:val="005D5CE8"/>
    <w:rsid w:val="005E5539"/>
    <w:rsid w:val="0060069A"/>
    <w:rsid w:val="00602BF5"/>
    <w:rsid w:val="00617FDD"/>
    <w:rsid w:val="00633614"/>
    <w:rsid w:val="00633F68"/>
    <w:rsid w:val="00635D67"/>
    <w:rsid w:val="00636EB2"/>
    <w:rsid w:val="006375B8"/>
    <w:rsid w:val="0066510A"/>
    <w:rsid w:val="00673F9F"/>
    <w:rsid w:val="0067497B"/>
    <w:rsid w:val="0067543C"/>
    <w:rsid w:val="00686953"/>
    <w:rsid w:val="00687DEA"/>
    <w:rsid w:val="00687E67"/>
    <w:rsid w:val="006967C3"/>
    <w:rsid w:val="006967F7"/>
    <w:rsid w:val="006A250C"/>
    <w:rsid w:val="006B21D3"/>
    <w:rsid w:val="006B57D0"/>
    <w:rsid w:val="006B7E3D"/>
    <w:rsid w:val="006D30FF"/>
    <w:rsid w:val="006D4AAB"/>
    <w:rsid w:val="006D6940"/>
    <w:rsid w:val="006D7CF1"/>
    <w:rsid w:val="006E739B"/>
    <w:rsid w:val="006F11EC"/>
    <w:rsid w:val="0070082C"/>
    <w:rsid w:val="007369E6"/>
    <w:rsid w:val="00746E59"/>
    <w:rsid w:val="00753F83"/>
    <w:rsid w:val="00754C9A"/>
    <w:rsid w:val="0075599A"/>
    <w:rsid w:val="00761D52"/>
    <w:rsid w:val="0077749E"/>
    <w:rsid w:val="00790ADA"/>
    <w:rsid w:val="007D2288"/>
    <w:rsid w:val="007E088F"/>
    <w:rsid w:val="007F0C44"/>
    <w:rsid w:val="007F7B32"/>
    <w:rsid w:val="00804BC2"/>
    <w:rsid w:val="0081431A"/>
    <w:rsid w:val="0083216F"/>
    <w:rsid w:val="00837BE1"/>
    <w:rsid w:val="00843E43"/>
    <w:rsid w:val="00860000"/>
    <w:rsid w:val="00863BD3"/>
    <w:rsid w:val="008641ED"/>
    <w:rsid w:val="00866D66"/>
    <w:rsid w:val="008671C6"/>
    <w:rsid w:val="00875803"/>
    <w:rsid w:val="00893998"/>
    <w:rsid w:val="0089477C"/>
    <w:rsid w:val="008B459E"/>
    <w:rsid w:val="008E13AE"/>
    <w:rsid w:val="008E1506"/>
    <w:rsid w:val="008E710C"/>
    <w:rsid w:val="008F69D6"/>
    <w:rsid w:val="00902823"/>
    <w:rsid w:val="00902A7F"/>
    <w:rsid w:val="00915CA6"/>
    <w:rsid w:val="00927834"/>
    <w:rsid w:val="009500A6"/>
    <w:rsid w:val="00957C18"/>
    <w:rsid w:val="009659BA"/>
    <w:rsid w:val="0097425F"/>
    <w:rsid w:val="00983040"/>
    <w:rsid w:val="009A119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BF5"/>
    <w:rsid w:val="00B3359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072C"/>
    <w:rsid w:val="00D74CB0"/>
    <w:rsid w:val="00D8295D"/>
    <w:rsid w:val="00D9095C"/>
    <w:rsid w:val="00DC2A65"/>
    <w:rsid w:val="00DE15F0"/>
    <w:rsid w:val="00DE5663"/>
    <w:rsid w:val="00DE78AA"/>
    <w:rsid w:val="00E053D0"/>
    <w:rsid w:val="00E15994"/>
    <w:rsid w:val="00E3114E"/>
    <w:rsid w:val="00E31A70"/>
    <w:rsid w:val="00E35B02"/>
    <w:rsid w:val="00E66496"/>
    <w:rsid w:val="00E66B35"/>
    <w:rsid w:val="00E66E10"/>
    <w:rsid w:val="00E769F6"/>
    <w:rsid w:val="00E82369"/>
    <w:rsid w:val="00E8407C"/>
    <w:rsid w:val="00E84F3C"/>
    <w:rsid w:val="00EA012C"/>
    <w:rsid w:val="00EC6A55"/>
    <w:rsid w:val="00ED0288"/>
    <w:rsid w:val="00EE52CB"/>
    <w:rsid w:val="00EF581D"/>
    <w:rsid w:val="00EF7FD8"/>
    <w:rsid w:val="00F03737"/>
    <w:rsid w:val="00F06F59"/>
    <w:rsid w:val="00F17988"/>
    <w:rsid w:val="00F32542"/>
    <w:rsid w:val="00F469F0"/>
    <w:rsid w:val="00F53273"/>
    <w:rsid w:val="00F755E4"/>
    <w:rsid w:val="00F77D02"/>
    <w:rsid w:val="00F869FD"/>
    <w:rsid w:val="00FA30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16D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2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4DD5-02BC-4B46-B41C-AB94DF9D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26</cp:revision>
  <cp:lastPrinted>2026-03-03T13:43:00Z</cp:lastPrinted>
  <dcterms:created xsi:type="dcterms:W3CDTF">2026-03-07T09:47:00Z</dcterms:created>
  <dcterms:modified xsi:type="dcterms:W3CDTF">2026-03-17T07:40:00Z</dcterms:modified>
</cp:coreProperties>
</file>